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FE48C2">
        <w:rPr>
          <w:rFonts w:ascii="Verdana" w:hAnsi="Verdana" w:cs="Times New Roman"/>
          <w:sz w:val="20"/>
          <w:szCs w:val="20"/>
        </w:rPr>
        <w:t>B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830C28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FE48C2">
              <w:rPr>
                <w:rFonts w:ascii="Verdana" w:hAnsi="Verdana" w:cs="Microsoft Sans Serif"/>
                <w:sz w:val="20"/>
                <w:szCs w:val="20"/>
              </w:rPr>
              <w:t>116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FE48C2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FE48C2">
              <w:rPr>
                <w:rFonts w:ascii="Verdana" w:hAnsi="Verdana" w:cs="Microsoft Sans Serif"/>
                <w:sz w:val="20"/>
                <w:szCs w:val="20"/>
              </w:rPr>
              <w:t>C</w:t>
            </w:r>
            <w:r>
              <w:rPr>
                <w:rFonts w:ascii="Verdana" w:hAnsi="Verdana" w:cs="Microsoft Sans Serif"/>
                <w:sz w:val="20"/>
                <w:szCs w:val="20"/>
              </w:rPr>
              <w:t>lause</w:t>
            </w:r>
            <w:r w:rsidRPr="00FE48C2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Pr="00FE48C2">
              <w:rPr>
                <w:rFonts w:ascii="Verdana" w:hAnsi="Verdana" w:cs="Microsoft Sans Serif"/>
                <w:sz w:val="20"/>
                <w:szCs w:val="20"/>
              </w:rPr>
              <w:t>25.4 Update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FE48C2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FE48C2" w:rsidP="00917DF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 February</w:t>
            </w:r>
            <w:r w:rsidR="00B03AD2">
              <w:rPr>
                <w:rFonts w:ascii="Verdana" w:hAnsi="Verdana"/>
                <w:sz w:val="20"/>
                <w:szCs w:val="20"/>
              </w:rPr>
              <w:t xml:space="preserve"> 2012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6615FD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03 February</w:t>
            </w:r>
            <w:r w:rsidR="00B03AD2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6615FD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20 January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114ABD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114ABD" w:rsidRPr="00266E0A">
      <w:rPr>
        <w:rStyle w:val="PageNumber"/>
        <w:rFonts w:ascii="Verdana" w:hAnsi="Verdana"/>
        <w:sz w:val="16"/>
      </w:rPr>
      <w:fldChar w:fldCharType="separate"/>
    </w:r>
    <w:r w:rsidR="00FE48C2">
      <w:rPr>
        <w:rStyle w:val="PageNumber"/>
        <w:rFonts w:ascii="Verdana" w:hAnsi="Verdana"/>
        <w:noProof/>
        <w:sz w:val="16"/>
      </w:rPr>
      <w:t>1</w:t>
    </w:r>
    <w:r w:rsidR="00114ABD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114ABD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114ABD" w:rsidRPr="00266E0A">
      <w:rPr>
        <w:rStyle w:val="PageNumber"/>
        <w:rFonts w:ascii="Verdana" w:hAnsi="Verdana"/>
        <w:sz w:val="16"/>
      </w:rPr>
      <w:fldChar w:fldCharType="separate"/>
    </w:r>
    <w:r w:rsidR="00FE48C2">
      <w:rPr>
        <w:rStyle w:val="PageNumber"/>
        <w:rFonts w:ascii="Verdana" w:hAnsi="Verdana"/>
        <w:noProof/>
        <w:sz w:val="16"/>
      </w:rPr>
      <w:t>1</w:t>
    </w:r>
    <w:r w:rsidR="00114ABD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FE48C2">
      <w:rPr>
        <w:rFonts w:ascii="Verdana" w:hAnsi="Verdana"/>
        <w:sz w:val="16"/>
      </w:rPr>
      <w:t>116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79EC"/>
    <w:rsid w:val="00076CE6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45C28"/>
    <w:rsid w:val="0065764A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5378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D386E-D47C-43E4-94EF-39E1AE86C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483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11</cp:revision>
  <dcterms:created xsi:type="dcterms:W3CDTF">2011-07-29T15:12:00Z</dcterms:created>
  <dcterms:modified xsi:type="dcterms:W3CDTF">2012-01-11T17:20:00Z</dcterms:modified>
</cp:coreProperties>
</file>