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A4C" w:rsidRPr="00FE7218" w:rsidRDefault="00FE7218">
      <w:pPr>
        <w:rPr>
          <w:b/>
          <w:u w:val="single"/>
        </w:rPr>
      </w:pPr>
      <w:r w:rsidRPr="00FE7218">
        <w:rPr>
          <w:b/>
          <w:u w:val="single"/>
        </w:rPr>
        <w:t>Issue 36 RFI</w:t>
      </w:r>
    </w:p>
    <w:p w:rsidR="00FE7218" w:rsidRDefault="00FE7218" w:rsidP="009826B4">
      <w:pPr>
        <w:pStyle w:val="BodyText"/>
        <w:rPr>
          <w:rFonts w:asciiTheme="minorHAnsi" w:hAnsiTheme="minorHAnsi"/>
          <w:szCs w:val="24"/>
        </w:rPr>
      </w:pPr>
      <w:r>
        <w:rPr>
          <w:rFonts w:asciiTheme="minorHAnsi" w:hAnsiTheme="minorHAnsi"/>
          <w:szCs w:val="24"/>
        </w:rPr>
        <w:t>The Annual Review Super-Group issued a Request for Information to investigate the tariff volatility that could be produced by changes to Tables 1020, 1022 and 1023 within the CDCM which contain asset costs for the DNO network (500MW model costs) and service models.</w:t>
      </w:r>
    </w:p>
    <w:p w:rsidR="009826B4" w:rsidRDefault="009826B4" w:rsidP="009826B4">
      <w:pPr>
        <w:pStyle w:val="BodyText"/>
        <w:rPr>
          <w:rFonts w:asciiTheme="minorHAnsi" w:hAnsiTheme="minorHAnsi"/>
          <w:szCs w:val="24"/>
        </w:rPr>
      </w:pPr>
    </w:p>
    <w:p w:rsidR="00FE7218" w:rsidRDefault="00FE7218" w:rsidP="009826B4">
      <w:pPr>
        <w:pStyle w:val="BodyText"/>
        <w:rPr>
          <w:rFonts w:asciiTheme="minorHAnsi" w:hAnsiTheme="minorHAnsi"/>
          <w:szCs w:val="24"/>
        </w:rPr>
      </w:pPr>
      <w:r>
        <w:rPr>
          <w:rFonts w:asciiTheme="minorHAnsi" w:hAnsiTheme="minorHAnsi"/>
          <w:szCs w:val="24"/>
        </w:rPr>
        <w:t>The RFI also sought to investigate the impact of fixing these costs in real terms and uplifti</w:t>
      </w:r>
      <w:r w:rsidR="002D4753">
        <w:rPr>
          <w:rFonts w:asciiTheme="minorHAnsi" w:hAnsiTheme="minorHAnsi"/>
          <w:szCs w:val="24"/>
        </w:rPr>
        <w:t>ng them for inflation each year.</w:t>
      </w:r>
    </w:p>
    <w:p w:rsidR="009826B4" w:rsidRDefault="009826B4" w:rsidP="009826B4">
      <w:pPr>
        <w:pStyle w:val="BodyText"/>
        <w:rPr>
          <w:rFonts w:asciiTheme="minorHAnsi" w:hAnsiTheme="minorHAnsi"/>
          <w:szCs w:val="24"/>
        </w:rPr>
      </w:pPr>
    </w:p>
    <w:p w:rsidR="002D4753" w:rsidRDefault="002D4753" w:rsidP="009826B4">
      <w:pPr>
        <w:pStyle w:val="BodyText"/>
        <w:rPr>
          <w:rFonts w:asciiTheme="minorHAnsi" w:hAnsiTheme="minorHAnsi"/>
          <w:szCs w:val="24"/>
        </w:rPr>
      </w:pPr>
      <w:r>
        <w:rPr>
          <w:rFonts w:asciiTheme="minorHAnsi" w:hAnsiTheme="minorHAnsi"/>
          <w:szCs w:val="24"/>
        </w:rPr>
        <w:t>Apart from the data inputs under investigation, all other data inputs in the CDCM were held constant.</w:t>
      </w:r>
    </w:p>
    <w:p w:rsidR="009826B4" w:rsidRDefault="009826B4" w:rsidP="009826B4">
      <w:pPr>
        <w:pStyle w:val="BodyText"/>
        <w:rPr>
          <w:rFonts w:asciiTheme="minorHAnsi" w:hAnsiTheme="minorHAnsi"/>
          <w:szCs w:val="24"/>
        </w:rPr>
      </w:pPr>
    </w:p>
    <w:p w:rsidR="002D4753" w:rsidRDefault="002D4753" w:rsidP="009826B4">
      <w:pPr>
        <w:pStyle w:val="BodyText"/>
        <w:rPr>
          <w:rFonts w:asciiTheme="minorHAnsi" w:hAnsiTheme="minorHAnsi"/>
          <w:szCs w:val="24"/>
        </w:rPr>
      </w:pPr>
      <w:r>
        <w:rPr>
          <w:rFonts w:asciiTheme="minorHAnsi" w:hAnsiTheme="minorHAnsi"/>
          <w:szCs w:val="24"/>
        </w:rPr>
        <w:t>The RFI instructed the DNOs to perform the following analysis:</w:t>
      </w:r>
    </w:p>
    <w:p w:rsidR="002D4753" w:rsidRPr="002D4753" w:rsidRDefault="002D4753" w:rsidP="009826B4">
      <w:pPr>
        <w:pStyle w:val="BodyText"/>
        <w:rPr>
          <w:rFonts w:asciiTheme="minorHAnsi" w:hAnsiTheme="minorHAnsi"/>
          <w:b/>
          <w:szCs w:val="24"/>
        </w:rPr>
      </w:pPr>
      <w:r w:rsidRPr="002D4753">
        <w:rPr>
          <w:rFonts w:asciiTheme="minorHAnsi" w:hAnsiTheme="minorHAnsi"/>
          <w:b/>
          <w:szCs w:val="24"/>
        </w:rPr>
        <w:t>For table 1020 data inputs:</w:t>
      </w:r>
    </w:p>
    <w:p w:rsidR="00FE7218" w:rsidRDefault="00FE7218" w:rsidP="009826B4">
      <w:pPr>
        <w:pStyle w:val="BodyText"/>
        <w:numPr>
          <w:ilvl w:val="0"/>
          <w:numId w:val="2"/>
        </w:numPr>
        <w:rPr>
          <w:rFonts w:asciiTheme="minorHAnsi" w:hAnsiTheme="minorHAnsi"/>
          <w:szCs w:val="24"/>
        </w:rPr>
      </w:pPr>
      <w:r w:rsidRPr="002D4753">
        <w:rPr>
          <w:rFonts w:asciiTheme="minorHAnsi" w:hAnsiTheme="minorHAnsi"/>
          <w:szCs w:val="24"/>
        </w:rPr>
        <w:t>Base model – model used for setting 2012/13 charges but with table 1020 set to the values used for 2010/11 charges</w:t>
      </w:r>
    </w:p>
    <w:p w:rsidR="002D4753" w:rsidRDefault="00FE7218" w:rsidP="009826B4">
      <w:pPr>
        <w:pStyle w:val="BodyText"/>
        <w:numPr>
          <w:ilvl w:val="0"/>
          <w:numId w:val="2"/>
        </w:numPr>
        <w:rPr>
          <w:rFonts w:asciiTheme="minorHAnsi" w:hAnsiTheme="minorHAnsi"/>
          <w:szCs w:val="24"/>
        </w:rPr>
      </w:pPr>
      <w:r w:rsidRPr="002D4753">
        <w:rPr>
          <w:rFonts w:asciiTheme="minorHAnsi" w:hAnsiTheme="minorHAnsi"/>
          <w:szCs w:val="24"/>
        </w:rPr>
        <w:t>Scenario 1 – base model with table 1020 updated to values used for 2011/12 charges</w:t>
      </w:r>
    </w:p>
    <w:p w:rsidR="00FE7218" w:rsidRDefault="00FE7218" w:rsidP="009826B4">
      <w:pPr>
        <w:pStyle w:val="BodyText"/>
        <w:numPr>
          <w:ilvl w:val="0"/>
          <w:numId w:val="2"/>
        </w:numPr>
        <w:rPr>
          <w:rFonts w:asciiTheme="minorHAnsi" w:hAnsiTheme="minorHAnsi"/>
          <w:szCs w:val="24"/>
        </w:rPr>
      </w:pPr>
      <w:r w:rsidRPr="002D4753">
        <w:rPr>
          <w:rFonts w:asciiTheme="minorHAnsi" w:hAnsiTheme="minorHAnsi"/>
          <w:szCs w:val="24"/>
        </w:rPr>
        <w:t>Scenario 2 – base model with table 1020 updated to values used for 2012/13 charges (i.e. the CDCM used for 2012/13 charges)</w:t>
      </w:r>
    </w:p>
    <w:p w:rsidR="00FE7218" w:rsidRDefault="00FE7218" w:rsidP="009826B4">
      <w:pPr>
        <w:pStyle w:val="BodyText"/>
        <w:numPr>
          <w:ilvl w:val="0"/>
          <w:numId w:val="2"/>
        </w:numPr>
        <w:rPr>
          <w:rFonts w:asciiTheme="minorHAnsi" w:hAnsiTheme="minorHAnsi"/>
          <w:szCs w:val="24"/>
        </w:rPr>
      </w:pPr>
      <w:r w:rsidRPr="002D4753">
        <w:rPr>
          <w:rFonts w:asciiTheme="minorHAnsi" w:hAnsiTheme="minorHAnsi"/>
          <w:szCs w:val="24"/>
        </w:rPr>
        <w:t>Scenario 3 – base model with table 1020  used for 2010/11 inflated by RPI to get to 2011/12 values</w:t>
      </w:r>
    </w:p>
    <w:p w:rsidR="00FE7218" w:rsidRDefault="00FE7218" w:rsidP="009826B4">
      <w:pPr>
        <w:pStyle w:val="BodyText"/>
        <w:numPr>
          <w:ilvl w:val="0"/>
          <w:numId w:val="2"/>
        </w:numPr>
        <w:rPr>
          <w:rFonts w:asciiTheme="minorHAnsi" w:hAnsiTheme="minorHAnsi"/>
          <w:szCs w:val="24"/>
        </w:rPr>
      </w:pPr>
      <w:r w:rsidRPr="002D4753">
        <w:rPr>
          <w:rFonts w:asciiTheme="minorHAnsi" w:hAnsiTheme="minorHAnsi"/>
          <w:szCs w:val="24"/>
        </w:rPr>
        <w:t>Scenario 4 – base model with table 1020  used for 2010/11 inflated by two years RPI to get to 2012/13 values</w:t>
      </w:r>
    </w:p>
    <w:p w:rsidR="002D4753" w:rsidRDefault="002D4753" w:rsidP="009826B4">
      <w:pPr>
        <w:pStyle w:val="BodyText"/>
        <w:rPr>
          <w:rFonts w:asciiTheme="minorHAnsi" w:hAnsiTheme="minorHAnsi"/>
          <w:szCs w:val="24"/>
        </w:rPr>
      </w:pPr>
      <w:r>
        <w:rPr>
          <w:rFonts w:asciiTheme="minorHAnsi" w:hAnsiTheme="minorHAnsi"/>
          <w:szCs w:val="24"/>
        </w:rPr>
        <w:t>Repeat above steps, but for table 1022 data instead of table 1020 data</w:t>
      </w:r>
    </w:p>
    <w:p w:rsidR="002D4753" w:rsidRDefault="002D4753" w:rsidP="009826B4">
      <w:pPr>
        <w:pStyle w:val="BodyText"/>
        <w:rPr>
          <w:rFonts w:asciiTheme="minorHAnsi" w:hAnsiTheme="minorHAnsi"/>
          <w:szCs w:val="24"/>
        </w:rPr>
      </w:pPr>
      <w:r>
        <w:rPr>
          <w:rFonts w:asciiTheme="minorHAnsi" w:hAnsiTheme="minorHAnsi"/>
          <w:szCs w:val="24"/>
        </w:rPr>
        <w:t>Repeat above steps, but for table 1023 data instead of table 1020 data</w:t>
      </w:r>
    </w:p>
    <w:p w:rsidR="002D4753" w:rsidRDefault="002D4753" w:rsidP="009826B4">
      <w:pPr>
        <w:pStyle w:val="BodyText"/>
        <w:rPr>
          <w:rFonts w:asciiTheme="minorHAnsi" w:hAnsiTheme="minorHAnsi"/>
          <w:szCs w:val="24"/>
        </w:rPr>
      </w:pPr>
    </w:p>
    <w:p w:rsidR="002D4753" w:rsidRDefault="002D4753" w:rsidP="009826B4">
      <w:pPr>
        <w:pStyle w:val="BodyText"/>
        <w:rPr>
          <w:rFonts w:asciiTheme="minorHAnsi" w:hAnsiTheme="minorHAnsi"/>
          <w:szCs w:val="24"/>
        </w:rPr>
      </w:pPr>
      <w:r>
        <w:rPr>
          <w:rFonts w:asciiTheme="minorHAnsi" w:hAnsiTheme="minorHAnsi"/>
          <w:szCs w:val="24"/>
        </w:rPr>
        <w:t xml:space="preserve">A template was completed by each DNO which </w:t>
      </w:r>
      <w:r w:rsidR="009826B4">
        <w:rPr>
          <w:rFonts w:asciiTheme="minorHAnsi" w:hAnsiTheme="minorHAnsi"/>
          <w:szCs w:val="24"/>
        </w:rPr>
        <w:t xml:space="preserve">extracted the tariffs produced by each scenario and which </w:t>
      </w:r>
      <w:r>
        <w:rPr>
          <w:rFonts w:asciiTheme="minorHAnsi" w:hAnsiTheme="minorHAnsi"/>
          <w:szCs w:val="24"/>
        </w:rPr>
        <w:t>produced the following comparisons.</w:t>
      </w:r>
    </w:p>
    <w:p w:rsidR="002D4753" w:rsidRDefault="002D4753" w:rsidP="009826B4">
      <w:pPr>
        <w:pStyle w:val="BodyText"/>
        <w:rPr>
          <w:rFonts w:asciiTheme="minorHAnsi" w:hAnsiTheme="minorHAnsi"/>
          <w:szCs w:val="24"/>
        </w:rPr>
      </w:pPr>
      <w:r w:rsidRPr="002D4753">
        <w:rPr>
          <w:rFonts w:asciiTheme="minorHAnsi" w:hAnsiTheme="minorHAnsi"/>
          <w:b/>
          <w:szCs w:val="24"/>
        </w:rPr>
        <w:t xml:space="preserve">Scenario 1 </w:t>
      </w:r>
      <w:proofErr w:type="spellStart"/>
      <w:r w:rsidRPr="002D4753">
        <w:rPr>
          <w:rFonts w:asciiTheme="minorHAnsi" w:hAnsiTheme="minorHAnsi"/>
          <w:b/>
          <w:szCs w:val="24"/>
        </w:rPr>
        <w:t>vs</w:t>
      </w:r>
      <w:proofErr w:type="spellEnd"/>
      <w:r w:rsidRPr="002D4753">
        <w:rPr>
          <w:rFonts w:asciiTheme="minorHAnsi" w:hAnsiTheme="minorHAnsi"/>
          <w:b/>
          <w:szCs w:val="24"/>
        </w:rPr>
        <w:t xml:space="preserve"> Base</w:t>
      </w:r>
      <w:r>
        <w:rPr>
          <w:rFonts w:asciiTheme="minorHAnsi" w:hAnsiTheme="minorHAnsi"/>
          <w:szCs w:val="24"/>
        </w:rPr>
        <w:t xml:space="preserve">: i.e. how the </w:t>
      </w:r>
      <w:r w:rsidR="009826B4">
        <w:rPr>
          <w:rFonts w:asciiTheme="minorHAnsi" w:hAnsiTheme="minorHAnsi"/>
          <w:szCs w:val="24"/>
        </w:rPr>
        <w:t xml:space="preserve">actual </w:t>
      </w:r>
      <w:r>
        <w:rPr>
          <w:rFonts w:asciiTheme="minorHAnsi" w:hAnsiTheme="minorHAnsi"/>
          <w:szCs w:val="24"/>
        </w:rPr>
        <w:t xml:space="preserve">change in costs for these data items between 2010/11 and 2011/12 affected tariffs </w:t>
      </w:r>
      <w:r w:rsidR="009826B4">
        <w:rPr>
          <w:rFonts w:asciiTheme="minorHAnsi" w:hAnsiTheme="minorHAnsi"/>
          <w:szCs w:val="24"/>
        </w:rPr>
        <w:t>and typical bills</w:t>
      </w:r>
    </w:p>
    <w:p w:rsidR="009826B4" w:rsidRDefault="009826B4" w:rsidP="009826B4">
      <w:pPr>
        <w:pStyle w:val="BodyText"/>
        <w:rPr>
          <w:rFonts w:asciiTheme="minorHAnsi" w:hAnsiTheme="minorHAnsi"/>
          <w:szCs w:val="24"/>
        </w:rPr>
      </w:pPr>
      <w:r w:rsidRPr="002D4753">
        <w:rPr>
          <w:rFonts w:asciiTheme="minorHAnsi" w:hAnsiTheme="minorHAnsi"/>
          <w:b/>
          <w:szCs w:val="24"/>
        </w:rPr>
        <w:t xml:space="preserve">Scenario </w:t>
      </w:r>
      <w:r>
        <w:rPr>
          <w:rFonts w:asciiTheme="minorHAnsi" w:hAnsiTheme="minorHAnsi"/>
          <w:b/>
          <w:szCs w:val="24"/>
        </w:rPr>
        <w:t>2</w:t>
      </w:r>
      <w:r w:rsidRPr="002D4753">
        <w:rPr>
          <w:rFonts w:asciiTheme="minorHAnsi" w:hAnsiTheme="minorHAnsi"/>
          <w:b/>
          <w:szCs w:val="24"/>
        </w:rPr>
        <w:t xml:space="preserve"> </w:t>
      </w:r>
      <w:proofErr w:type="spellStart"/>
      <w:r w:rsidRPr="002D4753">
        <w:rPr>
          <w:rFonts w:asciiTheme="minorHAnsi" w:hAnsiTheme="minorHAnsi"/>
          <w:b/>
          <w:szCs w:val="24"/>
        </w:rPr>
        <w:t>vs</w:t>
      </w:r>
      <w:proofErr w:type="spellEnd"/>
      <w:r w:rsidRPr="002D4753">
        <w:rPr>
          <w:rFonts w:asciiTheme="minorHAnsi" w:hAnsiTheme="minorHAnsi"/>
          <w:b/>
          <w:szCs w:val="24"/>
        </w:rPr>
        <w:t xml:space="preserve"> </w:t>
      </w:r>
      <w:r>
        <w:rPr>
          <w:rFonts w:asciiTheme="minorHAnsi" w:hAnsiTheme="minorHAnsi"/>
          <w:b/>
          <w:szCs w:val="24"/>
        </w:rPr>
        <w:t>Base</w:t>
      </w:r>
      <w:r>
        <w:rPr>
          <w:rFonts w:asciiTheme="minorHAnsi" w:hAnsiTheme="minorHAnsi"/>
          <w:szCs w:val="24"/>
        </w:rPr>
        <w:t>: i.e. how the actual cumulative change in costs for these data items between 2010/11 and 2012/13 affected tariffs and typical bills</w:t>
      </w:r>
    </w:p>
    <w:p w:rsidR="009826B4" w:rsidRDefault="009826B4" w:rsidP="009826B4">
      <w:pPr>
        <w:pStyle w:val="BodyText"/>
        <w:rPr>
          <w:rFonts w:asciiTheme="minorHAnsi" w:hAnsiTheme="minorHAnsi"/>
          <w:szCs w:val="24"/>
        </w:rPr>
      </w:pPr>
      <w:r w:rsidRPr="002D4753">
        <w:rPr>
          <w:rFonts w:asciiTheme="minorHAnsi" w:hAnsiTheme="minorHAnsi"/>
          <w:b/>
          <w:szCs w:val="24"/>
        </w:rPr>
        <w:t xml:space="preserve">Scenario </w:t>
      </w:r>
      <w:r>
        <w:rPr>
          <w:rFonts w:asciiTheme="minorHAnsi" w:hAnsiTheme="minorHAnsi"/>
          <w:b/>
          <w:szCs w:val="24"/>
        </w:rPr>
        <w:t>2</w:t>
      </w:r>
      <w:r w:rsidRPr="002D4753">
        <w:rPr>
          <w:rFonts w:asciiTheme="minorHAnsi" w:hAnsiTheme="minorHAnsi"/>
          <w:b/>
          <w:szCs w:val="24"/>
        </w:rPr>
        <w:t xml:space="preserve"> </w:t>
      </w:r>
      <w:proofErr w:type="spellStart"/>
      <w:r w:rsidRPr="002D4753">
        <w:rPr>
          <w:rFonts w:asciiTheme="minorHAnsi" w:hAnsiTheme="minorHAnsi"/>
          <w:b/>
          <w:szCs w:val="24"/>
        </w:rPr>
        <w:t>vs</w:t>
      </w:r>
      <w:proofErr w:type="spellEnd"/>
      <w:r w:rsidRPr="002D4753">
        <w:rPr>
          <w:rFonts w:asciiTheme="minorHAnsi" w:hAnsiTheme="minorHAnsi"/>
          <w:b/>
          <w:szCs w:val="24"/>
        </w:rPr>
        <w:t xml:space="preserve"> </w:t>
      </w:r>
      <w:r>
        <w:rPr>
          <w:rFonts w:asciiTheme="minorHAnsi" w:hAnsiTheme="minorHAnsi"/>
          <w:b/>
          <w:szCs w:val="24"/>
        </w:rPr>
        <w:t>Scenario 1</w:t>
      </w:r>
      <w:r>
        <w:rPr>
          <w:rFonts w:asciiTheme="minorHAnsi" w:hAnsiTheme="minorHAnsi"/>
          <w:szCs w:val="24"/>
        </w:rPr>
        <w:t>: i.e. how the actual change in costs for these data items between 2011/12 and 2012/13 affected tariffs and typical bills</w:t>
      </w:r>
    </w:p>
    <w:p w:rsidR="009826B4" w:rsidRDefault="009826B4" w:rsidP="009826B4">
      <w:pPr>
        <w:pStyle w:val="BodyText"/>
        <w:rPr>
          <w:rFonts w:asciiTheme="minorHAnsi" w:hAnsiTheme="minorHAnsi"/>
          <w:szCs w:val="24"/>
        </w:rPr>
      </w:pPr>
      <w:r w:rsidRPr="002D4753">
        <w:rPr>
          <w:rFonts w:asciiTheme="minorHAnsi" w:hAnsiTheme="minorHAnsi"/>
          <w:b/>
          <w:szCs w:val="24"/>
        </w:rPr>
        <w:t xml:space="preserve">Scenario </w:t>
      </w:r>
      <w:r>
        <w:rPr>
          <w:rFonts w:asciiTheme="minorHAnsi" w:hAnsiTheme="minorHAnsi"/>
          <w:b/>
          <w:szCs w:val="24"/>
        </w:rPr>
        <w:t>3</w:t>
      </w:r>
      <w:r w:rsidRPr="002D4753">
        <w:rPr>
          <w:rFonts w:asciiTheme="minorHAnsi" w:hAnsiTheme="minorHAnsi"/>
          <w:b/>
          <w:szCs w:val="24"/>
        </w:rPr>
        <w:t xml:space="preserve"> </w:t>
      </w:r>
      <w:proofErr w:type="spellStart"/>
      <w:r w:rsidRPr="002D4753">
        <w:rPr>
          <w:rFonts w:asciiTheme="minorHAnsi" w:hAnsiTheme="minorHAnsi"/>
          <w:b/>
          <w:szCs w:val="24"/>
        </w:rPr>
        <w:t>vs</w:t>
      </w:r>
      <w:proofErr w:type="spellEnd"/>
      <w:r w:rsidRPr="002D4753">
        <w:rPr>
          <w:rFonts w:asciiTheme="minorHAnsi" w:hAnsiTheme="minorHAnsi"/>
          <w:b/>
          <w:szCs w:val="24"/>
        </w:rPr>
        <w:t xml:space="preserve"> Base</w:t>
      </w:r>
      <w:r>
        <w:rPr>
          <w:rFonts w:asciiTheme="minorHAnsi" w:hAnsiTheme="minorHAnsi"/>
          <w:szCs w:val="24"/>
        </w:rPr>
        <w:t>: i.e. how uplifting base costs by RPI only between 2010/11 and 2011/12 affected tariffs and typical bills</w:t>
      </w:r>
    </w:p>
    <w:p w:rsidR="009826B4" w:rsidRDefault="009826B4" w:rsidP="009826B4">
      <w:pPr>
        <w:pStyle w:val="BodyText"/>
        <w:rPr>
          <w:rFonts w:asciiTheme="minorHAnsi" w:hAnsiTheme="minorHAnsi"/>
          <w:szCs w:val="24"/>
        </w:rPr>
      </w:pPr>
      <w:r w:rsidRPr="002D4753">
        <w:rPr>
          <w:rFonts w:asciiTheme="minorHAnsi" w:hAnsiTheme="minorHAnsi"/>
          <w:b/>
          <w:szCs w:val="24"/>
        </w:rPr>
        <w:t xml:space="preserve">Scenario </w:t>
      </w:r>
      <w:r>
        <w:rPr>
          <w:rFonts w:asciiTheme="minorHAnsi" w:hAnsiTheme="minorHAnsi"/>
          <w:b/>
          <w:szCs w:val="24"/>
        </w:rPr>
        <w:t>4</w:t>
      </w:r>
      <w:r w:rsidRPr="002D4753">
        <w:rPr>
          <w:rFonts w:asciiTheme="minorHAnsi" w:hAnsiTheme="minorHAnsi"/>
          <w:b/>
          <w:szCs w:val="24"/>
        </w:rPr>
        <w:t xml:space="preserve"> </w:t>
      </w:r>
      <w:proofErr w:type="spellStart"/>
      <w:r w:rsidRPr="002D4753">
        <w:rPr>
          <w:rFonts w:asciiTheme="minorHAnsi" w:hAnsiTheme="minorHAnsi"/>
          <w:b/>
          <w:szCs w:val="24"/>
        </w:rPr>
        <w:t>vs</w:t>
      </w:r>
      <w:proofErr w:type="spellEnd"/>
      <w:r w:rsidRPr="002D4753">
        <w:rPr>
          <w:rFonts w:asciiTheme="minorHAnsi" w:hAnsiTheme="minorHAnsi"/>
          <w:b/>
          <w:szCs w:val="24"/>
        </w:rPr>
        <w:t xml:space="preserve"> </w:t>
      </w:r>
      <w:r>
        <w:rPr>
          <w:rFonts w:asciiTheme="minorHAnsi" w:hAnsiTheme="minorHAnsi"/>
          <w:b/>
          <w:szCs w:val="24"/>
        </w:rPr>
        <w:t>Base</w:t>
      </w:r>
      <w:r>
        <w:rPr>
          <w:rFonts w:asciiTheme="minorHAnsi" w:hAnsiTheme="minorHAnsi"/>
          <w:szCs w:val="24"/>
        </w:rPr>
        <w:t>: i.e. how uplifting base costs by cumulative RPI for these data items between 2010/11 and 2012/13 affected tariffs and typical bills</w:t>
      </w:r>
    </w:p>
    <w:p w:rsidR="009826B4" w:rsidRDefault="009826B4" w:rsidP="009826B4">
      <w:pPr>
        <w:pStyle w:val="BodyText"/>
        <w:rPr>
          <w:rFonts w:asciiTheme="minorHAnsi" w:hAnsiTheme="minorHAnsi"/>
          <w:szCs w:val="24"/>
        </w:rPr>
      </w:pPr>
      <w:r w:rsidRPr="002D4753">
        <w:rPr>
          <w:rFonts w:asciiTheme="minorHAnsi" w:hAnsiTheme="minorHAnsi"/>
          <w:b/>
          <w:szCs w:val="24"/>
        </w:rPr>
        <w:t xml:space="preserve">Scenario </w:t>
      </w:r>
      <w:r>
        <w:rPr>
          <w:rFonts w:asciiTheme="minorHAnsi" w:hAnsiTheme="minorHAnsi"/>
          <w:b/>
          <w:szCs w:val="24"/>
        </w:rPr>
        <w:t>4</w:t>
      </w:r>
      <w:r w:rsidRPr="002D4753">
        <w:rPr>
          <w:rFonts w:asciiTheme="minorHAnsi" w:hAnsiTheme="minorHAnsi"/>
          <w:b/>
          <w:szCs w:val="24"/>
        </w:rPr>
        <w:t xml:space="preserve"> </w:t>
      </w:r>
      <w:proofErr w:type="spellStart"/>
      <w:r w:rsidRPr="002D4753">
        <w:rPr>
          <w:rFonts w:asciiTheme="minorHAnsi" w:hAnsiTheme="minorHAnsi"/>
          <w:b/>
          <w:szCs w:val="24"/>
        </w:rPr>
        <w:t>vs</w:t>
      </w:r>
      <w:proofErr w:type="spellEnd"/>
      <w:r w:rsidRPr="002D4753">
        <w:rPr>
          <w:rFonts w:asciiTheme="minorHAnsi" w:hAnsiTheme="minorHAnsi"/>
          <w:b/>
          <w:szCs w:val="24"/>
        </w:rPr>
        <w:t xml:space="preserve"> </w:t>
      </w:r>
      <w:r>
        <w:rPr>
          <w:rFonts w:asciiTheme="minorHAnsi" w:hAnsiTheme="minorHAnsi"/>
          <w:b/>
          <w:szCs w:val="24"/>
        </w:rPr>
        <w:t>Scenario 3</w:t>
      </w:r>
      <w:r>
        <w:rPr>
          <w:rFonts w:asciiTheme="minorHAnsi" w:hAnsiTheme="minorHAnsi"/>
          <w:szCs w:val="24"/>
        </w:rPr>
        <w:t>: i.e. how uplifting costs by RPI for these data items between 2011/12 and 2012/13 affected tariffs and typical bills</w:t>
      </w:r>
    </w:p>
    <w:p w:rsidR="009826B4" w:rsidRDefault="009826B4" w:rsidP="009826B4">
      <w:pPr>
        <w:pStyle w:val="BodyText"/>
        <w:rPr>
          <w:rFonts w:asciiTheme="minorHAnsi" w:hAnsiTheme="minorHAnsi"/>
          <w:szCs w:val="24"/>
        </w:rPr>
      </w:pPr>
    </w:p>
    <w:p w:rsidR="009826B4" w:rsidRDefault="009826B4" w:rsidP="009826B4">
      <w:pPr>
        <w:pStyle w:val="BodyText"/>
        <w:rPr>
          <w:rFonts w:asciiTheme="minorHAnsi" w:hAnsiTheme="minorHAnsi"/>
          <w:szCs w:val="24"/>
        </w:rPr>
      </w:pPr>
      <w:r>
        <w:rPr>
          <w:rFonts w:asciiTheme="minorHAnsi" w:hAnsiTheme="minorHAnsi"/>
          <w:szCs w:val="24"/>
        </w:rPr>
        <w:t xml:space="preserve">The conclusions reached by the Annual Review Super-Group were that changes to the identified tables </w:t>
      </w:r>
      <w:r w:rsidR="008761A0">
        <w:rPr>
          <w:rFonts w:asciiTheme="minorHAnsi" w:hAnsiTheme="minorHAnsi"/>
          <w:szCs w:val="24"/>
        </w:rPr>
        <w:t xml:space="preserve">could </w:t>
      </w:r>
      <w:r>
        <w:rPr>
          <w:rFonts w:asciiTheme="minorHAnsi" w:hAnsiTheme="minorHAnsi"/>
          <w:szCs w:val="24"/>
        </w:rPr>
        <w:t xml:space="preserve">cause significant volatility in individual tariff rates between years as shown by the RFI data. However, </w:t>
      </w:r>
      <w:r w:rsidR="008761A0">
        <w:rPr>
          <w:rFonts w:asciiTheme="minorHAnsi" w:hAnsiTheme="minorHAnsi"/>
          <w:szCs w:val="24"/>
        </w:rPr>
        <w:t xml:space="preserve">simply </w:t>
      </w:r>
      <w:r>
        <w:rPr>
          <w:rFonts w:asciiTheme="minorHAnsi" w:hAnsiTheme="minorHAnsi"/>
          <w:szCs w:val="24"/>
        </w:rPr>
        <w:t xml:space="preserve">holding the costs constant and uplifting for inflation </w:t>
      </w:r>
      <w:r w:rsidR="00871104">
        <w:rPr>
          <w:rFonts w:asciiTheme="minorHAnsi" w:hAnsiTheme="minorHAnsi"/>
          <w:szCs w:val="24"/>
        </w:rPr>
        <w:t xml:space="preserve">each year </w:t>
      </w:r>
      <w:r>
        <w:rPr>
          <w:rFonts w:asciiTheme="minorHAnsi" w:hAnsiTheme="minorHAnsi"/>
          <w:szCs w:val="24"/>
        </w:rPr>
        <w:t xml:space="preserve">could cause </w:t>
      </w:r>
      <w:r w:rsidR="00871104">
        <w:rPr>
          <w:rFonts w:asciiTheme="minorHAnsi" w:hAnsiTheme="minorHAnsi"/>
          <w:szCs w:val="24"/>
        </w:rPr>
        <w:t xml:space="preserve">model </w:t>
      </w:r>
      <w:r>
        <w:rPr>
          <w:rFonts w:asciiTheme="minorHAnsi" w:hAnsiTheme="minorHAnsi"/>
          <w:szCs w:val="24"/>
        </w:rPr>
        <w:t xml:space="preserve">costs to deviate from true costs </w:t>
      </w:r>
      <w:r w:rsidR="008761A0">
        <w:rPr>
          <w:rFonts w:asciiTheme="minorHAnsi" w:hAnsiTheme="minorHAnsi"/>
          <w:szCs w:val="24"/>
        </w:rPr>
        <w:t>over time. DCP 136 was therefore raised with the intention of permitting annual changes in the costs of these data items, to ensure cost reflectivity was maintained, but providing 15 months notice of any changes in these data items to ensure that sufficient notice any significant impact on tariffs was provided.</w:t>
      </w:r>
    </w:p>
    <w:p w:rsidR="00FE7218" w:rsidRDefault="00FE7218"/>
    <w:sectPr w:rsidR="00FE7218" w:rsidSect="008761A0">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5927CF"/>
    <w:multiLevelType w:val="hybridMultilevel"/>
    <w:tmpl w:val="D6E24A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2B00EDF"/>
    <w:multiLevelType w:val="hybridMultilevel"/>
    <w:tmpl w:val="614C2C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E7218"/>
    <w:rsid w:val="00090FD8"/>
    <w:rsid w:val="00232B53"/>
    <w:rsid w:val="002D4753"/>
    <w:rsid w:val="007C1A4C"/>
    <w:rsid w:val="00871104"/>
    <w:rsid w:val="008761A0"/>
    <w:rsid w:val="009826B4"/>
    <w:rsid w:val="00FE721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A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7218"/>
    <w:pPr>
      <w:spacing w:after="0" w:line="240" w:lineRule="auto"/>
      <w:ind w:left="720"/>
    </w:pPr>
    <w:rPr>
      <w:rFonts w:ascii="Calibri" w:hAnsi="Calibri" w:cs="Times New Roman"/>
      <w:lang w:eastAsia="en-GB"/>
    </w:rPr>
  </w:style>
  <w:style w:type="paragraph" w:styleId="BodyText">
    <w:name w:val="Body Text"/>
    <w:basedOn w:val="Normal"/>
    <w:link w:val="BodyTextChar"/>
    <w:rsid w:val="00FE7218"/>
    <w:pPr>
      <w:spacing w:after="0" w:line="240" w:lineRule="auto"/>
      <w:jc w:val="both"/>
    </w:pPr>
    <w:rPr>
      <w:rFonts w:ascii="Arial" w:eastAsia="Times New Roman" w:hAnsi="Arial" w:cs="Times New Roman"/>
      <w:sz w:val="24"/>
      <w:szCs w:val="20"/>
      <w:lang w:eastAsia="en-GB" w:bidi="en-US"/>
    </w:rPr>
  </w:style>
  <w:style w:type="character" w:customStyle="1" w:styleId="BodyTextChar">
    <w:name w:val="Body Text Char"/>
    <w:basedOn w:val="DefaultParagraphFont"/>
    <w:link w:val="BodyText"/>
    <w:rsid w:val="00FE7218"/>
    <w:rPr>
      <w:rFonts w:ascii="Arial" w:eastAsia="Times New Roman" w:hAnsi="Arial" w:cs="Times New Roman"/>
      <w:sz w:val="24"/>
      <w:szCs w:val="20"/>
      <w:lang w:eastAsia="en-GB" w:bidi="en-US"/>
    </w:rPr>
  </w:style>
</w:styles>
</file>

<file path=word/webSettings.xml><?xml version="1.0" encoding="utf-8"?>
<w:webSettings xmlns:r="http://schemas.openxmlformats.org/officeDocument/2006/relationships" xmlns:w="http://schemas.openxmlformats.org/wordprocessingml/2006/main">
  <w:divs>
    <w:div w:id="1260135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435</Words>
  <Characters>2481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Centrica plc</Company>
  <LinksUpToDate>false</LinksUpToDate>
  <CharactersWithSpaces>2911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Moran</dc:creator>
  <cp:keywords/>
  <dc:description/>
  <cp:lastModifiedBy>Moran</cp:lastModifiedBy>
  <cp:revision>2</cp:revision>
  <dcterms:created xsi:type="dcterms:W3CDTF">2012-10-22T07:51:00Z</dcterms:created>
  <dcterms:modified xsi:type="dcterms:W3CDTF">2012-10-22T08:33:00Z</dcterms:modified>
</cp:coreProperties>
</file>