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0854F0">
        <w:rPr>
          <w:b/>
          <w:sz w:val="20"/>
          <w:szCs w:val="20"/>
        </w:rPr>
        <w:t>B</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0854F0">
        <w:rPr>
          <w:rFonts w:ascii="Verdana" w:hAnsi="Verdana"/>
          <w:sz w:val="20"/>
          <w:szCs w:val="20"/>
        </w:rPr>
        <w:t>Alexander Burford</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C278FA" w:rsidP="00F339E1">
            <w:pPr>
              <w:pStyle w:val="Heading2"/>
              <w:keepNext w:val="0"/>
              <w:widowControl w:val="0"/>
              <w:numPr>
                <w:ilvl w:val="0"/>
                <w:numId w:val="0"/>
              </w:numPr>
              <w:spacing w:line="360" w:lineRule="auto"/>
              <w:rPr>
                <w:b/>
                <w:sz w:val="20"/>
                <w:szCs w:val="20"/>
              </w:rPr>
            </w:pPr>
            <w:r w:rsidRPr="00C278FA">
              <w:rPr>
                <w:b/>
                <w:sz w:val="20"/>
                <w:szCs w:val="20"/>
              </w:rPr>
              <w:t>Do you understand the intent of the CP?</w:t>
            </w:r>
          </w:p>
        </w:tc>
      </w:tr>
      <w:tr w:rsidR="00B60837" w:rsidRPr="0037273A" w:rsidTr="00DF62D5">
        <w:tc>
          <w:tcPr>
            <w:tcW w:w="8528" w:type="dxa"/>
          </w:tcPr>
          <w:p w:rsidR="00883258" w:rsidRDefault="00883258" w:rsidP="000854F0">
            <w:pPr>
              <w:spacing w:before="240" w:afterLines="60" w:line="360" w:lineRule="auto"/>
              <w:jc w:val="both"/>
              <w:rPr>
                <w:rFonts w:ascii="Verdana" w:hAnsi="Verdana" w:cs="Arial"/>
                <w:sz w:val="20"/>
                <w:szCs w:val="20"/>
              </w:rPr>
            </w:pPr>
          </w:p>
          <w:p w:rsidR="000854F0" w:rsidRPr="0037273A" w:rsidRDefault="000854F0" w:rsidP="000854F0">
            <w:pPr>
              <w:spacing w:before="240" w:afterLines="60" w:line="360" w:lineRule="auto"/>
              <w:jc w:val="both"/>
              <w:rPr>
                <w:rFonts w:ascii="Verdana" w:hAnsi="Verdana" w:cs="Arial"/>
                <w:sz w:val="20"/>
                <w:szCs w:val="20"/>
              </w:rPr>
            </w:pPr>
          </w:p>
          <w:p w:rsidR="004868E6" w:rsidRPr="0037273A" w:rsidRDefault="004868E6" w:rsidP="000854F0">
            <w:pPr>
              <w:spacing w:before="240" w:afterLines="60" w:line="360" w:lineRule="auto"/>
              <w:jc w:val="both"/>
              <w:rPr>
                <w:rFonts w:ascii="Verdana" w:hAnsi="Verdana" w:cs="Arial"/>
                <w:sz w:val="20"/>
                <w:szCs w:val="20"/>
              </w:rPr>
            </w:pPr>
          </w:p>
        </w:tc>
      </w:tr>
    </w:tbl>
    <w:p w:rsidR="00B60837" w:rsidRPr="0037273A" w:rsidRDefault="00B60837" w:rsidP="000854F0">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C278FA" w:rsidP="0037273A">
            <w:pPr>
              <w:pStyle w:val="Heading2"/>
              <w:keepNext w:val="0"/>
              <w:widowControl w:val="0"/>
              <w:numPr>
                <w:ilvl w:val="0"/>
                <w:numId w:val="0"/>
              </w:numPr>
              <w:spacing w:line="360" w:lineRule="auto"/>
              <w:rPr>
                <w:b/>
                <w:sz w:val="20"/>
                <w:szCs w:val="20"/>
              </w:rPr>
            </w:pPr>
            <w:r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p w:rsidR="00C278FA" w:rsidRPr="004868E6" w:rsidRDefault="00C278FA"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E053B9">
            <w:pPr>
              <w:pStyle w:val="Heading2"/>
              <w:keepNext w:val="0"/>
              <w:widowControl w:val="0"/>
              <w:numPr>
                <w:ilvl w:val="0"/>
                <w:numId w:val="0"/>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0854F0" w:rsidP="003620F3">
            <w:pPr>
              <w:rPr>
                <w:rFonts w:ascii="Verdana" w:hAnsi="Verdana"/>
                <w:sz w:val="20"/>
                <w:szCs w:val="20"/>
                <w:u w:val="single"/>
              </w:rPr>
            </w:pPr>
            <w:r>
              <w:rPr>
                <w:rFonts w:ascii="Verdana" w:hAnsi="Verdana"/>
                <w:sz w:val="20"/>
                <w:szCs w:val="20"/>
                <w:u w:val="single"/>
              </w:rPr>
              <w:t>Charging</w:t>
            </w:r>
            <w:r w:rsidR="003620F3" w:rsidRPr="00576C56">
              <w:rPr>
                <w:rFonts w:ascii="Verdana" w:hAnsi="Verdana"/>
                <w:sz w:val="20"/>
                <w:szCs w:val="20"/>
                <w:u w:val="single"/>
              </w:rPr>
              <w:t xml:space="preserve">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w:t>
            </w:r>
            <w:r w:rsidR="003620F3"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0854F0" w:rsidRDefault="000854F0" w:rsidP="000854F0">
            <w:pPr>
              <w:spacing w:after="200" w:line="360" w:lineRule="auto"/>
              <w:contextualSpacing/>
              <w:rPr>
                <w:rFonts w:ascii="Verdana" w:hAnsi="Verdana"/>
                <w:sz w:val="20"/>
                <w:szCs w:val="20"/>
              </w:rPr>
            </w:pPr>
            <w:r w:rsidRPr="000854F0">
              <w:rPr>
                <w:rFonts w:ascii="Verdana" w:hAnsi="Verdana" w:cs="Arial"/>
                <w:b/>
                <w:bCs/>
                <w:iCs/>
                <w:sz w:val="20"/>
                <w:szCs w:val="20"/>
              </w:rPr>
              <w:t>Do you have any comments on the proposed legal text?</w:t>
            </w:r>
          </w:p>
        </w:tc>
      </w:tr>
      <w:tr w:rsidR="00B60837" w:rsidRPr="004868E6" w:rsidTr="00C529E4">
        <w:trPr>
          <w:trHeight w:val="1611"/>
        </w:trPr>
        <w:tc>
          <w:tcPr>
            <w:tcW w:w="8528" w:type="dxa"/>
          </w:tcPr>
          <w:p w:rsidR="00B60837" w:rsidRPr="000854F0" w:rsidRDefault="00B60837" w:rsidP="000854F0">
            <w:pPr>
              <w:spacing w:after="200" w:line="360" w:lineRule="auto"/>
              <w:contextualSpacing/>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0854F0" w:rsidRDefault="000854F0" w:rsidP="000854F0">
            <w:pPr>
              <w:spacing w:after="200" w:line="360" w:lineRule="auto"/>
              <w:contextualSpacing/>
              <w:rPr>
                <w:rFonts w:ascii="Verdana" w:hAnsi="Verdana" w:cs="Arial"/>
                <w:b/>
                <w:bCs/>
                <w:iCs/>
                <w:sz w:val="20"/>
                <w:szCs w:val="20"/>
              </w:rPr>
            </w:pPr>
            <w:r w:rsidRPr="000854F0">
              <w:rPr>
                <w:rFonts w:ascii="Verdana" w:hAnsi="Verdana" w:cs="Arial"/>
                <w:b/>
                <w:bCs/>
                <w:iCs/>
                <w:sz w:val="20"/>
                <w:szCs w:val="20"/>
              </w:rPr>
              <w:t xml:space="preserve">The Working Group is concerned that the 15 month time period may be </w:t>
            </w:r>
            <w:r w:rsidRPr="000854F0">
              <w:rPr>
                <w:rFonts w:ascii="Verdana" w:hAnsi="Verdana" w:cs="Arial"/>
                <w:b/>
                <w:bCs/>
                <w:iCs/>
                <w:sz w:val="20"/>
                <w:szCs w:val="20"/>
              </w:rPr>
              <w:lastRenderedPageBreak/>
              <w:t>excessive and will prevent new data that becomes available from being used which will reduce cost reflectivity. Do you agree with the working group assessment? Please provide rational.</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0854F0" w:rsidRPr="000854F0" w:rsidRDefault="000854F0" w:rsidP="000854F0">
            <w:pPr>
              <w:spacing w:after="200" w:line="360" w:lineRule="auto"/>
              <w:contextualSpacing/>
              <w:rPr>
                <w:rFonts w:ascii="Verdana" w:hAnsi="Verdana" w:cs="Arial"/>
                <w:b/>
                <w:bCs/>
                <w:iCs/>
                <w:sz w:val="20"/>
                <w:szCs w:val="20"/>
              </w:rPr>
            </w:pPr>
            <w:r w:rsidRPr="000854F0">
              <w:rPr>
                <w:rFonts w:ascii="Verdana" w:hAnsi="Verdana" w:cs="Arial"/>
                <w:b/>
                <w:bCs/>
                <w:iCs/>
                <w:sz w:val="20"/>
                <w:szCs w:val="20"/>
              </w:rPr>
              <w:t xml:space="preserve">The Working Group is concerned that to publish asset cost Information 15 months in advance will require publication towards the end of December, which will be the same time as indication </w:t>
            </w:r>
            <w:proofErr w:type="spellStart"/>
            <w:r w:rsidRPr="000854F0">
              <w:rPr>
                <w:rFonts w:ascii="Verdana" w:hAnsi="Verdana" w:cs="Arial"/>
                <w:b/>
                <w:bCs/>
                <w:iCs/>
                <w:sz w:val="20"/>
                <w:szCs w:val="20"/>
              </w:rPr>
              <w:t>DUoS</w:t>
            </w:r>
            <w:proofErr w:type="spellEnd"/>
            <w:r w:rsidRPr="000854F0">
              <w:rPr>
                <w:rFonts w:ascii="Verdana" w:hAnsi="Verdana" w:cs="Arial"/>
                <w:b/>
                <w:bCs/>
                <w:iCs/>
                <w:sz w:val="20"/>
                <w:szCs w:val="20"/>
              </w:rPr>
              <w:t xml:space="preserve"> charges are being prepared and published to parties for the following April. This is already a particularly busy time of year for </w:t>
            </w:r>
            <w:proofErr w:type="spellStart"/>
            <w:r w:rsidRPr="000854F0">
              <w:rPr>
                <w:rFonts w:ascii="Verdana" w:hAnsi="Verdana" w:cs="Arial"/>
                <w:b/>
                <w:bCs/>
                <w:iCs/>
                <w:sz w:val="20"/>
                <w:szCs w:val="20"/>
              </w:rPr>
              <w:t>DNOs</w:t>
            </w:r>
            <w:proofErr w:type="spellEnd"/>
            <w:r w:rsidRPr="000854F0">
              <w:rPr>
                <w:rFonts w:ascii="Verdana" w:hAnsi="Verdana" w:cs="Arial"/>
                <w:b/>
                <w:bCs/>
                <w:iCs/>
                <w:sz w:val="20"/>
                <w:szCs w:val="20"/>
              </w:rPr>
              <w:t xml:space="preserve"> and may significantly increase the risk of errors occurring in either the future asset costs or the indicative charges. Other options that could be considered are either a minimum of 12 or 18 months notice which are both away from any other pricing publications. </w:t>
            </w:r>
          </w:p>
          <w:p w:rsidR="000854F0" w:rsidRDefault="000854F0" w:rsidP="000854F0">
            <w:pPr>
              <w:pStyle w:val="ListParagraph"/>
              <w:numPr>
                <w:ilvl w:val="1"/>
                <w:numId w:val="38"/>
              </w:numPr>
              <w:spacing w:after="200" w:line="360" w:lineRule="auto"/>
              <w:contextualSpacing/>
              <w:rPr>
                <w:rFonts w:ascii="Verdana" w:hAnsi="Verdana"/>
                <w:sz w:val="20"/>
                <w:szCs w:val="20"/>
              </w:rPr>
            </w:pPr>
            <w:r w:rsidRPr="0044164E">
              <w:rPr>
                <w:rFonts w:ascii="Verdana" w:hAnsi="Verdana"/>
                <w:sz w:val="20"/>
                <w:szCs w:val="20"/>
              </w:rPr>
              <w:t xml:space="preserve">Do you agree with either of these proposed alternatives? </w:t>
            </w:r>
          </w:p>
          <w:p w:rsidR="000854F0" w:rsidRPr="00A53737" w:rsidRDefault="000854F0" w:rsidP="000854F0">
            <w:pPr>
              <w:pStyle w:val="ListParagraph"/>
              <w:numPr>
                <w:ilvl w:val="1"/>
                <w:numId w:val="38"/>
              </w:numPr>
              <w:spacing w:after="200" w:line="360" w:lineRule="auto"/>
              <w:contextualSpacing/>
              <w:rPr>
                <w:rFonts w:ascii="Verdana" w:hAnsi="Verdana"/>
                <w:sz w:val="20"/>
                <w:szCs w:val="20"/>
              </w:rPr>
            </w:pPr>
            <w:r w:rsidRPr="00A53737">
              <w:rPr>
                <w:rFonts w:ascii="Verdana" w:hAnsi="Verdana"/>
                <w:sz w:val="20"/>
                <w:szCs w:val="20"/>
              </w:rPr>
              <w:t>If yes, would this cause any foreseeable problems for fulfilment of the DCUSA objectives, or wider repercussions for the industry and consumers, that would be mitigated by having a 15 month p</w:t>
            </w:r>
            <w:r>
              <w:rPr>
                <w:rFonts w:ascii="Verdana" w:hAnsi="Verdana"/>
                <w:sz w:val="20"/>
                <w:szCs w:val="20"/>
              </w:rPr>
              <w:t>eriod?</w:t>
            </w:r>
          </w:p>
          <w:p w:rsidR="003D3263" w:rsidRPr="000854F0" w:rsidRDefault="000854F0" w:rsidP="000854F0">
            <w:pPr>
              <w:pStyle w:val="ListParagraph"/>
              <w:numPr>
                <w:ilvl w:val="1"/>
                <w:numId w:val="38"/>
              </w:numPr>
              <w:spacing w:after="200" w:line="360" w:lineRule="auto"/>
              <w:contextualSpacing/>
              <w:rPr>
                <w:rFonts w:ascii="Verdana" w:hAnsi="Verdana"/>
                <w:sz w:val="20"/>
                <w:szCs w:val="20"/>
              </w:rPr>
            </w:pPr>
            <w:r w:rsidRPr="0044164E">
              <w:rPr>
                <w:rFonts w:ascii="Verdana" w:hAnsi="Verdana"/>
                <w:sz w:val="20"/>
                <w:szCs w:val="20"/>
              </w:rPr>
              <w:t>If you believe that 12 or 18 months are not suitable is there an alternative that you would suggest?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CB11AD">
      <w:pPr>
        <w:spacing w:before="240" w:after="120"/>
        <w:jc w:val="both"/>
        <w:rPr>
          <w:rFonts w:ascii="Verdana" w:hAnsi="Verdana" w:cs="Arial"/>
          <w:b/>
          <w:sz w:val="20"/>
          <w:szCs w:val="20"/>
        </w:rPr>
      </w:pPr>
    </w:p>
    <w:p w:rsidR="00CB11AD" w:rsidRPr="004868E6" w:rsidRDefault="00CB11AD" w:rsidP="00CB11AD">
      <w:pPr>
        <w:spacing w:before="240"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0854F0" w:rsidRDefault="000854F0" w:rsidP="000854F0">
            <w:pPr>
              <w:spacing w:after="200" w:line="360" w:lineRule="auto"/>
              <w:contextualSpacing/>
              <w:rPr>
                <w:rFonts w:ascii="Verdana" w:hAnsi="Verdana"/>
                <w:sz w:val="20"/>
                <w:szCs w:val="20"/>
              </w:rPr>
            </w:pPr>
            <w:r w:rsidRPr="000854F0">
              <w:rPr>
                <w:rFonts w:ascii="Verdana" w:hAnsi="Verdana" w:cs="Arial"/>
                <w:b/>
                <w:bCs/>
                <w:iCs/>
                <w:sz w:val="20"/>
                <w:szCs w:val="20"/>
              </w:rPr>
              <w:t>Where a change to the CDCM asset related cost table inputs is required by a modification to DCUSA (for example, DCP 133 ‘500MW Network Common Model for CDCM Input’) do you believe that the 15 month notice period should still apply?</w:t>
            </w:r>
            <w:r w:rsidRPr="000854F0">
              <w:rPr>
                <w:rFonts w:ascii="Verdana" w:hAnsi="Verdana"/>
                <w:sz w:val="20"/>
                <w:szCs w:val="20"/>
              </w:rPr>
              <w:t xml:space="preserve"> </w:t>
            </w:r>
          </w:p>
        </w:tc>
      </w:tr>
      <w:tr w:rsidR="00B60837" w:rsidRPr="004868E6" w:rsidTr="00C529E4">
        <w:trPr>
          <w:trHeight w:val="1611"/>
        </w:trPr>
        <w:tc>
          <w:tcPr>
            <w:tcW w:w="8528" w:type="dxa"/>
          </w:tcPr>
          <w:p w:rsidR="00B60837" w:rsidRDefault="00B60837" w:rsidP="009C54DE">
            <w:pPr>
              <w:spacing w:after="120"/>
              <w:jc w:val="both"/>
              <w:rPr>
                <w:rFonts w:ascii="Verdana" w:hAnsi="Verdana" w:cs="Arial"/>
                <w:b/>
                <w:sz w:val="20"/>
                <w:szCs w:val="20"/>
              </w:rPr>
            </w:pPr>
          </w:p>
          <w:p w:rsidR="00CB11AD" w:rsidRPr="004868E6" w:rsidRDefault="00CB11AD" w:rsidP="009C54DE">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C278FA" w:rsidRPr="001E5E7C" w:rsidRDefault="000854F0" w:rsidP="000854F0">
            <w:pPr>
              <w:spacing w:after="200" w:line="360" w:lineRule="auto"/>
              <w:contextualSpacing/>
              <w:rPr>
                <w:b/>
                <w:sz w:val="18"/>
                <w:szCs w:val="20"/>
              </w:rPr>
            </w:pPr>
            <w:r w:rsidRPr="000854F0">
              <w:rPr>
                <w:rFonts w:ascii="Verdana" w:hAnsi="Verdana" w:cs="Arial"/>
                <w:b/>
                <w:bCs/>
                <w:iCs/>
                <w:sz w:val="20"/>
                <w:szCs w:val="20"/>
              </w:rPr>
              <w:t>Are you aware of any wider industry developments that may impact upon or be impacted by this CP?  If so, please give details, and comment on whether the benefit of the change may outweigh the potential impact and whether the duration of the change is likely to be limited.</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0854F0" w:rsidRPr="000854F0" w:rsidRDefault="000854F0" w:rsidP="000854F0">
            <w:pPr>
              <w:spacing w:after="200" w:line="360" w:lineRule="auto"/>
              <w:contextualSpacing/>
              <w:rPr>
                <w:rFonts w:ascii="Verdana" w:hAnsi="Verdana" w:cs="Arial"/>
                <w:b/>
                <w:bCs/>
                <w:iCs/>
                <w:sz w:val="20"/>
                <w:szCs w:val="20"/>
              </w:rPr>
            </w:pPr>
            <w:r w:rsidRPr="000854F0">
              <w:rPr>
                <w:rFonts w:ascii="Verdana" w:hAnsi="Verdana" w:cs="Arial"/>
                <w:b/>
                <w:bCs/>
                <w:iCs/>
                <w:sz w:val="20"/>
                <w:szCs w:val="20"/>
              </w:rPr>
              <w:t>Do you have any other comments?</w:t>
            </w:r>
          </w:p>
          <w:p w:rsidR="008D3849" w:rsidRPr="001E5E7C" w:rsidRDefault="008D3849" w:rsidP="001E5E7C">
            <w:pPr>
              <w:spacing w:before="120" w:after="120" w:line="360" w:lineRule="auto"/>
              <w:rPr>
                <w:rFonts w:ascii="Verdana" w:hAnsi="Verdana"/>
                <w:b/>
                <w:sz w:val="20"/>
                <w:szCs w:val="20"/>
              </w:rPr>
            </w:pP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786383" w:rsidRDefault="00786383" w:rsidP="000854F0">
      <w:pPr>
        <w:spacing w:after="200" w:line="360" w:lineRule="auto"/>
        <w:contextualSpacing/>
        <w:rPr>
          <w:rFonts w:ascii="Verdana" w:hAnsi="Verdana" w:cs="Arial"/>
          <w:b/>
          <w:sz w:val="20"/>
          <w:szCs w:val="20"/>
        </w:rPr>
      </w:pPr>
    </w:p>
    <w:p w:rsidR="00786383" w:rsidRDefault="00786383"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0854F0">
        <w:rPr>
          <w:rFonts w:ascii="Verdana" w:hAnsi="Verdana" w:cs="Arial"/>
          <w:b/>
          <w:sz w:val="20"/>
          <w:szCs w:val="20"/>
        </w:rPr>
        <w:t>21</w:t>
      </w:r>
      <w:r w:rsidR="008D3849">
        <w:rPr>
          <w:rFonts w:ascii="Verdana" w:hAnsi="Verdana" w:cs="Arial"/>
          <w:b/>
          <w:sz w:val="20"/>
          <w:szCs w:val="20"/>
        </w:rPr>
        <w:t xml:space="preserve"> August 2012.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482B86">
    <w:pPr>
      <w:pStyle w:val="Footer"/>
      <w:rPr>
        <w:rFonts w:ascii="Verdana" w:hAnsi="Verdana"/>
        <w:sz w:val="16"/>
        <w:szCs w:val="16"/>
      </w:rPr>
    </w:pPr>
    <w:r>
      <w:rPr>
        <w:rFonts w:ascii="Verdana" w:hAnsi="Verdana"/>
        <w:sz w:val="16"/>
        <w:szCs w:val="16"/>
      </w:rPr>
      <w:t>3</w:t>
    </w:r>
    <w:r w:rsidR="000854F0">
      <w:rPr>
        <w:rFonts w:ascii="Verdana" w:hAnsi="Verdana"/>
        <w:sz w:val="16"/>
        <w:szCs w:val="16"/>
      </w:rPr>
      <w:t>1</w:t>
    </w:r>
    <w:r w:rsidR="006E621C">
      <w:rPr>
        <w:rFonts w:ascii="Verdana" w:hAnsi="Verdana"/>
        <w:sz w:val="16"/>
        <w:szCs w:val="16"/>
      </w:rPr>
      <w:t xml:space="preserve"> July</w:t>
    </w:r>
    <w:r w:rsidR="00813CAC">
      <w:rPr>
        <w:rFonts w:ascii="Verdana" w:hAnsi="Verdana"/>
        <w:sz w:val="16"/>
        <w:szCs w:val="16"/>
      </w:rPr>
      <w:t xml:space="preserve"> 2012</w:t>
    </w:r>
    <w:r w:rsidR="00DF6C61" w:rsidRPr="001D2E58">
      <w:rPr>
        <w:rFonts w:ascii="Verdana" w:hAnsi="Verdana"/>
        <w:sz w:val="16"/>
        <w:szCs w:val="16"/>
      </w:rPr>
      <w:tab/>
      <w:t xml:space="preserve">Page </w:t>
    </w:r>
    <w:r w:rsidR="00103269"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103269" w:rsidRPr="001D2E58">
      <w:rPr>
        <w:rFonts w:ascii="Verdana" w:hAnsi="Verdana"/>
        <w:sz w:val="16"/>
        <w:szCs w:val="16"/>
      </w:rPr>
      <w:fldChar w:fldCharType="separate"/>
    </w:r>
    <w:r w:rsidR="000854F0">
      <w:rPr>
        <w:rFonts w:ascii="Verdana" w:hAnsi="Verdana"/>
        <w:noProof/>
        <w:sz w:val="16"/>
        <w:szCs w:val="16"/>
      </w:rPr>
      <w:t>1</w:t>
    </w:r>
    <w:r w:rsidR="00103269" w:rsidRPr="001D2E58">
      <w:rPr>
        <w:rFonts w:ascii="Verdana" w:hAnsi="Verdana"/>
        <w:sz w:val="16"/>
        <w:szCs w:val="16"/>
      </w:rPr>
      <w:fldChar w:fldCharType="end"/>
    </w:r>
    <w:r w:rsidR="00DF6C61" w:rsidRPr="001D2E58">
      <w:rPr>
        <w:rFonts w:ascii="Verdana" w:hAnsi="Verdana"/>
        <w:sz w:val="16"/>
        <w:szCs w:val="16"/>
      </w:rPr>
      <w:t xml:space="preserve"> of </w:t>
    </w:r>
    <w:r w:rsidR="00103269"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103269" w:rsidRPr="001D2E58">
      <w:rPr>
        <w:rFonts w:ascii="Verdana" w:hAnsi="Verdana"/>
        <w:sz w:val="16"/>
        <w:szCs w:val="16"/>
      </w:rPr>
      <w:fldChar w:fldCharType="separate"/>
    </w:r>
    <w:r w:rsidR="000854F0">
      <w:rPr>
        <w:rFonts w:ascii="Verdana" w:hAnsi="Verdana"/>
        <w:noProof/>
        <w:sz w:val="16"/>
        <w:szCs w:val="16"/>
      </w:rPr>
      <w:t>4</w:t>
    </w:r>
    <w:r w:rsidR="00103269"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33E08">
      <w:rPr>
        <w:rFonts w:ascii="Verdana" w:hAnsi="Verdana"/>
        <w:sz w:val="16"/>
        <w:szCs w:val="16"/>
      </w:rPr>
      <w:t>13</w:t>
    </w:r>
    <w:r w:rsidR="000854F0">
      <w:rPr>
        <w:rFonts w:ascii="Verdana" w:hAnsi="Verdana"/>
        <w:sz w:val="16"/>
        <w:szCs w:val="16"/>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9B2913"/>
    <w:multiLevelType w:val="hybridMultilevel"/>
    <w:tmpl w:val="F894E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6B63C3"/>
    <w:multiLevelType w:val="hybridMultilevel"/>
    <w:tmpl w:val="D2546D68"/>
    <w:lvl w:ilvl="0" w:tplc="B4B0536E">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360"/>
        </w:tabs>
        <w:ind w:left="360" w:hanging="360"/>
      </w:pPr>
      <w:rPr>
        <w:rFonts w:ascii="Wingdings" w:hAnsi="Wingdings" w:hint="default"/>
      </w:rPr>
    </w:lvl>
    <w:lvl w:ilvl="3" w:tplc="08090001" w:tentative="1">
      <w:start w:val="1"/>
      <w:numFmt w:val="bullet"/>
      <w:lvlText w:val=""/>
      <w:lvlJc w:val="left"/>
      <w:pPr>
        <w:tabs>
          <w:tab w:val="num" w:pos="1080"/>
        </w:tabs>
        <w:ind w:left="1080" w:hanging="360"/>
      </w:pPr>
      <w:rPr>
        <w:rFonts w:ascii="Symbol" w:hAnsi="Symbol" w:hint="default"/>
      </w:rPr>
    </w:lvl>
    <w:lvl w:ilvl="4" w:tplc="08090003" w:tentative="1">
      <w:start w:val="1"/>
      <w:numFmt w:val="bullet"/>
      <w:lvlText w:val="o"/>
      <w:lvlJc w:val="left"/>
      <w:pPr>
        <w:tabs>
          <w:tab w:val="num" w:pos="1800"/>
        </w:tabs>
        <w:ind w:left="1800" w:hanging="360"/>
      </w:pPr>
      <w:rPr>
        <w:rFonts w:ascii="Courier New" w:hAnsi="Courier New" w:cs="Courier New" w:hint="default"/>
      </w:rPr>
    </w:lvl>
    <w:lvl w:ilvl="5" w:tplc="08090005" w:tentative="1">
      <w:start w:val="1"/>
      <w:numFmt w:val="bullet"/>
      <w:lvlText w:val=""/>
      <w:lvlJc w:val="left"/>
      <w:pPr>
        <w:tabs>
          <w:tab w:val="num" w:pos="2520"/>
        </w:tabs>
        <w:ind w:left="2520" w:hanging="360"/>
      </w:pPr>
      <w:rPr>
        <w:rFonts w:ascii="Wingdings" w:hAnsi="Wingdings" w:hint="default"/>
      </w:rPr>
    </w:lvl>
    <w:lvl w:ilvl="6" w:tplc="08090001" w:tentative="1">
      <w:start w:val="1"/>
      <w:numFmt w:val="bullet"/>
      <w:lvlText w:val=""/>
      <w:lvlJc w:val="left"/>
      <w:pPr>
        <w:tabs>
          <w:tab w:val="num" w:pos="3240"/>
        </w:tabs>
        <w:ind w:left="3240" w:hanging="360"/>
      </w:pPr>
      <w:rPr>
        <w:rFonts w:ascii="Symbol" w:hAnsi="Symbol" w:hint="default"/>
      </w:rPr>
    </w:lvl>
    <w:lvl w:ilvl="7" w:tplc="08090003" w:tentative="1">
      <w:start w:val="1"/>
      <w:numFmt w:val="bullet"/>
      <w:lvlText w:val="o"/>
      <w:lvlJc w:val="left"/>
      <w:pPr>
        <w:tabs>
          <w:tab w:val="num" w:pos="3960"/>
        </w:tabs>
        <w:ind w:left="3960" w:hanging="360"/>
      </w:pPr>
      <w:rPr>
        <w:rFonts w:ascii="Courier New" w:hAnsi="Courier New" w:cs="Courier New" w:hint="default"/>
      </w:rPr>
    </w:lvl>
    <w:lvl w:ilvl="8" w:tplc="08090005" w:tentative="1">
      <w:start w:val="1"/>
      <w:numFmt w:val="bullet"/>
      <w:lvlText w:val=""/>
      <w:lvlJc w:val="left"/>
      <w:pPr>
        <w:tabs>
          <w:tab w:val="num" w:pos="4680"/>
        </w:tabs>
        <w:ind w:left="4680" w:hanging="360"/>
      </w:pPr>
      <w:rPr>
        <w:rFonts w:ascii="Wingdings" w:hAnsi="Wingdings" w:hint="default"/>
      </w:rPr>
    </w:lvl>
  </w:abstractNum>
  <w:abstractNum w:abstractNumId="15">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num>
  <w:num w:numId="3">
    <w:abstractNumId w:val="8"/>
  </w:num>
  <w:num w:numId="4">
    <w:abstractNumId w:val="4"/>
  </w:num>
  <w:num w:numId="5">
    <w:abstractNumId w:val="7"/>
  </w:num>
  <w:num w:numId="6">
    <w:abstractNumId w:val="10"/>
  </w:num>
  <w:num w:numId="7">
    <w:abstractNumId w:val="0"/>
  </w:num>
  <w:num w:numId="8">
    <w:abstractNumId w:val="2"/>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
  </w:num>
  <w:num w:numId="25">
    <w:abstractNumId w:val="10"/>
  </w:num>
  <w:num w:numId="26">
    <w:abstractNumId w:val="11"/>
  </w:num>
  <w:num w:numId="27">
    <w:abstractNumId w:val="10"/>
  </w:num>
  <w:num w:numId="28">
    <w:abstractNumId w:val="9"/>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3"/>
  </w:num>
  <w:num w:numId="32">
    <w:abstractNumId w:val="12"/>
  </w:num>
  <w:num w:numId="33">
    <w:abstractNumId w:val="5"/>
  </w:num>
  <w:num w:numId="34">
    <w:abstractNumId w:val="10"/>
  </w:num>
  <w:num w:numId="35">
    <w:abstractNumId w:val="10"/>
  </w:num>
  <w:num w:numId="36">
    <w:abstractNumId w:val="10"/>
  </w:num>
  <w:num w:numId="37">
    <w:abstractNumId w:val="1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54F0"/>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69"/>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404B"/>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E5E7C"/>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2B8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0FE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621C"/>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383"/>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849"/>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AF570F"/>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6E75"/>
    <w:rsid w:val="00B27C6D"/>
    <w:rsid w:val="00B309F4"/>
    <w:rsid w:val="00B30CF0"/>
    <w:rsid w:val="00B332DA"/>
    <w:rsid w:val="00B36483"/>
    <w:rsid w:val="00B42DA1"/>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9F6"/>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11AD"/>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34"/>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 w:type="paragraph" w:styleId="FootnoteText">
    <w:name w:val="footnote text"/>
    <w:basedOn w:val="Normal"/>
    <w:link w:val="FootnoteTextChar"/>
    <w:semiHidden/>
    <w:rsid w:val="00786383"/>
    <w:rPr>
      <w:sz w:val="20"/>
      <w:szCs w:val="20"/>
    </w:rPr>
  </w:style>
  <w:style w:type="character" w:customStyle="1" w:styleId="FootnoteTextChar">
    <w:name w:val="Footnote Text Char"/>
    <w:basedOn w:val="DefaultParagraphFont"/>
    <w:link w:val="FootnoteText"/>
    <w:semiHidden/>
    <w:rsid w:val="00786383"/>
    <w:rPr>
      <w:sz w:val="20"/>
      <w:szCs w:val="20"/>
    </w:rPr>
  </w:style>
  <w:style w:type="character" w:styleId="FootnoteReference">
    <w:name w:val="footnote reference"/>
    <w:basedOn w:val="DefaultParagraphFont"/>
    <w:semiHidden/>
    <w:rsid w:val="00786383"/>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690</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burforda</cp:lastModifiedBy>
  <cp:revision>31</cp:revision>
  <cp:lastPrinted>2011-09-01T16:02:00Z</cp:lastPrinted>
  <dcterms:created xsi:type="dcterms:W3CDTF">2011-09-20T14:27:00Z</dcterms:created>
  <dcterms:modified xsi:type="dcterms:W3CDTF">2012-07-31T14:14:00Z</dcterms:modified>
</cp:coreProperties>
</file>