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AC58D4">
        <w:rPr>
          <w:rFonts w:ascii="Verdana" w:hAnsi="Verdana" w:cs="Times New Roman"/>
          <w:sz w:val="20"/>
          <w:szCs w:val="20"/>
        </w:rPr>
        <w:t xml:space="preserve"> – DCP 153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320B7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862512">
              <w:rPr>
                <w:rFonts w:ascii="Verdana" w:hAnsi="Verdana" w:cs="Microsoft Sans Serif"/>
                <w:sz w:val="20"/>
                <w:szCs w:val="20"/>
              </w:rPr>
              <w:t>77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862512" w:rsidP="00E2204D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862512">
              <w:rPr>
                <w:rFonts w:ascii="Verdana" w:hAnsi="Verdana"/>
                <w:sz w:val="20"/>
                <w:szCs w:val="20"/>
              </w:rPr>
              <w:t>Housekeeping Change Relating to DCP 127 to Allow Gas Suppliers Accession to DCUSA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862512" w:rsidP="0086251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First Release Following Approval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2A3A19" w:rsidP="002A3A1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 August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2A3A19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18 July</w:t>
    </w:r>
    <w:r w:rsidR="00320B7A">
      <w:rPr>
        <w:rFonts w:ascii="Verdana" w:hAnsi="Verdana"/>
        <w:sz w:val="16"/>
      </w:rPr>
      <w:t xml:space="preserve"> 2013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862512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595DA2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595DA2" w:rsidRPr="00266E0A">
      <w:rPr>
        <w:rStyle w:val="PageNumber"/>
        <w:rFonts w:ascii="Verdana" w:hAnsi="Verdana"/>
        <w:sz w:val="16"/>
      </w:rPr>
      <w:fldChar w:fldCharType="separate"/>
    </w:r>
    <w:r w:rsidR="00862512">
      <w:rPr>
        <w:rStyle w:val="PageNumber"/>
        <w:rFonts w:ascii="Verdana" w:hAnsi="Verdana"/>
        <w:noProof/>
        <w:sz w:val="16"/>
      </w:rPr>
      <w:t>1</w:t>
    </w:r>
    <w:r w:rsidR="00595DA2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862512">
      <w:rPr>
        <w:rFonts w:ascii="Verdana" w:hAnsi="Verdana"/>
        <w:sz w:val="16"/>
      </w:rPr>
      <w:t>77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3A19"/>
    <w:rsid w:val="002A41C1"/>
    <w:rsid w:val="002D08EB"/>
    <w:rsid w:val="002E1A57"/>
    <w:rsid w:val="002F6C6A"/>
    <w:rsid w:val="003068D0"/>
    <w:rsid w:val="00320B7A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95DA2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2512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C58D4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4A6A8-0C45-4A76-8121-2B958173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512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Working Group Comment</cp:lastModifiedBy>
  <cp:revision>18</cp:revision>
  <dcterms:created xsi:type="dcterms:W3CDTF">2012-01-23T14:56:00Z</dcterms:created>
  <dcterms:modified xsi:type="dcterms:W3CDTF">2013-07-09T15:32:00Z</dcterms:modified>
</cp:coreProperties>
</file>