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6FC3F" w14:textId="7123DFAF" w:rsidR="00964778" w:rsidRDefault="00EC5718" w:rsidP="00964778">
      <w:pPr>
        <w:pStyle w:val="Heading1"/>
        <w:numPr>
          <w:ilvl w:val="0"/>
          <w:numId w:val="12"/>
        </w:numPr>
      </w:pPr>
      <w:r>
        <w:t xml:space="preserve">DCP </w:t>
      </w:r>
      <w:r w:rsidR="00963861">
        <w:t>216</w:t>
      </w:r>
      <w:r w:rsidR="004D75D4">
        <w:t xml:space="preserve"> EDCM</w:t>
      </w:r>
      <w:r w:rsidR="00681045">
        <w:t xml:space="preserve"> FCP</w:t>
      </w:r>
      <w:r w:rsidR="00A1149B">
        <w:t xml:space="preserve"> model</w:t>
      </w:r>
      <w:r w:rsidR="000E51B9">
        <w:t xml:space="preserve"> (revision</w:t>
      </w:r>
      <w:r w:rsidR="00771E40">
        <w:t xml:space="preserve"> r6983</w:t>
      </w:r>
      <w:r w:rsidR="00A31A75">
        <w:t>)</w:t>
      </w:r>
    </w:p>
    <w:p w14:paraId="4C6D1D65" w14:textId="110D799F" w:rsidR="00181EA2" w:rsidRDefault="00181EA2" w:rsidP="00181EA2">
      <w:pPr>
        <w:pStyle w:val="Byline"/>
      </w:pPr>
      <w:r w:rsidRPr="00AB6F30">
        <w:fldChar w:fldCharType="begin"/>
      </w:r>
      <w:r w:rsidRPr="00AB6F30">
        <w:instrText xml:space="preserve"> SAVEDATE \@ "dddd d MMMM yyyy" </w:instrText>
      </w:r>
      <w:r w:rsidRPr="00AB6F30">
        <w:fldChar w:fldCharType="separate"/>
      </w:r>
      <w:r w:rsidR="00003AC6">
        <w:rPr>
          <w:noProof/>
        </w:rPr>
        <w:t>Wednesday 22 July 2015</w:t>
      </w:r>
      <w:r w:rsidRPr="00AB6F30">
        <w:fldChar w:fldCharType="end"/>
      </w:r>
    </w:p>
    <w:p w14:paraId="2FD5B325" w14:textId="0F954276" w:rsidR="0048368B" w:rsidRDefault="00F0510A" w:rsidP="0048368B">
      <w:pPr>
        <w:pStyle w:val="Text"/>
      </w:pPr>
      <w:r>
        <w:t>This document describes an EDCM/</w:t>
      </w:r>
      <w:r w:rsidR="00B21078">
        <w:t>FCP</w:t>
      </w:r>
      <w:r>
        <w:t xml:space="preserve"> tariff</w:t>
      </w:r>
      <w:r w:rsidR="007B4271">
        <w:t xml:space="preserve"> model developed for the DCP 216</w:t>
      </w:r>
      <w:r>
        <w:t xml:space="preserve"> working group.</w:t>
      </w:r>
      <w:r w:rsidR="005A7B81">
        <w:t xml:space="preserve"> </w:t>
      </w:r>
      <w:r>
        <w:t xml:space="preserve"> </w:t>
      </w:r>
      <w:r w:rsidR="0048368B">
        <w:t>The reference version is the April 2015 pre-release model published by the DCUSA Panel in December 2014.</w:t>
      </w:r>
    </w:p>
    <w:p w14:paraId="270F269B" w14:textId="77777777" w:rsidR="00455BBD" w:rsidRDefault="00455BBD" w:rsidP="00455BBD">
      <w:pPr>
        <w:pStyle w:val="Heading2"/>
      </w:pPr>
      <w:r>
        <w:t>New input data tables</w:t>
      </w:r>
    </w:p>
    <w:p w14:paraId="0B48CB00" w14:textId="77777777" w:rsidR="00455BBD" w:rsidRDefault="00455BBD" w:rsidP="00455BBD">
      <w:pPr>
        <w:pStyle w:val="Text"/>
      </w:pPr>
      <w:r>
        <w:t>The following new input data tables have been added to Sheet 11:</w:t>
      </w:r>
    </w:p>
    <w:p w14:paraId="02A06571" w14:textId="77777777" w:rsidR="00455BBD" w:rsidRDefault="00455BBD" w:rsidP="00455BBD">
      <w:pPr>
        <w:pStyle w:val="ListBullet"/>
      </w:pPr>
      <w:r>
        <w:t>1101. Financial information</w:t>
      </w:r>
    </w:p>
    <w:p w14:paraId="5E605A7E" w14:textId="77777777" w:rsidR="00455BBD" w:rsidRDefault="00455BBD" w:rsidP="00455BBD">
      <w:pPr>
        <w:pStyle w:val="ListBullet"/>
      </w:pPr>
      <w:r>
        <w:t>1110. Calendar and timeband information</w:t>
      </w:r>
    </w:p>
    <w:p w14:paraId="317C87B1" w14:textId="77777777" w:rsidR="00455BBD" w:rsidRDefault="00455BBD" w:rsidP="00455BBD">
      <w:pPr>
        <w:pStyle w:val="ListBullet"/>
      </w:pPr>
      <w:r>
        <w:t>1118. Generation information</w:t>
      </w:r>
    </w:p>
    <w:p w14:paraId="116E5BB5" w14:textId="77777777" w:rsidR="00455BBD" w:rsidRDefault="00455BBD" w:rsidP="00455BBD">
      <w:pPr>
        <w:pStyle w:val="ListBullet"/>
      </w:pPr>
      <w:r>
        <w:t>1136. Maximum and minimum network use factors</w:t>
      </w:r>
    </w:p>
    <w:p w14:paraId="51C0F064" w14:textId="77777777" w:rsidR="00455BBD" w:rsidRPr="007C5747" w:rsidRDefault="00455BBD" w:rsidP="00455BBD">
      <w:pPr>
        <w:pStyle w:val="ListBullet"/>
      </w:pPr>
      <w:r>
        <w:t>1140. Data from CDCM model</w:t>
      </w:r>
    </w:p>
    <w:p w14:paraId="71D30AA9" w14:textId="77777777" w:rsidR="00455BBD" w:rsidRDefault="00455BBD" w:rsidP="00455BBD">
      <w:pPr>
        <w:pStyle w:val="Heading2"/>
      </w:pPr>
      <w:r>
        <w:t>Additional or modified input data</w:t>
      </w:r>
    </w:p>
    <w:p w14:paraId="484CE989" w14:textId="3D27C5F0" w:rsidR="00455BBD" w:rsidRDefault="00455BBD" w:rsidP="00455BBD">
      <w:pPr>
        <w:pStyle w:val="Text"/>
      </w:pPr>
      <w:r>
        <w:t xml:space="preserve">One input data item has </w:t>
      </w:r>
      <w:r w:rsidR="00A57DA0">
        <w:t>been changed</w:t>
      </w:r>
      <w:r>
        <w:t xml:space="preserve"> in accordance with the instructions of the DCP 216 working group.</w:t>
      </w:r>
    </w:p>
    <w:p w14:paraId="49A7F53A" w14:textId="77777777" w:rsidR="00455BBD" w:rsidRDefault="00455BBD" w:rsidP="00455BBD">
      <w:pPr>
        <w:pStyle w:val="Text"/>
      </w:pPr>
      <w:r>
        <w:t>The item labelled “</w:t>
      </w:r>
      <w:r w:rsidRPr="007775EA">
        <w:t>The amount of money that the DNO wants to raise from use of system charges, less transmission exit (£/year)</w:t>
      </w:r>
      <w:r>
        <w:t>” in table 1113. General inputs of the reference model has been removed, and is replaced in the DCP 216 model by an item labelled as “</w:t>
      </w:r>
      <w:r w:rsidRPr="007775EA">
        <w:t>The amount of money that the DNO wants to raise from use of system charges (£/year)</w:t>
      </w:r>
      <w:r>
        <w:t>” in table 1101. Financial information.</w:t>
      </w:r>
    </w:p>
    <w:p w14:paraId="4B777E59" w14:textId="77777777" w:rsidR="00455BBD" w:rsidRDefault="00455BBD" w:rsidP="00455BBD">
      <w:pPr>
        <w:pStyle w:val="Text"/>
      </w:pPr>
      <w:r>
        <w:t xml:space="preserve">As suggested by the new label, this change means that the amount entered in the new DCP 216 model should include transmission exit charges. </w:t>
      </w:r>
    </w:p>
    <w:p w14:paraId="0E193361" w14:textId="77777777" w:rsidR="00003AC6" w:rsidRDefault="00003AC6" w:rsidP="00003AC6">
      <w:pPr>
        <w:pStyle w:val="Heading2"/>
      </w:pPr>
      <w:r>
        <w:t>Changes to formatting</w:t>
      </w:r>
    </w:p>
    <w:p w14:paraId="0E87E2EC" w14:textId="09ED7711" w:rsidR="00003AC6" w:rsidRDefault="00061F3C" w:rsidP="00842B2F">
      <w:pPr>
        <w:pStyle w:val="Text"/>
      </w:pPr>
      <w:r>
        <w:t>The contents of table 3921</w:t>
      </w:r>
      <w:r w:rsidR="00003AC6">
        <w:t xml:space="preserve">. </w:t>
      </w:r>
      <w:r w:rsidR="00003AC6" w:rsidRPr="005562FC">
        <w:t>Super-red rate p/kWh</w:t>
      </w:r>
      <w:r w:rsidR="00003AC6">
        <w:t xml:space="preserve"> (table 42</w:t>
      </w:r>
      <w:r>
        <w:t>27</w:t>
      </w:r>
      <w:bookmarkStart w:id="0" w:name="_GoBack"/>
      <w:bookmarkEnd w:id="0"/>
      <w:r w:rsidR="00003AC6">
        <w:t xml:space="preserve"> in the reference model) have been formatted to three decimal points instead of two.</w:t>
      </w:r>
    </w:p>
    <w:p w14:paraId="4236F2B9" w14:textId="77777777" w:rsidR="00455BBD" w:rsidRDefault="00455BBD" w:rsidP="00455BBD">
      <w:pPr>
        <w:pStyle w:val="Heading2"/>
      </w:pPr>
      <w:r>
        <w:t>Changes to calculations</w:t>
      </w:r>
    </w:p>
    <w:p w14:paraId="510A8D9B" w14:textId="77777777" w:rsidR="00455BBD" w:rsidRDefault="00455BBD" w:rsidP="00455BBD">
      <w:pPr>
        <w:pStyle w:val="Text"/>
      </w:pPr>
      <w:r>
        <w:t>The calculations in the model have changed to reflect the change to the treatment of transmission exit charges in the input data described above.</w:t>
      </w:r>
    </w:p>
    <w:p w14:paraId="1CE74A74" w14:textId="77777777" w:rsidR="00455BBD" w:rsidRDefault="00455BBD" w:rsidP="00455BBD">
      <w:pPr>
        <w:pStyle w:val="Text"/>
      </w:pPr>
      <w:r>
        <w:t xml:space="preserve">Specifically, the calculation that was carried out in table </w:t>
      </w:r>
      <w:r w:rsidRPr="004937CB">
        <w:t>4361. Revenue less costs and adjustments (£/year)</w:t>
      </w:r>
      <w:r>
        <w:t xml:space="preserve"> of the reference model has now been replaced with the calculation carried out in table </w:t>
      </w:r>
      <w:r w:rsidRPr="004937CB">
        <w:t>3705. Revenue less costs and adjustments (£/year)</w:t>
      </w:r>
      <w:r>
        <w:t xml:space="preserve"> of the DCP 216 model.</w:t>
      </w:r>
    </w:p>
    <w:p w14:paraId="70200121" w14:textId="56AED2A3" w:rsidR="00455BBD" w:rsidRDefault="005C51C5" w:rsidP="00455BBD">
      <w:pPr>
        <w:pStyle w:val="Text"/>
      </w:pPr>
      <w:r>
        <w:lastRenderedPageBreak/>
        <w:t>T</w:t>
      </w:r>
      <w:r w:rsidR="00455BBD">
        <w:t>he following new calculation tables have been added to the DCP 216 as a consequence of the changes to the structure and layout of Sheet 11.</w:t>
      </w:r>
    </w:p>
    <w:p w14:paraId="16D849A6" w14:textId="77777777" w:rsidR="00455BBD" w:rsidRDefault="00455BBD" w:rsidP="00455BBD">
      <w:pPr>
        <w:pStyle w:val="ListBullet"/>
      </w:pPr>
      <w:r>
        <w:t>2401. Forecast system simultaneous maximum load (kW) from CDCM users</w:t>
      </w:r>
    </w:p>
    <w:p w14:paraId="028E261F" w14:textId="77777777" w:rsidR="00455BBD" w:rsidRDefault="00455BBD" w:rsidP="00455BBD">
      <w:pPr>
        <w:pStyle w:val="ListBullet"/>
      </w:pPr>
      <w:r>
        <w:t xml:space="preserve">2405. Loss adjustment factor to transmission for each network level </w:t>
      </w:r>
    </w:p>
    <w:p w14:paraId="22592B4F" w14:textId="77777777" w:rsidR="00455BBD" w:rsidRDefault="00455BBD" w:rsidP="00455BBD">
      <w:pPr>
        <w:pStyle w:val="ListBullet"/>
      </w:pPr>
      <w:r>
        <w:t>2901. Assets in CDCM model (£)</w:t>
      </w:r>
    </w:p>
    <w:p w14:paraId="51DF4A72" w14:textId="77777777" w:rsidR="00455BBD" w:rsidRDefault="00455BBD" w:rsidP="00455BBD">
      <w:pPr>
        <w:pStyle w:val="ListBullet"/>
      </w:pPr>
      <w:r>
        <w:t>3201. Diversity allowance between level exit and GSP Group</w:t>
      </w:r>
    </w:p>
    <w:p w14:paraId="7E37D299" w14:textId="77777777" w:rsidR="00455BBD" w:rsidRDefault="00455BBD" w:rsidP="00455BBD">
      <w:pPr>
        <w:pStyle w:val="ListBullet"/>
      </w:pPr>
      <w:r>
        <w:t>4015. Maximum network use factor</w:t>
      </w:r>
    </w:p>
    <w:p w14:paraId="32BC50D1" w14:textId="3EB18F5B" w:rsidR="00D133D2" w:rsidRDefault="00455BBD" w:rsidP="00455BBD">
      <w:pPr>
        <w:pStyle w:val="ListBullet"/>
      </w:pPr>
      <w:r>
        <w:t>4017. Minimum network use factor</w:t>
      </w:r>
      <w:r w:rsidR="00D133D2">
        <w:t xml:space="preserve"> </w:t>
      </w:r>
    </w:p>
    <w:p w14:paraId="20D80CFD" w14:textId="3F892E48" w:rsidR="005C51C5" w:rsidRDefault="005C51C5" w:rsidP="005C51C5">
      <w:pPr>
        <w:pStyle w:val="Heading2"/>
      </w:pPr>
      <w:r>
        <w:t>Mapping of items in the reference model to the DCP 216 model</w:t>
      </w:r>
    </w:p>
    <w:p w14:paraId="0C787A8C" w14:textId="27DCB1C3" w:rsidR="0048368B" w:rsidRDefault="0048368B" w:rsidP="00726EA2">
      <w:pPr>
        <w:pStyle w:val="Text"/>
      </w:pPr>
      <w:r>
        <w:t xml:space="preserve">Table </w:t>
      </w:r>
      <w:r>
        <w:fldChar w:fldCharType="begin"/>
      </w:r>
      <w:r>
        <w:instrText xml:space="preserve"> =1+</w:instrText>
      </w:r>
      <w:r>
        <w:fldChar w:fldCharType="begin"/>
      </w:r>
      <w:r>
        <w:instrText xml:space="preserve"> SEQ \c Table \* ARABIC </w:instrText>
      </w:r>
      <w:r>
        <w:fldChar w:fldCharType="separate"/>
      </w:r>
      <w:r>
        <w:rPr>
          <w:noProof/>
        </w:rPr>
        <w:instrText>0</w:instrText>
      </w:r>
      <w:r>
        <w:fldChar w:fldCharType="end"/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shows the mapping of items </w:t>
      </w:r>
      <w:r w:rsidR="00586487">
        <w:t>between the reference model and</w:t>
      </w:r>
      <w:r w:rsidR="00E749F1">
        <w:t xml:space="preserve"> </w:t>
      </w:r>
      <w:r>
        <w:t>the DCP 216 model</w:t>
      </w:r>
      <w:r w:rsidR="00E749F1">
        <w:t xml:space="preserve"> produced in </w:t>
      </w:r>
      <w:r w:rsidR="00586487">
        <w:t>July</w:t>
      </w:r>
      <w:r w:rsidR="00E749F1">
        <w:t xml:space="preserve"> 2015</w:t>
      </w:r>
      <w:r w:rsidR="000E51B9">
        <w:t xml:space="preserve"> (revision</w:t>
      </w:r>
      <w:r w:rsidR="00771E40">
        <w:t xml:space="preserve"> r6983</w:t>
      </w:r>
      <w:r w:rsidR="00586487">
        <w:t>)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88"/>
        <w:gridCol w:w="1710"/>
        <w:gridCol w:w="38"/>
      </w:tblGrid>
      <w:tr w:rsidR="00D27C28" w14:paraId="7C082E5D" w14:textId="77777777" w:rsidTr="00FE7908">
        <w:trPr>
          <w:cantSplit/>
          <w:tblHeader/>
        </w:trPr>
        <w:tc>
          <w:tcPr>
            <w:tcW w:w="9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E5B973" w14:textId="77777777" w:rsidR="00D27C28" w:rsidRDefault="00D27C28" w:rsidP="00FE7908">
            <w:pPr>
              <w:pStyle w:val="Caption"/>
            </w:pPr>
            <w:r>
              <w:t xml:space="preserve">Table </w:t>
            </w:r>
            <w:r>
              <w:fldChar w:fldCharType="begin"/>
            </w:r>
            <w:r>
              <w:instrText xml:space="preserve"> SEQ Table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r>
              <w:tab/>
              <w:t>Mapping of items</w:t>
            </w:r>
            <w:r w:rsidRPr="00EE1E45">
              <w:t xml:space="preserve"> </w:t>
            </w:r>
            <w:r>
              <w:t>between the reference model and the DCP 216 model</w:t>
            </w:r>
          </w:p>
        </w:tc>
      </w:tr>
      <w:tr w:rsidR="00E749F1" w:rsidRPr="00EE1E45" w14:paraId="74BB6A4C" w14:textId="39DF651F" w:rsidTr="00E749F1">
        <w:trPr>
          <w:gridAfter w:val="1"/>
          <w:wAfter w:w="38" w:type="dxa"/>
          <w:cantSplit/>
          <w:tblHeader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0D38" w14:textId="77777777" w:rsidR="00E749F1" w:rsidRPr="00EE1E45" w:rsidRDefault="00E749F1" w:rsidP="00593450">
            <w:pPr>
              <w:pStyle w:val="Table"/>
              <w:rPr>
                <w:i/>
              </w:rPr>
            </w:pPr>
            <w:r>
              <w:rPr>
                <w:i/>
              </w:rPr>
              <w:t>Table in r</w:t>
            </w:r>
            <w:r w:rsidRPr="00EE1E45">
              <w:rPr>
                <w:i/>
              </w:rPr>
              <w:t>eference model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34BF" w14:textId="7D400984" w:rsidR="00E749F1" w:rsidRDefault="000E51B9" w:rsidP="00771E40">
            <w:pPr>
              <w:pStyle w:val="Table"/>
              <w:jc w:val="center"/>
              <w:rPr>
                <w:i/>
              </w:rPr>
            </w:pPr>
            <w:r>
              <w:rPr>
                <w:i/>
              </w:rPr>
              <w:t>Number in revision</w:t>
            </w:r>
            <w:r w:rsidR="00771E40">
              <w:rPr>
                <w:i/>
              </w:rPr>
              <w:t xml:space="preserve"> r6983</w:t>
            </w:r>
          </w:p>
        </w:tc>
      </w:tr>
      <w:tr w:rsidR="00E749F1" w14:paraId="7DDC36E5" w14:textId="42EF6A9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4E9CD29" w14:textId="6CA1D618" w:rsidR="00E749F1" w:rsidRPr="00E4485A" w:rsidRDefault="00E749F1" w:rsidP="00593450">
            <w:pPr>
              <w:pStyle w:val="Table"/>
            </w:pPr>
            <w:r w:rsidRPr="00183411">
              <w:t>911. FCP power flow modelling data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5D7F4B8" w14:textId="75D8B34C" w:rsidR="00E749F1" w:rsidRPr="00980628" w:rsidRDefault="00E749F1" w:rsidP="00593450">
            <w:pPr>
              <w:pStyle w:val="Table"/>
              <w:jc w:val="center"/>
            </w:pPr>
            <w:r w:rsidRPr="00183411">
              <w:t>No change</w:t>
            </w:r>
          </w:p>
        </w:tc>
      </w:tr>
      <w:tr w:rsidR="00E749F1" w14:paraId="43E308F5" w14:textId="78D431F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432F9BD" w14:textId="208450A4" w:rsidR="00E749F1" w:rsidRPr="00E4485A" w:rsidRDefault="00E749F1" w:rsidP="00593450">
            <w:pPr>
              <w:pStyle w:val="Table"/>
            </w:pPr>
            <w:r w:rsidRPr="00183411">
              <w:t>935. Tariff data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F8D21E6" w14:textId="6393C744" w:rsidR="00E749F1" w:rsidRPr="00980628" w:rsidRDefault="00E749F1" w:rsidP="00593450">
            <w:pPr>
              <w:pStyle w:val="Table"/>
              <w:jc w:val="center"/>
            </w:pPr>
            <w:r w:rsidRPr="00183411">
              <w:t>No change</w:t>
            </w:r>
          </w:p>
        </w:tc>
      </w:tr>
      <w:tr w:rsidR="00E749F1" w14:paraId="11B8AA1F" w14:textId="645A60A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7DB7671" w14:textId="22EB24C5" w:rsidR="00E749F1" w:rsidRPr="00E4485A" w:rsidRDefault="00E749F1" w:rsidP="00593450">
            <w:pPr>
              <w:pStyle w:val="Table"/>
            </w:pPr>
            <w:r w:rsidRPr="00183411">
              <w:t>1100. Company, charging year, data version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A3BAAE1" w14:textId="7D54DA54" w:rsidR="00E749F1" w:rsidRPr="00980628" w:rsidRDefault="00E749F1" w:rsidP="00593450">
            <w:pPr>
              <w:pStyle w:val="Table"/>
              <w:jc w:val="center"/>
            </w:pPr>
            <w:r w:rsidRPr="00183411">
              <w:t>No change</w:t>
            </w:r>
          </w:p>
        </w:tc>
      </w:tr>
      <w:tr w:rsidR="00E749F1" w14:paraId="74E9B872" w14:textId="5E17785E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4631112" w14:textId="70F2FBE7" w:rsidR="00E749F1" w:rsidRPr="00E4485A" w:rsidRDefault="00E749F1" w:rsidP="00593450">
            <w:pPr>
              <w:pStyle w:val="Table"/>
            </w:pPr>
            <w:r w:rsidRPr="00183411">
              <w:t>1105. Diversity allowance between level exit and GSP Group (from CDCM table 2611)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5718717" w14:textId="6DC3D7BF" w:rsidR="00E749F1" w:rsidRPr="00980628" w:rsidRDefault="00E749F1" w:rsidP="00593450">
            <w:pPr>
              <w:pStyle w:val="Table"/>
              <w:jc w:val="center"/>
            </w:pPr>
            <w:r w:rsidRPr="00183411">
              <w:t>-</w:t>
            </w:r>
          </w:p>
        </w:tc>
      </w:tr>
      <w:tr w:rsidR="00E749F1" w14:paraId="15F91B41" w14:textId="2F58482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555DF01" w14:textId="508F7050" w:rsidR="00E749F1" w:rsidRPr="00E4485A" w:rsidRDefault="00E749F1" w:rsidP="00593450">
            <w:pPr>
              <w:pStyle w:val="Table"/>
            </w:pPr>
            <w:r w:rsidRPr="00183411">
              <w:t>1113. General inputs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8D424D4" w14:textId="48075A75" w:rsidR="00E749F1" w:rsidRPr="00980628" w:rsidRDefault="00E749F1" w:rsidP="00593450">
            <w:pPr>
              <w:pStyle w:val="Table"/>
              <w:jc w:val="center"/>
            </w:pPr>
            <w:r w:rsidRPr="00183411">
              <w:t>-</w:t>
            </w:r>
          </w:p>
        </w:tc>
      </w:tr>
      <w:tr w:rsidR="00E749F1" w14:paraId="21E80186" w14:textId="2D95C91C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0973826" w14:textId="196B7FB2" w:rsidR="00E749F1" w:rsidRPr="00E4485A" w:rsidRDefault="00E749F1" w:rsidP="00593450">
            <w:pPr>
              <w:pStyle w:val="Table"/>
            </w:pPr>
            <w:r w:rsidRPr="00183411">
              <w:t>1122. Forecast system simultaneous maximum load (kW) from CDCM users (from CDCM table 2506)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65106D2" w14:textId="26810584" w:rsidR="00E749F1" w:rsidRPr="00980628" w:rsidRDefault="00E749F1" w:rsidP="00593450">
            <w:pPr>
              <w:pStyle w:val="Table"/>
              <w:jc w:val="center"/>
            </w:pPr>
            <w:r w:rsidRPr="00183411">
              <w:t>-</w:t>
            </w:r>
          </w:p>
        </w:tc>
      </w:tr>
      <w:tr w:rsidR="00E749F1" w14:paraId="38BD7A37" w14:textId="4D7F835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C8F3E8E" w14:textId="04850BF3" w:rsidR="00E749F1" w:rsidRPr="00E4485A" w:rsidRDefault="00E749F1" w:rsidP="00593450">
            <w:pPr>
              <w:pStyle w:val="Table"/>
            </w:pPr>
            <w:r w:rsidRPr="00183411">
              <w:t>1131. Assets in CDCM model (£) (from CDCM table 2706)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FDEDE1A" w14:textId="71114196" w:rsidR="00E749F1" w:rsidRPr="00980628" w:rsidRDefault="00E749F1" w:rsidP="00593450">
            <w:pPr>
              <w:pStyle w:val="Table"/>
              <w:jc w:val="center"/>
            </w:pPr>
            <w:r w:rsidRPr="00183411">
              <w:t>-</w:t>
            </w:r>
          </w:p>
        </w:tc>
      </w:tr>
      <w:tr w:rsidR="00E749F1" w14:paraId="75C55451" w14:textId="13FB4D1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8066A1E" w14:textId="3B7F528E" w:rsidR="00E749F1" w:rsidRPr="00E4485A" w:rsidRDefault="00E749F1" w:rsidP="00593450">
            <w:pPr>
              <w:pStyle w:val="Table"/>
            </w:pPr>
            <w:r w:rsidRPr="00183411">
              <w:t>1132. Override notional asset rate for 132kV/HV (£/kW)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AC8FCF7" w14:textId="681A3810" w:rsidR="00E749F1" w:rsidRPr="00980628" w:rsidRDefault="00E749F1" w:rsidP="00593450">
            <w:pPr>
              <w:pStyle w:val="Table"/>
              <w:jc w:val="center"/>
            </w:pPr>
            <w:r w:rsidRPr="00183411">
              <w:t>No change</w:t>
            </w:r>
          </w:p>
        </w:tc>
      </w:tr>
      <w:tr w:rsidR="00E749F1" w14:paraId="7157300B" w14:textId="7B9D5D8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2E409D84" w14:textId="151F9A83" w:rsidR="00E749F1" w:rsidRPr="00E4485A" w:rsidRDefault="00E749F1" w:rsidP="00593450">
            <w:pPr>
              <w:pStyle w:val="Table"/>
            </w:pPr>
            <w:r w:rsidRPr="00183411">
              <w:t>1133. Maximum network use factor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F190C88" w14:textId="74CAD5E2" w:rsidR="00E749F1" w:rsidRPr="00980628" w:rsidRDefault="00E749F1" w:rsidP="00593450">
            <w:pPr>
              <w:pStyle w:val="Table"/>
              <w:jc w:val="center"/>
            </w:pPr>
            <w:r w:rsidRPr="00183411">
              <w:t>-</w:t>
            </w:r>
          </w:p>
        </w:tc>
      </w:tr>
      <w:tr w:rsidR="00E749F1" w14:paraId="2961CC57" w14:textId="5F02A22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8DAFE86" w14:textId="4AC9A55C" w:rsidR="00E749F1" w:rsidRPr="00E4485A" w:rsidRDefault="00E749F1" w:rsidP="00593450">
            <w:pPr>
              <w:pStyle w:val="Table"/>
            </w:pPr>
            <w:r w:rsidRPr="00183411">
              <w:t>1134. Minimum network use factor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314CAAE" w14:textId="5C2384E7" w:rsidR="00E749F1" w:rsidRPr="00980628" w:rsidRDefault="00E749F1" w:rsidP="00593450">
            <w:pPr>
              <w:pStyle w:val="Table"/>
              <w:jc w:val="center"/>
            </w:pPr>
            <w:r w:rsidRPr="00183411">
              <w:t>-</w:t>
            </w:r>
          </w:p>
        </w:tc>
      </w:tr>
      <w:tr w:rsidR="00E749F1" w14:paraId="168D3728" w14:textId="4FB0346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7E8EC6A" w14:textId="14883638" w:rsidR="00E749F1" w:rsidRPr="00E4485A" w:rsidRDefault="00E749F1" w:rsidP="00593450">
            <w:pPr>
              <w:pStyle w:val="Table"/>
            </w:pPr>
            <w:r w:rsidRPr="00183411">
              <w:t>1135. Loss adjustment factor to transmission for each network level (from CDCM table 2004)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5D62570" w14:textId="252976FB" w:rsidR="00E749F1" w:rsidRPr="00980628" w:rsidRDefault="00E749F1" w:rsidP="00593450">
            <w:pPr>
              <w:pStyle w:val="Table"/>
              <w:jc w:val="center"/>
            </w:pPr>
            <w:r w:rsidRPr="00183411">
              <w:t>-</w:t>
            </w:r>
          </w:p>
        </w:tc>
      </w:tr>
      <w:tr w:rsidR="00E749F1" w14:paraId="27ADC74F" w14:textId="73670D0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289B553" w14:textId="4D4E3DA3" w:rsidR="00E749F1" w:rsidRPr="00E4485A" w:rsidRDefault="00E749F1" w:rsidP="00593450">
            <w:pPr>
              <w:pStyle w:val="Table"/>
            </w:pPr>
            <w:r w:rsidRPr="00183411">
              <w:t>1181. LDNO discounts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36ADEF7" w14:textId="2EF601F2" w:rsidR="00E749F1" w:rsidRPr="00980628" w:rsidRDefault="00E749F1" w:rsidP="00593450">
            <w:pPr>
              <w:pStyle w:val="Table"/>
              <w:jc w:val="center"/>
            </w:pPr>
            <w:r w:rsidRPr="00183411">
              <w:t>No change</w:t>
            </w:r>
          </w:p>
        </w:tc>
      </w:tr>
      <w:tr w:rsidR="00E749F1" w14:paraId="0F919A79" w14:textId="45F89075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0C3F325" w14:textId="006A2FDD" w:rsidR="00E749F1" w:rsidRPr="00E4485A" w:rsidRDefault="00E749F1" w:rsidP="00593450">
            <w:pPr>
              <w:pStyle w:val="Table"/>
            </w:pPr>
            <w:r w:rsidRPr="00183411">
              <w:lastRenderedPageBreak/>
              <w:t>1182. CDCM end user tariffs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BCAB377" w14:textId="2BB09540" w:rsidR="00E749F1" w:rsidRPr="00980628" w:rsidRDefault="00E749F1" w:rsidP="00593450">
            <w:pPr>
              <w:pStyle w:val="Table"/>
              <w:jc w:val="center"/>
            </w:pPr>
            <w:r w:rsidRPr="00183411">
              <w:t>No change</w:t>
            </w:r>
          </w:p>
        </w:tc>
      </w:tr>
      <w:tr w:rsidR="00E749F1" w14:paraId="6493E63D" w14:textId="5A53C9B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FDFDE96" w14:textId="1DC7F466" w:rsidR="00E749F1" w:rsidRPr="00E4485A" w:rsidRDefault="00E749F1" w:rsidP="00593450">
            <w:pPr>
              <w:pStyle w:val="Table"/>
            </w:pPr>
            <w:r w:rsidRPr="00183411">
              <w:t>1183. LDNO volume data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B6DC067" w14:textId="36C2A27B" w:rsidR="00E749F1" w:rsidRPr="00980628" w:rsidRDefault="00E749F1" w:rsidP="00593450">
            <w:pPr>
              <w:pStyle w:val="Table"/>
              <w:jc w:val="center"/>
            </w:pPr>
            <w:r w:rsidRPr="00183411">
              <w:t>No change</w:t>
            </w:r>
          </w:p>
        </w:tc>
      </w:tr>
      <w:tr w:rsidR="00E749F1" w14:paraId="15DDDCDC" w14:textId="1C7B0A3C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8F4A76D" w14:textId="28B31F30" w:rsidR="00E749F1" w:rsidRPr="00E4485A" w:rsidRDefault="00E749F1" w:rsidP="00593450">
            <w:pPr>
              <w:pStyle w:val="Table"/>
            </w:pPr>
            <w:r w:rsidRPr="00183411">
              <w:t>4101. Notional asset rate (£/kW)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74458F8" w14:textId="379BFA7E" w:rsidR="00E749F1" w:rsidRPr="00980628" w:rsidRDefault="00E749F1" w:rsidP="00593450">
            <w:pPr>
              <w:pStyle w:val="Table"/>
              <w:jc w:val="center"/>
            </w:pPr>
            <w:r w:rsidRPr="00183411">
              <w:t>3001</w:t>
            </w:r>
          </w:p>
        </w:tc>
      </w:tr>
      <w:tr w:rsidR="00E749F1" w14:paraId="270BA2CE" w14:textId="5415EC4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B6EA1E2" w14:textId="0262729E" w:rsidR="00E749F1" w:rsidRPr="00E4485A" w:rsidRDefault="00E749F1" w:rsidP="00593450">
            <w:pPr>
              <w:pStyle w:val="Table"/>
            </w:pPr>
            <w:r w:rsidRPr="00183411">
              <w:t>4103. Power factor in 500 MW model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8160C86" w14:textId="36B7B42F" w:rsidR="00E749F1" w:rsidRPr="00980628" w:rsidRDefault="00E749F1" w:rsidP="00593450">
            <w:pPr>
              <w:pStyle w:val="Table"/>
              <w:jc w:val="center"/>
            </w:pPr>
            <w:r w:rsidRPr="00183411">
              <w:t>2001</w:t>
            </w:r>
          </w:p>
        </w:tc>
      </w:tr>
      <w:tr w:rsidR="00E749F1" w14:paraId="45C63DBE" w14:textId="30EB5B6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04717CBA" w14:textId="485EFF4C" w:rsidR="00E749F1" w:rsidRPr="00E4485A" w:rsidRDefault="00E749F1" w:rsidP="00593450">
            <w:pPr>
              <w:pStyle w:val="Table"/>
            </w:pPr>
            <w:r w:rsidRPr="00183411">
              <w:t>4105. Loss factor to transmission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01D64E4" w14:textId="6E780435" w:rsidR="00E749F1" w:rsidRPr="00980628" w:rsidRDefault="00E749F1" w:rsidP="00593450">
            <w:pPr>
              <w:pStyle w:val="Table"/>
              <w:jc w:val="center"/>
            </w:pPr>
            <w:r w:rsidRPr="00183411">
              <w:t>2501</w:t>
            </w:r>
          </w:p>
        </w:tc>
      </w:tr>
      <w:tr w:rsidR="00E749F1" w14:paraId="23C33794" w14:textId="12B451B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13B7591" w14:textId="5D1454D6" w:rsidR="00E749F1" w:rsidRPr="00E4485A" w:rsidRDefault="00E749F1" w:rsidP="00593450">
            <w:pPr>
              <w:pStyle w:val="Table"/>
            </w:pPr>
            <w:r w:rsidRPr="00183411">
              <w:t>4107. Active power equivalent of capacity adjusted to transmission (kW/kVA)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AAF15D2" w14:textId="61A9C940" w:rsidR="00E749F1" w:rsidRPr="00980628" w:rsidRDefault="00E749F1" w:rsidP="00593450">
            <w:pPr>
              <w:pStyle w:val="Table"/>
              <w:jc w:val="center"/>
            </w:pPr>
            <w:r w:rsidRPr="00183411">
              <w:t>3101</w:t>
            </w:r>
          </w:p>
        </w:tc>
      </w:tr>
      <w:tr w:rsidR="00E749F1" w14:paraId="1C0BF877" w14:textId="19E4F24E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337FDE3" w14:textId="45FBDEAA" w:rsidR="00E749F1" w:rsidRPr="00E4485A" w:rsidRDefault="00E749F1" w:rsidP="00593450">
            <w:pPr>
              <w:pStyle w:val="Table"/>
            </w:pPr>
            <w:r w:rsidRPr="00183411">
              <w:t>4109. Notional asset rate for 132kV/HV (£/kW)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F306C14" w14:textId="7FA7D811" w:rsidR="00E749F1" w:rsidRPr="00980628" w:rsidRDefault="00E749F1" w:rsidP="00593450">
            <w:pPr>
              <w:pStyle w:val="Table"/>
              <w:jc w:val="center"/>
            </w:pPr>
            <w:r w:rsidRPr="00183411">
              <w:t>3003</w:t>
            </w:r>
          </w:p>
        </w:tc>
      </w:tr>
      <w:tr w:rsidR="00E749F1" w14:paraId="194FBB66" w14:textId="7FAF41FC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247A3DB" w14:textId="09E9C483" w:rsidR="00E749F1" w:rsidRPr="00E4485A" w:rsidRDefault="00E749F1" w:rsidP="00593450">
            <w:pPr>
              <w:pStyle w:val="Table"/>
            </w:pPr>
            <w:r w:rsidRPr="00183411">
              <w:t>4111. Notional asset rate adjusted (£/kW)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183512B" w14:textId="3C376A44" w:rsidR="00E749F1" w:rsidRPr="00980628" w:rsidRDefault="00E749F1" w:rsidP="00593450">
            <w:pPr>
              <w:pStyle w:val="Table"/>
              <w:jc w:val="center"/>
            </w:pPr>
            <w:r w:rsidRPr="00183411">
              <w:t>3005</w:t>
            </w:r>
          </w:p>
        </w:tc>
      </w:tr>
      <w:tr w:rsidR="00E749F1" w14:paraId="747DA2A4" w14:textId="25CD926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2D4EFA7" w14:textId="26AEEBED" w:rsidR="00E749F1" w:rsidRPr="00E4485A" w:rsidRDefault="00E749F1" w:rsidP="00593450">
            <w:pPr>
              <w:pStyle w:val="Table"/>
            </w:pPr>
            <w:r w:rsidRPr="00183411">
              <w:t>4113. Capacity 132kV/HV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A761A3D" w14:textId="1377ACA6" w:rsidR="00E749F1" w:rsidRPr="00980628" w:rsidRDefault="00E749F1" w:rsidP="00593450">
            <w:pPr>
              <w:pStyle w:val="Table"/>
              <w:jc w:val="center"/>
            </w:pPr>
            <w:r w:rsidRPr="00183411">
              <w:t>3309</w:t>
            </w:r>
          </w:p>
        </w:tc>
      </w:tr>
      <w:tr w:rsidR="00E749F1" w14:paraId="25DD21A3" w14:textId="7FD96A9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2D55069" w14:textId="0410AC43" w:rsidR="00E749F1" w:rsidRPr="00E4485A" w:rsidRDefault="00E749F1" w:rsidP="00593450">
            <w:pPr>
              <w:pStyle w:val="Table"/>
            </w:pPr>
            <w:r w:rsidRPr="00183411">
              <w:t>4115. Capacity EHV circuits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2DA1B16" w14:textId="1D0D8978" w:rsidR="00E749F1" w:rsidRPr="00980628" w:rsidRDefault="00E749F1" w:rsidP="00593450">
            <w:pPr>
              <w:pStyle w:val="Table"/>
              <w:jc w:val="center"/>
            </w:pPr>
            <w:r w:rsidRPr="00183411">
              <w:t>3305</w:t>
            </w:r>
          </w:p>
        </w:tc>
      </w:tr>
      <w:tr w:rsidR="00E749F1" w14:paraId="198BDB35" w14:textId="144DEFB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F603AEA" w14:textId="0C52D5E8" w:rsidR="00E749F1" w:rsidRPr="00E4485A" w:rsidRDefault="00E749F1" w:rsidP="00593450">
            <w:pPr>
              <w:pStyle w:val="Table"/>
            </w:pPr>
            <w:r w:rsidRPr="00183411">
              <w:t>4117. Capacity 132kV/EHV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CF2E9D9" w14:textId="3E9C91EF" w:rsidR="00E749F1" w:rsidRPr="00980628" w:rsidRDefault="00E749F1" w:rsidP="00593450">
            <w:pPr>
              <w:pStyle w:val="Table"/>
              <w:jc w:val="center"/>
            </w:pPr>
            <w:r w:rsidRPr="00183411">
              <w:t>3303</w:t>
            </w:r>
          </w:p>
        </w:tc>
      </w:tr>
      <w:tr w:rsidR="00E749F1" w14:paraId="3A3D5B61" w14:textId="5E01E88C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5654723" w14:textId="2255FA17" w:rsidR="00E749F1" w:rsidRPr="00E4485A" w:rsidRDefault="00E749F1" w:rsidP="00593450">
            <w:pPr>
              <w:pStyle w:val="Table"/>
            </w:pPr>
            <w:r w:rsidRPr="00183411">
              <w:t>4119. Capacity EHV/HV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A431DFA" w14:textId="11E86667" w:rsidR="00E749F1" w:rsidRPr="00980628" w:rsidRDefault="00E749F1" w:rsidP="00593450">
            <w:pPr>
              <w:pStyle w:val="Table"/>
              <w:jc w:val="center"/>
            </w:pPr>
            <w:r w:rsidRPr="00183411">
              <w:t>3307</w:t>
            </w:r>
          </w:p>
        </w:tc>
      </w:tr>
      <w:tr w:rsidR="00E749F1" w14:paraId="3199DDE5" w14:textId="4BE1AE8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5EE77AC4" w14:textId="5FD4A05E" w:rsidR="00E749F1" w:rsidRPr="00E4485A" w:rsidRDefault="00E749F1" w:rsidP="00593450">
            <w:pPr>
              <w:pStyle w:val="Table"/>
            </w:pPr>
            <w:r w:rsidRPr="00183411">
              <w:t>4121. Capacity 132kV circuits (£/kVA)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BF0448F" w14:textId="225DAA80" w:rsidR="00E749F1" w:rsidRPr="00980628" w:rsidRDefault="00E749F1" w:rsidP="00593450">
            <w:pPr>
              <w:pStyle w:val="Table"/>
              <w:jc w:val="center"/>
            </w:pPr>
            <w:r w:rsidRPr="00183411">
              <w:t>3301</w:t>
            </w:r>
          </w:p>
        </w:tc>
      </w:tr>
      <w:tr w:rsidR="00E749F1" w14:paraId="0B9BFC90" w14:textId="3B82F68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6E26D95" w14:textId="294D9E97" w:rsidR="00E749F1" w:rsidRPr="00E4485A" w:rsidRDefault="00E749F1" w:rsidP="00593450">
            <w:pPr>
              <w:pStyle w:val="Table"/>
            </w:pPr>
            <w:r w:rsidRPr="00183411">
              <w:t>4123. Total notional capacity assets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A390F1C" w14:textId="07C21147" w:rsidR="00E749F1" w:rsidRPr="00980628" w:rsidRDefault="00E749F1" w:rsidP="00593450">
            <w:pPr>
              <w:pStyle w:val="Table"/>
              <w:jc w:val="center"/>
            </w:pPr>
            <w:r w:rsidRPr="00183411">
              <w:t>3311</w:t>
            </w:r>
          </w:p>
        </w:tc>
      </w:tr>
      <w:tr w:rsidR="00E749F1" w14:paraId="4D4CC688" w14:textId="6A056C2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A34CE51" w14:textId="75C4441B" w:rsidR="00E749F1" w:rsidRPr="00E4485A" w:rsidRDefault="00E749F1" w:rsidP="00593450">
            <w:pPr>
              <w:pStyle w:val="Table"/>
            </w:pPr>
            <w:r w:rsidRPr="00183411">
              <w:t>4125. Maximum import capacity adjusted for part-year (kVA)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D120859" w14:textId="6CF519FF" w:rsidR="00E749F1" w:rsidRPr="00980628" w:rsidRDefault="00E749F1" w:rsidP="00593450">
            <w:pPr>
              <w:pStyle w:val="Table"/>
              <w:jc w:val="center"/>
            </w:pPr>
            <w:r w:rsidRPr="00183411">
              <w:t>2301</w:t>
            </w:r>
          </w:p>
        </w:tc>
      </w:tr>
      <w:tr w:rsidR="00E749F1" w14:paraId="673B9B0B" w14:textId="67D740C8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5692F9E" w14:textId="39673A41" w:rsidR="00E749F1" w:rsidRPr="00E4485A" w:rsidRDefault="00E749F1" w:rsidP="00593450">
            <w:pPr>
              <w:pStyle w:val="Table"/>
            </w:pPr>
            <w:r w:rsidRPr="00183411">
              <w:t>4127. Total notional capacity assets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7DD1BA3" w14:textId="5923AB78" w:rsidR="00E749F1" w:rsidRPr="00980628" w:rsidRDefault="00E749F1" w:rsidP="00593450">
            <w:pPr>
              <w:pStyle w:val="Table"/>
              <w:jc w:val="center"/>
            </w:pPr>
            <w:r w:rsidRPr="00183411">
              <w:t>3409</w:t>
            </w:r>
          </w:p>
        </w:tc>
      </w:tr>
      <w:tr w:rsidR="00E749F1" w14:paraId="5854734E" w14:textId="087A140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4B7E336" w14:textId="7456A825" w:rsidR="00E749F1" w:rsidRPr="00E4485A" w:rsidRDefault="00E749F1" w:rsidP="00593450">
            <w:pPr>
              <w:pStyle w:val="Table"/>
            </w:pPr>
            <w:r w:rsidRPr="00183411">
              <w:t>4129. Non-exempt post-2010 export capacity (kVA) adjusted for part-year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E5F4C40" w14:textId="7FD3ACB7" w:rsidR="00E749F1" w:rsidRPr="00980628" w:rsidRDefault="00E749F1" w:rsidP="00593450">
            <w:pPr>
              <w:pStyle w:val="Table"/>
              <w:jc w:val="center"/>
            </w:pPr>
            <w:r w:rsidRPr="00183411">
              <w:t>2111</w:t>
            </w:r>
          </w:p>
        </w:tc>
      </w:tr>
      <w:tr w:rsidR="00E749F1" w14:paraId="461F5014" w14:textId="38FD08D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AD86CAD" w14:textId="6EE72082" w:rsidR="00E749F1" w:rsidRPr="00E4485A" w:rsidRDefault="00E749F1" w:rsidP="00593450">
            <w:pPr>
              <w:pStyle w:val="Table"/>
            </w:pPr>
            <w:r w:rsidRPr="00183411">
              <w:t>4131. Non-exempt 2005-2010 export capacity (kVA) adjusted for part-year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E482466" w14:textId="643578E5" w:rsidR="00E749F1" w:rsidRPr="00980628" w:rsidRDefault="00E749F1" w:rsidP="00593450">
            <w:pPr>
              <w:pStyle w:val="Table"/>
              <w:jc w:val="center"/>
            </w:pPr>
            <w:r w:rsidRPr="00183411">
              <w:t>2109</w:t>
            </w:r>
          </w:p>
        </w:tc>
      </w:tr>
      <w:tr w:rsidR="00E749F1" w14:paraId="176C1255" w14:textId="10A93B2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A4FF3E5" w14:textId="2C7ECC0F" w:rsidR="00E749F1" w:rsidRPr="00E4485A" w:rsidRDefault="00E749F1" w:rsidP="00593450">
            <w:pPr>
              <w:pStyle w:val="Table"/>
            </w:pPr>
            <w:r w:rsidRPr="00183411">
              <w:t>4133. Non-exempt pre-2005 export capacity (kVA) adjusted for part-year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74F997E" w14:textId="02B8884B" w:rsidR="00E749F1" w:rsidRPr="00980628" w:rsidRDefault="00E749F1" w:rsidP="00593450">
            <w:pPr>
              <w:pStyle w:val="Table"/>
              <w:jc w:val="center"/>
            </w:pPr>
            <w:r w:rsidRPr="00183411">
              <w:t>2107</w:t>
            </w:r>
          </w:p>
        </w:tc>
      </w:tr>
      <w:tr w:rsidR="00E749F1" w14:paraId="0D663988" w14:textId="53C04B7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807FE54" w14:textId="58F6352C" w:rsidR="00E749F1" w:rsidRPr="00E4485A" w:rsidRDefault="00E749F1" w:rsidP="00593450">
            <w:pPr>
              <w:pStyle w:val="Table"/>
            </w:pPr>
            <w:r w:rsidRPr="00183411">
              <w:t>4135. Chargeable export capacity adjusted for part-year (kVA)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31B11A2" w14:textId="1060C053" w:rsidR="00E749F1" w:rsidRPr="00980628" w:rsidRDefault="00E749F1" w:rsidP="00593450">
            <w:pPr>
              <w:pStyle w:val="Table"/>
              <w:jc w:val="center"/>
            </w:pPr>
            <w:r w:rsidRPr="00183411">
              <w:t>2113</w:t>
            </w:r>
          </w:p>
        </w:tc>
      </w:tr>
      <w:tr w:rsidR="00E749F1" w14:paraId="0A9F694C" w14:textId="108036B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25B9D220" w14:textId="38A263FD" w:rsidR="00E749F1" w:rsidRPr="00E4485A" w:rsidRDefault="00E749F1" w:rsidP="00593450">
            <w:pPr>
              <w:pStyle w:val="Table"/>
            </w:pPr>
            <w:r w:rsidRPr="00183411">
              <w:t>4137. Exempt export capacity (kVA) adjusted for part-year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1BED8AE" w14:textId="798392E5" w:rsidR="00E749F1" w:rsidRPr="00980628" w:rsidRDefault="00E749F1" w:rsidP="00593450">
            <w:pPr>
              <w:pStyle w:val="Table"/>
              <w:jc w:val="center"/>
            </w:pPr>
            <w:r w:rsidRPr="00183411">
              <w:t>2105</w:t>
            </w:r>
          </w:p>
        </w:tc>
      </w:tr>
      <w:tr w:rsidR="00E749F1" w14:paraId="702A92F0" w14:textId="318B3D6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0973352" w14:textId="7B4D194B" w:rsidR="00E749F1" w:rsidRPr="00E4485A" w:rsidRDefault="00E749F1" w:rsidP="00593450">
            <w:pPr>
              <w:pStyle w:val="Table"/>
            </w:pPr>
            <w:r w:rsidRPr="00183411">
              <w:t>4139. Sole use asset MEAV for demand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5BFD9CF" w14:textId="1F1C6574" w:rsidR="00E749F1" w:rsidRPr="00980628" w:rsidRDefault="00E749F1" w:rsidP="00593450">
            <w:pPr>
              <w:pStyle w:val="Table"/>
              <w:jc w:val="center"/>
            </w:pPr>
            <w:r w:rsidRPr="00183411">
              <w:t>2813</w:t>
            </w:r>
          </w:p>
        </w:tc>
      </w:tr>
      <w:tr w:rsidR="00E749F1" w14:paraId="6FB90930" w14:textId="6C13ACE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C53F04F" w14:textId="2FB83746" w:rsidR="00E749F1" w:rsidRPr="00E4485A" w:rsidRDefault="00E749F1" w:rsidP="00593450">
            <w:pPr>
              <w:pStyle w:val="Table"/>
            </w:pPr>
            <w:r w:rsidRPr="00183411">
              <w:t>4141. Demand sole use asset MEAV adjusted for part-year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9DDA197" w14:textId="442A0131" w:rsidR="00E749F1" w:rsidRPr="00980628" w:rsidRDefault="00E749F1" w:rsidP="00593450">
            <w:pPr>
              <w:pStyle w:val="Table"/>
              <w:jc w:val="center"/>
            </w:pPr>
            <w:r w:rsidRPr="00183411">
              <w:t>2817</w:t>
            </w:r>
          </w:p>
        </w:tc>
      </w:tr>
      <w:tr w:rsidR="00E749F1" w14:paraId="79AECF27" w14:textId="568CFF3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8A25E37" w14:textId="38A10DEE" w:rsidR="00E749F1" w:rsidRPr="00E4485A" w:rsidRDefault="00E749F1" w:rsidP="00593450">
            <w:pPr>
              <w:pStyle w:val="Table"/>
            </w:pPr>
            <w:r w:rsidRPr="00183411">
              <w:t>4143. Total sole use assets for demand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A26AC66" w14:textId="0E9F6599" w:rsidR="00E749F1" w:rsidRPr="00980628" w:rsidRDefault="00E749F1" w:rsidP="00593450">
            <w:pPr>
              <w:pStyle w:val="Table"/>
              <w:jc w:val="center"/>
            </w:pPr>
            <w:r w:rsidRPr="00183411">
              <w:t>3407</w:t>
            </w:r>
          </w:p>
        </w:tc>
      </w:tr>
      <w:tr w:rsidR="00E749F1" w14:paraId="66C6BE92" w14:textId="38B0CEB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24DF498" w14:textId="466F862C" w:rsidR="00E749F1" w:rsidRPr="00E4485A" w:rsidRDefault="00E749F1" w:rsidP="00593450">
            <w:pPr>
              <w:pStyle w:val="Table"/>
            </w:pPr>
            <w:r w:rsidRPr="00183411">
              <w:lastRenderedPageBreak/>
              <w:t>4145. Super-red kW divided by kVA adjusted for part-year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1F6766D" w14:textId="1F1C9FB9" w:rsidR="00E749F1" w:rsidRPr="00980628" w:rsidRDefault="00E749F1" w:rsidP="00593450">
            <w:pPr>
              <w:pStyle w:val="Table"/>
              <w:jc w:val="center"/>
            </w:pPr>
            <w:r w:rsidRPr="00183411">
              <w:t>2303</w:t>
            </w:r>
          </w:p>
        </w:tc>
      </w:tr>
      <w:tr w:rsidR="00E749F1" w14:paraId="76B9A3C3" w14:textId="172A25C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189D8B4" w14:textId="2C57B49B" w:rsidR="00E749F1" w:rsidRPr="00E4485A" w:rsidRDefault="00E749F1" w:rsidP="00593450">
            <w:pPr>
              <w:pStyle w:val="Table"/>
            </w:pPr>
            <w:r w:rsidRPr="00183411">
              <w:t>4147. Peak-time active power consumption adjusted to transmission (kW/kVA)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6F88954" w14:textId="20018A63" w:rsidR="00E749F1" w:rsidRPr="00980628" w:rsidRDefault="00E749F1" w:rsidP="00593450">
            <w:pPr>
              <w:pStyle w:val="Table"/>
              <w:jc w:val="center"/>
            </w:pPr>
            <w:r w:rsidRPr="00183411">
              <w:t>2503</w:t>
            </w:r>
          </w:p>
        </w:tc>
      </w:tr>
      <w:tr w:rsidR="00E749F1" w14:paraId="4C839D4B" w14:textId="47B9384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ACC6879" w14:textId="48829212" w:rsidR="00E749F1" w:rsidRPr="00E4485A" w:rsidRDefault="00E749F1" w:rsidP="00593450">
            <w:pPr>
              <w:pStyle w:val="Table"/>
            </w:pPr>
            <w:r w:rsidRPr="00183411">
              <w:t>4149. Consumption EHV circuits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7B0D0B0" w14:textId="75902018" w:rsidR="00E749F1" w:rsidRPr="00980628" w:rsidRDefault="00E749F1" w:rsidP="00593450">
            <w:pPr>
              <w:pStyle w:val="Table"/>
              <w:jc w:val="center"/>
            </w:pPr>
            <w:r w:rsidRPr="00183411">
              <w:t>3317</w:t>
            </w:r>
          </w:p>
        </w:tc>
      </w:tr>
      <w:tr w:rsidR="00E749F1" w14:paraId="2E4B0C61" w14:textId="4542C20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036331D" w14:textId="7CD86FB5" w:rsidR="00E749F1" w:rsidRPr="00E4485A" w:rsidRDefault="00E749F1" w:rsidP="00593450">
            <w:pPr>
              <w:pStyle w:val="Table"/>
            </w:pPr>
            <w:r w:rsidRPr="00183411">
              <w:t>4151. Consumption 132kV/EHV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D1B9649" w14:textId="297302D3" w:rsidR="00E749F1" w:rsidRPr="00980628" w:rsidRDefault="00E749F1" w:rsidP="00593450">
            <w:pPr>
              <w:pStyle w:val="Table"/>
              <w:jc w:val="center"/>
            </w:pPr>
            <w:r w:rsidRPr="00183411">
              <w:t>3315</w:t>
            </w:r>
          </w:p>
        </w:tc>
      </w:tr>
      <w:tr w:rsidR="00E749F1" w14:paraId="3972339C" w14:textId="16614A6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10269F89" w14:textId="008B5AC0" w:rsidR="00E749F1" w:rsidRPr="00E4485A" w:rsidRDefault="00E749F1" w:rsidP="00593450">
            <w:pPr>
              <w:pStyle w:val="Table"/>
            </w:pPr>
            <w:r w:rsidRPr="00183411">
              <w:t>4153. Consumption 132kV circuits (£/kVA)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D6F5F9A" w14:textId="3DFF8033" w:rsidR="00E749F1" w:rsidRPr="00980628" w:rsidRDefault="00E749F1" w:rsidP="00593450">
            <w:pPr>
              <w:pStyle w:val="Table"/>
              <w:jc w:val="center"/>
            </w:pPr>
            <w:r w:rsidRPr="00183411">
              <w:t>3313</w:t>
            </w:r>
          </w:p>
        </w:tc>
      </w:tr>
      <w:tr w:rsidR="00E749F1" w14:paraId="28F9830F" w14:textId="24B37428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D32B1A0" w14:textId="4C844080" w:rsidR="00E749F1" w:rsidRPr="00E4485A" w:rsidRDefault="00E749F1" w:rsidP="00593450">
            <w:pPr>
              <w:pStyle w:val="Table"/>
            </w:pPr>
            <w:r w:rsidRPr="00183411">
              <w:t>4155. Total notional consumption assets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37BFAE0" w14:textId="77E77272" w:rsidR="00E749F1" w:rsidRPr="00980628" w:rsidRDefault="00E749F1" w:rsidP="00593450">
            <w:pPr>
              <w:pStyle w:val="Table"/>
              <w:jc w:val="center"/>
            </w:pPr>
            <w:r w:rsidRPr="00183411">
              <w:t>3319</w:t>
            </w:r>
          </w:p>
        </w:tc>
      </w:tr>
      <w:tr w:rsidR="00E749F1" w14:paraId="17688786" w14:textId="16541CC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725AFEB" w14:textId="7A248F68" w:rsidR="00E749F1" w:rsidRPr="00E4485A" w:rsidRDefault="00E749F1" w:rsidP="00593450">
            <w:pPr>
              <w:pStyle w:val="Table"/>
            </w:pPr>
            <w:r w:rsidRPr="00183411">
              <w:t>4157. Total notional consumption assets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3E090A7" w14:textId="19B8EDBF" w:rsidR="00E749F1" w:rsidRPr="00980628" w:rsidRDefault="00E749F1" w:rsidP="00593450">
            <w:pPr>
              <w:pStyle w:val="Table"/>
              <w:jc w:val="center"/>
            </w:pPr>
            <w:r w:rsidRPr="00183411">
              <w:t>3411</w:t>
            </w:r>
          </w:p>
        </w:tc>
      </w:tr>
      <w:tr w:rsidR="00E749F1" w14:paraId="5B0332FB" w14:textId="491A1D6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023EC09" w14:textId="2A9B6B86" w:rsidR="00E749F1" w:rsidRPr="00E4485A" w:rsidRDefault="00E749F1" w:rsidP="00593450">
            <w:pPr>
              <w:pStyle w:val="Table"/>
            </w:pPr>
            <w:r w:rsidRPr="00183411">
              <w:t>4159. Sole use asset MEAV for non-exempt generation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9E6BDE1" w14:textId="3BEDCC3B" w:rsidR="00E749F1" w:rsidRPr="00980628" w:rsidRDefault="00E749F1" w:rsidP="00593450">
            <w:pPr>
              <w:pStyle w:val="Table"/>
              <w:jc w:val="center"/>
            </w:pPr>
            <w:r w:rsidRPr="00183411">
              <w:t>2815</w:t>
            </w:r>
          </w:p>
        </w:tc>
      </w:tr>
      <w:tr w:rsidR="00E749F1" w14:paraId="7F6695F8" w14:textId="740F22D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4C79EB4" w14:textId="7884CB25" w:rsidR="00E749F1" w:rsidRPr="00E4485A" w:rsidRDefault="00E749F1" w:rsidP="00593450">
            <w:pPr>
              <w:pStyle w:val="Table"/>
            </w:pPr>
            <w:r w:rsidRPr="00183411">
              <w:t>4161. Generation sole use asset MEAV adjusted for part-year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3B7DA70" w14:textId="13D4D198" w:rsidR="00E749F1" w:rsidRPr="00980628" w:rsidRDefault="00E749F1" w:rsidP="00593450">
            <w:pPr>
              <w:pStyle w:val="Table"/>
              <w:jc w:val="center"/>
            </w:pPr>
            <w:r w:rsidRPr="00183411">
              <w:t>2819</w:t>
            </w:r>
          </w:p>
        </w:tc>
      </w:tr>
      <w:tr w:rsidR="00E749F1" w14:paraId="38213555" w14:textId="3F43AFD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D945A6F" w14:textId="5A6F2AA1" w:rsidR="00E749F1" w:rsidRPr="00E4485A" w:rsidRDefault="00E749F1" w:rsidP="00593450">
            <w:pPr>
              <w:pStyle w:val="Table"/>
            </w:pPr>
            <w:r w:rsidRPr="00183411">
              <w:t>4163. Generation sole use asset MEAV adjusted for part-year (£) (aggregate)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2BC9016" w14:textId="5F222B7A" w:rsidR="00E749F1" w:rsidRPr="00980628" w:rsidRDefault="00E749F1" w:rsidP="00593450">
            <w:pPr>
              <w:pStyle w:val="Table"/>
              <w:jc w:val="center"/>
            </w:pPr>
            <w:r w:rsidRPr="00183411">
              <w:t>3413</w:t>
            </w:r>
          </w:p>
        </w:tc>
      </w:tr>
      <w:tr w:rsidR="00E749F1" w14:paraId="47EB1CFC" w14:textId="36F0677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D07C6EE" w14:textId="17261ADE" w:rsidR="00E749F1" w:rsidRPr="00E4485A" w:rsidRDefault="00E749F1" w:rsidP="00593450">
            <w:pPr>
              <w:pStyle w:val="Table"/>
            </w:pPr>
            <w:r w:rsidRPr="00183411">
              <w:t>4165. All notional assets in EDCM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FBD56E2" w14:textId="53542FA6" w:rsidR="00E749F1" w:rsidRPr="00980628" w:rsidRDefault="00E749F1" w:rsidP="00593450">
            <w:pPr>
              <w:pStyle w:val="Table"/>
              <w:jc w:val="center"/>
            </w:pPr>
            <w:r w:rsidRPr="00183411">
              <w:t>3415</w:t>
            </w:r>
          </w:p>
        </w:tc>
      </w:tr>
      <w:tr w:rsidR="00E749F1" w14:paraId="1437DFB7" w14:textId="5DBAE71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1C3C485" w14:textId="367992C0" w:rsidR="00E749F1" w:rsidRPr="00E4485A" w:rsidRDefault="00E749F1" w:rsidP="00593450">
            <w:pPr>
              <w:pStyle w:val="Table"/>
            </w:pPr>
            <w:r w:rsidRPr="00183411">
              <w:t>4201. Non-DSM import capacity adjusted for part-year (kVA)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640C9D4" w14:textId="5CEF8CA6" w:rsidR="00E749F1" w:rsidRPr="00980628" w:rsidRDefault="00E749F1" w:rsidP="00593450">
            <w:pPr>
              <w:pStyle w:val="Table"/>
              <w:jc w:val="center"/>
            </w:pPr>
            <w:r w:rsidRPr="00183411">
              <w:t>3901</w:t>
            </w:r>
          </w:p>
        </w:tc>
      </w:tr>
      <w:tr w:rsidR="00E749F1" w14:paraId="09D51CBE" w14:textId="5E8BADBE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3E8E255B" w14:textId="580A78A8" w:rsidR="00E749F1" w:rsidRPr="00E4485A" w:rsidRDefault="00E749F1" w:rsidP="00593450">
            <w:pPr>
              <w:pStyle w:val="Table"/>
            </w:pPr>
            <w:r w:rsidRPr="00183411">
              <w:t>4203. Location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F954929" w14:textId="4FF12BCE" w:rsidR="00E749F1" w:rsidRPr="00980628" w:rsidRDefault="00E749F1" w:rsidP="00593450">
            <w:pPr>
              <w:pStyle w:val="Table"/>
              <w:jc w:val="center"/>
            </w:pPr>
            <w:r w:rsidRPr="00183411">
              <w:t>2115</w:t>
            </w:r>
          </w:p>
        </w:tc>
      </w:tr>
      <w:tr w:rsidR="00E749F1" w14:paraId="1B3304B8" w14:textId="0D247C65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FBC58F3" w14:textId="6001BC08" w:rsidR="00E749F1" w:rsidRPr="00E4485A" w:rsidRDefault="00E749F1" w:rsidP="00593450">
            <w:pPr>
              <w:pStyle w:val="Table"/>
            </w:pPr>
            <w:r w:rsidRPr="00183411">
              <w:t>4205. Parent location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BC4E1A4" w14:textId="261921DA" w:rsidR="00E749F1" w:rsidRPr="00980628" w:rsidRDefault="00E749F1" w:rsidP="00593450">
            <w:pPr>
              <w:pStyle w:val="Table"/>
              <w:jc w:val="center"/>
            </w:pPr>
            <w:r w:rsidRPr="00183411">
              <w:t>2117</w:t>
            </w:r>
          </w:p>
        </w:tc>
      </w:tr>
      <w:tr w:rsidR="00E749F1" w14:paraId="591D74F1" w14:textId="5B113E3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F48D752" w14:textId="4DD2D9F7" w:rsidR="00E749F1" w:rsidRPr="00E4485A" w:rsidRDefault="00E749F1" w:rsidP="00593450">
            <w:pPr>
              <w:pStyle w:val="Table"/>
            </w:pPr>
            <w:r w:rsidRPr="00183411">
              <w:t>4207. Grandparent location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F8BFA67" w14:textId="288B29C2" w:rsidR="00E749F1" w:rsidRPr="00980628" w:rsidRDefault="00E749F1" w:rsidP="00593450">
            <w:pPr>
              <w:pStyle w:val="Table"/>
              <w:jc w:val="center"/>
            </w:pPr>
            <w:r w:rsidRPr="00183411">
              <w:t>2119</w:t>
            </w:r>
          </w:p>
        </w:tc>
      </w:tr>
      <w:tr w:rsidR="00E749F1" w14:paraId="54D7CFB6" w14:textId="78120D0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A1C2DAC" w14:textId="5B0C4BCC" w:rsidR="00E749F1" w:rsidRPr="00E4485A" w:rsidRDefault="00E749F1" w:rsidP="00593450">
            <w:pPr>
              <w:pStyle w:val="Table"/>
            </w:pPr>
            <w:r w:rsidRPr="00183411">
              <w:t>4209. Grandparent group maximum demand (kVA)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78A5D38" w14:textId="0C5B1A0C" w:rsidR="00E749F1" w:rsidRPr="00980628" w:rsidRDefault="00E749F1" w:rsidP="00593450">
            <w:pPr>
              <w:pStyle w:val="Table"/>
              <w:jc w:val="center"/>
            </w:pPr>
            <w:r w:rsidRPr="00183411">
              <w:t>3909</w:t>
            </w:r>
          </w:p>
        </w:tc>
      </w:tr>
      <w:tr w:rsidR="00E749F1" w14:paraId="70EE85D4" w14:textId="42271678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6485606" w14:textId="75124D3C" w:rsidR="00E749F1" w:rsidRPr="00E4485A" w:rsidRDefault="00E749F1" w:rsidP="00593450">
            <w:pPr>
              <w:pStyle w:val="Table"/>
            </w:pPr>
            <w:r w:rsidRPr="00183411">
              <w:t>4211. Grandparent group reactive factor, maximum demand (kVAr/kVA)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095CD5C" w14:textId="10B08CA6" w:rsidR="00E749F1" w:rsidRPr="00980628" w:rsidRDefault="00E749F1" w:rsidP="00593450">
            <w:pPr>
              <w:pStyle w:val="Table"/>
              <w:jc w:val="center"/>
            </w:pPr>
            <w:r w:rsidRPr="00183411">
              <w:t>3911</w:t>
            </w:r>
          </w:p>
        </w:tc>
      </w:tr>
      <w:tr w:rsidR="00E749F1" w14:paraId="2E7574EE" w14:textId="3DF4457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990FA93" w14:textId="7421005B" w:rsidR="00E749F1" w:rsidRPr="00E4485A" w:rsidRDefault="00E749F1" w:rsidP="00593450">
            <w:pPr>
              <w:pStyle w:val="Table"/>
            </w:pPr>
            <w:r w:rsidRPr="00183411">
              <w:t>4213. Grandparent group power factor, maximum demand (kW/kVA)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F1A00F5" w14:textId="14785B82" w:rsidR="00E749F1" w:rsidRPr="00980628" w:rsidRDefault="00E749F1" w:rsidP="00593450">
            <w:pPr>
              <w:pStyle w:val="Table"/>
              <w:jc w:val="center"/>
            </w:pPr>
            <w:r w:rsidRPr="00183411">
              <w:t>3915</w:t>
            </w:r>
          </w:p>
        </w:tc>
      </w:tr>
      <w:tr w:rsidR="00E749F1" w14:paraId="48E9E51C" w14:textId="03A39438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B13A3A7" w14:textId="109CE595" w:rsidR="00E749F1" w:rsidRPr="00E4485A" w:rsidRDefault="00E749F1" w:rsidP="00593450">
            <w:pPr>
              <w:pStyle w:val="Table"/>
            </w:pPr>
            <w:r w:rsidRPr="00183411">
              <w:t>4215. Unadjusted but capped red kVAr/agreed kVA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579DA52" w14:textId="5F8353FA" w:rsidR="00E749F1" w:rsidRPr="00980628" w:rsidRDefault="00E749F1" w:rsidP="00593450">
            <w:pPr>
              <w:pStyle w:val="Table"/>
              <w:jc w:val="center"/>
            </w:pPr>
            <w:r w:rsidRPr="00183411">
              <w:t>3903</w:t>
            </w:r>
          </w:p>
        </w:tc>
      </w:tr>
      <w:tr w:rsidR="00E749F1" w14:paraId="44FF85FB" w14:textId="1EB95B8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007409B" w14:textId="5676601F" w:rsidR="00E749F1" w:rsidRPr="00E4485A" w:rsidRDefault="00E749F1" w:rsidP="00593450">
            <w:pPr>
              <w:pStyle w:val="Table"/>
            </w:pPr>
            <w:r w:rsidRPr="00183411">
              <w:t>4217. Parent location charge 1 £/kVA/year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7F9E8F1" w14:textId="0133CAD1" w:rsidR="00E749F1" w:rsidRPr="00980628" w:rsidRDefault="00E749F1" w:rsidP="00593450">
            <w:pPr>
              <w:pStyle w:val="Table"/>
              <w:jc w:val="center"/>
            </w:pPr>
            <w:r w:rsidRPr="00183411">
              <w:t>2123</w:t>
            </w:r>
          </w:p>
        </w:tc>
      </w:tr>
      <w:tr w:rsidR="00E749F1" w14:paraId="1314304B" w14:textId="596A52A5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19C3CE65" w14:textId="66812DA4" w:rsidR="00E749F1" w:rsidRPr="00E4485A" w:rsidRDefault="00E749F1" w:rsidP="00593450">
            <w:pPr>
              <w:pStyle w:val="Table"/>
            </w:pPr>
            <w:r w:rsidRPr="00183411">
              <w:t>4219. Parent group maximum demand (kVA)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EF16FC3" w14:textId="17A65BA2" w:rsidR="00E749F1" w:rsidRPr="00980628" w:rsidRDefault="00E749F1" w:rsidP="00593450">
            <w:pPr>
              <w:pStyle w:val="Table"/>
              <w:jc w:val="center"/>
            </w:pPr>
            <w:r w:rsidRPr="00183411">
              <w:t>3905</w:t>
            </w:r>
          </w:p>
        </w:tc>
      </w:tr>
      <w:tr w:rsidR="00E749F1" w14:paraId="0288C19C" w14:textId="6F59744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88D74F5" w14:textId="3FC386E8" w:rsidR="00E749F1" w:rsidRPr="00E4485A" w:rsidRDefault="00E749F1" w:rsidP="00593450">
            <w:pPr>
              <w:pStyle w:val="Table"/>
            </w:pPr>
            <w:r w:rsidRPr="00183411">
              <w:t>4221. Parent group reactive factor, maximum demand (kVAr/kVA)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5CF1CAA" w14:textId="128BBD80" w:rsidR="00E749F1" w:rsidRPr="00980628" w:rsidRDefault="00E749F1" w:rsidP="00593450">
            <w:pPr>
              <w:pStyle w:val="Table"/>
              <w:jc w:val="center"/>
            </w:pPr>
            <w:r w:rsidRPr="00183411">
              <w:t>3907</w:t>
            </w:r>
          </w:p>
        </w:tc>
      </w:tr>
      <w:tr w:rsidR="00E749F1" w14:paraId="2DDF0405" w14:textId="058B814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3783DF6" w14:textId="72333F09" w:rsidR="00E749F1" w:rsidRPr="00E4485A" w:rsidRDefault="00E749F1" w:rsidP="00593450">
            <w:pPr>
              <w:pStyle w:val="Table"/>
            </w:pPr>
            <w:r w:rsidRPr="00183411">
              <w:t>4223. Parent group power factor, maximum demand (kW/kVA)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3EA1F68" w14:textId="38CEE6A7" w:rsidR="00E749F1" w:rsidRPr="00980628" w:rsidRDefault="00E749F1" w:rsidP="00593450">
            <w:pPr>
              <w:pStyle w:val="Table"/>
              <w:jc w:val="center"/>
            </w:pPr>
            <w:r w:rsidRPr="00183411">
              <w:t>3913</w:t>
            </w:r>
          </w:p>
        </w:tc>
      </w:tr>
      <w:tr w:rsidR="00E749F1" w14:paraId="46603C6F" w14:textId="57C3CA9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FA9EC50" w14:textId="0BBF3EC3" w:rsidR="00E749F1" w:rsidRPr="00E4485A" w:rsidRDefault="00E749F1" w:rsidP="00593450">
            <w:pPr>
              <w:pStyle w:val="Table"/>
            </w:pPr>
            <w:r w:rsidRPr="00183411">
              <w:t>4225. Grandparent location charge 1 £/kVA/year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D40260D" w14:textId="15EF946C" w:rsidR="00E749F1" w:rsidRPr="00980628" w:rsidRDefault="00E749F1" w:rsidP="00593450">
            <w:pPr>
              <w:pStyle w:val="Table"/>
              <w:jc w:val="center"/>
            </w:pPr>
            <w:r w:rsidRPr="00183411">
              <w:t>2125</w:t>
            </w:r>
          </w:p>
        </w:tc>
      </w:tr>
      <w:tr w:rsidR="00E749F1" w14:paraId="663FAC51" w14:textId="71008BB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4FB55A6" w14:textId="4646269F" w:rsidR="00E749F1" w:rsidRPr="00E4485A" w:rsidRDefault="00E749F1" w:rsidP="00593450">
            <w:pPr>
              <w:pStyle w:val="Table"/>
            </w:pPr>
            <w:r w:rsidRPr="00183411">
              <w:lastRenderedPageBreak/>
              <w:t>4227. Super-red rate p/kWh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CFD3197" w14:textId="38C76336" w:rsidR="00E749F1" w:rsidRPr="00980628" w:rsidRDefault="00E749F1" w:rsidP="00593450">
            <w:pPr>
              <w:pStyle w:val="Table"/>
              <w:jc w:val="center"/>
            </w:pPr>
            <w:r w:rsidRPr="00183411">
              <w:t>3921</w:t>
            </w:r>
          </w:p>
        </w:tc>
      </w:tr>
      <w:tr w:rsidR="00E749F1" w14:paraId="58084773" w14:textId="58645195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3C298A9" w14:textId="3443153F" w:rsidR="00E749F1" w:rsidRPr="00E4485A" w:rsidRDefault="00E749F1" w:rsidP="00593450">
            <w:pPr>
              <w:pStyle w:val="Table"/>
            </w:pPr>
            <w:r w:rsidRPr="00183411">
              <w:t>4229. Super-red unit rate adjusted for DSM (p/kWh)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B9AB844" w14:textId="68D24A1D" w:rsidR="00E749F1" w:rsidRPr="00980628" w:rsidRDefault="00E749F1" w:rsidP="00593450">
            <w:pPr>
              <w:pStyle w:val="Table"/>
              <w:jc w:val="center"/>
            </w:pPr>
            <w:r w:rsidRPr="00183411">
              <w:t>3925</w:t>
            </w:r>
          </w:p>
        </w:tc>
      </w:tr>
      <w:tr w:rsidR="00E749F1" w14:paraId="490BAAC2" w14:textId="199BDB3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0A9FEE3" w14:textId="46DCBAFD" w:rsidR="00E749F1" w:rsidRPr="00E4485A" w:rsidRDefault="00E749F1" w:rsidP="00593450">
            <w:pPr>
              <w:pStyle w:val="Table"/>
            </w:pPr>
            <w:r w:rsidRPr="00183411">
              <w:t>4231. Location charge 1 £/kVA/year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B350CD8" w14:textId="38BA04B7" w:rsidR="00E749F1" w:rsidRPr="00980628" w:rsidRDefault="00E749F1" w:rsidP="00593450">
            <w:pPr>
              <w:pStyle w:val="Table"/>
              <w:jc w:val="center"/>
            </w:pPr>
            <w:r w:rsidRPr="00183411">
              <w:t>2121</w:t>
            </w:r>
          </w:p>
        </w:tc>
      </w:tr>
      <w:tr w:rsidR="00E749F1" w14:paraId="565A857B" w14:textId="0D3A81B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FA2A09A" w14:textId="4DFA4F24" w:rsidR="00E749F1" w:rsidRPr="00E4485A" w:rsidRDefault="00E749F1" w:rsidP="00593450">
            <w:pPr>
              <w:pStyle w:val="Table"/>
            </w:pPr>
            <w:r w:rsidRPr="00183411">
              <w:t>4233. Import capacity charge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88F8C72" w14:textId="24BB79D9" w:rsidR="00E749F1" w:rsidRPr="00980628" w:rsidRDefault="00E749F1" w:rsidP="00593450">
            <w:pPr>
              <w:pStyle w:val="Table"/>
              <w:jc w:val="center"/>
            </w:pPr>
            <w:r w:rsidRPr="00183411">
              <w:t>3919</w:t>
            </w:r>
          </w:p>
        </w:tc>
      </w:tr>
      <w:tr w:rsidR="00E749F1" w14:paraId="067BD1E6" w14:textId="560BBD0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69BF9639" w14:textId="3AEF183F" w:rsidR="00E749F1" w:rsidRPr="00E4485A" w:rsidRDefault="00E749F1" w:rsidP="00593450">
            <w:pPr>
              <w:pStyle w:val="Table"/>
            </w:pPr>
            <w:r w:rsidRPr="00183411">
              <w:t>4235. Import demand charge p/kVA/day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B5F26DC" w14:textId="437D9C89" w:rsidR="00E749F1" w:rsidRPr="00980628" w:rsidRDefault="00E749F1" w:rsidP="00593450">
            <w:pPr>
              <w:pStyle w:val="Table"/>
              <w:jc w:val="center"/>
            </w:pPr>
            <w:r w:rsidRPr="00183411">
              <w:t>3917</w:t>
            </w:r>
          </w:p>
        </w:tc>
      </w:tr>
      <w:tr w:rsidR="00E749F1" w14:paraId="54426811" w14:textId="2C6288A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730225F" w14:textId="0944E209" w:rsidR="00E749F1" w:rsidRPr="00E4485A" w:rsidRDefault="00E749F1" w:rsidP="00593450">
            <w:pPr>
              <w:pStyle w:val="Table"/>
            </w:pPr>
            <w:r w:rsidRPr="00183411">
              <w:t>4237. FCP capacity charge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B227558" w14:textId="7570C19F" w:rsidR="00E749F1" w:rsidRPr="00980628" w:rsidRDefault="00E749F1" w:rsidP="00593450">
            <w:pPr>
              <w:pStyle w:val="Table"/>
              <w:jc w:val="center"/>
            </w:pPr>
            <w:r w:rsidRPr="00183411">
              <w:t>3923</w:t>
            </w:r>
          </w:p>
        </w:tc>
      </w:tr>
      <w:tr w:rsidR="00E749F1" w14:paraId="395E8F64" w14:textId="53FC8DA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29F2FD1" w14:textId="61B827C0" w:rsidR="00E749F1" w:rsidRPr="00E4485A" w:rsidRDefault="00E749F1" w:rsidP="00593450">
            <w:pPr>
              <w:pStyle w:val="Table"/>
            </w:pPr>
            <w:r w:rsidRPr="00183411">
              <w:t>4239. Import capacity charge from charge 1 (p/kVA/day)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AD333F6" w14:textId="0B8934C9" w:rsidR="00E749F1" w:rsidRPr="00980628" w:rsidRDefault="00E749F1" w:rsidP="00593450">
            <w:pPr>
              <w:pStyle w:val="Table"/>
              <w:jc w:val="center"/>
            </w:pPr>
            <w:r w:rsidRPr="00183411">
              <w:t>3927</w:t>
            </w:r>
          </w:p>
        </w:tc>
      </w:tr>
      <w:tr w:rsidR="00E749F1" w14:paraId="03192E5B" w14:textId="337D143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BAFC69E" w14:textId="78B911AC" w:rsidR="00E749F1" w:rsidRPr="00E4485A" w:rsidRDefault="00E749F1" w:rsidP="00593450">
            <w:pPr>
              <w:pStyle w:val="Table"/>
            </w:pPr>
            <w:r w:rsidRPr="00183411">
              <w:t>4301. Total EDCM peak time consumption (kW)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07E9159" w14:textId="1AEB0388" w:rsidR="00E749F1" w:rsidRPr="00980628" w:rsidRDefault="00E749F1" w:rsidP="00593450">
            <w:pPr>
              <w:pStyle w:val="Table"/>
              <w:jc w:val="center"/>
            </w:pPr>
            <w:r w:rsidRPr="00183411">
              <w:t>2601</w:t>
            </w:r>
          </w:p>
        </w:tc>
      </w:tr>
      <w:tr w:rsidR="00E749F1" w14:paraId="7F79F9FE" w14:textId="729AE2B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8141A8B" w14:textId="40ADA5DA" w:rsidR="00E749F1" w:rsidRPr="00E4485A" w:rsidRDefault="00E749F1" w:rsidP="00593450">
            <w:pPr>
              <w:pStyle w:val="Table"/>
            </w:pPr>
            <w:r w:rsidRPr="00183411">
              <w:t>4303. EHV operating expenditure intensity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AF86916" w14:textId="281D1CAB" w:rsidR="00E749F1" w:rsidRPr="00980628" w:rsidRDefault="00E749F1" w:rsidP="00593450">
            <w:pPr>
              <w:pStyle w:val="Table"/>
              <w:jc w:val="center"/>
            </w:pPr>
            <w:r w:rsidRPr="00183411">
              <w:t>2003</w:t>
            </w:r>
          </w:p>
        </w:tc>
      </w:tr>
      <w:tr w:rsidR="00E749F1" w14:paraId="667AF954" w14:textId="66E44C5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578907E" w14:textId="0C3BBBFA" w:rsidR="00E749F1" w:rsidRPr="00E4485A" w:rsidRDefault="00E749F1" w:rsidP="00593450">
            <w:pPr>
              <w:pStyle w:val="Table"/>
            </w:pPr>
            <w:r w:rsidRPr="00183411">
              <w:t>4305. HV and LV service asset levels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F511C76" w14:textId="5FE9E29C" w:rsidR="00E749F1" w:rsidRPr="00980628" w:rsidRDefault="00E749F1" w:rsidP="00593450">
            <w:pPr>
              <w:pStyle w:val="Table"/>
              <w:jc w:val="center"/>
            </w:pPr>
            <w:r w:rsidRPr="00183411">
              <w:t>2013</w:t>
            </w:r>
          </w:p>
        </w:tc>
      </w:tr>
      <w:tr w:rsidR="00E749F1" w14:paraId="1F680CB8" w14:textId="45BDD4E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6BC08B9" w14:textId="7441AAA4" w:rsidR="00E749F1" w:rsidRPr="00E4485A" w:rsidRDefault="00E749F1" w:rsidP="00593450">
            <w:pPr>
              <w:pStyle w:val="Table"/>
            </w:pPr>
            <w:r w:rsidRPr="00183411">
              <w:t>4307. HV and LV service assets in CDCM model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E9E5DD1" w14:textId="4E9900B1" w:rsidR="00E749F1" w:rsidRPr="00980628" w:rsidRDefault="00E749F1" w:rsidP="00593450">
            <w:pPr>
              <w:pStyle w:val="Table"/>
              <w:jc w:val="center"/>
            </w:pPr>
            <w:r w:rsidRPr="00183411">
              <w:t>3405</w:t>
            </w:r>
          </w:p>
        </w:tc>
      </w:tr>
      <w:tr w:rsidR="00E749F1" w14:paraId="61237A2A" w14:textId="3C81ECF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5BCAE15" w14:textId="7C734EBA" w:rsidR="00E749F1" w:rsidRPr="00E4485A" w:rsidRDefault="00E749F1" w:rsidP="00593450">
            <w:pPr>
              <w:pStyle w:val="Table"/>
            </w:pPr>
            <w:r w:rsidRPr="00183411">
              <w:t>4309. EHV asset levels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F6CE253" w14:textId="544450E9" w:rsidR="00E749F1" w:rsidRPr="00980628" w:rsidRDefault="00E749F1" w:rsidP="00593450">
            <w:pPr>
              <w:pStyle w:val="Table"/>
              <w:jc w:val="center"/>
            </w:pPr>
            <w:r w:rsidRPr="00183411">
              <w:t>2009</w:t>
            </w:r>
          </w:p>
        </w:tc>
      </w:tr>
      <w:tr w:rsidR="00E749F1" w14:paraId="73F1CB6E" w14:textId="6F336A2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291286E9" w14:textId="5DA2EF6E" w:rsidR="00E749F1" w:rsidRPr="00E4485A" w:rsidRDefault="00E749F1" w:rsidP="00593450">
            <w:pPr>
              <w:pStyle w:val="Table"/>
            </w:pPr>
            <w:r w:rsidRPr="00183411">
              <w:t>4311. EHV assets in CDCM model (£)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27B8E58" w14:textId="7C712EC9" w:rsidR="00E749F1" w:rsidRPr="00980628" w:rsidRDefault="00E749F1" w:rsidP="00593450">
            <w:pPr>
              <w:pStyle w:val="Table"/>
              <w:jc w:val="center"/>
            </w:pPr>
            <w:r w:rsidRPr="00183411">
              <w:t>3401</w:t>
            </w:r>
          </w:p>
        </w:tc>
      </w:tr>
      <w:tr w:rsidR="00E749F1" w14:paraId="6B349847" w14:textId="7910805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E1631E0" w14:textId="77F8A8C2" w:rsidR="00E749F1" w:rsidRPr="00E4485A" w:rsidRDefault="00E749F1" w:rsidP="00593450">
            <w:pPr>
              <w:pStyle w:val="Table"/>
            </w:pPr>
            <w:r w:rsidRPr="00183411">
              <w:t>4313. HV and LV network asset levels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9185031" w14:textId="4220FC37" w:rsidR="00E749F1" w:rsidRPr="00980628" w:rsidRDefault="00E749F1" w:rsidP="00593450">
            <w:pPr>
              <w:pStyle w:val="Table"/>
              <w:jc w:val="center"/>
            </w:pPr>
            <w:r w:rsidRPr="00183411">
              <w:t>2011</w:t>
            </w:r>
          </w:p>
        </w:tc>
      </w:tr>
      <w:tr w:rsidR="00E749F1" w14:paraId="610AE1BA" w14:textId="04C91F7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BC2C42B" w14:textId="5F7626D6" w:rsidR="00E749F1" w:rsidRPr="00E4485A" w:rsidRDefault="00E749F1" w:rsidP="00593450">
            <w:pPr>
              <w:pStyle w:val="Table"/>
            </w:pPr>
            <w:r w:rsidRPr="00183411">
              <w:t>4315. HV and LV network assets in CDCM model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2C93D39" w14:textId="40E57BAE" w:rsidR="00E749F1" w:rsidRPr="00980628" w:rsidRDefault="00E749F1" w:rsidP="00593450">
            <w:pPr>
              <w:pStyle w:val="Table"/>
              <w:jc w:val="center"/>
            </w:pPr>
            <w:r w:rsidRPr="00183411">
              <w:t>3403</w:t>
            </w:r>
          </w:p>
        </w:tc>
      </w:tr>
      <w:tr w:rsidR="00E749F1" w14:paraId="483C9F59" w14:textId="6D3E8C7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98288FD" w14:textId="652F46F4" w:rsidR="00E749F1" w:rsidRPr="00E4485A" w:rsidRDefault="00E749F1" w:rsidP="00593450">
            <w:pPr>
              <w:pStyle w:val="Table"/>
            </w:pPr>
            <w:r w:rsidRPr="00183411">
              <w:t>4317. Indirect cost charging rate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3A0C758" w14:textId="6D405A3F" w:rsidR="00E749F1" w:rsidRPr="00980628" w:rsidRDefault="00E749F1" w:rsidP="00593450">
            <w:pPr>
              <w:pStyle w:val="Table"/>
              <w:jc w:val="center"/>
            </w:pPr>
            <w:r w:rsidRPr="00183411">
              <w:t>3505</w:t>
            </w:r>
          </w:p>
        </w:tc>
      </w:tr>
      <w:tr w:rsidR="00E749F1" w14:paraId="78202169" w14:textId="1A0C415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8BA05AD" w14:textId="33AEA0DE" w:rsidR="00E749F1" w:rsidRPr="00E4485A" w:rsidRDefault="00E749F1" w:rsidP="00593450">
            <w:pPr>
              <w:pStyle w:val="Table"/>
            </w:pPr>
            <w:r w:rsidRPr="00183411">
              <w:t>4319. Total demand sole use assets qualifying for DCP 189 discount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332FC7E" w14:textId="2208DDEF" w:rsidR="00E749F1" w:rsidRPr="00980628" w:rsidRDefault="00E749F1" w:rsidP="00593450">
            <w:pPr>
              <w:pStyle w:val="Table"/>
              <w:jc w:val="center"/>
            </w:pPr>
            <w:r w:rsidRPr="00183411">
              <w:t>3703</w:t>
            </w:r>
          </w:p>
        </w:tc>
      </w:tr>
      <w:tr w:rsidR="00E749F1" w14:paraId="5EABD280" w14:textId="360D6AD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3AEBD8C" w14:textId="58A23B4C" w:rsidR="00E749F1" w:rsidRPr="00E4485A" w:rsidRDefault="00E749F1" w:rsidP="00593450">
            <w:pPr>
              <w:pStyle w:val="Table"/>
            </w:pPr>
            <w:r w:rsidRPr="00183411">
              <w:t>4321. Network rates charging rate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BC826ED" w14:textId="0DF0C9E3" w:rsidR="00E749F1" w:rsidRPr="00980628" w:rsidRDefault="00E749F1" w:rsidP="00593450">
            <w:pPr>
              <w:pStyle w:val="Table"/>
              <w:jc w:val="center"/>
            </w:pPr>
            <w:r w:rsidRPr="00183411">
              <w:t>3503</w:t>
            </w:r>
          </w:p>
        </w:tc>
      </w:tr>
      <w:tr w:rsidR="00E749F1" w14:paraId="06B86289" w14:textId="088A18C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0B75797" w14:textId="19E2A2E9" w:rsidR="00E749F1" w:rsidRPr="00E4485A" w:rsidRDefault="00E749F1" w:rsidP="00593450">
            <w:pPr>
              <w:pStyle w:val="Table"/>
            </w:pPr>
            <w:r w:rsidRPr="00183411">
              <w:t>4323. Capacity eligible for GSP generation credits (kW) adjusted for part-year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4E488F8" w14:textId="63BEAFD2" w:rsidR="00E749F1" w:rsidRPr="00980628" w:rsidRDefault="00E749F1" w:rsidP="00593450">
            <w:pPr>
              <w:pStyle w:val="Table"/>
              <w:jc w:val="center"/>
            </w:pPr>
            <w:r w:rsidRPr="00183411">
              <w:t>2801</w:t>
            </w:r>
          </w:p>
        </w:tc>
      </w:tr>
      <w:tr w:rsidR="00E749F1" w14:paraId="20DBDD41" w14:textId="3E67584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AA8C8FE" w14:textId="3B1068D2" w:rsidR="00E749F1" w:rsidRPr="00E4485A" w:rsidRDefault="00E749F1" w:rsidP="00593450">
            <w:pPr>
              <w:pStyle w:val="Table"/>
            </w:pPr>
            <w:r w:rsidRPr="00183411">
              <w:t>4325. Total CDCM peak time consumption (kW)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DB36362" w14:textId="2A37D7CE" w:rsidR="00E749F1" w:rsidRPr="00980628" w:rsidRDefault="00E749F1" w:rsidP="00593450">
            <w:pPr>
              <w:pStyle w:val="Table"/>
              <w:jc w:val="center"/>
            </w:pPr>
            <w:r w:rsidRPr="00183411">
              <w:t>2403</w:t>
            </w:r>
          </w:p>
        </w:tc>
      </w:tr>
      <w:tr w:rsidR="00E749F1" w14:paraId="0C6C113B" w14:textId="05F85F2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2DC3D49D" w14:textId="3E6D16B8" w:rsidR="00E749F1" w:rsidRPr="00E4485A" w:rsidRDefault="00E749F1" w:rsidP="00593450">
            <w:pPr>
              <w:pStyle w:val="Table"/>
            </w:pPr>
            <w:r w:rsidRPr="00183411">
              <w:t>4327. Estimated total peak-time consumption (kW)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467FA25" w14:textId="5279D5EF" w:rsidR="00E749F1" w:rsidRPr="00980628" w:rsidRDefault="00E749F1" w:rsidP="00593450">
            <w:pPr>
              <w:pStyle w:val="Table"/>
              <w:jc w:val="center"/>
            </w:pPr>
            <w:r w:rsidRPr="00183411">
              <w:t>2603</w:t>
            </w:r>
          </w:p>
        </w:tc>
      </w:tr>
      <w:tr w:rsidR="00E749F1" w14:paraId="6842A52D" w14:textId="43F42B2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8DDBDD5" w14:textId="5574B95C" w:rsidR="00E749F1" w:rsidRPr="00E4485A" w:rsidRDefault="00E749F1" w:rsidP="00593450">
            <w:pPr>
              <w:pStyle w:val="Table"/>
            </w:pPr>
            <w:r w:rsidRPr="00183411">
              <w:t>4329. Transmission exit charging rate (£/kW/year)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927EBC8" w14:textId="061F4733" w:rsidR="00E749F1" w:rsidRPr="00980628" w:rsidRDefault="00E749F1" w:rsidP="00593450">
            <w:pPr>
              <w:pStyle w:val="Table"/>
              <w:jc w:val="center"/>
            </w:pPr>
            <w:r w:rsidRPr="00183411">
              <w:t>2701</w:t>
            </w:r>
          </w:p>
        </w:tc>
      </w:tr>
      <w:tr w:rsidR="00E749F1" w14:paraId="069AF953" w14:textId="5B8D1A1E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FC79B2B" w14:textId="53FC603C" w:rsidR="00E749F1" w:rsidRPr="00E4485A" w:rsidRDefault="00E749F1" w:rsidP="00593450">
            <w:pPr>
              <w:pStyle w:val="Table"/>
            </w:pPr>
            <w:r w:rsidRPr="00183411">
              <w:t>4331. Generation credit (unrounded)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F2FCF28" w14:textId="65C7CF54" w:rsidR="00E749F1" w:rsidRPr="00980628" w:rsidRDefault="00E749F1" w:rsidP="00593450">
            <w:pPr>
              <w:pStyle w:val="Table"/>
              <w:jc w:val="center"/>
            </w:pPr>
            <w:r w:rsidRPr="00183411">
              <w:t>2803</w:t>
            </w:r>
          </w:p>
        </w:tc>
      </w:tr>
      <w:tr w:rsidR="00E749F1" w14:paraId="6053EFFD" w14:textId="782B1EB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25B9A35" w14:textId="1928462C" w:rsidR="00E749F1" w:rsidRPr="00E4485A" w:rsidRDefault="00E749F1" w:rsidP="00593450">
            <w:pPr>
              <w:pStyle w:val="Table"/>
            </w:pPr>
            <w:r w:rsidRPr="00183411">
              <w:t>4333. Has export charges?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945ABD2" w14:textId="023075DD" w:rsidR="00E749F1" w:rsidRPr="00980628" w:rsidRDefault="00E749F1" w:rsidP="00593450">
            <w:pPr>
              <w:pStyle w:val="Table"/>
              <w:jc w:val="center"/>
            </w:pPr>
            <w:r w:rsidRPr="00183411">
              <w:t>2103</w:t>
            </w:r>
          </w:p>
        </w:tc>
      </w:tr>
      <w:tr w:rsidR="00E749F1" w14:paraId="1D80F787" w14:textId="70DD554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F2AAA02" w14:textId="0EA132C8" w:rsidR="00E749F1" w:rsidRPr="00E4485A" w:rsidRDefault="00E749F1" w:rsidP="00593450">
            <w:pPr>
              <w:pStyle w:val="Table"/>
            </w:pPr>
            <w:r w:rsidRPr="00183411">
              <w:lastRenderedPageBreak/>
              <w:t>4335. Chargeable export capacity adjusted for part-year (kVA) (total)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61C80C4" w14:textId="743674FC" w:rsidR="00E749F1" w:rsidRPr="00980628" w:rsidRDefault="00E749F1" w:rsidP="00593450">
            <w:pPr>
              <w:pStyle w:val="Table"/>
              <w:jc w:val="center"/>
            </w:pPr>
            <w:r w:rsidRPr="00183411">
              <w:t>2201</w:t>
            </w:r>
          </w:p>
        </w:tc>
      </w:tr>
      <w:tr w:rsidR="00E749F1" w14:paraId="703483A3" w14:textId="3E84DD9C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7A4B19C" w14:textId="00092F82" w:rsidR="00E749F1" w:rsidRPr="00E4485A" w:rsidRDefault="00E749F1" w:rsidP="00593450">
            <w:pPr>
              <w:pStyle w:val="Table"/>
            </w:pPr>
            <w:r w:rsidRPr="00183411">
              <w:t>4337. Non-exempt post-2010 export capacity (kVA) adjusted for part-year (total)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A366DA3" w14:textId="05C95BF5" w:rsidR="00E749F1" w:rsidRPr="00980628" w:rsidRDefault="00E749F1" w:rsidP="00593450">
            <w:pPr>
              <w:pStyle w:val="Table"/>
              <w:jc w:val="center"/>
            </w:pPr>
            <w:r w:rsidRPr="00183411">
              <w:t>2205</w:t>
            </w:r>
          </w:p>
        </w:tc>
      </w:tr>
      <w:tr w:rsidR="00E749F1" w14:paraId="1C732B2E" w14:textId="6518B00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9AB08D7" w14:textId="685E6924" w:rsidR="00E749F1" w:rsidRPr="00E4485A" w:rsidRDefault="00E749F1" w:rsidP="00593450">
            <w:pPr>
              <w:pStyle w:val="Table"/>
            </w:pPr>
            <w:r w:rsidRPr="00183411">
              <w:t>4339. Non-exempt 2005-2010 export capacity (kVA) adjusted for part-year (total)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F25BDA7" w14:textId="688041A8" w:rsidR="00E749F1" w:rsidRPr="00980628" w:rsidRDefault="00E749F1" w:rsidP="00593450">
            <w:pPr>
              <w:pStyle w:val="Table"/>
              <w:jc w:val="center"/>
            </w:pPr>
            <w:r w:rsidRPr="00183411">
              <w:t>2203</w:t>
            </w:r>
          </w:p>
        </w:tc>
      </w:tr>
      <w:tr w:rsidR="00E749F1" w14:paraId="707ABA47" w14:textId="65E9A9F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94C3970" w14:textId="5D43FDA0" w:rsidR="00E749F1" w:rsidRPr="00E4485A" w:rsidRDefault="00E749F1" w:rsidP="00593450">
            <w:pPr>
              <w:pStyle w:val="Table"/>
            </w:pPr>
            <w:r w:rsidRPr="00183411">
              <w:t>4341. Export capacity charge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029B9E6" w14:textId="399B78FF" w:rsidR="00E749F1" w:rsidRPr="00980628" w:rsidRDefault="00E749F1" w:rsidP="00593450">
            <w:pPr>
              <w:pStyle w:val="Table"/>
              <w:jc w:val="center"/>
            </w:pPr>
            <w:r w:rsidRPr="00183411">
              <w:t>2207</w:t>
            </w:r>
          </w:p>
        </w:tc>
      </w:tr>
      <w:tr w:rsidR="00E749F1" w14:paraId="2013E361" w14:textId="6BCD989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2F49359F" w14:textId="1C6FF997" w:rsidR="00E749F1" w:rsidRPr="00E4485A" w:rsidRDefault="00E749F1" w:rsidP="00593450">
            <w:pPr>
              <w:pStyle w:val="Table"/>
            </w:pPr>
            <w:r w:rsidRPr="00183411">
              <w:t>4343. Export capacity charge (unrounded) p/kVA/day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96422F0" w14:textId="5CCA9F48" w:rsidR="00E749F1" w:rsidRPr="00980628" w:rsidRDefault="00E749F1" w:rsidP="00593450">
            <w:pPr>
              <w:pStyle w:val="Table"/>
              <w:jc w:val="center"/>
            </w:pPr>
            <w:r w:rsidRPr="00183411">
              <w:t>2805</w:t>
            </w:r>
          </w:p>
        </w:tc>
      </w:tr>
      <w:tr w:rsidR="00E749F1" w14:paraId="7D5E9648" w14:textId="219D26A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606C459" w14:textId="0CA26634" w:rsidR="00E749F1" w:rsidRPr="00E4485A" w:rsidRDefault="00E749F1" w:rsidP="00593450">
            <w:pPr>
              <w:pStyle w:val="Table"/>
            </w:pPr>
            <w:r w:rsidRPr="00183411">
              <w:t>4345. Net export capacity charge (or credit) (unrounded) (p/kVA/day)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4E1C4B8" w14:textId="110EF327" w:rsidR="00E749F1" w:rsidRPr="00980628" w:rsidRDefault="00E749F1" w:rsidP="00593450">
            <w:pPr>
              <w:pStyle w:val="Table"/>
              <w:jc w:val="center"/>
            </w:pPr>
            <w:r w:rsidRPr="00183411">
              <w:t>2809</w:t>
            </w:r>
          </w:p>
        </w:tc>
      </w:tr>
      <w:tr w:rsidR="00E749F1" w14:paraId="33A07E65" w14:textId="044482B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0B84331" w14:textId="6BB3809B" w:rsidR="00E749F1" w:rsidRPr="00E4485A" w:rsidRDefault="00E749F1" w:rsidP="00593450">
            <w:pPr>
              <w:pStyle w:val="Table"/>
            </w:pPr>
            <w:r w:rsidRPr="00183411">
              <w:t>4347. Export capacity rate (p/kVA/day)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3575EFA" w14:textId="2BAB280B" w:rsidR="00E749F1" w:rsidRPr="00980628" w:rsidRDefault="00E749F1" w:rsidP="00593450">
            <w:pPr>
              <w:pStyle w:val="Table"/>
              <w:jc w:val="center"/>
            </w:pPr>
            <w:r w:rsidRPr="00183411">
              <w:t>2811</w:t>
            </w:r>
          </w:p>
        </w:tc>
      </w:tr>
      <w:tr w:rsidR="00E749F1" w14:paraId="6154285E" w14:textId="59E3750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F1DBB30" w14:textId="1024DD3C" w:rsidR="00E749F1" w:rsidRPr="00E4485A" w:rsidRDefault="00E749F1" w:rsidP="00593450">
            <w:pPr>
              <w:pStyle w:val="Table"/>
            </w:pPr>
            <w:r w:rsidRPr="00183411">
              <w:t>4349. Direct cost charging rate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60CC5EA" w14:textId="71BD42FB" w:rsidR="00E749F1" w:rsidRPr="00980628" w:rsidRDefault="00E749F1" w:rsidP="00593450">
            <w:pPr>
              <w:pStyle w:val="Table"/>
              <w:jc w:val="center"/>
            </w:pPr>
            <w:r w:rsidRPr="00183411">
              <w:t>3501</w:t>
            </w:r>
          </w:p>
        </w:tc>
      </w:tr>
      <w:tr w:rsidR="00E749F1" w14:paraId="600F5027" w14:textId="331162F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49D9462" w14:textId="41E3A7F5" w:rsidR="00E749F1" w:rsidRPr="00E4485A" w:rsidRDefault="00E749F1" w:rsidP="00593450">
            <w:pPr>
              <w:pStyle w:val="Table"/>
            </w:pPr>
            <w:r w:rsidRPr="00183411">
              <w:t>4351. Generation fixed charge p/day (scaled for part 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D0EB071" w14:textId="0AE1C175" w:rsidR="00E749F1" w:rsidRPr="00980628" w:rsidRDefault="00E749F1" w:rsidP="00593450">
            <w:pPr>
              <w:pStyle w:val="Table"/>
              <w:jc w:val="center"/>
            </w:pPr>
            <w:r w:rsidRPr="00183411">
              <w:t>3605</w:t>
            </w:r>
          </w:p>
        </w:tc>
      </w:tr>
      <w:tr w:rsidR="00E749F1" w14:paraId="74E933F8" w14:textId="7793AB8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682D843" w14:textId="29065757" w:rsidR="00E749F1" w:rsidRPr="00E4485A" w:rsidRDefault="00E749F1" w:rsidP="00593450">
            <w:pPr>
              <w:pStyle w:val="Table"/>
            </w:pPr>
            <w:r w:rsidRPr="00183411">
              <w:t>4353. Generation credit (before exempt adjustment) p/kWh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7292B84" w14:textId="1925E4E6" w:rsidR="00E749F1" w:rsidRPr="00980628" w:rsidRDefault="00E749F1" w:rsidP="00593450">
            <w:pPr>
              <w:pStyle w:val="Table"/>
              <w:jc w:val="center"/>
            </w:pPr>
            <w:r w:rsidRPr="00183411">
              <w:t>2127</w:t>
            </w:r>
          </w:p>
        </w:tc>
      </w:tr>
      <w:tr w:rsidR="00E749F1" w14:paraId="08E587F2" w14:textId="01776B5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17BA1DD" w14:textId="50B7BB4B" w:rsidR="00E749F1" w:rsidRPr="00E4485A" w:rsidRDefault="00E749F1" w:rsidP="00593450">
            <w:pPr>
              <w:pStyle w:val="Table"/>
            </w:pPr>
            <w:r w:rsidRPr="00183411">
              <w:t>4355. Generation credit (unrounded) p/kWh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D5E3409" w14:textId="7A5AA848" w:rsidR="00E749F1" w:rsidRPr="00980628" w:rsidRDefault="00E749F1" w:rsidP="00593450">
            <w:pPr>
              <w:pStyle w:val="Table"/>
              <w:jc w:val="center"/>
            </w:pPr>
            <w:r w:rsidRPr="00183411">
              <w:t>2129</w:t>
            </w:r>
          </w:p>
        </w:tc>
      </w:tr>
      <w:tr w:rsidR="00E749F1" w14:paraId="1511E902" w14:textId="01FF1D08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89CF234" w14:textId="4FB7BEC6" w:rsidR="00E749F1" w:rsidRPr="00E4485A" w:rsidRDefault="00E749F1" w:rsidP="00593450">
            <w:pPr>
              <w:pStyle w:val="Table"/>
            </w:pPr>
            <w:r w:rsidRPr="00183411">
              <w:t>4357. Export super-red unit rate (p/kWh)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3098018" w14:textId="5A51453F" w:rsidR="00E749F1" w:rsidRPr="00980628" w:rsidRDefault="00E749F1" w:rsidP="00593450">
            <w:pPr>
              <w:pStyle w:val="Table"/>
              <w:jc w:val="center"/>
            </w:pPr>
            <w:r w:rsidRPr="00183411">
              <w:t>2131</w:t>
            </w:r>
          </w:p>
        </w:tc>
      </w:tr>
      <w:tr w:rsidR="00E749F1" w14:paraId="722827DD" w14:textId="0E83D77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6B24BBC1" w14:textId="258225CE" w:rsidR="00E749F1" w:rsidRPr="00E4485A" w:rsidRDefault="00E749F1" w:rsidP="00593450">
            <w:pPr>
              <w:pStyle w:val="Table"/>
            </w:pPr>
            <w:r w:rsidRPr="00183411">
              <w:t>4359. Net forecast EDCM generation revenue (£/year)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2ECAF70" w14:textId="5D034492" w:rsidR="00E749F1" w:rsidRPr="00980628" w:rsidRDefault="00E749F1" w:rsidP="00593450">
            <w:pPr>
              <w:pStyle w:val="Table"/>
              <w:jc w:val="center"/>
            </w:pPr>
            <w:r w:rsidRPr="00183411">
              <w:t>3701</w:t>
            </w:r>
          </w:p>
        </w:tc>
      </w:tr>
      <w:tr w:rsidR="00E749F1" w14:paraId="06C55AF4" w14:textId="7D134E0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98E4299" w14:textId="4F73AE23" w:rsidR="00E749F1" w:rsidRPr="00E4485A" w:rsidRDefault="00E749F1" w:rsidP="00593450">
            <w:pPr>
              <w:pStyle w:val="Table"/>
            </w:pPr>
            <w:r w:rsidRPr="00183411">
              <w:t>4361. Revenue less costs and adjustments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21BF6BF" w14:textId="77777777" w:rsidR="006E76A9" w:rsidRDefault="00E749F1" w:rsidP="00593450">
            <w:pPr>
              <w:pStyle w:val="Table"/>
              <w:jc w:val="center"/>
            </w:pPr>
            <w:r w:rsidRPr="00183411">
              <w:t>3705</w:t>
            </w:r>
            <w:r w:rsidR="006E76A9">
              <w:t xml:space="preserve"> </w:t>
            </w:r>
          </w:p>
          <w:p w14:paraId="68A54393" w14:textId="40A18149" w:rsidR="00E749F1" w:rsidRPr="00980628" w:rsidRDefault="00073444" w:rsidP="00593450">
            <w:pPr>
              <w:pStyle w:val="Table"/>
              <w:jc w:val="center"/>
            </w:pPr>
            <w:r>
              <w:t>(amended as described above</w:t>
            </w:r>
            <w:r w:rsidR="006E76A9">
              <w:t>)</w:t>
            </w:r>
          </w:p>
        </w:tc>
      </w:tr>
      <w:tr w:rsidR="00E749F1" w14:paraId="65E495B4" w14:textId="271E40E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C3EEA47" w14:textId="3E15A711" w:rsidR="00E749F1" w:rsidRPr="00E4485A" w:rsidRDefault="00E749F1" w:rsidP="00593450">
            <w:pPr>
              <w:pStyle w:val="Table"/>
            </w:pPr>
            <w:r w:rsidRPr="00183411">
              <w:t>4363. Other revenue charging rate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EADE531" w14:textId="31033574" w:rsidR="00E749F1" w:rsidRPr="00980628" w:rsidRDefault="00E749F1" w:rsidP="00593450">
            <w:pPr>
              <w:pStyle w:val="Table"/>
              <w:jc w:val="center"/>
            </w:pPr>
            <w:r w:rsidRPr="00183411">
              <w:t>3801</w:t>
            </w:r>
          </w:p>
        </w:tc>
      </w:tr>
      <w:tr w:rsidR="00E749F1" w14:paraId="25F0F574" w14:textId="003E76E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D4FFA3A" w14:textId="549E717D" w:rsidR="00E749F1" w:rsidRPr="00E4485A" w:rsidRDefault="00E749F1" w:rsidP="00593450">
            <w:pPr>
              <w:pStyle w:val="Table"/>
            </w:pPr>
            <w:r w:rsidRPr="00183411">
              <w:t>4365. Demand revenue target pot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7631C54" w14:textId="2BF61B0B" w:rsidR="00E749F1" w:rsidRPr="00980628" w:rsidRDefault="00E749F1" w:rsidP="00593450">
            <w:pPr>
              <w:pStyle w:val="Table"/>
              <w:jc w:val="center"/>
            </w:pPr>
            <w:r w:rsidRPr="00183411">
              <w:t>4007</w:t>
            </w:r>
          </w:p>
        </w:tc>
      </w:tr>
      <w:tr w:rsidR="00E749F1" w14:paraId="02CB4C25" w14:textId="3042C21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80528FA" w14:textId="6F58D1BA" w:rsidR="00E749F1" w:rsidRPr="00E4485A" w:rsidRDefault="00E749F1" w:rsidP="00593450">
            <w:pPr>
              <w:pStyle w:val="Table"/>
            </w:pPr>
            <w:r w:rsidRPr="00183411">
              <w:t>4401. Direct costs on EDCM demand except through sole use asset charges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C1DEE04" w14:textId="6CE97BE8" w:rsidR="00E749F1" w:rsidRPr="00980628" w:rsidRDefault="00E749F1" w:rsidP="00593450">
            <w:pPr>
              <w:pStyle w:val="Table"/>
              <w:jc w:val="center"/>
            </w:pPr>
            <w:r w:rsidRPr="00183411">
              <w:t>4003</w:t>
            </w:r>
          </w:p>
        </w:tc>
      </w:tr>
      <w:tr w:rsidR="00E749F1" w14:paraId="6DF00C5B" w14:textId="7340BF4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C34DE5D" w14:textId="37DDCE62" w:rsidR="00E749F1" w:rsidRPr="00E4485A" w:rsidRDefault="00E749F1" w:rsidP="00593450">
            <w:pPr>
              <w:pStyle w:val="Table"/>
            </w:pPr>
            <w:r w:rsidRPr="00183411">
              <w:t>4403. Indirect costs on EDCM demand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5F61C79" w14:textId="5954CA26" w:rsidR="00E749F1" w:rsidRPr="00980628" w:rsidRDefault="00E749F1" w:rsidP="00593450">
            <w:pPr>
              <w:pStyle w:val="Table"/>
              <w:jc w:val="center"/>
            </w:pPr>
            <w:r w:rsidRPr="00183411">
              <w:t>4001</w:t>
            </w:r>
          </w:p>
        </w:tc>
      </w:tr>
      <w:tr w:rsidR="00E749F1" w14:paraId="28B04862" w14:textId="1DAF0B2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D16FBD1" w14:textId="23A32B57" w:rsidR="00E749F1" w:rsidRPr="00E4485A" w:rsidRDefault="00E749F1" w:rsidP="00593450">
            <w:pPr>
              <w:pStyle w:val="Table"/>
            </w:pPr>
            <w:r w:rsidRPr="00183411">
              <w:t>4405. Number of super-red hours connected in 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F4C802F" w14:textId="5AF2F637" w:rsidR="00E749F1" w:rsidRPr="00980628" w:rsidRDefault="00E749F1" w:rsidP="00593450">
            <w:pPr>
              <w:pStyle w:val="Table"/>
              <w:jc w:val="center"/>
            </w:pPr>
            <w:r w:rsidRPr="00183411">
              <w:t>3929</w:t>
            </w:r>
          </w:p>
        </w:tc>
      </w:tr>
      <w:tr w:rsidR="00E749F1" w14:paraId="05E64BB5" w14:textId="14DE65D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DD5907A" w14:textId="68E54553" w:rsidR="00E749F1" w:rsidRPr="00E4485A" w:rsidRDefault="00E749F1" w:rsidP="00593450">
            <w:pPr>
              <w:pStyle w:val="Table"/>
            </w:pPr>
            <w:r w:rsidRPr="00183411">
              <w:t>4407. Revenue from demand charge 1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2F4B521" w14:textId="28CCCD86" w:rsidR="00E749F1" w:rsidRPr="00980628" w:rsidRDefault="00E749F1" w:rsidP="00593450">
            <w:pPr>
              <w:pStyle w:val="Table"/>
              <w:jc w:val="center"/>
            </w:pPr>
            <w:r w:rsidRPr="00183411">
              <w:t>4009</w:t>
            </w:r>
          </w:p>
        </w:tc>
      </w:tr>
      <w:tr w:rsidR="00E749F1" w14:paraId="768B37DB" w14:textId="70D5814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EF32196" w14:textId="04C596B4" w:rsidR="00E749F1" w:rsidRPr="00E4485A" w:rsidRDefault="00E749F1" w:rsidP="00593450">
            <w:pPr>
              <w:pStyle w:val="Table"/>
            </w:pPr>
            <w:r w:rsidRPr="00183411">
              <w:t>4409. Additional amount to be recovered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9CDC69A" w14:textId="5317FA8F" w:rsidR="00E749F1" w:rsidRPr="00980628" w:rsidRDefault="00E749F1" w:rsidP="00593450">
            <w:pPr>
              <w:pStyle w:val="Table"/>
              <w:jc w:val="center"/>
            </w:pPr>
            <w:r w:rsidRPr="00183411">
              <w:t>4011</w:t>
            </w:r>
          </w:p>
        </w:tc>
      </w:tr>
      <w:tr w:rsidR="00E749F1" w14:paraId="7438F4D1" w14:textId="7648F02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5EAC831" w14:textId="05998008" w:rsidR="00E749F1" w:rsidRPr="00E4485A" w:rsidRDefault="00E749F1" w:rsidP="00593450">
            <w:pPr>
              <w:pStyle w:val="Table"/>
            </w:pPr>
            <w:r w:rsidRPr="00183411">
              <w:lastRenderedPageBreak/>
              <w:t>4411. Network rates on EDCM demand except through sole use asset charges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7325C83" w14:textId="3DABE001" w:rsidR="00E749F1" w:rsidRPr="00980628" w:rsidRDefault="00E749F1" w:rsidP="00593450">
            <w:pPr>
              <w:pStyle w:val="Table"/>
              <w:jc w:val="center"/>
            </w:pPr>
            <w:r w:rsidRPr="00183411">
              <w:t>4005</w:t>
            </w:r>
          </w:p>
        </w:tc>
      </w:tr>
      <w:tr w:rsidR="00E749F1" w14:paraId="3DEB2EF5" w14:textId="1214051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814E20C" w14:textId="4C5FE53A" w:rsidR="00E749F1" w:rsidRPr="00E4485A" w:rsidRDefault="00E749F1" w:rsidP="00593450">
            <w:pPr>
              <w:pStyle w:val="Table"/>
            </w:pPr>
            <w:r w:rsidRPr="00183411">
              <w:t>4413. Proportion of residual to go into fixed adder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514856C" w14:textId="460C676E" w:rsidR="00E749F1" w:rsidRPr="00980628" w:rsidRDefault="00E749F1" w:rsidP="00593450">
            <w:pPr>
              <w:pStyle w:val="Table"/>
              <w:jc w:val="center"/>
            </w:pPr>
            <w:r w:rsidRPr="00183411">
              <w:t>2005</w:t>
            </w:r>
          </w:p>
        </w:tc>
      </w:tr>
      <w:tr w:rsidR="00E749F1" w14:paraId="6484DA00" w14:textId="1F4F44F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27545CC" w14:textId="4E1162F9" w:rsidR="00E749F1" w:rsidRPr="00E4485A" w:rsidRDefault="00E749F1" w:rsidP="00593450">
            <w:pPr>
              <w:pStyle w:val="Table"/>
            </w:pPr>
            <w:r w:rsidRPr="00183411">
              <w:t>4415. Residual residual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F14C10B" w14:textId="676AAA36" w:rsidR="00E749F1" w:rsidRPr="00980628" w:rsidRDefault="00E749F1" w:rsidP="00593450">
            <w:pPr>
              <w:pStyle w:val="Table"/>
              <w:jc w:val="center"/>
            </w:pPr>
            <w:r w:rsidRPr="00183411">
              <w:t>4013</w:t>
            </w:r>
          </w:p>
        </w:tc>
      </w:tr>
      <w:tr w:rsidR="00E749F1" w14:paraId="0B9E7EB8" w14:textId="1A3EA7A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7AC11FB" w14:textId="5A254E9C" w:rsidR="00E749F1" w:rsidRPr="00E4485A" w:rsidRDefault="00E749F1" w:rsidP="00593450">
            <w:pPr>
              <w:pStyle w:val="Table"/>
            </w:pPr>
            <w:r w:rsidRPr="00183411">
              <w:t>4417. Network use factors (second set)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0B17CCA" w14:textId="4C664DCB" w:rsidR="00E749F1" w:rsidRPr="00980628" w:rsidRDefault="00E749F1" w:rsidP="00593450">
            <w:pPr>
              <w:pStyle w:val="Table"/>
              <w:jc w:val="center"/>
            </w:pPr>
            <w:r w:rsidRPr="00183411">
              <w:t>4101</w:t>
            </w:r>
          </w:p>
        </w:tc>
      </w:tr>
      <w:tr w:rsidR="00E749F1" w14:paraId="227EA745" w14:textId="640D3F2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A701F80" w14:textId="5A424950" w:rsidR="00E749F1" w:rsidRPr="00E4485A" w:rsidRDefault="00E749F1" w:rsidP="00593450">
            <w:pPr>
              <w:pStyle w:val="Table"/>
            </w:pPr>
            <w:r w:rsidRPr="00183411">
              <w:t>4419. Capacity 132kV/HV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B3C990D" w14:textId="54322A1C" w:rsidR="00E749F1" w:rsidRPr="00980628" w:rsidRDefault="00E749F1" w:rsidP="00593450">
            <w:pPr>
              <w:pStyle w:val="Table"/>
              <w:jc w:val="center"/>
            </w:pPr>
            <w:r w:rsidRPr="00183411">
              <w:t>4111</w:t>
            </w:r>
          </w:p>
        </w:tc>
      </w:tr>
      <w:tr w:rsidR="00E749F1" w14:paraId="78227D0A" w14:textId="0EC8786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FE3BD1B" w14:textId="7129A93E" w:rsidR="00E749F1" w:rsidRPr="00E4485A" w:rsidRDefault="00E749F1" w:rsidP="00593450">
            <w:pPr>
              <w:pStyle w:val="Table"/>
            </w:pPr>
            <w:r w:rsidRPr="00183411">
              <w:t>4421. Capacity EHV circuits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BC05B8A" w14:textId="4DE1DAB1" w:rsidR="00E749F1" w:rsidRPr="00980628" w:rsidRDefault="00E749F1" w:rsidP="00593450">
            <w:pPr>
              <w:pStyle w:val="Table"/>
              <w:jc w:val="center"/>
            </w:pPr>
            <w:r w:rsidRPr="00183411">
              <w:t>4107</w:t>
            </w:r>
          </w:p>
        </w:tc>
      </w:tr>
      <w:tr w:rsidR="00E749F1" w14:paraId="6FA1902E" w14:textId="5D849F9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E23E3AA" w14:textId="591A5571" w:rsidR="00E749F1" w:rsidRPr="00E4485A" w:rsidRDefault="00E749F1" w:rsidP="00593450">
            <w:pPr>
              <w:pStyle w:val="Table"/>
            </w:pPr>
            <w:r w:rsidRPr="00183411">
              <w:t>4423. Capacity 132kV/EHV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3EB3142" w14:textId="73DD52D4" w:rsidR="00E749F1" w:rsidRPr="00980628" w:rsidRDefault="00E749F1" w:rsidP="00593450">
            <w:pPr>
              <w:pStyle w:val="Table"/>
              <w:jc w:val="center"/>
            </w:pPr>
            <w:r w:rsidRPr="00183411">
              <w:t>4105</w:t>
            </w:r>
          </w:p>
        </w:tc>
      </w:tr>
      <w:tr w:rsidR="00E749F1" w14:paraId="04C03131" w14:textId="30CD7CCE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4252D93" w14:textId="299323CA" w:rsidR="00E749F1" w:rsidRPr="00E4485A" w:rsidRDefault="00E749F1" w:rsidP="00593450">
            <w:pPr>
              <w:pStyle w:val="Table"/>
            </w:pPr>
            <w:r w:rsidRPr="00183411">
              <w:t>4425. Capacity EHV/HV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639BDC8" w14:textId="02499E0A" w:rsidR="00E749F1" w:rsidRPr="00980628" w:rsidRDefault="00E749F1" w:rsidP="00593450">
            <w:pPr>
              <w:pStyle w:val="Table"/>
              <w:jc w:val="center"/>
            </w:pPr>
            <w:r w:rsidRPr="00183411">
              <w:t>4109</w:t>
            </w:r>
          </w:p>
        </w:tc>
      </w:tr>
      <w:tr w:rsidR="00E749F1" w14:paraId="5731042D" w14:textId="00327E6C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C2BCA30" w14:textId="113624BF" w:rsidR="00E749F1" w:rsidRPr="00E4485A" w:rsidRDefault="00E749F1" w:rsidP="00593450">
            <w:pPr>
              <w:pStyle w:val="Table"/>
            </w:pPr>
            <w:r w:rsidRPr="00183411">
              <w:t>4427. Capacity 132kV circuits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C28A3C4" w14:textId="6DCF290A" w:rsidR="00E749F1" w:rsidRPr="00980628" w:rsidRDefault="00E749F1" w:rsidP="00593450">
            <w:pPr>
              <w:pStyle w:val="Table"/>
              <w:jc w:val="center"/>
            </w:pPr>
            <w:r w:rsidRPr="00183411">
              <w:t>4103</w:t>
            </w:r>
          </w:p>
        </w:tc>
      </w:tr>
      <w:tr w:rsidR="00E749F1" w14:paraId="40F03053" w14:textId="2E1F685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E7A06DF" w14:textId="5687B3DE" w:rsidR="00E749F1" w:rsidRPr="00E4485A" w:rsidRDefault="00E749F1" w:rsidP="00593450">
            <w:pPr>
              <w:pStyle w:val="Table"/>
            </w:pPr>
            <w:r w:rsidRPr="00183411">
              <w:t>4429. Second set of capacity assets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5F22361" w14:textId="682299F1" w:rsidR="00E749F1" w:rsidRPr="00980628" w:rsidRDefault="00E749F1" w:rsidP="00593450">
            <w:pPr>
              <w:pStyle w:val="Table"/>
              <w:jc w:val="center"/>
            </w:pPr>
            <w:r w:rsidRPr="00183411">
              <w:t>4113</w:t>
            </w:r>
          </w:p>
        </w:tc>
      </w:tr>
      <w:tr w:rsidR="00E749F1" w14:paraId="261CC2DE" w14:textId="3543F0F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97ABA4A" w14:textId="389A13D7" w:rsidR="00E749F1" w:rsidRPr="00E4485A" w:rsidRDefault="00E749F1" w:rsidP="00593450">
            <w:pPr>
              <w:pStyle w:val="Table"/>
            </w:pPr>
            <w:r w:rsidRPr="00183411">
              <w:t>4431. Consumption EHV circuits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A7F29F1" w14:textId="07B1D34E" w:rsidR="00E749F1" w:rsidRPr="00980628" w:rsidRDefault="00E749F1" w:rsidP="00593450">
            <w:pPr>
              <w:pStyle w:val="Table"/>
              <w:jc w:val="center"/>
            </w:pPr>
            <w:r w:rsidRPr="00183411">
              <w:t>4119</w:t>
            </w:r>
          </w:p>
        </w:tc>
      </w:tr>
      <w:tr w:rsidR="00E749F1" w14:paraId="5ECDB8C7" w14:textId="4B78B49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86C8E5F" w14:textId="51CF22DB" w:rsidR="00E749F1" w:rsidRPr="00E4485A" w:rsidRDefault="00E749F1" w:rsidP="00593450">
            <w:pPr>
              <w:pStyle w:val="Table"/>
            </w:pPr>
            <w:r w:rsidRPr="00183411">
              <w:t>4433. Consumption 132kV/EHV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0B55EAB" w14:textId="5863442D" w:rsidR="00E749F1" w:rsidRPr="00980628" w:rsidRDefault="00E749F1" w:rsidP="00593450">
            <w:pPr>
              <w:pStyle w:val="Table"/>
              <w:jc w:val="center"/>
            </w:pPr>
            <w:r w:rsidRPr="00183411">
              <w:t>4117</w:t>
            </w:r>
          </w:p>
        </w:tc>
      </w:tr>
      <w:tr w:rsidR="00E749F1" w14:paraId="0DE9A45C" w14:textId="78FDC77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53692AC" w14:textId="48CC123C" w:rsidR="00E749F1" w:rsidRPr="00E4485A" w:rsidRDefault="00E749F1" w:rsidP="00593450">
            <w:pPr>
              <w:pStyle w:val="Table"/>
            </w:pPr>
            <w:r w:rsidRPr="00183411">
              <w:t>4435. Consumption 132kV circuits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AD94E09" w14:textId="17AF28D2" w:rsidR="00E749F1" w:rsidRPr="00980628" w:rsidRDefault="00E749F1" w:rsidP="00593450">
            <w:pPr>
              <w:pStyle w:val="Table"/>
              <w:jc w:val="center"/>
            </w:pPr>
            <w:r w:rsidRPr="00183411">
              <w:t>4115</w:t>
            </w:r>
          </w:p>
        </w:tc>
      </w:tr>
      <w:tr w:rsidR="00E749F1" w14:paraId="5877F454" w14:textId="3D937F38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753279A" w14:textId="4B38A5C5" w:rsidR="00E749F1" w:rsidRPr="00E4485A" w:rsidRDefault="00E749F1" w:rsidP="00593450">
            <w:pPr>
              <w:pStyle w:val="Table"/>
            </w:pPr>
            <w:r w:rsidRPr="00183411">
              <w:t>4437. Second set of consumption assets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E8459EA" w14:textId="2DFDB560" w:rsidR="00E749F1" w:rsidRPr="00980628" w:rsidRDefault="00E749F1" w:rsidP="00593450">
            <w:pPr>
              <w:pStyle w:val="Table"/>
              <w:jc w:val="center"/>
            </w:pPr>
            <w:r w:rsidRPr="00183411">
              <w:t>4121</w:t>
            </w:r>
          </w:p>
        </w:tc>
      </w:tr>
      <w:tr w:rsidR="00E749F1" w14:paraId="4908B296" w14:textId="167A464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CE52D89" w14:textId="7195EC02" w:rsidR="00E749F1" w:rsidRPr="00E4485A" w:rsidRDefault="00E749F1" w:rsidP="00593450">
            <w:pPr>
              <w:pStyle w:val="Table"/>
            </w:pPr>
            <w:r w:rsidRPr="00183411">
              <w:t>4439. Non sole use notional assets subject to matching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BE76E61" w14:textId="496497B3" w:rsidR="00E749F1" w:rsidRPr="00980628" w:rsidRDefault="00E749F1" w:rsidP="00593450">
            <w:pPr>
              <w:pStyle w:val="Table"/>
              <w:jc w:val="center"/>
            </w:pPr>
            <w:r w:rsidRPr="00183411">
              <w:t>4129</w:t>
            </w:r>
          </w:p>
        </w:tc>
      </w:tr>
      <w:tr w:rsidR="00E749F1" w14:paraId="7F7471E3" w14:textId="288275D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DB7FD81" w14:textId="6661BAAB" w:rsidR="00E749F1" w:rsidRPr="00E4485A" w:rsidRDefault="00E749F1" w:rsidP="00593450">
            <w:pPr>
              <w:pStyle w:val="Table"/>
            </w:pPr>
            <w:r w:rsidRPr="00183411">
              <w:t>4441. Total non sole use notional assets subject to matching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FEFF45A" w14:textId="7CE4A89D" w:rsidR="00E749F1" w:rsidRPr="00980628" w:rsidRDefault="00E749F1" w:rsidP="00593450">
            <w:pPr>
              <w:pStyle w:val="Table"/>
              <w:jc w:val="center"/>
            </w:pPr>
            <w:r w:rsidRPr="00183411">
              <w:t>4203</w:t>
            </w:r>
          </w:p>
        </w:tc>
      </w:tr>
      <w:tr w:rsidR="00E749F1" w14:paraId="692C05AB" w14:textId="237DF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14208E7" w14:textId="1A766E9A" w:rsidR="00E749F1" w:rsidRPr="00E4485A" w:rsidRDefault="00E749F1" w:rsidP="00593450">
            <w:pPr>
              <w:pStyle w:val="Table"/>
            </w:pPr>
            <w:r w:rsidRPr="00183411">
              <w:t>4443. Annual charge on assets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28B50BF" w14:textId="42AD805B" w:rsidR="00E749F1" w:rsidRPr="00980628" w:rsidRDefault="00E749F1" w:rsidP="00593450">
            <w:pPr>
              <w:pStyle w:val="Table"/>
              <w:jc w:val="center"/>
            </w:pPr>
            <w:r w:rsidRPr="00183411">
              <w:t>4301</w:t>
            </w:r>
          </w:p>
        </w:tc>
      </w:tr>
      <w:tr w:rsidR="00E749F1" w14:paraId="603EFEFF" w14:textId="25A571E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8E257FF" w14:textId="5506A8AE" w:rsidR="00E749F1" w:rsidRPr="00E4485A" w:rsidRDefault="00E749F1" w:rsidP="00593450">
            <w:pPr>
              <w:pStyle w:val="Table"/>
            </w:pPr>
            <w:r w:rsidRPr="00183411">
              <w:t>4445. Amount to be recovered from adders ex costs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7104FF6" w14:textId="3085EB57" w:rsidR="00E749F1" w:rsidRPr="00980628" w:rsidRDefault="00E749F1" w:rsidP="00593450">
            <w:pPr>
              <w:pStyle w:val="Table"/>
              <w:jc w:val="center"/>
            </w:pPr>
            <w:r w:rsidRPr="00183411">
              <w:t>4201</w:t>
            </w:r>
          </w:p>
        </w:tc>
      </w:tr>
      <w:tr w:rsidR="00E749F1" w14:paraId="62E3E682" w14:textId="27D8796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BC965C2" w14:textId="1640D395" w:rsidR="00E749F1" w:rsidRPr="00E4485A" w:rsidRDefault="00E749F1" w:rsidP="00593450">
            <w:pPr>
              <w:pStyle w:val="Table"/>
            </w:pPr>
            <w:r w:rsidRPr="00183411">
              <w:t>4447. Factor for the allocation of capacity scaling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6B6CAAC" w14:textId="4CF01E00" w:rsidR="00E749F1" w:rsidRPr="00980628" w:rsidRDefault="00E749F1" w:rsidP="00593450">
            <w:pPr>
              <w:pStyle w:val="Table"/>
              <w:jc w:val="center"/>
            </w:pPr>
            <w:r w:rsidRPr="00183411">
              <w:t>2007</w:t>
            </w:r>
          </w:p>
        </w:tc>
      </w:tr>
      <w:tr w:rsidR="00E749F1" w14:paraId="7B448D44" w14:textId="1D8A094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C0EE516" w14:textId="6A4ACF4A" w:rsidR="00E749F1" w:rsidRPr="00E4485A" w:rsidRDefault="00E749F1" w:rsidP="00593450">
            <w:pPr>
              <w:pStyle w:val="Table"/>
            </w:pPr>
            <w:r w:rsidRPr="00183411">
              <w:t>4449. Marginal revenue effect of demand and indirect cost adders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3934FCC" w14:textId="0B6B3E5C" w:rsidR="00E749F1" w:rsidRPr="00980628" w:rsidRDefault="00E749F1" w:rsidP="00593450">
            <w:pPr>
              <w:pStyle w:val="Table"/>
              <w:jc w:val="center"/>
            </w:pPr>
            <w:r w:rsidRPr="00183411">
              <w:t>4401</w:t>
            </w:r>
          </w:p>
        </w:tc>
      </w:tr>
      <w:tr w:rsidR="00E749F1" w14:paraId="4F3E9616" w14:textId="55691ED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FEC6869" w14:textId="49359775" w:rsidR="00E749F1" w:rsidRPr="00E4485A" w:rsidRDefault="00E749F1" w:rsidP="00593450">
            <w:pPr>
              <w:pStyle w:val="Table"/>
            </w:pPr>
            <w:r w:rsidRPr="00183411">
              <w:t>4451. Total marginal revenue effect of demand adder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CD24214" w14:textId="5BF1C50C" w:rsidR="00E749F1" w:rsidRPr="00980628" w:rsidRDefault="00E749F1" w:rsidP="00593450">
            <w:pPr>
              <w:pStyle w:val="Table"/>
              <w:jc w:val="center"/>
            </w:pPr>
            <w:r w:rsidRPr="00183411">
              <w:t>4701</w:t>
            </w:r>
          </w:p>
        </w:tc>
      </w:tr>
      <w:tr w:rsidR="00E749F1" w14:paraId="57E0D1CE" w14:textId="693DD6C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F10B31E" w14:textId="4AB07EC3" w:rsidR="00E749F1" w:rsidRPr="00E4485A" w:rsidRDefault="00E749F1" w:rsidP="00593450">
            <w:pPr>
              <w:pStyle w:val="Table"/>
            </w:pPr>
            <w:r w:rsidRPr="00183411">
              <w:t>4453. Fixed adder ex indirects application rate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4655E26" w14:textId="6E8FFE64" w:rsidR="00E749F1" w:rsidRPr="00980628" w:rsidRDefault="00E749F1" w:rsidP="00593450">
            <w:pPr>
              <w:pStyle w:val="Table"/>
              <w:jc w:val="center"/>
            </w:pPr>
            <w:r w:rsidRPr="00183411">
              <w:t>4801</w:t>
            </w:r>
          </w:p>
        </w:tc>
      </w:tr>
      <w:tr w:rsidR="00E749F1" w14:paraId="49575E1C" w14:textId="3FD980B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6DDC01F" w14:textId="38936C65" w:rsidR="00E749F1" w:rsidRPr="00E4485A" w:rsidRDefault="00E749F1" w:rsidP="00593450">
            <w:pPr>
              <w:pStyle w:val="Table"/>
            </w:pPr>
            <w:r w:rsidRPr="00183411">
              <w:t>4455. Data for capacity-based allocation of indirect costs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62BCD11" w14:textId="20CC3835" w:rsidR="00E749F1" w:rsidRPr="00980628" w:rsidRDefault="00E749F1" w:rsidP="00593450">
            <w:pPr>
              <w:pStyle w:val="Table"/>
              <w:jc w:val="center"/>
            </w:pPr>
            <w:r w:rsidRPr="00183411">
              <w:t>4403</w:t>
            </w:r>
          </w:p>
        </w:tc>
      </w:tr>
      <w:tr w:rsidR="00E749F1" w14:paraId="3BD1A424" w14:textId="2966BDD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7C2378E" w14:textId="54DAA81D" w:rsidR="00E749F1" w:rsidRPr="00E4485A" w:rsidRDefault="00E749F1" w:rsidP="00593450">
            <w:pPr>
              <w:pStyle w:val="Table"/>
            </w:pPr>
            <w:r w:rsidRPr="00183411">
              <w:t>4457. Total marginal effect of indirect cost adder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58D076A" w14:textId="5688DE1A" w:rsidR="00E749F1" w:rsidRPr="00980628" w:rsidRDefault="00E749F1" w:rsidP="00593450">
            <w:pPr>
              <w:pStyle w:val="Table"/>
              <w:jc w:val="center"/>
            </w:pPr>
            <w:r w:rsidRPr="00183411">
              <w:t>4501</w:t>
            </w:r>
          </w:p>
        </w:tc>
      </w:tr>
      <w:tr w:rsidR="00E749F1" w14:paraId="4777CCEF" w14:textId="6E625D7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492BCA9" w14:textId="0F27ED90" w:rsidR="00E749F1" w:rsidRPr="00E4485A" w:rsidRDefault="00E749F1" w:rsidP="00593450">
            <w:pPr>
              <w:pStyle w:val="Table"/>
            </w:pPr>
            <w:r w:rsidRPr="00183411">
              <w:lastRenderedPageBreak/>
              <w:t>4459. Indirect costs application rate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EA7ECDA" w14:textId="68292EAC" w:rsidR="00E749F1" w:rsidRPr="00980628" w:rsidRDefault="00E749F1" w:rsidP="00593450">
            <w:pPr>
              <w:pStyle w:val="Table"/>
              <w:jc w:val="center"/>
            </w:pPr>
            <w:r w:rsidRPr="00183411">
              <w:t>4601</w:t>
            </w:r>
          </w:p>
        </w:tc>
      </w:tr>
      <w:tr w:rsidR="00E749F1" w14:paraId="27907D8E" w14:textId="1B364C9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9FDC5D6" w14:textId="3720A953" w:rsidR="00E749F1" w:rsidRPr="00E4485A" w:rsidRDefault="00E749F1" w:rsidP="00593450">
            <w:pPr>
              <w:pStyle w:val="Table"/>
            </w:pPr>
            <w:r w:rsidRPr="00183411">
              <w:t>4461. Capacity charge p/kVA/day (exit only)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D247407" w14:textId="42788FD1" w:rsidR="00E749F1" w:rsidRPr="00980628" w:rsidRDefault="00E749F1" w:rsidP="00593450">
            <w:pPr>
              <w:pStyle w:val="Table"/>
              <w:jc w:val="center"/>
            </w:pPr>
            <w:r w:rsidRPr="00183411">
              <w:t>4123</w:t>
            </w:r>
          </w:p>
        </w:tc>
      </w:tr>
      <w:tr w:rsidR="00E749F1" w14:paraId="7CE5AC58" w14:textId="4A83F51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D2D7AD6" w14:textId="69355501" w:rsidR="00E749F1" w:rsidRPr="00E4485A" w:rsidRDefault="00E749F1" w:rsidP="00593450">
            <w:pPr>
              <w:pStyle w:val="Table"/>
            </w:pPr>
            <w:r w:rsidRPr="00183411">
              <w:t>4463. Import capacity charge before scaling (p/kVA/day)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35EC801" w14:textId="0BBC43BE" w:rsidR="00E749F1" w:rsidRPr="00980628" w:rsidRDefault="00E749F1" w:rsidP="00593450">
            <w:pPr>
              <w:pStyle w:val="Table"/>
              <w:jc w:val="center"/>
            </w:pPr>
            <w:r w:rsidRPr="00183411">
              <w:t>4127</w:t>
            </w:r>
          </w:p>
        </w:tc>
      </w:tr>
      <w:tr w:rsidR="00E749F1" w14:paraId="58CB2B85" w14:textId="262B94D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211AD4C" w14:textId="45A86566" w:rsidR="00E749F1" w:rsidRPr="00E4485A" w:rsidRDefault="00E749F1" w:rsidP="00593450">
            <w:pPr>
              <w:pStyle w:val="Table"/>
            </w:pPr>
            <w:r w:rsidRPr="00183411">
              <w:t>4465. Capacity charge after applying indirect cost charge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0FB05ED" w14:textId="7D3A9F9B" w:rsidR="00E749F1" w:rsidRPr="00980628" w:rsidRDefault="00E749F1" w:rsidP="00593450">
            <w:pPr>
              <w:pStyle w:val="Table"/>
              <w:jc w:val="center"/>
            </w:pPr>
            <w:r w:rsidRPr="00183411">
              <w:t>4901</w:t>
            </w:r>
          </w:p>
        </w:tc>
      </w:tr>
      <w:tr w:rsidR="00E749F1" w14:paraId="0F504414" w14:textId="691F49E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5517F49" w14:textId="11B72EB4" w:rsidR="00E749F1" w:rsidRPr="00E4485A" w:rsidRDefault="00E749F1" w:rsidP="00593450">
            <w:pPr>
              <w:pStyle w:val="Table"/>
            </w:pPr>
            <w:r w:rsidRPr="00183411">
              <w:t>4467. Capacity charge after applying fixed adder ex indirects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0635060" w14:textId="1A70D574" w:rsidR="00E749F1" w:rsidRPr="00980628" w:rsidRDefault="00E749F1" w:rsidP="00593450">
            <w:pPr>
              <w:pStyle w:val="Table"/>
              <w:jc w:val="center"/>
            </w:pPr>
            <w:r w:rsidRPr="00183411">
              <w:t>4903</w:t>
            </w:r>
          </w:p>
        </w:tc>
      </w:tr>
      <w:tr w:rsidR="00E749F1" w14:paraId="6749FCE8" w14:textId="2D0F5FD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55060AD" w14:textId="6BB9E702" w:rsidR="00E749F1" w:rsidRPr="00E4485A" w:rsidRDefault="00E749F1" w:rsidP="00593450">
            <w:pPr>
              <w:pStyle w:val="Table"/>
            </w:pPr>
            <w:r w:rsidRPr="00183411">
              <w:t>4469. Demand scaling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1DBD953" w14:textId="20DA3FCE" w:rsidR="00E749F1" w:rsidRPr="00980628" w:rsidRDefault="00E749F1" w:rsidP="00593450">
            <w:pPr>
              <w:pStyle w:val="Table"/>
              <w:jc w:val="center"/>
            </w:pPr>
            <w:r w:rsidRPr="00183411">
              <w:t>4905</w:t>
            </w:r>
          </w:p>
        </w:tc>
      </w:tr>
      <w:tr w:rsidR="00E749F1" w14:paraId="4F076F7B" w14:textId="2A2D1D6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C784CE4" w14:textId="5E940E71" w:rsidR="00E749F1" w:rsidRPr="00E4485A" w:rsidRDefault="00E749F1" w:rsidP="00593450">
            <w:pPr>
              <w:pStyle w:val="Table"/>
            </w:pPr>
            <w:r w:rsidRPr="00183411">
              <w:t>4471. Total import capacity charge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FCE6AAA" w14:textId="0D5DAEDB" w:rsidR="00E749F1" w:rsidRPr="00980628" w:rsidRDefault="00E749F1" w:rsidP="00593450">
            <w:pPr>
              <w:pStyle w:val="Table"/>
              <w:jc w:val="center"/>
            </w:pPr>
            <w:r w:rsidRPr="00183411">
              <w:t>4907</w:t>
            </w:r>
          </w:p>
        </w:tc>
      </w:tr>
      <w:tr w:rsidR="00E749F1" w14:paraId="30F4FC5E" w14:textId="4CDEB89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B4CA449" w14:textId="3439D263" w:rsidR="00E749F1" w:rsidRPr="00E4485A" w:rsidRDefault="00E749F1" w:rsidP="00593450">
            <w:pPr>
              <w:pStyle w:val="Table"/>
            </w:pPr>
            <w:r w:rsidRPr="00183411">
              <w:t>4473. Has import charges?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75CB24E" w14:textId="29679F4F" w:rsidR="00E749F1" w:rsidRPr="00980628" w:rsidRDefault="00E749F1" w:rsidP="00593450">
            <w:pPr>
              <w:pStyle w:val="Table"/>
              <w:jc w:val="center"/>
            </w:pPr>
            <w:r w:rsidRPr="00183411">
              <w:t>3601</w:t>
            </w:r>
          </w:p>
        </w:tc>
      </w:tr>
      <w:tr w:rsidR="00E749F1" w14:paraId="38E1A635" w14:textId="5A31235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1827CE3" w14:textId="3C1E7EAD" w:rsidR="00E749F1" w:rsidRPr="00E4485A" w:rsidRDefault="00E749F1" w:rsidP="00593450">
            <w:pPr>
              <w:pStyle w:val="Table"/>
            </w:pPr>
            <w:r w:rsidRPr="00183411">
              <w:t>4475. Super-red rate p/kWh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A24B11F" w14:textId="450AB8F5" w:rsidR="00E749F1" w:rsidRPr="00980628" w:rsidRDefault="00E749F1" w:rsidP="00593450">
            <w:pPr>
              <w:pStyle w:val="Table"/>
              <w:jc w:val="center"/>
            </w:pPr>
            <w:r w:rsidRPr="00183411">
              <w:t>4909</w:t>
            </w:r>
          </w:p>
        </w:tc>
      </w:tr>
      <w:tr w:rsidR="00E749F1" w14:paraId="3DF7AD1B" w14:textId="5CABABCE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3B211FA" w14:textId="3CEE0DDE" w:rsidR="00E749F1" w:rsidRPr="00E4485A" w:rsidRDefault="00E749F1" w:rsidP="00593450">
            <w:pPr>
              <w:pStyle w:val="Table"/>
            </w:pPr>
            <w:r w:rsidRPr="00183411">
              <w:t>4477. Import capacity charge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0EAEADB" w14:textId="0C91790E" w:rsidR="00E749F1" w:rsidRPr="00980628" w:rsidRDefault="00E749F1" w:rsidP="00593450">
            <w:pPr>
              <w:pStyle w:val="Table"/>
              <w:jc w:val="center"/>
            </w:pPr>
            <w:r w:rsidRPr="00183411">
              <w:t>4911</w:t>
            </w:r>
          </w:p>
        </w:tc>
      </w:tr>
      <w:tr w:rsidR="00E749F1" w14:paraId="1C07FC1D" w14:textId="0F40B86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1B8B5CE" w14:textId="2C9CAB64" w:rsidR="00E749F1" w:rsidRPr="00E4485A" w:rsidRDefault="00E749F1" w:rsidP="00593450">
            <w:pPr>
              <w:pStyle w:val="Table"/>
            </w:pPr>
            <w:r w:rsidRPr="00183411">
              <w:t>4479. Demand fixed charge p/day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0EF80B7" w14:textId="0C699647" w:rsidR="00E749F1" w:rsidRPr="00980628" w:rsidRDefault="00E749F1" w:rsidP="00593450">
            <w:pPr>
              <w:pStyle w:val="Table"/>
              <w:jc w:val="center"/>
            </w:pPr>
            <w:r w:rsidRPr="00183411">
              <w:t>3603</w:t>
            </w:r>
          </w:p>
        </w:tc>
      </w:tr>
      <w:tr w:rsidR="00E749F1" w14:paraId="5D1785CC" w14:textId="3F29CDE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95FACEA" w14:textId="094B2546" w:rsidR="00E749F1" w:rsidRPr="00E4485A" w:rsidRDefault="00E749F1" w:rsidP="00593450">
            <w:pPr>
              <w:pStyle w:val="Table"/>
            </w:pPr>
            <w:r w:rsidRPr="00183411">
              <w:t>4481. Adjustment to exceeded import capacity charge for DSM (p/kVA/day)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1CC5C66" w14:textId="6EB46D16" w:rsidR="00E749F1" w:rsidRPr="00980628" w:rsidRDefault="00E749F1" w:rsidP="00593450">
            <w:pPr>
              <w:pStyle w:val="Table"/>
              <w:jc w:val="center"/>
            </w:pPr>
            <w:r w:rsidRPr="00183411">
              <w:t>4125</w:t>
            </w:r>
          </w:p>
        </w:tc>
      </w:tr>
      <w:tr w:rsidR="00E749F1" w14:paraId="6E471EE1" w14:textId="5801943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A74D419" w14:textId="49AA978A" w:rsidR="00E749F1" w:rsidRPr="00E4485A" w:rsidRDefault="00E749F1" w:rsidP="00593450">
            <w:pPr>
              <w:pStyle w:val="Table"/>
            </w:pPr>
            <w:r w:rsidRPr="00183411">
              <w:t>4483. Exceeded import capacity charge (p/kVA/day)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F9FCFAE" w14:textId="35DBAD6F" w:rsidR="00E749F1" w:rsidRPr="00980628" w:rsidRDefault="00E749F1" w:rsidP="00593450">
            <w:pPr>
              <w:pStyle w:val="Table"/>
              <w:jc w:val="center"/>
            </w:pPr>
            <w:r w:rsidRPr="00183411">
              <w:t>4913</w:t>
            </w:r>
          </w:p>
        </w:tc>
      </w:tr>
      <w:tr w:rsidR="00E749F1" w14:paraId="29CCF7EF" w14:textId="40EF2DE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9789300" w14:textId="5F7388CB" w:rsidR="00E749F1" w:rsidRPr="00E4485A" w:rsidRDefault="00E749F1" w:rsidP="00593450">
            <w:pPr>
              <w:pStyle w:val="Table"/>
            </w:pPr>
            <w:r w:rsidRPr="00183411">
              <w:t>4485. Export capacity charge (p/kVA/day)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2C12C78" w14:textId="434010FE" w:rsidR="00E749F1" w:rsidRPr="00980628" w:rsidRDefault="00E749F1" w:rsidP="00593450">
            <w:pPr>
              <w:pStyle w:val="Table"/>
              <w:jc w:val="center"/>
            </w:pPr>
            <w:r w:rsidRPr="00183411">
              <w:t>2807</w:t>
            </w:r>
          </w:p>
        </w:tc>
      </w:tr>
      <w:tr w:rsidR="00E749F1" w14:paraId="6D1FD825" w14:textId="37D3D5D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7504598" w14:textId="13016C60" w:rsidR="00E749F1" w:rsidRPr="00E4485A" w:rsidRDefault="00E749F1" w:rsidP="00593450">
            <w:pPr>
              <w:pStyle w:val="Table"/>
            </w:pPr>
            <w:r w:rsidRPr="00183411">
              <w:t>4487. Export fixed charge (unrounded) p/day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4BFF95D" w14:textId="4CBCC240" w:rsidR="00E749F1" w:rsidRPr="00980628" w:rsidRDefault="00E749F1" w:rsidP="00593450">
            <w:pPr>
              <w:pStyle w:val="Table"/>
              <w:jc w:val="center"/>
            </w:pPr>
            <w:r w:rsidRPr="00183411">
              <w:t>3607</w:t>
            </w:r>
          </w:p>
        </w:tc>
      </w:tr>
      <w:tr w:rsidR="00E749F1" w14:paraId="56070F81" w14:textId="63CE579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9B3F122" w14:textId="1F23F1C6" w:rsidR="00E749F1" w:rsidRPr="00E4485A" w:rsidRDefault="00E749F1" w:rsidP="00593450">
            <w:pPr>
              <w:pStyle w:val="Table"/>
            </w:pPr>
            <w:r w:rsidRPr="00183411">
              <w:t>4489. Export fixed charge p/day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E0286BA" w14:textId="2ED7D186" w:rsidR="00E749F1" w:rsidRPr="00980628" w:rsidRDefault="00E749F1" w:rsidP="00593450">
            <w:pPr>
              <w:pStyle w:val="Table"/>
              <w:jc w:val="center"/>
            </w:pPr>
            <w:r w:rsidRPr="00183411">
              <w:t>3609</w:t>
            </w:r>
          </w:p>
        </w:tc>
      </w:tr>
      <w:tr w:rsidR="00E749F1" w14:paraId="43784312" w14:textId="41F7961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EAB39C" w14:textId="68912C4B" w:rsidR="00E749F1" w:rsidRPr="00440762" w:rsidRDefault="00E749F1" w:rsidP="00C84BFF">
            <w:pPr>
              <w:pStyle w:val="Table"/>
            </w:pPr>
            <w:r w:rsidRPr="00440762">
              <w:t>4501. EDCM charge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45C865" w14:textId="33265F57" w:rsidR="00E749F1" w:rsidRDefault="00E749F1" w:rsidP="00C84BFF">
            <w:pPr>
              <w:pStyle w:val="Table"/>
              <w:jc w:val="center"/>
            </w:pPr>
            <w:r>
              <w:t>5001–5009</w:t>
            </w:r>
          </w:p>
        </w:tc>
      </w:tr>
      <w:tr w:rsidR="00E749F1" w14:paraId="14244F70" w14:textId="5A25B4F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B1E493" w14:textId="245D37CD" w:rsidR="00E749F1" w:rsidRPr="00440762" w:rsidRDefault="00E749F1" w:rsidP="00C84BFF">
            <w:pPr>
              <w:pStyle w:val="Table"/>
            </w:pPr>
            <w:r w:rsidRPr="00440762">
              <w:t>4601. Horizontal information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9B4AC1" w14:textId="597E0AF1" w:rsidR="00E749F1" w:rsidRDefault="00E749F1" w:rsidP="00C84BFF">
            <w:pPr>
              <w:pStyle w:val="Table"/>
              <w:jc w:val="center"/>
            </w:pPr>
            <w:r>
              <w:t>5101–5132</w:t>
            </w:r>
          </w:p>
        </w:tc>
      </w:tr>
      <w:tr w:rsidR="00E749F1" w14:paraId="7837EA9A" w14:textId="278FB9B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008378E" w14:textId="6F4A96EF" w:rsidR="00E749F1" w:rsidRPr="00440762" w:rsidRDefault="00E749F1" w:rsidP="00593450">
            <w:pPr>
              <w:pStyle w:val="Table"/>
            </w:pPr>
            <w:r w:rsidRPr="00183411">
              <w:t>4602. Total for all tariffs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FD44EA9" w14:textId="430D964D" w:rsidR="00E749F1" w:rsidRPr="00980628" w:rsidRDefault="00E749F1" w:rsidP="00593450">
            <w:pPr>
              <w:pStyle w:val="Table"/>
              <w:jc w:val="center"/>
            </w:pPr>
            <w:r w:rsidRPr="00183411">
              <w:t>6101</w:t>
            </w:r>
          </w:p>
        </w:tc>
      </w:tr>
      <w:tr w:rsidR="00E749F1" w14:paraId="5CDBBC68" w14:textId="1EDA978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4300E22" w14:textId="275C8EAB" w:rsidR="00E749F1" w:rsidRPr="00440762" w:rsidRDefault="00E749F1" w:rsidP="00593450">
            <w:pPr>
              <w:pStyle w:val="Table"/>
            </w:pPr>
            <w:r w:rsidRPr="00183411">
              <w:t>6001. Applicable discount for each tariff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2F4636C" w14:textId="5BDD6D35" w:rsidR="00E749F1" w:rsidRPr="00980628" w:rsidRDefault="00E749F1" w:rsidP="00593450">
            <w:pPr>
              <w:pStyle w:val="Table"/>
              <w:jc w:val="center"/>
            </w:pPr>
            <w:r w:rsidRPr="00183411">
              <w:t>No change</w:t>
            </w:r>
          </w:p>
        </w:tc>
      </w:tr>
      <w:tr w:rsidR="00E749F1" w14:paraId="4F3A6732" w14:textId="3496FB5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4D7D4A5" w14:textId="77F67D27" w:rsidR="00E749F1" w:rsidRPr="00440762" w:rsidRDefault="00E749F1" w:rsidP="00593450">
            <w:pPr>
              <w:pStyle w:val="Table"/>
            </w:pPr>
            <w:r w:rsidRPr="00183411">
              <w:t>6002. LDNO discounted CDCM tariffs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F3592B9" w14:textId="2E8CA3DE" w:rsidR="00E749F1" w:rsidRPr="00980628" w:rsidRDefault="00E749F1" w:rsidP="00593450">
            <w:pPr>
              <w:pStyle w:val="Table"/>
              <w:jc w:val="center"/>
            </w:pPr>
            <w:r w:rsidRPr="00183411">
              <w:t>No change</w:t>
            </w:r>
          </w:p>
        </w:tc>
      </w:tr>
      <w:tr w:rsidR="00E749F1" w14:paraId="515AB5F4" w14:textId="654A93AE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E95C16F" w14:textId="4D90D6B1" w:rsidR="00E749F1" w:rsidRPr="00440762" w:rsidRDefault="00E749F1" w:rsidP="00593450">
            <w:pPr>
              <w:pStyle w:val="Table"/>
            </w:pPr>
            <w:r w:rsidRPr="00183411">
              <w:t>6003. Net revenue from discounted LDNO tariffs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9105732" w14:textId="2DFE3AE3" w:rsidR="00E749F1" w:rsidRPr="00980628" w:rsidRDefault="00E749F1" w:rsidP="00593450">
            <w:pPr>
              <w:pStyle w:val="Table"/>
              <w:jc w:val="center"/>
            </w:pPr>
            <w:r w:rsidRPr="00183411">
              <w:t>No change</w:t>
            </w:r>
          </w:p>
        </w:tc>
      </w:tr>
      <w:tr w:rsidR="00E749F1" w14:paraId="3480BBE5" w14:textId="02EE02F8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0033E5D" w14:textId="7F6D40F3" w:rsidR="00E749F1" w:rsidRPr="00440762" w:rsidRDefault="00E749F1" w:rsidP="00593450">
            <w:pPr>
              <w:pStyle w:val="Table"/>
            </w:pPr>
            <w:r w:rsidRPr="00183411">
              <w:t>6004. Total net revenue from discounted LDNO tariffs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FF4837C" w14:textId="3AB13D2D" w:rsidR="00E749F1" w:rsidRPr="00980628" w:rsidRDefault="00E749F1" w:rsidP="00593450">
            <w:pPr>
              <w:pStyle w:val="Table"/>
              <w:jc w:val="center"/>
            </w:pPr>
            <w:r w:rsidRPr="00183411">
              <w:t>No change</w:t>
            </w:r>
          </w:p>
        </w:tc>
      </w:tr>
      <w:tr w:rsidR="00E749F1" w14:paraId="617D664C" w14:textId="6265305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9B52019" w14:textId="48790833" w:rsidR="00E749F1" w:rsidRPr="00440762" w:rsidRDefault="00E749F1" w:rsidP="00593450">
            <w:pPr>
              <w:pStyle w:val="Table"/>
            </w:pPr>
            <w:r w:rsidRPr="00183411">
              <w:t>6005. LDNO discounted CDCM tariffs (reordered)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EFD94E3" w14:textId="29AB8A80" w:rsidR="00E749F1" w:rsidRPr="00980628" w:rsidRDefault="00E749F1" w:rsidP="00593450">
            <w:pPr>
              <w:pStyle w:val="Table"/>
              <w:jc w:val="center"/>
            </w:pPr>
            <w:r w:rsidRPr="00183411">
              <w:t>No change</w:t>
            </w:r>
          </w:p>
        </w:tc>
      </w:tr>
      <w:tr w:rsidR="00E749F1" w14:paraId="3AEE19D5" w14:textId="4145A34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2CA5E2F" w14:textId="0490360E" w:rsidR="00E749F1" w:rsidRPr="00440762" w:rsidRDefault="00E749F1" w:rsidP="00593450">
            <w:pPr>
              <w:pStyle w:val="Table"/>
            </w:pPr>
            <w:r w:rsidRPr="00183411">
              <w:lastRenderedPageBreak/>
              <w:t>6101. Total EDCM revenue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795BA54" w14:textId="028B8DBD" w:rsidR="00E749F1" w:rsidRPr="00980628" w:rsidRDefault="00E749F1" w:rsidP="00593450">
            <w:pPr>
              <w:pStyle w:val="Table"/>
              <w:jc w:val="center"/>
            </w:pPr>
            <w:r w:rsidRPr="00183411">
              <w:t>6102</w:t>
            </w:r>
          </w:p>
        </w:tc>
      </w:tr>
    </w:tbl>
    <w:p w14:paraId="53E51033" w14:textId="77777777" w:rsidR="00A1149B" w:rsidRPr="00EE1E45" w:rsidRDefault="00A1149B" w:rsidP="00A1149B"/>
    <w:p w14:paraId="16C1D671" w14:textId="77777777" w:rsidR="0048368B" w:rsidRDefault="0048368B" w:rsidP="0048368B">
      <w:pPr>
        <w:pStyle w:val="Heading2"/>
      </w:pPr>
      <w:r>
        <w:t>Additional or modified outputs</w:t>
      </w:r>
    </w:p>
    <w:p w14:paraId="254C6E64" w14:textId="77777777" w:rsidR="0048368B" w:rsidRDefault="0048368B" w:rsidP="0048368B">
      <w:pPr>
        <w:pStyle w:val="Text"/>
      </w:pPr>
      <w:r>
        <w:t>There are no additional output data or changes to output data.</w:t>
      </w:r>
    </w:p>
    <w:p w14:paraId="020CCEF0" w14:textId="4B750081" w:rsidR="00DF5A45" w:rsidRDefault="00DF5A45" w:rsidP="00DF5A45">
      <w:pPr>
        <w:pStyle w:val="Heading2"/>
      </w:pPr>
      <w:r>
        <w:t>Impact on the EDCM input data manual</w:t>
      </w:r>
    </w:p>
    <w:p w14:paraId="3CE22A13" w14:textId="6C7F3CDC" w:rsidR="00DF5A45" w:rsidRPr="00DF5A45" w:rsidRDefault="001020AC" w:rsidP="00DF5A45">
      <w:pPr>
        <w:pStyle w:val="Text"/>
      </w:pPr>
      <w:r>
        <w:t xml:space="preserve">The new DCP 216 model is no longer consistent with the EDCM input data manual of December 2012 produced by Reckon LLP for the ENA. </w:t>
      </w:r>
    </w:p>
    <w:sectPr w:rsidR="00DF5A45" w:rsidRPr="00DF5A45" w:rsidSect="00964778">
      <w:footerReference w:type="default" r:id="rId7"/>
      <w:pgSz w:w="11900" w:h="16840"/>
      <w:pgMar w:top="1800" w:right="1440" w:bottom="1440" w:left="1440" w:header="1080" w:footer="83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F005B" w14:textId="77777777" w:rsidR="00593450" w:rsidRDefault="00593450" w:rsidP="00964778">
      <w:pPr>
        <w:spacing w:after="0"/>
      </w:pPr>
      <w:r>
        <w:separator/>
      </w:r>
    </w:p>
  </w:endnote>
  <w:endnote w:type="continuationSeparator" w:id="0">
    <w:p w14:paraId="75C29CD6" w14:textId="77777777" w:rsidR="00593450" w:rsidRDefault="00593450" w:rsidP="009647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FF2CF" w14:textId="77777777" w:rsidR="00593450" w:rsidRDefault="00593450">
    <w:pPr>
      <w:pStyle w:val="Footer"/>
    </w:pPr>
    <w:r w:rsidRPr="008021FC">
      <w:tab/>
    </w:r>
    <w:r>
      <w:fldChar w:fldCharType="begin"/>
    </w:r>
    <w:r>
      <w:instrText xml:space="preserve"> PAGE  \* MERGEFORMAT </w:instrText>
    </w:r>
    <w:r>
      <w:fldChar w:fldCharType="separate"/>
    </w:r>
    <w:r w:rsidR="00061F3C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42D79" w14:textId="77777777" w:rsidR="00593450" w:rsidRDefault="00593450" w:rsidP="00964778">
      <w:pPr>
        <w:spacing w:after="0"/>
      </w:pPr>
      <w:r>
        <w:separator/>
      </w:r>
    </w:p>
  </w:footnote>
  <w:footnote w:type="continuationSeparator" w:id="0">
    <w:p w14:paraId="2EE3FFA3" w14:textId="77777777" w:rsidR="00593450" w:rsidRDefault="00593450" w:rsidP="0096477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3BE4C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B21A3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B87DBC"/>
    <w:multiLevelType w:val="multilevel"/>
    <w:tmpl w:val="3C283E6E"/>
    <w:lvl w:ilvl="0">
      <w:start w:val="1"/>
      <w:numFmt w:val="none"/>
      <w:pStyle w:val="Heading1"/>
      <w:suff w:val="nothing"/>
      <w:lvlText w:val=""/>
      <w:lvlJc w:val="left"/>
      <w:rPr>
        <w:rFonts w:hint="default"/>
      </w:rPr>
    </w:lvl>
    <w:lvl w:ilvl="1">
      <w:start w:val="1"/>
      <w:numFmt w:val="decimal"/>
      <w:lvlRestart w:val="0"/>
      <w:pStyle w:val="Text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ListBullet"/>
      <w:lvlText w:val="(%3)"/>
      <w:lvlJc w:val="left"/>
      <w:pPr>
        <w:tabs>
          <w:tab w:val="num" w:pos="1195"/>
        </w:tabs>
        <w:ind w:left="1195" w:hanging="475"/>
      </w:pPr>
      <w:rPr>
        <w:rFonts w:hint="default"/>
      </w:rPr>
    </w:lvl>
    <w:lvl w:ilvl="3">
      <w:start w:val="1"/>
      <w:numFmt w:val="lowerRoman"/>
      <w:pStyle w:val="ListBullet2"/>
      <w:lvlText w:val="(%4)"/>
      <w:lvlJc w:val="left"/>
      <w:pPr>
        <w:tabs>
          <w:tab w:val="num" w:pos="1685"/>
        </w:tabs>
        <w:ind w:left="1685" w:hanging="490"/>
      </w:pPr>
      <w:rPr>
        <w:rFonts w:hint="default"/>
        <w:color w:val="auto"/>
        <w:sz w:val="24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45F57804"/>
    <w:multiLevelType w:val="hybridMultilevel"/>
    <w:tmpl w:val="246C9F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2"/>
  </w:num>
  <w:num w:numId="6">
    <w:abstractNumId w:val="0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en-GB" w:vendorID="64" w:dllVersion="131078" w:nlCheck="1" w:checkStyle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964778"/>
    <w:rsid w:val="00003AC6"/>
    <w:rsid w:val="00012D36"/>
    <w:rsid w:val="00061F3C"/>
    <w:rsid w:val="00065F90"/>
    <w:rsid w:val="00073444"/>
    <w:rsid w:val="000D38CC"/>
    <w:rsid w:val="000E51B9"/>
    <w:rsid w:val="001020AC"/>
    <w:rsid w:val="00131C64"/>
    <w:rsid w:val="00181EA2"/>
    <w:rsid w:val="00224924"/>
    <w:rsid w:val="00240D6A"/>
    <w:rsid w:val="00257E9A"/>
    <w:rsid w:val="0028783C"/>
    <w:rsid w:val="00440762"/>
    <w:rsid w:val="00455BBD"/>
    <w:rsid w:val="0048368B"/>
    <w:rsid w:val="004937CB"/>
    <w:rsid w:val="004D75D4"/>
    <w:rsid w:val="004F03A7"/>
    <w:rsid w:val="00586487"/>
    <w:rsid w:val="00593450"/>
    <w:rsid w:val="005A7B81"/>
    <w:rsid w:val="005C51C5"/>
    <w:rsid w:val="00681045"/>
    <w:rsid w:val="00693246"/>
    <w:rsid w:val="00695F47"/>
    <w:rsid w:val="006B5F73"/>
    <w:rsid w:val="006E76A9"/>
    <w:rsid w:val="006F0067"/>
    <w:rsid w:val="00747B12"/>
    <w:rsid w:val="00771E40"/>
    <w:rsid w:val="007775EA"/>
    <w:rsid w:val="007B4271"/>
    <w:rsid w:val="007C2CD3"/>
    <w:rsid w:val="007C5747"/>
    <w:rsid w:val="00842B2F"/>
    <w:rsid w:val="008620BE"/>
    <w:rsid w:val="008C1B27"/>
    <w:rsid w:val="00963861"/>
    <w:rsid w:val="00964778"/>
    <w:rsid w:val="00973F9A"/>
    <w:rsid w:val="00980628"/>
    <w:rsid w:val="009F1DB7"/>
    <w:rsid w:val="00A04B1A"/>
    <w:rsid w:val="00A1149B"/>
    <w:rsid w:val="00A31A75"/>
    <w:rsid w:val="00A36DE9"/>
    <w:rsid w:val="00A57DA0"/>
    <w:rsid w:val="00A64729"/>
    <w:rsid w:val="00AA6D83"/>
    <w:rsid w:val="00AC6968"/>
    <w:rsid w:val="00AD2AA8"/>
    <w:rsid w:val="00AD599A"/>
    <w:rsid w:val="00AE50BB"/>
    <w:rsid w:val="00B00F7F"/>
    <w:rsid w:val="00B21078"/>
    <w:rsid w:val="00B23F95"/>
    <w:rsid w:val="00B84C66"/>
    <w:rsid w:val="00C629DA"/>
    <w:rsid w:val="00C84BFF"/>
    <w:rsid w:val="00D00B9C"/>
    <w:rsid w:val="00D133D2"/>
    <w:rsid w:val="00D27C28"/>
    <w:rsid w:val="00D72DA5"/>
    <w:rsid w:val="00D81270"/>
    <w:rsid w:val="00D844C1"/>
    <w:rsid w:val="00DB1C88"/>
    <w:rsid w:val="00DD37C4"/>
    <w:rsid w:val="00DF5A45"/>
    <w:rsid w:val="00DF5AE2"/>
    <w:rsid w:val="00E02F75"/>
    <w:rsid w:val="00E4260C"/>
    <w:rsid w:val="00E4485A"/>
    <w:rsid w:val="00E45EA0"/>
    <w:rsid w:val="00E60D24"/>
    <w:rsid w:val="00E749F1"/>
    <w:rsid w:val="00EC0D9A"/>
    <w:rsid w:val="00EC5718"/>
    <w:rsid w:val="00ED0D10"/>
    <w:rsid w:val="00F0510A"/>
    <w:rsid w:val="00F11AE3"/>
    <w:rsid w:val="00F73F93"/>
    <w:rsid w:val="00FD6EEC"/>
    <w:rsid w:val="00FE14C5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23117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kern w:val="14"/>
      <w:sz w:val="24"/>
      <w:lang w:val="en-GB" w:bidi="en-US"/>
    </w:rPr>
  </w:style>
  <w:style w:type="paragraph" w:styleId="Heading1">
    <w:name w:val="heading 1"/>
    <w:basedOn w:val="Normal"/>
    <w:next w:val="Text"/>
    <w:qFormat/>
    <w:pPr>
      <w:keepNext/>
      <w:numPr>
        <w:numId w:val="10"/>
      </w:numPr>
      <w:spacing w:after="180"/>
      <w:jc w:val="left"/>
      <w:outlineLvl w:val="0"/>
    </w:pPr>
    <w:rPr>
      <w:rFonts w:ascii="Arial Black" w:hAnsi="Arial Black"/>
      <w:color w:val="333333"/>
      <w:kern w:val="0"/>
      <w:sz w:val="28"/>
      <w:lang w:eastAsia="ja-JP"/>
    </w:rPr>
  </w:style>
  <w:style w:type="paragraph" w:styleId="Heading2">
    <w:name w:val="heading 2"/>
    <w:basedOn w:val="Normal"/>
    <w:next w:val="Text"/>
    <w:link w:val="Heading2Char"/>
    <w:qFormat/>
    <w:rsid w:val="004F03A7"/>
    <w:pPr>
      <w:keepNext/>
      <w:jc w:val="left"/>
      <w:outlineLvl w:val="1"/>
    </w:pPr>
    <w:rPr>
      <w:rFonts w:ascii="Arial Black" w:hAnsi="Arial Black"/>
      <w:color w:val="333333"/>
      <w:kern w:val="0"/>
      <w:sz w:val="20"/>
    </w:rPr>
  </w:style>
  <w:style w:type="paragraph" w:styleId="Heading3">
    <w:name w:val="heading 3"/>
    <w:basedOn w:val="Normal"/>
    <w:next w:val="Text"/>
    <w:qFormat/>
    <w:rsid w:val="00F51716"/>
    <w:pPr>
      <w:keepNext/>
      <w:jc w:val="left"/>
      <w:outlineLvl w:val="2"/>
    </w:pPr>
    <w:rPr>
      <w:rFonts w:cs="Arial"/>
      <w:b/>
      <w:color w:val="333333"/>
      <w:kern w:val="0"/>
      <w:sz w:val="22"/>
      <w:szCs w:val="18"/>
    </w:rPr>
  </w:style>
  <w:style w:type="paragraph" w:styleId="Heading4">
    <w:name w:val="heading 4"/>
    <w:basedOn w:val="Normal"/>
    <w:next w:val="Normal"/>
    <w:qFormat/>
    <w:pPr>
      <w:keepNext/>
      <w:jc w:val="left"/>
      <w:outlineLvl w:val="3"/>
    </w:pPr>
    <w:rPr>
      <w:i/>
      <w:shd w:val="clear" w:color="FFFFFF" w:fil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0"/>
      <w:jc w:val="left"/>
    </w:pPr>
  </w:style>
  <w:style w:type="paragraph" w:styleId="Caption">
    <w:name w:val="caption"/>
    <w:basedOn w:val="Normal"/>
    <w:next w:val="Table"/>
    <w:qFormat/>
    <w:pPr>
      <w:keepNext/>
      <w:keepLines/>
      <w:tabs>
        <w:tab w:val="left" w:pos="1080"/>
      </w:tabs>
      <w:ind w:left="1080" w:hanging="1080"/>
      <w:jc w:val="left"/>
      <w:outlineLvl w:val="4"/>
    </w:pPr>
    <w:rPr>
      <w:rFonts w:eastAsia="MS Mincho"/>
      <w:b/>
      <w:sz w:val="22"/>
    </w:rPr>
  </w:style>
  <w:style w:type="paragraph" w:customStyle="1" w:styleId="Code">
    <w:name w:val="Code"/>
    <w:basedOn w:val="BodyText"/>
    <w:rPr>
      <w:rFonts w:ascii="Courier" w:hAnsi="Courier"/>
      <w:sz w:val="16"/>
    </w:rPr>
  </w:style>
  <w:style w:type="paragraph" w:customStyle="1" w:styleId="DocumentControl">
    <w:name w:val="Document Control"/>
    <w:basedOn w:val="Normal"/>
    <w:pPr>
      <w:tabs>
        <w:tab w:val="left" w:pos="1786"/>
        <w:tab w:val="left" w:pos="9000"/>
      </w:tabs>
      <w:spacing w:after="0" w:line="240" w:lineRule="exact"/>
      <w:jc w:val="left"/>
    </w:pPr>
    <w:rPr>
      <w:rFonts w:ascii="Arial Black" w:hAnsi="Arial Black"/>
      <w:kern w:val="20"/>
      <w:sz w:val="20"/>
    </w:rPr>
  </w:style>
  <w:style w:type="paragraph" w:styleId="DocumentMap">
    <w:name w:val="Document Map"/>
    <w:basedOn w:val="Normal"/>
    <w:semiHidden/>
    <w:pPr>
      <w:shd w:val="clear" w:color="auto" w:fill="000080"/>
      <w:tabs>
        <w:tab w:val="num" w:pos="720"/>
      </w:tabs>
      <w:ind w:left="720" w:hanging="720"/>
    </w:pPr>
    <w:rPr>
      <w:rFonts w:ascii="Tahoma" w:eastAsia="MS Gothic" w:hAnsi="Tahoma"/>
      <w:sz w:val="18"/>
    </w:rPr>
  </w:style>
  <w:style w:type="paragraph" w:customStyle="1" w:styleId="DraftingNote">
    <w:name w:val="Drafting Note"/>
    <w:basedOn w:val="Normal"/>
    <w:rPr>
      <w:i/>
      <w:color w:val="FF0000"/>
      <w:shd w:val="clear" w:color="FFFFFF" w:fill="FFFF99"/>
    </w:rPr>
  </w:style>
  <w:style w:type="character" w:customStyle="1" w:styleId="DraftingNoteChar">
    <w:name w:val="Drafting Note Char"/>
    <w:basedOn w:val="DefaultParagraphFont"/>
    <w:rPr>
      <w:rFonts w:cs="Times New Roman"/>
      <w:i/>
      <w:color w:val="FF0000"/>
      <w:kern w:val="14"/>
      <w:sz w:val="24"/>
      <w:shd w:val="clear" w:color="FFFFFF" w:fill="FFFF99"/>
      <w:lang w:val="en-GB" w:eastAsia="en-US"/>
    </w:rPr>
  </w:style>
  <w:style w:type="paragraph" w:customStyle="1" w:styleId="Equation">
    <w:name w:val="Equation"/>
    <w:basedOn w:val="BodyText"/>
    <w:pPr>
      <w:tabs>
        <w:tab w:val="right" w:pos="8640"/>
      </w:tabs>
      <w:spacing w:after="240"/>
      <w:ind w:left="1080"/>
    </w:pPr>
  </w:style>
  <w:style w:type="paragraph" w:customStyle="1" w:styleId="Eqwhere">
    <w:name w:val="Eqwhere"/>
    <w:basedOn w:val="BodyText"/>
    <w:pPr>
      <w:spacing w:after="240"/>
      <w:ind w:left="720"/>
    </w:pPr>
  </w:style>
  <w:style w:type="character" w:styleId="FollowedHyperlink">
    <w:name w:val="FollowedHyperlink"/>
    <w:basedOn w:val="DefaultParagraphFont"/>
    <w:rPr>
      <w:rFonts w:cs="Times New Roman"/>
      <w:color w:val="auto"/>
      <w:u w:val="none"/>
    </w:rPr>
  </w:style>
  <w:style w:type="paragraph" w:styleId="Header">
    <w:name w:val="header"/>
    <w:basedOn w:val="Normal"/>
    <w:pPr>
      <w:tabs>
        <w:tab w:val="right" w:pos="9000"/>
      </w:tabs>
      <w:spacing w:after="0" w:line="240" w:lineRule="exact"/>
      <w:jc w:val="left"/>
    </w:pPr>
    <w:rPr>
      <w:rFonts w:ascii="Arial" w:hAnsi="Arial"/>
      <w:color w:val="0066CC"/>
      <w:kern w:val="18"/>
      <w:sz w:val="18"/>
    </w:rPr>
  </w:style>
  <w:style w:type="paragraph" w:styleId="Footer">
    <w:name w:val="footer"/>
    <w:basedOn w:val="Header"/>
    <w:semiHidden/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styleId="FootnoteText">
    <w:name w:val="footnote text"/>
    <w:basedOn w:val="Normal"/>
    <w:semiHidden/>
    <w:pPr>
      <w:tabs>
        <w:tab w:val="left" w:pos="180"/>
      </w:tabs>
      <w:spacing w:after="0"/>
      <w:ind w:left="180" w:hanging="180"/>
      <w:jc w:val="left"/>
    </w:pPr>
    <w:rPr>
      <w:sz w:val="18"/>
    </w:rPr>
  </w:style>
  <w:style w:type="paragraph" w:customStyle="1" w:styleId="Hidden">
    <w:name w:val="Hidden"/>
    <w:basedOn w:val="DocumentControl"/>
    <w:rPr>
      <w:vanish/>
      <w:color w:val="FF6633"/>
    </w:rPr>
  </w:style>
  <w:style w:type="character" w:styleId="Hyperlink">
    <w:name w:val="Hyperlink"/>
    <w:basedOn w:val="DefaultParagraphFont"/>
    <w:rPr>
      <w:rFonts w:cs="Times New Roman"/>
      <w:color w:val="auto"/>
    </w:rPr>
  </w:style>
  <w:style w:type="paragraph" w:styleId="ListBullet">
    <w:name w:val="List Bullet"/>
    <w:basedOn w:val="Normal"/>
    <w:pPr>
      <w:numPr>
        <w:ilvl w:val="2"/>
        <w:numId w:val="10"/>
      </w:numPr>
    </w:pPr>
  </w:style>
  <w:style w:type="paragraph" w:styleId="ListBullet2">
    <w:name w:val="List Bullet 2"/>
    <w:basedOn w:val="Normal"/>
    <w:pPr>
      <w:numPr>
        <w:ilvl w:val="3"/>
        <w:numId w:val="10"/>
      </w:numPr>
    </w:pPr>
  </w:style>
  <w:style w:type="paragraph" w:styleId="PlainText">
    <w:name w:val="Plain Text"/>
    <w:basedOn w:val="Normal"/>
    <w:rPr>
      <w:rFonts w:ascii="Courier" w:hAnsi="Courier"/>
      <w:szCs w:val="24"/>
    </w:rPr>
  </w:style>
  <w:style w:type="paragraph" w:customStyle="1" w:styleId="Quotation">
    <w:name w:val="Quotation"/>
    <w:basedOn w:val="BodyText"/>
    <w:pPr>
      <w:spacing w:after="240"/>
      <w:ind w:left="1080" w:right="360"/>
      <w:jc w:val="both"/>
    </w:pPr>
    <w:rPr>
      <w:spacing w:val="-4"/>
      <w:kern w:val="20"/>
    </w:rPr>
  </w:style>
  <w:style w:type="paragraph" w:customStyle="1" w:styleId="Table">
    <w:name w:val="Table"/>
    <w:basedOn w:val="Normal"/>
    <w:pPr>
      <w:tabs>
        <w:tab w:val="num" w:pos="720"/>
      </w:tabs>
      <w:spacing w:before="120" w:after="120"/>
      <w:jc w:val="left"/>
    </w:pPr>
    <w:rPr>
      <w:sz w:val="22"/>
    </w:rPr>
  </w:style>
  <w:style w:type="table" w:styleId="TableGrid">
    <w:name w:val="Table Grid"/>
    <w:basedOn w:val="TableNormal"/>
    <w:pPr>
      <w:spacing w:after="240"/>
      <w:jc w:val="both"/>
    </w:pPr>
    <w:rPr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LastNote">
    <w:name w:val="Table Last Note"/>
    <w:basedOn w:val="Normal"/>
    <w:pPr>
      <w:keepLines/>
      <w:tabs>
        <w:tab w:val="num" w:pos="0"/>
      </w:tabs>
      <w:spacing w:before="40"/>
    </w:pPr>
    <w:rPr>
      <w:rFonts w:cs="Arial"/>
      <w:sz w:val="18"/>
      <w:szCs w:val="24"/>
    </w:rPr>
  </w:style>
  <w:style w:type="paragraph" w:customStyle="1" w:styleId="TableNotes">
    <w:name w:val="Table Notes"/>
    <w:basedOn w:val="Normal"/>
    <w:pPr>
      <w:keepNext/>
      <w:keepLines/>
      <w:tabs>
        <w:tab w:val="num" w:pos="720"/>
      </w:tabs>
      <w:spacing w:before="40" w:after="40"/>
    </w:pPr>
    <w:rPr>
      <w:i/>
      <w:sz w:val="18"/>
    </w:rPr>
  </w:style>
  <w:style w:type="paragraph" w:customStyle="1" w:styleId="Text">
    <w:name w:val="Text"/>
    <w:basedOn w:val="Normal"/>
    <w:pPr>
      <w:numPr>
        <w:ilvl w:val="1"/>
        <w:numId w:val="10"/>
      </w:numPr>
    </w:pPr>
  </w:style>
  <w:style w:type="paragraph" w:styleId="TOC1">
    <w:name w:val="toc 1"/>
    <w:basedOn w:val="Normal"/>
    <w:next w:val="Normal"/>
    <w:autoRedefine/>
    <w:semiHidden/>
    <w:pPr>
      <w:keepNext/>
      <w:tabs>
        <w:tab w:val="left" w:pos="353"/>
        <w:tab w:val="right" w:leader="dot" w:pos="9000"/>
      </w:tabs>
      <w:spacing w:before="180" w:after="0"/>
      <w:ind w:left="360" w:right="374" w:hanging="360"/>
      <w:jc w:val="left"/>
    </w:pPr>
    <w:rPr>
      <w:rFonts w:ascii="Arial" w:hAnsi="Arial"/>
      <w:b/>
      <w:noProof/>
      <w:kern w:val="0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000"/>
      </w:tabs>
      <w:spacing w:before="240" w:after="0"/>
      <w:ind w:right="360"/>
      <w:jc w:val="left"/>
    </w:pPr>
    <w:rPr>
      <w:b/>
      <w:noProof/>
      <w:kern w:val="0"/>
      <w:sz w:val="22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000"/>
      </w:tabs>
      <w:spacing w:after="0"/>
      <w:ind w:right="380"/>
    </w:pPr>
    <w:rPr>
      <w:noProof/>
      <w:sz w:val="18"/>
    </w:rPr>
  </w:style>
  <w:style w:type="paragraph" w:styleId="TOCHeading">
    <w:name w:val="TOC Heading"/>
    <w:basedOn w:val="TOC1"/>
    <w:qFormat/>
    <w:pPr>
      <w:ind w:right="0"/>
    </w:pPr>
  </w:style>
  <w:style w:type="paragraph" w:customStyle="1" w:styleId="Default">
    <w:name w:val="Default"/>
    <w:rsid w:val="008A3E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bidi="en-US"/>
    </w:rPr>
  </w:style>
  <w:style w:type="character" w:customStyle="1" w:styleId="legaddition">
    <w:name w:val="legaddition"/>
    <w:basedOn w:val="DefaultParagraphFont"/>
    <w:rsid w:val="00784EED"/>
    <w:rPr>
      <w:rFonts w:cs="Times New Roman"/>
    </w:rPr>
  </w:style>
  <w:style w:type="paragraph" w:customStyle="1" w:styleId="Byline">
    <w:name w:val="Byline"/>
    <w:basedOn w:val="Heading3"/>
    <w:rsid w:val="004F03A7"/>
    <w:pPr>
      <w:outlineLvl w:val="4"/>
    </w:pPr>
  </w:style>
  <w:style w:type="character" w:customStyle="1" w:styleId="Heading2Char">
    <w:name w:val="Heading 2 Char"/>
    <w:basedOn w:val="DefaultParagraphFont"/>
    <w:link w:val="Heading2"/>
    <w:rsid w:val="00131C64"/>
    <w:rPr>
      <w:rFonts w:ascii="Arial Black" w:hAnsi="Arial Black"/>
      <w:color w:val="333333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1653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11058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Latrémolière (Reckon)</dc:creator>
  <cp:keywords/>
  <dc:description/>
  <cp:lastModifiedBy>Shankar</cp:lastModifiedBy>
  <cp:revision>29</cp:revision>
  <cp:lastPrinted>2014-01-02T18:46:00Z</cp:lastPrinted>
  <dcterms:created xsi:type="dcterms:W3CDTF">2015-07-21T18:21:00Z</dcterms:created>
  <dcterms:modified xsi:type="dcterms:W3CDTF">2015-07-22T15:32:00Z</dcterms:modified>
  <cp:category/>
</cp:coreProperties>
</file>