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6FC3F" w14:textId="42BD714A" w:rsidR="00964778" w:rsidRDefault="00EC5718" w:rsidP="00964778">
      <w:pPr>
        <w:pStyle w:val="Heading1"/>
        <w:numPr>
          <w:ilvl w:val="0"/>
          <w:numId w:val="12"/>
        </w:numPr>
      </w:pPr>
      <w:r>
        <w:t xml:space="preserve">DCP </w:t>
      </w:r>
      <w:r w:rsidR="00963861">
        <w:t>216</w:t>
      </w:r>
      <w:r w:rsidR="004D75D4">
        <w:t xml:space="preserve"> EDCM</w:t>
      </w:r>
      <w:r w:rsidR="00A21DFE">
        <w:t xml:space="preserve"> LRIC</w:t>
      </w:r>
      <w:r w:rsidR="00A1149B">
        <w:t xml:space="preserve"> model</w:t>
      </w:r>
      <w:r w:rsidR="001D6C32">
        <w:t xml:space="preserve"> (revision</w:t>
      </w:r>
      <w:r w:rsidR="00A21DFE">
        <w:t xml:space="preserve"> r6984</w:t>
      </w:r>
      <w:r w:rsidR="00A31A75">
        <w:t>)</w:t>
      </w:r>
    </w:p>
    <w:p w14:paraId="4C6D1D65" w14:textId="110D799F" w:rsidR="00181EA2" w:rsidRDefault="00181EA2" w:rsidP="00181EA2">
      <w:pPr>
        <w:pStyle w:val="Byline"/>
      </w:pPr>
      <w:r w:rsidRPr="00AB6F30">
        <w:fldChar w:fldCharType="begin"/>
      </w:r>
      <w:r w:rsidRPr="00AB6F30">
        <w:instrText xml:space="preserve"> SAVEDATE \@ "dddd d MMMM yyyy" </w:instrText>
      </w:r>
      <w:r w:rsidRPr="00AB6F30">
        <w:fldChar w:fldCharType="separate"/>
      </w:r>
      <w:r w:rsidR="005562FC">
        <w:rPr>
          <w:noProof/>
        </w:rPr>
        <w:t>Wednesday 22 July 2015</w:t>
      </w:r>
      <w:r w:rsidRPr="00AB6F30">
        <w:fldChar w:fldCharType="end"/>
      </w:r>
    </w:p>
    <w:p w14:paraId="2FD5B325" w14:textId="103B6FB0" w:rsidR="0048368B" w:rsidRDefault="00F0510A" w:rsidP="0048368B">
      <w:pPr>
        <w:pStyle w:val="Text"/>
      </w:pPr>
      <w:r>
        <w:t>This document describes an EDCM/</w:t>
      </w:r>
      <w:r w:rsidR="00A21DFE">
        <w:t>LRIC</w:t>
      </w:r>
      <w:r>
        <w:t xml:space="preserve"> tariff</w:t>
      </w:r>
      <w:r w:rsidR="007B4271">
        <w:t xml:space="preserve"> model developed for the DCP 216</w:t>
      </w:r>
      <w:r>
        <w:t xml:space="preserve"> working group.</w:t>
      </w:r>
      <w:r w:rsidR="005A7B81">
        <w:t xml:space="preserve"> </w:t>
      </w:r>
      <w:r>
        <w:t xml:space="preserve"> </w:t>
      </w:r>
      <w:r w:rsidR="001D6C32">
        <w:t>The reference version</w:t>
      </w:r>
      <w:r w:rsidR="0048368B">
        <w:t xml:space="preserve"> is the April 2015 pre-release model published by the DCUSA Panel in December 2014.</w:t>
      </w:r>
    </w:p>
    <w:p w14:paraId="59B3F274" w14:textId="77777777" w:rsidR="001D6C32" w:rsidRDefault="001D6C32" w:rsidP="001D6C32">
      <w:pPr>
        <w:pStyle w:val="Heading2"/>
      </w:pPr>
      <w:r>
        <w:t>New input data tables</w:t>
      </w:r>
    </w:p>
    <w:p w14:paraId="6769283A" w14:textId="77777777" w:rsidR="001D6C32" w:rsidRDefault="001D6C32" w:rsidP="001D6C32">
      <w:pPr>
        <w:pStyle w:val="Text"/>
      </w:pPr>
      <w:r>
        <w:t>The following new input data tables have been added to Sheet 11:</w:t>
      </w:r>
    </w:p>
    <w:p w14:paraId="48391BFA" w14:textId="77777777" w:rsidR="001D6C32" w:rsidRDefault="001D6C32" w:rsidP="001D6C32">
      <w:pPr>
        <w:pStyle w:val="ListBullet"/>
      </w:pPr>
      <w:r>
        <w:t>1101. Financial information</w:t>
      </w:r>
    </w:p>
    <w:p w14:paraId="51F316AB" w14:textId="77777777" w:rsidR="001D6C32" w:rsidRDefault="001D6C32" w:rsidP="001D6C32">
      <w:pPr>
        <w:pStyle w:val="ListBullet"/>
      </w:pPr>
      <w:r>
        <w:t xml:space="preserve">1110. Calendar and </w:t>
      </w:r>
      <w:proofErr w:type="spellStart"/>
      <w:r>
        <w:t>timeband</w:t>
      </w:r>
      <w:proofErr w:type="spellEnd"/>
      <w:r>
        <w:t xml:space="preserve"> information</w:t>
      </w:r>
    </w:p>
    <w:p w14:paraId="75B97795" w14:textId="77777777" w:rsidR="001D6C32" w:rsidRDefault="001D6C32" w:rsidP="001D6C32">
      <w:pPr>
        <w:pStyle w:val="ListBullet"/>
      </w:pPr>
      <w:r>
        <w:t>1118. Generation information</w:t>
      </w:r>
    </w:p>
    <w:p w14:paraId="672D8AAF" w14:textId="77777777" w:rsidR="001D6C32" w:rsidRDefault="001D6C32" w:rsidP="001D6C32">
      <w:pPr>
        <w:pStyle w:val="ListBullet"/>
      </w:pPr>
      <w:r>
        <w:t>1136. Maximum and minimum network use factors</w:t>
      </w:r>
    </w:p>
    <w:p w14:paraId="592E49A5" w14:textId="77777777" w:rsidR="001D6C32" w:rsidRPr="007C5747" w:rsidRDefault="001D6C32" w:rsidP="001D6C32">
      <w:pPr>
        <w:pStyle w:val="ListBullet"/>
      </w:pPr>
      <w:r>
        <w:t>1140. Data from CDCM model</w:t>
      </w:r>
    </w:p>
    <w:p w14:paraId="5FCC1243" w14:textId="77777777" w:rsidR="001D6C32" w:rsidRDefault="001D6C32" w:rsidP="001D6C32">
      <w:pPr>
        <w:pStyle w:val="Heading2"/>
      </w:pPr>
      <w:r>
        <w:t>Additional or modified input data</w:t>
      </w:r>
    </w:p>
    <w:p w14:paraId="32E56D95" w14:textId="0227CAE7" w:rsidR="001D6C32" w:rsidRDefault="001D6C32" w:rsidP="001D6C32">
      <w:pPr>
        <w:pStyle w:val="Text"/>
      </w:pPr>
      <w:r>
        <w:t xml:space="preserve">One input data item </w:t>
      </w:r>
      <w:proofErr w:type="gramStart"/>
      <w:r>
        <w:t>has</w:t>
      </w:r>
      <w:r w:rsidR="00A11185">
        <w:t xml:space="preserve"> been changed</w:t>
      </w:r>
      <w:proofErr w:type="gramEnd"/>
      <w:r>
        <w:t xml:space="preserve"> in accordance with the instructions of the DCP 216 working group.</w:t>
      </w:r>
    </w:p>
    <w:p w14:paraId="26A9AD6B" w14:textId="77777777" w:rsidR="001D6C32" w:rsidRDefault="001D6C32" w:rsidP="001D6C32">
      <w:pPr>
        <w:pStyle w:val="Text"/>
      </w:pPr>
      <w:r>
        <w:t>The item labelled “</w:t>
      </w:r>
      <w:r w:rsidRPr="007775EA">
        <w:t>The amount of money that the DNO wants to raise from use of system charges, less transmission exit (£/year)</w:t>
      </w:r>
      <w:r>
        <w:t>” in table 1113. General inputs of the reference model has been removed, and is replaced in the DCP 216 model by an item labelled as “</w:t>
      </w:r>
      <w:r w:rsidRPr="007775EA">
        <w:t>The amount of money that the DNO wants to raise from use of system charges (£/year)</w:t>
      </w:r>
      <w:r>
        <w:t>” in table 1101. Financial information.</w:t>
      </w:r>
    </w:p>
    <w:p w14:paraId="566EB5DD" w14:textId="77777777" w:rsidR="001D6C32" w:rsidRDefault="001D6C32" w:rsidP="001D6C32">
      <w:pPr>
        <w:pStyle w:val="Text"/>
      </w:pPr>
      <w:r>
        <w:t xml:space="preserve">As suggested by the new label, this change means that the amount entered in the new DCP 216 model should include transmission exit charges. </w:t>
      </w:r>
    </w:p>
    <w:p w14:paraId="737657A0" w14:textId="6392EBA5" w:rsidR="005562FC" w:rsidRDefault="005562FC" w:rsidP="001D6C32">
      <w:pPr>
        <w:pStyle w:val="Heading2"/>
      </w:pPr>
      <w:r>
        <w:t>Changes to formatting</w:t>
      </w:r>
    </w:p>
    <w:p w14:paraId="1E0C93E8" w14:textId="27AB3BA9" w:rsidR="005562FC" w:rsidRPr="005562FC" w:rsidRDefault="005562FC" w:rsidP="005562FC">
      <w:pPr>
        <w:pStyle w:val="Text"/>
      </w:pPr>
      <w:r>
        <w:t xml:space="preserve">The contents of table 3910. </w:t>
      </w:r>
      <w:r w:rsidRPr="005562FC">
        <w:t>Super-red rate p/kWh</w:t>
      </w:r>
      <w:r>
        <w:t xml:space="preserve"> (</w:t>
      </w:r>
      <w:r w:rsidR="00A46AE3">
        <w:t>table 4258 in the reference</w:t>
      </w:r>
      <w:r w:rsidR="00547BB7">
        <w:t xml:space="preserve"> model) </w:t>
      </w:r>
      <w:proofErr w:type="gramStart"/>
      <w:r w:rsidR="00547BB7">
        <w:t>have been formatted</w:t>
      </w:r>
      <w:proofErr w:type="gramEnd"/>
      <w:r w:rsidR="00547BB7">
        <w:t xml:space="preserve"> to three</w:t>
      </w:r>
      <w:r w:rsidR="00A46AE3">
        <w:t xml:space="preserve"> decimal points</w:t>
      </w:r>
      <w:r w:rsidR="00CB3518">
        <w:t xml:space="preserve"> instead of two</w:t>
      </w:r>
      <w:r>
        <w:t xml:space="preserve">. </w:t>
      </w:r>
    </w:p>
    <w:p w14:paraId="7043D0E0" w14:textId="77777777" w:rsidR="001D6C32" w:rsidRDefault="001D6C32" w:rsidP="001D6C32">
      <w:pPr>
        <w:pStyle w:val="Heading2"/>
      </w:pPr>
      <w:r>
        <w:t>Changes to calculations</w:t>
      </w:r>
    </w:p>
    <w:p w14:paraId="74B1094C" w14:textId="77777777" w:rsidR="001D6C32" w:rsidRDefault="001D6C32" w:rsidP="001D6C32">
      <w:pPr>
        <w:pStyle w:val="Text"/>
      </w:pPr>
      <w:r>
        <w:t>The calculations in the model have changed to reflect the change to the treatment of transmission ex</w:t>
      </w:r>
      <w:bookmarkStart w:id="0" w:name="_GoBack"/>
      <w:bookmarkEnd w:id="0"/>
      <w:r>
        <w:t>it charges in the input data described above.</w:t>
      </w:r>
    </w:p>
    <w:p w14:paraId="46BEA66A" w14:textId="77777777" w:rsidR="001D6C32" w:rsidRDefault="001D6C32" w:rsidP="001D6C32">
      <w:pPr>
        <w:pStyle w:val="Text"/>
      </w:pPr>
      <w:r>
        <w:t xml:space="preserve">Specifically, the calculation that </w:t>
      </w:r>
      <w:proofErr w:type="gramStart"/>
      <w:r>
        <w:t>was carried out</w:t>
      </w:r>
      <w:proofErr w:type="gramEnd"/>
      <w:r>
        <w:t xml:space="preserve"> in table 4362</w:t>
      </w:r>
      <w:r w:rsidRPr="004937CB">
        <w:t>. Revenue less costs and adjustments (£/year)</w:t>
      </w:r>
      <w:r>
        <w:t xml:space="preserve"> of the reference model has now been replaced with the calculation carried out in table 3706</w:t>
      </w:r>
      <w:r w:rsidRPr="004937CB">
        <w:t>. Revenue less costs and adjustments (£/year)</w:t>
      </w:r>
      <w:r>
        <w:t xml:space="preserve"> of the DCP 216 model.</w:t>
      </w:r>
    </w:p>
    <w:p w14:paraId="1B030973" w14:textId="4D7F229F" w:rsidR="001D6C32" w:rsidRDefault="006E0DE4" w:rsidP="001D6C32">
      <w:pPr>
        <w:pStyle w:val="Text"/>
      </w:pPr>
      <w:r>
        <w:lastRenderedPageBreak/>
        <w:t>T</w:t>
      </w:r>
      <w:r w:rsidR="001D6C32">
        <w:t xml:space="preserve">he following new calculation tables have been added to the DCP 216 </w:t>
      </w:r>
      <w:proofErr w:type="gramStart"/>
      <w:r w:rsidR="001D6C32">
        <w:t>as a consequence</w:t>
      </w:r>
      <w:proofErr w:type="gramEnd"/>
      <w:r w:rsidR="001D6C32">
        <w:t xml:space="preserve"> of the changes to the structure and layout of Sheet 11.</w:t>
      </w:r>
    </w:p>
    <w:p w14:paraId="5E8E4B8E" w14:textId="77777777" w:rsidR="001D6C32" w:rsidRDefault="001D6C32" w:rsidP="001D6C32">
      <w:pPr>
        <w:pStyle w:val="ListBullet"/>
      </w:pPr>
      <w:r>
        <w:t xml:space="preserve"> 2402. Forecast system simultaneous maximum load (kW) from CDCM users</w:t>
      </w:r>
    </w:p>
    <w:p w14:paraId="13F56B11" w14:textId="77777777" w:rsidR="001D6C32" w:rsidRDefault="001D6C32" w:rsidP="001D6C32">
      <w:pPr>
        <w:pStyle w:val="ListBullet"/>
      </w:pPr>
      <w:r>
        <w:t xml:space="preserve">2406. Loss adjustment factor to transmission for each network level </w:t>
      </w:r>
    </w:p>
    <w:p w14:paraId="491934E8" w14:textId="77777777" w:rsidR="001D6C32" w:rsidRDefault="001D6C32" w:rsidP="001D6C32">
      <w:pPr>
        <w:pStyle w:val="ListBullet"/>
      </w:pPr>
      <w:r>
        <w:t>2902. Assets in CDCM model (£)</w:t>
      </w:r>
    </w:p>
    <w:p w14:paraId="670F77EE" w14:textId="77777777" w:rsidR="001D6C32" w:rsidRDefault="001D6C32" w:rsidP="001D6C32">
      <w:pPr>
        <w:pStyle w:val="ListBullet"/>
      </w:pPr>
      <w:r>
        <w:t>3202. Diversity allowance between level exit and GSP Group</w:t>
      </w:r>
    </w:p>
    <w:p w14:paraId="5778C285" w14:textId="77777777" w:rsidR="001D6C32" w:rsidRDefault="001D6C32" w:rsidP="001D6C32">
      <w:pPr>
        <w:pStyle w:val="ListBullet"/>
      </w:pPr>
      <w:r>
        <w:t>4016. Maximum network use factor</w:t>
      </w:r>
    </w:p>
    <w:p w14:paraId="56ECE903" w14:textId="6102AD6A" w:rsidR="001D6C32" w:rsidRDefault="001D6C32" w:rsidP="001D6C32">
      <w:pPr>
        <w:pStyle w:val="ListBullet"/>
      </w:pPr>
      <w:r>
        <w:t>4018. Minimum network use factor</w:t>
      </w:r>
    </w:p>
    <w:p w14:paraId="2E3011E8" w14:textId="0A1B1BE8" w:rsidR="006312B5" w:rsidRDefault="00A11185" w:rsidP="006312B5">
      <w:pPr>
        <w:pStyle w:val="Heading2"/>
      </w:pPr>
      <w:r>
        <w:t>Mapping of items in the reference model to the DCP 216 model</w:t>
      </w:r>
    </w:p>
    <w:p w14:paraId="0C787A8C" w14:textId="363C3C7E" w:rsidR="0048368B" w:rsidRDefault="0048368B" w:rsidP="00B05CE9">
      <w:pPr>
        <w:pStyle w:val="Text"/>
      </w:pPr>
      <w:r>
        <w:t xml:space="preserve">Table </w:t>
      </w:r>
      <w:r>
        <w:fldChar w:fldCharType="begin"/>
      </w:r>
      <w:r>
        <w:instrText xml:space="preserve"> =1+</w:instrText>
      </w:r>
      <w:r>
        <w:fldChar w:fldCharType="begin"/>
      </w:r>
      <w:r>
        <w:instrText xml:space="preserve"> SEQ \c Table \* ARABIC </w:instrText>
      </w:r>
      <w:r>
        <w:fldChar w:fldCharType="separate"/>
      </w:r>
      <w:r>
        <w:rPr>
          <w:noProof/>
        </w:rPr>
        <w:instrText>0</w:instrText>
      </w:r>
      <w:r>
        <w:fldChar w:fldCharType="end"/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shows the mapping of items </w:t>
      </w:r>
      <w:r w:rsidR="00586487">
        <w:t>between the reference model and</w:t>
      </w:r>
      <w:r w:rsidR="00E749F1">
        <w:t xml:space="preserve"> </w:t>
      </w:r>
      <w:r>
        <w:t>the DCP 216 model</w:t>
      </w:r>
      <w:r w:rsidR="00E749F1">
        <w:t xml:space="preserve"> produced in </w:t>
      </w:r>
      <w:r w:rsidR="00586487">
        <w:t>July</w:t>
      </w:r>
      <w:r w:rsidR="00E749F1">
        <w:t xml:space="preserve"> 2015</w:t>
      </w:r>
      <w:r w:rsidR="00A21DFE">
        <w:t xml:space="preserve"> (</w:t>
      </w:r>
      <w:r w:rsidR="001D6C32">
        <w:t>revision</w:t>
      </w:r>
      <w:r w:rsidR="00A21DFE">
        <w:t xml:space="preserve"> r6984</w:t>
      </w:r>
      <w:r w:rsidR="00586487">
        <w:t>)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8"/>
        <w:gridCol w:w="1710"/>
        <w:gridCol w:w="38"/>
      </w:tblGrid>
      <w:tr w:rsidR="00D27C28" w14:paraId="7C082E5D" w14:textId="77777777" w:rsidTr="00B05CE9">
        <w:trPr>
          <w:cantSplit/>
          <w:tblHeader/>
        </w:trPr>
        <w:tc>
          <w:tcPr>
            <w:tcW w:w="9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5B973" w14:textId="77777777" w:rsidR="00D27C28" w:rsidRDefault="00D27C28" w:rsidP="00B05CE9">
            <w:pPr>
              <w:pStyle w:val="Caption"/>
            </w:pPr>
            <w:r>
              <w:t xml:space="preserve">Table </w:t>
            </w:r>
            <w:r>
              <w:fldChar w:fldCharType="begin"/>
            </w:r>
            <w:r>
              <w:instrText xml:space="preserve"> SEQ Table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ab/>
              <w:t>Mapping of items</w:t>
            </w:r>
            <w:r w:rsidRPr="00EE1E45">
              <w:t xml:space="preserve"> </w:t>
            </w:r>
            <w:r>
              <w:t>between the reference model and the DCP 216 model</w:t>
            </w:r>
          </w:p>
        </w:tc>
      </w:tr>
      <w:tr w:rsidR="00E749F1" w:rsidRPr="00EE1E45" w14:paraId="74BB6A4C" w14:textId="39DF651F" w:rsidTr="00E749F1">
        <w:trPr>
          <w:gridAfter w:val="1"/>
          <w:wAfter w:w="38" w:type="dxa"/>
          <w:cantSplit/>
          <w:tblHeader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0D38" w14:textId="77777777" w:rsidR="00E749F1" w:rsidRPr="00EE1E45" w:rsidRDefault="00E749F1" w:rsidP="00593450">
            <w:pPr>
              <w:pStyle w:val="Table"/>
              <w:rPr>
                <w:i/>
              </w:rPr>
            </w:pPr>
            <w:r>
              <w:rPr>
                <w:i/>
              </w:rPr>
              <w:t>Table in r</w:t>
            </w:r>
            <w:r w:rsidRPr="00EE1E45">
              <w:rPr>
                <w:i/>
              </w:rPr>
              <w:t>eference model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34BF" w14:textId="78C5D497" w:rsidR="00E749F1" w:rsidRDefault="001D6C32" w:rsidP="00771E40">
            <w:pPr>
              <w:pStyle w:val="Table"/>
              <w:jc w:val="center"/>
              <w:rPr>
                <w:i/>
              </w:rPr>
            </w:pPr>
            <w:r>
              <w:rPr>
                <w:i/>
              </w:rPr>
              <w:t>Number in revision</w:t>
            </w:r>
            <w:r w:rsidR="00A21DFE">
              <w:rPr>
                <w:i/>
              </w:rPr>
              <w:t xml:space="preserve"> r6984</w:t>
            </w:r>
          </w:p>
        </w:tc>
      </w:tr>
      <w:tr w:rsidR="00B15FAA" w14:paraId="7DDC36E5" w14:textId="42EF6A9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4E9CD29" w14:textId="2B76BE3E" w:rsidR="00B15FAA" w:rsidRPr="00E4485A" w:rsidRDefault="00B15FAA" w:rsidP="00B15FAA">
            <w:pPr>
              <w:pStyle w:val="Table"/>
            </w:pPr>
            <w:r w:rsidRPr="00512220">
              <w:t>913. LRIC power flow modelling data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5D7F4B8" w14:textId="1592564E" w:rsidR="00B15FAA" w:rsidRPr="00980628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43E308F5" w14:textId="78D431F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432F9BD" w14:textId="4555C21B" w:rsidR="00B15FAA" w:rsidRPr="00E4485A" w:rsidRDefault="00B15FAA" w:rsidP="00B15FAA">
            <w:pPr>
              <w:pStyle w:val="Table"/>
            </w:pPr>
            <w:r w:rsidRPr="00512220">
              <w:t>935. Tariff data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F8D21E6" w14:textId="35D29216" w:rsidR="00B15FAA" w:rsidRPr="00980628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11B8AA1F" w14:textId="645A60A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7DB7671" w14:textId="7368775C" w:rsidR="00B15FAA" w:rsidRPr="00E4485A" w:rsidRDefault="00B15FAA" w:rsidP="00B15FAA">
            <w:pPr>
              <w:pStyle w:val="Table"/>
            </w:pPr>
            <w:r w:rsidRPr="00512220">
              <w:t>1100. Company, charging year, data version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A3BAAE1" w14:textId="7CEBA16F" w:rsidR="00B15FAA" w:rsidRPr="00980628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74E9B872" w14:textId="5E17785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631112" w14:textId="7012886C" w:rsidR="00B15FAA" w:rsidRPr="00E4485A" w:rsidRDefault="00B15FAA" w:rsidP="00B15FAA">
            <w:pPr>
              <w:pStyle w:val="Table"/>
            </w:pPr>
            <w:r w:rsidRPr="00512220">
              <w:t>1105. Diversity allowance between level exit and GSP Group (from CDCM table 2611)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5718717" w14:textId="03F1F9D4" w:rsidR="00B15FAA" w:rsidRPr="00980628" w:rsidRDefault="00B15FAA" w:rsidP="00B15FAA">
            <w:pPr>
              <w:pStyle w:val="Table"/>
              <w:jc w:val="center"/>
            </w:pPr>
            <w:r w:rsidRPr="008C0CB1">
              <w:t>-</w:t>
            </w:r>
          </w:p>
        </w:tc>
      </w:tr>
      <w:tr w:rsidR="00B15FAA" w14:paraId="15F91B41" w14:textId="2F58482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555DF01" w14:textId="6E811730" w:rsidR="00B15FAA" w:rsidRPr="00E4485A" w:rsidRDefault="00B15FAA" w:rsidP="00B15FAA">
            <w:pPr>
              <w:pStyle w:val="Table"/>
            </w:pPr>
            <w:r w:rsidRPr="00512220">
              <w:t>1113. General inputs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8D424D4" w14:textId="16C0E547" w:rsidR="00B15FAA" w:rsidRPr="00980628" w:rsidRDefault="00B15FAA" w:rsidP="00B15FAA">
            <w:pPr>
              <w:pStyle w:val="Table"/>
              <w:jc w:val="center"/>
            </w:pPr>
            <w:r w:rsidRPr="008C0CB1">
              <w:t>-</w:t>
            </w:r>
          </w:p>
        </w:tc>
      </w:tr>
      <w:tr w:rsidR="00B15FAA" w14:paraId="21E80186" w14:textId="2D95C91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0973826" w14:textId="29A47216" w:rsidR="00B15FAA" w:rsidRPr="00E4485A" w:rsidRDefault="00B15FAA" w:rsidP="00B15FAA">
            <w:pPr>
              <w:pStyle w:val="Table"/>
            </w:pPr>
            <w:r w:rsidRPr="00512220">
              <w:t>1122. Forecast system simultaneous maximum load (kW) from CDCM users (from CDCM table 2506)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65106D2" w14:textId="0E8CE7E0" w:rsidR="00B15FAA" w:rsidRPr="00980628" w:rsidRDefault="00B15FAA" w:rsidP="00B15FAA">
            <w:pPr>
              <w:pStyle w:val="Table"/>
              <w:jc w:val="center"/>
            </w:pPr>
            <w:r w:rsidRPr="008C0CB1">
              <w:t>-</w:t>
            </w:r>
          </w:p>
        </w:tc>
      </w:tr>
      <w:tr w:rsidR="00B15FAA" w14:paraId="38BD7A37" w14:textId="4D7F835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C8F3E8E" w14:textId="7943846D" w:rsidR="00B15FAA" w:rsidRPr="00E4485A" w:rsidRDefault="00B15FAA" w:rsidP="00B15FAA">
            <w:pPr>
              <w:pStyle w:val="Table"/>
            </w:pPr>
            <w:r w:rsidRPr="00512220">
              <w:t>1131. Assets in CDCM model (£) (from CDCM table 2706)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FDEDE1A" w14:textId="257FD887" w:rsidR="00B15FAA" w:rsidRPr="00980628" w:rsidRDefault="00B15FAA" w:rsidP="00B15FAA">
            <w:pPr>
              <w:pStyle w:val="Table"/>
              <w:jc w:val="center"/>
            </w:pPr>
            <w:r w:rsidRPr="008C0CB1">
              <w:t>-</w:t>
            </w:r>
          </w:p>
        </w:tc>
      </w:tr>
      <w:tr w:rsidR="00B15FAA" w14:paraId="75C55451" w14:textId="13FB4D1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8066A1E" w14:textId="56FF90A4" w:rsidR="00B15FAA" w:rsidRPr="00E4485A" w:rsidRDefault="00B15FAA" w:rsidP="00B15FAA">
            <w:pPr>
              <w:pStyle w:val="Table"/>
            </w:pPr>
            <w:r w:rsidRPr="00512220">
              <w:t>1132. Override notional asset rate for 132kV/HV (£/kW)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AC8FCF7" w14:textId="554C6D99" w:rsidR="00B15FAA" w:rsidRPr="00980628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7157300B" w14:textId="7B9D5D8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E409D84" w14:textId="70C4B016" w:rsidR="00B15FAA" w:rsidRPr="00E4485A" w:rsidRDefault="00B15FAA" w:rsidP="00B15FAA">
            <w:pPr>
              <w:pStyle w:val="Table"/>
            </w:pPr>
            <w:r w:rsidRPr="00512220">
              <w:t>1133. Maximum network use factor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F190C88" w14:textId="02F514CF" w:rsidR="00B15FAA" w:rsidRPr="00980628" w:rsidRDefault="00B15FAA" w:rsidP="00B15FAA">
            <w:pPr>
              <w:pStyle w:val="Table"/>
              <w:jc w:val="center"/>
            </w:pPr>
            <w:r w:rsidRPr="008C0CB1">
              <w:t>-</w:t>
            </w:r>
          </w:p>
        </w:tc>
      </w:tr>
      <w:tr w:rsidR="00B15FAA" w14:paraId="2961CC57" w14:textId="5F02A22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8DAFE86" w14:textId="683F2305" w:rsidR="00B15FAA" w:rsidRPr="00E4485A" w:rsidRDefault="00B15FAA" w:rsidP="00B15FAA">
            <w:pPr>
              <w:pStyle w:val="Table"/>
            </w:pPr>
            <w:r w:rsidRPr="00512220">
              <w:t>1134. Minimum network use factor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314CAAE" w14:textId="279A32BA" w:rsidR="00B15FAA" w:rsidRPr="00980628" w:rsidRDefault="00B15FAA" w:rsidP="00B15FAA">
            <w:pPr>
              <w:pStyle w:val="Table"/>
              <w:jc w:val="center"/>
            </w:pPr>
            <w:r w:rsidRPr="008C0CB1">
              <w:t>-</w:t>
            </w:r>
          </w:p>
        </w:tc>
      </w:tr>
      <w:tr w:rsidR="00B15FAA" w14:paraId="168D3728" w14:textId="4FB0346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7E8EC6A" w14:textId="0A4C8B24" w:rsidR="00B15FAA" w:rsidRPr="00E4485A" w:rsidRDefault="00B15FAA" w:rsidP="00B15FAA">
            <w:pPr>
              <w:pStyle w:val="Table"/>
            </w:pPr>
            <w:r w:rsidRPr="00512220">
              <w:t>1135. Loss adjustment factor to transmission for each network level (from CDCM table 2004)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5D62570" w14:textId="40537096" w:rsidR="00B15FAA" w:rsidRPr="00980628" w:rsidRDefault="00B15FAA" w:rsidP="00B15FAA">
            <w:pPr>
              <w:pStyle w:val="Table"/>
              <w:jc w:val="center"/>
            </w:pPr>
            <w:r w:rsidRPr="008C0CB1">
              <w:t>-</w:t>
            </w:r>
          </w:p>
        </w:tc>
      </w:tr>
      <w:tr w:rsidR="00B15FAA" w14:paraId="27ADC74F" w14:textId="73670D0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289B553" w14:textId="708F36A4" w:rsidR="00B15FAA" w:rsidRPr="00E4485A" w:rsidRDefault="00B15FAA" w:rsidP="00B15FAA">
            <w:pPr>
              <w:pStyle w:val="Table"/>
            </w:pPr>
            <w:r w:rsidRPr="00512220">
              <w:t>1181. LDNO discounts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36ADEF7" w14:textId="5F3E3233" w:rsidR="00B15FAA" w:rsidRPr="00980628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0F919A79" w14:textId="45F89075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0C3F325" w14:textId="6D6EDFF4" w:rsidR="00B15FAA" w:rsidRPr="00E4485A" w:rsidRDefault="00B15FAA" w:rsidP="00B15FAA">
            <w:pPr>
              <w:pStyle w:val="Table"/>
            </w:pPr>
            <w:r w:rsidRPr="00512220">
              <w:lastRenderedPageBreak/>
              <w:t>1182. CDCM end user tariffs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BCAB377" w14:textId="7CEBD0B9" w:rsidR="00B15FAA" w:rsidRPr="00980628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6493E63D" w14:textId="5A53C9B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FDFDE96" w14:textId="7F1938F8" w:rsidR="00B15FAA" w:rsidRPr="00E4485A" w:rsidRDefault="00B15FAA" w:rsidP="00B15FAA">
            <w:pPr>
              <w:pStyle w:val="Table"/>
            </w:pPr>
            <w:r w:rsidRPr="00512220">
              <w:t>1183. LDNO volume data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B6DC067" w14:textId="6098A3F6" w:rsidR="00B15FAA" w:rsidRPr="00980628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15DDDCDC" w14:textId="1C7B0A3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8F4A76D" w14:textId="1E3FA01E" w:rsidR="00B15FAA" w:rsidRPr="00E4485A" w:rsidRDefault="00B15FAA" w:rsidP="00B15FAA">
            <w:pPr>
              <w:pStyle w:val="Table"/>
            </w:pPr>
            <w:r w:rsidRPr="00512220">
              <w:t>4102. Notional asset rate (£/kW)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74458F8" w14:textId="0482A1A7" w:rsidR="00B15FAA" w:rsidRPr="00980628" w:rsidRDefault="00B15FAA" w:rsidP="00B15FAA">
            <w:pPr>
              <w:pStyle w:val="Table"/>
              <w:jc w:val="center"/>
            </w:pPr>
            <w:r w:rsidRPr="008C0CB1">
              <w:t>3002</w:t>
            </w:r>
          </w:p>
        </w:tc>
      </w:tr>
      <w:tr w:rsidR="00B15FAA" w14:paraId="270BA2CE" w14:textId="5415EC4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B6EA1E2" w14:textId="180E90B6" w:rsidR="00B15FAA" w:rsidRPr="00E4485A" w:rsidRDefault="00B15FAA" w:rsidP="00B15FAA">
            <w:pPr>
              <w:pStyle w:val="Table"/>
            </w:pPr>
            <w:r w:rsidRPr="00512220">
              <w:t>4104. Power factor in 500 MW model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8160C86" w14:textId="29D0AF23" w:rsidR="00B15FAA" w:rsidRPr="00980628" w:rsidRDefault="00B15FAA" w:rsidP="00B15FAA">
            <w:pPr>
              <w:pStyle w:val="Table"/>
              <w:jc w:val="center"/>
            </w:pPr>
            <w:r w:rsidRPr="008C0CB1">
              <w:t>2002</w:t>
            </w:r>
          </w:p>
        </w:tc>
      </w:tr>
      <w:tr w:rsidR="00B15FAA" w14:paraId="45C63DBE" w14:textId="30EB5B6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04717CBA" w14:textId="7E355D2B" w:rsidR="00B15FAA" w:rsidRPr="00E4485A" w:rsidRDefault="00B15FAA" w:rsidP="00B15FAA">
            <w:pPr>
              <w:pStyle w:val="Table"/>
            </w:pPr>
            <w:r w:rsidRPr="00512220">
              <w:t>4106. Loss factor to transmission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01D64E4" w14:textId="1232733C" w:rsidR="00B15FAA" w:rsidRPr="00980628" w:rsidRDefault="00B15FAA" w:rsidP="00B15FAA">
            <w:pPr>
              <w:pStyle w:val="Table"/>
              <w:jc w:val="center"/>
            </w:pPr>
            <w:r w:rsidRPr="008C0CB1">
              <w:t>2502</w:t>
            </w:r>
          </w:p>
        </w:tc>
      </w:tr>
      <w:tr w:rsidR="00B15FAA" w14:paraId="23C33794" w14:textId="12B451B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13B7591" w14:textId="337AC5F3" w:rsidR="00B15FAA" w:rsidRPr="00E4485A" w:rsidRDefault="00B15FAA" w:rsidP="00B15FAA">
            <w:pPr>
              <w:pStyle w:val="Table"/>
            </w:pPr>
            <w:r w:rsidRPr="00512220">
              <w:t>4108. Active power equivalent of capacity adjusted to transmission (kW/kVA)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AAF15D2" w14:textId="7F99A8E9" w:rsidR="00B15FAA" w:rsidRPr="00980628" w:rsidRDefault="00B15FAA" w:rsidP="00B15FAA">
            <w:pPr>
              <w:pStyle w:val="Table"/>
              <w:jc w:val="center"/>
            </w:pPr>
            <w:r w:rsidRPr="008C0CB1">
              <w:t>3102</w:t>
            </w:r>
          </w:p>
        </w:tc>
      </w:tr>
      <w:tr w:rsidR="00B15FAA" w14:paraId="1C0BF877" w14:textId="19E4F24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337FDE3" w14:textId="522D3C60" w:rsidR="00B15FAA" w:rsidRPr="00E4485A" w:rsidRDefault="00B15FAA" w:rsidP="00B15FAA">
            <w:pPr>
              <w:pStyle w:val="Table"/>
            </w:pPr>
            <w:r w:rsidRPr="00512220">
              <w:t>4110. Notional asset rate for 132kV/HV (£/kW)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F306C14" w14:textId="0E12E235" w:rsidR="00B15FAA" w:rsidRPr="00980628" w:rsidRDefault="00B15FAA" w:rsidP="00B15FAA">
            <w:pPr>
              <w:pStyle w:val="Table"/>
              <w:jc w:val="center"/>
            </w:pPr>
            <w:r w:rsidRPr="008C0CB1">
              <w:t>3004</w:t>
            </w:r>
          </w:p>
        </w:tc>
      </w:tr>
      <w:tr w:rsidR="00B15FAA" w14:paraId="194FBB66" w14:textId="7FAF41F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247A3DB" w14:textId="30E72212" w:rsidR="00B15FAA" w:rsidRPr="00E4485A" w:rsidRDefault="00B15FAA" w:rsidP="00B15FAA">
            <w:pPr>
              <w:pStyle w:val="Table"/>
            </w:pPr>
            <w:r w:rsidRPr="00512220">
              <w:t>4112. Notional asset rate adjusted (£/kW)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183512B" w14:textId="1E407703" w:rsidR="00B15FAA" w:rsidRPr="00980628" w:rsidRDefault="00B15FAA" w:rsidP="00B15FAA">
            <w:pPr>
              <w:pStyle w:val="Table"/>
              <w:jc w:val="center"/>
            </w:pPr>
            <w:r w:rsidRPr="008C0CB1">
              <w:t>3006</w:t>
            </w:r>
          </w:p>
        </w:tc>
      </w:tr>
      <w:tr w:rsidR="00B15FAA" w14:paraId="747DA2A4" w14:textId="25CD926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2D4EFA7" w14:textId="2636C7C0" w:rsidR="00B15FAA" w:rsidRPr="00E4485A" w:rsidRDefault="00B15FAA" w:rsidP="00B15FAA">
            <w:pPr>
              <w:pStyle w:val="Table"/>
            </w:pPr>
            <w:r w:rsidRPr="00512220">
              <w:t>4114. Capacity 132kV/HV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A761A3D" w14:textId="06F40799" w:rsidR="00B15FAA" w:rsidRPr="00980628" w:rsidRDefault="00B15FAA" w:rsidP="00B15FAA">
            <w:pPr>
              <w:pStyle w:val="Table"/>
              <w:jc w:val="center"/>
            </w:pPr>
            <w:r w:rsidRPr="008C0CB1">
              <w:t>3310</w:t>
            </w:r>
          </w:p>
        </w:tc>
      </w:tr>
      <w:tr w:rsidR="00B15FAA" w14:paraId="25DD21A3" w14:textId="7FD96A9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2D55069" w14:textId="0C295553" w:rsidR="00B15FAA" w:rsidRPr="00E4485A" w:rsidRDefault="00B15FAA" w:rsidP="00B15FAA">
            <w:pPr>
              <w:pStyle w:val="Table"/>
            </w:pPr>
            <w:r w:rsidRPr="00512220">
              <w:t>4116. Capacity EHV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2DA1B16" w14:textId="1863305B" w:rsidR="00B15FAA" w:rsidRPr="00980628" w:rsidRDefault="00B15FAA" w:rsidP="00B15FAA">
            <w:pPr>
              <w:pStyle w:val="Table"/>
              <w:jc w:val="center"/>
            </w:pPr>
            <w:r w:rsidRPr="008C0CB1">
              <w:t>3306</w:t>
            </w:r>
          </w:p>
        </w:tc>
      </w:tr>
      <w:tr w:rsidR="00B15FAA" w14:paraId="198BDB35" w14:textId="144DEFB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F603AEA" w14:textId="2890D2F7" w:rsidR="00B15FAA" w:rsidRPr="00E4485A" w:rsidRDefault="00B15FAA" w:rsidP="00B15FAA">
            <w:pPr>
              <w:pStyle w:val="Table"/>
            </w:pPr>
            <w:r w:rsidRPr="00512220">
              <w:t>4118. Capacity 132kV/EHV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CF2E9D9" w14:textId="10A6FAD4" w:rsidR="00B15FAA" w:rsidRPr="00980628" w:rsidRDefault="00B15FAA" w:rsidP="00B15FAA">
            <w:pPr>
              <w:pStyle w:val="Table"/>
              <w:jc w:val="center"/>
            </w:pPr>
            <w:r w:rsidRPr="008C0CB1">
              <w:t>3304</w:t>
            </w:r>
          </w:p>
        </w:tc>
      </w:tr>
      <w:tr w:rsidR="00B15FAA" w14:paraId="3A3D5B61" w14:textId="5E01E88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5654723" w14:textId="53A216AB" w:rsidR="00B15FAA" w:rsidRPr="00E4485A" w:rsidRDefault="00B15FAA" w:rsidP="00B15FAA">
            <w:pPr>
              <w:pStyle w:val="Table"/>
            </w:pPr>
            <w:r w:rsidRPr="00512220">
              <w:t>4120. Capacity EHV/HV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A431DFA" w14:textId="73593A3A" w:rsidR="00B15FAA" w:rsidRPr="00980628" w:rsidRDefault="00B15FAA" w:rsidP="00B15FAA">
            <w:pPr>
              <w:pStyle w:val="Table"/>
              <w:jc w:val="center"/>
            </w:pPr>
            <w:r w:rsidRPr="008C0CB1">
              <w:t>3308</w:t>
            </w:r>
          </w:p>
        </w:tc>
      </w:tr>
      <w:tr w:rsidR="00B15FAA" w14:paraId="3199DDE5" w14:textId="4BE1AE8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5EE77AC4" w14:textId="70C79A51" w:rsidR="00B15FAA" w:rsidRPr="00E4485A" w:rsidRDefault="00B15FAA" w:rsidP="00B15FAA">
            <w:pPr>
              <w:pStyle w:val="Table"/>
            </w:pPr>
            <w:r w:rsidRPr="00512220">
              <w:t>4122. Capacity 132kV circuits (£/kVA)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BF0448F" w14:textId="60EB6881" w:rsidR="00B15FAA" w:rsidRPr="00980628" w:rsidRDefault="00B15FAA" w:rsidP="00B15FAA">
            <w:pPr>
              <w:pStyle w:val="Table"/>
              <w:jc w:val="center"/>
            </w:pPr>
            <w:r w:rsidRPr="008C0CB1">
              <w:t>3302</w:t>
            </w:r>
          </w:p>
        </w:tc>
      </w:tr>
      <w:tr w:rsidR="00B15FAA" w14:paraId="0B9BFC90" w14:textId="3B82F68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6E26D95" w14:textId="7A255E5F" w:rsidR="00B15FAA" w:rsidRPr="00E4485A" w:rsidRDefault="00B15FAA" w:rsidP="00B15FAA">
            <w:pPr>
              <w:pStyle w:val="Table"/>
            </w:pPr>
            <w:r w:rsidRPr="00512220">
              <w:t>4124. Total notional capacity assets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A390F1C" w14:textId="39E18235" w:rsidR="00B15FAA" w:rsidRPr="00980628" w:rsidRDefault="00B15FAA" w:rsidP="00B15FAA">
            <w:pPr>
              <w:pStyle w:val="Table"/>
              <w:jc w:val="center"/>
            </w:pPr>
            <w:r w:rsidRPr="008C0CB1">
              <w:t>3312</w:t>
            </w:r>
          </w:p>
        </w:tc>
      </w:tr>
      <w:tr w:rsidR="00B15FAA" w14:paraId="4D4CC688" w14:textId="6A056C2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A34CE51" w14:textId="1F66F028" w:rsidR="00B15FAA" w:rsidRPr="00E4485A" w:rsidRDefault="00B15FAA" w:rsidP="00B15FAA">
            <w:pPr>
              <w:pStyle w:val="Table"/>
            </w:pPr>
            <w:r w:rsidRPr="00512220">
              <w:t>4126. Maximum import capacity adjusted for part-year (kVA)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D120859" w14:textId="767B47DC" w:rsidR="00B15FAA" w:rsidRPr="00980628" w:rsidRDefault="00B15FAA" w:rsidP="00B15FAA">
            <w:pPr>
              <w:pStyle w:val="Table"/>
              <w:jc w:val="center"/>
            </w:pPr>
            <w:r w:rsidRPr="008C0CB1">
              <w:t>2302</w:t>
            </w:r>
          </w:p>
        </w:tc>
      </w:tr>
      <w:tr w:rsidR="00B15FAA" w14:paraId="673B9B0B" w14:textId="67D740C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5692F9E" w14:textId="71A1B1BA" w:rsidR="00B15FAA" w:rsidRPr="00E4485A" w:rsidRDefault="00B15FAA" w:rsidP="00B15FAA">
            <w:pPr>
              <w:pStyle w:val="Table"/>
            </w:pPr>
            <w:r w:rsidRPr="00512220">
              <w:t>4128. Total notional capacity assets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7DD1BA3" w14:textId="4F7463B0" w:rsidR="00B15FAA" w:rsidRPr="00980628" w:rsidRDefault="00B15FAA" w:rsidP="00B15FAA">
            <w:pPr>
              <w:pStyle w:val="Table"/>
              <w:jc w:val="center"/>
            </w:pPr>
            <w:r w:rsidRPr="008C0CB1">
              <w:t>3410</w:t>
            </w:r>
          </w:p>
        </w:tc>
      </w:tr>
      <w:tr w:rsidR="00B15FAA" w14:paraId="5854734E" w14:textId="087A140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B7E336" w14:textId="2FFDE245" w:rsidR="00B15FAA" w:rsidRPr="00E4485A" w:rsidRDefault="00B15FAA" w:rsidP="00B15FAA">
            <w:pPr>
              <w:pStyle w:val="Table"/>
            </w:pPr>
            <w:r w:rsidRPr="00512220">
              <w:t>4130. Non-exempt post-2010 export capacity (kVA)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E5F4C40" w14:textId="760BA2F7" w:rsidR="00B15FAA" w:rsidRPr="00980628" w:rsidRDefault="00B15FAA" w:rsidP="00B15FAA">
            <w:pPr>
              <w:pStyle w:val="Table"/>
              <w:jc w:val="center"/>
            </w:pPr>
            <w:r w:rsidRPr="008C0CB1">
              <w:t>2112</w:t>
            </w:r>
          </w:p>
        </w:tc>
      </w:tr>
      <w:tr w:rsidR="00B15FAA" w14:paraId="461F5014" w14:textId="38FD08D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AD86CAD" w14:textId="1B3DCDE2" w:rsidR="00B15FAA" w:rsidRPr="00E4485A" w:rsidRDefault="00B15FAA" w:rsidP="00B15FAA">
            <w:pPr>
              <w:pStyle w:val="Table"/>
            </w:pPr>
            <w:r w:rsidRPr="00512220">
              <w:t>4132. Non-exempt 2005-2010 export capacity (kVA)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E482466" w14:textId="095F500B" w:rsidR="00B15FAA" w:rsidRPr="00980628" w:rsidRDefault="00B15FAA" w:rsidP="00B15FAA">
            <w:pPr>
              <w:pStyle w:val="Table"/>
              <w:jc w:val="center"/>
            </w:pPr>
            <w:r w:rsidRPr="008C0CB1">
              <w:t>2110</w:t>
            </w:r>
          </w:p>
        </w:tc>
      </w:tr>
      <w:tr w:rsidR="00B15FAA" w14:paraId="176C1255" w14:textId="10A93B2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A4FF3E5" w14:textId="5FF34D93" w:rsidR="00B15FAA" w:rsidRPr="00E4485A" w:rsidRDefault="00B15FAA" w:rsidP="00B15FAA">
            <w:pPr>
              <w:pStyle w:val="Table"/>
            </w:pPr>
            <w:r w:rsidRPr="00512220">
              <w:t>4134. Non-exempt pre-2005 export capacity (kVA)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74F997E" w14:textId="7D1A59FA" w:rsidR="00B15FAA" w:rsidRPr="00980628" w:rsidRDefault="00B15FAA" w:rsidP="00B15FAA">
            <w:pPr>
              <w:pStyle w:val="Table"/>
              <w:jc w:val="center"/>
            </w:pPr>
            <w:r w:rsidRPr="008C0CB1">
              <w:t>2108</w:t>
            </w:r>
          </w:p>
        </w:tc>
      </w:tr>
      <w:tr w:rsidR="00B15FAA" w14:paraId="0D663988" w14:textId="53C04B7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807FE54" w14:textId="1246B1CE" w:rsidR="00B15FAA" w:rsidRPr="00E4485A" w:rsidRDefault="00B15FAA" w:rsidP="00B15FAA">
            <w:pPr>
              <w:pStyle w:val="Table"/>
            </w:pPr>
            <w:r w:rsidRPr="00512220">
              <w:t>4136. Chargeable export capacity adjusted for part-year (kVA)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31B11A2" w14:textId="0BBD132C" w:rsidR="00B15FAA" w:rsidRPr="00980628" w:rsidRDefault="00B15FAA" w:rsidP="00B15FAA">
            <w:pPr>
              <w:pStyle w:val="Table"/>
              <w:jc w:val="center"/>
            </w:pPr>
            <w:r w:rsidRPr="008C0CB1">
              <w:t>2114</w:t>
            </w:r>
          </w:p>
        </w:tc>
      </w:tr>
      <w:tr w:rsidR="00B15FAA" w14:paraId="0A9F694C" w14:textId="108036B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5B9D220" w14:textId="09C13D82" w:rsidR="00B15FAA" w:rsidRPr="00E4485A" w:rsidRDefault="00B15FAA" w:rsidP="00B15FAA">
            <w:pPr>
              <w:pStyle w:val="Table"/>
            </w:pPr>
            <w:r w:rsidRPr="00512220">
              <w:t>4138. Exempt export capacity (kVA) adjusted for part-year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1BED8AE" w14:textId="4B221A81" w:rsidR="00B15FAA" w:rsidRPr="00980628" w:rsidRDefault="00B15FAA" w:rsidP="00B15FAA">
            <w:pPr>
              <w:pStyle w:val="Table"/>
              <w:jc w:val="center"/>
            </w:pPr>
            <w:r w:rsidRPr="008C0CB1">
              <w:t>2106</w:t>
            </w:r>
          </w:p>
        </w:tc>
      </w:tr>
      <w:tr w:rsidR="00B15FAA" w14:paraId="702A92F0" w14:textId="318B3D6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0973352" w14:textId="111295B7" w:rsidR="00B15FAA" w:rsidRPr="00E4485A" w:rsidRDefault="00B15FAA" w:rsidP="00B15FAA">
            <w:pPr>
              <w:pStyle w:val="Table"/>
            </w:pPr>
            <w:r w:rsidRPr="00512220">
              <w:t>4140. Sole use asset MEAV for demand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5BFD9CF" w14:textId="4BC200CA" w:rsidR="00B15FAA" w:rsidRPr="00980628" w:rsidRDefault="00B15FAA" w:rsidP="00B15FAA">
            <w:pPr>
              <w:pStyle w:val="Table"/>
              <w:jc w:val="center"/>
            </w:pPr>
            <w:r w:rsidRPr="008C0CB1">
              <w:t>2814</w:t>
            </w:r>
          </w:p>
        </w:tc>
      </w:tr>
      <w:tr w:rsidR="00B15FAA" w14:paraId="6FB90930" w14:textId="6C13ACE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C53F04F" w14:textId="37E2A995" w:rsidR="00B15FAA" w:rsidRPr="00E4485A" w:rsidRDefault="00B15FAA" w:rsidP="00B15FAA">
            <w:pPr>
              <w:pStyle w:val="Table"/>
            </w:pPr>
            <w:r w:rsidRPr="00512220">
              <w:t>4142. Demand sole use asset MEAV adjusted for part-year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9DDA197" w14:textId="15E51CCC" w:rsidR="00B15FAA" w:rsidRPr="00980628" w:rsidRDefault="00B15FAA" w:rsidP="00B15FAA">
            <w:pPr>
              <w:pStyle w:val="Table"/>
              <w:jc w:val="center"/>
            </w:pPr>
            <w:r w:rsidRPr="008C0CB1">
              <w:t>2818</w:t>
            </w:r>
          </w:p>
        </w:tc>
      </w:tr>
      <w:tr w:rsidR="00B15FAA" w14:paraId="79AECF27" w14:textId="568CFF3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8A25E37" w14:textId="7CE4B6F6" w:rsidR="00B15FAA" w:rsidRPr="00E4485A" w:rsidRDefault="00B15FAA" w:rsidP="00B15FAA">
            <w:pPr>
              <w:pStyle w:val="Table"/>
            </w:pPr>
            <w:r w:rsidRPr="00512220">
              <w:t>4144. Total sole use assets for demand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A26AC66" w14:textId="1FC26383" w:rsidR="00B15FAA" w:rsidRPr="00980628" w:rsidRDefault="00B15FAA" w:rsidP="00B15FAA">
            <w:pPr>
              <w:pStyle w:val="Table"/>
              <w:jc w:val="center"/>
            </w:pPr>
            <w:r w:rsidRPr="008C0CB1">
              <w:t>3408</w:t>
            </w:r>
          </w:p>
        </w:tc>
      </w:tr>
      <w:tr w:rsidR="00B15FAA" w14:paraId="66C6BE92" w14:textId="38B0CEB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24DF498" w14:textId="18942F7B" w:rsidR="00B15FAA" w:rsidRPr="00E4485A" w:rsidRDefault="00B15FAA" w:rsidP="00B15FAA">
            <w:pPr>
              <w:pStyle w:val="Table"/>
            </w:pPr>
            <w:r w:rsidRPr="00512220">
              <w:lastRenderedPageBreak/>
              <w:t>4146. Super-red kW divided by kVA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1F6766D" w14:textId="157B9350" w:rsidR="00B15FAA" w:rsidRPr="00980628" w:rsidRDefault="00B15FAA" w:rsidP="00B15FAA">
            <w:pPr>
              <w:pStyle w:val="Table"/>
              <w:jc w:val="center"/>
            </w:pPr>
            <w:r w:rsidRPr="008C0CB1">
              <w:t>2304</w:t>
            </w:r>
          </w:p>
        </w:tc>
      </w:tr>
      <w:tr w:rsidR="00B15FAA" w14:paraId="76B9A3C3" w14:textId="172A25C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189D8B4" w14:textId="579441E9" w:rsidR="00B15FAA" w:rsidRPr="00E4485A" w:rsidRDefault="00B15FAA" w:rsidP="00B15FAA">
            <w:pPr>
              <w:pStyle w:val="Table"/>
            </w:pPr>
            <w:r w:rsidRPr="00512220">
              <w:t>4148. Peak-time active power consumption adjusted to transmission (kW/kVA)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6F88954" w14:textId="63A45C5B" w:rsidR="00B15FAA" w:rsidRPr="00980628" w:rsidRDefault="00B15FAA" w:rsidP="00B15FAA">
            <w:pPr>
              <w:pStyle w:val="Table"/>
              <w:jc w:val="center"/>
            </w:pPr>
            <w:r w:rsidRPr="008C0CB1">
              <w:t>2504</w:t>
            </w:r>
          </w:p>
        </w:tc>
      </w:tr>
      <w:tr w:rsidR="00B15FAA" w14:paraId="4C839D4B" w14:textId="47B9384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ACC6879" w14:textId="4C4E3D2E" w:rsidR="00B15FAA" w:rsidRPr="00E4485A" w:rsidRDefault="00B15FAA" w:rsidP="00B15FAA">
            <w:pPr>
              <w:pStyle w:val="Table"/>
            </w:pPr>
            <w:r w:rsidRPr="00512220">
              <w:t>4150. Consumption EHV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7B0D0B0" w14:textId="1BC6BEDD" w:rsidR="00B15FAA" w:rsidRPr="00980628" w:rsidRDefault="00B15FAA" w:rsidP="00B15FAA">
            <w:pPr>
              <w:pStyle w:val="Table"/>
              <w:jc w:val="center"/>
            </w:pPr>
            <w:r w:rsidRPr="008C0CB1">
              <w:t>3318</w:t>
            </w:r>
          </w:p>
        </w:tc>
      </w:tr>
      <w:tr w:rsidR="00B15FAA" w14:paraId="2E4B0C61" w14:textId="4542C20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036331D" w14:textId="0ED65F73" w:rsidR="00B15FAA" w:rsidRPr="00E4485A" w:rsidRDefault="00B15FAA" w:rsidP="00B15FAA">
            <w:pPr>
              <w:pStyle w:val="Table"/>
            </w:pPr>
            <w:r w:rsidRPr="00512220">
              <w:t>4152. Consumption 132kV/EHV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D1B9649" w14:textId="175EF4E3" w:rsidR="00B15FAA" w:rsidRPr="00980628" w:rsidRDefault="00B15FAA" w:rsidP="00B15FAA">
            <w:pPr>
              <w:pStyle w:val="Table"/>
              <w:jc w:val="center"/>
            </w:pPr>
            <w:r w:rsidRPr="008C0CB1">
              <w:t>3316</w:t>
            </w:r>
          </w:p>
        </w:tc>
      </w:tr>
      <w:tr w:rsidR="00B15FAA" w14:paraId="3972339C" w14:textId="16614A6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10269F89" w14:textId="3381E6AA" w:rsidR="00B15FAA" w:rsidRPr="00E4485A" w:rsidRDefault="00B15FAA" w:rsidP="00B15FAA">
            <w:pPr>
              <w:pStyle w:val="Table"/>
            </w:pPr>
            <w:r w:rsidRPr="00512220">
              <w:t>4154. Consumption 132kV circuits (£/kVA)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D6F5F9A" w14:textId="6D7496A5" w:rsidR="00B15FAA" w:rsidRPr="00980628" w:rsidRDefault="00B15FAA" w:rsidP="00B15FAA">
            <w:pPr>
              <w:pStyle w:val="Table"/>
              <w:jc w:val="center"/>
            </w:pPr>
            <w:r w:rsidRPr="008C0CB1">
              <w:t>3314</w:t>
            </w:r>
          </w:p>
        </w:tc>
      </w:tr>
      <w:tr w:rsidR="00B15FAA" w14:paraId="28F9830F" w14:textId="24B3742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D32B1A0" w14:textId="176A5C12" w:rsidR="00B15FAA" w:rsidRPr="00E4485A" w:rsidRDefault="00B15FAA" w:rsidP="00B15FAA">
            <w:pPr>
              <w:pStyle w:val="Table"/>
            </w:pPr>
            <w:r w:rsidRPr="00512220">
              <w:t>4156. Total notional consumption assets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37BFAE0" w14:textId="7F572D6D" w:rsidR="00B15FAA" w:rsidRPr="00980628" w:rsidRDefault="00B15FAA" w:rsidP="00B15FAA">
            <w:pPr>
              <w:pStyle w:val="Table"/>
              <w:jc w:val="center"/>
            </w:pPr>
            <w:r w:rsidRPr="008C0CB1">
              <w:t>3320</w:t>
            </w:r>
          </w:p>
        </w:tc>
      </w:tr>
      <w:tr w:rsidR="00B15FAA" w14:paraId="17688786" w14:textId="16541CC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725AFEB" w14:textId="479919B5" w:rsidR="00B15FAA" w:rsidRPr="00E4485A" w:rsidRDefault="00B15FAA" w:rsidP="00B15FAA">
            <w:pPr>
              <w:pStyle w:val="Table"/>
            </w:pPr>
            <w:r w:rsidRPr="00512220">
              <w:t>4158. Total notional consumption assets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3E090A7" w14:textId="38877288" w:rsidR="00B15FAA" w:rsidRPr="00980628" w:rsidRDefault="00B15FAA" w:rsidP="00B15FAA">
            <w:pPr>
              <w:pStyle w:val="Table"/>
              <w:jc w:val="center"/>
            </w:pPr>
            <w:r w:rsidRPr="008C0CB1">
              <w:t>3412</w:t>
            </w:r>
          </w:p>
        </w:tc>
      </w:tr>
      <w:tr w:rsidR="00B15FAA" w14:paraId="5B0332FB" w14:textId="491A1D6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023EC09" w14:textId="4E84E0AA" w:rsidR="00B15FAA" w:rsidRPr="00E4485A" w:rsidRDefault="00B15FAA" w:rsidP="00B15FAA">
            <w:pPr>
              <w:pStyle w:val="Table"/>
            </w:pPr>
            <w:r w:rsidRPr="00512220">
              <w:t>4160. Sole use asset MEAV for non-exempt generation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9E6BDE1" w14:textId="518A74CB" w:rsidR="00B15FAA" w:rsidRPr="00980628" w:rsidRDefault="00B15FAA" w:rsidP="00B15FAA">
            <w:pPr>
              <w:pStyle w:val="Table"/>
              <w:jc w:val="center"/>
            </w:pPr>
            <w:r w:rsidRPr="008C0CB1">
              <w:t>2816</w:t>
            </w:r>
          </w:p>
        </w:tc>
      </w:tr>
      <w:tr w:rsidR="00B15FAA" w14:paraId="7F6695F8" w14:textId="740F22D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4C79EB4" w14:textId="0912BAE0" w:rsidR="00B15FAA" w:rsidRPr="00E4485A" w:rsidRDefault="00B15FAA" w:rsidP="00B15FAA">
            <w:pPr>
              <w:pStyle w:val="Table"/>
            </w:pPr>
            <w:r w:rsidRPr="00512220">
              <w:t>4162. Generation sole use asset MEAV adjusted for part-year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3B7DA70" w14:textId="32DF29B9" w:rsidR="00B15FAA" w:rsidRPr="00980628" w:rsidRDefault="00B15FAA" w:rsidP="00B15FAA">
            <w:pPr>
              <w:pStyle w:val="Table"/>
              <w:jc w:val="center"/>
            </w:pPr>
            <w:r w:rsidRPr="008C0CB1">
              <w:t>2820</w:t>
            </w:r>
          </w:p>
        </w:tc>
      </w:tr>
      <w:tr w:rsidR="00B15FAA" w14:paraId="38213555" w14:textId="3F43AFD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D945A6F" w14:textId="152DD76F" w:rsidR="00B15FAA" w:rsidRPr="00E4485A" w:rsidRDefault="00B15FAA" w:rsidP="00B15FAA">
            <w:pPr>
              <w:pStyle w:val="Table"/>
            </w:pPr>
            <w:r w:rsidRPr="00512220">
              <w:t>4164. Generation sole use asset MEAV adjusted for part-year (£) (aggregate)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2BC9016" w14:textId="43A50960" w:rsidR="00B15FAA" w:rsidRPr="00980628" w:rsidRDefault="00B15FAA" w:rsidP="00B15FAA">
            <w:pPr>
              <w:pStyle w:val="Table"/>
              <w:jc w:val="center"/>
            </w:pPr>
            <w:r w:rsidRPr="008C0CB1">
              <w:t>3414</w:t>
            </w:r>
          </w:p>
        </w:tc>
      </w:tr>
      <w:tr w:rsidR="00B15FAA" w14:paraId="47EB1CFC" w14:textId="36F0677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D07C6EE" w14:textId="345A956B" w:rsidR="00B15FAA" w:rsidRPr="00E4485A" w:rsidRDefault="00B15FAA" w:rsidP="00B15FAA">
            <w:pPr>
              <w:pStyle w:val="Table"/>
            </w:pPr>
            <w:r w:rsidRPr="00512220">
              <w:t>4166. All notional assets in EDCM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FBD56E2" w14:textId="28149357" w:rsidR="00B15FAA" w:rsidRPr="00980628" w:rsidRDefault="00B15FAA" w:rsidP="00B15FAA">
            <w:pPr>
              <w:pStyle w:val="Table"/>
              <w:jc w:val="center"/>
            </w:pPr>
            <w:r w:rsidRPr="008C0CB1">
              <w:t>3416</w:t>
            </w:r>
          </w:p>
        </w:tc>
      </w:tr>
      <w:tr w:rsidR="00B15FAA" w14:paraId="1437DFB7" w14:textId="5DBAE71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1C3C485" w14:textId="61559130" w:rsidR="00B15FAA" w:rsidRPr="00E4485A" w:rsidRDefault="00B15FAA" w:rsidP="00B15FAA">
            <w:pPr>
              <w:pStyle w:val="Table"/>
            </w:pPr>
            <w:r w:rsidRPr="00512220">
              <w:t>4202. Non-DSM import capacity adjusted for part-year (kVA)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640C9D4" w14:textId="1B962642" w:rsidR="00B15FAA" w:rsidRPr="00980628" w:rsidRDefault="00B15FAA" w:rsidP="00B15FAA">
            <w:pPr>
              <w:pStyle w:val="Table"/>
              <w:jc w:val="center"/>
            </w:pPr>
            <w:r w:rsidRPr="008C0CB1">
              <w:t>3902</w:t>
            </w:r>
          </w:p>
        </w:tc>
      </w:tr>
      <w:tr w:rsidR="00B15FAA" w14:paraId="09D51CBE" w14:textId="5E8BADB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3E8E255B" w14:textId="35792838" w:rsidR="00B15FAA" w:rsidRPr="00E4485A" w:rsidRDefault="00B15FAA" w:rsidP="00B15FAA">
            <w:pPr>
              <w:pStyle w:val="Table"/>
            </w:pPr>
            <w:r w:rsidRPr="00512220">
              <w:t>4204. Location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F954929" w14:textId="2E468FEB" w:rsidR="00B15FAA" w:rsidRPr="00980628" w:rsidRDefault="00B15FAA" w:rsidP="00B15FAA">
            <w:pPr>
              <w:pStyle w:val="Table"/>
              <w:jc w:val="center"/>
            </w:pPr>
            <w:r w:rsidRPr="008C0CB1">
              <w:t>2116</w:t>
            </w:r>
          </w:p>
        </w:tc>
      </w:tr>
      <w:tr w:rsidR="00B15FAA" w14:paraId="1B3304B8" w14:textId="0D247C65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FBC58F3" w14:textId="5FF28762" w:rsidR="00B15FAA" w:rsidRPr="00E4485A" w:rsidRDefault="00B15FAA" w:rsidP="00B15FAA">
            <w:pPr>
              <w:pStyle w:val="Table"/>
            </w:pPr>
            <w:r w:rsidRPr="00512220">
              <w:t>4206. Linked location 1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BC4E1A4" w14:textId="3C57F9CC" w:rsidR="00B15FAA" w:rsidRPr="00980628" w:rsidRDefault="00B15FAA" w:rsidP="00B15FAA">
            <w:pPr>
              <w:pStyle w:val="Table"/>
              <w:jc w:val="center"/>
            </w:pPr>
            <w:r w:rsidRPr="008C0CB1">
              <w:t>2118</w:t>
            </w:r>
          </w:p>
        </w:tc>
      </w:tr>
      <w:tr w:rsidR="00B15FAA" w14:paraId="591D74F1" w14:textId="5B113E3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F48D752" w14:textId="27AAF7CB" w:rsidR="00B15FAA" w:rsidRPr="00E4485A" w:rsidRDefault="00B15FAA" w:rsidP="00B15FAA">
            <w:pPr>
              <w:pStyle w:val="Table"/>
            </w:pPr>
            <w:r w:rsidRPr="00512220">
              <w:t>4208. Linked location 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F8BFA67" w14:textId="0741F622" w:rsidR="00B15FAA" w:rsidRPr="00980628" w:rsidRDefault="00B15FAA" w:rsidP="00B15FAA">
            <w:pPr>
              <w:pStyle w:val="Table"/>
              <w:jc w:val="center"/>
            </w:pPr>
            <w:r w:rsidRPr="008C0CB1">
              <w:t>2120</w:t>
            </w:r>
          </w:p>
        </w:tc>
      </w:tr>
      <w:tr w:rsidR="00B15FAA" w14:paraId="54D7CFB6" w14:textId="78120D0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A1C2DAC" w14:textId="08607DD4" w:rsidR="00B15FAA" w:rsidRPr="00E4485A" w:rsidRDefault="00B15FAA" w:rsidP="00B15FAA">
            <w:pPr>
              <w:pStyle w:val="Table"/>
            </w:pPr>
            <w:r w:rsidRPr="00512220">
              <w:t>4210. Linked location 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78A5D38" w14:textId="0510917A" w:rsidR="00B15FAA" w:rsidRPr="00980628" w:rsidRDefault="00B15FAA" w:rsidP="00B15FAA">
            <w:pPr>
              <w:pStyle w:val="Table"/>
              <w:jc w:val="center"/>
            </w:pPr>
            <w:r w:rsidRPr="008C0CB1">
              <w:t>2122</w:t>
            </w:r>
          </w:p>
        </w:tc>
      </w:tr>
      <w:tr w:rsidR="00B15FAA" w14:paraId="70EE85D4" w14:textId="4227167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6485606" w14:textId="288120AB" w:rsidR="00B15FAA" w:rsidRPr="00E4485A" w:rsidRDefault="00B15FAA" w:rsidP="00B15FAA">
            <w:pPr>
              <w:pStyle w:val="Table"/>
            </w:pPr>
            <w:r w:rsidRPr="00512220">
              <w:t>4212. Linked location 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95CD5C" w14:textId="6FE06CC2" w:rsidR="00B15FAA" w:rsidRPr="00980628" w:rsidRDefault="00B15FAA" w:rsidP="00B15FAA">
            <w:pPr>
              <w:pStyle w:val="Table"/>
              <w:jc w:val="center"/>
            </w:pPr>
            <w:r w:rsidRPr="008C0CB1">
              <w:t>2124</w:t>
            </w:r>
          </w:p>
        </w:tc>
      </w:tr>
      <w:tr w:rsidR="00B15FAA" w14:paraId="2E7574EE" w14:textId="3DF4457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990FA93" w14:textId="2F774BCD" w:rsidR="00B15FAA" w:rsidRPr="00E4485A" w:rsidRDefault="00B15FAA" w:rsidP="00B15FAA">
            <w:pPr>
              <w:pStyle w:val="Table"/>
            </w:pPr>
            <w:r w:rsidRPr="00512220">
              <w:t>4214. Linked location 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F1A00F5" w14:textId="4F7D0407" w:rsidR="00B15FAA" w:rsidRPr="00980628" w:rsidRDefault="00B15FAA" w:rsidP="00B15FAA">
            <w:pPr>
              <w:pStyle w:val="Table"/>
              <w:jc w:val="center"/>
            </w:pPr>
            <w:r w:rsidRPr="008C0CB1">
              <w:t>2126</w:t>
            </w:r>
          </w:p>
        </w:tc>
      </w:tr>
      <w:tr w:rsidR="00B15FAA" w14:paraId="48E9E51C" w14:textId="03A3943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B13A3A7" w14:textId="3A65E0FB" w:rsidR="00B15FAA" w:rsidRPr="00E4485A" w:rsidRDefault="00B15FAA" w:rsidP="00B15FAA">
            <w:pPr>
              <w:pStyle w:val="Table"/>
            </w:pPr>
            <w:r w:rsidRPr="00512220">
              <w:t>4216. Linked location 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579DA52" w14:textId="32BB3881" w:rsidR="00B15FAA" w:rsidRPr="00980628" w:rsidRDefault="00B15FAA" w:rsidP="00B15FAA">
            <w:pPr>
              <w:pStyle w:val="Table"/>
              <w:jc w:val="center"/>
            </w:pPr>
            <w:r w:rsidRPr="008C0CB1">
              <w:t>2128</w:t>
            </w:r>
          </w:p>
        </w:tc>
      </w:tr>
      <w:tr w:rsidR="00B15FAA" w14:paraId="44FF85FB" w14:textId="1EB95B8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007409B" w14:textId="29FC97C5" w:rsidR="00B15FAA" w:rsidRPr="00E4485A" w:rsidRDefault="00B15FAA" w:rsidP="00B15FAA">
            <w:pPr>
              <w:pStyle w:val="Table"/>
            </w:pPr>
            <w:r w:rsidRPr="00512220">
              <w:t>4218. Linked location 7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7F9E8F1" w14:textId="1096697D" w:rsidR="00B15FAA" w:rsidRPr="00980628" w:rsidRDefault="00B15FAA" w:rsidP="00B15FAA">
            <w:pPr>
              <w:pStyle w:val="Table"/>
              <w:jc w:val="center"/>
            </w:pPr>
            <w:r w:rsidRPr="008C0CB1">
              <w:t>2130</w:t>
            </w:r>
          </w:p>
        </w:tc>
      </w:tr>
      <w:tr w:rsidR="00B15FAA" w14:paraId="1314304B" w14:textId="596A52A5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19C3CE65" w14:textId="5A103703" w:rsidR="00B15FAA" w:rsidRPr="00E4485A" w:rsidRDefault="00B15FAA" w:rsidP="00B15FAA">
            <w:pPr>
              <w:pStyle w:val="Table"/>
            </w:pPr>
            <w:r w:rsidRPr="00512220">
              <w:t>4220. Total active power in maximum demand scenario (kW)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EF16FC3" w14:textId="0C2BB35E" w:rsidR="00B15FAA" w:rsidRPr="00980628" w:rsidRDefault="00B15FAA" w:rsidP="00B15FAA">
            <w:pPr>
              <w:pStyle w:val="Table"/>
              <w:jc w:val="center"/>
            </w:pPr>
            <w:r w:rsidRPr="008C0CB1">
              <w:t>3904</w:t>
            </w:r>
          </w:p>
        </w:tc>
      </w:tr>
      <w:tr w:rsidR="00B15FAA" w14:paraId="0288C19C" w14:textId="6F59744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88D74F5" w14:textId="21557F1E" w:rsidR="00B15FAA" w:rsidRPr="00E4485A" w:rsidRDefault="00B15FAA" w:rsidP="00B15FAA">
            <w:pPr>
              <w:pStyle w:val="Table"/>
            </w:pPr>
            <w:r w:rsidRPr="00512220">
              <w:t>4222. Inverse power factor, maximum demand (kVA/kW)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5CF1CAA" w14:textId="4DDB8866" w:rsidR="00B15FAA" w:rsidRPr="00980628" w:rsidRDefault="00B15FAA" w:rsidP="00B15FAA">
            <w:pPr>
              <w:pStyle w:val="Table"/>
              <w:jc w:val="center"/>
            </w:pPr>
            <w:r w:rsidRPr="008C0CB1">
              <w:t>3906</w:t>
            </w:r>
          </w:p>
        </w:tc>
      </w:tr>
      <w:tr w:rsidR="00B15FAA" w14:paraId="2DDF0405" w14:textId="058B814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3783DF6" w14:textId="0B8CFFD3" w:rsidR="00B15FAA" w:rsidRPr="00E4485A" w:rsidRDefault="00B15FAA" w:rsidP="00B15FAA">
            <w:pPr>
              <w:pStyle w:val="Table"/>
            </w:pPr>
            <w:r w:rsidRPr="00512220">
              <w:t>4224. Maximum demand run kVA at Linked location 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3EA1F68" w14:textId="4D814D24" w:rsidR="00B15FAA" w:rsidRPr="00980628" w:rsidRDefault="00B15FAA" w:rsidP="00B15FAA">
            <w:pPr>
              <w:pStyle w:val="Table"/>
              <w:jc w:val="center"/>
            </w:pPr>
            <w:r w:rsidRPr="008C0CB1">
              <w:t>2168</w:t>
            </w:r>
          </w:p>
        </w:tc>
      </w:tr>
      <w:tr w:rsidR="00B15FAA" w14:paraId="46603C6F" w14:textId="57C3CA9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FA9EC50" w14:textId="78F88889" w:rsidR="00B15FAA" w:rsidRPr="00E4485A" w:rsidRDefault="00B15FAA" w:rsidP="00B15FAA">
            <w:pPr>
              <w:pStyle w:val="Table"/>
            </w:pPr>
            <w:r w:rsidRPr="00512220">
              <w:t>4226. Network charge 1 £/kVA/year at Linked location 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D40260D" w14:textId="689F8CD6" w:rsidR="00B15FAA" w:rsidRPr="00980628" w:rsidRDefault="00B15FAA" w:rsidP="00B15FAA">
            <w:pPr>
              <w:pStyle w:val="Table"/>
              <w:jc w:val="center"/>
            </w:pPr>
            <w:r w:rsidRPr="008C0CB1">
              <w:t>2158</w:t>
            </w:r>
          </w:p>
        </w:tc>
      </w:tr>
      <w:tr w:rsidR="00B15FAA" w14:paraId="663FAC51" w14:textId="71008BB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FB55A6" w14:textId="612B673C" w:rsidR="00B15FAA" w:rsidRPr="00E4485A" w:rsidRDefault="00B15FAA" w:rsidP="00B15FAA">
            <w:pPr>
              <w:pStyle w:val="Table"/>
            </w:pPr>
            <w:r w:rsidRPr="00512220">
              <w:lastRenderedPageBreak/>
              <w:t>4228. Network charge 1 £/kVA/year at Linked location 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CFD3197" w14:textId="0AAC5D26" w:rsidR="00B15FAA" w:rsidRPr="00980628" w:rsidRDefault="00B15FAA" w:rsidP="00B15FAA">
            <w:pPr>
              <w:pStyle w:val="Table"/>
              <w:jc w:val="center"/>
            </w:pPr>
            <w:r w:rsidRPr="008C0CB1">
              <w:t>2154</w:t>
            </w:r>
          </w:p>
        </w:tc>
      </w:tr>
      <w:tr w:rsidR="00B15FAA" w14:paraId="58084773" w14:textId="58645195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3C298A9" w14:textId="6264931F" w:rsidR="00B15FAA" w:rsidRPr="00E4485A" w:rsidRDefault="00B15FAA" w:rsidP="00B15FAA">
            <w:pPr>
              <w:pStyle w:val="Table"/>
            </w:pPr>
            <w:r w:rsidRPr="00512220">
              <w:t>4230. Network charge 1 £/kVA/year at Linked location 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B9AB844" w14:textId="2ECE2855" w:rsidR="00B15FAA" w:rsidRPr="00980628" w:rsidRDefault="00B15FAA" w:rsidP="00B15FAA">
            <w:pPr>
              <w:pStyle w:val="Table"/>
              <w:jc w:val="center"/>
            </w:pPr>
            <w:r w:rsidRPr="008C0CB1">
              <w:t>2156</w:t>
            </w:r>
          </w:p>
        </w:tc>
      </w:tr>
      <w:tr w:rsidR="00B15FAA" w14:paraId="490BAAC2" w14:textId="199BDB3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0A9FEE3" w14:textId="3B565BFE" w:rsidR="00B15FAA" w:rsidRPr="00E4485A" w:rsidRDefault="00B15FAA" w:rsidP="00B15FAA">
            <w:pPr>
              <w:pStyle w:val="Table"/>
            </w:pPr>
            <w:r w:rsidRPr="00512220">
              <w:t>4232. Maximum demand run kVA at Linked location 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B350CD8" w14:textId="0945DFBB" w:rsidR="00B15FAA" w:rsidRPr="00980628" w:rsidRDefault="00B15FAA" w:rsidP="00B15FAA">
            <w:pPr>
              <w:pStyle w:val="Table"/>
              <w:jc w:val="center"/>
            </w:pPr>
            <w:r w:rsidRPr="008C0CB1">
              <w:t>2176</w:t>
            </w:r>
          </w:p>
        </w:tc>
      </w:tr>
      <w:tr w:rsidR="00B15FAA" w14:paraId="565A857B" w14:textId="0D3A81B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FA2A09A" w14:textId="474BAA96" w:rsidR="00B15FAA" w:rsidRPr="00E4485A" w:rsidRDefault="00B15FAA" w:rsidP="00B15FAA">
            <w:pPr>
              <w:pStyle w:val="Table"/>
            </w:pPr>
            <w:r w:rsidRPr="00512220">
              <w:t>4234. Maximum demand run kVA at Linked location 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88F8C72" w14:textId="409833F1" w:rsidR="00B15FAA" w:rsidRPr="00980628" w:rsidRDefault="00B15FAA" w:rsidP="00B15FAA">
            <w:pPr>
              <w:pStyle w:val="Table"/>
              <w:jc w:val="center"/>
            </w:pPr>
            <w:r w:rsidRPr="008C0CB1">
              <w:t>2170</w:t>
            </w:r>
          </w:p>
        </w:tc>
      </w:tr>
      <w:tr w:rsidR="00B15FAA" w14:paraId="067BD1E6" w14:textId="560BBD0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69BF9639" w14:textId="64E0EF10" w:rsidR="00B15FAA" w:rsidRPr="00E4485A" w:rsidRDefault="00B15FAA" w:rsidP="00B15FAA">
            <w:pPr>
              <w:pStyle w:val="Table"/>
            </w:pPr>
            <w:r w:rsidRPr="00512220">
              <w:t>4236. Network charge 1 £/kVA/year at Linked location 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B5F26DC" w14:textId="60EAA8B1" w:rsidR="00B15FAA" w:rsidRPr="00980628" w:rsidRDefault="00B15FAA" w:rsidP="00B15FAA">
            <w:pPr>
              <w:pStyle w:val="Table"/>
              <w:jc w:val="center"/>
            </w:pPr>
            <w:r w:rsidRPr="008C0CB1">
              <w:t>2162</w:t>
            </w:r>
          </w:p>
        </w:tc>
      </w:tr>
      <w:tr w:rsidR="00B15FAA" w14:paraId="54426811" w14:textId="2C6288A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730225F" w14:textId="4BF2817E" w:rsidR="00B15FAA" w:rsidRPr="00E4485A" w:rsidRDefault="00B15FAA" w:rsidP="00B15FAA">
            <w:pPr>
              <w:pStyle w:val="Table"/>
            </w:pPr>
            <w:r w:rsidRPr="00512220">
              <w:t>4238. Maximum demand run kVA at Linked location 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B227558" w14:textId="7FE8B31B" w:rsidR="00B15FAA" w:rsidRPr="00980628" w:rsidRDefault="00B15FAA" w:rsidP="00B15FAA">
            <w:pPr>
              <w:pStyle w:val="Table"/>
              <w:jc w:val="center"/>
            </w:pPr>
            <w:r w:rsidRPr="008C0CB1">
              <w:t>2174</w:t>
            </w:r>
          </w:p>
        </w:tc>
      </w:tr>
      <w:tr w:rsidR="00B15FAA" w14:paraId="395E8F64" w14:textId="53FC8DA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29F2FD1" w14:textId="135CA45E" w:rsidR="00B15FAA" w:rsidRPr="00E4485A" w:rsidRDefault="00B15FAA" w:rsidP="00B15FAA">
            <w:pPr>
              <w:pStyle w:val="Table"/>
            </w:pPr>
            <w:r w:rsidRPr="00512220">
              <w:t>4240. Network charge 1 £/kVA/year at Location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AD333F6" w14:textId="40B996A1" w:rsidR="00B15FAA" w:rsidRPr="00980628" w:rsidRDefault="00B15FAA" w:rsidP="00B15FAA">
            <w:pPr>
              <w:pStyle w:val="Table"/>
              <w:jc w:val="center"/>
            </w:pPr>
            <w:r w:rsidRPr="008C0CB1">
              <w:t>2148</w:t>
            </w:r>
          </w:p>
        </w:tc>
      </w:tr>
      <w:tr w:rsidR="00B15FAA" w14:paraId="03192E5B" w14:textId="337D143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BAFC69E" w14:textId="64583FD8" w:rsidR="00B15FAA" w:rsidRPr="00E4485A" w:rsidRDefault="00B15FAA" w:rsidP="00B15FAA">
            <w:pPr>
              <w:pStyle w:val="Table"/>
            </w:pPr>
            <w:r w:rsidRPr="00512220">
              <w:t>4242. Maximum demand run kVA at Linked location 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07E9159" w14:textId="3186BDCE" w:rsidR="00B15FAA" w:rsidRPr="00980628" w:rsidRDefault="00B15FAA" w:rsidP="00B15FAA">
            <w:pPr>
              <w:pStyle w:val="Table"/>
              <w:jc w:val="center"/>
            </w:pPr>
            <w:r w:rsidRPr="008C0CB1">
              <w:t>2172</w:t>
            </w:r>
          </w:p>
        </w:tc>
      </w:tr>
      <w:tr w:rsidR="00B15FAA" w14:paraId="7F79F9FE" w14:textId="729AE2B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8141A8B" w14:textId="2500D093" w:rsidR="00B15FAA" w:rsidRPr="00E4485A" w:rsidRDefault="00B15FAA" w:rsidP="00B15FAA">
            <w:pPr>
              <w:pStyle w:val="Table"/>
            </w:pPr>
            <w:r w:rsidRPr="00512220">
              <w:t>4244. Maximum demand run kVA at Linked location 1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AF86916" w14:textId="544D76CE" w:rsidR="00B15FAA" w:rsidRPr="00980628" w:rsidRDefault="00B15FAA" w:rsidP="00B15FAA">
            <w:pPr>
              <w:pStyle w:val="Table"/>
              <w:jc w:val="center"/>
            </w:pPr>
            <w:r w:rsidRPr="008C0CB1">
              <w:t>2166</w:t>
            </w:r>
          </w:p>
        </w:tc>
      </w:tr>
      <w:tr w:rsidR="00B15FAA" w14:paraId="667AF954" w14:textId="66E44C5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578907E" w14:textId="79FC78F8" w:rsidR="00B15FAA" w:rsidRPr="00E4485A" w:rsidRDefault="00B15FAA" w:rsidP="00B15FAA">
            <w:pPr>
              <w:pStyle w:val="Table"/>
            </w:pPr>
            <w:r w:rsidRPr="00512220">
              <w:t>4246. Network charge 1 £/kVA/year at Linked location 1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F511C76" w14:textId="660B3131" w:rsidR="00B15FAA" w:rsidRPr="00980628" w:rsidRDefault="00B15FAA" w:rsidP="00B15FAA">
            <w:pPr>
              <w:pStyle w:val="Table"/>
              <w:jc w:val="center"/>
            </w:pPr>
            <w:r w:rsidRPr="008C0CB1">
              <w:t>2150</w:t>
            </w:r>
          </w:p>
        </w:tc>
      </w:tr>
      <w:tr w:rsidR="00B15FAA" w14:paraId="1F680CB8" w14:textId="45BDD4E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6BC08B9" w14:textId="22E9A927" w:rsidR="00B15FAA" w:rsidRPr="00E4485A" w:rsidRDefault="00B15FAA" w:rsidP="00B15FAA">
            <w:pPr>
              <w:pStyle w:val="Table"/>
            </w:pPr>
            <w:r w:rsidRPr="00512220">
              <w:t>4248. Network charge 1 £/kVA/year at Linked location 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E9E5DD1" w14:textId="677A48E7" w:rsidR="00B15FAA" w:rsidRPr="00980628" w:rsidRDefault="00B15FAA" w:rsidP="00B15FAA">
            <w:pPr>
              <w:pStyle w:val="Table"/>
              <w:jc w:val="center"/>
            </w:pPr>
            <w:r w:rsidRPr="008C0CB1">
              <w:t>2160</w:t>
            </w:r>
          </w:p>
        </w:tc>
      </w:tr>
      <w:tr w:rsidR="00B15FAA" w14:paraId="61237A2A" w14:textId="3C81ECF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5BCAE15" w14:textId="33D2DAB6" w:rsidR="00B15FAA" w:rsidRPr="00E4485A" w:rsidRDefault="00B15FAA" w:rsidP="00B15FAA">
            <w:pPr>
              <w:pStyle w:val="Table"/>
            </w:pPr>
            <w:r w:rsidRPr="00512220">
              <w:t>4250. Maximum demand run kVA at Linked location 7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F6CE253" w14:textId="4A4D0CD2" w:rsidR="00B15FAA" w:rsidRPr="00980628" w:rsidRDefault="00B15FAA" w:rsidP="00B15FAA">
            <w:pPr>
              <w:pStyle w:val="Table"/>
              <w:jc w:val="center"/>
            </w:pPr>
            <w:r w:rsidRPr="008C0CB1">
              <w:t>2178</w:t>
            </w:r>
          </w:p>
        </w:tc>
      </w:tr>
      <w:tr w:rsidR="00B15FAA" w14:paraId="73F1CB6E" w14:textId="6F336A2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91286E9" w14:textId="6A7CE81C" w:rsidR="00B15FAA" w:rsidRPr="00E4485A" w:rsidRDefault="00B15FAA" w:rsidP="00B15FAA">
            <w:pPr>
              <w:pStyle w:val="Table"/>
            </w:pPr>
            <w:r w:rsidRPr="00512220">
              <w:t>4252. Maximum demand run kVA at Location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27B8E58" w14:textId="3DCE35D6" w:rsidR="00B15FAA" w:rsidRPr="00980628" w:rsidRDefault="00B15FAA" w:rsidP="00B15FAA">
            <w:pPr>
              <w:pStyle w:val="Table"/>
              <w:jc w:val="center"/>
            </w:pPr>
            <w:r w:rsidRPr="008C0CB1">
              <w:t>2164</w:t>
            </w:r>
          </w:p>
        </w:tc>
      </w:tr>
      <w:tr w:rsidR="00B15FAA" w14:paraId="6B349847" w14:textId="7910805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E1631E0" w14:textId="68740E4E" w:rsidR="00B15FAA" w:rsidRPr="00E4485A" w:rsidRDefault="00B15FAA" w:rsidP="00B15FAA">
            <w:pPr>
              <w:pStyle w:val="Table"/>
            </w:pPr>
            <w:r w:rsidRPr="00512220">
              <w:t>4254. Network charge 1 £/kVA/year at Linked location 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9185031" w14:textId="75B53268" w:rsidR="00B15FAA" w:rsidRPr="00980628" w:rsidRDefault="00B15FAA" w:rsidP="00B15FAA">
            <w:pPr>
              <w:pStyle w:val="Table"/>
              <w:jc w:val="center"/>
            </w:pPr>
            <w:r w:rsidRPr="008C0CB1">
              <w:t>2152</w:t>
            </w:r>
          </w:p>
        </w:tc>
      </w:tr>
      <w:tr w:rsidR="00B15FAA" w14:paraId="610AE1BA" w14:textId="04C91F7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BC2C42B" w14:textId="3D6CD34F" w:rsidR="00B15FAA" w:rsidRPr="00E4485A" w:rsidRDefault="00B15FAA" w:rsidP="00B15FAA">
            <w:pPr>
              <w:pStyle w:val="Table"/>
            </w:pPr>
            <w:r w:rsidRPr="00512220">
              <w:t>4256. Average network charge 1 (£/kVA/year)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C93D39" w14:textId="330ECAA4" w:rsidR="00B15FAA" w:rsidRPr="00980628" w:rsidRDefault="00B15FAA" w:rsidP="00B15FAA">
            <w:pPr>
              <w:pStyle w:val="Table"/>
              <w:jc w:val="center"/>
            </w:pPr>
            <w:r w:rsidRPr="008C0CB1">
              <w:t>2182</w:t>
            </w:r>
          </w:p>
        </w:tc>
      </w:tr>
      <w:tr w:rsidR="00B15FAA" w14:paraId="483C9F59" w14:textId="6D3E8C7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98288FD" w14:textId="1D41117F" w:rsidR="00B15FAA" w:rsidRPr="00E4485A" w:rsidRDefault="00B15FAA" w:rsidP="00B15FAA">
            <w:pPr>
              <w:pStyle w:val="Table"/>
            </w:pPr>
            <w:r w:rsidRPr="00512220">
              <w:t>4258. Super-red rate p/kWh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3A0C758" w14:textId="3BF5C0D0" w:rsidR="00B15FAA" w:rsidRPr="00980628" w:rsidRDefault="00B15FAA" w:rsidP="00B15FAA">
            <w:pPr>
              <w:pStyle w:val="Table"/>
              <w:jc w:val="center"/>
            </w:pPr>
            <w:r w:rsidRPr="008C0CB1">
              <w:t>3910</w:t>
            </w:r>
          </w:p>
        </w:tc>
      </w:tr>
      <w:tr w:rsidR="00B15FAA" w14:paraId="78202169" w14:textId="1A0C415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8BA05AD" w14:textId="5D864FE5" w:rsidR="00B15FAA" w:rsidRPr="00E4485A" w:rsidRDefault="00B15FAA" w:rsidP="00B15FAA">
            <w:pPr>
              <w:pStyle w:val="Table"/>
            </w:pPr>
            <w:r w:rsidRPr="00512220">
              <w:t>4260. Super-red unit rate adjusted for DSM (p/kWh)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332FC7E" w14:textId="4583327A" w:rsidR="00B15FAA" w:rsidRPr="00980628" w:rsidRDefault="00B15FAA" w:rsidP="00B15FAA">
            <w:pPr>
              <w:pStyle w:val="Table"/>
              <w:jc w:val="center"/>
            </w:pPr>
            <w:r w:rsidRPr="008C0CB1">
              <w:t>3912</w:t>
            </w:r>
          </w:p>
        </w:tc>
      </w:tr>
      <w:tr w:rsidR="00B15FAA" w14:paraId="5EABD280" w14:textId="360D6AD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3AEBD8C" w14:textId="037C2908" w:rsidR="00B15FAA" w:rsidRPr="00E4485A" w:rsidRDefault="00B15FAA" w:rsidP="00B15FAA">
            <w:pPr>
              <w:pStyle w:val="Table"/>
            </w:pPr>
            <w:r w:rsidRPr="00512220">
              <w:t>4262. Local charge 1 £/kVA/year at Linked location 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BC826ED" w14:textId="54239E01" w:rsidR="00B15FAA" w:rsidRPr="00980628" w:rsidRDefault="00B15FAA" w:rsidP="00B15FAA">
            <w:pPr>
              <w:pStyle w:val="Table"/>
              <w:jc w:val="center"/>
            </w:pPr>
            <w:r w:rsidRPr="008C0CB1">
              <w:t>2142</w:t>
            </w:r>
          </w:p>
        </w:tc>
      </w:tr>
      <w:tr w:rsidR="00B15FAA" w14:paraId="06B86289" w14:textId="088A18C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0B75797" w14:textId="7B529430" w:rsidR="00B15FAA" w:rsidRPr="00E4485A" w:rsidRDefault="00B15FAA" w:rsidP="00B15FAA">
            <w:pPr>
              <w:pStyle w:val="Table"/>
            </w:pPr>
            <w:r w:rsidRPr="00512220">
              <w:t>4264. Local charge 1 £/kVA/year at Linked location 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4E488F8" w14:textId="19E390A5" w:rsidR="00B15FAA" w:rsidRPr="00980628" w:rsidRDefault="00B15FAA" w:rsidP="00B15FAA">
            <w:pPr>
              <w:pStyle w:val="Table"/>
              <w:jc w:val="center"/>
            </w:pPr>
            <w:r w:rsidRPr="008C0CB1">
              <w:t>2138</w:t>
            </w:r>
          </w:p>
        </w:tc>
      </w:tr>
      <w:tr w:rsidR="00B15FAA" w14:paraId="20DBDD41" w14:textId="3E67584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AA8C8FE" w14:textId="2529855D" w:rsidR="00B15FAA" w:rsidRPr="00E4485A" w:rsidRDefault="00B15FAA" w:rsidP="00B15FAA">
            <w:pPr>
              <w:pStyle w:val="Table"/>
            </w:pPr>
            <w:r w:rsidRPr="00512220">
              <w:t>4266. Local charge 1 £/kVA/year at Linked location 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DB36362" w14:textId="4B1900F5" w:rsidR="00B15FAA" w:rsidRPr="00980628" w:rsidRDefault="00B15FAA" w:rsidP="00B15FAA">
            <w:pPr>
              <w:pStyle w:val="Table"/>
              <w:jc w:val="center"/>
            </w:pPr>
            <w:r w:rsidRPr="008C0CB1">
              <w:t>2140</w:t>
            </w:r>
          </w:p>
        </w:tc>
      </w:tr>
      <w:tr w:rsidR="00B15FAA" w14:paraId="0C6C113B" w14:textId="05F85F2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DC3D49D" w14:textId="7D386107" w:rsidR="00B15FAA" w:rsidRPr="00E4485A" w:rsidRDefault="00B15FAA" w:rsidP="00B15FAA">
            <w:pPr>
              <w:pStyle w:val="Table"/>
            </w:pPr>
            <w:r w:rsidRPr="00512220">
              <w:t>4268. Local charge 1 £/kVA/year at Linked location 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467FA25" w14:textId="4243CABF" w:rsidR="00B15FAA" w:rsidRPr="00980628" w:rsidRDefault="00B15FAA" w:rsidP="00B15FAA">
            <w:pPr>
              <w:pStyle w:val="Table"/>
              <w:jc w:val="center"/>
            </w:pPr>
            <w:r w:rsidRPr="008C0CB1">
              <w:t>2146</w:t>
            </w:r>
          </w:p>
        </w:tc>
      </w:tr>
      <w:tr w:rsidR="00B15FAA" w14:paraId="6842A52D" w14:textId="43F42B2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8DDBDD5" w14:textId="530CEBA8" w:rsidR="00B15FAA" w:rsidRPr="00E4485A" w:rsidRDefault="00B15FAA" w:rsidP="00B15FAA">
            <w:pPr>
              <w:pStyle w:val="Table"/>
            </w:pPr>
            <w:r w:rsidRPr="00512220">
              <w:t>4270. Local charge 1 £/kVA/year at Location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927EBC8" w14:textId="694D1F31" w:rsidR="00B15FAA" w:rsidRPr="00980628" w:rsidRDefault="00B15FAA" w:rsidP="00B15FAA">
            <w:pPr>
              <w:pStyle w:val="Table"/>
              <w:jc w:val="center"/>
            </w:pPr>
            <w:r w:rsidRPr="008C0CB1">
              <w:t>2132</w:t>
            </w:r>
          </w:p>
        </w:tc>
      </w:tr>
      <w:tr w:rsidR="00B15FAA" w14:paraId="069AF953" w14:textId="5B8D1A1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FC79B2B" w14:textId="301E7257" w:rsidR="00B15FAA" w:rsidRPr="00E4485A" w:rsidRDefault="00B15FAA" w:rsidP="00B15FAA">
            <w:pPr>
              <w:pStyle w:val="Table"/>
            </w:pPr>
            <w:r w:rsidRPr="00512220">
              <w:t>4272. Local charge 1 £/kVA/year at Linked location 1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F2FCF28" w14:textId="301D3EA6" w:rsidR="00B15FAA" w:rsidRPr="00980628" w:rsidRDefault="00B15FAA" w:rsidP="00B15FAA">
            <w:pPr>
              <w:pStyle w:val="Table"/>
              <w:jc w:val="center"/>
            </w:pPr>
            <w:r w:rsidRPr="008C0CB1">
              <w:t>2134</w:t>
            </w:r>
          </w:p>
        </w:tc>
      </w:tr>
      <w:tr w:rsidR="00B15FAA" w14:paraId="6053EFFD" w14:textId="782B1EB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25B9A35" w14:textId="1A7429A9" w:rsidR="00B15FAA" w:rsidRPr="00E4485A" w:rsidRDefault="00B15FAA" w:rsidP="00B15FAA">
            <w:pPr>
              <w:pStyle w:val="Table"/>
            </w:pPr>
            <w:r w:rsidRPr="00512220">
              <w:t>4274. Local charge 1 £/kVA/year at Linked location 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945ABD2" w14:textId="2C67536F" w:rsidR="00B15FAA" w:rsidRPr="00980628" w:rsidRDefault="00B15FAA" w:rsidP="00B15FAA">
            <w:pPr>
              <w:pStyle w:val="Table"/>
              <w:jc w:val="center"/>
            </w:pPr>
            <w:r w:rsidRPr="008C0CB1">
              <w:t>2144</w:t>
            </w:r>
          </w:p>
        </w:tc>
      </w:tr>
      <w:tr w:rsidR="00B15FAA" w14:paraId="1D80F787" w14:textId="70DD554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F2AAA02" w14:textId="3AFF9FD3" w:rsidR="00B15FAA" w:rsidRPr="00E4485A" w:rsidRDefault="00B15FAA" w:rsidP="00B15FAA">
            <w:pPr>
              <w:pStyle w:val="Table"/>
            </w:pPr>
            <w:r w:rsidRPr="00512220">
              <w:lastRenderedPageBreak/>
              <w:t>4276. Local charge 1 £/kVA/year at Linked location 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61C80C4" w14:textId="62798EE7" w:rsidR="00B15FAA" w:rsidRPr="00980628" w:rsidRDefault="00B15FAA" w:rsidP="00B15FAA">
            <w:pPr>
              <w:pStyle w:val="Table"/>
              <w:jc w:val="center"/>
            </w:pPr>
            <w:r w:rsidRPr="008C0CB1">
              <w:t>2136</w:t>
            </w:r>
          </w:p>
        </w:tc>
      </w:tr>
      <w:tr w:rsidR="00B15FAA" w14:paraId="703483A3" w14:textId="3E84DD9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7A4B19C" w14:textId="3CE6C835" w:rsidR="00B15FAA" w:rsidRPr="00E4485A" w:rsidRDefault="00B15FAA" w:rsidP="00B15FAA">
            <w:pPr>
              <w:pStyle w:val="Table"/>
            </w:pPr>
            <w:r w:rsidRPr="00512220">
              <w:t>4278. Average local charge 1 (£/kVA/year)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A366DA3" w14:textId="08305EF6" w:rsidR="00B15FAA" w:rsidRPr="00980628" w:rsidRDefault="00B15FAA" w:rsidP="00B15FAA">
            <w:pPr>
              <w:pStyle w:val="Table"/>
              <w:jc w:val="center"/>
            </w:pPr>
            <w:r w:rsidRPr="008C0CB1">
              <w:t>2180</w:t>
            </w:r>
          </w:p>
        </w:tc>
      </w:tr>
      <w:tr w:rsidR="00B15FAA" w14:paraId="1C732B2E" w14:textId="6518B00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9AB08D7" w14:textId="74AC1997" w:rsidR="00B15FAA" w:rsidRPr="00E4485A" w:rsidRDefault="00B15FAA" w:rsidP="00B15FAA">
            <w:pPr>
              <w:pStyle w:val="Table"/>
            </w:pPr>
            <w:r w:rsidRPr="00512220">
              <w:t>4280. Import capacity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F25BDA7" w14:textId="1FC2AD8E" w:rsidR="00B15FAA" w:rsidRPr="00980628" w:rsidRDefault="00B15FAA" w:rsidP="00B15FAA">
            <w:pPr>
              <w:pStyle w:val="Table"/>
              <w:jc w:val="center"/>
            </w:pPr>
            <w:r w:rsidRPr="008C0CB1">
              <w:t>3908</w:t>
            </w:r>
          </w:p>
        </w:tc>
      </w:tr>
      <w:tr w:rsidR="00B15FAA" w14:paraId="707ABA47" w14:textId="65E9A9F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94C3970" w14:textId="12C8A033" w:rsidR="00B15FAA" w:rsidRPr="00E4485A" w:rsidRDefault="00B15FAA" w:rsidP="00B15FAA">
            <w:pPr>
              <w:pStyle w:val="Table"/>
            </w:pPr>
            <w:r w:rsidRPr="00512220">
              <w:t>4282. Import capacity charge from charge 1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029B9E6" w14:textId="3DC380EB" w:rsidR="00B15FAA" w:rsidRPr="00980628" w:rsidRDefault="00B15FAA" w:rsidP="00B15FAA">
            <w:pPr>
              <w:pStyle w:val="Table"/>
              <w:jc w:val="center"/>
            </w:pPr>
            <w:r w:rsidRPr="008C0CB1">
              <w:t>3914</w:t>
            </w:r>
          </w:p>
        </w:tc>
      </w:tr>
      <w:tr w:rsidR="00B15FAA" w14:paraId="2013E361" w14:textId="6BCD989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2F49359F" w14:textId="327A434E" w:rsidR="00B15FAA" w:rsidRPr="00E4485A" w:rsidRDefault="00B15FAA" w:rsidP="00B15FAA">
            <w:pPr>
              <w:pStyle w:val="Table"/>
            </w:pPr>
            <w:r w:rsidRPr="00512220">
              <w:t>4302. Total EDCM peak time consumption (kW)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96422F0" w14:textId="6F30B765" w:rsidR="00B15FAA" w:rsidRPr="00980628" w:rsidRDefault="00B15FAA" w:rsidP="00B15FAA">
            <w:pPr>
              <w:pStyle w:val="Table"/>
              <w:jc w:val="center"/>
            </w:pPr>
            <w:r w:rsidRPr="008C0CB1">
              <w:t>2602</w:t>
            </w:r>
          </w:p>
        </w:tc>
      </w:tr>
      <w:tr w:rsidR="00B15FAA" w14:paraId="7D5E9648" w14:textId="219D26A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606C459" w14:textId="79E6AD67" w:rsidR="00B15FAA" w:rsidRPr="00E4485A" w:rsidRDefault="00B15FAA" w:rsidP="00B15FAA">
            <w:pPr>
              <w:pStyle w:val="Table"/>
            </w:pPr>
            <w:r w:rsidRPr="00512220">
              <w:t>4304. EHV operating expenditure intensity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4E1C4B8" w14:textId="6BDD0DD2" w:rsidR="00B15FAA" w:rsidRPr="00980628" w:rsidRDefault="00B15FAA" w:rsidP="00B15FAA">
            <w:pPr>
              <w:pStyle w:val="Table"/>
              <w:jc w:val="center"/>
            </w:pPr>
            <w:r w:rsidRPr="008C0CB1">
              <w:t>2004</w:t>
            </w:r>
          </w:p>
        </w:tc>
      </w:tr>
      <w:tr w:rsidR="00B15FAA" w14:paraId="33A07E65" w14:textId="044482B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0B84331" w14:textId="4592D905" w:rsidR="00B15FAA" w:rsidRPr="00E4485A" w:rsidRDefault="00B15FAA" w:rsidP="00B15FAA">
            <w:pPr>
              <w:pStyle w:val="Table"/>
            </w:pPr>
            <w:r w:rsidRPr="00512220">
              <w:t>4306. HV and LV service asset levels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3575EFA" w14:textId="264E8DD7" w:rsidR="00B15FAA" w:rsidRPr="00980628" w:rsidRDefault="00B15FAA" w:rsidP="00B15FAA">
            <w:pPr>
              <w:pStyle w:val="Table"/>
              <w:jc w:val="center"/>
            </w:pPr>
            <w:r w:rsidRPr="008C0CB1">
              <w:t>2014</w:t>
            </w:r>
          </w:p>
        </w:tc>
      </w:tr>
      <w:tr w:rsidR="00B15FAA" w14:paraId="6154285E" w14:textId="59E3750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F1DBB30" w14:textId="66DD82BA" w:rsidR="00B15FAA" w:rsidRPr="00E4485A" w:rsidRDefault="00B15FAA" w:rsidP="00B15FAA">
            <w:pPr>
              <w:pStyle w:val="Table"/>
            </w:pPr>
            <w:r w:rsidRPr="00512220">
              <w:t>4308. HV and LV service assets in CDCM model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60CC5EA" w14:textId="6E18ABE3" w:rsidR="00B15FAA" w:rsidRPr="00980628" w:rsidRDefault="00B15FAA" w:rsidP="00B15FAA">
            <w:pPr>
              <w:pStyle w:val="Table"/>
              <w:jc w:val="center"/>
            </w:pPr>
            <w:r w:rsidRPr="008C0CB1">
              <w:t>3406</w:t>
            </w:r>
          </w:p>
        </w:tc>
      </w:tr>
      <w:tr w:rsidR="00B15FAA" w14:paraId="600F5027" w14:textId="331162F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9D9462" w14:textId="4F963111" w:rsidR="00B15FAA" w:rsidRPr="00E4485A" w:rsidRDefault="00B15FAA" w:rsidP="00B15FAA">
            <w:pPr>
              <w:pStyle w:val="Table"/>
            </w:pPr>
            <w:r w:rsidRPr="00512220">
              <w:t>4310. EHV asset levels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D0EB071" w14:textId="3198927E" w:rsidR="00B15FAA" w:rsidRPr="00980628" w:rsidRDefault="00B15FAA" w:rsidP="00B15FAA">
            <w:pPr>
              <w:pStyle w:val="Table"/>
              <w:jc w:val="center"/>
            </w:pPr>
            <w:r w:rsidRPr="008C0CB1">
              <w:t>2010</w:t>
            </w:r>
          </w:p>
        </w:tc>
      </w:tr>
      <w:tr w:rsidR="00B15FAA" w14:paraId="74E933F8" w14:textId="7793AB8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682D843" w14:textId="26281A88" w:rsidR="00B15FAA" w:rsidRPr="00E4485A" w:rsidRDefault="00B15FAA" w:rsidP="00B15FAA">
            <w:pPr>
              <w:pStyle w:val="Table"/>
            </w:pPr>
            <w:r w:rsidRPr="00512220">
              <w:t>4312. EHV assets in CDCM model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7292B84" w14:textId="2E4406BC" w:rsidR="00B15FAA" w:rsidRPr="00980628" w:rsidRDefault="00B15FAA" w:rsidP="00B15FAA">
            <w:pPr>
              <w:pStyle w:val="Table"/>
              <w:jc w:val="center"/>
            </w:pPr>
            <w:r w:rsidRPr="008C0CB1">
              <w:t>3402</w:t>
            </w:r>
          </w:p>
        </w:tc>
      </w:tr>
      <w:tr w:rsidR="00B15FAA" w14:paraId="08E587F2" w14:textId="01776B5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17BA1DD" w14:textId="5B6DFD7F" w:rsidR="00B15FAA" w:rsidRPr="00E4485A" w:rsidRDefault="00B15FAA" w:rsidP="00B15FAA">
            <w:pPr>
              <w:pStyle w:val="Table"/>
            </w:pPr>
            <w:r w:rsidRPr="00512220">
              <w:t>4314. HV and LV network asset levels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D5E3409" w14:textId="12EDF455" w:rsidR="00B15FAA" w:rsidRPr="00980628" w:rsidRDefault="00B15FAA" w:rsidP="00B15FAA">
            <w:pPr>
              <w:pStyle w:val="Table"/>
              <w:jc w:val="center"/>
            </w:pPr>
            <w:r w:rsidRPr="008C0CB1">
              <w:t>2012</w:t>
            </w:r>
          </w:p>
        </w:tc>
      </w:tr>
      <w:tr w:rsidR="00B15FAA" w14:paraId="1511E902" w14:textId="01FF1D0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89CF234" w14:textId="74C702A8" w:rsidR="00B15FAA" w:rsidRPr="00E4485A" w:rsidRDefault="00B15FAA" w:rsidP="00B15FAA">
            <w:pPr>
              <w:pStyle w:val="Table"/>
            </w:pPr>
            <w:r w:rsidRPr="00512220">
              <w:t>4316. HV and LV network assets in CDCM model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3098018" w14:textId="52F04D34" w:rsidR="00B15FAA" w:rsidRPr="00980628" w:rsidRDefault="00B15FAA" w:rsidP="00B15FAA">
            <w:pPr>
              <w:pStyle w:val="Table"/>
              <w:jc w:val="center"/>
            </w:pPr>
            <w:r w:rsidRPr="008C0CB1">
              <w:t>3404</w:t>
            </w:r>
          </w:p>
        </w:tc>
      </w:tr>
      <w:tr w:rsidR="00B15FAA" w14:paraId="722827DD" w14:textId="0E83D77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</w:tcBorders>
          </w:tcPr>
          <w:p w14:paraId="6B24BBC1" w14:textId="3CCD0103" w:rsidR="00B15FAA" w:rsidRPr="00E4485A" w:rsidRDefault="00B15FAA" w:rsidP="00B15FAA">
            <w:pPr>
              <w:pStyle w:val="Table"/>
            </w:pPr>
            <w:r w:rsidRPr="00512220">
              <w:t>4318. Indirect cost charging rate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2ECAF70" w14:textId="7CED5BF2" w:rsidR="00B15FAA" w:rsidRPr="00980628" w:rsidRDefault="00B15FAA" w:rsidP="00B15FAA">
            <w:pPr>
              <w:pStyle w:val="Table"/>
              <w:jc w:val="center"/>
            </w:pPr>
            <w:r w:rsidRPr="008C0CB1">
              <w:t>3506</w:t>
            </w:r>
          </w:p>
        </w:tc>
      </w:tr>
      <w:tr w:rsidR="00B15FAA" w14:paraId="06C55AF4" w14:textId="7D134E0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98E4299" w14:textId="3B5C5F86" w:rsidR="00B15FAA" w:rsidRPr="00E4485A" w:rsidRDefault="00B15FAA" w:rsidP="00B15FAA">
            <w:pPr>
              <w:pStyle w:val="Table"/>
            </w:pPr>
            <w:r w:rsidRPr="00512220">
              <w:t>4320. Total demand sole use assets qualifying for DCP 189 discount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8A54393" w14:textId="044CAFA2" w:rsidR="00B15FAA" w:rsidRPr="00980628" w:rsidRDefault="00B15FAA" w:rsidP="00B15FAA">
            <w:pPr>
              <w:pStyle w:val="Table"/>
              <w:jc w:val="center"/>
            </w:pPr>
            <w:r w:rsidRPr="008C0CB1">
              <w:t>3704</w:t>
            </w:r>
          </w:p>
        </w:tc>
      </w:tr>
      <w:tr w:rsidR="00B15FAA" w14:paraId="65E495B4" w14:textId="271E40E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C3EEA47" w14:textId="096ADD9A" w:rsidR="00B15FAA" w:rsidRPr="00E4485A" w:rsidRDefault="00B15FAA" w:rsidP="00B15FAA">
            <w:pPr>
              <w:pStyle w:val="Table"/>
            </w:pPr>
            <w:r w:rsidRPr="00512220">
              <w:t>4322. Network rates charging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EADE531" w14:textId="003B21A7" w:rsidR="00B15FAA" w:rsidRPr="00980628" w:rsidRDefault="00B15FAA" w:rsidP="00B15FAA">
            <w:pPr>
              <w:pStyle w:val="Table"/>
              <w:jc w:val="center"/>
            </w:pPr>
            <w:r w:rsidRPr="008C0CB1">
              <w:t>3504</w:t>
            </w:r>
          </w:p>
        </w:tc>
      </w:tr>
      <w:tr w:rsidR="00B15FAA" w14:paraId="25F0F574" w14:textId="003E76E0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D4FFA3A" w14:textId="74E4A353" w:rsidR="00B15FAA" w:rsidRPr="00E4485A" w:rsidRDefault="00B15FAA" w:rsidP="00B15FAA">
            <w:pPr>
              <w:pStyle w:val="Table"/>
            </w:pPr>
            <w:r w:rsidRPr="00512220">
              <w:t>4324. Capacity eligible for GSP generation credits (kW) adjusted for part-year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7631C54" w14:textId="05E4FB5A" w:rsidR="00B15FAA" w:rsidRPr="00980628" w:rsidRDefault="00B15FAA" w:rsidP="00B15FAA">
            <w:pPr>
              <w:pStyle w:val="Table"/>
              <w:jc w:val="center"/>
            </w:pPr>
            <w:r w:rsidRPr="008C0CB1">
              <w:t>2802</w:t>
            </w:r>
          </w:p>
        </w:tc>
      </w:tr>
      <w:tr w:rsidR="00B15FAA" w14:paraId="02CB4C25" w14:textId="3042C21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80528FA" w14:textId="6926D326" w:rsidR="00B15FAA" w:rsidRPr="00E4485A" w:rsidRDefault="00B15FAA" w:rsidP="00B15FAA">
            <w:pPr>
              <w:pStyle w:val="Table"/>
            </w:pPr>
            <w:r w:rsidRPr="00512220">
              <w:t>4326. Total CDCM peak time consumption (kW)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C1DEE04" w14:textId="4A19A94B" w:rsidR="00B15FAA" w:rsidRPr="00980628" w:rsidRDefault="00B15FAA" w:rsidP="00B15FAA">
            <w:pPr>
              <w:pStyle w:val="Table"/>
              <w:jc w:val="center"/>
            </w:pPr>
            <w:r w:rsidRPr="008C0CB1">
              <w:t>2404</w:t>
            </w:r>
          </w:p>
        </w:tc>
      </w:tr>
      <w:tr w:rsidR="00B15FAA" w14:paraId="6DF00C5B" w14:textId="7340BF4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C34DE5D" w14:textId="59D4D4F3" w:rsidR="00B15FAA" w:rsidRPr="00E4485A" w:rsidRDefault="00B15FAA" w:rsidP="00B15FAA">
            <w:pPr>
              <w:pStyle w:val="Table"/>
            </w:pPr>
            <w:r w:rsidRPr="00512220">
              <w:t>4328. Estimated total peak-time consumption (kW)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5F61C79" w14:textId="3E449CBB" w:rsidR="00B15FAA" w:rsidRPr="00980628" w:rsidRDefault="00B15FAA" w:rsidP="00B15FAA">
            <w:pPr>
              <w:pStyle w:val="Table"/>
              <w:jc w:val="center"/>
            </w:pPr>
            <w:r w:rsidRPr="008C0CB1">
              <w:t>2604</w:t>
            </w:r>
          </w:p>
        </w:tc>
      </w:tr>
      <w:tr w:rsidR="00B15FAA" w14:paraId="28B04862" w14:textId="1DAF0B2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D16FBD1" w14:textId="2137725D" w:rsidR="00B15FAA" w:rsidRPr="00E4485A" w:rsidRDefault="00B15FAA" w:rsidP="00B15FAA">
            <w:pPr>
              <w:pStyle w:val="Table"/>
            </w:pPr>
            <w:r w:rsidRPr="00512220">
              <w:t>4330. Transmission exit charging rate (£/kW/year)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F4C802F" w14:textId="7A922C4E" w:rsidR="00B15FAA" w:rsidRPr="00980628" w:rsidRDefault="00B15FAA" w:rsidP="00B15FAA">
            <w:pPr>
              <w:pStyle w:val="Table"/>
              <w:jc w:val="center"/>
            </w:pPr>
            <w:r w:rsidRPr="008C0CB1">
              <w:t>2702</w:t>
            </w:r>
          </w:p>
        </w:tc>
      </w:tr>
      <w:tr w:rsidR="00B15FAA" w14:paraId="05E64BB5" w14:textId="14DE65D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DD5907A" w14:textId="7E711DEA" w:rsidR="00B15FAA" w:rsidRPr="00E4485A" w:rsidRDefault="00B15FAA" w:rsidP="00B15FAA">
            <w:pPr>
              <w:pStyle w:val="Table"/>
            </w:pPr>
            <w:r w:rsidRPr="00512220">
              <w:t>4332. Generation credit (unrounded)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F4B521" w14:textId="15552018" w:rsidR="00B15FAA" w:rsidRPr="00980628" w:rsidRDefault="00B15FAA" w:rsidP="00B15FAA">
            <w:pPr>
              <w:pStyle w:val="Table"/>
              <w:jc w:val="center"/>
            </w:pPr>
            <w:r w:rsidRPr="008C0CB1">
              <w:t>2804</w:t>
            </w:r>
          </w:p>
        </w:tc>
      </w:tr>
      <w:tr w:rsidR="00B15FAA" w14:paraId="768B37DB" w14:textId="70D5814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EF32196" w14:textId="0B974C5E" w:rsidR="00B15FAA" w:rsidRPr="00E4485A" w:rsidRDefault="00B15FAA" w:rsidP="00B15FAA">
            <w:pPr>
              <w:pStyle w:val="Table"/>
            </w:pPr>
            <w:proofErr w:type="gramStart"/>
            <w:r w:rsidRPr="00512220">
              <w:t>4334. Has export charges?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9CDC69A" w14:textId="552B1B69" w:rsidR="00B15FAA" w:rsidRPr="00980628" w:rsidRDefault="00B15FAA" w:rsidP="00B15FAA">
            <w:pPr>
              <w:pStyle w:val="Table"/>
              <w:jc w:val="center"/>
            </w:pPr>
            <w:r w:rsidRPr="008C0CB1">
              <w:t>2104</w:t>
            </w:r>
          </w:p>
        </w:tc>
      </w:tr>
      <w:tr w:rsidR="00B15FAA" w14:paraId="7438F4D1" w14:textId="7648F02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5EAC831" w14:textId="6CF03010" w:rsidR="00B15FAA" w:rsidRPr="00E4485A" w:rsidRDefault="00B15FAA" w:rsidP="00B15FAA">
            <w:pPr>
              <w:pStyle w:val="Table"/>
            </w:pPr>
            <w:r w:rsidRPr="00512220">
              <w:t>4336. Chargeable export capacity adjusted for part-year (kVA) (total)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7325C83" w14:textId="0B799234" w:rsidR="00B15FAA" w:rsidRPr="00980628" w:rsidRDefault="00B15FAA" w:rsidP="00B15FAA">
            <w:pPr>
              <w:pStyle w:val="Table"/>
              <w:jc w:val="center"/>
            </w:pPr>
            <w:r w:rsidRPr="008C0CB1">
              <w:t>2202</w:t>
            </w:r>
          </w:p>
        </w:tc>
      </w:tr>
      <w:tr w:rsidR="00B15FAA" w14:paraId="3DEB2EF5" w14:textId="1214051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814E20C" w14:textId="64C68983" w:rsidR="00B15FAA" w:rsidRPr="00E4485A" w:rsidRDefault="00B15FAA" w:rsidP="00B15FAA">
            <w:pPr>
              <w:pStyle w:val="Table"/>
            </w:pPr>
            <w:r w:rsidRPr="00512220">
              <w:t>4338. Non-exempt post-2010 export capacity (kVA) adjusted for part-year (total)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514856C" w14:textId="2CBAD89E" w:rsidR="00B15FAA" w:rsidRPr="00980628" w:rsidRDefault="00B15FAA" w:rsidP="00B15FAA">
            <w:pPr>
              <w:pStyle w:val="Table"/>
              <w:jc w:val="center"/>
            </w:pPr>
            <w:r w:rsidRPr="008C0CB1">
              <w:t>2206</w:t>
            </w:r>
          </w:p>
        </w:tc>
      </w:tr>
      <w:tr w:rsidR="00B15FAA" w14:paraId="6484DA00" w14:textId="1F4F44F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27545CC" w14:textId="33FB9912" w:rsidR="00B15FAA" w:rsidRPr="00E4485A" w:rsidRDefault="00B15FAA" w:rsidP="00B15FAA">
            <w:pPr>
              <w:pStyle w:val="Table"/>
            </w:pPr>
            <w:r w:rsidRPr="00512220">
              <w:t>4340. Non-exempt 2005-2010 export capacity (kVA) adjusted for part-year (total)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F14C10B" w14:textId="178007A7" w:rsidR="00B15FAA" w:rsidRPr="00980628" w:rsidRDefault="00B15FAA" w:rsidP="00B15FAA">
            <w:pPr>
              <w:pStyle w:val="Table"/>
              <w:jc w:val="center"/>
            </w:pPr>
            <w:r w:rsidRPr="008C0CB1">
              <w:t>2204</w:t>
            </w:r>
          </w:p>
        </w:tc>
      </w:tr>
      <w:tr w:rsidR="00B15FAA" w14:paraId="0B9E7EB8" w14:textId="1A3EA7A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7AC11FB" w14:textId="75823DFC" w:rsidR="00B15FAA" w:rsidRPr="00E4485A" w:rsidRDefault="00B15FAA" w:rsidP="00B15FAA">
            <w:pPr>
              <w:pStyle w:val="Table"/>
            </w:pPr>
            <w:r w:rsidRPr="00512220">
              <w:lastRenderedPageBreak/>
              <w:t>4342. Export capacity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B17CCA" w14:textId="425B7664" w:rsidR="00B15FAA" w:rsidRPr="00980628" w:rsidRDefault="00B15FAA" w:rsidP="00B15FAA">
            <w:pPr>
              <w:pStyle w:val="Table"/>
              <w:jc w:val="center"/>
            </w:pPr>
            <w:r w:rsidRPr="008C0CB1">
              <w:t>2208</w:t>
            </w:r>
          </w:p>
        </w:tc>
      </w:tr>
      <w:tr w:rsidR="00B15FAA" w14:paraId="227EA745" w14:textId="640D3F2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A701F80" w14:textId="730DF11D" w:rsidR="00B15FAA" w:rsidRPr="00E4485A" w:rsidRDefault="00B15FAA" w:rsidP="00B15FAA">
            <w:pPr>
              <w:pStyle w:val="Table"/>
            </w:pPr>
            <w:r w:rsidRPr="00512220">
              <w:t>4344. Export capacity charge (unrounded)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B3C990D" w14:textId="3F187059" w:rsidR="00B15FAA" w:rsidRPr="00980628" w:rsidRDefault="00B15FAA" w:rsidP="00B15FAA">
            <w:pPr>
              <w:pStyle w:val="Table"/>
              <w:jc w:val="center"/>
            </w:pPr>
            <w:r w:rsidRPr="008C0CB1">
              <w:t>2806</w:t>
            </w:r>
          </w:p>
        </w:tc>
      </w:tr>
      <w:tr w:rsidR="00B15FAA" w14:paraId="78227D0A" w14:textId="0EC8786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FE3BD1B" w14:textId="6F6EA322" w:rsidR="00B15FAA" w:rsidRPr="00E4485A" w:rsidRDefault="00B15FAA" w:rsidP="00B15FAA">
            <w:pPr>
              <w:pStyle w:val="Table"/>
            </w:pPr>
            <w:r w:rsidRPr="00512220">
              <w:t>4346. Net export capacity charge (or credit) (unrounded)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BC05B8A" w14:textId="78C26A3E" w:rsidR="00B15FAA" w:rsidRPr="00980628" w:rsidRDefault="00B15FAA" w:rsidP="00B15FAA">
            <w:pPr>
              <w:pStyle w:val="Table"/>
              <w:jc w:val="center"/>
            </w:pPr>
            <w:r w:rsidRPr="008C0CB1">
              <w:t>2810</w:t>
            </w:r>
          </w:p>
        </w:tc>
      </w:tr>
      <w:tr w:rsidR="00B15FAA" w14:paraId="6FA1902E" w14:textId="5D849F9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E23E3AA" w14:textId="654C7C71" w:rsidR="00B15FAA" w:rsidRPr="00E4485A" w:rsidRDefault="00B15FAA" w:rsidP="00B15FAA">
            <w:pPr>
              <w:pStyle w:val="Table"/>
            </w:pPr>
            <w:r w:rsidRPr="00512220">
              <w:t>4348. Export capacity rate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3EB3142" w14:textId="307B0970" w:rsidR="00B15FAA" w:rsidRPr="00980628" w:rsidRDefault="00B15FAA" w:rsidP="00B15FAA">
            <w:pPr>
              <w:pStyle w:val="Table"/>
              <w:jc w:val="center"/>
            </w:pPr>
            <w:r w:rsidRPr="008C0CB1">
              <w:t>2812</w:t>
            </w:r>
          </w:p>
        </w:tc>
      </w:tr>
      <w:tr w:rsidR="00B15FAA" w14:paraId="04C03131" w14:textId="30CD7CC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4252D93" w14:textId="660AAED6" w:rsidR="00B15FAA" w:rsidRPr="00E4485A" w:rsidRDefault="00B15FAA" w:rsidP="00B15FAA">
            <w:pPr>
              <w:pStyle w:val="Table"/>
            </w:pPr>
            <w:r w:rsidRPr="00512220">
              <w:t>4350. Direct cost charging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639BDC8" w14:textId="77E25B34" w:rsidR="00B15FAA" w:rsidRPr="00980628" w:rsidRDefault="00B15FAA" w:rsidP="00B15FAA">
            <w:pPr>
              <w:pStyle w:val="Table"/>
              <w:jc w:val="center"/>
            </w:pPr>
            <w:r w:rsidRPr="008C0CB1">
              <w:t>3502</w:t>
            </w:r>
          </w:p>
        </w:tc>
      </w:tr>
      <w:tr w:rsidR="00B15FAA" w14:paraId="5731042D" w14:textId="00327E6C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C2BCA30" w14:textId="7B5F7E12" w:rsidR="00B15FAA" w:rsidRPr="00E4485A" w:rsidRDefault="00B15FAA" w:rsidP="00B15FAA">
            <w:pPr>
              <w:pStyle w:val="Table"/>
            </w:pPr>
            <w:r w:rsidRPr="00512220">
              <w:t>4352. Generation fixed charge p/day (scaled for part 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C28A3C4" w14:textId="2A07A3B6" w:rsidR="00B15FAA" w:rsidRPr="00980628" w:rsidRDefault="00B15FAA" w:rsidP="00B15FAA">
            <w:pPr>
              <w:pStyle w:val="Table"/>
              <w:jc w:val="center"/>
            </w:pPr>
            <w:r w:rsidRPr="008C0CB1">
              <w:t>3606</w:t>
            </w:r>
          </w:p>
        </w:tc>
      </w:tr>
      <w:tr w:rsidR="00B15FAA" w14:paraId="40F03053" w14:textId="2E1F6854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E7A06DF" w14:textId="214C452C" w:rsidR="00B15FAA" w:rsidRPr="00E4485A" w:rsidRDefault="00B15FAA" w:rsidP="00B15FAA">
            <w:pPr>
              <w:pStyle w:val="Table"/>
            </w:pPr>
            <w:r w:rsidRPr="00512220">
              <w:t>4354. Generation credit (before exempt adjustment) p/kWh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5F22361" w14:textId="29061C9B" w:rsidR="00B15FAA" w:rsidRPr="00980628" w:rsidRDefault="00B15FAA" w:rsidP="00B15FAA">
            <w:pPr>
              <w:pStyle w:val="Table"/>
              <w:jc w:val="center"/>
            </w:pPr>
            <w:r w:rsidRPr="008C0CB1">
              <w:t>2184</w:t>
            </w:r>
          </w:p>
        </w:tc>
      </w:tr>
      <w:tr w:rsidR="00B15FAA" w14:paraId="261CC2DE" w14:textId="3543F0F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97ABA4A" w14:textId="415D1B44" w:rsidR="00B15FAA" w:rsidRPr="00E4485A" w:rsidRDefault="00B15FAA" w:rsidP="00B15FAA">
            <w:pPr>
              <w:pStyle w:val="Table"/>
            </w:pPr>
            <w:r w:rsidRPr="00512220">
              <w:t>4356. Generation credit (unrounded) p/kWh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A7F29F1" w14:textId="6D5EC8D5" w:rsidR="00B15FAA" w:rsidRPr="00980628" w:rsidRDefault="00B15FAA" w:rsidP="00B15FAA">
            <w:pPr>
              <w:pStyle w:val="Table"/>
              <w:jc w:val="center"/>
            </w:pPr>
            <w:r w:rsidRPr="008C0CB1">
              <w:t>2186</w:t>
            </w:r>
          </w:p>
        </w:tc>
      </w:tr>
      <w:tr w:rsidR="00B15FAA" w14:paraId="5ECDB8C7" w14:textId="4B78B49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86C8E5F" w14:textId="125E9729" w:rsidR="00B15FAA" w:rsidRPr="00E4485A" w:rsidRDefault="00B15FAA" w:rsidP="00B15FAA">
            <w:pPr>
              <w:pStyle w:val="Table"/>
            </w:pPr>
            <w:r w:rsidRPr="00512220">
              <w:t>4358. Export super-red unit rate (p/kWh)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B55EAB" w14:textId="348C6258" w:rsidR="00B15FAA" w:rsidRPr="00980628" w:rsidRDefault="00B15FAA" w:rsidP="00B15FAA">
            <w:pPr>
              <w:pStyle w:val="Table"/>
              <w:jc w:val="center"/>
            </w:pPr>
            <w:r w:rsidRPr="008C0CB1">
              <w:t>2188</w:t>
            </w:r>
          </w:p>
        </w:tc>
      </w:tr>
      <w:tr w:rsidR="00B15FAA" w14:paraId="0DE9A45C" w14:textId="78FDC77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53692AC" w14:textId="2B8BC99A" w:rsidR="00B15FAA" w:rsidRPr="00E4485A" w:rsidRDefault="00B15FAA" w:rsidP="00B15FAA">
            <w:pPr>
              <w:pStyle w:val="Table"/>
            </w:pPr>
            <w:r w:rsidRPr="00512220">
              <w:t>4360. Net forecast EDCM generation revenue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AD94E09" w14:textId="558CEDBE" w:rsidR="00B15FAA" w:rsidRPr="00980628" w:rsidRDefault="00B15FAA" w:rsidP="00B15FAA">
            <w:pPr>
              <w:pStyle w:val="Table"/>
              <w:jc w:val="center"/>
            </w:pPr>
            <w:r w:rsidRPr="008C0CB1">
              <w:t>3702</w:t>
            </w:r>
          </w:p>
        </w:tc>
      </w:tr>
      <w:tr w:rsidR="00B15FAA" w14:paraId="5877F454" w14:textId="3D937F3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753279A" w14:textId="265288CA" w:rsidR="00B15FAA" w:rsidRPr="00E4485A" w:rsidRDefault="00B15FAA" w:rsidP="00B15FAA">
            <w:pPr>
              <w:pStyle w:val="Table"/>
            </w:pPr>
            <w:r w:rsidRPr="00512220">
              <w:t>4362. Revenue less costs and adjustments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ABBC3E0" w14:textId="77777777" w:rsidR="00B05CE9" w:rsidRDefault="00B15FAA" w:rsidP="00B15FAA">
            <w:pPr>
              <w:pStyle w:val="Table"/>
              <w:jc w:val="center"/>
            </w:pPr>
            <w:r w:rsidRPr="008C0CB1">
              <w:t>3706</w:t>
            </w:r>
            <w:r w:rsidR="00B05CE9">
              <w:t xml:space="preserve"> </w:t>
            </w:r>
          </w:p>
          <w:p w14:paraId="5E8459EA" w14:textId="3DA12492" w:rsidR="00B15FAA" w:rsidRPr="00980628" w:rsidRDefault="00A2623C" w:rsidP="00B15FAA">
            <w:pPr>
              <w:pStyle w:val="Table"/>
              <w:jc w:val="center"/>
            </w:pPr>
            <w:r>
              <w:t>(amended as described above</w:t>
            </w:r>
            <w:r w:rsidR="00B05CE9">
              <w:t>)</w:t>
            </w:r>
          </w:p>
        </w:tc>
      </w:tr>
      <w:tr w:rsidR="00B15FAA" w14:paraId="4908B296" w14:textId="167A464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CE52D89" w14:textId="5BD0DB6C" w:rsidR="00B15FAA" w:rsidRPr="00E4485A" w:rsidRDefault="00B15FAA" w:rsidP="00B15FAA">
            <w:pPr>
              <w:pStyle w:val="Table"/>
            </w:pPr>
            <w:r w:rsidRPr="00512220">
              <w:t>4364. Other revenue charging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BE76E61" w14:textId="3118E28D" w:rsidR="00B15FAA" w:rsidRPr="00980628" w:rsidRDefault="00B15FAA" w:rsidP="00B15FAA">
            <w:pPr>
              <w:pStyle w:val="Table"/>
              <w:jc w:val="center"/>
            </w:pPr>
            <w:r w:rsidRPr="008C0CB1">
              <w:t>3802</w:t>
            </w:r>
          </w:p>
        </w:tc>
      </w:tr>
      <w:tr w:rsidR="00B15FAA" w14:paraId="7F7471E3" w14:textId="288275D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DB7FD81" w14:textId="7548D848" w:rsidR="00B15FAA" w:rsidRPr="00E4485A" w:rsidRDefault="00B15FAA" w:rsidP="00B15FAA">
            <w:pPr>
              <w:pStyle w:val="Table"/>
            </w:pPr>
            <w:r w:rsidRPr="00512220">
              <w:t>4366. Demand revenue target pot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FEFF45A" w14:textId="06A32B50" w:rsidR="00B15FAA" w:rsidRPr="00980628" w:rsidRDefault="00B15FAA" w:rsidP="00B15FAA">
            <w:pPr>
              <w:pStyle w:val="Table"/>
              <w:jc w:val="center"/>
            </w:pPr>
            <w:r w:rsidRPr="008C0CB1">
              <w:t>4008</w:t>
            </w:r>
          </w:p>
        </w:tc>
      </w:tr>
      <w:tr w:rsidR="00B15FAA" w14:paraId="692C05AB" w14:textId="237DF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14208E7" w14:textId="7F9B5E38" w:rsidR="00B15FAA" w:rsidRPr="00E4485A" w:rsidRDefault="00B15FAA" w:rsidP="00B15FAA">
            <w:pPr>
              <w:pStyle w:val="Table"/>
            </w:pPr>
            <w:r w:rsidRPr="00512220">
              <w:t>4402. Direct costs on EDCM demand except through sole use asset charges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8B50BF" w14:textId="60430539" w:rsidR="00B15FAA" w:rsidRPr="00980628" w:rsidRDefault="00B15FAA" w:rsidP="00B15FAA">
            <w:pPr>
              <w:pStyle w:val="Table"/>
              <w:jc w:val="center"/>
            </w:pPr>
            <w:r w:rsidRPr="008C0CB1">
              <w:t>4004</w:t>
            </w:r>
          </w:p>
        </w:tc>
      </w:tr>
      <w:tr w:rsidR="00B15FAA" w14:paraId="603EFEFF" w14:textId="25A571ED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8E257FF" w14:textId="2458E319" w:rsidR="00B15FAA" w:rsidRPr="00E4485A" w:rsidRDefault="00B15FAA" w:rsidP="00B15FAA">
            <w:pPr>
              <w:pStyle w:val="Table"/>
            </w:pPr>
            <w:r w:rsidRPr="00512220">
              <w:t>4404. Indirect costs on EDCM demand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7104FF6" w14:textId="6D227E95" w:rsidR="00B15FAA" w:rsidRPr="00980628" w:rsidRDefault="00B15FAA" w:rsidP="00B15FAA">
            <w:pPr>
              <w:pStyle w:val="Table"/>
              <w:jc w:val="center"/>
            </w:pPr>
            <w:r w:rsidRPr="008C0CB1">
              <w:t>4002</w:t>
            </w:r>
          </w:p>
        </w:tc>
      </w:tr>
      <w:tr w:rsidR="00B15FAA" w14:paraId="62E3E682" w14:textId="27D8796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BC965C2" w14:textId="67CD8018" w:rsidR="00B15FAA" w:rsidRPr="00E4485A" w:rsidRDefault="00B15FAA" w:rsidP="00B15FAA">
            <w:pPr>
              <w:pStyle w:val="Table"/>
            </w:pPr>
            <w:r w:rsidRPr="00512220">
              <w:t>4406. Number of super-red hours connected in year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6B6CAAC" w14:textId="5E7960F0" w:rsidR="00B15FAA" w:rsidRPr="00980628" w:rsidRDefault="00B15FAA" w:rsidP="00B15FAA">
            <w:pPr>
              <w:pStyle w:val="Table"/>
              <w:jc w:val="center"/>
            </w:pPr>
            <w:r w:rsidRPr="008C0CB1">
              <w:t>3916</w:t>
            </w:r>
          </w:p>
        </w:tc>
      </w:tr>
      <w:tr w:rsidR="00B15FAA" w14:paraId="7B448D44" w14:textId="1D8A094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C0EE516" w14:textId="1A3185F5" w:rsidR="00B15FAA" w:rsidRPr="00E4485A" w:rsidRDefault="00B15FAA" w:rsidP="00B15FAA">
            <w:pPr>
              <w:pStyle w:val="Table"/>
            </w:pPr>
            <w:r w:rsidRPr="00512220">
              <w:t>4408. Revenue from demand charge 1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3934FCC" w14:textId="25C536A7" w:rsidR="00B15FAA" w:rsidRPr="00980628" w:rsidRDefault="00B15FAA" w:rsidP="00B15FAA">
            <w:pPr>
              <w:pStyle w:val="Table"/>
              <w:jc w:val="center"/>
            </w:pPr>
            <w:r w:rsidRPr="008C0CB1">
              <w:t>4010</w:t>
            </w:r>
          </w:p>
        </w:tc>
      </w:tr>
      <w:tr w:rsidR="00B15FAA" w14:paraId="4F3E9616" w14:textId="55691ED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FEC6869" w14:textId="2E17A164" w:rsidR="00B15FAA" w:rsidRPr="00E4485A" w:rsidRDefault="00B15FAA" w:rsidP="00B15FAA">
            <w:pPr>
              <w:pStyle w:val="Table"/>
            </w:pPr>
            <w:r w:rsidRPr="00512220">
              <w:t>4410. Additional amount to be recovered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CD24214" w14:textId="2153D8D9" w:rsidR="00B15FAA" w:rsidRPr="00980628" w:rsidRDefault="00B15FAA" w:rsidP="00B15FAA">
            <w:pPr>
              <w:pStyle w:val="Table"/>
              <w:jc w:val="center"/>
            </w:pPr>
            <w:r w:rsidRPr="008C0CB1">
              <w:t>4012</w:t>
            </w:r>
          </w:p>
        </w:tc>
      </w:tr>
      <w:tr w:rsidR="00B15FAA" w14:paraId="57E0D1CE" w14:textId="693DD6C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F10B31E" w14:textId="53DD92A4" w:rsidR="00B15FAA" w:rsidRPr="00E4485A" w:rsidRDefault="00B15FAA" w:rsidP="00B15FAA">
            <w:pPr>
              <w:pStyle w:val="Table"/>
            </w:pPr>
            <w:r w:rsidRPr="00512220">
              <w:t>4412. Network rates on EDCM demand except through sole use asset charges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4655E26" w14:textId="6F7ADACF" w:rsidR="00B15FAA" w:rsidRPr="00980628" w:rsidRDefault="00B15FAA" w:rsidP="00B15FAA">
            <w:pPr>
              <w:pStyle w:val="Table"/>
              <w:jc w:val="center"/>
            </w:pPr>
            <w:r w:rsidRPr="008C0CB1">
              <w:t>4006</w:t>
            </w:r>
          </w:p>
        </w:tc>
      </w:tr>
      <w:tr w:rsidR="00B15FAA" w14:paraId="49575E1C" w14:textId="3FD980B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6DDC01F" w14:textId="648AB42D" w:rsidR="00B15FAA" w:rsidRPr="00E4485A" w:rsidRDefault="00B15FAA" w:rsidP="00B15FAA">
            <w:pPr>
              <w:pStyle w:val="Table"/>
            </w:pPr>
            <w:r w:rsidRPr="00512220">
              <w:t>4414. Proportion of residual to go into fixed adder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62BCD11" w14:textId="626A85BC" w:rsidR="00B15FAA" w:rsidRPr="00980628" w:rsidRDefault="00B15FAA" w:rsidP="00B15FAA">
            <w:pPr>
              <w:pStyle w:val="Table"/>
              <w:jc w:val="center"/>
            </w:pPr>
            <w:r w:rsidRPr="008C0CB1">
              <w:t>2006</w:t>
            </w:r>
          </w:p>
        </w:tc>
      </w:tr>
      <w:tr w:rsidR="00B15FAA" w14:paraId="3BD1A424" w14:textId="2966BDD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7C2378E" w14:textId="7F1FFD00" w:rsidR="00B15FAA" w:rsidRPr="00E4485A" w:rsidRDefault="00B15FAA" w:rsidP="00B15FAA">
            <w:pPr>
              <w:pStyle w:val="Table"/>
            </w:pPr>
            <w:r w:rsidRPr="00512220">
              <w:t xml:space="preserve">4416. Residual </w:t>
            </w:r>
            <w:proofErr w:type="spellStart"/>
            <w:r w:rsidRPr="00512220">
              <w:t>residual</w:t>
            </w:r>
            <w:proofErr w:type="spellEnd"/>
            <w:r w:rsidRPr="00512220">
              <w:t xml:space="preserve">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58D076A" w14:textId="35600380" w:rsidR="00B15FAA" w:rsidRPr="00980628" w:rsidRDefault="00B15FAA" w:rsidP="00B15FAA">
            <w:pPr>
              <w:pStyle w:val="Table"/>
              <w:jc w:val="center"/>
            </w:pPr>
            <w:r w:rsidRPr="008C0CB1">
              <w:t>4014</w:t>
            </w:r>
          </w:p>
        </w:tc>
      </w:tr>
      <w:tr w:rsidR="00B15FAA" w14:paraId="4777CCEF" w14:textId="6E625D7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92BCA9" w14:textId="0D698501" w:rsidR="00B15FAA" w:rsidRPr="00E4485A" w:rsidRDefault="00B15FAA" w:rsidP="00B15FAA">
            <w:pPr>
              <w:pStyle w:val="Table"/>
            </w:pPr>
            <w:r w:rsidRPr="00512220">
              <w:lastRenderedPageBreak/>
              <w:t>4418. Network use factors (second set)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EA7ECDA" w14:textId="3B4763A7" w:rsidR="00B15FAA" w:rsidRPr="00980628" w:rsidRDefault="00B15FAA" w:rsidP="00B15FAA">
            <w:pPr>
              <w:pStyle w:val="Table"/>
              <w:jc w:val="center"/>
            </w:pPr>
            <w:r w:rsidRPr="008C0CB1">
              <w:t>4102</w:t>
            </w:r>
          </w:p>
        </w:tc>
      </w:tr>
      <w:tr w:rsidR="00B15FAA" w14:paraId="27907D8E" w14:textId="1B364C9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9FDC5D6" w14:textId="00E1AE3D" w:rsidR="00B15FAA" w:rsidRPr="00E4485A" w:rsidRDefault="00B15FAA" w:rsidP="00B15FAA">
            <w:pPr>
              <w:pStyle w:val="Table"/>
            </w:pPr>
            <w:r w:rsidRPr="00512220">
              <w:t>4420. Capacity 132kV/HV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D247407" w14:textId="337745B3" w:rsidR="00B15FAA" w:rsidRPr="00980628" w:rsidRDefault="00B15FAA" w:rsidP="00B15FAA">
            <w:pPr>
              <w:pStyle w:val="Table"/>
              <w:jc w:val="center"/>
            </w:pPr>
            <w:r w:rsidRPr="008C0CB1">
              <w:t>4112</w:t>
            </w:r>
          </w:p>
        </w:tc>
      </w:tr>
      <w:tr w:rsidR="00B15FAA" w14:paraId="7CE5AC58" w14:textId="4A83F51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D2D7AD6" w14:textId="50D115F3" w:rsidR="00B15FAA" w:rsidRPr="00E4485A" w:rsidRDefault="00B15FAA" w:rsidP="00B15FAA">
            <w:pPr>
              <w:pStyle w:val="Table"/>
            </w:pPr>
            <w:r w:rsidRPr="00512220">
              <w:t>4422. Capacity EHV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35EC801" w14:textId="4EA45496" w:rsidR="00B15FAA" w:rsidRPr="00980628" w:rsidRDefault="00B15FAA" w:rsidP="00B15FAA">
            <w:pPr>
              <w:pStyle w:val="Table"/>
              <w:jc w:val="center"/>
            </w:pPr>
            <w:r w:rsidRPr="008C0CB1">
              <w:t>4108</w:t>
            </w:r>
          </w:p>
        </w:tc>
      </w:tr>
      <w:tr w:rsidR="00B15FAA" w14:paraId="58CB2B85" w14:textId="262B94D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211AD4C" w14:textId="45E216C8" w:rsidR="00B15FAA" w:rsidRPr="00E4485A" w:rsidRDefault="00B15FAA" w:rsidP="00B15FAA">
            <w:pPr>
              <w:pStyle w:val="Table"/>
            </w:pPr>
            <w:r w:rsidRPr="00512220">
              <w:t>4424. Capacity 132kV/EHV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FB05ED" w14:textId="72DB78C4" w:rsidR="00B15FAA" w:rsidRPr="00980628" w:rsidRDefault="00B15FAA" w:rsidP="00B15FAA">
            <w:pPr>
              <w:pStyle w:val="Table"/>
              <w:jc w:val="center"/>
            </w:pPr>
            <w:r w:rsidRPr="008C0CB1">
              <w:t>4106</w:t>
            </w:r>
          </w:p>
        </w:tc>
      </w:tr>
      <w:tr w:rsidR="00B15FAA" w14:paraId="0F504414" w14:textId="691F49E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5517F49" w14:textId="0556D253" w:rsidR="00B15FAA" w:rsidRPr="00E4485A" w:rsidRDefault="00B15FAA" w:rsidP="00B15FAA">
            <w:pPr>
              <w:pStyle w:val="Table"/>
            </w:pPr>
            <w:r w:rsidRPr="00512220">
              <w:t>4426. Capacity EHV/HV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635060" w14:textId="003C7146" w:rsidR="00B15FAA" w:rsidRPr="00980628" w:rsidRDefault="00B15FAA" w:rsidP="00B15FAA">
            <w:pPr>
              <w:pStyle w:val="Table"/>
              <w:jc w:val="center"/>
            </w:pPr>
            <w:r w:rsidRPr="008C0CB1">
              <w:t>4110</w:t>
            </w:r>
          </w:p>
        </w:tc>
      </w:tr>
      <w:tr w:rsidR="00B15FAA" w14:paraId="6749FCE8" w14:textId="2D0F5FD2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55060AD" w14:textId="2429A822" w:rsidR="00B15FAA" w:rsidRPr="00E4485A" w:rsidRDefault="00B15FAA" w:rsidP="00B15FAA">
            <w:pPr>
              <w:pStyle w:val="Table"/>
            </w:pPr>
            <w:r w:rsidRPr="00512220">
              <w:t>4428. Capacity 132kV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1DBD953" w14:textId="0402036A" w:rsidR="00B15FAA" w:rsidRPr="00980628" w:rsidRDefault="00B15FAA" w:rsidP="00B15FAA">
            <w:pPr>
              <w:pStyle w:val="Table"/>
              <w:jc w:val="center"/>
            </w:pPr>
            <w:r w:rsidRPr="008C0CB1">
              <w:t>4104</w:t>
            </w:r>
          </w:p>
        </w:tc>
      </w:tr>
      <w:tr w:rsidR="00B15FAA" w14:paraId="4F076F7B" w14:textId="2A2D1D6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C784CE4" w14:textId="12D2BA12" w:rsidR="00B15FAA" w:rsidRPr="00E4485A" w:rsidRDefault="00B15FAA" w:rsidP="00B15FAA">
            <w:pPr>
              <w:pStyle w:val="Table"/>
            </w:pPr>
            <w:r w:rsidRPr="00512220">
              <w:t>4430. Second set of capacity assets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FCE6AAA" w14:textId="0E84537E" w:rsidR="00B15FAA" w:rsidRPr="00980628" w:rsidRDefault="00B15FAA" w:rsidP="00B15FAA">
            <w:pPr>
              <w:pStyle w:val="Table"/>
              <w:jc w:val="center"/>
            </w:pPr>
            <w:r w:rsidRPr="008C0CB1">
              <w:t>4114</w:t>
            </w:r>
          </w:p>
        </w:tc>
      </w:tr>
      <w:tr w:rsidR="00B15FAA" w14:paraId="30F4FC5E" w14:textId="4CDEB89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B4CA449" w14:textId="59788429" w:rsidR="00B15FAA" w:rsidRPr="00E4485A" w:rsidRDefault="00B15FAA" w:rsidP="00B15FAA">
            <w:pPr>
              <w:pStyle w:val="Table"/>
            </w:pPr>
            <w:r w:rsidRPr="00512220">
              <w:t>4432. Consumption EHV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75CB24E" w14:textId="2C7776CA" w:rsidR="00B15FAA" w:rsidRPr="00980628" w:rsidRDefault="00B15FAA" w:rsidP="00B15FAA">
            <w:pPr>
              <w:pStyle w:val="Table"/>
              <w:jc w:val="center"/>
            </w:pPr>
            <w:r w:rsidRPr="008C0CB1">
              <w:t>4120</w:t>
            </w:r>
          </w:p>
        </w:tc>
      </w:tr>
      <w:tr w:rsidR="00B15FAA" w14:paraId="38E1A635" w14:textId="5A312351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1827CE3" w14:textId="76F6B20E" w:rsidR="00B15FAA" w:rsidRPr="00E4485A" w:rsidRDefault="00B15FAA" w:rsidP="00B15FAA">
            <w:pPr>
              <w:pStyle w:val="Table"/>
            </w:pPr>
            <w:r w:rsidRPr="00512220">
              <w:t>4434. Consumption 132kV/EHV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A24B11F" w14:textId="0606E819" w:rsidR="00B15FAA" w:rsidRPr="00980628" w:rsidRDefault="00B15FAA" w:rsidP="00B15FAA">
            <w:pPr>
              <w:pStyle w:val="Table"/>
              <w:jc w:val="center"/>
            </w:pPr>
            <w:r w:rsidRPr="008C0CB1">
              <w:t>4118</w:t>
            </w:r>
          </w:p>
        </w:tc>
      </w:tr>
      <w:tr w:rsidR="00B15FAA" w14:paraId="3DF7AD1B" w14:textId="5CABABC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3B211FA" w14:textId="00C26989" w:rsidR="00B15FAA" w:rsidRPr="00E4485A" w:rsidRDefault="00B15FAA" w:rsidP="00B15FAA">
            <w:pPr>
              <w:pStyle w:val="Table"/>
            </w:pPr>
            <w:r w:rsidRPr="00512220">
              <w:t>4436. Consumption 132kV circuits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0EAEADB" w14:textId="4F260153" w:rsidR="00B15FAA" w:rsidRPr="00980628" w:rsidRDefault="00B15FAA" w:rsidP="00B15FAA">
            <w:pPr>
              <w:pStyle w:val="Table"/>
              <w:jc w:val="center"/>
            </w:pPr>
            <w:r w:rsidRPr="008C0CB1">
              <w:t>4116</w:t>
            </w:r>
          </w:p>
        </w:tc>
      </w:tr>
      <w:tr w:rsidR="00B15FAA" w14:paraId="1C07FC1D" w14:textId="0F40B86A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1B8B5CE" w14:textId="5BF1A41C" w:rsidR="00B15FAA" w:rsidRPr="00E4485A" w:rsidRDefault="00B15FAA" w:rsidP="00B15FAA">
            <w:pPr>
              <w:pStyle w:val="Table"/>
            </w:pPr>
            <w:r w:rsidRPr="00512220">
              <w:t>4438. Second set of consumption assets (£/kVA)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0EF80B7" w14:textId="296711F2" w:rsidR="00B15FAA" w:rsidRPr="00980628" w:rsidRDefault="00B15FAA" w:rsidP="00B15FAA">
            <w:pPr>
              <w:pStyle w:val="Table"/>
              <w:jc w:val="center"/>
            </w:pPr>
            <w:r w:rsidRPr="008C0CB1">
              <w:t>4122</w:t>
            </w:r>
          </w:p>
        </w:tc>
      </w:tr>
      <w:tr w:rsidR="00B15FAA" w14:paraId="5D1785CC" w14:textId="3F29CDE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95FACEA" w14:textId="6E245E9C" w:rsidR="00B15FAA" w:rsidRPr="00E4485A" w:rsidRDefault="00B15FAA" w:rsidP="00B15FAA">
            <w:pPr>
              <w:pStyle w:val="Table"/>
            </w:pPr>
            <w:r w:rsidRPr="00512220">
              <w:t>4440. Non sole use notional assets subject to matching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1CC5C66" w14:textId="096AAB3E" w:rsidR="00B15FAA" w:rsidRPr="00980628" w:rsidRDefault="00B15FAA" w:rsidP="00B15FAA">
            <w:pPr>
              <w:pStyle w:val="Table"/>
              <w:jc w:val="center"/>
            </w:pPr>
            <w:r w:rsidRPr="008C0CB1">
              <w:t>4132</w:t>
            </w:r>
          </w:p>
        </w:tc>
      </w:tr>
      <w:tr w:rsidR="00B15FAA" w14:paraId="6E471EE1" w14:textId="5801943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A74D419" w14:textId="4F911F79" w:rsidR="00B15FAA" w:rsidRPr="00E4485A" w:rsidRDefault="00B15FAA" w:rsidP="00B15FAA">
            <w:pPr>
              <w:pStyle w:val="Table"/>
            </w:pPr>
            <w:r w:rsidRPr="00512220">
              <w:t xml:space="preserve">4442. Total </w:t>
            </w:r>
            <w:proofErr w:type="spellStart"/>
            <w:r w:rsidRPr="00512220">
              <w:t>non sole</w:t>
            </w:r>
            <w:proofErr w:type="spellEnd"/>
            <w:r w:rsidRPr="00512220">
              <w:t xml:space="preserve"> use notional assets subject to matching (£)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F9FCFAE" w14:textId="7207C049" w:rsidR="00B15FAA" w:rsidRPr="00980628" w:rsidRDefault="00B15FAA" w:rsidP="00B15FAA">
            <w:pPr>
              <w:pStyle w:val="Table"/>
              <w:jc w:val="center"/>
            </w:pPr>
            <w:r w:rsidRPr="008C0CB1">
              <w:t>4204</w:t>
            </w:r>
          </w:p>
        </w:tc>
      </w:tr>
      <w:tr w:rsidR="00B15FAA" w14:paraId="29CCF7EF" w14:textId="40EF2DE9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9789300" w14:textId="4FB0652E" w:rsidR="00B15FAA" w:rsidRPr="00E4485A" w:rsidRDefault="00B15FAA" w:rsidP="00B15FAA">
            <w:pPr>
              <w:pStyle w:val="Table"/>
            </w:pPr>
            <w:r w:rsidRPr="00512220">
              <w:t>4444. Annual charge on assets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C12C78" w14:textId="01BDB60B" w:rsidR="00B15FAA" w:rsidRPr="00980628" w:rsidRDefault="00B15FAA" w:rsidP="00B15FAA">
            <w:pPr>
              <w:pStyle w:val="Table"/>
              <w:jc w:val="center"/>
            </w:pPr>
            <w:r w:rsidRPr="008C0CB1">
              <w:t>4302</w:t>
            </w:r>
          </w:p>
        </w:tc>
      </w:tr>
      <w:tr w:rsidR="00B15FAA" w14:paraId="6D1FD825" w14:textId="37D3D5D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7504598" w14:textId="09F37EF9" w:rsidR="00B15FAA" w:rsidRPr="00E4485A" w:rsidRDefault="00B15FAA" w:rsidP="00B15FAA">
            <w:pPr>
              <w:pStyle w:val="Table"/>
            </w:pPr>
            <w:r w:rsidRPr="00512220">
              <w:t>4446. Amount to be recovered from adders ex costs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4BFF95D" w14:textId="485E88D0" w:rsidR="00B15FAA" w:rsidRPr="00980628" w:rsidRDefault="00B15FAA" w:rsidP="00B15FAA">
            <w:pPr>
              <w:pStyle w:val="Table"/>
              <w:jc w:val="center"/>
            </w:pPr>
            <w:r w:rsidRPr="008C0CB1">
              <w:t>4202</w:t>
            </w:r>
          </w:p>
        </w:tc>
      </w:tr>
      <w:tr w:rsidR="00B15FAA" w14:paraId="56070F81" w14:textId="63CE5793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9B3F122" w14:textId="7D04DE62" w:rsidR="00B15FAA" w:rsidRPr="00E4485A" w:rsidRDefault="00B15FAA" w:rsidP="00B15FAA">
            <w:pPr>
              <w:pStyle w:val="Table"/>
            </w:pPr>
            <w:r w:rsidRPr="00512220">
              <w:t>4448. Factor for the allocation of capacity scaling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E0286BA" w14:textId="160EAA63" w:rsidR="00B15FAA" w:rsidRPr="00980628" w:rsidRDefault="00B15FAA" w:rsidP="00B15FAA">
            <w:pPr>
              <w:pStyle w:val="Table"/>
              <w:jc w:val="center"/>
            </w:pPr>
            <w:r w:rsidRPr="008C0CB1">
              <w:t>2008</w:t>
            </w:r>
          </w:p>
        </w:tc>
      </w:tr>
      <w:tr w:rsidR="00B15FAA" w14:paraId="43784312" w14:textId="41F79617" w:rsidTr="00B05CE9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7EAB39C" w14:textId="72EF7160" w:rsidR="00B15FAA" w:rsidRPr="00440762" w:rsidRDefault="00B15FAA" w:rsidP="00B15FAA">
            <w:pPr>
              <w:pStyle w:val="Table"/>
            </w:pPr>
            <w:r w:rsidRPr="00512220">
              <w:t>4450. Marginal revenue effect of demand and indirect cost adders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245C865" w14:textId="087C5D11" w:rsidR="00B15FAA" w:rsidRDefault="00B15FAA" w:rsidP="00B15FAA">
            <w:pPr>
              <w:pStyle w:val="Table"/>
              <w:jc w:val="center"/>
            </w:pPr>
            <w:r w:rsidRPr="008C0CB1">
              <w:t>4402</w:t>
            </w:r>
          </w:p>
        </w:tc>
      </w:tr>
      <w:tr w:rsidR="00B15FAA" w14:paraId="14244F70" w14:textId="5A25B4F0" w:rsidTr="00B05CE9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7B1E493" w14:textId="577228FA" w:rsidR="00B15FAA" w:rsidRPr="00440762" w:rsidRDefault="00B15FAA" w:rsidP="00B15FAA">
            <w:pPr>
              <w:pStyle w:val="Table"/>
            </w:pPr>
            <w:r w:rsidRPr="00512220">
              <w:t>4452. Total marginal revenue effect of demand adder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39B4AC1" w14:textId="117CF327" w:rsidR="00B15FAA" w:rsidRDefault="00B15FAA" w:rsidP="00B15FAA">
            <w:pPr>
              <w:pStyle w:val="Table"/>
              <w:jc w:val="center"/>
            </w:pPr>
            <w:r w:rsidRPr="008C0CB1">
              <w:t>4702</w:t>
            </w:r>
          </w:p>
        </w:tc>
      </w:tr>
      <w:tr w:rsidR="00B15FAA" w14:paraId="7837EA9A" w14:textId="278FB9B6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008378E" w14:textId="3BE9C367" w:rsidR="00B15FAA" w:rsidRPr="00440762" w:rsidRDefault="00B15FAA" w:rsidP="00B15FAA">
            <w:pPr>
              <w:pStyle w:val="Table"/>
            </w:pPr>
            <w:r w:rsidRPr="00512220">
              <w:t xml:space="preserve">4454. Fixed adder ex </w:t>
            </w:r>
            <w:proofErr w:type="spellStart"/>
            <w:r w:rsidRPr="00512220">
              <w:t>indirects</w:t>
            </w:r>
            <w:proofErr w:type="spellEnd"/>
            <w:r w:rsidRPr="00512220">
              <w:t xml:space="preserve"> application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FD44EA9" w14:textId="7933D38A" w:rsidR="00B15FAA" w:rsidRPr="00980628" w:rsidRDefault="00B15FAA" w:rsidP="00B15FAA">
            <w:pPr>
              <w:pStyle w:val="Table"/>
              <w:jc w:val="center"/>
            </w:pPr>
            <w:r w:rsidRPr="008C0CB1">
              <w:t>4802</w:t>
            </w:r>
          </w:p>
        </w:tc>
      </w:tr>
      <w:tr w:rsidR="00B15FAA" w14:paraId="5CDBBC68" w14:textId="1EDA978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4300E22" w14:textId="452724F7" w:rsidR="00B15FAA" w:rsidRPr="00440762" w:rsidRDefault="00B15FAA" w:rsidP="00B15FAA">
            <w:pPr>
              <w:pStyle w:val="Table"/>
            </w:pPr>
            <w:r w:rsidRPr="00512220">
              <w:t>4456. Data for capacity-based allocation of indirect costs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2F4636C" w14:textId="512E4FAE" w:rsidR="00B15FAA" w:rsidRPr="00980628" w:rsidRDefault="00B15FAA" w:rsidP="00B15FAA">
            <w:pPr>
              <w:pStyle w:val="Table"/>
              <w:jc w:val="center"/>
            </w:pPr>
            <w:r w:rsidRPr="008C0CB1">
              <w:t>4404</w:t>
            </w:r>
          </w:p>
        </w:tc>
      </w:tr>
      <w:tr w:rsidR="00B15FAA" w14:paraId="4F3A6732" w14:textId="3496FB5B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74D7D4A5" w14:textId="711DD70B" w:rsidR="00B15FAA" w:rsidRPr="00440762" w:rsidRDefault="00B15FAA" w:rsidP="00B15FAA">
            <w:pPr>
              <w:pStyle w:val="Table"/>
            </w:pPr>
            <w:r w:rsidRPr="00512220">
              <w:t>4458. Total marginal effect of indirect cost adder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F3592B9" w14:textId="1FE46F51" w:rsidR="00B15FAA" w:rsidRPr="00980628" w:rsidRDefault="00B15FAA" w:rsidP="00B15FAA">
            <w:pPr>
              <w:pStyle w:val="Table"/>
              <w:jc w:val="center"/>
            </w:pPr>
            <w:r w:rsidRPr="008C0CB1">
              <w:t>4502</w:t>
            </w:r>
          </w:p>
        </w:tc>
      </w:tr>
      <w:tr w:rsidR="00B15FAA" w14:paraId="515AB5F4" w14:textId="654A93AE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E95C16F" w14:textId="5C000109" w:rsidR="00B15FAA" w:rsidRPr="00440762" w:rsidRDefault="00B15FAA" w:rsidP="00B15FAA">
            <w:pPr>
              <w:pStyle w:val="Table"/>
            </w:pPr>
            <w:r w:rsidRPr="00512220">
              <w:t>4460. Indirect costs application 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9105732" w14:textId="270A74C7" w:rsidR="00B15FAA" w:rsidRPr="00980628" w:rsidRDefault="00B15FAA" w:rsidP="00B15FAA">
            <w:pPr>
              <w:pStyle w:val="Table"/>
              <w:jc w:val="center"/>
            </w:pPr>
            <w:r w:rsidRPr="008C0CB1">
              <w:t>4602</w:t>
            </w:r>
          </w:p>
        </w:tc>
      </w:tr>
      <w:tr w:rsidR="00B15FAA" w14:paraId="3480BBE5" w14:textId="02EE02F8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0033E5D" w14:textId="094F53E7" w:rsidR="00B15FAA" w:rsidRPr="00440762" w:rsidRDefault="00B15FAA" w:rsidP="00B15FAA">
            <w:pPr>
              <w:pStyle w:val="Table"/>
            </w:pPr>
            <w:r w:rsidRPr="00512220">
              <w:t>4462. Capacity charge p/kVA/day (exit only)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FF4837C" w14:textId="376F96FE" w:rsidR="00B15FAA" w:rsidRPr="00980628" w:rsidRDefault="00B15FAA" w:rsidP="00B15FAA">
            <w:pPr>
              <w:pStyle w:val="Table"/>
              <w:jc w:val="center"/>
            </w:pPr>
            <w:r w:rsidRPr="008C0CB1">
              <w:t>4126</w:t>
            </w:r>
          </w:p>
        </w:tc>
      </w:tr>
      <w:tr w:rsidR="00B15FAA" w14:paraId="617D664C" w14:textId="6265305F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9B52019" w14:textId="507F4E3B" w:rsidR="00B15FAA" w:rsidRPr="00440762" w:rsidRDefault="00B15FAA" w:rsidP="00B15FAA">
            <w:pPr>
              <w:pStyle w:val="Table"/>
            </w:pPr>
            <w:r w:rsidRPr="00512220">
              <w:t>4464. Import capacity charge before scaling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EFD94E3" w14:textId="5DF1AED8" w:rsidR="00B15FAA" w:rsidRPr="00980628" w:rsidRDefault="00B15FAA" w:rsidP="00B15FAA">
            <w:pPr>
              <w:pStyle w:val="Table"/>
              <w:jc w:val="center"/>
            </w:pPr>
            <w:r w:rsidRPr="008C0CB1">
              <w:t>4130</w:t>
            </w:r>
          </w:p>
        </w:tc>
      </w:tr>
      <w:tr w:rsidR="00B15FAA" w14:paraId="3AEE19D5" w14:textId="4145A34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2CA5E2F" w14:textId="0C8C7CD2" w:rsidR="00B15FAA" w:rsidRPr="00440762" w:rsidRDefault="00B15FAA" w:rsidP="00B15FAA">
            <w:pPr>
              <w:pStyle w:val="Table"/>
            </w:pPr>
            <w:r w:rsidRPr="00512220">
              <w:lastRenderedPageBreak/>
              <w:t>4466. Capacity charge after applying indirect cost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795BA54" w14:textId="342D1171" w:rsidR="00B15FAA" w:rsidRPr="00980628" w:rsidRDefault="00B15FAA" w:rsidP="00B15FAA">
            <w:pPr>
              <w:pStyle w:val="Table"/>
              <w:jc w:val="center"/>
            </w:pPr>
            <w:r w:rsidRPr="008C0CB1">
              <w:t>4902</w:t>
            </w:r>
          </w:p>
        </w:tc>
      </w:tr>
      <w:tr w:rsidR="00B15FAA" w14:paraId="1D27DAD7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F0EBE19" w14:textId="3B62F488" w:rsidR="00B15FAA" w:rsidRPr="00512220" w:rsidRDefault="00B15FAA" w:rsidP="00B15FAA">
            <w:pPr>
              <w:pStyle w:val="Table"/>
            </w:pPr>
            <w:r w:rsidRPr="00AE7755">
              <w:t xml:space="preserve">4468. Capacity charge after applying fixed adder ex </w:t>
            </w:r>
            <w:proofErr w:type="spellStart"/>
            <w:r w:rsidRPr="00AE7755">
              <w:t>indirects</w:t>
            </w:r>
            <w:proofErr w:type="spellEnd"/>
            <w:r w:rsidRPr="00AE7755">
              <w:t xml:space="preserve">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39F9BC7" w14:textId="4002D8F8" w:rsidR="00B15FAA" w:rsidRPr="00183411" w:rsidRDefault="00B15FAA" w:rsidP="00B15FAA">
            <w:pPr>
              <w:pStyle w:val="Table"/>
              <w:jc w:val="center"/>
            </w:pPr>
            <w:r w:rsidRPr="008C0CB1">
              <w:t>4904</w:t>
            </w:r>
          </w:p>
        </w:tc>
      </w:tr>
      <w:tr w:rsidR="00B15FAA" w14:paraId="26BDC6CF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BB2ABE0" w14:textId="5E4BE35D" w:rsidR="00B15FAA" w:rsidRPr="00512220" w:rsidRDefault="00B15FAA" w:rsidP="00B15FAA">
            <w:pPr>
              <w:pStyle w:val="Table"/>
            </w:pPr>
            <w:r w:rsidRPr="00AE7755">
              <w:t>4470. Demand scaling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0786B6C" w14:textId="484A6F6B" w:rsidR="00B15FAA" w:rsidRPr="00183411" w:rsidRDefault="00B15FAA" w:rsidP="00B15FAA">
            <w:pPr>
              <w:pStyle w:val="Table"/>
              <w:jc w:val="center"/>
            </w:pPr>
            <w:r w:rsidRPr="008C0CB1">
              <w:t>4906</w:t>
            </w:r>
          </w:p>
        </w:tc>
      </w:tr>
      <w:tr w:rsidR="00B15FAA" w14:paraId="218D0435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A38BE20" w14:textId="205E5E73" w:rsidR="00B15FAA" w:rsidRPr="00512220" w:rsidRDefault="00B15FAA" w:rsidP="00B15FAA">
            <w:pPr>
              <w:pStyle w:val="Table"/>
            </w:pPr>
            <w:r w:rsidRPr="00AE7755">
              <w:t>4472. Total import capacity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DE2D188" w14:textId="6AA14717" w:rsidR="00B15FAA" w:rsidRPr="00183411" w:rsidRDefault="00B15FAA" w:rsidP="00B15FAA">
            <w:pPr>
              <w:pStyle w:val="Table"/>
              <w:jc w:val="center"/>
            </w:pPr>
            <w:r w:rsidRPr="008C0CB1">
              <w:t>4908</w:t>
            </w:r>
          </w:p>
        </w:tc>
      </w:tr>
      <w:tr w:rsidR="00B15FAA" w14:paraId="6849A533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2EA8B4D" w14:textId="5F5A1853" w:rsidR="00B15FAA" w:rsidRPr="00512220" w:rsidRDefault="00B15FAA" w:rsidP="00B15FAA">
            <w:pPr>
              <w:pStyle w:val="Table"/>
            </w:pPr>
            <w:proofErr w:type="gramStart"/>
            <w:r w:rsidRPr="00AE7755">
              <w:t>4474. Has import charges?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AEEDAB8" w14:textId="48313AC9" w:rsidR="00B15FAA" w:rsidRPr="00183411" w:rsidRDefault="00B15FAA" w:rsidP="00B15FAA">
            <w:pPr>
              <w:pStyle w:val="Table"/>
              <w:jc w:val="center"/>
            </w:pPr>
            <w:r w:rsidRPr="008C0CB1">
              <w:t>3602</w:t>
            </w:r>
          </w:p>
        </w:tc>
      </w:tr>
      <w:tr w:rsidR="00B15FAA" w14:paraId="488DA065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D4F2297" w14:textId="1E640AFC" w:rsidR="00B15FAA" w:rsidRPr="00512220" w:rsidRDefault="00B15FAA" w:rsidP="00B15FAA">
            <w:pPr>
              <w:pStyle w:val="Table"/>
            </w:pPr>
            <w:r w:rsidRPr="00AE7755">
              <w:t>4476. Import demand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FEED5D2" w14:textId="23A90D68" w:rsidR="00B15FAA" w:rsidRPr="00183411" w:rsidRDefault="00B15FAA" w:rsidP="00B15FAA">
            <w:pPr>
              <w:pStyle w:val="Table"/>
              <w:jc w:val="center"/>
            </w:pPr>
            <w:r w:rsidRPr="008C0CB1">
              <w:t>4124</w:t>
            </w:r>
          </w:p>
        </w:tc>
      </w:tr>
      <w:tr w:rsidR="00B15FAA" w14:paraId="73EE19FC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6C9030A0" w14:textId="7F062F6C" w:rsidR="00B15FAA" w:rsidRPr="00512220" w:rsidRDefault="00B15FAA" w:rsidP="00B15FAA">
            <w:pPr>
              <w:pStyle w:val="Table"/>
            </w:pPr>
            <w:r w:rsidRPr="00AE7755">
              <w:t>4478. Super-red rate p/kWh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2A66142" w14:textId="27742733" w:rsidR="00B15FAA" w:rsidRPr="00183411" w:rsidRDefault="00B15FAA" w:rsidP="00B15FAA">
            <w:pPr>
              <w:pStyle w:val="Table"/>
              <w:jc w:val="center"/>
            </w:pPr>
            <w:r w:rsidRPr="008C0CB1">
              <w:t>4910</w:t>
            </w:r>
          </w:p>
        </w:tc>
      </w:tr>
      <w:tr w:rsidR="00B15FAA" w14:paraId="300C44E3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65507CB" w14:textId="2B56462F" w:rsidR="00B15FAA" w:rsidRPr="00512220" w:rsidRDefault="00B15FAA" w:rsidP="00B15FAA">
            <w:pPr>
              <w:pStyle w:val="Table"/>
            </w:pPr>
            <w:r w:rsidRPr="00AE7755">
              <w:t>4480. Import capacity charge p/kVA/day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718DE13" w14:textId="2E108FE4" w:rsidR="00B15FAA" w:rsidRPr="00183411" w:rsidRDefault="00B15FAA" w:rsidP="00B15FAA">
            <w:pPr>
              <w:pStyle w:val="Table"/>
              <w:jc w:val="center"/>
            </w:pPr>
            <w:r w:rsidRPr="008C0CB1">
              <w:t>4912</w:t>
            </w:r>
          </w:p>
        </w:tc>
      </w:tr>
      <w:tr w:rsidR="00B15FAA" w14:paraId="07414292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0E5A6195" w14:textId="27CF4DF8" w:rsidR="00B15FAA" w:rsidRPr="00512220" w:rsidRDefault="00B15FAA" w:rsidP="00B15FAA">
            <w:pPr>
              <w:pStyle w:val="Table"/>
            </w:pPr>
            <w:r w:rsidRPr="00AE7755">
              <w:t>4482. Demand fixed charge p/day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C5E431B" w14:textId="4C6CF8CA" w:rsidR="00B15FAA" w:rsidRPr="00183411" w:rsidRDefault="00B15FAA" w:rsidP="00B15FAA">
            <w:pPr>
              <w:pStyle w:val="Table"/>
              <w:jc w:val="center"/>
            </w:pPr>
            <w:r w:rsidRPr="008C0CB1">
              <w:t>3604</w:t>
            </w:r>
          </w:p>
        </w:tc>
      </w:tr>
      <w:tr w:rsidR="00B15FAA" w14:paraId="33ADA84B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B33DADD" w14:textId="56EEF537" w:rsidR="00B15FAA" w:rsidRPr="00512220" w:rsidRDefault="00B15FAA" w:rsidP="00B15FAA">
            <w:pPr>
              <w:pStyle w:val="Table"/>
            </w:pPr>
            <w:r w:rsidRPr="00AE7755">
              <w:t>4484. Adjustment to exceeded import capacity charge for DSM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F60125F" w14:textId="0B914ADB" w:rsidR="00B15FAA" w:rsidRPr="00183411" w:rsidRDefault="00B15FAA" w:rsidP="00B15FAA">
            <w:pPr>
              <w:pStyle w:val="Table"/>
              <w:jc w:val="center"/>
            </w:pPr>
            <w:r w:rsidRPr="008C0CB1">
              <w:t>4128</w:t>
            </w:r>
          </w:p>
        </w:tc>
      </w:tr>
      <w:tr w:rsidR="00B15FAA" w14:paraId="085F3469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D9EE2DA" w14:textId="28421BD2" w:rsidR="00B15FAA" w:rsidRPr="00512220" w:rsidRDefault="00B15FAA" w:rsidP="00B15FAA">
            <w:pPr>
              <w:pStyle w:val="Table"/>
            </w:pPr>
            <w:r w:rsidRPr="00AE7755">
              <w:t>4486. Exceeded import capacity charge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3719B4A" w14:textId="5FF1757E" w:rsidR="00B15FAA" w:rsidRPr="00183411" w:rsidRDefault="00B15FAA" w:rsidP="00B15FAA">
            <w:pPr>
              <w:pStyle w:val="Table"/>
              <w:jc w:val="center"/>
            </w:pPr>
            <w:r w:rsidRPr="008C0CB1">
              <w:t>4914</w:t>
            </w:r>
          </w:p>
        </w:tc>
      </w:tr>
      <w:tr w:rsidR="00B15FAA" w14:paraId="24C25867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949B399" w14:textId="0B31FCCB" w:rsidR="00B15FAA" w:rsidRPr="00512220" w:rsidRDefault="00B15FAA" w:rsidP="00B15FAA">
            <w:pPr>
              <w:pStyle w:val="Table"/>
            </w:pPr>
            <w:r w:rsidRPr="00AE7755">
              <w:t>4488. Export capacity charge (p/kVA/day)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B7BBB05" w14:textId="4D355CFB" w:rsidR="00B15FAA" w:rsidRPr="00183411" w:rsidRDefault="00B15FAA" w:rsidP="00B15FAA">
            <w:pPr>
              <w:pStyle w:val="Table"/>
              <w:jc w:val="center"/>
            </w:pPr>
            <w:r w:rsidRPr="008C0CB1">
              <w:t>2808</w:t>
            </w:r>
          </w:p>
        </w:tc>
      </w:tr>
      <w:tr w:rsidR="00B15FAA" w14:paraId="2ABF88CA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3F3B644D" w14:textId="17BB9F63" w:rsidR="00B15FAA" w:rsidRPr="00512220" w:rsidRDefault="00B15FAA" w:rsidP="00B15FAA">
            <w:pPr>
              <w:pStyle w:val="Table"/>
            </w:pPr>
            <w:r w:rsidRPr="00AE7755">
              <w:t>4490. Export fixed charge (unrounded) p/day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483AE38" w14:textId="133CECD7" w:rsidR="00B15FAA" w:rsidRPr="00183411" w:rsidRDefault="00B15FAA" w:rsidP="00B15FAA">
            <w:pPr>
              <w:pStyle w:val="Table"/>
              <w:jc w:val="center"/>
            </w:pPr>
            <w:r w:rsidRPr="008C0CB1">
              <w:t>3608</w:t>
            </w:r>
          </w:p>
        </w:tc>
      </w:tr>
      <w:tr w:rsidR="00B15FAA" w14:paraId="36B8E7CA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0666047" w14:textId="13DE4FD1" w:rsidR="00B15FAA" w:rsidRPr="00512220" w:rsidRDefault="00B15FAA" w:rsidP="00B15FAA">
            <w:pPr>
              <w:pStyle w:val="Table"/>
            </w:pPr>
            <w:r w:rsidRPr="00AE7755">
              <w:t>4492. Export fixed charge p/day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886C8B" w14:textId="2356BDE9" w:rsidR="00B15FAA" w:rsidRPr="00183411" w:rsidRDefault="00B15FAA" w:rsidP="00B15FAA">
            <w:pPr>
              <w:pStyle w:val="Table"/>
              <w:jc w:val="center"/>
            </w:pPr>
            <w:r w:rsidRPr="008C0CB1">
              <w:t>3610</w:t>
            </w:r>
          </w:p>
        </w:tc>
      </w:tr>
      <w:tr w:rsidR="00B15FAA" w14:paraId="3FC995B2" w14:textId="77777777" w:rsidTr="00B05CE9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9C5877" w14:textId="0E164A1E" w:rsidR="00B15FAA" w:rsidRPr="00512220" w:rsidRDefault="00B15FAA" w:rsidP="00B15FAA">
            <w:pPr>
              <w:pStyle w:val="Table"/>
            </w:pPr>
            <w:r w:rsidRPr="00440762">
              <w:t>4501. EDCM charge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FA7E3C" w14:textId="393309AD" w:rsidR="00B15FAA" w:rsidRPr="00183411" w:rsidRDefault="00B15FAA" w:rsidP="00B15FAA">
            <w:pPr>
              <w:pStyle w:val="Table"/>
              <w:jc w:val="center"/>
            </w:pPr>
            <w:r>
              <w:t>5001–5009</w:t>
            </w:r>
          </w:p>
        </w:tc>
      </w:tr>
      <w:tr w:rsidR="00B15FAA" w14:paraId="0838E4D4" w14:textId="77777777" w:rsidTr="00B05CE9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04724A" w14:textId="7606FDAC" w:rsidR="00B15FAA" w:rsidRPr="00512220" w:rsidRDefault="00B15FAA" w:rsidP="00B15FAA">
            <w:pPr>
              <w:pStyle w:val="Table"/>
            </w:pPr>
            <w:r w:rsidRPr="00440762">
              <w:t>4601. Horizontal information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A168A8" w14:textId="4FDE5095" w:rsidR="00B15FAA" w:rsidRPr="00183411" w:rsidRDefault="00B15FAA" w:rsidP="00B15FAA">
            <w:pPr>
              <w:pStyle w:val="Table"/>
              <w:jc w:val="center"/>
            </w:pPr>
            <w:r>
              <w:t>5101–5132</w:t>
            </w:r>
          </w:p>
        </w:tc>
      </w:tr>
      <w:tr w:rsidR="00B15FAA" w14:paraId="497BD10A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1D0C495E" w14:textId="52A8B6E7" w:rsidR="00B15FAA" w:rsidRPr="00512220" w:rsidRDefault="00B15FAA" w:rsidP="00B15FAA">
            <w:pPr>
              <w:pStyle w:val="Table"/>
            </w:pPr>
            <w:r w:rsidRPr="00AE7755">
              <w:t>4602. Total for all tariffs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B676ADE" w14:textId="2C6F45F0" w:rsidR="00B15FAA" w:rsidRPr="00183411" w:rsidRDefault="00B15FAA" w:rsidP="00B15FAA">
            <w:pPr>
              <w:pStyle w:val="Table"/>
              <w:jc w:val="center"/>
            </w:pPr>
            <w:r w:rsidRPr="008C0CB1">
              <w:t>6101</w:t>
            </w:r>
          </w:p>
        </w:tc>
      </w:tr>
      <w:tr w:rsidR="00B15FAA" w14:paraId="4A1B8778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5717353" w14:textId="2D7D9BAE" w:rsidR="00B15FAA" w:rsidRPr="00512220" w:rsidRDefault="00B15FAA" w:rsidP="00B15FAA">
            <w:pPr>
              <w:pStyle w:val="Table"/>
            </w:pPr>
            <w:r w:rsidRPr="00AE7755">
              <w:t>6001. Applicable discount for each tariff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C621710" w14:textId="43DAC64E" w:rsidR="00B15FAA" w:rsidRPr="00183411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5CBBDD8F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8DE84F4" w14:textId="46CA1AEE" w:rsidR="00B15FAA" w:rsidRPr="00512220" w:rsidRDefault="00B15FAA" w:rsidP="00B15FAA">
            <w:pPr>
              <w:pStyle w:val="Table"/>
            </w:pPr>
            <w:r w:rsidRPr="00AE7755">
              <w:t>6002. LDNO discounted CDCM tariffs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B9F6393" w14:textId="3AF66811" w:rsidR="00B15FAA" w:rsidRPr="00183411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03D5CB5F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5099F6FD" w14:textId="5278098E" w:rsidR="00B15FAA" w:rsidRPr="00512220" w:rsidRDefault="00B15FAA" w:rsidP="00B15FAA">
            <w:pPr>
              <w:pStyle w:val="Table"/>
            </w:pPr>
            <w:r w:rsidRPr="00AE7755">
              <w:t>6003. Net revenue from discounted LDNO tariffs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DA526FF" w14:textId="1A0323D4" w:rsidR="00B15FAA" w:rsidRPr="00183411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0CCBDED0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CB40047" w14:textId="069905A4" w:rsidR="00B15FAA" w:rsidRPr="00512220" w:rsidRDefault="00B15FAA" w:rsidP="00B15FAA">
            <w:pPr>
              <w:pStyle w:val="Table"/>
            </w:pPr>
            <w:r w:rsidRPr="00BE6D78">
              <w:t>6004. Total net revenue from discounted LDNO tariffs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07B7F35" w14:textId="058232B8" w:rsidR="00B15FAA" w:rsidRPr="00183411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33D3B04F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2523B8B5" w14:textId="377A2684" w:rsidR="00B15FAA" w:rsidRPr="00512220" w:rsidRDefault="00B15FAA" w:rsidP="00B15FAA">
            <w:pPr>
              <w:pStyle w:val="Table"/>
            </w:pPr>
            <w:r w:rsidRPr="00BE6D78">
              <w:t>6005. LDNO discounted CDCM tariffs (reordered)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671B904" w14:textId="6EE060E2" w:rsidR="00B15FAA" w:rsidRPr="00183411" w:rsidRDefault="00B15FAA" w:rsidP="00B15FAA">
            <w:pPr>
              <w:pStyle w:val="Table"/>
              <w:jc w:val="center"/>
            </w:pPr>
            <w:r w:rsidRPr="008C0CB1">
              <w:t>No change</w:t>
            </w:r>
          </w:p>
        </w:tc>
      </w:tr>
      <w:tr w:rsidR="00B15FAA" w14:paraId="789DCD6D" w14:textId="77777777" w:rsidTr="00E749F1">
        <w:trPr>
          <w:gridAfter w:val="1"/>
          <w:wAfter w:w="38" w:type="dxa"/>
          <w:cantSplit/>
        </w:trPr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</w:tcPr>
          <w:p w14:paraId="4F80A2C3" w14:textId="642469CC" w:rsidR="00B15FAA" w:rsidRPr="00512220" w:rsidRDefault="00B15FAA" w:rsidP="00B15FAA">
            <w:pPr>
              <w:pStyle w:val="Table"/>
            </w:pPr>
            <w:r w:rsidRPr="00BE6D78">
              <w:t>6101. Total EDCM revenue (£/year)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4F0E56A" w14:textId="30F1A61A" w:rsidR="00B15FAA" w:rsidRPr="00183411" w:rsidRDefault="00B15FAA" w:rsidP="00B15FAA">
            <w:pPr>
              <w:pStyle w:val="Table"/>
              <w:jc w:val="center"/>
            </w:pPr>
            <w:r w:rsidRPr="008C0CB1">
              <w:t>6102</w:t>
            </w:r>
          </w:p>
        </w:tc>
      </w:tr>
    </w:tbl>
    <w:p w14:paraId="53E51033" w14:textId="77777777" w:rsidR="00A1149B" w:rsidRPr="00EE1E45" w:rsidRDefault="00A1149B" w:rsidP="00A1149B"/>
    <w:p w14:paraId="16C1D671" w14:textId="77777777" w:rsidR="0048368B" w:rsidRDefault="0048368B" w:rsidP="0048368B">
      <w:pPr>
        <w:pStyle w:val="Heading2"/>
      </w:pPr>
      <w:r>
        <w:lastRenderedPageBreak/>
        <w:t>Additional or modified outputs</w:t>
      </w:r>
    </w:p>
    <w:p w14:paraId="254C6E64" w14:textId="77777777" w:rsidR="0048368B" w:rsidRDefault="0048368B" w:rsidP="0048368B">
      <w:pPr>
        <w:pStyle w:val="Text"/>
      </w:pPr>
      <w:r>
        <w:t>There are no additional output data or changes to output data.</w:t>
      </w:r>
    </w:p>
    <w:p w14:paraId="3959D29D" w14:textId="77777777" w:rsidR="009112F5" w:rsidRDefault="009112F5" w:rsidP="009112F5">
      <w:pPr>
        <w:pStyle w:val="Heading2"/>
      </w:pPr>
      <w:r>
        <w:t>Impact on the EDCM input data manual</w:t>
      </w:r>
    </w:p>
    <w:p w14:paraId="44EFAA01" w14:textId="5EAA4650" w:rsidR="009112F5" w:rsidRDefault="009112F5" w:rsidP="009112F5">
      <w:pPr>
        <w:pStyle w:val="Text"/>
        <w:numPr>
          <w:ilvl w:val="1"/>
          <w:numId w:val="3"/>
        </w:numPr>
      </w:pPr>
      <w:r>
        <w:t xml:space="preserve">The new DCP 216 model is no longer consistent with the EDCM input data manual of December 2012 produced by Reckon LLP for the ENA. </w:t>
      </w:r>
    </w:p>
    <w:sectPr w:rsidR="009112F5" w:rsidSect="00964778">
      <w:footerReference w:type="default" r:id="rId7"/>
      <w:pgSz w:w="11900" w:h="16840"/>
      <w:pgMar w:top="1800" w:right="1440" w:bottom="1440" w:left="1440" w:header="1080" w:footer="8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F005B" w14:textId="77777777" w:rsidR="005562FC" w:rsidRDefault="005562FC" w:rsidP="00964778">
      <w:pPr>
        <w:spacing w:after="0"/>
      </w:pPr>
      <w:r>
        <w:separator/>
      </w:r>
    </w:p>
  </w:endnote>
  <w:endnote w:type="continuationSeparator" w:id="0">
    <w:p w14:paraId="75C29CD6" w14:textId="77777777" w:rsidR="005562FC" w:rsidRDefault="005562FC" w:rsidP="00964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FF2CF" w14:textId="77777777" w:rsidR="005562FC" w:rsidRDefault="005562FC">
    <w:pPr>
      <w:pStyle w:val="Footer"/>
    </w:pPr>
    <w:r w:rsidRPr="008021FC">
      <w:tab/>
    </w:r>
    <w:r>
      <w:fldChar w:fldCharType="begin"/>
    </w:r>
    <w:r>
      <w:instrText xml:space="preserve"> PAGE  \* MERGEFORMAT </w:instrText>
    </w:r>
    <w:r>
      <w:fldChar w:fldCharType="separate"/>
    </w:r>
    <w:r w:rsidR="00CB351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42D79" w14:textId="77777777" w:rsidR="005562FC" w:rsidRDefault="005562FC" w:rsidP="00964778">
      <w:pPr>
        <w:spacing w:after="0"/>
      </w:pPr>
      <w:r>
        <w:separator/>
      </w:r>
    </w:p>
  </w:footnote>
  <w:footnote w:type="continuationSeparator" w:id="0">
    <w:p w14:paraId="2EE3FFA3" w14:textId="77777777" w:rsidR="005562FC" w:rsidRDefault="005562FC" w:rsidP="009647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3BE4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B21A3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B87DBC"/>
    <w:multiLevelType w:val="multilevel"/>
    <w:tmpl w:val="3C283E6E"/>
    <w:lvl w:ilvl="0">
      <w:start w:val="1"/>
      <w:numFmt w:val="none"/>
      <w:pStyle w:val="Heading1"/>
      <w:suff w:val="nothing"/>
      <w:lvlText w:val=""/>
      <w:lvlJc w:val="left"/>
      <w:rPr>
        <w:rFonts w:hint="default"/>
      </w:rPr>
    </w:lvl>
    <w:lvl w:ilvl="1">
      <w:start w:val="1"/>
      <w:numFmt w:val="decimal"/>
      <w:lvlRestart w:val="0"/>
      <w:pStyle w:val="Text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ListBullet"/>
      <w:lvlText w:val="(%3)"/>
      <w:lvlJc w:val="left"/>
      <w:pPr>
        <w:tabs>
          <w:tab w:val="num" w:pos="1195"/>
        </w:tabs>
        <w:ind w:left="1195" w:hanging="475"/>
      </w:pPr>
      <w:rPr>
        <w:rFonts w:hint="default"/>
      </w:rPr>
    </w:lvl>
    <w:lvl w:ilvl="3">
      <w:start w:val="1"/>
      <w:numFmt w:val="lowerRoman"/>
      <w:pStyle w:val="ListBullet2"/>
      <w:lvlText w:val="(%4)"/>
      <w:lvlJc w:val="left"/>
      <w:pPr>
        <w:tabs>
          <w:tab w:val="num" w:pos="1685"/>
        </w:tabs>
        <w:ind w:left="1685" w:hanging="490"/>
      </w:pPr>
      <w:rPr>
        <w:rFonts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45F57804"/>
    <w:multiLevelType w:val="hybridMultilevel"/>
    <w:tmpl w:val="246C9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2"/>
  </w:num>
  <w:num w:numId="6">
    <w:abstractNumId w:val="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en-GB" w:vendorID="64" w:dllVersion="131078" w:nlCheck="1" w:checkStyle="0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64778"/>
    <w:rsid w:val="00012D36"/>
    <w:rsid w:val="00065F90"/>
    <w:rsid w:val="000A7375"/>
    <w:rsid w:val="00131C64"/>
    <w:rsid w:val="00181EA2"/>
    <w:rsid w:val="001D6C32"/>
    <w:rsid w:val="00224924"/>
    <w:rsid w:val="00240D6A"/>
    <w:rsid w:val="00257E9A"/>
    <w:rsid w:val="0028783C"/>
    <w:rsid w:val="00440762"/>
    <w:rsid w:val="0048368B"/>
    <w:rsid w:val="004937CB"/>
    <w:rsid w:val="004D75D4"/>
    <w:rsid w:val="004F03A7"/>
    <w:rsid w:val="00547BB7"/>
    <w:rsid w:val="005562FC"/>
    <w:rsid w:val="00586487"/>
    <w:rsid w:val="00593450"/>
    <w:rsid w:val="005A7B81"/>
    <w:rsid w:val="006312B5"/>
    <w:rsid w:val="00681045"/>
    <w:rsid w:val="0068701E"/>
    <w:rsid w:val="00695F47"/>
    <w:rsid w:val="006B5F73"/>
    <w:rsid w:val="006E0DE4"/>
    <w:rsid w:val="006F0067"/>
    <w:rsid w:val="00747B12"/>
    <w:rsid w:val="00771E40"/>
    <w:rsid w:val="007775EA"/>
    <w:rsid w:val="007A325A"/>
    <w:rsid w:val="007B4271"/>
    <w:rsid w:val="007C2CD3"/>
    <w:rsid w:val="007C5747"/>
    <w:rsid w:val="008620BE"/>
    <w:rsid w:val="008C1B27"/>
    <w:rsid w:val="009112F5"/>
    <w:rsid w:val="00963861"/>
    <w:rsid w:val="00964778"/>
    <w:rsid w:val="00973F9A"/>
    <w:rsid w:val="00980628"/>
    <w:rsid w:val="009F1DB7"/>
    <w:rsid w:val="00A04B1A"/>
    <w:rsid w:val="00A11185"/>
    <w:rsid w:val="00A1149B"/>
    <w:rsid w:val="00A21DFE"/>
    <w:rsid w:val="00A2623C"/>
    <w:rsid w:val="00A31A75"/>
    <w:rsid w:val="00A36DE9"/>
    <w:rsid w:val="00A46AE3"/>
    <w:rsid w:val="00A64729"/>
    <w:rsid w:val="00AA6D83"/>
    <w:rsid w:val="00AC6968"/>
    <w:rsid w:val="00AD2AA8"/>
    <w:rsid w:val="00AD599A"/>
    <w:rsid w:val="00AE50BB"/>
    <w:rsid w:val="00B00F7F"/>
    <w:rsid w:val="00B05CE9"/>
    <w:rsid w:val="00B15FAA"/>
    <w:rsid w:val="00B21078"/>
    <w:rsid w:val="00B23F95"/>
    <w:rsid w:val="00B84C66"/>
    <w:rsid w:val="00C629DA"/>
    <w:rsid w:val="00C84BFF"/>
    <w:rsid w:val="00CB3518"/>
    <w:rsid w:val="00D00B9C"/>
    <w:rsid w:val="00D133D2"/>
    <w:rsid w:val="00D27C28"/>
    <w:rsid w:val="00D72DA5"/>
    <w:rsid w:val="00D81270"/>
    <w:rsid w:val="00D844C1"/>
    <w:rsid w:val="00DB1196"/>
    <w:rsid w:val="00DB1C88"/>
    <w:rsid w:val="00DD37C4"/>
    <w:rsid w:val="00DF5AE2"/>
    <w:rsid w:val="00E02F75"/>
    <w:rsid w:val="00E4260C"/>
    <w:rsid w:val="00E4485A"/>
    <w:rsid w:val="00E45EA0"/>
    <w:rsid w:val="00E60D24"/>
    <w:rsid w:val="00E749F1"/>
    <w:rsid w:val="00EC0D9A"/>
    <w:rsid w:val="00EC5718"/>
    <w:rsid w:val="00ED0D10"/>
    <w:rsid w:val="00F0510A"/>
    <w:rsid w:val="00F11AE3"/>
    <w:rsid w:val="00F73F93"/>
    <w:rsid w:val="00FD6EEC"/>
    <w:rsid w:val="00FE14C5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23117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link w:val="Heading2Char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  <w:style w:type="character" w:customStyle="1" w:styleId="Heading2Char">
    <w:name w:val="Heading 2 Char"/>
    <w:basedOn w:val="DefaultParagraphFont"/>
    <w:link w:val="Heading2"/>
    <w:rsid w:val="00131C64"/>
    <w:rPr>
      <w:rFonts w:ascii="Arial Black" w:hAnsi="Arial Black"/>
      <w:color w:val="333333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Latrémolière (Reckon)</dc:creator>
  <cp:keywords/>
  <dc:description/>
  <cp:lastModifiedBy>Shankar</cp:lastModifiedBy>
  <cp:revision>16</cp:revision>
  <cp:lastPrinted>2014-01-02T18:46:00Z</cp:lastPrinted>
  <dcterms:created xsi:type="dcterms:W3CDTF">2015-07-22T11:10:00Z</dcterms:created>
  <dcterms:modified xsi:type="dcterms:W3CDTF">2015-07-22T15:31:00Z</dcterms:modified>
  <cp:category/>
</cp:coreProperties>
</file>