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B95" w:rsidRDefault="00876B95" w:rsidP="00876B95">
      <w:pPr>
        <w:pStyle w:val="DCHeading1"/>
      </w:pPr>
      <w:bookmarkStart w:id="0" w:name="_Toc518333608"/>
      <w:r w:rsidRPr="00B74A51">
        <w:t>SCHEDULE 17 – EHV CHARGING METHODOLOGY (FCP MODEL)</w:t>
      </w:r>
      <w:bookmarkEnd w:id="0"/>
    </w:p>
    <w:p w:rsidR="00876B95" w:rsidRPr="00D61954" w:rsidRDefault="00876B95" w:rsidP="00993801">
      <w:pPr>
        <w:pStyle w:val="Heading1"/>
        <w:numPr>
          <w:ilvl w:val="0"/>
          <w:numId w:val="30"/>
        </w:numPr>
      </w:pPr>
      <w:bookmarkStart w:id="1" w:name="_Toc269722670"/>
      <w:bookmarkStart w:id="2" w:name="_Toc320876028"/>
      <w:bookmarkStart w:id="3" w:name="_Toc320876651"/>
      <w:bookmarkStart w:id="4" w:name="_Toc325449865"/>
      <w:bookmarkStart w:id="5" w:name="_Toc339284509"/>
      <w:bookmarkStart w:id="6" w:name="_Toc360027680"/>
      <w:bookmarkStart w:id="7" w:name="_Toc360028034"/>
      <w:bookmarkStart w:id="8" w:name="_Toc391559892"/>
      <w:bookmarkStart w:id="9" w:name="_Toc510303012"/>
      <w:bookmarkStart w:id="10" w:name="_Toc513018424"/>
      <w:bookmarkStart w:id="11" w:name="_Toc518333609"/>
      <w:r w:rsidRPr="00D61954">
        <w:t>INTRODUCTION</w:t>
      </w:r>
      <w:bookmarkEnd w:id="1"/>
      <w:bookmarkEnd w:id="2"/>
      <w:bookmarkEnd w:id="3"/>
      <w:bookmarkEnd w:id="4"/>
      <w:bookmarkEnd w:id="5"/>
      <w:bookmarkEnd w:id="6"/>
      <w:bookmarkEnd w:id="7"/>
      <w:bookmarkEnd w:id="8"/>
      <w:bookmarkEnd w:id="9"/>
      <w:bookmarkEnd w:id="10"/>
      <w:bookmarkEnd w:id="11"/>
    </w:p>
    <w:p w:rsidR="00876B95" w:rsidRPr="00181C77" w:rsidRDefault="00876B95" w:rsidP="00876B95">
      <w:pPr>
        <w:ind w:left="100"/>
        <w:rPr>
          <w:b/>
          <w:bCs/>
        </w:rPr>
      </w:pPr>
      <w:r>
        <w:rPr>
          <w:b/>
          <w:bCs/>
        </w:rPr>
        <w:t>This Schedule 17</w:t>
      </w:r>
      <w:r w:rsidRPr="00181C77">
        <w:rPr>
          <w:b/>
          <w:bCs/>
        </w:rPr>
        <w:t xml:space="preserve">,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876B95" w:rsidRDefault="00876B95" w:rsidP="00876B95">
      <w:pPr>
        <w:pStyle w:val="Heading2"/>
      </w:pPr>
      <w:r>
        <w:t xml:space="preserve">This Schedule 17 sets out one </w:t>
      </w:r>
      <w:proofErr w:type="gramStart"/>
      <w:r>
        <w:t>of the two EHV Distribution Charging Methodologies (</w:t>
      </w:r>
      <w:r w:rsidRPr="00E41703">
        <w:rPr>
          <w:b/>
        </w:rPr>
        <w:t>EDCM</w:t>
      </w:r>
      <w:r>
        <w:t>)</w:t>
      </w:r>
      <w:proofErr w:type="gramEnd"/>
      <w:r>
        <w:t>. The other EDCM is set out in Schedule 18.</w:t>
      </w:r>
    </w:p>
    <w:p w:rsidR="00876B95" w:rsidRDefault="00876B95" w:rsidP="00876B95">
      <w:pPr>
        <w:pStyle w:val="Heading2"/>
      </w:pPr>
      <w:r>
        <w:t xml:space="preserve">This Schedule 17 sets out the methods, principles, and assumptions underpinning the EDCM for the calculation of Use of System Charges by the following DNO Parties: </w:t>
      </w:r>
    </w:p>
    <w:p w:rsidR="00876B95" w:rsidRDefault="00876B95" w:rsidP="00876B95">
      <w:pPr>
        <w:ind w:left="720"/>
      </w:pPr>
      <w:r>
        <w:t>Scottish Hydro Electric Power Distribution plc;</w:t>
      </w:r>
    </w:p>
    <w:p w:rsidR="00876B95" w:rsidRDefault="00876B95" w:rsidP="00876B95">
      <w:pPr>
        <w:ind w:left="720"/>
      </w:pPr>
      <w:r>
        <w:t>Southern Electric Power Distribution plc;</w:t>
      </w:r>
    </w:p>
    <w:p w:rsidR="00876B95" w:rsidRDefault="00876B95" w:rsidP="00876B95">
      <w:pPr>
        <w:ind w:left="720"/>
      </w:pPr>
      <w:r>
        <w:t>SP Distribution Limited;</w:t>
      </w:r>
    </w:p>
    <w:p w:rsidR="00876B95" w:rsidRDefault="00876B95" w:rsidP="00876B95">
      <w:pPr>
        <w:ind w:left="720"/>
      </w:pPr>
      <w:r>
        <w:t xml:space="preserve">SP </w:t>
      </w:r>
      <w:proofErr w:type="spellStart"/>
      <w:r>
        <w:t>Manweb</w:t>
      </w:r>
      <w:proofErr w:type="spellEnd"/>
      <w:r>
        <w:t xml:space="preserve"> plc;</w:t>
      </w:r>
    </w:p>
    <w:p w:rsidR="00876B95" w:rsidRDefault="00876B95" w:rsidP="00876B95">
      <w:pPr>
        <w:ind w:left="720"/>
      </w:pPr>
      <w:r>
        <w:t>Western Power Distribution (East Midlands) plc; and</w:t>
      </w:r>
    </w:p>
    <w:p w:rsidR="00876B95" w:rsidRDefault="00876B95" w:rsidP="00876B95">
      <w:pPr>
        <w:ind w:left="720"/>
      </w:pPr>
      <w:proofErr w:type="gramStart"/>
      <w:r>
        <w:t>Western Power Distribution (West Midlands) plc.</w:t>
      </w:r>
      <w:proofErr w:type="gramEnd"/>
    </w:p>
    <w:p w:rsidR="00876B95" w:rsidRPr="00AB03E8" w:rsidRDefault="00876B95" w:rsidP="00876B95">
      <w:pPr>
        <w:pStyle w:val="Heading2"/>
      </w:pPr>
      <w:r w:rsidRPr="00AB03E8">
        <w:t xml:space="preserve">In order to comply with this methodology statement when setting distribution Use of System Charges the DNO Parties referred to above will populate the EDCM model version </w:t>
      </w:r>
      <w:r>
        <w:t>F204</w:t>
      </w:r>
      <w:r w:rsidRPr="00AB03E8">
        <w:t xml:space="preserve"> when issued by the Panel in accordance with Clause 14.5.3.</w:t>
      </w:r>
    </w:p>
    <w:p w:rsidR="00876B95" w:rsidRPr="00E41703" w:rsidRDefault="00876B95" w:rsidP="00876B95">
      <w:pPr>
        <w:pStyle w:val="DCSubHeading1Level2"/>
      </w:pPr>
      <w:bookmarkStart w:id="12" w:name="_Toc270515937"/>
      <w:r w:rsidRPr="00E41703">
        <w:t>Main Steps</w:t>
      </w:r>
      <w:bookmarkEnd w:id="12"/>
      <w:r w:rsidRPr="00E41703">
        <w:t xml:space="preserve"> </w:t>
      </w:r>
    </w:p>
    <w:p w:rsidR="00876B95" w:rsidRDefault="00876B95" w:rsidP="00876B95">
      <w:pPr>
        <w:pStyle w:val="Heading2"/>
      </w:pPr>
      <w:r>
        <w:t>The EDCM involves four main steps.</w:t>
      </w:r>
    </w:p>
    <w:p w:rsidR="00876B95" w:rsidRDefault="00876B95" w:rsidP="00876B95">
      <w:pPr>
        <w:pStyle w:val="Heading2"/>
      </w:pPr>
      <w:r>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876B95" w:rsidRDefault="00876B95" w:rsidP="00876B95">
      <w:pPr>
        <w:pStyle w:val="Heading2"/>
      </w:pPr>
      <w:r>
        <w:lastRenderedPageBreak/>
        <w:t xml:space="preserve">Step 2 involves the allocation of DNO Party costs to Connectees using appropriate cost drivers. </w:t>
      </w:r>
    </w:p>
    <w:p w:rsidR="00876B95" w:rsidRDefault="00876B95" w:rsidP="00876B95">
      <w:pPr>
        <w:pStyle w:val="Heading2"/>
      </w:pPr>
      <w:r>
        <w:t xml:space="preserve">Step 3 adds a scaling element to charges which is related to Allowed Revenue.  </w:t>
      </w:r>
    </w:p>
    <w:p w:rsidR="00876B95" w:rsidRDefault="00876B95" w:rsidP="00876B95">
      <w:pPr>
        <w:pStyle w:val="Heading2"/>
      </w:pPr>
      <w:r>
        <w:t>Step 4 uses CDCM charges to determine the element of portfolio charges to be applied in the case of DNO/IDNO Parties who are supplied from the DNO Party’s network at voltages higher than the scope of CDCM charges.</w:t>
      </w:r>
    </w:p>
    <w:p w:rsidR="00876B95" w:rsidRDefault="00876B95" w:rsidP="00876B95">
      <w:pPr>
        <w:pStyle w:val="Heading2"/>
      </w:pPr>
      <w:r>
        <w:t xml:space="preserve">Figure 1 provides a diagrammatic overview of the steps involved for import charges. </w:t>
      </w:r>
    </w:p>
    <w:p w:rsidR="00876B95" w:rsidRDefault="00876B95" w:rsidP="00876B95">
      <w:pPr>
        <w:pStyle w:val="DCSubHeading1Level2"/>
        <w:tabs>
          <w:tab w:val="left" w:pos="1338"/>
        </w:tabs>
      </w:pPr>
      <w:r>
        <w:br w:type="page"/>
      </w:r>
    </w:p>
    <w:p w:rsidR="00876B95" w:rsidRDefault="00876B95" w:rsidP="00876B95">
      <w:pPr>
        <w:pStyle w:val="DCSubHeading1Level2"/>
      </w:pPr>
      <w:r>
        <w:lastRenderedPageBreak/>
        <w:t>Figure 1 Diagrammatic overview of the EDCM for import</w:t>
      </w:r>
    </w:p>
    <w:p w:rsidR="00876B95" w:rsidRDefault="00876B95" w:rsidP="00876B95">
      <w:pPr>
        <w:pStyle w:val="DCSubHeading1Level2"/>
        <w:tabs>
          <w:tab w:val="left" w:pos="1338"/>
        </w:tabs>
      </w:pPr>
      <w:commentRangeStart w:id="13"/>
      <w:r>
        <w:rPr>
          <w:noProof/>
          <w:lang w:eastAsia="en-GB"/>
        </w:rPr>
        <w:drawing>
          <wp:inline distT="0" distB="0" distL="0" distR="0" wp14:anchorId="3E5B67D1" wp14:editId="53AA8A07">
            <wp:extent cx="4916170" cy="7754620"/>
            <wp:effectExtent l="0" t="0" r="0" b="0"/>
            <wp:docPr id="4" name="Picture 9" descr="EDCM NoGen"/>
            <wp:cNvGraphicFramePr/>
            <a:graphic xmlns:a="http://schemas.openxmlformats.org/drawingml/2006/main">
              <a:graphicData uri="http://schemas.openxmlformats.org/drawingml/2006/picture">
                <pic:pic xmlns:pic="http://schemas.openxmlformats.org/drawingml/2006/picture">
                  <pic:nvPicPr>
                    <pic:cNvPr id="1" name="Picture 9" descr="EDCM NoGen"/>
                    <pic:cNvPicPr/>
                  </pic:nvPicPr>
                  <pic:blipFill>
                    <a:blip r:embed="rId7" cstate="print"/>
                    <a:srcRect/>
                    <a:stretch>
                      <a:fillRect/>
                    </a:stretch>
                  </pic:blipFill>
                  <pic:spPr bwMode="auto">
                    <a:xfrm>
                      <a:off x="0" y="0"/>
                      <a:ext cx="4916170" cy="7754620"/>
                    </a:xfrm>
                    <a:prstGeom prst="rect">
                      <a:avLst/>
                    </a:prstGeom>
                    <a:noFill/>
                    <a:ln w="9525">
                      <a:noFill/>
                      <a:miter lim="800000"/>
                      <a:headEnd/>
                      <a:tailEnd/>
                    </a:ln>
                  </pic:spPr>
                </pic:pic>
              </a:graphicData>
            </a:graphic>
          </wp:inline>
        </w:drawing>
      </w:r>
      <w:commentRangeEnd w:id="13"/>
      <w:r w:rsidR="00993801">
        <w:rPr>
          <w:rStyle w:val="CommentReference"/>
          <w:rFonts w:ascii="Times New Roman" w:eastAsia="Times New Roman" w:hAnsi="Times New Roman"/>
          <w:b w:val="0"/>
          <w:u w:val="none"/>
          <w:lang w:eastAsia="en-GB"/>
        </w:rPr>
        <w:commentReference w:id="13"/>
      </w:r>
      <w:r>
        <w:br w:type="page"/>
      </w:r>
    </w:p>
    <w:p w:rsidR="00876B95" w:rsidRDefault="00876B95" w:rsidP="00876B95">
      <w:pPr>
        <w:pStyle w:val="Heading1"/>
      </w:pPr>
      <w:bookmarkStart w:id="14" w:name="_Toc339284510"/>
      <w:bookmarkStart w:id="15" w:name="_Toc325449866"/>
      <w:bookmarkStart w:id="16" w:name="_Toc320876652"/>
      <w:bookmarkStart w:id="17" w:name="_Toc320876029"/>
      <w:bookmarkStart w:id="18" w:name="_Toc269722671"/>
      <w:bookmarkStart w:id="19" w:name="_Toc360027681"/>
      <w:bookmarkStart w:id="20" w:name="_Toc360028035"/>
      <w:bookmarkStart w:id="21" w:name="_Toc391559893"/>
      <w:bookmarkStart w:id="22" w:name="_Toc510303013"/>
      <w:bookmarkStart w:id="23" w:name="_Toc513018425"/>
      <w:bookmarkStart w:id="24" w:name="_Toc518333610"/>
      <w:r>
        <w:lastRenderedPageBreak/>
        <w:t>FORWARD COST PRICING ANALYSIS</w:t>
      </w:r>
      <w:bookmarkStart w:id="25" w:name="_Toc269722672"/>
      <w:bookmarkStart w:id="26" w:name="_Toc246921093"/>
      <w:bookmarkEnd w:id="14"/>
      <w:bookmarkEnd w:id="15"/>
      <w:bookmarkEnd w:id="16"/>
      <w:bookmarkEnd w:id="17"/>
      <w:bookmarkEnd w:id="18"/>
      <w:bookmarkEnd w:id="19"/>
      <w:bookmarkEnd w:id="20"/>
      <w:bookmarkEnd w:id="21"/>
      <w:bookmarkEnd w:id="22"/>
      <w:bookmarkEnd w:id="23"/>
      <w:bookmarkEnd w:id="24"/>
    </w:p>
    <w:p w:rsidR="00876B95" w:rsidRDefault="00876B95" w:rsidP="00876B95">
      <w:pPr>
        <w:pStyle w:val="DCSubHeading1Level2"/>
      </w:pPr>
      <w:r>
        <w:t>Introduction</w:t>
      </w:r>
      <w:bookmarkEnd w:id="25"/>
    </w:p>
    <w:bookmarkEnd w:id="26"/>
    <w:p w:rsidR="00876B95" w:rsidRDefault="00876B95" w:rsidP="00876B95">
      <w:pPr>
        <w:pStyle w:val="Heading2"/>
      </w:pPr>
      <w:r>
        <w:t xml:space="preserve">The Forward Cost Pricing (FCP) model is used to calculate annual incremental </w:t>
      </w:r>
      <w:bookmarkStart w:id="27" w:name="OLE_LINK2"/>
      <w:bookmarkStart w:id="28" w:name="OLE_LINK1"/>
      <w:r>
        <w:t>charges</w:t>
      </w:r>
      <w:bookmarkEnd w:id="27"/>
      <w:bookmarkEnd w:id="28"/>
      <w:r>
        <w:t xml:space="preserve"> for EDCM Connectees. A fundamental principle of the FCP model is that the revenue recovery generated from its incremental charges is equal to the expected cost of reinforcement. These incremental charges provide cost signals relative to the available capacity in a Network Group, the expected cost of reinforcement of the Network Group and the time before the reinforcement is expected to be necessary. Load and generation incremental charges are derived separately. </w:t>
      </w:r>
    </w:p>
    <w:p w:rsidR="00876B95" w:rsidRDefault="00876B95" w:rsidP="00876B95">
      <w:pPr>
        <w:pStyle w:val="Heading2"/>
      </w:pPr>
      <w:r>
        <w:t xml:space="preserve">The key FCP modelling steps consist of: </w:t>
      </w:r>
    </w:p>
    <w:p w:rsidR="00876B95" w:rsidRPr="00630C88" w:rsidRDefault="00876B95" w:rsidP="00993801">
      <w:pPr>
        <w:pStyle w:val="BodyText"/>
        <w:numPr>
          <w:ilvl w:val="0"/>
          <w:numId w:val="31"/>
        </w:numPr>
      </w:pPr>
      <w:r w:rsidRPr="00630C88">
        <w:t>configuration of the Authorised Network Model;</w:t>
      </w:r>
    </w:p>
    <w:p w:rsidR="00876B95" w:rsidRPr="00630C88" w:rsidRDefault="00876B95" w:rsidP="00993801">
      <w:pPr>
        <w:pStyle w:val="BodyText"/>
        <w:numPr>
          <w:ilvl w:val="0"/>
          <w:numId w:val="31"/>
        </w:numPr>
      </w:pPr>
      <w:r w:rsidRPr="00630C88">
        <w:t>development of demand data sets;</w:t>
      </w:r>
    </w:p>
    <w:p w:rsidR="00876B95" w:rsidRPr="00630C88" w:rsidRDefault="00876B95" w:rsidP="00993801">
      <w:pPr>
        <w:pStyle w:val="BodyText"/>
        <w:numPr>
          <w:ilvl w:val="0"/>
          <w:numId w:val="31"/>
        </w:numPr>
      </w:pPr>
      <w:r w:rsidRPr="00630C88">
        <w:t>definition of Network Groups;</w:t>
      </w:r>
    </w:p>
    <w:p w:rsidR="00876B95" w:rsidRPr="00630C88" w:rsidRDefault="00876B95" w:rsidP="00993801">
      <w:pPr>
        <w:pStyle w:val="BodyText"/>
        <w:numPr>
          <w:ilvl w:val="0"/>
          <w:numId w:val="31"/>
        </w:numPr>
      </w:pPr>
      <w:r w:rsidRPr="00630C88">
        <w:t>power flow analyses:</w:t>
      </w:r>
    </w:p>
    <w:p w:rsidR="00876B95" w:rsidRPr="00630C88" w:rsidRDefault="00876B95" w:rsidP="00993801">
      <w:pPr>
        <w:pStyle w:val="BodyText"/>
        <w:numPr>
          <w:ilvl w:val="0"/>
          <w:numId w:val="32"/>
        </w:numPr>
      </w:pPr>
      <w:r w:rsidRPr="00630C88">
        <w:t>assessment of network security requirements (load);</w:t>
      </w:r>
    </w:p>
    <w:p w:rsidR="00876B95" w:rsidRPr="00630C88" w:rsidRDefault="00876B95" w:rsidP="00993801">
      <w:pPr>
        <w:pStyle w:val="BodyText"/>
        <w:numPr>
          <w:ilvl w:val="0"/>
          <w:numId w:val="32"/>
        </w:numPr>
      </w:pPr>
      <w:r w:rsidRPr="00630C88">
        <w:t>assessment of network security requirements (generation);</w:t>
      </w:r>
    </w:p>
    <w:p w:rsidR="00876B95" w:rsidRPr="00630C88" w:rsidRDefault="00876B95" w:rsidP="00993801">
      <w:pPr>
        <w:pStyle w:val="BodyText"/>
        <w:numPr>
          <w:ilvl w:val="0"/>
          <w:numId w:val="31"/>
        </w:numPr>
      </w:pPr>
      <w:r w:rsidRPr="00630C88">
        <w:t>calculation of reinforcement costs; and</w:t>
      </w:r>
    </w:p>
    <w:p w:rsidR="00876B95" w:rsidRPr="00630C88" w:rsidRDefault="00876B95" w:rsidP="00993801">
      <w:pPr>
        <w:pStyle w:val="BodyText"/>
        <w:numPr>
          <w:ilvl w:val="0"/>
          <w:numId w:val="31"/>
        </w:numPr>
      </w:pPr>
      <w:r w:rsidRPr="00630C88">
        <w:t>calculation of FCP load incremental charges (£/kVA/annum);</w:t>
      </w:r>
    </w:p>
    <w:p w:rsidR="00876B95" w:rsidRDefault="00876B95" w:rsidP="00876B95">
      <w:pPr>
        <w:pStyle w:val="DCSubHeading1Level2"/>
      </w:pPr>
      <w:bookmarkStart w:id="29" w:name="_Toc269722673"/>
      <w:r>
        <w:t>Configuration of the Authorised Network Model</w:t>
      </w:r>
      <w:bookmarkEnd w:id="29"/>
    </w:p>
    <w:p w:rsidR="00876B95" w:rsidRDefault="00876B95" w:rsidP="00876B95">
      <w:pPr>
        <w:pStyle w:val="Heading2"/>
      </w:pPr>
      <w:r>
        <w:t xml:space="preserve">Power flow analyses are performed on the Authorised Network Model. This is a representation of the DNO Party’s EHV network (from the Grid Supply Point level down to and including the HV </w:t>
      </w:r>
      <w:proofErr w:type="spellStart"/>
      <w:r>
        <w:t>busbars</w:t>
      </w:r>
      <w:proofErr w:type="spellEnd"/>
      <w:r>
        <w:t xml:space="preserve"> at the EHV/HV transformation level) expected to exist and be operational in the Regulatory Year for which Use of System Charges are being calculated </w:t>
      </w:r>
      <w:r w:rsidRPr="0042440B">
        <w:t>(save that, until 5 November 2016,</w:t>
      </w:r>
      <w:r w:rsidRPr="00992F57">
        <w:t xml:space="preserve"> where charges are being calculated for two or more Regulatory Years, the same Authorised Network Model will be used for all the years)</w:t>
      </w:r>
      <w:r>
        <w:t xml:space="preserve">. </w:t>
      </w:r>
    </w:p>
    <w:p w:rsidR="00876B95" w:rsidRDefault="00876B95" w:rsidP="00876B95">
      <w:pPr>
        <w:pStyle w:val="Heading2"/>
      </w:pPr>
      <w:r>
        <w:lastRenderedPageBreak/>
        <w:t>Guidance on the configuration of the Authorised Network Model is provided in the section 4 (</w:t>
      </w:r>
      <w:r>
        <w:fldChar w:fldCharType="begin"/>
      </w:r>
      <w:r>
        <w:instrText xml:space="preserve"> REF _Ref269461621 \h  \* MERGEFORMAT </w:instrText>
      </w:r>
      <w:r>
        <w:fldChar w:fldCharType="separate"/>
      </w:r>
      <w:r w:rsidRPr="00CD5D02">
        <w:t>Authorised Network Model</w:t>
      </w:r>
      <w:r>
        <w:fldChar w:fldCharType="end"/>
      </w:r>
      <w:r>
        <w:t>) of Annex 1.</w:t>
      </w:r>
      <w:bookmarkStart w:id="30" w:name="_Toc269722674"/>
    </w:p>
    <w:p w:rsidR="00876B95" w:rsidRDefault="00876B95" w:rsidP="00876B95">
      <w:pPr>
        <w:pStyle w:val="DCSubHeading1Level2"/>
      </w:pPr>
      <w:r>
        <w:t>Development of Network Demand Data sets</w:t>
      </w:r>
      <w:bookmarkEnd w:id="30"/>
    </w:p>
    <w:p w:rsidR="00876B95" w:rsidRDefault="00876B95" w:rsidP="00876B95">
      <w:pPr>
        <w:pStyle w:val="Heading2"/>
      </w:pPr>
      <w:r>
        <w:t>Load data used in the power flow analyses is based on network demand data from the DNO Party’s Long Term Development Statement (or LTDS), which contains a five-year forecast of substation maximum demands. A 10-year forecast is derived by extrapolation of the five-year forecast. Existing generation data is based on the Maximum Export Capacities of EDCM Generation.</w:t>
      </w:r>
    </w:p>
    <w:p w:rsidR="00876B95" w:rsidRDefault="00876B95" w:rsidP="00876B95">
      <w:pPr>
        <w:pStyle w:val="Heading2"/>
      </w:pPr>
      <w:r>
        <w:t>Guidance on the development of the Network Demand Data sets is provided in section 5 (</w:t>
      </w:r>
      <w:r>
        <w:fldChar w:fldCharType="begin"/>
      </w:r>
      <w:r>
        <w:instrText xml:space="preserve"> REF _Ref269461647 \h  \* MERGEFORMAT </w:instrText>
      </w:r>
      <w:r>
        <w:fldChar w:fldCharType="separate"/>
      </w:r>
      <w:r w:rsidRPr="00CD5D02">
        <w:t>Network Demand Data</w:t>
      </w:r>
      <w:r>
        <w:fldChar w:fldCharType="end"/>
      </w:r>
      <w:r>
        <w:t xml:space="preserve">) of Annex 1. </w:t>
      </w:r>
    </w:p>
    <w:p w:rsidR="00876B95" w:rsidRDefault="00876B95" w:rsidP="00876B95">
      <w:pPr>
        <w:pStyle w:val="DCSubHeading1Level2"/>
      </w:pPr>
      <w:bookmarkStart w:id="31" w:name="_Toc269722675"/>
      <w:r>
        <w:t>Definition of Network Groups</w:t>
      </w:r>
      <w:bookmarkEnd w:id="31"/>
    </w:p>
    <w:p w:rsidR="00876B95" w:rsidRDefault="00876B95" w:rsidP="00876B95">
      <w:pPr>
        <w:pStyle w:val="Heading2"/>
      </w:pPr>
      <w:r>
        <w:t xml:space="preserve">The Authorised Network Model is split into Network Groups, thereby reflecting the zonal nature of the FCP model. A Network Group is a contained portion of the Authorised Network Model defined by physical, operational and technical boundaries that is not electrically connected to another part of the network at the same voltage level under normal operating conditions. A Network Group is defined as the network normally supplied from a Grid Supply Point (GSP) substation, a Bulk Supply Point (BSP) substation, or a Primary Substation. In situations where GSP substations, BSP substations or Primary Substations are operated in parallel, the network associated with such parallel GSP substations, BSP substations or Primary Substations is considered as one Network Group. </w:t>
      </w:r>
    </w:p>
    <w:p w:rsidR="00876B95" w:rsidRDefault="00876B95" w:rsidP="00876B95">
      <w:pPr>
        <w:pStyle w:val="Heading2"/>
      </w:pPr>
      <w:r>
        <w:t>Guidance relating to the definition of Network Groups is presented in section 6 (Network Groups) of Annex 1.</w:t>
      </w:r>
    </w:p>
    <w:p w:rsidR="00876B95" w:rsidRDefault="00876B95" w:rsidP="00876B95">
      <w:pPr>
        <w:pStyle w:val="DCSubHeading1Level2"/>
      </w:pPr>
      <w:bookmarkStart w:id="32" w:name="_Toc269722676"/>
      <w:r>
        <w:t>Power Flow Analyses</w:t>
      </w:r>
      <w:bookmarkEnd w:id="32"/>
    </w:p>
    <w:p w:rsidR="00876B95" w:rsidRDefault="00876B95" w:rsidP="00876B95">
      <w:pPr>
        <w:pStyle w:val="Heading2"/>
      </w:pPr>
      <w:r>
        <w:t>Power Flow analyses are undertaken using AC load flow methods.</w:t>
      </w:r>
      <w:bookmarkStart w:id="33" w:name="_Toc269722677"/>
    </w:p>
    <w:p w:rsidR="00876B95" w:rsidRDefault="00876B95" w:rsidP="00876B95">
      <w:pPr>
        <w:pStyle w:val="DCSubHeading1Level2"/>
      </w:pPr>
      <w:r>
        <w:t>Assessment of network security requirements (load)</w:t>
      </w:r>
      <w:bookmarkEnd w:id="33"/>
    </w:p>
    <w:p w:rsidR="00876B95" w:rsidRDefault="00876B95" w:rsidP="00876B95">
      <w:pPr>
        <w:pStyle w:val="Heading2"/>
      </w:pPr>
      <w:r>
        <w:t xml:space="preserve">Contingency analyses are performed on the Authorised Network Model to which the relevant Network Demand Data sets have been applied. This is done in order to </w:t>
      </w:r>
      <w:r>
        <w:lastRenderedPageBreak/>
        <w:t xml:space="preserve">identify all load-related reinforcements expected within the 10-year horizon in line with network planning security requirements (as can be found in ER P2/6). N-1 and, where required, N-2 contingency analyses are performed on the Authorised Network Model for each year within the 10-year horizon. </w:t>
      </w:r>
    </w:p>
    <w:p w:rsidR="00876B95" w:rsidRDefault="00876B95" w:rsidP="00876B95">
      <w:pPr>
        <w:pStyle w:val="Heading2"/>
      </w:pPr>
      <w:r>
        <w:t>Reinforcements identified within the 10-year horizon are used to determine FCP load incremental charges. As the power flow analyses progress through the 10-year planning period the same reinforcements will be identified - only newly-identified reinforcements in each year are considered in order to avoid double-counting. The analysis considers thermal ratings only.</w:t>
      </w:r>
    </w:p>
    <w:p w:rsidR="00876B95" w:rsidRDefault="00876B95" w:rsidP="00876B95">
      <w:pPr>
        <w:pStyle w:val="Heading2"/>
      </w:pPr>
      <w:r>
        <w:t xml:space="preserve">Guidance relating to these power flow analyses is presented in section 7 </w:t>
      </w:r>
      <w:r w:rsidRPr="007611FE">
        <w:t xml:space="preserve">(Power flow analysis process) </w:t>
      </w:r>
      <w:r>
        <w:t>of Annex 1.</w:t>
      </w:r>
    </w:p>
    <w:p w:rsidR="00876B95" w:rsidRDefault="00876B95" w:rsidP="00876B95">
      <w:pPr>
        <w:pStyle w:val="DCSubHeading1Level2"/>
        <w:tabs>
          <w:tab w:val="left" w:pos="1338"/>
        </w:tabs>
      </w:pPr>
      <w:r>
        <w:t>Calculation of reinforcement costs</w:t>
      </w:r>
    </w:p>
    <w:p w:rsidR="00876B95" w:rsidRDefault="00876B95" w:rsidP="00876B95">
      <w:pPr>
        <w:pStyle w:val="Heading2"/>
      </w:pPr>
      <w:r>
        <w:t>It is assumed that the reinforcement or any Branch is undertaken in a standardised way with standardised costs. In practice, the design data used by the DNO Party to prepare offers for connection to its Distribution System should be used when determining the extent and likely cost of reinforcement.</w:t>
      </w:r>
    </w:p>
    <w:p w:rsidR="00876B95" w:rsidRDefault="00876B95" w:rsidP="00876B95">
      <w:pPr>
        <w:pStyle w:val="Heading2"/>
      </w:pPr>
      <w:r>
        <w:t>Guidance relating to the calculation of reinforcement costs is presented in section 8 (Calculation of reinforcement costs) of Annex 1.</w:t>
      </w:r>
    </w:p>
    <w:p w:rsidR="00876B95" w:rsidRPr="00426623" w:rsidRDefault="00876B95" w:rsidP="00876B95">
      <w:pPr>
        <w:pStyle w:val="DCSubHeading1Level2"/>
      </w:pPr>
      <w:bookmarkStart w:id="34" w:name="_Toc269722680"/>
      <w:r w:rsidRPr="00426623">
        <w:t>Calculation of FCP load incremental charges</w:t>
      </w:r>
      <w:bookmarkEnd w:id="34"/>
    </w:p>
    <w:p w:rsidR="00876B95" w:rsidRPr="00426623" w:rsidRDefault="00876B95" w:rsidP="00876B95">
      <w:pPr>
        <w:pStyle w:val="Heading2"/>
      </w:pPr>
      <w:r w:rsidRPr="00426623">
        <w:t xml:space="preserve">The FCP load incremental charge for a Network Group is a derived from all expected reinforcements identified within the 10-year horizon period within that Network Group. </w:t>
      </w:r>
    </w:p>
    <w:p w:rsidR="00876B95" w:rsidRPr="00426623" w:rsidRDefault="00876B95" w:rsidP="00876B95">
      <w:pPr>
        <w:pStyle w:val="Heading2"/>
      </w:pPr>
      <w:r w:rsidRPr="00426623">
        <w:t>The FCP load incremental charging function is in integral form with exponential load growth and continuous discounting applied. The following charging function is used to derive the Network Group FCP load incremental charge (£/kVA/annum) for EDCM Customers:</w:t>
      </w:r>
    </w:p>
    <w:p w:rsidR="00876B95" w:rsidRDefault="00876B95" w:rsidP="00876B95">
      <w:pPr>
        <w:jc w:val="center"/>
      </w:pPr>
      <w:r w:rsidRPr="00C70D7F">
        <w:object w:dxaOrig="334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35pt;height:1in" o:ole="">
            <v:imagedata r:id="rId9" o:title=""/>
          </v:shape>
          <o:OLEObject Type="Embed" ProgID="Equation.3" ShapeID="_x0000_i1025" DrawAspect="Content" ObjectID="_1603540820" r:id="rId10"/>
        </w:object>
      </w:r>
    </w:p>
    <w:p w:rsidR="00876B95" w:rsidRDefault="00876B95" w:rsidP="00876B95">
      <w:pPr>
        <w:pStyle w:val="DCNormParaL3"/>
        <w:rPr>
          <w:b/>
        </w:rPr>
      </w:pPr>
      <w:r w:rsidRPr="001D5E61">
        <w:rPr>
          <w:b/>
        </w:rPr>
        <w:t>Where:</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713"/>
        <w:gridCol w:w="6472"/>
      </w:tblGrid>
      <w:tr w:rsidR="00876B95" w:rsidTr="00824111">
        <w:tc>
          <w:tcPr>
            <w:tcW w:w="1096" w:type="dxa"/>
          </w:tcPr>
          <w:p w:rsidR="00876B95" w:rsidRDefault="00876B95" w:rsidP="00824111">
            <w:pPr>
              <w:pStyle w:val="DCNormParaL3"/>
              <w:ind w:left="0"/>
              <w:rPr>
                <w:i/>
              </w:rPr>
            </w:pPr>
            <w:proofErr w:type="spellStart"/>
            <w:r w:rsidRPr="001D5E61">
              <w:rPr>
                <w:i/>
              </w:rPr>
              <w:t>FCPload</w:t>
            </w:r>
            <w:proofErr w:type="spellEnd"/>
          </w:p>
        </w:tc>
        <w:tc>
          <w:tcPr>
            <w:tcW w:w="713" w:type="dxa"/>
          </w:tcPr>
          <w:p w:rsidR="00876B95" w:rsidRDefault="00876B95" w:rsidP="00824111">
            <w:pPr>
              <w:pStyle w:val="DCNormParaL3"/>
              <w:ind w:left="0"/>
              <w:rPr>
                <w:i/>
              </w:rPr>
            </w:pPr>
            <w:r>
              <w:t>=</w:t>
            </w:r>
          </w:p>
        </w:tc>
        <w:tc>
          <w:tcPr>
            <w:tcW w:w="6472" w:type="dxa"/>
          </w:tcPr>
          <w:p w:rsidR="00876B95" w:rsidRDefault="00876B95" w:rsidP="00824111">
            <w:pPr>
              <w:pStyle w:val="DCNormParaL3"/>
              <w:ind w:left="0"/>
              <w:jc w:val="both"/>
              <w:rPr>
                <w:i/>
              </w:rPr>
            </w:pPr>
            <w:r>
              <w:t>FCP load incremental charge (£/kVA/annum)</w:t>
            </w:r>
          </w:p>
        </w:tc>
      </w:tr>
      <w:tr w:rsidR="00876B95" w:rsidTr="00824111">
        <w:tc>
          <w:tcPr>
            <w:tcW w:w="1096" w:type="dxa"/>
          </w:tcPr>
          <w:p w:rsidR="00876B95" w:rsidRDefault="00876B95" w:rsidP="00824111">
            <w:pPr>
              <w:pStyle w:val="DCNormParaL3"/>
              <w:ind w:left="0"/>
              <w:rPr>
                <w:i/>
              </w:rPr>
            </w:pPr>
            <w:r w:rsidRPr="001D5E61">
              <w:rPr>
                <w:i/>
              </w:rPr>
              <w:t>j</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in index of Branch whose reinforcement is required in the planning period</w:t>
            </w:r>
          </w:p>
        </w:tc>
      </w:tr>
      <w:tr w:rsidR="00876B95" w:rsidTr="00824111">
        <w:tc>
          <w:tcPr>
            <w:tcW w:w="1096" w:type="dxa"/>
          </w:tcPr>
          <w:p w:rsidR="00876B95" w:rsidRDefault="00876B95" w:rsidP="00824111">
            <w:pPr>
              <w:pStyle w:val="DCNormParaL3"/>
              <w:ind w:left="0"/>
              <w:rPr>
                <w:i/>
              </w:rPr>
            </w:pPr>
            <w:r w:rsidRPr="001D5E61">
              <w:rPr>
                <w:i/>
              </w:rPr>
              <w:t>i</w:t>
            </w:r>
          </w:p>
        </w:tc>
        <w:tc>
          <w:tcPr>
            <w:tcW w:w="713" w:type="dxa"/>
          </w:tcPr>
          <w:p w:rsidR="00876B95" w:rsidRDefault="00876B95" w:rsidP="00824111">
            <w:pPr>
              <w:pStyle w:val="DCNormParaL3"/>
              <w:ind w:left="0"/>
              <w:rPr>
                <w:i/>
              </w:rPr>
            </w:pPr>
            <w:r w:rsidRPr="00067D94">
              <w:t>=</w:t>
            </w:r>
          </w:p>
        </w:tc>
        <w:tc>
          <w:tcPr>
            <w:tcW w:w="6472" w:type="dxa"/>
          </w:tcPr>
          <w:p w:rsidR="00876B95" w:rsidRPr="00A700E0" w:rsidRDefault="00876B95" w:rsidP="00824111">
            <w:pPr>
              <w:pStyle w:val="DCNormParaL3"/>
              <w:ind w:left="0"/>
            </w:pPr>
            <w:r>
              <w:t>discount rate, which is s</w:t>
            </w:r>
            <w:r w:rsidRPr="00A700E0">
              <w:t>et to equal the latest pre-tax real weighted average cost of capital (CC below) for each DNO Party calculated using the following formula:</w:t>
            </w:r>
          </w:p>
        </w:tc>
      </w:tr>
    </w:tbl>
    <w:p w:rsidR="00876B95" w:rsidRDefault="00876B95" w:rsidP="00876B95">
      <w:pPr>
        <w:pStyle w:val="DCNormParaL3"/>
      </w:pPr>
      <w:r>
        <w:t>CC = (Gearing Assumption x Pre-Tax Cost of Debt) + (1- Gearing Assumption)*(Post Tax Cost of Equity</w:t>
      </w:r>
      <w:proofErr w:type="gramStart"/>
      <w:r>
        <w:t>/(</w:t>
      </w:r>
      <w:proofErr w:type="gramEnd"/>
      <w:r>
        <w:t>1-Corporation Tax Rate))</w:t>
      </w:r>
    </w:p>
    <w:p w:rsidR="00876B95" w:rsidRDefault="00876B95" w:rsidP="00876B95">
      <w:pPr>
        <w:pStyle w:val="DCNormParaL3"/>
      </w:pPr>
      <w:proofErr w:type="gramStart"/>
      <w:r>
        <w:t>where</w:t>
      </w:r>
      <w:proofErr w:type="gramEnd"/>
      <w:r>
        <w:t>:</w:t>
      </w:r>
    </w:p>
    <w:p w:rsidR="00876B95" w:rsidRDefault="00876B95" w:rsidP="00876B95">
      <w:pPr>
        <w:pStyle w:val="DCNormParaL3"/>
      </w:pPr>
      <w:r>
        <w:t>Gearing Assumption is set to the ‘notional Gearing’ value referred to in the ED1 Price Control Financial Handbook;</w:t>
      </w:r>
    </w:p>
    <w:p w:rsidR="00876B95" w:rsidRDefault="00876B95" w:rsidP="00876B95">
      <w:pPr>
        <w:pStyle w:val="DCNormParaL3"/>
      </w:pPr>
      <w:r>
        <w:t>Pre-Tax Cost of Debt is set to the ‘cost of corporate debt’ value specified in or calculated in accordance with the most recent Annual Iteration Process applicable when setting distribution Use of System Charges;</w:t>
      </w:r>
    </w:p>
    <w:p w:rsidR="00876B95" w:rsidRDefault="00876B95" w:rsidP="00876B95">
      <w:pPr>
        <w:pStyle w:val="DCNormParaL3"/>
      </w:pPr>
      <w:r>
        <w:t>Post Tax Cost of Equity is set to the ‘cost of equity’ value referred to in the ED1 Price Control Financial Handbook; and</w:t>
      </w:r>
    </w:p>
    <w:p w:rsidR="00876B95" w:rsidRDefault="00876B95" w:rsidP="00876B95">
      <w:pPr>
        <w:pStyle w:val="DCNormParaL3"/>
      </w:pPr>
      <w:r>
        <w:t>Corporation Tax Rate is the rate of corporation tax which is, when setting distribution Use of System Charges, expected to be applicable in respect of the Regulatory Year in which those Charges will take effect.</w:t>
      </w:r>
    </w:p>
    <w:p w:rsidR="00876B95" w:rsidRDefault="00876B95" w:rsidP="00876B95">
      <w:pPr>
        <w:pStyle w:val="DCNormParaL3"/>
      </w:pPr>
      <w:r>
        <w:t>The CC value is calculated as a percentage, and rounded to two decimal places.</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
        <w:gridCol w:w="713"/>
        <w:gridCol w:w="6472"/>
      </w:tblGrid>
      <w:tr w:rsidR="00876B95" w:rsidTr="00824111">
        <w:tc>
          <w:tcPr>
            <w:tcW w:w="818" w:type="dxa"/>
          </w:tcPr>
          <w:p w:rsidR="00876B95" w:rsidRDefault="00876B95" w:rsidP="00824111">
            <w:pPr>
              <w:pStyle w:val="DCNormParaL3"/>
              <w:ind w:left="0"/>
              <w:rPr>
                <w:i/>
              </w:rPr>
            </w:pPr>
            <w:proofErr w:type="spellStart"/>
            <w:r w:rsidRPr="001D5E61">
              <w:rPr>
                <w:i/>
              </w:rPr>
              <w:t>Aj</w:t>
            </w:r>
            <w:proofErr w:type="spellEnd"/>
          </w:p>
        </w:tc>
        <w:tc>
          <w:tcPr>
            <w:tcW w:w="713" w:type="dxa"/>
          </w:tcPr>
          <w:p w:rsidR="00876B95" w:rsidRDefault="00876B95" w:rsidP="00824111">
            <w:pPr>
              <w:pStyle w:val="DCNormParaL3"/>
              <w:ind w:left="0"/>
              <w:rPr>
                <w:i/>
              </w:rPr>
            </w:pPr>
            <w:r>
              <w:t>=</w:t>
            </w:r>
          </w:p>
        </w:tc>
        <w:tc>
          <w:tcPr>
            <w:tcW w:w="6472" w:type="dxa"/>
          </w:tcPr>
          <w:p w:rsidR="00876B95" w:rsidRDefault="00876B95" w:rsidP="00824111">
            <w:pPr>
              <w:pStyle w:val="DCNormParaL3"/>
              <w:ind w:left="0"/>
              <w:jc w:val="both"/>
              <w:rPr>
                <w:i/>
              </w:rPr>
            </w:pPr>
            <w:r>
              <w:t xml:space="preserve">total cost (£) of asset “j” reinforcement in the considered </w:t>
            </w:r>
            <w:r>
              <w:lastRenderedPageBreak/>
              <w:t>Network Group over 10-year period</w:t>
            </w:r>
          </w:p>
        </w:tc>
      </w:tr>
      <w:tr w:rsidR="00876B95" w:rsidTr="00824111">
        <w:tc>
          <w:tcPr>
            <w:tcW w:w="818" w:type="dxa"/>
          </w:tcPr>
          <w:p w:rsidR="00876B95" w:rsidRDefault="00876B95" w:rsidP="00824111">
            <w:pPr>
              <w:pStyle w:val="DCNormParaL3"/>
              <w:ind w:left="0"/>
              <w:rPr>
                <w:i/>
              </w:rPr>
            </w:pPr>
            <w:r w:rsidRPr="001D5E61">
              <w:rPr>
                <w:i/>
              </w:rPr>
              <w:lastRenderedPageBreak/>
              <w:t>l</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index of the total load level at which reinforcement of Branch “j” is required</w:t>
            </w:r>
          </w:p>
        </w:tc>
      </w:tr>
      <w:tr w:rsidR="00876B95" w:rsidTr="00824111">
        <w:tc>
          <w:tcPr>
            <w:tcW w:w="818" w:type="dxa"/>
          </w:tcPr>
          <w:p w:rsidR="00876B95" w:rsidRDefault="00876B95" w:rsidP="00824111">
            <w:pPr>
              <w:pStyle w:val="DCNormParaL3"/>
              <w:ind w:left="0"/>
              <w:rPr>
                <w:i/>
              </w:rPr>
            </w:pPr>
            <w:r w:rsidRPr="001D5E61">
              <w:rPr>
                <w:i/>
              </w:rPr>
              <w:t>Cl</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 xml:space="preserve">total demand (kVA) of the Network Group, in the Maximum Demand Scenario, in the year </w:t>
            </w:r>
            <w:proofErr w:type="spellStart"/>
            <w:r>
              <w:t>Yl</w:t>
            </w:r>
            <w:proofErr w:type="spellEnd"/>
            <w:r>
              <w:t xml:space="preserve"> in which reinforcement of Branch “j” is required</w:t>
            </w:r>
          </w:p>
        </w:tc>
      </w:tr>
      <w:tr w:rsidR="00876B95" w:rsidTr="00824111">
        <w:tc>
          <w:tcPr>
            <w:tcW w:w="818" w:type="dxa"/>
          </w:tcPr>
          <w:p w:rsidR="00876B95" w:rsidRDefault="00876B95" w:rsidP="00824111">
            <w:pPr>
              <w:pStyle w:val="DCNormParaL3"/>
              <w:ind w:left="0"/>
              <w:rPr>
                <w:i/>
              </w:rPr>
            </w:pPr>
            <w:r w:rsidRPr="001D5E61">
              <w:rPr>
                <w:i/>
              </w:rPr>
              <w:t>D</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total demand (kVA) in the Network Group in the first year of the 10-year horizon in the Maximum Demand scenario</w:t>
            </w:r>
          </w:p>
        </w:tc>
      </w:tr>
      <w:tr w:rsidR="00876B95" w:rsidTr="00824111">
        <w:tc>
          <w:tcPr>
            <w:tcW w:w="818" w:type="dxa"/>
          </w:tcPr>
          <w:p w:rsidR="00876B95" w:rsidRDefault="00876B95" w:rsidP="00824111">
            <w:pPr>
              <w:pStyle w:val="DCNormParaL3"/>
              <w:ind w:left="0"/>
              <w:rPr>
                <w:i/>
              </w:rPr>
            </w:pPr>
            <w:proofErr w:type="spellStart"/>
            <w:r w:rsidRPr="001D5E61">
              <w:rPr>
                <w:i/>
              </w:rPr>
              <w:t>gl</w:t>
            </w:r>
            <w:proofErr w:type="spellEnd"/>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annual average load growth rate corresponding to the year in which the reinforcement is expected to be required (see below)</w:t>
            </w:r>
          </w:p>
        </w:tc>
      </w:tr>
      <w:tr w:rsidR="00876B95" w:rsidTr="00824111">
        <w:tc>
          <w:tcPr>
            <w:tcW w:w="818" w:type="dxa"/>
          </w:tcPr>
          <w:p w:rsidR="00876B95" w:rsidRDefault="00876B95" w:rsidP="00824111">
            <w:pPr>
              <w:pStyle w:val="DCNormParaL3"/>
              <w:ind w:left="0"/>
              <w:rPr>
                <w:i/>
              </w:rPr>
            </w:pPr>
            <w:r w:rsidRPr="001D5E61">
              <w:rPr>
                <w:i/>
              </w:rPr>
              <w:t>T</w:t>
            </w:r>
          </w:p>
        </w:tc>
        <w:tc>
          <w:tcPr>
            <w:tcW w:w="713" w:type="dxa"/>
          </w:tcPr>
          <w:p w:rsidR="00876B95" w:rsidRDefault="00876B95" w:rsidP="00824111">
            <w:pPr>
              <w:pStyle w:val="DCNormParaL3"/>
              <w:ind w:left="0"/>
              <w:rPr>
                <w:i/>
              </w:rPr>
            </w:pPr>
            <w:r w:rsidRPr="00067D94">
              <w:t>=</w:t>
            </w:r>
          </w:p>
        </w:tc>
        <w:tc>
          <w:tcPr>
            <w:tcW w:w="6472" w:type="dxa"/>
          </w:tcPr>
          <w:p w:rsidR="00876B95" w:rsidRDefault="00876B95" w:rsidP="00824111">
            <w:pPr>
              <w:pStyle w:val="DCNormParaL3"/>
              <w:ind w:left="0"/>
              <w:jc w:val="both"/>
              <w:rPr>
                <w:i/>
              </w:rPr>
            </w:pPr>
            <w:r>
              <w:t>10 years over which the reinforcement cost is recovered</w:t>
            </w:r>
          </w:p>
        </w:tc>
      </w:tr>
    </w:tbl>
    <w:p w:rsidR="00876B95" w:rsidRDefault="00876B95" w:rsidP="00876B95">
      <w:pPr>
        <w:pStyle w:val="Heading2"/>
      </w:pPr>
      <w:r w:rsidRPr="001D5E61">
        <w:rPr>
          <w:rStyle w:val="Heading2Char"/>
        </w:rPr>
        <w:t>T</w:t>
      </w:r>
      <w:r w:rsidRPr="00426623">
        <w:t xml:space="preserve">he annual average Network Group load growth rate corresponding to the year in which the reinforcement is expected, </w:t>
      </w:r>
      <w:proofErr w:type="spellStart"/>
      <w:r w:rsidRPr="00426623">
        <w:t>gl</w:t>
      </w:r>
      <w:proofErr w:type="spellEnd"/>
      <w:r w:rsidRPr="00426623">
        <w:t>, is calculated by:</w:t>
      </w:r>
    </w:p>
    <w:p w:rsidR="00876B95" w:rsidRPr="00426623" w:rsidRDefault="00876B95" w:rsidP="00876B95">
      <w:pPr>
        <w:jc w:val="center"/>
      </w:pPr>
      <w:r w:rsidRPr="00426623">
        <w:object w:dxaOrig="1440" w:dyaOrig="1100">
          <v:shape id="_x0000_i1026" type="#_x0000_t75" style="width:1in;height:57.1pt" o:ole="">
            <v:imagedata r:id="rId11" o:title=""/>
          </v:shape>
          <o:OLEObject Type="Embed" ProgID="Equation.3" ShapeID="_x0000_i1026" DrawAspect="Content" ObjectID="_1603540821" r:id="rId12"/>
        </w:object>
      </w:r>
    </w:p>
    <w:p w:rsidR="00876B95" w:rsidRPr="001D5E61" w:rsidRDefault="00876B95" w:rsidP="00876B95">
      <w:pPr>
        <w:pStyle w:val="DCUSATabletextnumbers"/>
        <w:ind w:firstLine="720"/>
      </w:pPr>
      <w:r w:rsidRPr="001D5E61">
        <w:t>Where:</w:t>
      </w:r>
    </w:p>
    <w:tbl>
      <w:tblPr>
        <w:tblW w:w="8508" w:type="dxa"/>
        <w:tblInd w:w="709" w:type="dxa"/>
        <w:tblLook w:val="00A0" w:firstRow="1" w:lastRow="0" w:firstColumn="1" w:lastColumn="0" w:noHBand="0" w:noVBand="0"/>
      </w:tblPr>
      <w:tblGrid>
        <w:gridCol w:w="709"/>
        <w:gridCol w:w="850"/>
        <w:gridCol w:w="6949"/>
      </w:tblGrid>
      <w:tr w:rsidR="00876B95" w:rsidRPr="00426623" w:rsidTr="00824111">
        <w:tc>
          <w:tcPr>
            <w:tcW w:w="709" w:type="dxa"/>
          </w:tcPr>
          <w:p w:rsidR="00876B95" w:rsidRPr="001D5E61" w:rsidRDefault="00876B95" w:rsidP="00824111">
            <w:pPr>
              <w:rPr>
                <w:i/>
              </w:rPr>
            </w:pPr>
            <w:proofErr w:type="spellStart"/>
            <w:r w:rsidRPr="001D5E61">
              <w:rPr>
                <w:i/>
              </w:rPr>
              <w:t>gl</w:t>
            </w:r>
            <w:proofErr w:type="spellEnd"/>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annual average load growth rate corresponding to the year in which the reinforcement is expected to be required</w:t>
            </w:r>
          </w:p>
        </w:tc>
      </w:tr>
      <w:tr w:rsidR="00876B95" w:rsidRPr="00426623" w:rsidTr="00824111">
        <w:tc>
          <w:tcPr>
            <w:tcW w:w="709" w:type="dxa"/>
          </w:tcPr>
          <w:p w:rsidR="00876B95" w:rsidRPr="001D5E61" w:rsidRDefault="00876B95" w:rsidP="00824111">
            <w:pPr>
              <w:rPr>
                <w:i/>
              </w:rPr>
            </w:pPr>
            <w:proofErr w:type="spellStart"/>
            <w:r w:rsidRPr="001D5E61">
              <w:rPr>
                <w:i/>
              </w:rPr>
              <w:t>Yl</w:t>
            </w:r>
            <w:proofErr w:type="spellEnd"/>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 xml:space="preserve">number of years before the reinforcement of Branch “j” is required </w:t>
            </w:r>
          </w:p>
        </w:tc>
      </w:tr>
      <w:tr w:rsidR="00876B95" w:rsidRPr="00426623" w:rsidTr="00824111">
        <w:tc>
          <w:tcPr>
            <w:tcW w:w="709" w:type="dxa"/>
          </w:tcPr>
          <w:p w:rsidR="00876B95" w:rsidRPr="001D5E61" w:rsidRDefault="00876B95" w:rsidP="00824111">
            <w:pPr>
              <w:rPr>
                <w:i/>
              </w:rPr>
            </w:pPr>
            <w:r w:rsidRPr="001D5E61">
              <w:rPr>
                <w:i/>
              </w:rPr>
              <w:t>Cl</w:t>
            </w:r>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 xml:space="preserve">total demand (kVA) of the Network Group, in the Maximum Demand Scenario, in the year </w:t>
            </w:r>
            <w:proofErr w:type="spellStart"/>
            <w:r w:rsidRPr="00426623">
              <w:t>Yl</w:t>
            </w:r>
            <w:proofErr w:type="spellEnd"/>
            <w:r w:rsidRPr="00426623">
              <w:t xml:space="preserve"> in which reinforcement of Branch “j” is required</w:t>
            </w:r>
          </w:p>
        </w:tc>
      </w:tr>
      <w:tr w:rsidR="00876B95" w:rsidRPr="00426623" w:rsidTr="00824111">
        <w:tc>
          <w:tcPr>
            <w:tcW w:w="709" w:type="dxa"/>
          </w:tcPr>
          <w:p w:rsidR="00876B95" w:rsidRPr="001D5E61" w:rsidRDefault="00876B95" w:rsidP="00824111">
            <w:pPr>
              <w:rPr>
                <w:i/>
              </w:rPr>
            </w:pPr>
            <w:r w:rsidRPr="001D5E61">
              <w:rPr>
                <w:i/>
              </w:rPr>
              <w:t>D</w:t>
            </w:r>
          </w:p>
        </w:tc>
        <w:tc>
          <w:tcPr>
            <w:tcW w:w="850" w:type="dxa"/>
          </w:tcPr>
          <w:p w:rsidR="00876B95" w:rsidRPr="00426623" w:rsidRDefault="00876B95" w:rsidP="00824111">
            <w:r w:rsidRPr="00426623">
              <w:t>=</w:t>
            </w:r>
          </w:p>
        </w:tc>
        <w:tc>
          <w:tcPr>
            <w:tcW w:w="6949" w:type="dxa"/>
          </w:tcPr>
          <w:p w:rsidR="00876B95" w:rsidRPr="00426623" w:rsidRDefault="00876B95" w:rsidP="00824111">
            <w:pPr>
              <w:jc w:val="both"/>
            </w:pPr>
            <w:r w:rsidRPr="00426623">
              <w:t>total demand (kVA) in the Network Group in the first year of the 10-year horizon in the Maximum Demand scenario</w:t>
            </w:r>
          </w:p>
        </w:tc>
      </w:tr>
    </w:tbl>
    <w:p w:rsidR="00876B95" w:rsidRDefault="00876B95" w:rsidP="00876B95">
      <w:pPr>
        <w:pStyle w:val="Heading2"/>
      </w:pPr>
      <w:r w:rsidRPr="00426623">
        <w:t>Guidance relating to the calculation and application of FCP load incremental charges is presented in section 9.1 (</w:t>
      </w:r>
      <w:r>
        <w:fldChar w:fldCharType="begin"/>
      </w:r>
      <w:r>
        <w:instrText xml:space="preserve"> REF _Ref269721819 \h  \* MERGEFORMAT </w:instrText>
      </w:r>
      <w:r>
        <w:fldChar w:fldCharType="separate"/>
      </w:r>
      <w:r w:rsidRPr="00670F25">
        <w:t>FCP load incremental charge</w:t>
      </w:r>
      <w:r>
        <w:fldChar w:fldCharType="end"/>
      </w:r>
      <w:r w:rsidRPr="00426623">
        <w:t>) of Annex 1.</w:t>
      </w:r>
      <w:bookmarkStart w:id="35" w:name="_Toc269722686"/>
    </w:p>
    <w:p w:rsidR="00876B95" w:rsidRPr="00426623" w:rsidRDefault="00876B95" w:rsidP="00876B95">
      <w:pPr>
        <w:pStyle w:val="DCSubHeading1Level2"/>
      </w:pPr>
      <w:r w:rsidRPr="00426623">
        <w:lastRenderedPageBreak/>
        <w:t>Outputs</w:t>
      </w:r>
      <w:bookmarkEnd w:id="35"/>
    </w:p>
    <w:p w:rsidR="00876B95" w:rsidRPr="00426623" w:rsidRDefault="00876B95" w:rsidP="00876B95">
      <w:pPr>
        <w:pStyle w:val="Heading2"/>
      </w:pPr>
      <w:r w:rsidRPr="00426623">
        <w:t>The outputs of the FCP modelling are:</w:t>
      </w:r>
    </w:p>
    <w:p w:rsidR="00876B95" w:rsidRPr="00426623" w:rsidRDefault="00876B95" w:rsidP="00876B95">
      <w:pPr>
        <w:pStyle w:val="Heading5"/>
        <w:ind w:left="1418"/>
      </w:pPr>
      <w:r w:rsidRPr="00426623">
        <w:t>Network Group ID;</w:t>
      </w:r>
    </w:p>
    <w:p w:rsidR="00876B95" w:rsidRPr="00426623" w:rsidRDefault="00876B95" w:rsidP="00876B95">
      <w:pPr>
        <w:pStyle w:val="Heading5"/>
        <w:ind w:left="1418"/>
      </w:pPr>
      <w:r w:rsidRPr="00426623">
        <w:t>Charge 1: Demand (load) charge (£/kVA/annum);</w:t>
      </w:r>
    </w:p>
    <w:p w:rsidR="00876B95" w:rsidRPr="00426623" w:rsidRDefault="00876B95" w:rsidP="00876B95">
      <w:pPr>
        <w:pStyle w:val="Heading5"/>
        <w:ind w:left="1418"/>
      </w:pPr>
      <w:r w:rsidRPr="00426623">
        <w:t>Parent Network Group ID;</w:t>
      </w:r>
    </w:p>
    <w:p w:rsidR="00876B95" w:rsidRPr="00426623" w:rsidRDefault="00876B95" w:rsidP="00876B95">
      <w:pPr>
        <w:pStyle w:val="Heading5"/>
        <w:ind w:left="1418"/>
      </w:pPr>
      <w:r w:rsidRPr="00426623">
        <w:t>Active Power (kW) of demand (load) for Maximum Demand Scenario;</w:t>
      </w:r>
    </w:p>
    <w:p w:rsidR="00876B95" w:rsidRPr="00426623" w:rsidRDefault="00876B95" w:rsidP="00876B95">
      <w:pPr>
        <w:pStyle w:val="Heading5"/>
        <w:ind w:left="1418"/>
      </w:pPr>
      <w:r w:rsidRPr="00426623">
        <w:t>Reactive Power (</w:t>
      </w:r>
      <w:proofErr w:type="spellStart"/>
      <w:r w:rsidRPr="00426623">
        <w:t>kVAr</w:t>
      </w:r>
      <w:proofErr w:type="spellEnd"/>
      <w:r w:rsidRPr="00426623">
        <w:t>) of demand (load) for Maximum Demand Scenario;</w:t>
      </w:r>
    </w:p>
    <w:p w:rsidR="00876B95" w:rsidRPr="00426623" w:rsidRDefault="00876B95" w:rsidP="00876B95">
      <w:pPr>
        <w:pStyle w:val="Heading5"/>
        <w:ind w:left="1418"/>
      </w:pPr>
      <w:r w:rsidRPr="00426623">
        <w:t>Active Power (kW) of demand (generation) for Maximum Demand Scenario; and</w:t>
      </w:r>
    </w:p>
    <w:p w:rsidR="00876B95" w:rsidRPr="00426623" w:rsidRDefault="00876B95" w:rsidP="00876B95">
      <w:pPr>
        <w:pStyle w:val="Heading5"/>
        <w:ind w:left="1418"/>
      </w:pPr>
      <w:proofErr w:type="gramStart"/>
      <w:r w:rsidRPr="00426623">
        <w:t>Reactive Power (</w:t>
      </w:r>
      <w:proofErr w:type="spellStart"/>
      <w:r w:rsidRPr="00426623">
        <w:t>kVAr</w:t>
      </w:r>
      <w:proofErr w:type="spellEnd"/>
      <w:r w:rsidRPr="00426623">
        <w:t>) of demand (generation) for Maximum Demand Scenario.</w:t>
      </w:r>
      <w:proofErr w:type="gramEnd"/>
    </w:p>
    <w:p w:rsidR="00876B95" w:rsidRDefault="00876B95" w:rsidP="00876B95">
      <w:pPr>
        <w:pStyle w:val="Heading1"/>
      </w:pPr>
      <w:bookmarkStart w:id="36" w:name="_Toc289364341"/>
      <w:bookmarkStart w:id="37" w:name="_Toc320876030"/>
      <w:bookmarkStart w:id="38" w:name="_Toc320876653"/>
      <w:bookmarkStart w:id="39" w:name="_Toc325449867"/>
      <w:bookmarkStart w:id="40" w:name="_Toc339284511"/>
      <w:bookmarkStart w:id="41" w:name="_Toc360027682"/>
      <w:bookmarkStart w:id="42" w:name="_Toc360028036"/>
      <w:bookmarkStart w:id="43" w:name="_Toc391559894"/>
      <w:bookmarkStart w:id="44" w:name="_Toc510303014"/>
      <w:bookmarkStart w:id="45" w:name="_Toc513018426"/>
      <w:bookmarkStart w:id="46" w:name="_Toc518333611"/>
      <w:r w:rsidRPr="00426623">
        <w:t>EDCM charge components for Connectees</w:t>
      </w:r>
      <w:bookmarkEnd w:id="36"/>
      <w:bookmarkEnd w:id="37"/>
      <w:bookmarkEnd w:id="38"/>
      <w:bookmarkEnd w:id="39"/>
      <w:bookmarkEnd w:id="40"/>
      <w:bookmarkEnd w:id="41"/>
      <w:bookmarkEnd w:id="42"/>
      <w:bookmarkEnd w:id="43"/>
      <w:bookmarkEnd w:id="44"/>
      <w:bookmarkEnd w:id="45"/>
      <w:bookmarkEnd w:id="46"/>
    </w:p>
    <w:p w:rsidR="00876B95" w:rsidRPr="00426623" w:rsidRDefault="00876B95" w:rsidP="00876B95">
      <w:pPr>
        <w:pStyle w:val="Heading2"/>
      </w:pPr>
      <w:r w:rsidRPr="00426623">
        <w:t>This section sets out the different charge components that will apply to Connectees under the EDCM.  Charge components are the outputs of the EDCM and make up the distribution use of system charges applied to Connectees.</w:t>
      </w:r>
    </w:p>
    <w:p w:rsidR="00876B95" w:rsidRPr="00426623" w:rsidRDefault="00876B95" w:rsidP="00876B95">
      <w:pPr>
        <w:pStyle w:val="Heading2"/>
      </w:pPr>
      <w:r w:rsidRPr="00426623">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rsidR="00876B95" w:rsidRPr="00426623" w:rsidRDefault="00876B95" w:rsidP="00876B95">
      <w:pPr>
        <w:pStyle w:val="Heading2"/>
      </w:pPr>
      <w:r w:rsidRPr="00426623">
        <w:t>Demand charges under the EDCM comprise the following individual components:</w:t>
      </w:r>
    </w:p>
    <w:p w:rsidR="00876B95" w:rsidRPr="00426623" w:rsidRDefault="00876B95" w:rsidP="00876B95">
      <w:pPr>
        <w:pStyle w:val="DCNormParaL3"/>
      </w:pPr>
      <w:r w:rsidRPr="00426623">
        <w:t>Import fixed charges.</w:t>
      </w:r>
    </w:p>
    <w:p w:rsidR="00876B95" w:rsidRPr="00426623" w:rsidRDefault="00876B95" w:rsidP="00876B95">
      <w:pPr>
        <w:pStyle w:val="DCNormParaL3"/>
      </w:pPr>
      <w:r w:rsidRPr="00426623">
        <w:t>Import capacity charges.</w:t>
      </w:r>
    </w:p>
    <w:p w:rsidR="00876B95" w:rsidRPr="00426623" w:rsidRDefault="00876B95" w:rsidP="00876B95">
      <w:pPr>
        <w:pStyle w:val="DCNormParaL3"/>
      </w:pPr>
      <w:r w:rsidRPr="00426623">
        <w:t>Exceeded import capacity charges.</w:t>
      </w:r>
    </w:p>
    <w:p w:rsidR="00876B95" w:rsidRPr="00426623" w:rsidRDefault="00876B95" w:rsidP="00876B95">
      <w:pPr>
        <w:pStyle w:val="DCNormParaL3"/>
      </w:pPr>
      <w:r w:rsidRPr="00426623">
        <w:lastRenderedPageBreak/>
        <w:t xml:space="preserve">Unit rate charges for consumption at the time of </w:t>
      </w:r>
      <w:r>
        <w:t xml:space="preserve">the DNO Party’s peak (super-red </w:t>
      </w:r>
      <w:r w:rsidRPr="00426623">
        <w:t>time band).</w:t>
      </w:r>
    </w:p>
    <w:p w:rsidR="00876B95" w:rsidRPr="00426623" w:rsidRDefault="00876B95" w:rsidP="00876B95">
      <w:pPr>
        <w:pStyle w:val="Heading2"/>
      </w:pPr>
      <w:r w:rsidRPr="00426623">
        <w:t xml:space="preserve">The EDCM charge components for import are listed in table </w:t>
      </w:r>
      <w:r>
        <w:t>1</w:t>
      </w:r>
      <w:r w:rsidRPr="00426623">
        <w:t>.</w:t>
      </w:r>
    </w:p>
    <w:p w:rsidR="00876B95" w:rsidRPr="004D501F" w:rsidRDefault="00876B95" w:rsidP="00876B95">
      <w:pPr>
        <w:jc w:val="center"/>
        <w:rPr>
          <w:b/>
        </w:rPr>
      </w:pPr>
      <w:r w:rsidRPr="004D501F">
        <w:rPr>
          <w:b/>
        </w:rPr>
        <w:t xml:space="preserve">Table </w:t>
      </w:r>
      <w:r>
        <w:rPr>
          <w:b/>
        </w:rPr>
        <w:t>1</w:t>
      </w:r>
      <w:r w:rsidRPr="004D501F">
        <w:rPr>
          <w:b/>
        </w:rPr>
        <w:t xml:space="preserve">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tblGrid>
      <w:tr w:rsidR="00876B95" w:rsidRPr="00426623" w:rsidTr="00824111">
        <w:trPr>
          <w:tblHeader/>
        </w:trPr>
        <w:tc>
          <w:tcPr>
            <w:tcW w:w="3528" w:type="dxa"/>
            <w:tcBorders>
              <w:top w:val="single" w:sz="4" w:space="0" w:color="auto"/>
              <w:left w:val="nil"/>
              <w:bottom w:val="single" w:sz="4" w:space="0" w:color="auto"/>
              <w:right w:val="nil"/>
            </w:tcBorders>
            <w:shd w:val="clear" w:color="auto" w:fill="C0C0C0"/>
          </w:tcPr>
          <w:p w:rsidR="00876B95" w:rsidRPr="00426623" w:rsidRDefault="00876B95" w:rsidP="00824111">
            <w:r w:rsidRPr="00426623">
              <w:t>Charge component</w:t>
            </w:r>
          </w:p>
        </w:tc>
        <w:tc>
          <w:tcPr>
            <w:tcW w:w="1260" w:type="dxa"/>
            <w:tcBorders>
              <w:top w:val="single" w:sz="4" w:space="0" w:color="auto"/>
              <w:left w:val="nil"/>
              <w:bottom w:val="single" w:sz="4" w:space="0" w:color="auto"/>
              <w:right w:val="nil"/>
            </w:tcBorders>
            <w:shd w:val="clear" w:color="auto" w:fill="C0C0C0"/>
          </w:tcPr>
          <w:p w:rsidR="00876B95" w:rsidRPr="00426623" w:rsidRDefault="00876B95" w:rsidP="00824111">
            <w:r w:rsidRPr="00426623">
              <w:t>Unit</w:t>
            </w:r>
          </w:p>
        </w:tc>
      </w:tr>
      <w:tr w:rsidR="00876B95" w:rsidRPr="00426623" w:rsidTr="00824111">
        <w:tc>
          <w:tcPr>
            <w:tcW w:w="3528" w:type="dxa"/>
            <w:tcBorders>
              <w:top w:val="nil"/>
              <w:left w:val="nil"/>
              <w:bottom w:val="nil"/>
              <w:right w:val="nil"/>
            </w:tcBorders>
          </w:tcPr>
          <w:p w:rsidR="00876B95" w:rsidRPr="00426623" w:rsidRDefault="00876B95" w:rsidP="00824111">
            <w:r w:rsidRPr="00426623">
              <w:t>Import fixed charge</w:t>
            </w:r>
          </w:p>
        </w:tc>
        <w:tc>
          <w:tcPr>
            <w:tcW w:w="1260" w:type="dxa"/>
            <w:tcBorders>
              <w:top w:val="nil"/>
              <w:left w:val="nil"/>
              <w:bottom w:val="nil"/>
              <w:right w:val="nil"/>
            </w:tcBorders>
          </w:tcPr>
          <w:p w:rsidR="00876B95" w:rsidRPr="00426623" w:rsidRDefault="00876B95" w:rsidP="00824111">
            <w:r w:rsidRPr="00426623">
              <w:t>p/day</w:t>
            </w:r>
          </w:p>
        </w:tc>
      </w:tr>
      <w:tr w:rsidR="00876B95" w:rsidRPr="00426623" w:rsidTr="00824111">
        <w:tc>
          <w:tcPr>
            <w:tcW w:w="3528" w:type="dxa"/>
            <w:tcBorders>
              <w:top w:val="nil"/>
              <w:left w:val="nil"/>
              <w:bottom w:val="nil"/>
              <w:right w:val="nil"/>
            </w:tcBorders>
            <w:shd w:val="clear" w:color="auto" w:fill="E0E0E0"/>
          </w:tcPr>
          <w:p w:rsidR="00876B95" w:rsidRPr="00426623" w:rsidRDefault="00876B95" w:rsidP="00824111">
            <w:r w:rsidRPr="00426623">
              <w:t>Import capacity charge</w:t>
            </w:r>
          </w:p>
        </w:tc>
        <w:tc>
          <w:tcPr>
            <w:tcW w:w="1260" w:type="dxa"/>
            <w:tcBorders>
              <w:top w:val="nil"/>
              <w:left w:val="nil"/>
              <w:bottom w:val="nil"/>
              <w:right w:val="nil"/>
            </w:tcBorders>
            <w:shd w:val="clear" w:color="auto" w:fill="E0E0E0"/>
          </w:tcPr>
          <w:p w:rsidR="00876B95" w:rsidRPr="00426623" w:rsidRDefault="00876B95" w:rsidP="00824111">
            <w:r w:rsidRPr="00426623">
              <w:t>p/kVA/day</w:t>
            </w:r>
          </w:p>
        </w:tc>
      </w:tr>
      <w:tr w:rsidR="00876B95" w:rsidRPr="00426623" w:rsidTr="00824111">
        <w:tc>
          <w:tcPr>
            <w:tcW w:w="3528" w:type="dxa"/>
            <w:tcBorders>
              <w:top w:val="nil"/>
              <w:left w:val="nil"/>
              <w:bottom w:val="nil"/>
              <w:right w:val="nil"/>
            </w:tcBorders>
          </w:tcPr>
          <w:p w:rsidR="00876B95" w:rsidRPr="00426623" w:rsidRDefault="00876B95" w:rsidP="00824111">
            <w:r w:rsidRPr="00426623">
              <w:t>Exceeded import capacity charge</w:t>
            </w:r>
          </w:p>
        </w:tc>
        <w:tc>
          <w:tcPr>
            <w:tcW w:w="1260" w:type="dxa"/>
            <w:tcBorders>
              <w:top w:val="nil"/>
              <w:left w:val="nil"/>
              <w:bottom w:val="nil"/>
              <w:right w:val="nil"/>
            </w:tcBorders>
          </w:tcPr>
          <w:p w:rsidR="00876B95" w:rsidRPr="00426623" w:rsidRDefault="00876B95" w:rsidP="00824111">
            <w:r w:rsidRPr="00426623">
              <w:t>p/kVA/day</w:t>
            </w:r>
          </w:p>
        </w:tc>
      </w:tr>
      <w:tr w:rsidR="00876B95" w:rsidRPr="00426623" w:rsidTr="00824111">
        <w:tc>
          <w:tcPr>
            <w:tcW w:w="3528" w:type="dxa"/>
            <w:tcBorders>
              <w:top w:val="nil"/>
              <w:left w:val="nil"/>
              <w:bottom w:val="nil"/>
              <w:right w:val="nil"/>
            </w:tcBorders>
            <w:shd w:val="clear" w:color="auto" w:fill="E0E0E0"/>
          </w:tcPr>
          <w:p w:rsidR="00876B95" w:rsidRPr="00426623" w:rsidRDefault="00876B95" w:rsidP="00824111">
            <w:r w:rsidRPr="00426623">
              <w:t>Super-red import unit charge</w:t>
            </w:r>
          </w:p>
        </w:tc>
        <w:tc>
          <w:tcPr>
            <w:tcW w:w="1260" w:type="dxa"/>
            <w:tcBorders>
              <w:top w:val="nil"/>
              <w:left w:val="nil"/>
              <w:bottom w:val="nil"/>
              <w:right w:val="nil"/>
            </w:tcBorders>
            <w:shd w:val="clear" w:color="auto" w:fill="E0E0E0"/>
          </w:tcPr>
          <w:p w:rsidR="00876B95" w:rsidRPr="00426623" w:rsidRDefault="00876B95" w:rsidP="00824111">
            <w:r w:rsidRPr="00426623">
              <w:t>p/kWh</w:t>
            </w:r>
          </w:p>
        </w:tc>
      </w:tr>
    </w:tbl>
    <w:p w:rsidR="00876B95" w:rsidRPr="00426623" w:rsidRDefault="00876B95" w:rsidP="00876B95"/>
    <w:p w:rsidR="00876B95" w:rsidRPr="00426623" w:rsidRDefault="00876B95" w:rsidP="00876B95">
      <w:pPr>
        <w:pStyle w:val="Heading2"/>
      </w:pPr>
      <w:r w:rsidRPr="00426623">
        <w:t>Generation charges under the EDCM comprise the following individual components:</w:t>
      </w:r>
    </w:p>
    <w:p w:rsidR="00876B95" w:rsidRPr="00426623" w:rsidRDefault="00876B95" w:rsidP="00876B95">
      <w:pPr>
        <w:pStyle w:val="DCNormParaL3"/>
      </w:pPr>
      <w:r w:rsidRPr="00426623">
        <w:t>Export fixed charges</w:t>
      </w:r>
    </w:p>
    <w:p w:rsidR="00876B95" w:rsidRPr="00426623" w:rsidRDefault="00876B95" w:rsidP="00876B95">
      <w:pPr>
        <w:pStyle w:val="DCNormParaL3"/>
      </w:pPr>
      <w:r w:rsidRPr="00426623">
        <w:t>Export capacity charges</w:t>
      </w:r>
    </w:p>
    <w:p w:rsidR="00876B95" w:rsidRPr="00426623" w:rsidRDefault="00876B95" w:rsidP="00876B95">
      <w:pPr>
        <w:pStyle w:val="DCNormParaL3"/>
      </w:pPr>
      <w:r w:rsidRPr="00426623">
        <w:t>Exceeded export capacity charges</w:t>
      </w:r>
    </w:p>
    <w:p w:rsidR="00876B95" w:rsidRPr="00426623" w:rsidRDefault="00876B95" w:rsidP="00876B95">
      <w:pPr>
        <w:pStyle w:val="DCNormParaL3"/>
      </w:pPr>
      <w:r w:rsidRPr="00426623">
        <w:t>Export super-red unit rate (credit)</w:t>
      </w:r>
    </w:p>
    <w:p w:rsidR="00876B95" w:rsidRPr="00426623" w:rsidRDefault="00876B95" w:rsidP="00876B95">
      <w:pPr>
        <w:pStyle w:val="Heading2"/>
      </w:pPr>
      <w:r w:rsidRPr="00426623">
        <w:t xml:space="preserve">The EDCM charge components for export are listed in table </w:t>
      </w:r>
      <w:r>
        <w:t>2</w:t>
      </w:r>
      <w:r w:rsidRPr="00426623">
        <w:t>.</w:t>
      </w:r>
    </w:p>
    <w:p w:rsidR="00876B95" w:rsidRPr="004D501F" w:rsidRDefault="00876B95" w:rsidP="00876B95">
      <w:pPr>
        <w:keepNext/>
        <w:spacing w:after="0"/>
        <w:jc w:val="center"/>
        <w:rPr>
          <w:b/>
        </w:rPr>
      </w:pPr>
      <w:r w:rsidRPr="004D501F">
        <w:rPr>
          <w:b/>
        </w:rPr>
        <w:lastRenderedPageBreak/>
        <w:t xml:space="preserve">Table </w:t>
      </w:r>
      <w:r>
        <w:rPr>
          <w:b/>
        </w:rPr>
        <w:t>2</w:t>
      </w:r>
      <w:r w:rsidRPr="004D501F">
        <w:rPr>
          <w:b/>
        </w:rPr>
        <w:t xml:space="preserve">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876B95" w:rsidRPr="00C70D7F" w:rsidTr="00824111">
        <w:trPr>
          <w:tblHeader/>
        </w:trPr>
        <w:tc>
          <w:tcPr>
            <w:tcW w:w="3528" w:type="dxa"/>
            <w:tcBorders>
              <w:left w:val="nil"/>
              <w:right w:val="nil"/>
            </w:tcBorders>
            <w:shd w:val="clear" w:color="auto" w:fill="C0C0C0"/>
          </w:tcPr>
          <w:p w:rsidR="00876B95" w:rsidRPr="0047148F" w:rsidRDefault="00876B95" w:rsidP="00824111">
            <w:pPr>
              <w:pStyle w:val="Table"/>
              <w:keepNext/>
              <w:rPr>
                <w:rFonts w:ascii="Times New Roman" w:hAnsi="Times New Roman"/>
                <w:b/>
                <w:sz w:val="24"/>
                <w:szCs w:val="24"/>
              </w:rPr>
            </w:pPr>
            <w:r w:rsidRPr="0047148F">
              <w:rPr>
                <w:rFonts w:ascii="Times New Roman" w:hAnsi="Times New Roman"/>
                <w:b/>
                <w:sz w:val="24"/>
                <w:szCs w:val="24"/>
              </w:rPr>
              <w:t>Charge component</w:t>
            </w:r>
          </w:p>
        </w:tc>
        <w:tc>
          <w:tcPr>
            <w:tcW w:w="1260" w:type="dxa"/>
            <w:tcBorders>
              <w:left w:val="nil"/>
              <w:right w:val="nil"/>
            </w:tcBorders>
            <w:shd w:val="clear" w:color="auto" w:fill="C0C0C0"/>
          </w:tcPr>
          <w:p w:rsidR="00876B95" w:rsidRPr="0047148F" w:rsidRDefault="00876B95" w:rsidP="00824111">
            <w:pPr>
              <w:pStyle w:val="Table"/>
              <w:keepNext/>
              <w:rPr>
                <w:rFonts w:ascii="Times New Roman" w:hAnsi="Times New Roman"/>
                <w:b/>
                <w:sz w:val="24"/>
                <w:szCs w:val="24"/>
              </w:rPr>
            </w:pPr>
            <w:r w:rsidRPr="0047148F">
              <w:rPr>
                <w:rFonts w:ascii="Times New Roman" w:hAnsi="Times New Roman"/>
                <w:b/>
                <w:sz w:val="24"/>
                <w:szCs w:val="24"/>
              </w:rPr>
              <w:t>Unit</w:t>
            </w:r>
          </w:p>
        </w:tc>
      </w:tr>
      <w:tr w:rsidR="00876B95" w:rsidRPr="00C70D7F" w:rsidTr="00824111">
        <w:tc>
          <w:tcPr>
            <w:tcW w:w="3528"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fixed charge</w:t>
            </w:r>
          </w:p>
        </w:tc>
        <w:tc>
          <w:tcPr>
            <w:tcW w:w="1260"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p/day</w:t>
            </w:r>
          </w:p>
        </w:tc>
      </w:tr>
      <w:tr w:rsidR="00876B95" w:rsidRPr="00C70D7F" w:rsidTr="00824111">
        <w:tc>
          <w:tcPr>
            <w:tcW w:w="3528"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p/kVA/day</w:t>
            </w:r>
          </w:p>
        </w:tc>
      </w:tr>
      <w:tr w:rsidR="00876B95" w:rsidRPr="00C70D7F" w:rsidTr="00824111">
        <w:tc>
          <w:tcPr>
            <w:tcW w:w="3528"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Exceeded export capacity charge</w:t>
            </w:r>
          </w:p>
        </w:tc>
        <w:tc>
          <w:tcPr>
            <w:tcW w:w="1260" w:type="dxa"/>
            <w:tcBorders>
              <w:top w:val="nil"/>
              <w:left w:val="nil"/>
              <w:bottom w:val="nil"/>
              <w:right w:val="nil"/>
            </w:tcBorders>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p/kVA/day</w:t>
            </w:r>
          </w:p>
        </w:tc>
      </w:tr>
      <w:tr w:rsidR="00876B95" w:rsidRPr="00C70D7F" w:rsidTr="00824111">
        <w:tc>
          <w:tcPr>
            <w:tcW w:w="3528"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876B95" w:rsidRPr="0047148F" w:rsidRDefault="00876B95" w:rsidP="00824111">
            <w:pPr>
              <w:pStyle w:val="Table"/>
              <w:keepNext/>
              <w:rPr>
                <w:rFonts w:ascii="Times New Roman" w:hAnsi="Times New Roman"/>
                <w:sz w:val="24"/>
                <w:szCs w:val="24"/>
              </w:rPr>
            </w:pPr>
            <w:r w:rsidRPr="0047148F">
              <w:rPr>
                <w:rFonts w:ascii="Times New Roman" w:hAnsi="Times New Roman"/>
                <w:sz w:val="24"/>
                <w:szCs w:val="24"/>
              </w:rPr>
              <w:t>p/kWh</w:t>
            </w:r>
          </w:p>
        </w:tc>
      </w:tr>
    </w:tbl>
    <w:p w:rsidR="00876B95" w:rsidRDefault="00876B95" w:rsidP="00876B95">
      <w:pPr>
        <w:pStyle w:val="Heading2"/>
        <w:spacing w:before="240"/>
      </w:pPr>
      <w:r>
        <w:t>The next section details the calculation of the elements that determine the charge components described above.</w:t>
      </w:r>
    </w:p>
    <w:p w:rsidR="00876B95" w:rsidRPr="00426623" w:rsidRDefault="00876B95" w:rsidP="00876B95">
      <w:pPr>
        <w:pStyle w:val="Heading1"/>
      </w:pPr>
      <w:bookmarkStart w:id="47" w:name="_Toc289364342"/>
      <w:bookmarkStart w:id="48" w:name="_Toc320876031"/>
      <w:bookmarkStart w:id="49" w:name="_Toc320876654"/>
      <w:bookmarkStart w:id="50" w:name="_Toc325449868"/>
      <w:bookmarkStart w:id="51" w:name="_Toc339284512"/>
      <w:bookmarkStart w:id="52" w:name="_Toc360027683"/>
      <w:bookmarkStart w:id="53" w:name="_Toc360028037"/>
      <w:bookmarkStart w:id="54" w:name="_Toc391559895"/>
      <w:bookmarkStart w:id="55" w:name="_Toc510303015"/>
      <w:bookmarkStart w:id="56" w:name="_Toc513018427"/>
      <w:bookmarkStart w:id="57" w:name="_Toc518333612"/>
      <w:r w:rsidRPr="00426623">
        <w:t>Calculation of EDCM charge components</w:t>
      </w:r>
      <w:bookmarkEnd w:id="47"/>
      <w:bookmarkEnd w:id="48"/>
      <w:bookmarkEnd w:id="49"/>
      <w:bookmarkEnd w:id="50"/>
      <w:bookmarkEnd w:id="51"/>
      <w:bookmarkEnd w:id="52"/>
      <w:bookmarkEnd w:id="53"/>
      <w:bookmarkEnd w:id="54"/>
      <w:bookmarkEnd w:id="55"/>
      <w:bookmarkEnd w:id="56"/>
      <w:bookmarkEnd w:id="57"/>
    </w:p>
    <w:p w:rsidR="00876B95" w:rsidRPr="00426623" w:rsidRDefault="00876B95" w:rsidP="00876B95">
      <w:pPr>
        <w:pStyle w:val="Heading2"/>
      </w:pPr>
      <w:r w:rsidRPr="00426623">
        <w:t xml:space="preserve">EDCM charge components are derived from tariff elements.  This section describes the method for calculating each of these charge elements. </w:t>
      </w:r>
    </w:p>
    <w:p w:rsidR="00876B95" w:rsidRPr="00426623" w:rsidRDefault="00876B95" w:rsidP="00876B95">
      <w:pPr>
        <w:pStyle w:val="Heading1"/>
      </w:pPr>
      <w:bookmarkStart w:id="58" w:name="_Toc360027684"/>
      <w:bookmarkStart w:id="59" w:name="_Toc360028038"/>
      <w:bookmarkStart w:id="60" w:name="_Toc391559896"/>
      <w:bookmarkStart w:id="61" w:name="_Toc510303016"/>
      <w:bookmarkStart w:id="62" w:name="_Toc513018428"/>
      <w:bookmarkStart w:id="63" w:name="_Toc518333613"/>
      <w:r w:rsidRPr="00426623">
        <w:t>Chargeable export capacity for export charges</w:t>
      </w:r>
      <w:bookmarkEnd w:id="58"/>
      <w:bookmarkEnd w:id="59"/>
      <w:bookmarkEnd w:id="60"/>
      <w:bookmarkEnd w:id="61"/>
      <w:bookmarkEnd w:id="62"/>
      <w:bookmarkEnd w:id="63"/>
    </w:p>
    <w:p w:rsidR="00876B95" w:rsidRPr="00426623" w:rsidRDefault="00876B95" w:rsidP="00876B95">
      <w:pPr>
        <w:pStyle w:val="Heading2"/>
      </w:pPr>
      <w:r w:rsidRPr="00426623">
        <w:t>The Chargeable Export Capacity for each Connectee is defined as the Maximum Export Capacity minus any capacity that is exempt from use of system charges in the charging year.</w:t>
      </w:r>
    </w:p>
    <w:p w:rsidR="00876B95" w:rsidRPr="00426623" w:rsidRDefault="00876B95" w:rsidP="00876B95">
      <w:pPr>
        <w:pStyle w:val="Heading1"/>
      </w:pPr>
      <w:bookmarkStart w:id="64" w:name="_Toc360027685"/>
      <w:bookmarkStart w:id="65" w:name="_Toc360028039"/>
      <w:bookmarkStart w:id="66" w:name="_Toc391559897"/>
      <w:bookmarkStart w:id="67" w:name="_Toc510303017"/>
      <w:bookmarkStart w:id="68" w:name="_Toc513018429"/>
      <w:bookmarkStart w:id="69" w:name="_Toc518333614"/>
      <w:r w:rsidRPr="00426623">
        <w:t>Application of FCP charge 1</w:t>
      </w:r>
      <w:bookmarkEnd w:id="64"/>
      <w:bookmarkEnd w:id="65"/>
      <w:bookmarkEnd w:id="66"/>
      <w:bookmarkEnd w:id="67"/>
      <w:bookmarkEnd w:id="68"/>
      <w:bookmarkEnd w:id="69"/>
    </w:p>
    <w:p w:rsidR="00876B95" w:rsidRDefault="00876B95" w:rsidP="00876B95">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rsidR="00876B95" w:rsidRDefault="00876B95" w:rsidP="00876B95">
      <w:pPr>
        <w:pStyle w:val="Heading2"/>
      </w:pPr>
      <w:r>
        <w:t xml:space="preserve">The import </w:t>
      </w:r>
      <w:proofErr w:type="gramStart"/>
      <w:r>
        <w:t>charges for the application of charge 1 is</w:t>
      </w:r>
      <w:proofErr w:type="gramEnd"/>
      <w:r>
        <w:t xml:space="preserve"> given by the formulas: </w:t>
      </w:r>
    </w:p>
    <w:p w:rsidR="00876B95" w:rsidRPr="003F67BD" w:rsidRDefault="00876B95" w:rsidP="00876B95">
      <w:pPr>
        <w:ind w:left="720"/>
        <w:rPr>
          <w:rStyle w:val="Strong"/>
          <w:b w:val="0"/>
        </w:rPr>
      </w:pPr>
      <w:r w:rsidRPr="003F67BD">
        <w:rPr>
          <w:rStyle w:val="Strong"/>
          <w:b w:val="0"/>
        </w:rPr>
        <w:t>For Connectees with zero average kW/kVA:</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p/kWh</w:t>
      </w:r>
      <w:proofErr w:type="gramEnd"/>
      <w:r w:rsidRPr="003F67BD">
        <w:rPr>
          <w:rStyle w:val="Strong"/>
          <w:b w:val="0"/>
        </w:rPr>
        <w:t xml:space="preserve"> super-red rate] = ([parent charge 1 £/kVA/</w:t>
      </w:r>
      <w:proofErr w:type="spellStart"/>
      <w:r w:rsidRPr="003F67BD">
        <w:rPr>
          <w:rStyle w:val="Strong"/>
          <w:b w:val="0"/>
        </w:rPr>
        <w:t>yr</w:t>
      </w:r>
      <w:proofErr w:type="spellEnd"/>
      <w:r w:rsidRPr="003F67BD">
        <w:rPr>
          <w:rStyle w:val="Strong"/>
          <w:b w:val="0"/>
        </w:rPr>
        <w:t>] * (</w:t>
      </w:r>
      <w:proofErr w:type="gramStart"/>
      <w:r w:rsidRPr="003F67BD">
        <w:rPr>
          <w:rStyle w:val="Strong"/>
          <w:b w:val="0"/>
        </w:rPr>
        <w:t>abs[</w:t>
      </w:r>
      <w:proofErr w:type="gramEnd"/>
      <w:r w:rsidRPr="003F67BD">
        <w:rPr>
          <w:rStyle w:val="Strong"/>
          <w:b w:val="0"/>
        </w:rPr>
        <w:t>A1] / (SQRT(A1^2 + R1^2)) / [Super-red hours] *100) + ([grandparent charge 1 £/kVA/</w:t>
      </w:r>
      <w:proofErr w:type="spellStart"/>
      <w:r w:rsidRPr="003F67BD">
        <w:rPr>
          <w:rStyle w:val="Strong"/>
          <w:b w:val="0"/>
        </w:rPr>
        <w:t>yr</w:t>
      </w:r>
      <w:proofErr w:type="spellEnd"/>
      <w:r w:rsidRPr="003F67BD">
        <w:rPr>
          <w:rStyle w:val="Strong"/>
          <w:b w:val="0"/>
        </w:rPr>
        <w:t>] * (abs[A2] / (SQRT(A2^2 + R2^2)) / [Super-red hours] *100)</w:t>
      </w:r>
    </w:p>
    <w:p w:rsidR="00876B95" w:rsidRPr="003F67BD" w:rsidRDefault="00876B95" w:rsidP="00876B95">
      <w:pPr>
        <w:ind w:left="720"/>
        <w:rPr>
          <w:rStyle w:val="Strong"/>
          <w:b w:val="0"/>
        </w:rPr>
      </w:pPr>
      <w:r w:rsidRPr="003F67BD">
        <w:rPr>
          <w:rStyle w:val="Strong"/>
          <w:b w:val="0"/>
        </w:rPr>
        <w:lastRenderedPageBreak/>
        <w:t>[</w:t>
      </w:r>
      <w:proofErr w:type="gramStart"/>
      <w:r w:rsidRPr="003F67BD">
        <w:rPr>
          <w:rStyle w:val="Strong"/>
          <w:b w:val="0"/>
        </w:rPr>
        <w:t>p/kVA/day</w:t>
      </w:r>
      <w:proofErr w:type="gramEnd"/>
      <w:r w:rsidRPr="003F67BD">
        <w:rPr>
          <w:rStyle w:val="Strong"/>
          <w:b w:val="0"/>
        </w:rPr>
        <w:t xml:space="preserve"> capacity charge] = ([network charge 1 £/kVA/year] /[days in Charging Year]*100) + ([parent charge 1 £/kVA/</w:t>
      </w:r>
      <w:proofErr w:type="spellStart"/>
      <w:r w:rsidRPr="003F67BD">
        <w:rPr>
          <w:rStyle w:val="Strong"/>
          <w:b w:val="0"/>
        </w:rPr>
        <w:t>yr</w:t>
      </w:r>
      <w:proofErr w:type="spellEnd"/>
      <w:r w:rsidRPr="003F67BD">
        <w:rPr>
          <w:rStyle w:val="Strong"/>
          <w:b w:val="0"/>
        </w:rPr>
        <w:t xml:space="preserve">]  * (–R1 * Average </w:t>
      </w:r>
      <w:proofErr w:type="spellStart"/>
      <w:r w:rsidRPr="003F67BD">
        <w:rPr>
          <w:rStyle w:val="Strong"/>
          <w:b w:val="0"/>
        </w:rPr>
        <w:t>kVAr</w:t>
      </w:r>
      <w:proofErr w:type="spellEnd"/>
      <w:r w:rsidRPr="003F67BD">
        <w:rPr>
          <w:rStyle w:val="Strong"/>
          <w:b w:val="0"/>
        </w:rPr>
        <w:t>/kVA]) / (SQRT(A1^2 + R1^2)) / [days in Charging Year] *100) + ([grandparent charge 1 £/kVA/</w:t>
      </w:r>
      <w:proofErr w:type="spellStart"/>
      <w:r w:rsidRPr="003F67BD">
        <w:rPr>
          <w:rStyle w:val="Strong"/>
          <w:b w:val="0"/>
        </w:rPr>
        <w:t>yr</w:t>
      </w:r>
      <w:proofErr w:type="spellEnd"/>
      <w:r w:rsidRPr="003F67BD">
        <w:rPr>
          <w:rStyle w:val="Strong"/>
          <w:b w:val="0"/>
        </w:rPr>
        <w:t xml:space="preserve">]  * (–R2 * [Average </w:t>
      </w:r>
      <w:proofErr w:type="spellStart"/>
      <w:r w:rsidRPr="003F67BD">
        <w:rPr>
          <w:rStyle w:val="Strong"/>
          <w:b w:val="0"/>
        </w:rPr>
        <w:t>kVAr</w:t>
      </w:r>
      <w:proofErr w:type="spellEnd"/>
      <w:r w:rsidRPr="003F67BD">
        <w:rPr>
          <w:rStyle w:val="Strong"/>
          <w:b w:val="0"/>
        </w:rPr>
        <w:t>/kVA]) / (SQRT(A2^2 + R2^2)) / [days in Charging Year] *100)</w:t>
      </w:r>
    </w:p>
    <w:p w:rsidR="00876B95" w:rsidRPr="003F67BD" w:rsidRDefault="00876B95" w:rsidP="00876B95">
      <w:pPr>
        <w:ind w:left="720"/>
        <w:rPr>
          <w:rStyle w:val="Strong"/>
          <w:b w:val="0"/>
        </w:rPr>
      </w:pPr>
      <w:r w:rsidRPr="003F67BD">
        <w:rPr>
          <w:rStyle w:val="Strong"/>
          <w:b w:val="0"/>
        </w:rPr>
        <w:t xml:space="preserve">For all other Connectees: </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p/kWh</w:t>
      </w:r>
      <w:proofErr w:type="gramEnd"/>
      <w:r w:rsidRPr="003F67BD">
        <w:rPr>
          <w:rStyle w:val="Strong"/>
          <w:b w:val="0"/>
        </w:rPr>
        <w:t xml:space="preserve"> super-red rate] = [parent charge 1 £/kVA/</w:t>
      </w:r>
      <w:proofErr w:type="spellStart"/>
      <w:r w:rsidRPr="003F67BD">
        <w:rPr>
          <w:rStyle w:val="Strong"/>
          <w:b w:val="0"/>
        </w:rPr>
        <w:t>yr</w:t>
      </w:r>
      <w:proofErr w:type="spellEnd"/>
      <w:r w:rsidRPr="003F67BD">
        <w:rPr>
          <w:rStyle w:val="Strong"/>
          <w:b w:val="0"/>
        </w:rPr>
        <w:t xml:space="preserve">] * (abs[A1] – (R1 * ([Average </w:t>
      </w:r>
      <w:proofErr w:type="spellStart"/>
      <w:r w:rsidRPr="003F67BD">
        <w:rPr>
          <w:rStyle w:val="Strong"/>
          <w:b w:val="0"/>
        </w:rPr>
        <w:t>kVAr</w:t>
      </w:r>
      <w:proofErr w:type="spellEnd"/>
      <w:r w:rsidRPr="003F67BD">
        <w:rPr>
          <w:rStyle w:val="Strong"/>
          <w:b w:val="0"/>
        </w:rPr>
        <w:t>/kVA] / [Average kW/kVA])) / (SQRT(A1^2 + R1^2)) / [Super-red hours] *100 + ([grandparent charge 1 £/kVA/</w:t>
      </w:r>
      <w:proofErr w:type="spellStart"/>
      <w:r w:rsidRPr="003F67BD">
        <w:rPr>
          <w:rStyle w:val="Strong"/>
          <w:b w:val="0"/>
        </w:rPr>
        <w:t>yr</w:t>
      </w:r>
      <w:proofErr w:type="spellEnd"/>
      <w:r w:rsidRPr="003F67BD">
        <w:rPr>
          <w:rStyle w:val="Strong"/>
          <w:b w:val="0"/>
        </w:rPr>
        <w:t xml:space="preserve">] * (abs[A2] – (R2 * ([Average </w:t>
      </w:r>
      <w:proofErr w:type="spellStart"/>
      <w:r w:rsidRPr="003F67BD">
        <w:rPr>
          <w:rStyle w:val="Strong"/>
          <w:b w:val="0"/>
        </w:rPr>
        <w:t>kVAr</w:t>
      </w:r>
      <w:proofErr w:type="spellEnd"/>
      <w:r w:rsidRPr="003F67BD">
        <w:rPr>
          <w:rStyle w:val="Strong"/>
          <w:b w:val="0"/>
        </w:rPr>
        <w:t>/kVA] / [Average kW/kVA])) / (SQRT(A2^2 + R2^2)) / [Super-red hours] *100)</w:t>
      </w:r>
    </w:p>
    <w:p w:rsidR="00876B95" w:rsidRPr="003F67BD" w:rsidRDefault="00876B95" w:rsidP="00876B95">
      <w:pPr>
        <w:ind w:left="720"/>
        <w:rPr>
          <w:rStyle w:val="Strong"/>
          <w:b w:val="0"/>
        </w:rPr>
      </w:pPr>
      <w:r w:rsidRPr="003F67BD">
        <w:rPr>
          <w:rStyle w:val="Strong"/>
          <w:b w:val="0"/>
        </w:rPr>
        <w:t>[</w:t>
      </w:r>
      <w:proofErr w:type="gramStart"/>
      <w:r w:rsidRPr="003F67BD">
        <w:rPr>
          <w:rStyle w:val="Strong"/>
          <w:b w:val="0"/>
        </w:rPr>
        <w:t>p/kVA/day</w:t>
      </w:r>
      <w:proofErr w:type="gramEnd"/>
      <w:r w:rsidRPr="003F67BD">
        <w:rPr>
          <w:rStyle w:val="Strong"/>
          <w:b w:val="0"/>
        </w:rPr>
        <w:t xml:space="preserve"> capacity charge] = [network group charge 1 £/kVA/year] / [days in Charging Year]*100</w:t>
      </w:r>
    </w:p>
    <w:p w:rsidR="00876B95" w:rsidRDefault="00876B95" w:rsidP="00876B95">
      <w:pPr>
        <w:ind w:left="720"/>
      </w:pPr>
      <w:r>
        <w:t>Where:</w:t>
      </w:r>
    </w:p>
    <w:p w:rsidR="00876B95" w:rsidRDefault="00876B95" w:rsidP="00876B95">
      <w:pPr>
        <w:ind w:left="720"/>
      </w:pPr>
      <w:r>
        <w:t>A1 and R1 are the values of the active power flow and reactive power flow modelled through the parent network group in the maximum demand scenario.</w:t>
      </w:r>
    </w:p>
    <w:p w:rsidR="00876B95" w:rsidRDefault="00876B95" w:rsidP="00876B95">
      <w:pPr>
        <w:ind w:left="720"/>
      </w:pPr>
      <w:r>
        <w:t>A2 and R2 are the values of the active power flow and reactive power flow modelled through the grandparent network group in the maximum demand scenario.</w:t>
      </w:r>
    </w:p>
    <w:p w:rsidR="00876B95" w:rsidRDefault="00876B95" w:rsidP="00876B95">
      <w:pPr>
        <w:ind w:left="720"/>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rsidR="00876B95" w:rsidRDefault="00876B95" w:rsidP="00876B95">
      <w:pPr>
        <w:ind w:left="720"/>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rsidR="00876B95" w:rsidRDefault="00876B95" w:rsidP="00876B95">
      <w:pPr>
        <w:ind w:left="720"/>
      </w:pPr>
      <w:r>
        <w:t>Any negative contributions to the [p/kVA/day capacity charge] or the [p/kWh super-red rate] from the parent or the grandparent network groups are set to zero.</w:t>
      </w:r>
    </w:p>
    <w:p w:rsidR="00876B95" w:rsidRDefault="00876B95" w:rsidP="00876B95">
      <w:pPr>
        <w:ind w:left="720"/>
      </w:pPr>
      <w:r>
        <w:t>Super red hours are the number of hours in the DNO Party’s super-red time band.</w:t>
      </w:r>
    </w:p>
    <w:p w:rsidR="00876B95" w:rsidRPr="00426623" w:rsidRDefault="00876B95" w:rsidP="00876B95">
      <w:pPr>
        <w:ind w:left="720"/>
      </w:pPr>
      <w:r>
        <w:lastRenderedPageBreak/>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rsidR="00876B95" w:rsidRPr="00426623" w:rsidRDefault="00876B95" w:rsidP="00876B95">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rsidR="00876B95" w:rsidRPr="00426623" w:rsidRDefault="00876B95" w:rsidP="00876B95">
      <w:pPr>
        <w:pStyle w:val="DCNormParaL3"/>
        <w:ind w:left="720"/>
      </w:pPr>
      <w:r w:rsidRPr="00426623">
        <w:t>[</w:t>
      </w:r>
      <w:proofErr w:type="gramStart"/>
      <w:r w:rsidRPr="00426623">
        <w:t>p/kWh</w:t>
      </w:r>
      <w:proofErr w:type="gramEnd"/>
      <w:r w:rsidRPr="00426623">
        <w:t xml:space="preserve"> super-red export rate] = -100*[Proportion eligible for charge 1 credits] *([network charge 1 £/kVA/year] + [parent charge 1 £/kVA/year] + [grandparent charge 1 £/kVA/year]) * ([Chargeable export capacity]</w:t>
      </w:r>
      <w:proofErr w:type="gramStart"/>
      <w:r w:rsidRPr="00426623">
        <w:t>/[</w:t>
      </w:r>
      <w:proofErr w:type="gramEnd"/>
      <w:r w:rsidRPr="00426623">
        <w:t>Maximum export capacity]) /[number of hours in the super-red time band]</w:t>
      </w:r>
    </w:p>
    <w:p w:rsidR="00876B95" w:rsidRPr="00426623" w:rsidRDefault="00876B95" w:rsidP="00876B95">
      <w:pPr>
        <w:pStyle w:val="DCNormParaL3"/>
        <w:ind w:left="720"/>
      </w:pPr>
      <w:r w:rsidRPr="00426623">
        <w:t>Where:</w:t>
      </w:r>
    </w:p>
    <w:p w:rsidR="00876B95" w:rsidRPr="00426623" w:rsidRDefault="00876B95" w:rsidP="00876B95">
      <w:pPr>
        <w:pStyle w:val="DCNormParaL3"/>
        <w:ind w:left="720"/>
      </w:pPr>
      <w:r w:rsidRPr="00426623">
        <w:t xml:space="preserve">The proportion eligible for charge 1 credits is zero if the F factor that is assigned to the Connectee as described in the FCP methodology is equal to </w:t>
      </w:r>
      <w:proofErr w:type="gramStart"/>
      <w:r w:rsidRPr="00426623">
        <w:t>zero,</w:t>
      </w:r>
      <w:proofErr w:type="gramEnd"/>
      <w:r w:rsidRPr="00426623">
        <w:t xml:space="preserve"> and 1 otherwise.</w:t>
      </w:r>
    </w:p>
    <w:p w:rsidR="00876B95" w:rsidRPr="00426623" w:rsidRDefault="00876B95" w:rsidP="00876B95">
      <w:pPr>
        <w:pStyle w:val="DCNormParaL3"/>
        <w:ind w:left="720"/>
      </w:pPr>
      <w:r w:rsidRPr="00426623">
        <w:t xml:space="preserve">The super-red generation rate is not applied to Connectees with zero Chargeable Export Capacity.  </w:t>
      </w:r>
    </w:p>
    <w:p w:rsidR="00876B95" w:rsidRPr="00426623" w:rsidRDefault="00876B95" w:rsidP="00876B95">
      <w:pPr>
        <w:pStyle w:val="Heading1"/>
      </w:pPr>
      <w:bookmarkStart w:id="70" w:name="_Toc289364347"/>
      <w:bookmarkStart w:id="71" w:name="_Toc320876034"/>
      <w:bookmarkStart w:id="72" w:name="_Toc320876657"/>
      <w:bookmarkStart w:id="73" w:name="_Toc325449871"/>
      <w:bookmarkStart w:id="74" w:name="_Toc339284515"/>
      <w:bookmarkStart w:id="75" w:name="_Toc360027686"/>
      <w:bookmarkStart w:id="76" w:name="_Toc360028040"/>
      <w:bookmarkStart w:id="77" w:name="_Toc391559898"/>
      <w:bookmarkStart w:id="78" w:name="_Toc510303018"/>
      <w:bookmarkStart w:id="79" w:name="_Toc513018430"/>
      <w:bookmarkStart w:id="80" w:name="_Toc518333615"/>
      <w:r w:rsidRPr="00426623">
        <w:t>No application of negative charges</w:t>
      </w:r>
      <w:bookmarkEnd w:id="70"/>
      <w:bookmarkEnd w:id="71"/>
      <w:bookmarkEnd w:id="72"/>
      <w:bookmarkEnd w:id="73"/>
      <w:bookmarkEnd w:id="74"/>
      <w:bookmarkEnd w:id="75"/>
      <w:bookmarkEnd w:id="76"/>
      <w:bookmarkEnd w:id="77"/>
      <w:bookmarkEnd w:id="78"/>
      <w:bookmarkEnd w:id="79"/>
      <w:bookmarkEnd w:id="80"/>
    </w:p>
    <w:p w:rsidR="00876B95" w:rsidRPr="00426623" w:rsidRDefault="00876B95" w:rsidP="00876B95">
      <w:pPr>
        <w:pStyle w:val="Heading2"/>
      </w:pPr>
      <w:r w:rsidRPr="00426623">
        <w:t xml:space="preserve">Under FCP, charge 1 is either zero or positive. Any negative values of Charge 1 are set to zero.  </w:t>
      </w:r>
    </w:p>
    <w:p w:rsidR="00876B95" w:rsidRPr="00426623" w:rsidRDefault="00876B95" w:rsidP="00876B95">
      <w:pPr>
        <w:pStyle w:val="Heading1"/>
      </w:pPr>
      <w:bookmarkStart w:id="81" w:name="_Toc289364348"/>
      <w:bookmarkStart w:id="82" w:name="_Toc320876035"/>
      <w:bookmarkStart w:id="83" w:name="_Toc320876658"/>
      <w:bookmarkStart w:id="84" w:name="_Toc325449872"/>
      <w:bookmarkStart w:id="85" w:name="_Toc339284516"/>
      <w:bookmarkStart w:id="86" w:name="_Toc360027687"/>
      <w:bookmarkStart w:id="87" w:name="_Toc360028041"/>
      <w:bookmarkStart w:id="88" w:name="_Toc391559899"/>
      <w:bookmarkStart w:id="89" w:name="_Toc510303019"/>
      <w:bookmarkStart w:id="90" w:name="_Toc513018431"/>
      <w:bookmarkStart w:id="91" w:name="_Toc518333616"/>
      <w:r w:rsidRPr="00426623">
        <w:lastRenderedPageBreak/>
        <w:t>Demand side management (DSM)</w:t>
      </w:r>
      <w:bookmarkEnd w:id="81"/>
      <w:bookmarkEnd w:id="82"/>
      <w:bookmarkEnd w:id="83"/>
      <w:bookmarkEnd w:id="84"/>
      <w:bookmarkEnd w:id="85"/>
      <w:r w:rsidRPr="00426623">
        <w:t xml:space="preserve"> and Generation side management (GSM)</w:t>
      </w:r>
      <w:bookmarkEnd w:id="86"/>
      <w:bookmarkEnd w:id="87"/>
      <w:bookmarkEnd w:id="88"/>
      <w:bookmarkEnd w:id="89"/>
      <w:bookmarkEnd w:id="90"/>
      <w:bookmarkEnd w:id="91"/>
    </w:p>
    <w:p w:rsidR="00876B95" w:rsidRPr="00426623" w:rsidRDefault="00876B95" w:rsidP="00876B95">
      <w:pPr>
        <w:pStyle w:val="Heading2"/>
      </w:pPr>
      <w:r w:rsidRPr="00426623">
        <w:t xml:space="preserve">Some EDCM Customers are subject to demand side management (DSM) or generation side management (GSM) agreements.  </w:t>
      </w:r>
    </w:p>
    <w:p w:rsidR="00876B95" w:rsidRPr="00426623" w:rsidRDefault="00876B95" w:rsidP="00876B95">
      <w:pPr>
        <w:pStyle w:val="Heading2"/>
      </w:pPr>
      <w:r w:rsidRPr="00426623">
        <w:t xml:space="preserve">For Connectees with DSM agreements, let “chargeable capacity” </w:t>
      </w:r>
      <w:proofErr w:type="gramStart"/>
      <w:r w:rsidRPr="00426623">
        <w:t>be</w:t>
      </w:r>
      <w:proofErr w:type="gramEnd"/>
      <w:r w:rsidRPr="00426623">
        <w:t xml:space="preserve"> equal to the Maximum Import Capacity minus the capacity that is subject to restrictions under a DSM agreement. These restrictions would take into account any seasonal variations built into these agreements.  </w:t>
      </w:r>
    </w:p>
    <w:p w:rsidR="00876B95" w:rsidRPr="00426623" w:rsidRDefault="00876B95" w:rsidP="00876B95">
      <w:pPr>
        <w:pStyle w:val="Heading2"/>
      </w:pPr>
      <w:r w:rsidRPr="00426623">
        <w:t>For Connectees with DSM agreements, DSM-adjusted local and remote (or parent and grandparent) elements of the FCP charge are calculated as the product of the ratio of “chargeable capacity” to Maximum Import Capacity and the unadjusted elements of the FCP charge. Where the Maximum Import Capacity is zero, this ratio is set to 1. The DSM-adjusted local element of the FCP charge 1 is applied to the Maximum Import Capacity, and the DSM-adjusted remote (or parent and grandparent) element of the FCP charge 1 is applied to units consumed during the super-red time band.</w:t>
      </w:r>
    </w:p>
    <w:p w:rsidR="00876B95" w:rsidRPr="00426623" w:rsidRDefault="00876B95" w:rsidP="00876B95">
      <w:pPr>
        <w:pStyle w:val="Heading2"/>
      </w:pPr>
      <w:r w:rsidRPr="00426623">
        <w:t>For Connectees with GSM agreements, no adjustments are made in the EDCM.</w:t>
      </w:r>
    </w:p>
    <w:p w:rsidR="00876B95" w:rsidRDefault="00876B95" w:rsidP="00876B95">
      <w:pPr>
        <w:pStyle w:val="Heading1"/>
      </w:pPr>
      <w:bookmarkStart w:id="92" w:name="_Toc360027688"/>
      <w:bookmarkStart w:id="93" w:name="_Toc360028042"/>
      <w:bookmarkStart w:id="94" w:name="_Toc391559900"/>
      <w:bookmarkStart w:id="95" w:name="_Toc510303020"/>
      <w:bookmarkStart w:id="96" w:name="_Toc513018432"/>
      <w:bookmarkStart w:id="97" w:name="_Toc518333617"/>
      <w:r>
        <w:t>Transmission connection (exit) charges for demand</w:t>
      </w:r>
      <w:bookmarkEnd w:id="92"/>
      <w:bookmarkEnd w:id="93"/>
      <w:bookmarkEnd w:id="94"/>
      <w:bookmarkEnd w:id="95"/>
      <w:bookmarkEnd w:id="96"/>
      <w:bookmarkEnd w:id="97"/>
      <w:r>
        <w:t xml:space="preserve"> </w:t>
      </w:r>
    </w:p>
    <w:p w:rsidR="00876B95" w:rsidRDefault="00876B95" w:rsidP="00876B95">
      <w:pPr>
        <w:pStyle w:val="Heading2"/>
      </w:pPr>
      <w:r>
        <w:t xml:space="preserve">A separate transmission exit charge is applied to demand tariffs.  </w:t>
      </w:r>
    </w:p>
    <w:p w:rsidR="00876B95" w:rsidRDefault="00876B95" w:rsidP="00876B95">
      <w:pPr>
        <w:pStyle w:val="Heading2"/>
      </w:pPr>
      <w:r>
        <w:t>A single charging rate, in p/kW/day is calculated as follows:</w:t>
      </w:r>
    </w:p>
    <w:p w:rsidR="00876B95" w:rsidRDefault="00876B95" w:rsidP="00876B95">
      <w:pPr>
        <w:pStyle w:val="DCNormParaL3"/>
        <w:ind w:left="720"/>
      </w:pPr>
      <w:r>
        <w:t xml:space="preserve">Transmission exit charging rate p/kW/day = 100 / DC * NGET charge / (CDCM system maximum load + total EDCM peak time consumption)  </w:t>
      </w:r>
    </w:p>
    <w:p w:rsidR="00876B95" w:rsidRDefault="00876B95" w:rsidP="00876B95">
      <w:pPr>
        <w:pStyle w:val="DCNormParaL3"/>
        <w:ind w:left="720"/>
      </w:pPr>
      <w:r>
        <w:t>Where:</w:t>
      </w:r>
    </w:p>
    <w:p w:rsidR="00876B95" w:rsidRDefault="00876B95" w:rsidP="00876B95">
      <w:pPr>
        <w:pStyle w:val="DCNormParaL3"/>
        <w:ind w:left="720"/>
      </w:pPr>
      <w:r>
        <w:t>DC is the number of days in the Charging Year.</w:t>
      </w:r>
    </w:p>
    <w:p w:rsidR="00876B95" w:rsidRDefault="00876B95" w:rsidP="00876B95">
      <w:pPr>
        <w:pStyle w:val="DCNormParaL3"/>
        <w:ind w:left="720"/>
      </w:pPr>
      <w:r>
        <w:t>NGET charge is the DNO Party’s forecast annual expenditure on transmission connection point charges in £.</w:t>
      </w:r>
    </w:p>
    <w:p w:rsidR="00876B95" w:rsidRDefault="00876B95" w:rsidP="00876B95">
      <w:pPr>
        <w:pStyle w:val="DCNormParaL3"/>
        <w:ind w:left="720"/>
      </w:pPr>
      <w:r>
        <w:lastRenderedPageBreak/>
        <w:t>CDCM system maximum load is the forecast system simultaneous maximum load from CDCM Connectees (in kW) from CDCM table 2506.</w:t>
      </w:r>
    </w:p>
    <w:p w:rsidR="00876B95" w:rsidRDefault="00876B95" w:rsidP="00876B95">
      <w:pPr>
        <w:pStyle w:val="DCNormParaL3"/>
        <w:ind w:left="720"/>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rsidR="00876B95" w:rsidRDefault="00876B95" w:rsidP="00876B95">
      <w:pPr>
        <w:pStyle w:val="Heading2"/>
      </w:pPr>
      <w:r>
        <w:t>The single p/kW/day charging rate is converted into a p/kVA/day import capacity based charge for each EDCM Connectee as follows:</w:t>
      </w:r>
    </w:p>
    <w:p w:rsidR="00876B95" w:rsidRDefault="00876B95" w:rsidP="00876B95">
      <w:pPr>
        <w:pStyle w:val="DCNormParaL3"/>
        <w:ind w:left="720"/>
      </w:pPr>
      <w:r>
        <w:t>Transmission exit charge p/kVA/day = [Transmission exit charging rate in p/kW/day] * [Forecast peak-time kW divided by kVA of that Connectee, adjusted for transmission losses and, if necessary for Connectees connected part of the year]</w:t>
      </w:r>
    </w:p>
    <w:p w:rsidR="00876B95" w:rsidRPr="00426623" w:rsidRDefault="00876B95" w:rsidP="00876B95">
      <w:pPr>
        <w:pStyle w:val="Heading1"/>
      </w:pPr>
      <w:bookmarkStart w:id="98" w:name="_Toc289364351"/>
      <w:bookmarkStart w:id="99" w:name="_Toc360027689"/>
      <w:bookmarkStart w:id="100" w:name="_Toc360028043"/>
      <w:bookmarkStart w:id="101" w:name="_Toc391559901"/>
      <w:bookmarkStart w:id="102" w:name="_Toc510303021"/>
      <w:bookmarkStart w:id="103" w:name="_Toc513018433"/>
      <w:bookmarkStart w:id="104" w:name="_Toc518333618"/>
      <w:r w:rsidRPr="00426623">
        <w:t>Transmission connection (exit) credits for generators</w:t>
      </w:r>
      <w:bookmarkEnd w:id="98"/>
      <w:bookmarkEnd w:id="99"/>
      <w:bookmarkEnd w:id="100"/>
      <w:bookmarkEnd w:id="101"/>
      <w:bookmarkEnd w:id="102"/>
      <w:bookmarkEnd w:id="103"/>
      <w:bookmarkEnd w:id="104"/>
    </w:p>
    <w:p w:rsidR="00876B95" w:rsidRPr="00426623" w:rsidRDefault="00876B95" w:rsidP="00876B95">
      <w:pPr>
        <w:pStyle w:val="Heading2"/>
      </w:pPr>
      <w:r w:rsidRPr="00426623">
        <w:t xml:space="preserve">A capacity-based credit related to transmission exit is applied to generation tariffs. </w:t>
      </w:r>
    </w:p>
    <w:p w:rsidR="00876B95" w:rsidRPr="00426623" w:rsidRDefault="00876B95" w:rsidP="00876B95">
      <w:pPr>
        <w:pStyle w:val="Heading2"/>
      </w:pPr>
      <w:r w:rsidRPr="00426623">
        <w:t xml:space="preserve">Transmission exit credits are 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p w:rsidR="00876B95" w:rsidRPr="00426623" w:rsidRDefault="00876B95" w:rsidP="00876B95">
      <w:pPr>
        <w:pStyle w:val="Heading2"/>
      </w:pPr>
      <w:r w:rsidRPr="00426623">
        <w:t>The rate in p/kVA/day for each generation customer would be calculated as follows:</w:t>
      </w:r>
    </w:p>
    <w:p w:rsidR="00876B95" w:rsidRPr="00426623" w:rsidRDefault="00876B95" w:rsidP="00876B95">
      <w:pPr>
        <w:pStyle w:val="DCNormParaL3"/>
        <w:ind w:left="720"/>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rsidR="00876B95" w:rsidRPr="00426623" w:rsidRDefault="00876B95" w:rsidP="00876B95">
      <w:pPr>
        <w:pStyle w:val="DCNormParaL3"/>
        <w:ind w:left="720"/>
      </w:pPr>
      <w:r w:rsidRPr="00426623">
        <w:t>Where:</w:t>
      </w:r>
    </w:p>
    <w:p w:rsidR="00876B95" w:rsidRPr="00426623" w:rsidRDefault="00876B95" w:rsidP="00876B95">
      <w:pPr>
        <w:pStyle w:val="DCNormParaL3"/>
        <w:ind w:left="720"/>
      </w:pPr>
      <w:r w:rsidRPr="00426623">
        <w:t>Transmission exit charging rate in p/kW/day is calculated as described for demand tariffs.</w:t>
      </w:r>
    </w:p>
    <w:p w:rsidR="00876B95" w:rsidRPr="00426623" w:rsidRDefault="00876B95" w:rsidP="00876B95">
      <w:pPr>
        <w:pStyle w:val="DCNormParaL3"/>
        <w:ind w:left="720"/>
      </w:pPr>
      <w:r w:rsidRPr="00426623">
        <w:t>Capacity eligible for credits (in kW) is the capacity that is made available by the generator under the agreement with the DNO.</w:t>
      </w:r>
    </w:p>
    <w:p w:rsidR="00876B95" w:rsidRPr="00426623" w:rsidRDefault="00876B95" w:rsidP="00876B95">
      <w:pPr>
        <w:pStyle w:val="DCNormParaL3"/>
        <w:ind w:left="720"/>
      </w:pPr>
      <w:r w:rsidRPr="00426623">
        <w:lastRenderedPageBreak/>
        <w:t>Chargeable Export Capacity (in kVA) is the forecast average value of the maximum export capacity of the generator over the charging year, less any capacity that is exempt from use of system charges in the charging year.</w:t>
      </w:r>
    </w:p>
    <w:p w:rsidR="00876B95" w:rsidRPr="00426623" w:rsidRDefault="00876B95" w:rsidP="00876B95">
      <w:pPr>
        <w:pStyle w:val="DCNormParaL3"/>
        <w:ind w:left="720"/>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rsidR="00876B95" w:rsidRDefault="00876B95" w:rsidP="00876B95">
      <w:pPr>
        <w:pStyle w:val="Heading2"/>
      </w:pPr>
      <w:r w:rsidRPr="00426623">
        <w:t xml:space="preserve">Transmission connection (exit) credits are applied to the Chargeable Export Capacity (in kVA) </w:t>
      </w:r>
      <w:bookmarkStart w:id="105" w:name="_Toc289364350"/>
      <w:bookmarkStart w:id="106" w:name="_Toc320876037"/>
      <w:bookmarkStart w:id="107" w:name="_Toc320876660"/>
      <w:bookmarkStart w:id="108" w:name="_Toc325449874"/>
      <w:bookmarkStart w:id="109" w:name="_Toc339284518"/>
    </w:p>
    <w:p w:rsidR="00876B95" w:rsidRPr="00426623" w:rsidRDefault="00876B95" w:rsidP="00876B95">
      <w:pPr>
        <w:pStyle w:val="Heading1"/>
      </w:pPr>
      <w:bookmarkStart w:id="110" w:name="_Toc360027690"/>
      <w:bookmarkStart w:id="111" w:name="_Toc360028044"/>
      <w:bookmarkStart w:id="112" w:name="_Toc391559902"/>
      <w:bookmarkStart w:id="113" w:name="_Toc510303022"/>
      <w:bookmarkStart w:id="114" w:name="_Toc513018434"/>
      <w:bookmarkStart w:id="115" w:name="_Toc518333619"/>
      <w:r w:rsidRPr="00426623">
        <w:t>Reactive power charges</w:t>
      </w:r>
      <w:bookmarkEnd w:id="105"/>
      <w:bookmarkEnd w:id="106"/>
      <w:bookmarkEnd w:id="107"/>
      <w:bookmarkEnd w:id="108"/>
      <w:bookmarkEnd w:id="109"/>
      <w:bookmarkEnd w:id="110"/>
      <w:bookmarkEnd w:id="111"/>
      <w:bookmarkEnd w:id="112"/>
      <w:bookmarkEnd w:id="113"/>
      <w:bookmarkEnd w:id="114"/>
      <w:bookmarkEnd w:id="115"/>
    </w:p>
    <w:p w:rsidR="00876B95" w:rsidRPr="00426623" w:rsidRDefault="00876B95" w:rsidP="00876B95">
      <w:pPr>
        <w:pStyle w:val="Heading2"/>
      </w:pPr>
      <w:r>
        <w:t>T</w:t>
      </w:r>
      <w:r w:rsidRPr="00426623">
        <w:t xml:space="preserve">he EDCM does not include a separate charge component for any reactive power flows. </w:t>
      </w:r>
    </w:p>
    <w:p w:rsidR="00876B95" w:rsidRPr="00426623" w:rsidRDefault="00876B95" w:rsidP="00876B95">
      <w:pPr>
        <w:pStyle w:val="Heading1"/>
      </w:pPr>
      <w:bookmarkStart w:id="116" w:name="_Toc360027691"/>
      <w:bookmarkStart w:id="117" w:name="_Toc360028045"/>
      <w:bookmarkStart w:id="118" w:name="_Toc391559903"/>
      <w:bookmarkStart w:id="119" w:name="_Toc510303023"/>
      <w:bookmarkStart w:id="120" w:name="_Toc513018435"/>
      <w:bookmarkStart w:id="121" w:name="_Toc518333620"/>
      <w:r w:rsidRPr="00426623">
        <w:t>Export capacity charges</w:t>
      </w:r>
      <w:bookmarkEnd w:id="116"/>
      <w:bookmarkEnd w:id="117"/>
      <w:bookmarkEnd w:id="118"/>
      <w:bookmarkEnd w:id="119"/>
      <w:bookmarkEnd w:id="120"/>
      <w:bookmarkEnd w:id="121"/>
    </w:p>
    <w:p w:rsidR="00876B95" w:rsidRPr="00426623" w:rsidRDefault="00876B95" w:rsidP="00876B95">
      <w:pPr>
        <w:pStyle w:val="Heading2"/>
      </w:pPr>
      <w:r w:rsidRPr="00426623">
        <w:t>The EDCM includes an export capacity charge.</w:t>
      </w:r>
    </w:p>
    <w:p w:rsidR="00876B95" w:rsidRDefault="00876B95" w:rsidP="00876B95">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rsidR="00876B95" w:rsidRDefault="00876B95" w:rsidP="00876B95">
      <w:pPr>
        <w:pStyle w:val="DCNormParaL3"/>
        <w:ind w:left="720"/>
      </w:pPr>
      <w:r>
        <w:t>Where:</w:t>
      </w:r>
    </w:p>
    <w:p w:rsidR="00876B95" w:rsidRDefault="00876B95" w:rsidP="00876B95">
      <w:pPr>
        <w:pStyle w:val="DCNormParaL3"/>
        <w:ind w:left="720"/>
      </w:pPr>
      <w:r>
        <w:t xml:space="preserve">GL is the incentive revenue in the charging year in respect of generators connected between 2005 and 2010 calculated for the charging year as in paragraph 11.10 of the Special Conditions of the Electricity Distribution Licence (CRC11). From and including Regulatory Year 2015/2016 </w:t>
      </w:r>
      <w:r w:rsidRPr="00625C72">
        <w:rPr>
          <w:rFonts w:eastAsia="Calibri"/>
        </w:rPr>
        <w:t>GL is zero.</w:t>
      </w:r>
    </w:p>
    <w:p w:rsidR="00876B95" w:rsidRDefault="00876B95" w:rsidP="00876B95">
      <w:pPr>
        <w:pStyle w:val="DCNormParaL3"/>
        <w:ind w:left="720"/>
      </w:pPr>
      <w:proofErr w:type="spellStart"/>
      <w:r>
        <w:t>AGPa</w:t>
      </w:r>
      <w:proofErr w:type="spellEnd"/>
      <w:r>
        <w:t xml:space="preserve"> is the average of the values of </w:t>
      </w:r>
      <w:proofErr w:type="spellStart"/>
      <w:proofErr w:type="gramStart"/>
      <w:r>
        <w:t>GPa</w:t>
      </w:r>
      <w:proofErr w:type="spellEnd"/>
      <w:proofErr w:type="gramEnd"/>
      <w:r>
        <w:t xml:space="preserve"> for the charging year and each of the two years immediately preceding the charging year. </w:t>
      </w:r>
      <w:r w:rsidRPr="00BB484E">
        <w:t xml:space="preserve">For Regulatory Year 2014/2015 </w:t>
      </w:r>
      <w:proofErr w:type="spellStart"/>
      <w:proofErr w:type="gramStart"/>
      <w:r>
        <w:t>GPa</w:t>
      </w:r>
      <w:proofErr w:type="spellEnd"/>
      <w:proofErr w:type="gramEnd"/>
      <w:r>
        <w:t xml:space="preserve"> is calculated </w:t>
      </w:r>
      <w:r w:rsidRPr="00BB484E">
        <w:t>using a modified version of the formula in paragraph 11.6 of the Electricity Distribution Licenc</w:t>
      </w:r>
      <w:r>
        <w:t xml:space="preserve">e (CRC11) resulting from DPCR5. To calculate </w:t>
      </w:r>
      <w:proofErr w:type="spellStart"/>
      <w:proofErr w:type="gramStart"/>
      <w:r>
        <w:t>GPa</w:t>
      </w:r>
      <w:proofErr w:type="spellEnd"/>
      <w:proofErr w:type="gramEnd"/>
      <w:r>
        <w:t xml:space="preserve">, </w:t>
      </w:r>
      <w:r>
        <w:lastRenderedPageBreak/>
        <w:t>the term GPX is replaced by the term GPS in the formula in paragraph 11.6.  Both GPX and GPS are defined in paragraph 11.7 of the same document.</w:t>
      </w:r>
      <w:r w:rsidRPr="00BB484E">
        <w:t xml:space="preserve"> For Regulatory Years 2015/16 onwards </w:t>
      </w:r>
      <w:proofErr w:type="spellStart"/>
      <w:proofErr w:type="gramStart"/>
      <w:r w:rsidRPr="00BB484E">
        <w:t>GPa</w:t>
      </w:r>
      <w:proofErr w:type="spellEnd"/>
      <w:proofErr w:type="gramEnd"/>
      <w:r w:rsidRPr="00BB484E">
        <w:t xml:space="preserve"> is zero.</w:t>
      </w:r>
    </w:p>
    <w:p w:rsidR="00876B95" w:rsidRPr="00426623" w:rsidRDefault="00876B95" w:rsidP="00876B95">
      <w:pPr>
        <w:pStyle w:val="DCNormParaL3"/>
        <w:ind w:left="720"/>
      </w:pPr>
      <w:r>
        <w:t>Total Pre-2005 EDCM DG capacity is the aggregate maximum export capacity of all non-exempt EDCM generators that connected before 1 April 2005, adjusted for</w:t>
      </w:r>
      <w:r w:rsidRPr="007B5538">
        <w:t xml:space="preserve"> </w:t>
      </w:r>
      <w:r w:rsidRPr="00426623">
        <w:t xml:space="preserve">part-year connected generators.  In the case of generators that have subsequently increased their maximum export capacity, the part of their capacity that was added after 1 April 2005 would be ignored. </w:t>
      </w:r>
    </w:p>
    <w:p w:rsidR="00876B95" w:rsidRPr="00426623" w:rsidRDefault="00876B95" w:rsidP="00876B95">
      <w:pPr>
        <w:pStyle w:val="DCNormParaL3"/>
        <w:ind w:left="720"/>
      </w:pPr>
      <w:r w:rsidRPr="00426623">
        <w:t>Total 2005–2010 EDCM generation capacity is the sum of the maximum export capacities of all non-exempt EDCM generators that connected between 1 April 2005 and 31 March 2010, adjusted for part-year connected generators.</w:t>
      </w:r>
    </w:p>
    <w:p w:rsidR="00876B95" w:rsidRPr="00426623" w:rsidRDefault="00876B95" w:rsidP="00876B95">
      <w:pPr>
        <w:pStyle w:val="DCNormParaL3"/>
        <w:ind w:left="720"/>
      </w:pPr>
      <w:r w:rsidRPr="00426623">
        <w:t>Total Post–2010 EDCM generation capacity is the sum of the maximum export capacities of all non-exempt EDCM generators that connected on or after 1 April 2010, adjusted for part-year connected generators. In the case of generators that originally connected before 1 April 2010 and have increased their maximum export capacity on or after 1 April 2010, the capacity that was added after 1 April 2010 should be included.</w:t>
      </w:r>
    </w:p>
    <w:p w:rsidR="00876B95" w:rsidRPr="00426623" w:rsidRDefault="00876B95" w:rsidP="00876B95">
      <w:pPr>
        <w:pStyle w:val="DCNormParaL3"/>
        <w:ind w:left="720"/>
      </w:pPr>
      <w:r w:rsidRPr="00426623">
        <w:t>Total 2005–2010 CDCM generation capacity is the sum of the maximum export capacities of all non-exempt CDCM generators that connected between 1 April 2005 and 31 March 2010, adjusted for part-year connected generators.</w:t>
      </w:r>
    </w:p>
    <w:p w:rsidR="00876B95" w:rsidRPr="00426623" w:rsidRDefault="00876B95" w:rsidP="00876B95">
      <w:pPr>
        <w:pStyle w:val="DCNormParaL3"/>
        <w:ind w:left="720"/>
      </w:pPr>
      <w:r w:rsidRPr="00426623">
        <w:t>Total Post–2010 CDCM generation capacity is the sum of the maximum export capacities of all non-exempt CDCM generators that connected on or after 1 April 2010, adjusted for part-year connected generators.</w:t>
      </w:r>
    </w:p>
    <w:p w:rsidR="00876B95" w:rsidRPr="00426623" w:rsidRDefault="00876B95" w:rsidP="00876B95">
      <w:pPr>
        <w:pStyle w:val="DCNormParaL3"/>
        <w:ind w:left="748"/>
      </w:pPr>
      <w:r w:rsidRPr="00426623">
        <w:t>OM is an allowance in £/kW in respect of the operational and maintenance costs for assets that are deemed to have been installed for the purposes of connecting generators to the distribution network.  The value of OM is set to £0.20/kW.</w:t>
      </w:r>
    </w:p>
    <w:p w:rsidR="00876B95" w:rsidRPr="00426623" w:rsidRDefault="00876B95" w:rsidP="00876B95">
      <w:pPr>
        <w:pStyle w:val="Heading2"/>
      </w:pPr>
      <w:r w:rsidRPr="00426623">
        <w:t>A fixed export capacity charge in p/kVA/day is calculated as follows:</w:t>
      </w:r>
    </w:p>
    <w:p w:rsidR="00876B95" w:rsidRPr="00426623" w:rsidRDefault="00876B95" w:rsidP="00876B95">
      <w:pPr>
        <w:ind w:left="720"/>
      </w:pPr>
      <w:r w:rsidRPr="00426623">
        <w:t>Fixed export capacity charge in p/kVA/day = (100 / DC) * [EDCM DG revenue target] / [Total EDCM generation capacity]</w:t>
      </w:r>
    </w:p>
    <w:p w:rsidR="00876B95" w:rsidRPr="00426623" w:rsidRDefault="00876B95" w:rsidP="00876B95">
      <w:pPr>
        <w:ind w:left="720"/>
      </w:pPr>
      <w:r w:rsidRPr="00426623">
        <w:lastRenderedPageBreak/>
        <w:t>Where:</w:t>
      </w:r>
    </w:p>
    <w:p w:rsidR="00876B95" w:rsidRPr="00426623" w:rsidRDefault="00876B95" w:rsidP="00876B95">
      <w:pPr>
        <w:ind w:left="720"/>
      </w:pPr>
      <w:r w:rsidRPr="00426623">
        <w:t>EDCM DG revenue target in £/year is calculated as described above</w:t>
      </w:r>
    </w:p>
    <w:p w:rsidR="00876B95" w:rsidRPr="00426623" w:rsidRDefault="00876B95" w:rsidP="00876B95">
      <w:pPr>
        <w:ind w:left="720"/>
      </w:pPr>
      <w:r w:rsidRPr="00426623">
        <w:t>Total EDCM generation capacity (in kVA) is the aggregate Chargeable Export Capacity of all Connectees, adjusted, if necessary for Connectees connected part of the year.</w:t>
      </w:r>
    </w:p>
    <w:p w:rsidR="00876B95" w:rsidRPr="00426623" w:rsidRDefault="00876B95" w:rsidP="00876B95">
      <w:pPr>
        <w:ind w:left="720"/>
      </w:pPr>
      <w:r w:rsidRPr="00426623">
        <w:t>The fixed export capacity charge in p/kVA/day is applied to the Chargeable Export Capacity of each EDCM Connectee.</w:t>
      </w:r>
    </w:p>
    <w:p w:rsidR="00876B95" w:rsidRPr="00426623" w:rsidRDefault="00876B95" w:rsidP="00876B95">
      <w:pPr>
        <w:pStyle w:val="Heading1"/>
      </w:pPr>
      <w:bookmarkStart w:id="122" w:name="_Toc289364352"/>
      <w:bookmarkStart w:id="123" w:name="_Toc320876038"/>
      <w:bookmarkStart w:id="124" w:name="_Toc320876661"/>
      <w:bookmarkStart w:id="125" w:name="_Toc325449875"/>
      <w:bookmarkStart w:id="126" w:name="_Toc339284519"/>
      <w:bookmarkStart w:id="127" w:name="_Toc360027692"/>
      <w:bookmarkStart w:id="128" w:name="_Toc360028046"/>
      <w:bookmarkStart w:id="129" w:name="_Toc391559904"/>
      <w:bookmarkStart w:id="130" w:name="_Toc510303024"/>
      <w:bookmarkStart w:id="131" w:name="_Toc513018436"/>
      <w:bookmarkStart w:id="132" w:name="_Toc518333621"/>
      <w:r w:rsidRPr="00426623">
        <w:t>Allocation drivers for other charge elements in the EDCM</w:t>
      </w:r>
      <w:bookmarkEnd w:id="122"/>
      <w:bookmarkEnd w:id="123"/>
      <w:bookmarkEnd w:id="124"/>
      <w:bookmarkEnd w:id="125"/>
      <w:bookmarkEnd w:id="126"/>
      <w:bookmarkEnd w:id="127"/>
      <w:bookmarkEnd w:id="128"/>
      <w:bookmarkEnd w:id="129"/>
      <w:bookmarkEnd w:id="130"/>
      <w:bookmarkEnd w:id="131"/>
      <w:bookmarkEnd w:id="132"/>
    </w:p>
    <w:p w:rsidR="00876B95" w:rsidRPr="00426623" w:rsidRDefault="00876B95" w:rsidP="00876B95">
      <w:pPr>
        <w:pStyle w:val="Heading2"/>
      </w:pPr>
      <w:r w:rsidRPr="00426623">
        <w:t>In addition to charges calculated using the FCP and LRIC methodologies and transmission connection (exit) charges, the EDCM includes charge elements relating to:</w:t>
      </w:r>
    </w:p>
    <w:p w:rsidR="00876B95" w:rsidRPr="00993801" w:rsidRDefault="00876B95" w:rsidP="00993801">
      <w:pPr>
        <w:pStyle w:val="DCNormParabulletptL2"/>
        <w:numPr>
          <w:ilvl w:val="0"/>
          <w:numId w:val="33"/>
        </w:numPr>
        <w:rPr>
          <w:u w:val="none"/>
        </w:rPr>
      </w:pPr>
      <w:r w:rsidRPr="00993801">
        <w:rPr>
          <w:u w:val="none"/>
        </w:rPr>
        <w:t>the DNO Party’s direct operating costs (this includes inspection and maintenance costs, operating expenditure relating to fault repairs and the cost of tree cutting);</w:t>
      </w:r>
    </w:p>
    <w:p w:rsidR="00876B95" w:rsidRPr="00993801" w:rsidRDefault="00876B95" w:rsidP="00993801">
      <w:pPr>
        <w:pStyle w:val="DCNormParabulletptL2"/>
        <w:numPr>
          <w:ilvl w:val="0"/>
          <w:numId w:val="33"/>
        </w:numPr>
        <w:rPr>
          <w:u w:val="none"/>
        </w:rPr>
      </w:pPr>
      <w:proofErr w:type="gramStart"/>
      <w:r w:rsidRPr="00993801">
        <w:rPr>
          <w:u w:val="none"/>
        </w:rPr>
        <w:t>the</w:t>
      </w:r>
      <w:proofErr w:type="gramEnd"/>
      <w:r w:rsidRPr="00993801">
        <w:rPr>
          <w:u w:val="none"/>
        </w:rPr>
        <w:t xml:space="preserve"> DNO Party’s indirect costs. (these are costs that are not directly related to network assets, such as business support costs);</w:t>
      </w:r>
    </w:p>
    <w:p w:rsidR="00876B95" w:rsidRPr="00993801" w:rsidRDefault="00876B95" w:rsidP="00993801">
      <w:pPr>
        <w:pStyle w:val="DCNormParabulletptL2"/>
        <w:numPr>
          <w:ilvl w:val="0"/>
          <w:numId w:val="33"/>
        </w:numPr>
        <w:rPr>
          <w:u w:val="none"/>
        </w:rPr>
      </w:pPr>
      <w:r w:rsidRPr="00993801">
        <w:rPr>
          <w:u w:val="none"/>
        </w:rPr>
        <w:t>the DNO Party’s network rates (these are business rates paid by DNO Parties); and</w:t>
      </w:r>
    </w:p>
    <w:p w:rsidR="00876B95" w:rsidRPr="00993801" w:rsidRDefault="00876B95" w:rsidP="00993801">
      <w:pPr>
        <w:pStyle w:val="DCNormParabulletptL2"/>
        <w:numPr>
          <w:ilvl w:val="0"/>
          <w:numId w:val="33"/>
        </w:numPr>
        <w:rPr>
          <w:u w:val="none"/>
        </w:rPr>
      </w:pPr>
      <w:proofErr w:type="gramStart"/>
      <w:r w:rsidRPr="00993801">
        <w:rPr>
          <w:u w:val="none"/>
        </w:rPr>
        <w:t>the</w:t>
      </w:r>
      <w:proofErr w:type="gramEnd"/>
      <w:r w:rsidRPr="00993801">
        <w:rPr>
          <w:u w:val="none"/>
        </w:rPr>
        <w:t xml:space="preserve"> DNO Party’s residual revenue.  </w:t>
      </w:r>
    </w:p>
    <w:p w:rsidR="00876B95" w:rsidRPr="00426623" w:rsidRDefault="00876B95" w:rsidP="00876B95">
      <w:pPr>
        <w:pStyle w:val="Heading2"/>
      </w:pPr>
      <w:r w:rsidRPr="00426623">
        <w:t>The residual revenue is that part of the DNO Party’s Allowed Revenue</w:t>
      </w:r>
      <w:ins w:id="133" w:author="Enzor, Andrew" w:date="2018-09-27T09:38:00Z">
        <w:r w:rsidR="00993801" w:rsidRPr="00993801">
          <w:t xml:space="preserve"> </w:t>
        </w:r>
        <w:r w:rsidR="00993801">
          <w:t xml:space="preserve">less any revenue relating to </w:t>
        </w:r>
        <w:r w:rsidR="00993801" w:rsidRPr="00344AC0">
          <w:t xml:space="preserve">the recovery of </w:t>
        </w:r>
        <w:r w:rsidR="00993801">
          <w:t xml:space="preserve">Eligible Bad Debt </w:t>
        </w:r>
        <w:r w:rsidR="00993801" w:rsidRPr="00344AC0">
          <w:t>pass-through</w:t>
        </w:r>
        <w:r w:rsidR="00993801">
          <w:t xml:space="preserve"> costs</w:t>
        </w:r>
      </w:ins>
      <w:r w:rsidRPr="00426623">
        <w:t xml:space="preserve"> that has not been pre-allocated to demand charges using cost-based charge elements. </w:t>
      </w:r>
      <w:ins w:id="134" w:author="Wells, Lee" w:date="2018-11-12T15:04:00Z">
        <w:r w:rsidR="00502B2C">
          <w:t xml:space="preserve"> </w:t>
        </w:r>
      </w:ins>
      <w:ins w:id="135" w:author="Enzor, Andrew" w:date="2018-11-12T15:13:00Z">
        <w:r w:rsidR="00115F73">
          <w:t>For the avoidance of doubt, Eligible Bad Debt pass-through costs include DNO Party Bad Debt and Bad Debt which the DNO Party is recovering on behalf of LDNOs</w:t>
        </w:r>
        <w:r w:rsidR="00115F73">
          <w:t xml:space="preserve">. </w:t>
        </w:r>
      </w:ins>
      <w:r w:rsidRPr="00426623">
        <w:t xml:space="preserve"> </w:t>
      </w:r>
    </w:p>
    <w:p w:rsidR="00876B95" w:rsidRPr="00426623" w:rsidRDefault="00876B95" w:rsidP="00876B95">
      <w:pPr>
        <w:pStyle w:val="Heading2"/>
      </w:pPr>
      <w:r w:rsidRPr="007B5538">
        <w:rPr>
          <w:rStyle w:val="Heading3Char"/>
        </w:rPr>
        <w:t>EDCM charge elements are determined using allocation drivers.  The following allocation</w:t>
      </w:r>
      <w:r w:rsidRPr="00426623">
        <w:t xml:space="preserve"> drivers are used in the EDCM:</w:t>
      </w:r>
    </w:p>
    <w:p w:rsidR="00876B95" w:rsidRPr="00993801" w:rsidRDefault="00876B95" w:rsidP="00993801">
      <w:pPr>
        <w:pStyle w:val="DCNormParabulletptL2"/>
        <w:numPr>
          <w:ilvl w:val="0"/>
          <w:numId w:val="34"/>
        </w:numPr>
        <w:rPr>
          <w:u w:val="none"/>
        </w:rPr>
      </w:pPr>
      <w:r w:rsidRPr="00993801">
        <w:rPr>
          <w:u w:val="none"/>
        </w:rPr>
        <w:lastRenderedPageBreak/>
        <w:t xml:space="preserve">The value of assets that are for the sole use of a Connectee (sole use assets). This is relevant to import and export charges. </w:t>
      </w:r>
    </w:p>
    <w:p w:rsidR="00876B95" w:rsidRPr="00993801" w:rsidRDefault="00876B95" w:rsidP="00993801">
      <w:pPr>
        <w:pStyle w:val="DCNormParabulletptL2"/>
        <w:numPr>
          <w:ilvl w:val="0"/>
          <w:numId w:val="34"/>
        </w:numPr>
        <w:rPr>
          <w:u w:val="none"/>
        </w:rPr>
      </w:pPr>
      <w:r w:rsidRPr="00993801">
        <w:rPr>
          <w:u w:val="none"/>
        </w:rPr>
        <w:t>The value of site-specific shared network assets used by the Connectee. This is relevant to import charges only.</w:t>
      </w:r>
    </w:p>
    <w:p w:rsidR="00876B95" w:rsidRPr="00993801" w:rsidRDefault="00876B95" w:rsidP="00993801">
      <w:pPr>
        <w:pStyle w:val="DCNormParabulletptL2"/>
        <w:numPr>
          <w:ilvl w:val="0"/>
          <w:numId w:val="34"/>
        </w:numPr>
        <w:rPr>
          <w:u w:val="none"/>
        </w:rPr>
      </w:pPr>
      <w:r w:rsidRPr="00993801">
        <w:rPr>
          <w:u w:val="none"/>
        </w:rPr>
        <w:t>The sum of historical consumption at the time of system peak and 50 per cent of Maximum Import Capacity.  This is relevant to import charges only.</w:t>
      </w:r>
    </w:p>
    <w:p w:rsidR="00876B95" w:rsidRPr="00993801" w:rsidRDefault="00876B95" w:rsidP="00993801">
      <w:pPr>
        <w:pStyle w:val="DCNormParabulletptL2"/>
        <w:numPr>
          <w:ilvl w:val="0"/>
          <w:numId w:val="34"/>
        </w:numPr>
        <w:rPr>
          <w:u w:val="none"/>
        </w:rPr>
      </w:pPr>
      <w:r w:rsidRPr="00993801">
        <w:rPr>
          <w:u w:val="none"/>
        </w:rPr>
        <w:t>Chargeable Export Capacity. This is relevant to export charges only.</w:t>
      </w:r>
    </w:p>
    <w:p w:rsidR="00876B95" w:rsidRPr="00426623" w:rsidRDefault="00876B95" w:rsidP="00876B95">
      <w:pPr>
        <w:pStyle w:val="Heading2"/>
      </w:pPr>
      <w:r w:rsidRPr="00426623">
        <w:t>The methods used to determine the value of sole use assets and shared site-specific shared network assets are described below.</w:t>
      </w:r>
    </w:p>
    <w:p w:rsidR="00876B95" w:rsidRDefault="00876B95" w:rsidP="00876B95">
      <w:pPr>
        <w:pStyle w:val="Heading1"/>
      </w:pPr>
      <w:bookmarkStart w:id="136" w:name="_Toc360027693"/>
      <w:bookmarkStart w:id="137" w:name="_Toc360028047"/>
      <w:bookmarkStart w:id="138" w:name="_Toc391559905"/>
      <w:bookmarkStart w:id="139" w:name="_Toc510303025"/>
      <w:bookmarkStart w:id="140" w:name="_Toc513018437"/>
      <w:bookmarkStart w:id="141" w:name="_Toc518333622"/>
      <w:r>
        <w:t>Sole use assets</w:t>
      </w:r>
      <w:bookmarkEnd w:id="136"/>
      <w:bookmarkEnd w:id="137"/>
      <w:bookmarkEnd w:id="138"/>
      <w:bookmarkEnd w:id="139"/>
      <w:bookmarkEnd w:id="140"/>
      <w:bookmarkEnd w:id="141"/>
    </w:p>
    <w:p w:rsidR="00876B95" w:rsidRDefault="00876B95" w:rsidP="00876B95">
      <w:pPr>
        <w:pStyle w:val="Heading2"/>
      </w:pPr>
      <w:r>
        <w:t>The value of a customer’s sole use assets used is expressed in the form of a modern equivalent asset value (MEAV) in £.</w:t>
      </w:r>
    </w:p>
    <w:p w:rsidR="00876B95" w:rsidRDefault="00876B95" w:rsidP="00876B95">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rsidR="00876B95" w:rsidRDefault="00876B95" w:rsidP="00876B95">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rsidR="00876B95" w:rsidRDefault="00876B95" w:rsidP="00876B95">
      <w:pPr>
        <w:pStyle w:val="Heading2"/>
      </w:pPr>
      <w:r>
        <w:t xml:space="preserve">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w:t>
      </w:r>
      <w:r>
        <w:lastRenderedPageBreak/>
        <w:t>the value of sole use assets allocated to the export tariff is reduced by multiplying it by the ratio of the Chargeable Export Capacity to the Maximum Export Capacity.</w:t>
      </w:r>
    </w:p>
    <w:p w:rsidR="00876B95" w:rsidRDefault="00876B95" w:rsidP="00876B95">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p>
    <w:p w:rsidR="00876B95" w:rsidRDefault="00876B95" w:rsidP="00876B95">
      <w:pPr>
        <w:pStyle w:val="Heading1"/>
      </w:pPr>
      <w:bookmarkStart w:id="142" w:name="_Toc360027694"/>
      <w:bookmarkStart w:id="143" w:name="_Toc360028048"/>
      <w:bookmarkStart w:id="144" w:name="_Toc391559906"/>
      <w:bookmarkStart w:id="145" w:name="_Toc510303026"/>
      <w:bookmarkStart w:id="146" w:name="_Toc513018438"/>
      <w:bookmarkStart w:id="147" w:name="_Toc518333623"/>
      <w:r>
        <w:t>Site-specific shared network assets</w:t>
      </w:r>
      <w:bookmarkEnd w:id="142"/>
      <w:bookmarkEnd w:id="143"/>
      <w:bookmarkEnd w:id="144"/>
      <w:bookmarkEnd w:id="145"/>
      <w:bookmarkEnd w:id="146"/>
      <w:bookmarkEnd w:id="147"/>
      <w:r>
        <w:t xml:space="preserve"> </w:t>
      </w:r>
    </w:p>
    <w:p w:rsidR="00876B95" w:rsidRDefault="00876B95" w:rsidP="00876B95">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rsidR="00876B95" w:rsidRDefault="00876B95" w:rsidP="00876B95">
      <w:pPr>
        <w:pStyle w:val="Heading2"/>
      </w:pPr>
      <w:r>
        <w:t>The value of notional site-specific shared assets used by each Connectee is expressed in the form of a modern equivalent asset value (MEAV) in £.</w:t>
      </w:r>
    </w:p>
    <w:p w:rsidR="00876B95" w:rsidRDefault="00876B95" w:rsidP="00876B95">
      <w:pPr>
        <w:pStyle w:val="Heading2"/>
      </w:pPr>
      <w:r>
        <w:t>The value of shared network assets used by each demand Connectee is calculated as set out below.</w:t>
      </w:r>
      <w:r w:rsidRPr="007B5538">
        <w:t xml:space="preserve"> </w:t>
      </w:r>
    </w:p>
    <w:p w:rsidR="00876B95" w:rsidRPr="00426623" w:rsidRDefault="00876B95" w:rsidP="00876B95">
      <w:pPr>
        <w:pStyle w:val="Heading2"/>
      </w:pPr>
      <w:r w:rsidRPr="00426623">
        <w:t>Five levels are defined for the network’s assets:</w:t>
      </w:r>
    </w:p>
    <w:p w:rsidR="00876B95" w:rsidRPr="00426623" w:rsidRDefault="00876B95" w:rsidP="00993801">
      <w:pPr>
        <w:pStyle w:val="BodyText"/>
        <w:numPr>
          <w:ilvl w:val="0"/>
          <w:numId w:val="35"/>
        </w:numPr>
      </w:pPr>
      <w:r w:rsidRPr="00426623">
        <w:t>Level 1 comprises 132 kV circuits.</w:t>
      </w:r>
    </w:p>
    <w:p w:rsidR="00876B95" w:rsidRPr="00426623" w:rsidRDefault="00876B95" w:rsidP="00993801">
      <w:pPr>
        <w:pStyle w:val="BodyText"/>
        <w:numPr>
          <w:ilvl w:val="0"/>
          <w:numId w:val="35"/>
        </w:numPr>
      </w:pPr>
      <w:r w:rsidRPr="00426623">
        <w:t>Level 2 comprises substations with a primary voltage of 132 kV and a secondary voltage of 22 kV or more.</w:t>
      </w:r>
    </w:p>
    <w:p w:rsidR="00876B95" w:rsidRPr="00426623" w:rsidRDefault="00876B95" w:rsidP="00993801">
      <w:pPr>
        <w:pStyle w:val="BodyText"/>
        <w:numPr>
          <w:ilvl w:val="0"/>
          <w:numId w:val="35"/>
        </w:numPr>
      </w:pPr>
      <w:r w:rsidRPr="00426623">
        <w:t>Level 3 comprises circuits of 22 kV or more but less than 132 kV.</w:t>
      </w:r>
    </w:p>
    <w:p w:rsidR="00876B95" w:rsidRPr="00426623" w:rsidRDefault="00876B95" w:rsidP="00993801">
      <w:pPr>
        <w:pStyle w:val="BodyText"/>
        <w:numPr>
          <w:ilvl w:val="0"/>
          <w:numId w:val="35"/>
        </w:numPr>
      </w:pPr>
      <w:r w:rsidRPr="00426623">
        <w:t>Level 4 comprises substations with a primary voltage of 22 kV or more but less than 132 kV and a secondary voltage of less than 22 kV.</w:t>
      </w:r>
    </w:p>
    <w:p w:rsidR="00876B95" w:rsidRPr="00426623" w:rsidRDefault="00876B95" w:rsidP="00993801">
      <w:pPr>
        <w:pStyle w:val="BodyText"/>
        <w:numPr>
          <w:ilvl w:val="0"/>
          <w:numId w:val="35"/>
        </w:numPr>
      </w:pPr>
      <w:r w:rsidRPr="00426623">
        <w:t>Level 5 comprises substations with a primary voltage of 132 kV and a secondary voltage of less than 22 kV.</w:t>
      </w:r>
    </w:p>
    <w:p w:rsidR="00876B95" w:rsidRPr="00A700E0" w:rsidRDefault="00876B95" w:rsidP="00876B95">
      <w:pPr>
        <w:pStyle w:val="Heading2"/>
      </w:pPr>
      <w:r w:rsidRPr="00A700E0">
        <w:t xml:space="preserve">In some cases, it might be appropriate to treat 66 kV equipment as being equivalent </w:t>
      </w:r>
      <w:proofErr w:type="gramStart"/>
      <w:r w:rsidRPr="00A700E0">
        <w:t>to 132 kV equipment</w:t>
      </w:r>
      <w:proofErr w:type="gramEnd"/>
      <w:r w:rsidRPr="00A700E0">
        <w:t xml:space="preserve"> and allocate Connectees to categories accordingly.  </w:t>
      </w:r>
    </w:p>
    <w:p w:rsidR="00876B95" w:rsidRPr="00A700E0" w:rsidRDefault="00876B95" w:rsidP="00876B95">
      <w:pPr>
        <w:pStyle w:val="Heading2"/>
      </w:pPr>
      <w:r w:rsidRPr="00A700E0">
        <w:lastRenderedPageBreak/>
        <w:t xml:space="preserve">EDCM Customers are split into 15 categories based on the parts of the EHV network they are deemed to use.  This is based on the Point of Common Coupling. The Point of Common Coupling might be at a different voltage than the </w:t>
      </w:r>
      <w:proofErr w:type="spellStart"/>
      <w:r w:rsidRPr="00A700E0">
        <w:t>Connectee’s</w:t>
      </w:r>
      <w:proofErr w:type="spellEnd"/>
      <w:r w:rsidRPr="00A700E0">
        <w:t xml:space="preserve"> connection, and might also be at a different voltage than the voltage of connection when the Connectee was connected.</w:t>
      </w:r>
    </w:p>
    <w:p w:rsidR="00876B95" w:rsidRDefault="00876B95" w:rsidP="00876B95">
      <w:pPr>
        <w:spacing w:after="200" w:line="276" w:lineRule="auto"/>
        <w:rPr>
          <w:b/>
        </w:rPr>
      </w:pPr>
      <w:r>
        <w:rPr>
          <w:b/>
        </w:rPr>
        <w:br w:type="page"/>
      </w:r>
    </w:p>
    <w:p w:rsidR="00876B95" w:rsidRPr="007B5538" w:rsidRDefault="00876B95" w:rsidP="00876B95">
      <w:pPr>
        <w:spacing w:after="0"/>
        <w:jc w:val="center"/>
        <w:rPr>
          <w:b/>
        </w:rPr>
      </w:pPr>
      <w:r w:rsidRPr="007B5538">
        <w:rPr>
          <w:b/>
        </w:rPr>
        <w:lastRenderedPageBreak/>
        <w:t xml:space="preserve">Table </w:t>
      </w:r>
      <w:r>
        <w:rPr>
          <w:b/>
        </w:rPr>
        <w:t>3</w:t>
      </w:r>
      <w:r w:rsidRPr="007B5538">
        <w:rPr>
          <w:b/>
        </w:rPr>
        <w:t xml:space="preserve"> Categorisation of EDCM Customers</w:t>
      </w:r>
    </w:p>
    <w:tbl>
      <w:tblPr>
        <w:tblW w:w="8505" w:type="dxa"/>
        <w:tblInd w:w="426" w:type="dxa"/>
        <w:tblLook w:val="00A0" w:firstRow="1" w:lastRow="0" w:firstColumn="1" w:lastColumn="0" w:noHBand="0" w:noVBand="0"/>
      </w:tblPr>
      <w:tblGrid>
        <w:gridCol w:w="1701"/>
        <w:gridCol w:w="6804"/>
      </w:tblGrid>
      <w:tr w:rsidR="00876B95" w:rsidRPr="00C70D7F" w:rsidTr="00824111">
        <w:trPr>
          <w:cantSplit/>
        </w:trPr>
        <w:tc>
          <w:tcPr>
            <w:tcW w:w="1701" w:type="dxa"/>
            <w:tcBorders>
              <w:top w:val="single" w:sz="4" w:space="0" w:color="auto"/>
              <w:bottom w:val="single" w:sz="4" w:space="0" w:color="auto"/>
            </w:tcBorders>
            <w:shd w:val="clear" w:color="auto" w:fill="C0C0C0"/>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Category</w:t>
            </w:r>
          </w:p>
        </w:tc>
        <w:tc>
          <w:tcPr>
            <w:tcW w:w="6804" w:type="dxa"/>
            <w:tcBorders>
              <w:top w:val="single" w:sz="4" w:space="0" w:color="auto"/>
              <w:bottom w:val="single" w:sz="4" w:space="0" w:color="auto"/>
            </w:tcBorders>
            <w:shd w:val="clear" w:color="auto" w:fill="C0C0C0"/>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Definition</w:t>
            </w:r>
          </w:p>
        </w:tc>
      </w:tr>
      <w:tr w:rsidR="00876B95" w:rsidRPr="00C70D7F" w:rsidTr="00824111">
        <w:trPr>
          <w:cantSplit/>
        </w:trPr>
        <w:tc>
          <w:tcPr>
            <w:tcW w:w="1701" w:type="dxa"/>
            <w:tcBorders>
              <w:top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0000</w:t>
            </w:r>
          </w:p>
        </w:tc>
        <w:tc>
          <w:tcPr>
            <w:tcW w:w="6804" w:type="dxa"/>
            <w:tcBorders>
              <w:top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the GSP, whether the GSP is shared or not.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In England or Wales only, Point of Common Coupling at a voltage of 132 kV, unless the Connectee qualifies for category 0000.</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22 kV or more on the secondary side of a substation where the primary side is attached to a 132 kV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to a 132 kV distribution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0110</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0010</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fed from a GSP with no intermediate transformation.</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0002</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attached to a 132 kV distribution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0011</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lastRenderedPageBreak/>
              <w:t>Category 0111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876B95" w:rsidRPr="00C70D7F" w:rsidTr="00824111">
        <w:trPr>
          <w:cantSplit/>
        </w:trPr>
        <w:tc>
          <w:tcPr>
            <w:tcW w:w="1701"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0101</w:t>
            </w:r>
          </w:p>
        </w:tc>
        <w:tc>
          <w:tcPr>
            <w:tcW w:w="6804" w:type="dxa"/>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876B95" w:rsidRPr="00C70D7F" w:rsidTr="00824111">
        <w:trPr>
          <w:cantSplit/>
        </w:trPr>
        <w:tc>
          <w:tcPr>
            <w:tcW w:w="1701"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1101</w:t>
            </w:r>
          </w:p>
        </w:tc>
        <w:tc>
          <w:tcPr>
            <w:tcW w:w="6804" w:type="dxa"/>
            <w:shd w:val="clear" w:color="auto" w:fill="F3F3F3"/>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876B95" w:rsidRPr="00C70D7F" w:rsidTr="00824111">
        <w:trPr>
          <w:cantSplit/>
        </w:trPr>
        <w:tc>
          <w:tcPr>
            <w:tcW w:w="1701" w:type="dxa"/>
            <w:tcBorders>
              <w:bottom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1111</w:t>
            </w:r>
          </w:p>
        </w:tc>
        <w:tc>
          <w:tcPr>
            <w:tcW w:w="6804" w:type="dxa"/>
            <w:tcBorders>
              <w:bottom w:val="single" w:sz="4" w:space="0" w:color="auto"/>
            </w:tcBorders>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876B95" w:rsidRPr="00426623" w:rsidRDefault="00876B95" w:rsidP="00876B95"/>
    <w:p w:rsidR="00876B95" w:rsidRPr="00A700E0" w:rsidRDefault="00876B95" w:rsidP="00876B95">
      <w:pPr>
        <w:pStyle w:val="Heading2"/>
      </w:pPr>
      <w:r w:rsidRPr="00A700E0">
        <w:t>All references to GSP in the table above relate to interconnections with the onshore National Electricity Transmission System.</w:t>
      </w:r>
    </w:p>
    <w:p w:rsidR="00876B95" w:rsidRPr="00A700E0" w:rsidRDefault="00876B95" w:rsidP="00876B95">
      <w:pPr>
        <w:pStyle w:val="Heading2"/>
      </w:pPr>
      <w:r w:rsidRPr="00A700E0">
        <w:t>The figure below provides examples of Connectees who might be placed in each of the categories described above.</w:t>
      </w:r>
    </w:p>
    <w:p w:rsidR="00876B95" w:rsidRPr="00426623" w:rsidRDefault="00876B95" w:rsidP="00876B95">
      <w:pPr>
        <w:pStyle w:val="Heading2"/>
        <w:numPr>
          <w:ilvl w:val="0"/>
          <w:numId w:val="0"/>
        </w:numPr>
        <w:ind w:left="720"/>
      </w:pPr>
      <w:r w:rsidRPr="00C70D7F">
        <w:rPr>
          <w:noProof/>
          <w:lang w:eastAsia="en-GB"/>
        </w:rPr>
        <w:lastRenderedPageBreak/>
        <w:drawing>
          <wp:inline distT="0" distB="0" distL="0" distR="0" wp14:anchorId="4613FDCF" wp14:editId="07FCD05C">
            <wp:extent cx="5723890" cy="8098790"/>
            <wp:effectExtent l="19050" t="0" r="0" b="0"/>
            <wp:docPr id="19" name="Picture 1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D pic for FL2"/>
                    <pic:cNvPicPr>
                      <a:picLocks noChangeAspect="1" noChangeArrowheads="1"/>
                    </pic:cNvPicPr>
                  </pic:nvPicPr>
                  <pic:blipFill>
                    <a:blip r:embed="rId13" cstate="print"/>
                    <a:srcRect/>
                    <a:stretch>
                      <a:fillRect/>
                    </a:stretch>
                  </pic:blipFill>
                  <pic:spPr bwMode="auto">
                    <a:xfrm>
                      <a:off x="0" y="0"/>
                      <a:ext cx="5723890" cy="8098790"/>
                    </a:xfrm>
                    <a:prstGeom prst="rect">
                      <a:avLst/>
                    </a:prstGeom>
                    <a:noFill/>
                    <a:ln w="9525">
                      <a:noFill/>
                      <a:miter lim="800000"/>
                      <a:headEnd/>
                      <a:tailEnd/>
                    </a:ln>
                  </pic:spPr>
                </pic:pic>
              </a:graphicData>
            </a:graphic>
          </wp:inline>
        </w:drawing>
      </w:r>
    </w:p>
    <w:p w:rsidR="00876B95" w:rsidRPr="00A700E0" w:rsidRDefault="00876B95" w:rsidP="00876B95">
      <w:pPr>
        <w:pStyle w:val="Heading2"/>
      </w:pPr>
      <w:r w:rsidRPr="00A700E0">
        <w:t>The use of each network level by each EDCM Connectee is determined according the rules set out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2031"/>
        <w:gridCol w:w="1443"/>
        <w:gridCol w:w="1442"/>
        <w:gridCol w:w="1442"/>
        <w:gridCol w:w="1442"/>
        <w:gridCol w:w="1442"/>
      </w:tblGrid>
      <w:tr w:rsidR="00876B95" w:rsidRPr="00C70D7F" w:rsidTr="00824111">
        <w:tc>
          <w:tcPr>
            <w:tcW w:w="1098" w:type="pct"/>
            <w:tcBorders>
              <w:bottom w:val="single" w:sz="4" w:space="0" w:color="auto"/>
            </w:tcBorders>
            <w:shd w:val="clear" w:color="auto" w:fill="auto"/>
          </w:tcPr>
          <w:p w:rsidR="00876B95" w:rsidRPr="005B399C" w:rsidRDefault="00876B95" w:rsidP="00824111">
            <w:pPr>
              <w:rPr>
                <w:b/>
              </w:rPr>
            </w:pPr>
            <w:r w:rsidRPr="005B399C">
              <w:rPr>
                <w:b/>
              </w:rPr>
              <w:lastRenderedPageBreak/>
              <w:t>EDCM Customers in category</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1</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2</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3</w:t>
            </w:r>
          </w:p>
        </w:tc>
        <w:tc>
          <w:tcPr>
            <w:tcW w:w="780" w:type="pct"/>
            <w:shd w:val="clear" w:color="auto" w:fill="auto"/>
          </w:tcPr>
          <w:p w:rsidR="00876B95" w:rsidRPr="00C70D7F" w:rsidRDefault="00876B95" w:rsidP="00824111">
            <w:pPr>
              <w:pStyle w:val="Table"/>
              <w:rPr>
                <w:rFonts w:ascii="Times New Roman" w:hAnsi="Times New Roman"/>
                <w:b/>
                <w:sz w:val="24"/>
                <w:szCs w:val="24"/>
              </w:rPr>
            </w:pPr>
            <w:r w:rsidRPr="00C70D7F">
              <w:rPr>
                <w:rFonts w:ascii="Times New Roman" w:hAnsi="Times New Roman"/>
                <w:b/>
                <w:sz w:val="24"/>
                <w:szCs w:val="24"/>
              </w:rPr>
              <w:t>Level 4</w:t>
            </w:r>
          </w:p>
        </w:tc>
        <w:tc>
          <w:tcPr>
            <w:tcW w:w="780" w:type="pct"/>
            <w:shd w:val="clear" w:color="auto" w:fill="auto"/>
          </w:tcPr>
          <w:p w:rsidR="00876B95" w:rsidRPr="00C70D7F" w:rsidRDefault="00876B95" w:rsidP="00824111">
            <w:pPr>
              <w:pStyle w:val="Table"/>
              <w:keepNext/>
              <w:rPr>
                <w:rFonts w:ascii="Times New Roman" w:hAnsi="Times New Roman"/>
                <w:b/>
                <w:sz w:val="24"/>
                <w:szCs w:val="24"/>
              </w:rPr>
            </w:pPr>
            <w:r w:rsidRPr="00C70D7F">
              <w:rPr>
                <w:rFonts w:ascii="Times New Roman" w:hAnsi="Times New Roman"/>
                <w:b/>
                <w:sz w:val="24"/>
                <w:szCs w:val="24"/>
              </w:rPr>
              <w:t>Level 5</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0000</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1000</w:t>
            </w: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1100</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0100</w:t>
            </w:r>
          </w:p>
        </w:tc>
        <w:tc>
          <w:tcPr>
            <w:tcW w:w="780" w:type="pct"/>
            <w:shd w:val="clear" w:color="auto" w:fill="C0C0C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p w:rsidR="00876B95" w:rsidRPr="00C70D7F" w:rsidRDefault="00876B95" w:rsidP="00824111">
            <w:pPr>
              <w:pStyle w:val="Table"/>
              <w:rPr>
                <w:rFonts w:ascii="Times New Roman" w:hAnsi="Times New Roman"/>
                <w:sz w:val="24"/>
                <w:szCs w:val="24"/>
              </w:rPr>
            </w:pPr>
          </w:p>
        </w:tc>
        <w:tc>
          <w:tcPr>
            <w:tcW w:w="780" w:type="pct"/>
            <w:tcBorders>
              <w:bottom w:val="single" w:sz="4" w:space="0" w:color="auto"/>
            </w:tcBorders>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1110</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0110</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0010</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rPr>
          <w:trHeight w:val="827"/>
        </w:trPr>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0002</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1001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D9D9D9"/>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0011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0111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0101</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1101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876B95" w:rsidRPr="00C70D7F" w:rsidTr="00824111">
        <w:tc>
          <w:tcPr>
            <w:tcW w:w="1098" w:type="pct"/>
            <w:shd w:val="clear" w:color="auto" w:fill="auto"/>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Category 1111</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876B95" w:rsidRPr="00C70D7F" w:rsidRDefault="00876B95" w:rsidP="00824111">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876B95" w:rsidRPr="00C70D7F" w:rsidRDefault="00876B95" w:rsidP="00824111">
            <w:pPr>
              <w:pStyle w:val="Table"/>
              <w:keepNext/>
              <w:jc w:val="center"/>
              <w:rPr>
                <w:rFonts w:ascii="Times New Roman" w:hAnsi="Times New Roman"/>
                <w:sz w:val="24"/>
                <w:szCs w:val="24"/>
              </w:rPr>
            </w:pPr>
            <w:r w:rsidRPr="00C70D7F">
              <w:rPr>
                <w:rFonts w:ascii="Times New Roman" w:hAnsi="Times New Roman"/>
                <w:sz w:val="24"/>
                <w:szCs w:val="24"/>
              </w:rPr>
              <w:t>Zero</w:t>
            </w:r>
          </w:p>
        </w:tc>
      </w:tr>
    </w:tbl>
    <w:p w:rsidR="00876B95" w:rsidRPr="00C70D7F" w:rsidRDefault="00876B95" w:rsidP="00876B95">
      <w:pPr>
        <w:pStyle w:val="Text"/>
        <w:tabs>
          <w:tab w:val="clear" w:pos="709"/>
        </w:tabs>
        <w:ind w:left="0" w:firstLine="0"/>
        <w:rPr>
          <w:rFonts w:ascii="Times New Roman" w:hAnsi="Times New Roman"/>
          <w:sz w:val="24"/>
          <w:szCs w:val="24"/>
        </w:rPr>
      </w:pPr>
    </w:p>
    <w:p w:rsidR="00876B95" w:rsidRPr="00A700E0" w:rsidRDefault="00876B95" w:rsidP="00876B95">
      <w:pPr>
        <w:pStyle w:val="Heading2"/>
      </w:pPr>
      <w:r w:rsidRPr="00A700E0">
        <w:lastRenderedPageBreak/>
        <w:t>Category 0000 Connectee are deemed not to use any network assets other than sole use assets.</w:t>
      </w:r>
    </w:p>
    <w:p w:rsidR="00876B95" w:rsidRPr="00A700E0" w:rsidRDefault="00876B95" w:rsidP="00876B95">
      <w:pPr>
        <w:pStyle w:val="Heading2"/>
      </w:pPr>
      <w:r w:rsidRPr="00A700E0">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rsidR="00876B95" w:rsidRPr="00123CD2" w:rsidRDefault="00876B95" w:rsidP="00876B95">
      <w:pPr>
        <w:pStyle w:val="DCNormParaL3"/>
      </w:pPr>
      <w:r w:rsidRPr="00123CD2">
        <w:t xml:space="preserve">Average network asset value for capacity at level L (£/kVA) = NARL* AE </w:t>
      </w:r>
      <w:proofErr w:type="gramStart"/>
      <w:r w:rsidRPr="00123CD2">
        <w:t>/(</w:t>
      </w:r>
      <w:proofErr w:type="gramEnd"/>
      <w:r w:rsidRPr="00123CD2">
        <w:t>1 + DL)</w:t>
      </w:r>
    </w:p>
    <w:p w:rsidR="00876B95" w:rsidRPr="00123CD2" w:rsidRDefault="00876B95" w:rsidP="00876B95">
      <w:pPr>
        <w:pStyle w:val="DCNormParaL3"/>
      </w:pPr>
      <w:r w:rsidRPr="00123CD2">
        <w:t>Average network asset value for demand at level L (£/kVA) = NARL* D * LAF</w:t>
      </w:r>
    </w:p>
    <w:p w:rsidR="00876B95" w:rsidRPr="00123CD2" w:rsidRDefault="00876B95" w:rsidP="00876B95">
      <w:pPr>
        <w:pStyle w:val="DCNormParaL3"/>
      </w:pPr>
      <w:r w:rsidRPr="00123CD2">
        <w:t xml:space="preserve">Where: </w:t>
      </w:r>
    </w:p>
    <w:p w:rsidR="00876B95" w:rsidRPr="000468AB" w:rsidRDefault="00876B95" w:rsidP="00876B95">
      <w:pPr>
        <w:pStyle w:val="DCNormParaL3"/>
      </w:pPr>
      <w:r w:rsidRPr="000468AB">
        <w:t>NAR L is the network asset rate at level L in £/kW based on the 500 MW model.</w:t>
      </w:r>
    </w:p>
    <w:p w:rsidR="00876B95" w:rsidRPr="00E05E59" w:rsidRDefault="00876B95" w:rsidP="00876B95">
      <w:pPr>
        <w:pStyle w:val="DCNormParaL3"/>
      </w:pPr>
      <w:r w:rsidRPr="00E05E59">
        <w:t>DL is the Diversity Allowance from the level exit to the GSP group (from CDCM table 2611).</w:t>
      </w:r>
    </w:p>
    <w:p w:rsidR="00876B95" w:rsidRPr="00E05E59" w:rsidRDefault="00876B95" w:rsidP="00876B95">
      <w:pPr>
        <w:pStyle w:val="DCNormParaL3"/>
      </w:pPr>
      <w:r w:rsidRPr="00E05E59">
        <w:t>D is the peak time active power consumption in (kW/kVA).  This is calculated as the historical peak-time kW divided by historical maximum kVA.</w:t>
      </w:r>
    </w:p>
    <w:p w:rsidR="00876B95" w:rsidRPr="000468AB" w:rsidRDefault="00876B95" w:rsidP="00876B95">
      <w:pPr>
        <w:pStyle w:val="DCNormParaL3"/>
      </w:pPr>
      <w:r w:rsidRPr="00E05E59">
        <w:t>LAF is the los</w:t>
      </w:r>
      <w:r w:rsidRPr="003D46BF">
        <w:t xml:space="preserve">s adjustment factor to transmission from the CDCM for the network level relevant to the EDCM Customer category of that Connectee.  See table below for the correspondence between EDCM Customer categories and network levels.  </w:t>
      </w:r>
    </w:p>
    <w:p w:rsidR="00876B95" w:rsidRDefault="00876B95" w:rsidP="00876B95">
      <w:pPr>
        <w:pStyle w:val="DCNormParaL3"/>
      </w:pPr>
      <w:r w:rsidRPr="000468AB">
        <w:t xml:space="preserve">AE is the active power equivalent of capacity adjusted to transmission (in kW/kVA).  This is calculated by multiplying the power factor in the 500 MW </w:t>
      </w:r>
      <w:proofErr w:type="gramStart"/>
      <w:r w:rsidRPr="000468AB">
        <w:t>model</w:t>
      </w:r>
      <w:proofErr w:type="gramEnd"/>
      <w:r w:rsidRPr="000468AB">
        <w:t xml:space="preserve"> (0.95) by the loss adjustment factor to transmission for the network level relevant to that Connectee (as above).  </w:t>
      </w:r>
    </w:p>
    <w:p w:rsidR="00876B95" w:rsidRDefault="00876B95" w:rsidP="00876B95">
      <w:pPr>
        <w:spacing w:after="200" w:line="276" w:lineRule="auto"/>
      </w:pPr>
      <w:r>
        <w:br w:type="page"/>
      </w:r>
    </w:p>
    <w:tbl>
      <w:tblPr>
        <w:tblW w:w="447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9"/>
        <w:gridCol w:w="5820"/>
      </w:tblGrid>
      <w:tr w:rsidR="00876B95" w:rsidRPr="00426623" w:rsidTr="00824111">
        <w:tc>
          <w:tcPr>
            <w:tcW w:w="1485" w:type="pct"/>
            <w:shd w:val="clear" w:color="auto" w:fill="auto"/>
          </w:tcPr>
          <w:p w:rsidR="00876B95" w:rsidRPr="00DC7FE3" w:rsidRDefault="00876B95" w:rsidP="00824111">
            <w:pPr>
              <w:rPr>
                <w:b/>
              </w:rPr>
            </w:pPr>
            <w:r w:rsidRPr="00DC7FE3">
              <w:rPr>
                <w:b/>
              </w:rPr>
              <w:lastRenderedPageBreak/>
              <w:t>Customer categories</w:t>
            </w:r>
          </w:p>
        </w:tc>
        <w:tc>
          <w:tcPr>
            <w:tcW w:w="3515" w:type="pct"/>
            <w:shd w:val="clear" w:color="auto" w:fill="auto"/>
          </w:tcPr>
          <w:p w:rsidR="00876B95" w:rsidRPr="00DC7FE3" w:rsidRDefault="00876B95" w:rsidP="00824111">
            <w:pPr>
              <w:rPr>
                <w:b/>
              </w:rPr>
            </w:pPr>
            <w:r w:rsidRPr="00DC7FE3">
              <w:rPr>
                <w:b/>
              </w:rPr>
              <w:t>Relevant network level for loss adjustment factors</w:t>
            </w:r>
          </w:p>
        </w:tc>
      </w:tr>
      <w:tr w:rsidR="00876B95" w:rsidRPr="00426623" w:rsidTr="00824111">
        <w:tc>
          <w:tcPr>
            <w:tcW w:w="1485" w:type="pct"/>
            <w:shd w:val="clear" w:color="auto" w:fill="auto"/>
          </w:tcPr>
          <w:p w:rsidR="00876B95" w:rsidRPr="00426623" w:rsidRDefault="00876B95" w:rsidP="00824111">
            <w:r w:rsidRPr="00426623">
              <w:t>0000</w:t>
            </w:r>
          </w:p>
        </w:tc>
        <w:tc>
          <w:tcPr>
            <w:tcW w:w="3515" w:type="pct"/>
            <w:shd w:val="clear" w:color="auto" w:fill="auto"/>
          </w:tcPr>
          <w:p w:rsidR="00876B95" w:rsidRPr="00426623" w:rsidRDefault="00876B95" w:rsidP="00824111">
            <w:r w:rsidRPr="00426623">
              <w:t>GSP (the loss adjustment factor is always 1 for this network level)</w:t>
            </w:r>
          </w:p>
        </w:tc>
      </w:tr>
      <w:tr w:rsidR="00876B95" w:rsidRPr="00426623" w:rsidTr="00824111">
        <w:tc>
          <w:tcPr>
            <w:tcW w:w="1485" w:type="pct"/>
            <w:shd w:val="clear" w:color="auto" w:fill="auto"/>
          </w:tcPr>
          <w:p w:rsidR="00876B95" w:rsidRPr="00426623" w:rsidRDefault="00876B95" w:rsidP="00824111">
            <w:r w:rsidRPr="00426623">
              <w:t>1000</w:t>
            </w:r>
          </w:p>
        </w:tc>
        <w:tc>
          <w:tcPr>
            <w:tcW w:w="3515" w:type="pct"/>
            <w:shd w:val="clear" w:color="auto" w:fill="auto"/>
          </w:tcPr>
          <w:p w:rsidR="00876B95" w:rsidRPr="00426623" w:rsidRDefault="00876B95" w:rsidP="00824111">
            <w:r w:rsidRPr="00426623">
              <w:t>132kV (level 1)</w:t>
            </w:r>
          </w:p>
        </w:tc>
      </w:tr>
      <w:tr w:rsidR="00876B95" w:rsidRPr="00426623" w:rsidTr="00824111">
        <w:tc>
          <w:tcPr>
            <w:tcW w:w="1485" w:type="pct"/>
            <w:shd w:val="clear" w:color="auto" w:fill="auto"/>
          </w:tcPr>
          <w:p w:rsidR="00876B95" w:rsidRPr="00426623" w:rsidRDefault="00876B95" w:rsidP="00824111">
            <w:r w:rsidRPr="00426623">
              <w:t>1100 and 0100</w:t>
            </w:r>
          </w:p>
        </w:tc>
        <w:tc>
          <w:tcPr>
            <w:tcW w:w="3515" w:type="pct"/>
            <w:shd w:val="clear" w:color="auto" w:fill="auto"/>
          </w:tcPr>
          <w:p w:rsidR="00876B95" w:rsidRPr="00426623" w:rsidRDefault="00876B95" w:rsidP="00824111">
            <w:r w:rsidRPr="00426623">
              <w:t>132kV/EHV (level 2)</w:t>
            </w:r>
          </w:p>
        </w:tc>
      </w:tr>
      <w:tr w:rsidR="00876B95" w:rsidRPr="00426623" w:rsidTr="00824111">
        <w:tc>
          <w:tcPr>
            <w:tcW w:w="1485" w:type="pct"/>
            <w:shd w:val="clear" w:color="auto" w:fill="auto"/>
          </w:tcPr>
          <w:p w:rsidR="00876B95" w:rsidRPr="00426623" w:rsidRDefault="00876B95" w:rsidP="00824111">
            <w:r w:rsidRPr="00426623">
              <w:t>1110, 0110 and 0010</w:t>
            </w:r>
          </w:p>
        </w:tc>
        <w:tc>
          <w:tcPr>
            <w:tcW w:w="3515" w:type="pct"/>
            <w:shd w:val="clear" w:color="auto" w:fill="auto"/>
          </w:tcPr>
          <w:p w:rsidR="00876B95" w:rsidRPr="00426623" w:rsidRDefault="00876B95" w:rsidP="00824111">
            <w:r w:rsidRPr="00426623">
              <w:t>EHV (level 3)</w:t>
            </w:r>
          </w:p>
        </w:tc>
      </w:tr>
      <w:tr w:rsidR="00876B95" w:rsidRPr="00426623" w:rsidTr="00824111">
        <w:tc>
          <w:tcPr>
            <w:tcW w:w="1485" w:type="pct"/>
            <w:shd w:val="clear" w:color="auto" w:fill="auto"/>
          </w:tcPr>
          <w:p w:rsidR="00876B95" w:rsidRPr="00426623" w:rsidRDefault="00876B95" w:rsidP="00824111">
            <w:r w:rsidRPr="00426623">
              <w:t>1111, 1101, 0101, 0111, 0011 and 0002</w:t>
            </w:r>
          </w:p>
        </w:tc>
        <w:tc>
          <w:tcPr>
            <w:tcW w:w="3515" w:type="pct"/>
            <w:shd w:val="clear" w:color="auto" w:fill="auto"/>
          </w:tcPr>
          <w:p w:rsidR="00876B95" w:rsidRPr="00426623" w:rsidRDefault="00876B95" w:rsidP="00824111">
            <w:r w:rsidRPr="00426623">
              <w:t>EHV/HV (level 4)</w:t>
            </w:r>
          </w:p>
        </w:tc>
      </w:tr>
      <w:tr w:rsidR="00876B95" w:rsidRPr="00426623" w:rsidTr="00824111">
        <w:tc>
          <w:tcPr>
            <w:tcW w:w="1485" w:type="pct"/>
            <w:shd w:val="clear" w:color="auto" w:fill="auto"/>
          </w:tcPr>
          <w:p w:rsidR="00876B95" w:rsidRPr="00426623" w:rsidRDefault="00876B95" w:rsidP="00824111">
            <w:r w:rsidRPr="00426623">
              <w:t>1001 and 0001</w:t>
            </w:r>
          </w:p>
        </w:tc>
        <w:tc>
          <w:tcPr>
            <w:tcW w:w="3515" w:type="pct"/>
            <w:shd w:val="clear" w:color="auto" w:fill="auto"/>
          </w:tcPr>
          <w:p w:rsidR="00876B95" w:rsidRPr="00426623" w:rsidRDefault="00876B95" w:rsidP="00824111">
            <w:r w:rsidRPr="00426623">
              <w:t>132kV/HV (level 5)</w:t>
            </w:r>
          </w:p>
        </w:tc>
      </w:tr>
    </w:tbl>
    <w:p w:rsidR="00876B95" w:rsidRDefault="00876B95" w:rsidP="00876B95"/>
    <w:p w:rsidR="00876B95" w:rsidRPr="00426623" w:rsidRDefault="00876B95" w:rsidP="00876B95">
      <w:pPr>
        <w:pStyle w:val="Heading2"/>
      </w:pPr>
      <w:r w:rsidRPr="00426623">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rsidR="00876B95" w:rsidRPr="00426623" w:rsidRDefault="00876B95" w:rsidP="00876B95">
      <w:pPr>
        <w:ind w:left="720"/>
      </w:pPr>
      <w:r w:rsidRPr="00426623">
        <w:t>Site-specific asset value for capacity at level L (£/kVA) = NUL * Average network asset value for capacity at level L (£/kVA)</w:t>
      </w:r>
    </w:p>
    <w:p w:rsidR="00876B95" w:rsidRPr="00426623" w:rsidRDefault="00876B95" w:rsidP="00876B95">
      <w:pPr>
        <w:ind w:left="720"/>
      </w:pPr>
      <w:r w:rsidRPr="00426623">
        <w:t>Notional asset value for demand at level L (£/kVA) = NUL * Average network asset value for demand at level L (£/kVA)</w:t>
      </w:r>
    </w:p>
    <w:p w:rsidR="00876B95" w:rsidRPr="00426623" w:rsidRDefault="00876B95" w:rsidP="00876B95">
      <w:pPr>
        <w:ind w:left="720"/>
      </w:pPr>
      <w:r w:rsidRPr="00426623">
        <w:t xml:space="preserve">Where: </w:t>
      </w:r>
    </w:p>
    <w:p w:rsidR="00876B95" w:rsidRPr="00426623" w:rsidRDefault="00876B95" w:rsidP="00876B95">
      <w:pPr>
        <w:ind w:left="720"/>
      </w:pPr>
      <w:r w:rsidRPr="00426623">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rsidR="00876B95" w:rsidRPr="00426623" w:rsidRDefault="00876B95" w:rsidP="00876B95">
      <w:pPr>
        <w:ind w:left="720"/>
      </w:pPr>
      <w:r w:rsidRPr="00426623">
        <w:t>Average notional asset value for capacity at level L is the voltage level average calculated as described earlier.</w:t>
      </w:r>
    </w:p>
    <w:p w:rsidR="00876B95" w:rsidRPr="00426623" w:rsidRDefault="00876B95" w:rsidP="00876B95">
      <w:pPr>
        <w:ind w:left="720"/>
      </w:pPr>
      <w:r w:rsidRPr="00426623">
        <w:lastRenderedPageBreak/>
        <w:t>Average notional asset value for demand at level L is the voltage level average calculated as described earlier.</w:t>
      </w:r>
    </w:p>
    <w:p w:rsidR="00876B95" w:rsidRPr="00426623" w:rsidRDefault="00876B95" w:rsidP="00876B95">
      <w:pPr>
        <w:pStyle w:val="Heading2"/>
      </w:pPr>
      <w:r w:rsidRPr="00426623">
        <w:t xml:space="preserve">Network use factors for import charges of a mixed import-export site that is generation-dominated are set to default values.  These default values are equal to the “collars” for each network level calculated as described in section on demand scaling. DNO Parties implementing the FCP methodology would use the rules set out in the LRIC methodology to determine whether a location is to be modelled as a generation site, and is therefore generation dominated.  </w:t>
      </w:r>
    </w:p>
    <w:p w:rsidR="00876B95" w:rsidRDefault="00876B95" w:rsidP="00876B95">
      <w:pPr>
        <w:pStyle w:val="Heading2"/>
      </w:pPr>
      <w:r>
        <w:t>The total value of the site-specific shared assets required to serve each Connectee is calculated according to the formula:</w:t>
      </w:r>
    </w:p>
    <w:p w:rsidR="00876B95" w:rsidRDefault="00876B95" w:rsidP="00876B95">
      <w:pPr>
        <w:pStyle w:val="DCNormParaL3"/>
        <w:ind w:left="720"/>
      </w:pPr>
      <w:r>
        <w:t>TNA = NAC + (NAD * (1 - (Hours in super-red for which not a customer/Annual hours in super-red))*(Days in year</w:t>
      </w:r>
      <w:proofErr w:type="gramStart"/>
      <w:r>
        <w:t>/(</w:t>
      </w:r>
      <w:proofErr w:type="gramEnd"/>
      <w:r>
        <w:t>Days in year - Days for which not a customer)))</w:t>
      </w:r>
    </w:p>
    <w:p w:rsidR="00876B95" w:rsidRDefault="00876B95" w:rsidP="00876B95">
      <w:pPr>
        <w:pStyle w:val="DCNormParaL3"/>
        <w:ind w:left="720"/>
      </w:pPr>
      <w:r>
        <w:t>Where:</w:t>
      </w:r>
    </w:p>
    <w:p w:rsidR="00876B95" w:rsidRDefault="00876B95" w:rsidP="00876B95">
      <w:pPr>
        <w:pStyle w:val="DCNormParaL3"/>
        <w:ind w:left="720"/>
      </w:pPr>
      <w:r>
        <w:t>TNA is the total site-specific network assets in £/kVA required to serve a Connectee.</w:t>
      </w:r>
    </w:p>
    <w:p w:rsidR="00876B95" w:rsidRDefault="00876B95" w:rsidP="00876B95">
      <w:pPr>
        <w:pStyle w:val="DCNormParaL3"/>
        <w:ind w:left="720"/>
      </w:pPr>
      <w:r>
        <w:t>NAC is the site-specific asset value in £/kVA for capacity for that Connectee aggregated across all levels.</w:t>
      </w:r>
    </w:p>
    <w:p w:rsidR="00876B95" w:rsidRDefault="00876B95" w:rsidP="00876B95">
      <w:pPr>
        <w:pStyle w:val="DCNormParaL3"/>
        <w:ind w:left="720"/>
      </w:pPr>
      <w:r>
        <w:t>NAD is the site-specific asset value in £/kVA for demand for that Connectee aggregated across all levels.</w:t>
      </w:r>
    </w:p>
    <w:p w:rsidR="00876B95" w:rsidRDefault="00876B95" w:rsidP="00876B95">
      <w:pPr>
        <w:pStyle w:val="Heading2"/>
      </w:pPr>
      <w:r>
        <w:t xml:space="preserve">Total site-specific shared assets is the aggregate value (in £) of all site-specific shared assets for </w:t>
      </w:r>
      <w:proofErr w:type="gramStart"/>
      <w:r>
        <w:t>EDCM  Connectees</w:t>
      </w:r>
      <w:proofErr w:type="gramEnd"/>
      <w:r>
        <w:t>. This is calculated by multiplying TNA by the Maximum Import Capacity (adjusted, if necessary, for Connectees connected for part of the Charging Year), and then aggregating across all EDCM Connectees.</w:t>
      </w:r>
    </w:p>
    <w:p w:rsidR="00876B95" w:rsidRDefault="00876B95" w:rsidP="00876B95">
      <w:pPr>
        <w:pStyle w:val="Heading1"/>
      </w:pPr>
      <w:bookmarkStart w:id="148" w:name="_Toc360027695"/>
      <w:bookmarkStart w:id="149" w:name="_Toc360028049"/>
      <w:bookmarkStart w:id="150" w:name="_Toc391559907"/>
      <w:bookmarkStart w:id="151" w:name="_Toc510303027"/>
      <w:bookmarkStart w:id="152" w:name="_Toc513018439"/>
      <w:bookmarkStart w:id="153" w:name="_Toc518333624"/>
      <w:r>
        <w:t>Calculation of the EDCM demand revenue target</w:t>
      </w:r>
      <w:bookmarkEnd w:id="148"/>
      <w:bookmarkEnd w:id="149"/>
      <w:bookmarkEnd w:id="150"/>
      <w:bookmarkEnd w:id="151"/>
      <w:bookmarkEnd w:id="152"/>
      <w:bookmarkEnd w:id="153"/>
    </w:p>
    <w:p w:rsidR="00876B95" w:rsidRDefault="00876B95" w:rsidP="00876B95">
      <w:pPr>
        <w:pStyle w:val="Heading2"/>
      </w:pPr>
      <w:r>
        <w:t>The EDCM demand revenue target is the share of the DNO Party’s Allowed Revenue</w:t>
      </w:r>
      <w:ins w:id="154" w:author="Enzor, Andrew" w:date="2018-09-27T09:39:00Z">
        <w:r w:rsidR="00993801">
          <w:t xml:space="preserve"> less</w:t>
        </w:r>
        <w:r w:rsidR="00993801" w:rsidRPr="00D047A5">
          <w:t xml:space="preserve"> </w:t>
        </w:r>
        <w:r w:rsidR="00993801">
          <w:t xml:space="preserve">any revenue relating to </w:t>
        </w:r>
        <w:r w:rsidR="00993801" w:rsidRPr="00344AC0">
          <w:t xml:space="preserve">the recovery of </w:t>
        </w:r>
        <w:r w:rsidR="00993801">
          <w:t xml:space="preserve">Eligible Bad Debt </w:t>
        </w:r>
        <w:r w:rsidR="00993801" w:rsidRPr="00344AC0">
          <w:t>pass-through</w:t>
        </w:r>
        <w:r w:rsidR="00993801">
          <w:t xml:space="preserve"> costs</w:t>
        </w:r>
      </w:ins>
      <w:r>
        <w:t xml:space="preserve"> (excluding transmission exit charges and net revenue from EDCM generation) that will be recovered from EDCM Connectees through import charges.</w:t>
      </w:r>
    </w:p>
    <w:p w:rsidR="00876B95" w:rsidRDefault="00876B95" w:rsidP="00876B95">
      <w:pPr>
        <w:pStyle w:val="Heading2"/>
      </w:pPr>
      <w:r>
        <w:lastRenderedPageBreak/>
        <w:t>This section describes the method used to calculate the EDCM demand revenue target.</w:t>
      </w:r>
    </w:p>
    <w:p w:rsidR="00876B95" w:rsidRDefault="00876B95" w:rsidP="00876B95">
      <w:pPr>
        <w:pStyle w:val="Heading2"/>
      </w:pPr>
      <w:r>
        <w:t>A single contribution rate for network rates is calculated for all EDCM Connectees as follows:</w:t>
      </w:r>
    </w:p>
    <w:p w:rsidR="00876B95" w:rsidRDefault="00876B95" w:rsidP="00876B95">
      <w:pPr>
        <w:ind w:left="709"/>
      </w:pPr>
      <w:r>
        <w:t>Network rates contribution rate (per cent) = NR / (Total site-specific shared assets + Total EDCM sole use assets + EHV assets + HV and LV network assets + HV and LV service model assets)</w:t>
      </w:r>
    </w:p>
    <w:p w:rsidR="00876B95" w:rsidRDefault="00876B95" w:rsidP="00876B95">
      <w:pPr>
        <w:ind w:left="709"/>
      </w:pPr>
      <w:r>
        <w:t>Where:</w:t>
      </w:r>
    </w:p>
    <w:p w:rsidR="00876B95" w:rsidRDefault="00876B95" w:rsidP="00876B95">
      <w:pPr>
        <w:ind w:left="709"/>
      </w:pPr>
      <w:r>
        <w:t>NR is the DNO Party’s total expenditure on network rates.</w:t>
      </w:r>
    </w:p>
    <w:p w:rsidR="00876B95" w:rsidRDefault="00876B95" w:rsidP="00876B95">
      <w:pPr>
        <w:ind w:left="709"/>
      </w:pPr>
      <w:r>
        <w:t xml:space="preserve">Total site-specific shared assets is the aggregate value (in £) of all site-specific shared assets for EDCM Connectees.  </w:t>
      </w:r>
    </w:p>
    <w:p w:rsidR="00876B95" w:rsidRDefault="00876B95" w:rsidP="00876B95">
      <w:pPr>
        <w:ind w:left="709"/>
      </w:pPr>
      <w:r>
        <w:t>Total EDCM sole use assets is the aggregate sole use asset MEAVs of all EDCM Connectees, excluding the value of sole use assets associated with exempt export capacity, adjusted for part-year connected Connectees.</w:t>
      </w:r>
    </w:p>
    <w:p w:rsidR="00876B95" w:rsidRDefault="00876B95" w:rsidP="00876B95">
      <w:pPr>
        <w:ind w:left="709"/>
      </w:pPr>
      <w:r>
        <w:t>EHV assets are the aggregate EHV assets in the CDCM model.</w:t>
      </w:r>
    </w:p>
    <w:p w:rsidR="00876B95" w:rsidRDefault="00876B95" w:rsidP="00876B95">
      <w:pPr>
        <w:ind w:left="709"/>
      </w:pPr>
      <w:r>
        <w:t>HV and LV network assets from the CDCM model.</w:t>
      </w:r>
    </w:p>
    <w:p w:rsidR="00876B95" w:rsidRDefault="00876B95" w:rsidP="00876B95">
      <w:pPr>
        <w:ind w:left="709"/>
      </w:pPr>
      <w:r>
        <w:t>HV and LV service model assets from the CDCM model.</w:t>
      </w:r>
    </w:p>
    <w:p w:rsidR="00876B95" w:rsidRPr="00426623" w:rsidRDefault="00876B95" w:rsidP="00876B95">
      <w:pPr>
        <w:pStyle w:val="Heading2"/>
      </w:pPr>
      <w:r w:rsidRPr="00426623">
        <w:t>A single contribution rate for direct operating costs is calculated for all EDCM Connectees as follows:</w:t>
      </w:r>
    </w:p>
    <w:p w:rsidR="00876B95" w:rsidRPr="00D667D5" w:rsidRDefault="00876B95" w:rsidP="00876B95">
      <w:pPr>
        <w:pStyle w:val="DCNormParaL3"/>
      </w:pPr>
      <w:r w:rsidRPr="00D667D5">
        <w:t>Direct operating costs contribution rate (per cent) = DOC / (Total site-specific shared assets + Total EDCM sole use assets + EHV assets + (HV and LV network assets + HV and LV service model assets) / 0.68)</w:t>
      </w:r>
    </w:p>
    <w:p w:rsidR="00876B95" w:rsidRPr="00D667D5" w:rsidRDefault="00876B95" w:rsidP="00876B95">
      <w:pPr>
        <w:pStyle w:val="DCNormParaL3"/>
      </w:pPr>
      <w:r w:rsidRPr="00D667D5">
        <w:t>Where:</w:t>
      </w:r>
    </w:p>
    <w:p w:rsidR="00876B95" w:rsidRPr="00D667D5" w:rsidRDefault="00876B95" w:rsidP="00876B95">
      <w:pPr>
        <w:pStyle w:val="DCNormParaL3"/>
      </w:pPr>
      <w:r w:rsidRPr="00D667D5">
        <w:t>DOC is the DNO Party’s total expenditure on direct operating costs.</w:t>
      </w:r>
    </w:p>
    <w:p w:rsidR="00876B95" w:rsidRPr="00D667D5" w:rsidRDefault="00876B95" w:rsidP="00876B95">
      <w:pPr>
        <w:pStyle w:val="DCNormParaL3"/>
      </w:pPr>
      <w:r w:rsidRPr="00D667D5">
        <w:lastRenderedPageBreak/>
        <w:t xml:space="preserve">Total site-specific shared assets is the aggregate value (in £) of all site-specific shared assets for EDCM Connectees.  </w:t>
      </w:r>
    </w:p>
    <w:p w:rsidR="00876B95" w:rsidRPr="00D667D5" w:rsidRDefault="00876B95" w:rsidP="00876B95">
      <w:pPr>
        <w:pStyle w:val="DCNormParaL3"/>
      </w:pPr>
      <w:r w:rsidRPr="00D667D5">
        <w:t>Total EDCM sole use assets is the aggregate sole use asset MEAVs of all EDCM  Connectees, excluding the value of sole use assets associated with exempt export capacity, adjusted for part-year connected Connectees.</w:t>
      </w:r>
    </w:p>
    <w:p w:rsidR="00876B95" w:rsidRPr="00D667D5" w:rsidRDefault="00876B95" w:rsidP="00876B95">
      <w:pPr>
        <w:pStyle w:val="DCNormParaL3"/>
      </w:pPr>
      <w:r w:rsidRPr="00D667D5">
        <w:t>EHV assets are the aggregate EHV assets in the CDCM model.</w:t>
      </w:r>
    </w:p>
    <w:p w:rsidR="00876B95" w:rsidRPr="00426623" w:rsidRDefault="00876B95" w:rsidP="00876B95">
      <w:pPr>
        <w:pStyle w:val="DCNormParaL3"/>
      </w:pPr>
      <w:r w:rsidRPr="00426623">
        <w:t>HV and LV network assets from the CDCM model.</w:t>
      </w:r>
    </w:p>
    <w:p w:rsidR="00876B95" w:rsidRPr="00426623" w:rsidRDefault="00876B95" w:rsidP="00876B95">
      <w:pPr>
        <w:pStyle w:val="DCNormParaL3"/>
      </w:pPr>
      <w:r w:rsidRPr="00426623">
        <w:t>HV and LV service model assets from the CDCM model.</w:t>
      </w:r>
    </w:p>
    <w:p w:rsidR="00876B95" w:rsidRPr="00426623" w:rsidRDefault="00876B95" w:rsidP="00876B95">
      <w:pPr>
        <w:pStyle w:val="DCNormParaL3"/>
      </w:pPr>
      <w:r w:rsidRPr="00426623">
        <w:t>0.68 is the operating intensity factor.</w:t>
      </w:r>
    </w:p>
    <w:p w:rsidR="00876B95" w:rsidRPr="00426623" w:rsidRDefault="00876B95" w:rsidP="00876B95">
      <w:pPr>
        <w:pStyle w:val="Heading2"/>
      </w:pPr>
      <w:r w:rsidRPr="00426623">
        <w:t>A single contribution rate for indirect costs is calculated for all EDCM Connectees as follows:</w:t>
      </w:r>
    </w:p>
    <w:p w:rsidR="00876B95" w:rsidRPr="00426623" w:rsidRDefault="00876B95" w:rsidP="00876B95">
      <w:pPr>
        <w:pStyle w:val="DCNormParaL3"/>
      </w:pPr>
      <w:r w:rsidRPr="00426623">
        <w:t>Indirect costs contribution rate (per cent) = INDOC / (Total site-specific shared assets + Total EDCM sole use assets + EHV assets + (HV and LV network assets + HV and LV service model assets) / 0.68)</w:t>
      </w:r>
    </w:p>
    <w:p w:rsidR="00876B95" w:rsidRPr="00426623" w:rsidRDefault="00876B95" w:rsidP="00876B95">
      <w:pPr>
        <w:pStyle w:val="DCNormParaL3"/>
      </w:pPr>
      <w:r w:rsidRPr="00426623">
        <w:t>Where:</w:t>
      </w:r>
    </w:p>
    <w:p w:rsidR="00876B95" w:rsidRPr="00426623" w:rsidRDefault="00876B95" w:rsidP="00876B95">
      <w:pPr>
        <w:pStyle w:val="DCNormParaL3"/>
      </w:pPr>
      <w:r w:rsidRPr="00426623">
        <w:t>INDOC is the DNO Party’s total expenditure on indirect costs.</w:t>
      </w:r>
    </w:p>
    <w:p w:rsidR="00876B95" w:rsidRPr="00426623" w:rsidRDefault="00876B95" w:rsidP="00876B95">
      <w:pPr>
        <w:pStyle w:val="DCNormParaL3"/>
      </w:pPr>
      <w:r w:rsidRPr="00426623">
        <w:t xml:space="preserve">Total site-specific shared assets is the aggregate value (in £) of all site-specific shared assets for EDCM Connectees.  </w:t>
      </w:r>
    </w:p>
    <w:p w:rsidR="00876B95" w:rsidRPr="00426623" w:rsidRDefault="00876B95" w:rsidP="00876B95">
      <w:pPr>
        <w:pStyle w:val="DCNormParaL3"/>
      </w:pPr>
      <w:r w:rsidRPr="00426623">
        <w:t>Total EDCM sole use assets is the aggregate sole use asset MEAVs of all EDCM  Connectees, excluding the value of sole use assets associated with exempt export capacity, adjusted for part-year connected Connectees.</w:t>
      </w:r>
    </w:p>
    <w:p w:rsidR="00876B95" w:rsidRPr="00426623" w:rsidRDefault="00876B95" w:rsidP="00876B95">
      <w:pPr>
        <w:pStyle w:val="DCNormParaL3"/>
      </w:pPr>
      <w:r w:rsidRPr="00426623">
        <w:t>EHV assets are the aggregate EHV assets in the CDCM model.</w:t>
      </w:r>
    </w:p>
    <w:p w:rsidR="00876B95" w:rsidRPr="00426623" w:rsidRDefault="00876B95" w:rsidP="00876B95">
      <w:pPr>
        <w:pStyle w:val="DCNormParaL3"/>
      </w:pPr>
      <w:r w:rsidRPr="00426623">
        <w:t>HV and LV network assets from the CDCM model.</w:t>
      </w:r>
    </w:p>
    <w:p w:rsidR="00876B95" w:rsidRPr="00426623" w:rsidRDefault="00876B95" w:rsidP="00876B95">
      <w:pPr>
        <w:pStyle w:val="DCNormParaL3"/>
      </w:pPr>
      <w:r w:rsidRPr="00426623">
        <w:t xml:space="preserve">HV and LV service model assets from the CDCM model. </w:t>
      </w:r>
    </w:p>
    <w:p w:rsidR="00876B95" w:rsidRPr="00426623" w:rsidRDefault="00876B95" w:rsidP="00876B95">
      <w:pPr>
        <w:pStyle w:val="DCNormParaL3"/>
      </w:pPr>
      <w:r w:rsidRPr="00426623">
        <w:t>0.68 is the operating intensity factor.</w:t>
      </w:r>
    </w:p>
    <w:p w:rsidR="00876B95" w:rsidRPr="00E11AB8" w:rsidRDefault="00876B95" w:rsidP="00876B95">
      <w:pPr>
        <w:pStyle w:val="Heading2"/>
      </w:pPr>
      <w:r w:rsidRPr="00E11AB8">
        <w:lastRenderedPageBreak/>
        <w:t>Next, a residual revenue contribution rate is calculated as follows:</w:t>
      </w:r>
    </w:p>
    <w:p w:rsidR="00876B95" w:rsidRPr="00E11AB8" w:rsidRDefault="00876B95" w:rsidP="00876B95">
      <w:pPr>
        <w:pStyle w:val="DCNormParaL3"/>
      </w:pPr>
      <w:r w:rsidRPr="00E11AB8">
        <w:t>Residual revenue contribution rate (per cent) = (AR - DOC – INDOC – NR – GCN) / (Total site-specific shared assets + EHV assets + HV and LV network assets)</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AR is the DNO Party’s total Allowed Revenue excluding transmission exit charges in £/year</w:t>
      </w:r>
      <w:ins w:id="155" w:author="Enzor, Andrew" w:date="2018-09-27T09:39:00Z">
        <w:r w:rsidR="00993801">
          <w:t xml:space="preserve"> and excluding</w:t>
        </w:r>
        <w:r w:rsidR="00993801" w:rsidRPr="00D047A5">
          <w:t xml:space="preserve"> </w:t>
        </w:r>
        <w:r w:rsidR="00993801">
          <w:t xml:space="preserve">any revenue relating to </w:t>
        </w:r>
        <w:r w:rsidR="00993801" w:rsidRPr="00344AC0">
          <w:t xml:space="preserve">the recovery of </w:t>
        </w:r>
        <w:r w:rsidR="00993801">
          <w:t xml:space="preserve">Eligible Bad Debt </w:t>
        </w:r>
        <w:r w:rsidR="00993801" w:rsidRPr="00344AC0">
          <w:t>pass-through</w:t>
        </w:r>
        <w:r w:rsidR="00993801">
          <w:t xml:space="preserve"> costs</w:t>
        </w:r>
      </w:ins>
      <w:ins w:id="156" w:author="Enzor, Andrew" w:date="2018-11-01T12:36:00Z">
        <w:r w:rsidR="00A13341">
          <w:t>.</w:t>
        </w:r>
      </w:ins>
    </w:p>
    <w:p w:rsidR="00876B95" w:rsidRPr="00E11AB8" w:rsidRDefault="00876B95" w:rsidP="00876B95">
      <w:pPr>
        <w:pStyle w:val="DCNormParaL3"/>
      </w:pPr>
      <w:r w:rsidRPr="00E11AB8">
        <w:t>DOC is the DNO Party’s total expenditure on direct operating costs.</w:t>
      </w:r>
    </w:p>
    <w:p w:rsidR="00876B95" w:rsidRPr="00E11AB8" w:rsidRDefault="00876B95" w:rsidP="00876B95">
      <w:pPr>
        <w:pStyle w:val="DCNormParaL3"/>
      </w:pPr>
      <w:r w:rsidRPr="00E11AB8">
        <w:t>INDOC is the DNO Party’s total expenditure on indirect costs.</w:t>
      </w:r>
    </w:p>
    <w:p w:rsidR="00876B95" w:rsidRPr="00E11AB8" w:rsidRDefault="00876B95" w:rsidP="00876B95">
      <w:pPr>
        <w:pStyle w:val="DCNormParaL3"/>
      </w:pPr>
      <w:r w:rsidRPr="00E11AB8">
        <w:t>NR is the DNO Party’s total expenditure on network rates.</w:t>
      </w:r>
    </w:p>
    <w:p w:rsidR="00876B95" w:rsidRPr="00E11AB8" w:rsidRDefault="00876B95" w:rsidP="00876B95">
      <w:pPr>
        <w:pStyle w:val="DCNormParaL3"/>
      </w:pPr>
      <w:r w:rsidRPr="00E11AB8">
        <w:t>GCN is the total forecast net revenue in £/year from the application of EDCM export charges, including the EDCM generation fixed charge.   This amount is estimated by applying the calculated EDCM export charges rounded to the relevant number of decimal points.</w:t>
      </w:r>
    </w:p>
    <w:p w:rsidR="00876B95" w:rsidRPr="00E11AB8" w:rsidRDefault="00876B95" w:rsidP="00876B95">
      <w:pPr>
        <w:pStyle w:val="DCNormParaL3"/>
      </w:pPr>
      <w:r w:rsidRPr="00E11AB8">
        <w:t xml:space="preserve">Total site-specific shared assets is the aggregate value (in £) of all site-specific shared assets for EDCM Connectees.    </w:t>
      </w:r>
    </w:p>
    <w:p w:rsidR="00876B95" w:rsidRPr="00E11AB8" w:rsidRDefault="00876B95" w:rsidP="00876B95">
      <w:pPr>
        <w:pStyle w:val="DCNormParaL3"/>
      </w:pPr>
      <w:r w:rsidRPr="00E11AB8">
        <w:t>EHV assets are the aggregate EHV assets in the CDCM model.</w:t>
      </w:r>
    </w:p>
    <w:p w:rsidR="00876B95" w:rsidRPr="00E11AB8" w:rsidRDefault="00876B95" w:rsidP="00876B95">
      <w:pPr>
        <w:pStyle w:val="DCNormParaL3"/>
      </w:pPr>
      <w:r w:rsidRPr="00E11AB8">
        <w:t>HV and LV network assets from the CDCM model.</w:t>
      </w:r>
    </w:p>
    <w:p w:rsidR="00876B95" w:rsidRPr="00E11AB8" w:rsidRDefault="00876B95" w:rsidP="00876B95">
      <w:pPr>
        <w:pStyle w:val="Heading2"/>
      </w:pPr>
      <w:r w:rsidRPr="00E11AB8">
        <w:t>The contribution rates for network rates, direct costs, indirect costs and residual revenue is converted into a £/year import capacity based contribution and a demand sole use asset MEAV based contribution for each EDCM Connectee.</w:t>
      </w:r>
    </w:p>
    <w:p w:rsidR="00876B95" w:rsidRPr="00E11AB8" w:rsidRDefault="00876B95" w:rsidP="00876B95">
      <w:pPr>
        <w:pStyle w:val="DCNormParaL3"/>
      </w:pPr>
      <w:r w:rsidRPr="00E11AB8">
        <w:t>Import capacity based network rates contribution for each Connectee = TNA * NR rate * import capacity</w:t>
      </w:r>
    </w:p>
    <w:p w:rsidR="00876B95" w:rsidRPr="00E11AB8" w:rsidRDefault="00876B95" w:rsidP="00876B95">
      <w:pPr>
        <w:pStyle w:val="DCNormParaL3"/>
      </w:pPr>
      <w:r w:rsidRPr="00E11AB8">
        <w:t>Import capacity based direct operating costs contribution for each Connectee = TNA * DOC rate * import capacity</w:t>
      </w:r>
    </w:p>
    <w:p w:rsidR="00876B95" w:rsidRPr="00E11AB8" w:rsidRDefault="00876B95" w:rsidP="00876B95">
      <w:pPr>
        <w:pStyle w:val="DCNormParaL3"/>
      </w:pPr>
      <w:r w:rsidRPr="00E11AB8">
        <w:lastRenderedPageBreak/>
        <w:t>Import capacity based indirect costs contribution for each Connectee = TNA * INDOC rate * import capacity</w:t>
      </w:r>
    </w:p>
    <w:p w:rsidR="00876B95" w:rsidRPr="00E11AB8" w:rsidRDefault="00876B95" w:rsidP="00876B95">
      <w:pPr>
        <w:pStyle w:val="DCNormParaL3"/>
      </w:pPr>
      <w:r w:rsidRPr="00E11AB8">
        <w:t>Import capacity based residual revenue contribution for each Connectee = TNA * residual revenue rate * import capacity</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 xml:space="preserve">TNA is the total site-specific assets (£/kVA) for that EDCM Connectee.  </w:t>
      </w:r>
    </w:p>
    <w:p w:rsidR="00876B95" w:rsidRPr="00E11AB8" w:rsidRDefault="00876B95" w:rsidP="00876B95">
      <w:pPr>
        <w:pStyle w:val="DCNormParaL3"/>
      </w:pPr>
      <w:r w:rsidRPr="00E11AB8">
        <w:t>NR rate is the network rates contribution rate in per cent.</w:t>
      </w:r>
    </w:p>
    <w:p w:rsidR="00876B95" w:rsidRPr="00E11AB8" w:rsidRDefault="00876B95" w:rsidP="00876B95">
      <w:pPr>
        <w:pStyle w:val="DCNormParaL3"/>
      </w:pPr>
      <w:r w:rsidRPr="00E11AB8">
        <w:t>DOC rate is the direct operating costs contribution rate in per cent.</w:t>
      </w:r>
    </w:p>
    <w:p w:rsidR="00876B95" w:rsidRPr="00E11AB8" w:rsidRDefault="00876B95" w:rsidP="00876B95">
      <w:pPr>
        <w:pStyle w:val="DCNormParaL3"/>
      </w:pPr>
      <w:r w:rsidRPr="00E11AB8">
        <w:t>INDOC rate is the indirect costs contribution rate in per cent.</w:t>
      </w:r>
    </w:p>
    <w:p w:rsidR="00876B95" w:rsidRPr="00E11AB8" w:rsidRDefault="00876B95" w:rsidP="00876B95">
      <w:pPr>
        <w:pStyle w:val="DCNormParaL3"/>
      </w:pPr>
      <w:r w:rsidRPr="00E11AB8">
        <w:t>Residual revenue rate is the residual revenue contribution rate in per cent.</w:t>
      </w:r>
    </w:p>
    <w:p w:rsidR="00876B95" w:rsidRPr="00E11AB8" w:rsidRDefault="00876B95" w:rsidP="00876B95">
      <w:pPr>
        <w:pStyle w:val="DCNormParaL3"/>
      </w:pPr>
      <w:r w:rsidRPr="00E11AB8">
        <w:t>Import capacity is the Maximum Import Capacity (adjusted, if necessary, if the Connectee is connected for part of the Charging Year) in kVA for that EDCM Connectee.</w:t>
      </w:r>
    </w:p>
    <w:p w:rsidR="00876B95" w:rsidRPr="00E11AB8" w:rsidRDefault="00876B95" w:rsidP="00876B95">
      <w:pPr>
        <w:pStyle w:val="Heading2"/>
      </w:pPr>
      <w:r w:rsidRPr="00E11AB8">
        <w:t>The demand sole use asset MEAV based contribution in £/year is calculated as follows:</w:t>
      </w:r>
    </w:p>
    <w:p w:rsidR="00876B95" w:rsidRPr="00E11AB8" w:rsidRDefault="00876B95" w:rsidP="00876B95">
      <w:pPr>
        <w:pStyle w:val="DCNormParaL3"/>
      </w:pPr>
      <w:r w:rsidRPr="00E11AB8">
        <w:t>Demand sole use asset based network rates contribution = S * NR rate</w:t>
      </w:r>
    </w:p>
    <w:p w:rsidR="00876B95" w:rsidRPr="00E11AB8" w:rsidRDefault="00876B95" w:rsidP="00876B95">
      <w:pPr>
        <w:pStyle w:val="DCNormParaL3"/>
      </w:pPr>
      <w:r w:rsidRPr="00E11AB8">
        <w:t>Demand sole use asset based direct operating costs contribution = S * DOC rate</w:t>
      </w:r>
    </w:p>
    <w:p w:rsidR="00876B95" w:rsidRPr="00E11AB8" w:rsidRDefault="00876B95" w:rsidP="00876B95">
      <w:pPr>
        <w:pStyle w:val="DCNormParaL3"/>
      </w:pPr>
      <w:r w:rsidRPr="00E11AB8">
        <w:t>Demand sole use asset based indirect costs contribution = S * INDOC rate</w:t>
      </w:r>
    </w:p>
    <w:p w:rsidR="00876B95" w:rsidRPr="00E11AB8" w:rsidRDefault="00876B95" w:rsidP="00876B95">
      <w:pPr>
        <w:pStyle w:val="DCNormParaL3"/>
      </w:pPr>
      <w:r w:rsidRPr="00E11AB8">
        <w:t>Where</w:t>
      </w:r>
    </w:p>
    <w:p w:rsidR="00876B95" w:rsidRPr="00E11AB8" w:rsidRDefault="00876B95" w:rsidP="00876B95">
      <w:pPr>
        <w:pStyle w:val="DCNormParaL3"/>
      </w:pPr>
      <w:r w:rsidRPr="00E11AB8">
        <w:t>S is the MEAV of demand sole use assets of that EDCM Connectee (adjusted for Connectees connected for part of the Charging Year).</w:t>
      </w:r>
    </w:p>
    <w:p w:rsidR="00876B95" w:rsidRPr="00E11AB8" w:rsidRDefault="00876B95" w:rsidP="00876B95">
      <w:pPr>
        <w:pStyle w:val="DCNormParaL3"/>
      </w:pPr>
      <w:r w:rsidRPr="00E11AB8">
        <w:t>NR rate is the network rates contribution rate in per cent.</w:t>
      </w:r>
    </w:p>
    <w:p w:rsidR="00876B95" w:rsidRPr="00E11AB8" w:rsidRDefault="00876B95" w:rsidP="00876B95">
      <w:pPr>
        <w:pStyle w:val="DCNormParaL3"/>
      </w:pPr>
      <w:r w:rsidRPr="00E11AB8">
        <w:t xml:space="preserve">DOC rate is the direct operating costs contribution rate in per cent. </w:t>
      </w:r>
    </w:p>
    <w:p w:rsidR="00876B95" w:rsidRPr="00E11AB8" w:rsidRDefault="00876B95" w:rsidP="00876B95">
      <w:pPr>
        <w:pStyle w:val="DCNormParaL3"/>
      </w:pPr>
      <w:r w:rsidRPr="00E11AB8">
        <w:t>INDOC rate is the indirect costs contribution rate in per cent.</w:t>
      </w:r>
    </w:p>
    <w:p w:rsidR="00876B95" w:rsidRPr="00E11AB8" w:rsidRDefault="00876B95" w:rsidP="00876B95">
      <w:pPr>
        <w:pStyle w:val="Heading2"/>
      </w:pPr>
      <w:r w:rsidRPr="00E11AB8">
        <w:lastRenderedPageBreak/>
        <w:t xml:space="preserve">The target contributions from import capacity and demand sole use assets are aggregated across all EDCM Connectees. </w:t>
      </w:r>
    </w:p>
    <w:p w:rsidR="00876B95" w:rsidRDefault="00876B95" w:rsidP="00876B95">
      <w:pPr>
        <w:pStyle w:val="Heading2"/>
      </w:pPr>
      <w:r w:rsidRPr="00E11AB8">
        <w:t>The aggregate EDCM demand revenue target is calculated as the sum, across all EDCM demand, of the contributions based on import capacities and demand sole use assets</w:t>
      </w:r>
      <w:r>
        <w:t>,</w:t>
      </w:r>
      <w:r w:rsidRPr="00004482">
        <w:t xml:space="preserve"> less the total reduction in fixed charges made to EDCM customers under paragraph 17.2. Such fixed charge reduction is to be derived as follows:</w:t>
      </w:r>
    </w:p>
    <w:p w:rsidR="00876B95" w:rsidRDefault="00876B95" w:rsidP="00876B95">
      <w:pPr>
        <w:ind w:left="709"/>
      </w:pPr>
      <w:r>
        <w:t>FCR = OMR * (EHV assets + HV and LV network assets) / (Total site-specific shared assets + EHV assets + HV and LV network assets)</w:t>
      </w:r>
    </w:p>
    <w:p w:rsidR="00876B95" w:rsidRDefault="00876B95" w:rsidP="00876B95">
      <w:pPr>
        <w:ind w:left="709"/>
      </w:pPr>
      <w:r>
        <w:t xml:space="preserve">Where </w:t>
      </w:r>
    </w:p>
    <w:p w:rsidR="00876B95" w:rsidRPr="00E11AB8" w:rsidRDefault="00876B95" w:rsidP="00876B95">
      <w:pPr>
        <w:ind w:left="709"/>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876B95" w:rsidRDefault="00876B95" w:rsidP="00876B95">
      <w:pPr>
        <w:pStyle w:val="Heading1"/>
      </w:pPr>
      <w:bookmarkStart w:id="157" w:name="_Toc391559908"/>
      <w:bookmarkStart w:id="158" w:name="_Toc510303028"/>
      <w:bookmarkStart w:id="159" w:name="_Toc513018440"/>
      <w:bookmarkStart w:id="160" w:name="_Toc518333625"/>
      <w:r>
        <w:t>Fixed charges for import and export</w:t>
      </w:r>
      <w:bookmarkEnd w:id="157"/>
      <w:bookmarkEnd w:id="158"/>
      <w:bookmarkEnd w:id="159"/>
      <w:bookmarkEnd w:id="160"/>
    </w:p>
    <w:p w:rsidR="00876B95" w:rsidRDefault="00876B95" w:rsidP="00876B95">
      <w:pPr>
        <w:pStyle w:val="Heading2"/>
      </w:pPr>
      <w:r>
        <w:t>The contribution rates for network rates and direct operating costs are converted into a p/day fixed charge for the sole use assets of each EDCM Connectee as follows:</w:t>
      </w:r>
    </w:p>
    <w:p w:rsidR="00876B95" w:rsidRDefault="00876B95" w:rsidP="00876B95">
      <w:pPr>
        <w:ind w:left="709"/>
      </w:pPr>
      <w:r>
        <w:t>Import fixed charge on sole use assets in p/day = 100 / DC * SD * (NR contribution rate + DOC contribution rate)</w:t>
      </w:r>
    </w:p>
    <w:p w:rsidR="00876B95" w:rsidRDefault="00876B95" w:rsidP="00876B95">
      <w:pPr>
        <w:ind w:left="709"/>
      </w:pPr>
      <w:r>
        <w:t>Export fixed charge on sole use assets in p/day = 100 / DC * SG * (NR contribution rate + DOC contribution rate)</w:t>
      </w:r>
    </w:p>
    <w:p w:rsidR="00876B95" w:rsidRDefault="00876B95" w:rsidP="00876B95">
      <w:pPr>
        <w:ind w:left="709"/>
      </w:pPr>
      <w:r>
        <w:t>Where</w:t>
      </w:r>
    </w:p>
    <w:p w:rsidR="00876B95" w:rsidRDefault="00876B95" w:rsidP="00876B95">
      <w:pPr>
        <w:ind w:left="709"/>
      </w:pPr>
      <w:r>
        <w:t>DC is the number of days in the Charging Year.</w:t>
      </w:r>
    </w:p>
    <w:p w:rsidR="00876B95" w:rsidRDefault="00876B95" w:rsidP="00876B95">
      <w:pPr>
        <w:ind w:left="709"/>
      </w:pPr>
      <w:r>
        <w:t>SD is the MEAV of sole use assets allocated to demand of that EDCM Connectee.</w:t>
      </w:r>
    </w:p>
    <w:p w:rsidR="00876B95" w:rsidRDefault="00876B95" w:rsidP="00876B95">
      <w:pPr>
        <w:ind w:left="709"/>
      </w:pPr>
      <w:r>
        <w:t>SG is the MEAV of sole use assets allocated to generation of that EDCM Connectee excluding the value of sole use assets associated with exempt export capacity.</w:t>
      </w:r>
    </w:p>
    <w:p w:rsidR="00876B95" w:rsidRDefault="00876B95" w:rsidP="00876B95">
      <w:pPr>
        <w:ind w:left="709"/>
      </w:pPr>
      <w:r>
        <w:lastRenderedPageBreak/>
        <w:t>NR contribution rate is the network rates contribution rate in per cent.</w:t>
      </w:r>
    </w:p>
    <w:p w:rsidR="00876B95" w:rsidRDefault="00876B95" w:rsidP="00876B95">
      <w:pPr>
        <w:ind w:left="709"/>
      </w:pPr>
      <w:r>
        <w:t>DOC contribution rate is the direct operating costs contribution rate in pe</w:t>
      </w:r>
      <w:r w:rsidRPr="00D667D5">
        <w:t>r</w:t>
      </w:r>
      <w:r>
        <w:t xml:space="preserve"> cent.</w:t>
      </w:r>
    </w:p>
    <w:p w:rsidR="00876B95" w:rsidRDefault="00876B95" w:rsidP="00876B95">
      <w:pPr>
        <w:pStyle w:val="Heading2"/>
      </w:pPr>
      <w:r w:rsidRPr="002F2D54">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876B95" w:rsidRDefault="00876B95" w:rsidP="00876B95">
      <w:pPr>
        <w:ind w:left="709"/>
      </w:pPr>
      <w:r>
        <w:t>The sole use assets will be split between those where capitalised O&amp;M has been paid and those where it has not, and the fixed charge will be derived as follows:</w:t>
      </w:r>
    </w:p>
    <w:p w:rsidR="00876B95" w:rsidRDefault="00876B95" w:rsidP="00876B95">
      <w:pPr>
        <w:ind w:left="709"/>
      </w:pPr>
      <w:proofErr w:type="gramStart"/>
      <w:r>
        <w:t>p/day</w:t>
      </w:r>
      <w:proofErr w:type="gramEnd"/>
      <w:r>
        <w:t xml:space="preserve"> = (((DOC rate + NR rate) * SUA  MEAVU) + (NR rate * SUA  MEAVP)) / (days in Charging Year) * 100</w:t>
      </w:r>
    </w:p>
    <w:p w:rsidR="00876B95" w:rsidRDefault="00876B95" w:rsidP="00876B95">
      <w:pPr>
        <w:ind w:left="709"/>
      </w:pPr>
      <w:r>
        <w:t>Where:</w:t>
      </w:r>
    </w:p>
    <w:p w:rsidR="00876B95" w:rsidRDefault="00876B95" w:rsidP="00876B95">
      <w:pPr>
        <w:spacing w:after="0"/>
        <w:ind w:left="709"/>
      </w:pPr>
      <w:r>
        <w:t>DOC rate is the direct operating costs contribution rate in per cent;</w:t>
      </w:r>
    </w:p>
    <w:p w:rsidR="00876B95" w:rsidRDefault="00876B95" w:rsidP="00876B95">
      <w:pPr>
        <w:spacing w:after="0"/>
        <w:ind w:left="709"/>
      </w:pPr>
      <w:r>
        <w:t>NR rate is the network rates contribution rate in per cent;</w:t>
      </w:r>
    </w:p>
    <w:p w:rsidR="00876B95" w:rsidRDefault="00876B95" w:rsidP="00876B95">
      <w:pPr>
        <w:ind w:left="709"/>
      </w:pPr>
      <w:r>
        <w:t>Where SUA MEAVU is the Modern Equivalent Asset Value of Sole Use Assets where capitalised O&amp;M has not been paid (or the period over which it was to be capitalised has expired); and</w:t>
      </w:r>
    </w:p>
    <w:p w:rsidR="00876B95" w:rsidRDefault="00876B95" w:rsidP="00876B95">
      <w:pPr>
        <w:ind w:left="709"/>
      </w:pPr>
      <w:r>
        <w:t>SUA MEAVP is the Modern Equivalent Asset Value of Sole Use Assets where capitalised O&amp;M has been paid (and the period over which it was to be capitalised has not expired).</w:t>
      </w:r>
    </w:p>
    <w:p w:rsidR="00876B95" w:rsidRDefault="00876B95" w:rsidP="00876B95">
      <w:pPr>
        <w:pStyle w:val="Heading2"/>
      </w:pPr>
      <w:r w:rsidRPr="002F2D54">
        <w:t>For customers that are classified as exempt pre-2005 EDCM Distributed Generators (DGs), it is deemed for the purposes of paragraph 17.2 that the customer paid capitalised O&amp;M to be capitalised over a period of 25 years from connection.</w:t>
      </w:r>
    </w:p>
    <w:p w:rsidR="00876B95" w:rsidRPr="00123CD2" w:rsidRDefault="00876B95" w:rsidP="00876B95">
      <w:pPr>
        <w:pStyle w:val="Heading1"/>
      </w:pPr>
      <w:bookmarkStart w:id="161" w:name="_Toc289364356"/>
      <w:bookmarkStart w:id="162" w:name="_Toc320876042"/>
      <w:bookmarkStart w:id="163" w:name="_Toc320876665"/>
      <w:bookmarkStart w:id="164" w:name="_Toc325449879"/>
      <w:bookmarkStart w:id="165" w:name="_Toc339284523"/>
      <w:bookmarkStart w:id="166" w:name="_Toc360027696"/>
      <w:bookmarkStart w:id="167" w:name="_Toc360028050"/>
      <w:bookmarkStart w:id="168" w:name="_Toc391559909"/>
      <w:bookmarkStart w:id="169" w:name="_Toc510303029"/>
      <w:bookmarkStart w:id="170" w:name="_Toc513018441"/>
      <w:bookmarkStart w:id="171" w:name="_Toc518333626"/>
      <w:r w:rsidRPr="00E11AB8">
        <w:lastRenderedPageBreak/>
        <w:t>Demand scaling</w:t>
      </w:r>
      <w:bookmarkEnd w:id="161"/>
      <w:bookmarkEnd w:id="162"/>
      <w:bookmarkEnd w:id="163"/>
      <w:bookmarkEnd w:id="164"/>
      <w:bookmarkEnd w:id="165"/>
      <w:bookmarkEnd w:id="166"/>
      <w:bookmarkEnd w:id="167"/>
      <w:bookmarkEnd w:id="168"/>
      <w:bookmarkEnd w:id="169"/>
      <w:bookmarkEnd w:id="170"/>
      <w:bookmarkEnd w:id="171"/>
    </w:p>
    <w:p w:rsidR="00876B95" w:rsidRPr="00E11AB8" w:rsidRDefault="00876B95" w:rsidP="00876B95">
      <w:pPr>
        <w:pStyle w:val="Heading2"/>
      </w:pPr>
      <w:r w:rsidRPr="00E11AB8">
        <w:t>Demand scaling is the process by which import charges to EDCM Connectees are set so that the forecast notional recovery from the application of those import charges to EDCM Connectees matches the EDCM demand revenue target.</w:t>
      </w:r>
    </w:p>
    <w:p w:rsidR="00876B95" w:rsidRPr="00E11AB8" w:rsidRDefault="00876B95" w:rsidP="00876B95">
      <w:pPr>
        <w:pStyle w:val="Heading2"/>
      </w:pPr>
      <w:r w:rsidRPr="00E11AB8">
        <w:t>Demand scaling using the site-specific assets approach involves the following steps:</w:t>
      </w:r>
    </w:p>
    <w:p w:rsidR="00876B95" w:rsidRPr="00E11AB8" w:rsidRDefault="00876B95" w:rsidP="00876B95">
      <w:pPr>
        <w:pStyle w:val="DCUSATableTextbulletpt"/>
      </w:pPr>
      <w:r w:rsidRPr="00E11AB8">
        <w:t>Calculating adjusted site-specific shared asset values for each Connectee using network use factors that have been subjected to a cap and collar.</w:t>
      </w:r>
    </w:p>
    <w:p w:rsidR="00876B95" w:rsidRPr="00E11AB8" w:rsidRDefault="00876B95" w:rsidP="00876B95">
      <w:pPr>
        <w:pStyle w:val="DCUSATableTextbulletpt"/>
      </w:pPr>
      <w:r w:rsidRPr="00E11AB8">
        <w:t>Allocation of the direct operating cost and network rates elements in the EDCM demand revenue target to individual EDCM Connectees on the basis of adjusted site-specific assets and sole use assets. [a]</w:t>
      </w:r>
    </w:p>
    <w:p w:rsidR="00876B95" w:rsidRPr="00E11AB8" w:rsidRDefault="00876B95" w:rsidP="00876B95">
      <w:pPr>
        <w:pStyle w:val="DCUSATableTextbulletpt"/>
      </w:pPr>
      <w:r w:rsidRPr="00E11AB8">
        <w:t xml:space="preserve">Allocation of the indirect cost element in the EDCM demand revenue target to individual EDCM Connectees on the basis of their consumption at the time of the DNO Party’s peak and 50 per cent of Maximum Import Capacity as a p/kVA/day charge. [b] </w:t>
      </w:r>
    </w:p>
    <w:p w:rsidR="00876B95" w:rsidRPr="00E11AB8" w:rsidRDefault="00876B95" w:rsidP="00876B95">
      <w:pPr>
        <w:pStyle w:val="DCUSATableTextbulletpt"/>
      </w:pPr>
      <w:r w:rsidRPr="00E11AB8">
        <w:t>Forecasting the notional recoveries from the application of FCP charges to EDCM Connectee. [c]</w:t>
      </w:r>
    </w:p>
    <w:p w:rsidR="00876B95" w:rsidRPr="00E11AB8" w:rsidRDefault="00876B95" w:rsidP="00876B95">
      <w:pPr>
        <w:pStyle w:val="DCUSATableTextbulletpt"/>
      </w:pPr>
      <w:r w:rsidRPr="00E11AB8">
        <w:t>Allocation of 80 per cent of the difference between the EDCM demand revenue target and the sum of a, b and c above on the basis of adjusted site-specific assets.</w:t>
      </w:r>
    </w:p>
    <w:p w:rsidR="00876B95" w:rsidRPr="00E11AB8" w:rsidRDefault="00876B95" w:rsidP="00876B95">
      <w:pPr>
        <w:pStyle w:val="DCUSATableTextbulletpt"/>
      </w:pPr>
      <w:r w:rsidRPr="00E11AB8">
        <w:t>Allocation of 20 per cent of the difference between the EDCM demand revenue target and the sum of charges under a, b and c above on the basis of consumption at the time of peak and 50 per cent of Maximum Import Capacity as a p/kVA/day fixed adder.</w:t>
      </w:r>
    </w:p>
    <w:p w:rsidR="00876B95" w:rsidRPr="00E11AB8" w:rsidRDefault="00876B95" w:rsidP="00876B95">
      <w:pPr>
        <w:pStyle w:val="Heading2"/>
      </w:pPr>
      <w:r w:rsidRPr="00E11AB8">
        <w:t>Adjusted site-specific assets are calculated using network use factor that have been subjected to caps and collars.</w:t>
      </w:r>
    </w:p>
    <w:p w:rsidR="00876B95" w:rsidRPr="00E11AB8" w:rsidRDefault="00876B95" w:rsidP="00876B95">
      <w:pPr>
        <w:pStyle w:val="Heading2"/>
      </w:pPr>
      <w:r w:rsidRPr="00E11AB8">
        <w:t>A cap and a collar are calculated for each network level as follows:</w:t>
      </w:r>
    </w:p>
    <w:p w:rsidR="00876B95" w:rsidRPr="00E11AB8" w:rsidRDefault="00876B95" w:rsidP="00876B95">
      <w:pPr>
        <w:pStyle w:val="DCUSATableTextbulletpt"/>
      </w:pPr>
      <w:r w:rsidRPr="00E11AB8">
        <w:t xml:space="preserve">In ascending order, list the network use factors for all EDCM Connectees in all DNO Party areas relating to that network level, excluding all the factors that are </w:t>
      </w:r>
      <w:r w:rsidRPr="00E11AB8">
        <w:lastRenderedPageBreak/>
        <w:t>either equal to zero or 1, or not used, based on the customer categories of each EDCM Connectee.</w:t>
      </w:r>
    </w:p>
    <w:p w:rsidR="00876B95" w:rsidRPr="00E11AB8" w:rsidRDefault="00876B95" w:rsidP="00876B95">
      <w:pPr>
        <w:pStyle w:val="DCUSATableTextbulletpt"/>
      </w:pPr>
      <w:r w:rsidRPr="00E11AB8">
        <w:t>Divide the list into two segments, one that contains factors that are lower than 1, and the other than contains the factors that are higher than 1.</w:t>
      </w:r>
    </w:p>
    <w:p w:rsidR="00876B95" w:rsidRPr="00E11AB8" w:rsidRDefault="00876B95" w:rsidP="00876B95">
      <w:pPr>
        <w:pStyle w:val="DCUSATableTextbulletpt"/>
      </w:pPr>
      <w:r w:rsidRPr="00E11AB8">
        <w:t>Take the list segment containing factors that are lower than 1.  Starting from the lowest factor in this list segment, calculate the factor at the 15th percentile.  This is the collar.</w:t>
      </w:r>
    </w:p>
    <w:p w:rsidR="00876B95" w:rsidRPr="00E11AB8" w:rsidRDefault="00876B95" w:rsidP="00876B95">
      <w:pPr>
        <w:pStyle w:val="DCUSATableTextbulletpt"/>
      </w:pPr>
      <w:r w:rsidRPr="00E11AB8">
        <w:t>Take the list segment containing factors higher than 1.  Starting from the lowest factor in this segment, calculate the factor at the 85th percentile.  This is the cap.</w:t>
      </w:r>
    </w:p>
    <w:p w:rsidR="00876B95" w:rsidRPr="00E11AB8" w:rsidRDefault="00876B95" w:rsidP="00876B95">
      <w:pPr>
        <w:pStyle w:val="Heading2"/>
      </w:pPr>
      <w:r w:rsidRPr="00E11AB8">
        <w:t>The same cap and collar would apply in all DNO Party areas to NUFs at that network level.</w:t>
      </w:r>
    </w:p>
    <w:p w:rsidR="00876B95" w:rsidRPr="00E11AB8" w:rsidRDefault="00876B95" w:rsidP="00876B95">
      <w:pPr>
        <w:pStyle w:val="Heading2"/>
      </w:pPr>
      <w:r w:rsidRPr="00E11AB8">
        <w:t xml:space="preserve">The </w:t>
      </w:r>
      <w:r>
        <w:t xml:space="preserve">network use factor (NUF) </w:t>
      </w:r>
      <w:r w:rsidRPr="00E11AB8">
        <w:t>caps and collars for</w:t>
      </w:r>
      <w:r>
        <w:t xml:space="preserve"> 2011/2012 and</w:t>
      </w:r>
      <w:r w:rsidRPr="00E11AB8">
        <w:t xml:space="preserve"> each network level </w:t>
      </w:r>
      <w:r>
        <w:t xml:space="preserve">were </w:t>
      </w:r>
      <w:r w:rsidRPr="00E11AB8">
        <w:t xml:space="preserve">calculated using this methodology </w:t>
      </w:r>
      <w:r>
        <w:t>and are</w:t>
      </w:r>
      <w:r w:rsidRPr="00E11AB8">
        <w:t xml:space="preserve"> set out in table </w:t>
      </w:r>
      <w:r>
        <w:t>4</w:t>
      </w:r>
      <w:r w:rsidRPr="00E11AB8">
        <w:t xml:space="preserve"> below.  </w:t>
      </w:r>
      <w:r w:rsidRPr="0017062A">
        <w:rPr>
          <w:rFonts w:cs="Times New Roman"/>
          <w:szCs w:val="24"/>
          <w:lang w:bidi="en-US"/>
        </w:rPr>
        <w:t xml:space="preserve">The </w:t>
      </w:r>
      <w:r>
        <w:rPr>
          <w:rFonts w:cs="Times New Roman"/>
          <w:szCs w:val="24"/>
          <w:lang w:bidi="en-US"/>
        </w:rPr>
        <w:t xml:space="preserve">NUF </w:t>
      </w:r>
      <w:r w:rsidRPr="0017062A">
        <w:rPr>
          <w:rFonts w:cs="Times New Roman"/>
          <w:szCs w:val="24"/>
          <w:lang w:bidi="en-US"/>
        </w:rPr>
        <w:t xml:space="preserve">caps and collars </w:t>
      </w:r>
      <w:r>
        <w:rPr>
          <w:rFonts w:cs="Times New Roman"/>
          <w:szCs w:val="24"/>
          <w:lang w:bidi="en-US"/>
        </w:rPr>
        <w:t>using</w:t>
      </w:r>
      <w:r w:rsidRPr="0017062A">
        <w:rPr>
          <w:rFonts w:cs="Times New Roman"/>
          <w:szCs w:val="24"/>
          <w:lang w:bidi="en-US"/>
        </w:rPr>
        <w:t xml:space="preserve"> 201</w:t>
      </w:r>
      <w:r>
        <w:rPr>
          <w:rFonts w:cs="Times New Roman"/>
          <w:szCs w:val="24"/>
          <w:lang w:bidi="en-US"/>
        </w:rPr>
        <w:t>5</w:t>
      </w:r>
      <w:r w:rsidRPr="0017062A">
        <w:rPr>
          <w:rFonts w:cs="Times New Roman"/>
          <w:szCs w:val="24"/>
          <w:lang w:bidi="en-US"/>
        </w:rPr>
        <w:t>/201</w:t>
      </w:r>
      <w:r>
        <w:rPr>
          <w:rFonts w:cs="Times New Roman"/>
          <w:szCs w:val="24"/>
          <w:lang w:bidi="en-US"/>
        </w:rPr>
        <w:t>6</w:t>
      </w:r>
      <w:r w:rsidRPr="0017062A">
        <w:rPr>
          <w:rFonts w:cs="Times New Roman"/>
          <w:szCs w:val="24"/>
          <w:lang w:bidi="en-US"/>
        </w:rPr>
        <w:t xml:space="preserve"> </w:t>
      </w:r>
      <w:r>
        <w:rPr>
          <w:rFonts w:cs="Times New Roman"/>
          <w:szCs w:val="24"/>
          <w:lang w:bidi="en-US"/>
        </w:rPr>
        <w:t xml:space="preserve">data for </w:t>
      </w:r>
      <w:r w:rsidRPr="0017062A">
        <w:rPr>
          <w:rFonts w:cs="Times New Roman"/>
          <w:szCs w:val="24"/>
          <w:lang w:bidi="en-US"/>
        </w:rPr>
        <w:t xml:space="preserve">each network level </w:t>
      </w:r>
      <w:r>
        <w:rPr>
          <w:rFonts w:cs="Times New Roman"/>
          <w:szCs w:val="24"/>
          <w:lang w:bidi="en-US"/>
        </w:rPr>
        <w:t xml:space="preserve">have also been determined, and are set </w:t>
      </w:r>
      <w:r w:rsidRPr="0017062A">
        <w:rPr>
          <w:rFonts w:cs="Times New Roman"/>
          <w:szCs w:val="24"/>
          <w:lang w:bidi="en-US"/>
        </w:rPr>
        <w:t xml:space="preserve">out in table </w:t>
      </w:r>
      <w:r>
        <w:rPr>
          <w:rFonts w:cs="Times New Roman"/>
          <w:szCs w:val="24"/>
          <w:lang w:bidi="en-US"/>
        </w:rPr>
        <w:t>4A</w:t>
      </w:r>
      <w:r w:rsidRPr="0017062A">
        <w:rPr>
          <w:rFonts w:cs="Times New Roman"/>
          <w:szCs w:val="24"/>
          <w:lang w:bidi="en-US"/>
        </w:rPr>
        <w:t xml:space="preserve"> below</w:t>
      </w:r>
      <w:r>
        <w:t>.</w:t>
      </w:r>
    </w:p>
    <w:p w:rsidR="00876B95" w:rsidRPr="007A7684" w:rsidRDefault="00876B95" w:rsidP="00876B95">
      <w:pPr>
        <w:keepNext/>
        <w:spacing w:after="0"/>
        <w:ind w:firstLine="720"/>
        <w:rPr>
          <w:b/>
        </w:rPr>
      </w:pPr>
      <w:r w:rsidRPr="007A7684">
        <w:rPr>
          <w:b/>
        </w:rPr>
        <w:t xml:space="preserve">Table </w:t>
      </w:r>
      <w:r>
        <w:rPr>
          <w:b/>
        </w:rPr>
        <w:t>4</w:t>
      </w:r>
      <w:r w:rsidRPr="007A7684">
        <w:rPr>
          <w:b/>
        </w:rPr>
        <w:t xml:space="preserve"> Network use factor caps and collars</w:t>
      </w:r>
      <w:r>
        <w:rPr>
          <w:b/>
        </w:rPr>
        <w:t xml:space="preserve"> (2011/2012)</w:t>
      </w:r>
    </w:p>
    <w:tbl>
      <w:tblPr>
        <w:tblStyle w:val="TableGrid"/>
        <w:tblpPr w:leftFromText="180" w:rightFromText="180" w:vertAnchor="text" w:horzAnchor="page" w:tblpX="1899" w:tblpY="62"/>
        <w:tblW w:w="8080" w:type="dxa"/>
        <w:tblLook w:val="04A0" w:firstRow="1" w:lastRow="0" w:firstColumn="1" w:lastColumn="0" w:noHBand="0" w:noVBand="1"/>
      </w:tblPr>
      <w:tblGrid>
        <w:gridCol w:w="2938"/>
        <w:gridCol w:w="3081"/>
        <w:gridCol w:w="2061"/>
      </w:tblGrid>
      <w:tr w:rsidR="00876B95" w:rsidTr="00824111">
        <w:tc>
          <w:tcPr>
            <w:tcW w:w="2938" w:type="dxa"/>
          </w:tcPr>
          <w:p w:rsidR="00876B95" w:rsidRPr="0017062A" w:rsidRDefault="00876B95" w:rsidP="00824111">
            <w:pPr>
              <w:spacing w:before="120" w:after="120"/>
              <w:jc w:val="center"/>
              <w:rPr>
                <w:b/>
                <w:szCs w:val="24"/>
                <w:lang w:bidi="en-US"/>
              </w:rPr>
            </w:pPr>
            <w:r w:rsidRPr="0017062A">
              <w:rPr>
                <w:b/>
                <w:szCs w:val="24"/>
                <w:lang w:bidi="en-US"/>
              </w:rPr>
              <w:t>Network levels</w:t>
            </w:r>
          </w:p>
        </w:tc>
        <w:tc>
          <w:tcPr>
            <w:tcW w:w="3081" w:type="dxa"/>
          </w:tcPr>
          <w:p w:rsidR="00876B95" w:rsidRPr="0017062A" w:rsidRDefault="00876B95" w:rsidP="00824111">
            <w:pPr>
              <w:spacing w:before="120" w:after="120"/>
              <w:jc w:val="center"/>
              <w:rPr>
                <w:b/>
                <w:szCs w:val="24"/>
                <w:lang w:bidi="en-US"/>
              </w:rPr>
            </w:pPr>
            <w:r w:rsidRPr="0017062A">
              <w:rPr>
                <w:b/>
                <w:szCs w:val="24"/>
                <w:lang w:bidi="en-US"/>
              </w:rPr>
              <w:t>Collar</w:t>
            </w:r>
          </w:p>
        </w:tc>
        <w:tc>
          <w:tcPr>
            <w:tcW w:w="2061" w:type="dxa"/>
          </w:tcPr>
          <w:p w:rsidR="00876B95" w:rsidRPr="0017062A" w:rsidRDefault="00876B95" w:rsidP="00824111">
            <w:pPr>
              <w:spacing w:before="120" w:after="120"/>
              <w:jc w:val="center"/>
              <w:rPr>
                <w:b/>
                <w:szCs w:val="24"/>
                <w:lang w:bidi="en-US"/>
              </w:rPr>
            </w:pPr>
            <w:r w:rsidRPr="0017062A">
              <w:rPr>
                <w:b/>
                <w:szCs w:val="24"/>
                <w:lang w:bidi="en-US"/>
              </w:rPr>
              <w:t>Cap</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w:t>
            </w:r>
          </w:p>
        </w:tc>
        <w:tc>
          <w:tcPr>
            <w:tcW w:w="3081" w:type="dxa"/>
          </w:tcPr>
          <w:p w:rsidR="00876B95" w:rsidRDefault="00876B95" w:rsidP="00824111">
            <w:pPr>
              <w:spacing w:before="120" w:after="120"/>
              <w:jc w:val="center"/>
              <w:rPr>
                <w:szCs w:val="24"/>
                <w:lang w:bidi="en-US"/>
              </w:rPr>
            </w:pPr>
            <w:r>
              <w:rPr>
                <w:szCs w:val="24"/>
                <w:lang w:bidi="en-US"/>
              </w:rPr>
              <w:t>0.273</w:t>
            </w:r>
          </w:p>
        </w:tc>
        <w:tc>
          <w:tcPr>
            <w:tcW w:w="2061" w:type="dxa"/>
          </w:tcPr>
          <w:p w:rsidR="00876B95" w:rsidRDefault="00876B95" w:rsidP="00824111">
            <w:pPr>
              <w:spacing w:before="120" w:after="120"/>
              <w:jc w:val="center"/>
              <w:rPr>
                <w:szCs w:val="24"/>
                <w:lang w:bidi="en-US"/>
              </w:rPr>
            </w:pPr>
            <w:r>
              <w:rPr>
                <w:szCs w:val="24"/>
                <w:lang w:bidi="en-US"/>
              </w:rPr>
              <w:t>2.246</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132kV/EHV</w:t>
            </w:r>
          </w:p>
        </w:tc>
        <w:tc>
          <w:tcPr>
            <w:tcW w:w="3081" w:type="dxa"/>
          </w:tcPr>
          <w:p w:rsidR="00876B95" w:rsidRDefault="00876B95" w:rsidP="00824111">
            <w:pPr>
              <w:spacing w:before="120" w:after="120"/>
              <w:jc w:val="center"/>
              <w:rPr>
                <w:szCs w:val="24"/>
                <w:lang w:bidi="en-US"/>
              </w:rPr>
            </w:pPr>
            <w:r>
              <w:rPr>
                <w:szCs w:val="24"/>
                <w:lang w:bidi="en-US"/>
              </w:rPr>
              <w:t>0.677</w:t>
            </w:r>
          </w:p>
        </w:tc>
        <w:tc>
          <w:tcPr>
            <w:tcW w:w="2061" w:type="dxa"/>
          </w:tcPr>
          <w:p w:rsidR="00876B95" w:rsidRDefault="00876B95" w:rsidP="00824111">
            <w:pPr>
              <w:spacing w:before="120" w:after="120"/>
              <w:jc w:val="center"/>
              <w:rPr>
                <w:szCs w:val="24"/>
                <w:lang w:bidi="en-US"/>
              </w:rPr>
            </w:pPr>
            <w:r>
              <w:rPr>
                <w:szCs w:val="24"/>
                <w:lang w:bidi="en-US"/>
              </w:rPr>
              <w:t>1.558</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EHV</w:t>
            </w:r>
          </w:p>
        </w:tc>
        <w:tc>
          <w:tcPr>
            <w:tcW w:w="3081" w:type="dxa"/>
          </w:tcPr>
          <w:p w:rsidR="00876B95" w:rsidRDefault="00876B95" w:rsidP="00824111">
            <w:pPr>
              <w:spacing w:before="120" w:after="120"/>
              <w:jc w:val="center"/>
              <w:rPr>
                <w:szCs w:val="24"/>
                <w:lang w:bidi="en-US"/>
              </w:rPr>
            </w:pPr>
            <w:r>
              <w:rPr>
                <w:szCs w:val="24"/>
                <w:lang w:bidi="en-US"/>
              </w:rPr>
              <w:t>0.332</w:t>
            </w:r>
          </w:p>
        </w:tc>
        <w:tc>
          <w:tcPr>
            <w:tcW w:w="2061" w:type="dxa"/>
          </w:tcPr>
          <w:p w:rsidR="00876B95" w:rsidRDefault="00876B95" w:rsidP="00824111">
            <w:pPr>
              <w:spacing w:before="120" w:after="120"/>
              <w:jc w:val="center"/>
              <w:rPr>
                <w:szCs w:val="24"/>
                <w:lang w:bidi="en-US"/>
              </w:rPr>
            </w:pPr>
            <w:r>
              <w:rPr>
                <w:szCs w:val="24"/>
                <w:lang w:bidi="en-US"/>
              </w:rPr>
              <w:t>3.290</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EHV/HV</w:t>
            </w:r>
          </w:p>
        </w:tc>
        <w:tc>
          <w:tcPr>
            <w:tcW w:w="3081" w:type="dxa"/>
          </w:tcPr>
          <w:p w:rsidR="00876B95" w:rsidRDefault="00876B95" w:rsidP="00824111">
            <w:pPr>
              <w:spacing w:before="120" w:after="120"/>
              <w:jc w:val="center"/>
              <w:rPr>
                <w:szCs w:val="24"/>
                <w:lang w:bidi="en-US"/>
              </w:rPr>
            </w:pPr>
            <w:r>
              <w:rPr>
                <w:szCs w:val="24"/>
                <w:lang w:bidi="en-US"/>
              </w:rPr>
              <w:t>0.631</w:t>
            </w:r>
          </w:p>
        </w:tc>
        <w:tc>
          <w:tcPr>
            <w:tcW w:w="2061" w:type="dxa"/>
          </w:tcPr>
          <w:p w:rsidR="00876B95" w:rsidRDefault="00876B95" w:rsidP="00824111">
            <w:pPr>
              <w:spacing w:before="120" w:after="120"/>
              <w:jc w:val="center"/>
              <w:rPr>
                <w:szCs w:val="24"/>
                <w:lang w:bidi="en-US"/>
              </w:rPr>
            </w:pPr>
            <w:r>
              <w:rPr>
                <w:szCs w:val="24"/>
                <w:lang w:bidi="en-US"/>
              </w:rPr>
              <w:t>2.380</w:t>
            </w:r>
          </w:p>
        </w:tc>
      </w:tr>
      <w:tr w:rsidR="00876B95" w:rsidTr="00824111">
        <w:tc>
          <w:tcPr>
            <w:tcW w:w="2938" w:type="dxa"/>
          </w:tcPr>
          <w:p w:rsidR="00876B95" w:rsidRDefault="00876B95" w:rsidP="00824111">
            <w:pPr>
              <w:spacing w:before="120" w:after="120"/>
              <w:jc w:val="center"/>
              <w:rPr>
                <w:szCs w:val="24"/>
                <w:lang w:bidi="en-US"/>
              </w:rPr>
            </w:pPr>
            <w:r>
              <w:rPr>
                <w:szCs w:val="24"/>
                <w:lang w:bidi="en-US"/>
              </w:rPr>
              <w:t>132kV/HV</w:t>
            </w:r>
          </w:p>
        </w:tc>
        <w:tc>
          <w:tcPr>
            <w:tcW w:w="3081" w:type="dxa"/>
          </w:tcPr>
          <w:p w:rsidR="00876B95" w:rsidRDefault="00876B95" w:rsidP="00824111">
            <w:pPr>
              <w:spacing w:before="120" w:after="120"/>
              <w:jc w:val="center"/>
              <w:rPr>
                <w:szCs w:val="24"/>
                <w:lang w:bidi="en-US"/>
              </w:rPr>
            </w:pPr>
            <w:r>
              <w:rPr>
                <w:szCs w:val="24"/>
                <w:lang w:bidi="en-US"/>
              </w:rPr>
              <w:t>0.697</w:t>
            </w:r>
          </w:p>
        </w:tc>
        <w:tc>
          <w:tcPr>
            <w:tcW w:w="2061" w:type="dxa"/>
          </w:tcPr>
          <w:p w:rsidR="00876B95" w:rsidRDefault="00876B95" w:rsidP="00824111">
            <w:pPr>
              <w:spacing w:before="120" w:after="120"/>
              <w:jc w:val="center"/>
              <w:rPr>
                <w:szCs w:val="24"/>
                <w:lang w:bidi="en-US"/>
              </w:rPr>
            </w:pPr>
            <w:r>
              <w:rPr>
                <w:szCs w:val="24"/>
                <w:lang w:bidi="en-US"/>
              </w:rPr>
              <w:t>2.678</w:t>
            </w:r>
          </w:p>
        </w:tc>
      </w:tr>
    </w:tbl>
    <w:p w:rsidR="00876B95" w:rsidRDefault="00876B95" w:rsidP="00876B95">
      <w:pPr>
        <w:keepNext/>
        <w:keepLines/>
        <w:spacing w:before="240" w:after="0"/>
        <w:ind w:firstLine="720"/>
        <w:rPr>
          <w:rFonts w:cs="Times New Roman"/>
          <w:b/>
          <w:szCs w:val="24"/>
          <w:lang w:bidi="en-US"/>
        </w:rPr>
      </w:pPr>
      <w:r w:rsidRPr="0017062A">
        <w:rPr>
          <w:rFonts w:cs="Times New Roman"/>
          <w:b/>
          <w:szCs w:val="24"/>
          <w:lang w:bidi="en-US"/>
        </w:rPr>
        <w:lastRenderedPageBreak/>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8080" w:type="dxa"/>
        <w:tblInd w:w="466" w:type="dxa"/>
        <w:tblLook w:val="04A0" w:firstRow="1" w:lastRow="0" w:firstColumn="1" w:lastColumn="0" w:noHBand="0" w:noVBand="1"/>
      </w:tblPr>
      <w:tblGrid>
        <w:gridCol w:w="2938"/>
        <w:gridCol w:w="3081"/>
        <w:gridCol w:w="2061"/>
      </w:tblGrid>
      <w:tr w:rsidR="00876B95" w:rsidTr="00824111">
        <w:tc>
          <w:tcPr>
            <w:tcW w:w="2938" w:type="dxa"/>
          </w:tcPr>
          <w:p w:rsidR="00876B95" w:rsidRPr="0017062A" w:rsidRDefault="00876B95" w:rsidP="00824111">
            <w:pPr>
              <w:keepNext/>
              <w:keepLines/>
              <w:spacing w:before="120" w:after="120"/>
              <w:jc w:val="center"/>
              <w:rPr>
                <w:b/>
                <w:szCs w:val="24"/>
                <w:lang w:bidi="en-US"/>
              </w:rPr>
            </w:pPr>
            <w:r w:rsidRPr="0017062A">
              <w:rPr>
                <w:b/>
                <w:szCs w:val="24"/>
                <w:lang w:bidi="en-US"/>
              </w:rPr>
              <w:t>Network levels</w:t>
            </w:r>
          </w:p>
        </w:tc>
        <w:tc>
          <w:tcPr>
            <w:tcW w:w="3081" w:type="dxa"/>
          </w:tcPr>
          <w:p w:rsidR="00876B95" w:rsidRPr="0017062A" w:rsidRDefault="00876B95" w:rsidP="00824111">
            <w:pPr>
              <w:keepNext/>
              <w:keepLines/>
              <w:spacing w:before="120" w:after="120"/>
              <w:jc w:val="center"/>
              <w:rPr>
                <w:b/>
                <w:szCs w:val="24"/>
                <w:lang w:bidi="en-US"/>
              </w:rPr>
            </w:pPr>
            <w:r w:rsidRPr="0017062A">
              <w:rPr>
                <w:b/>
                <w:szCs w:val="24"/>
                <w:lang w:bidi="en-US"/>
              </w:rPr>
              <w:t>Collar</w:t>
            </w:r>
          </w:p>
        </w:tc>
        <w:tc>
          <w:tcPr>
            <w:tcW w:w="2061" w:type="dxa"/>
          </w:tcPr>
          <w:p w:rsidR="00876B95" w:rsidRPr="0017062A" w:rsidRDefault="00876B95" w:rsidP="00824111">
            <w:pPr>
              <w:keepNext/>
              <w:keepLines/>
              <w:spacing w:before="120" w:after="120"/>
              <w:jc w:val="center"/>
              <w:rPr>
                <w:b/>
                <w:szCs w:val="24"/>
                <w:lang w:bidi="en-US"/>
              </w:rPr>
            </w:pPr>
            <w:r w:rsidRPr="0017062A">
              <w:rPr>
                <w:b/>
                <w:szCs w:val="24"/>
                <w:lang w:bidi="en-US"/>
              </w:rPr>
              <w:t>Cap</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w:t>
            </w:r>
          </w:p>
        </w:tc>
        <w:tc>
          <w:tcPr>
            <w:tcW w:w="3081" w:type="dxa"/>
          </w:tcPr>
          <w:p w:rsidR="00876B95" w:rsidRDefault="00876B95" w:rsidP="00824111">
            <w:pPr>
              <w:keepNext/>
              <w:keepLines/>
              <w:spacing w:before="120" w:after="120"/>
              <w:jc w:val="center"/>
              <w:rPr>
                <w:szCs w:val="24"/>
                <w:lang w:bidi="en-US"/>
              </w:rPr>
            </w:pPr>
            <w:r>
              <w:rPr>
                <w:szCs w:val="24"/>
                <w:lang w:bidi="en-US"/>
              </w:rPr>
              <w:t>0.192</w:t>
            </w:r>
          </w:p>
        </w:tc>
        <w:tc>
          <w:tcPr>
            <w:tcW w:w="2061" w:type="dxa"/>
          </w:tcPr>
          <w:p w:rsidR="00876B95" w:rsidRDefault="00876B95" w:rsidP="00824111">
            <w:pPr>
              <w:keepNext/>
              <w:keepLines/>
              <w:spacing w:before="120" w:after="120"/>
              <w:jc w:val="center"/>
              <w:rPr>
                <w:szCs w:val="24"/>
                <w:lang w:bidi="en-US"/>
              </w:rPr>
            </w:pPr>
            <w:r>
              <w:rPr>
                <w:szCs w:val="24"/>
                <w:lang w:bidi="en-US"/>
              </w:rPr>
              <w:t>1.859</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132kV/EHV</w:t>
            </w:r>
          </w:p>
        </w:tc>
        <w:tc>
          <w:tcPr>
            <w:tcW w:w="3081" w:type="dxa"/>
          </w:tcPr>
          <w:p w:rsidR="00876B95" w:rsidRDefault="00876B95" w:rsidP="00824111">
            <w:pPr>
              <w:keepNext/>
              <w:keepLines/>
              <w:spacing w:before="120" w:after="120"/>
              <w:jc w:val="center"/>
              <w:rPr>
                <w:szCs w:val="24"/>
                <w:lang w:bidi="en-US"/>
              </w:rPr>
            </w:pPr>
            <w:r>
              <w:rPr>
                <w:szCs w:val="24"/>
                <w:lang w:bidi="en-US"/>
              </w:rPr>
              <w:t>0.674</w:t>
            </w:r>
          </w:p>
        </w:tc>
        <w:tc>
          <w:tcPr>
            <w:tcW w:w="2061" w:type="dxa"/>
          </w:tcPr>
          <w:p w:rsidR="00876B95" w:rsidRDefault="00876B95" w:rsidP="00824111">
            <w:pPr>
              <w:keepNext/>
              <w:keepLines/>
              <w:spacing w:before="120" w:after="120"/>
              <w:jc w:val="center"/>
              <w:rPr>
                <w:szCs w:val="24"/>
                <w:lang w:bidi="en-US"/>
              </w:rPr>
            </w:pPr>
            <w:r>
              <w:rPr>
                <w:szCs w:val="24"/>
                <w:lang w:bidi="en-US"/>
              </w:rPr>
              <w:t>1.551</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EHV</w:t>
            </w:r>
          </w:p>
        </w:tc>
        <w:tc>
          <w:tcPr>
            <w:tcW w:w="3081" w:type="dxa"/>
          </w:tcPr>
          <w:p w:rsidR="00876B95" w:rsidRDefault="00876B95" w:rsidP="00824111">
            <w:pPr>
              <w:keepNext/>
              <w:keepLines/>
              <w:spacing w:before="120" w:after="120"/>
              <w:jc w:val="center"/>
              <w:rPr>
                <w:szCs w:val="24"/>
                <w:lang w:bidi="en-US"/>
              </w:rPr>
            </w:pPr>
            <w:r>
              <w:rPr>
                <w:szCs w:val="24"/>
                <w:lang w:bidi="en-US"/>
              </w:rPr>
              <w:t>0.367</w:t>
            </w:r>
          </w:p>
        </w:tc>
        <w:tc>
          <w:tcPr>
            <w:tcW w:w="2061" w:type="dxa"/>
          </w:tcPr>
          <w:p w:rsidR="00876B95" w:rsidRDefault="00876B95" w:rsidP="00824111">
            <w:pPr>
              <w:keepNext/>
              <w:keepLines/>
              <w:spacing w:before="120" w:after="120"/>
              <w:jc w:val="center"/>
              <w:rPr>
                <w:szCs w:val="24"/>
                <w:lang w:bidi="en-US"/>
              </w:rPr>
            </w:pPr>
            <w:r>
              <w:rPr>
                <w:szCs w:val="24"/>
                <w:lang w:bidi="en-US"/>
              </w:rPr>
              <w:t>2.366</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EHV/HV</w:t>
            </w:r>
          </w:p>
        </w:tc>
        <w:tc>
          <w:tcPr>
            <w:tcW w:w="3081" w:type="dxa"/>
          </w:tcPr>
          <w:p w:rsidR="00876B95" w:rsidRDefault="00876B95" w:rsidP="00824111">
            <w:pPr>
              <w:keepNext/>
              <w:keepLines/>
              <w:spacing w:before="120" w:after="120"/>
              <w:jc w:val="center"/>
              <w:rPr>
                <w:szCs w:val="24"/>
                <w:lang w:bidi="en-US"/>
              </w:rPr>
            </w:pPr>
            <w:r>
              <w:rPr>
                <w:szCs w:val="24"/>
                <w:lang w:bidi="en-US"/>
              </w:rPr>
              <w:t>0.635</w:t>
            </w:r>
          </w:p>
        </w:tc>
        <w:tc>
          <w:tcPr>
            <w:tcW w:w="2061" w:type="dxa"/>
          </w:tcPr>
          <w:p w:rsidR="00876B95" w:rsidRDefault="00876B95" w:rsidP="00824111">
            <w:pPr>
              <w:keepNext/>
              <w:keepLines/>
              <w:spacing w:before="120" w:after="120"/>
              <w:jc w:val="center"/>
              <w:rPr>
                <w:szCs w:val="24"/>
                <w:lang w:bidi="en-US"/>
              </w:rPr>
            </w:pPr>
            <w:r>
              <w:rPr>
                <w:szCs w:val="24"/>
                <w:lang w:bidi="en-US"/>
              </w:rPr>
              <w:t>1.616</w:t>
            </w:r>
          </w:p>
        </w:tc>
      </w:tr>
      <w:tr w:rsidR="00876B95" w:rsidTr="00824111">
        <w:tc>
          <w:tcPr>
            <w:tcW w:w="2938" w:type="dxa"/>
          </w:tcPr>
          <w:p w:rsidR="00876B95" w:rsidRDefault="00876B95" w:rsidP="00824111">
            <w:pPr>
              <w:keepNext/>
              <w:keepLines/>
              <w:spacing w:before="120" w:after="120"/>
              <w:jc w:val="center"/>
              <w:rPr>
                <w:szCs w:val="24"/>
                <w:lang w:bidi="en-US"/>
              </w:rPr>
            </w:pPr>
            <w:r>
              <w:rPr>
                <w:szCs w:val="24"/>
                <w:lang w:bidi="en-US"/>
              </w:rPr>
              <w:t>132kV/HV</w:t>
            </w:r>
          </w:p>
        </w:tc>
        <w:tc>
          <w:tcPr>
            <w:tcW w:w="3081" w:type="dxa"/>
          </w:tcPr>
          <w:p w:rsidR="00876B95" w:rsidRDefault="00876B95" w:rsidP="00824111">
            <w:pPr>
              <w:keepNext/>
              <w:keepLines/>
              <w:spacing w:before="120" w:after="120"/>
              <w:jc w:val="center"/>
              <w:rPr>
                <w:szCs w:val="24"/>
                <w:lang w:bidi="en-US"/>
              </w:rPr>
            </w:pPr>
            <w:r>
              <w:rPr>
                <w:szCs w:val="24"/>
                <w:lang w:bidi="en-US"/>
              </w:rPr>
              <w:t>0.808</w:t>
            </w:r>
          </w:p>
        </w:tc>
        <w:tc>
          <w:tcPr>
            <w:tcW w:w="2061" w:type="dxa"/>
          </w:tcPr>
          <w:p w:rsidR="00876B95" w:rsidRDefault="00876B95" w:rsidP="00824111">
            <w:pPr>
              <w:keepNext/>
              <w:keepLines/>
              <w:spacing w:before="120" w:after="120"/>
              <w:jc w:val="center"/>
              <w:rPr>
                <w:szCs w:val="24"/>
                <w:lang w:bidi="en-US"/>
              </w:rPr>
            </w:pPr>
            <w:r>
              <w:rPr>
                <w:szCs w:val="24"/>
                <w:lang w:bidi="en-US"/>
              </w:rPr>
              <w:t>1.652</w:t>
            </w:r>
          </w:p>
        </w:tc>
      </w:tr>
    </w:tbl>
    <w:p w:rsidR="00876B95" w:rsidRPr="005F17A6" w:rsidRDefault="00876B95" w:rsidP="00876B95"/>
    <w:p w:rsidR="00876B95" w:rsidRPr="005F17A6" w:rsidRDefault="00876B95" w:rsidP="00876B95">
      <w:pPr>
        <w:pStyle w:val="Heading2"/>
      </w:pPr>
      <w:r w:rsidRPr="005F17A6">
        <w:t>The caps and collars in table</w:t>
      </w:r>
      <w:r>
        <w:t xml:space="preserve"> 4</w:t>
      </w:r>
      <w:r w:rsidRPr="005F17A6">
        <w:t xml:space="preserve"> above </w:t>
      </w:r>
      <w:r>
        <w:t>were</w:t>
      </w:r>
      <w:r w:rsidRPr="005F17A6">
        <w:t xml:space="preserve"> fixed for three years, and </w:t>
      </w:r>
      <w:r>
        <w:t>were</w:t>
      </w:r>
      <w:r w:rsidRPr="005F17A6">
        <w:t xml:space="preserve"> used to calculate charges for the Charging Years 2012/2013 and 2013/2014.  The caps and collars </w:t>
      </w:r>
      <w:r>
        <w:t>are to</w:t>
      </w:r>
      <w:r w:rsidRPr="005F17A6">
        <w:t xml:space="preserve"> be re-calculated for the subsequent Charging Years</w:t>
      </w:r>
      <w:r>
        <w:t xml:space="preserve">. </w:t>
      </w:r>
      <w:r>
        <w:rPr>
          <w:rFonts w:cs="Times New Roman"/>
          <w:szCs w:val="24"/>
        </w:rPr>
        <w:t>From Charging Year 2017/2018 onwards the caps and collars are to be calculated</w:t>
      </w:r>
      <w:r w:rsidRPr="005F17A6">
        <w:t xml:space="preserve"> using </w:t>
      </w:r>
      <w:r w:rsidRPr="00DD2ECD">
        <w:rPr>
          <w:rFonts w:cs="Times New Roman"/>
          <w:szCs w:val="24"/>
        </w:rPr>
        <w:t xml:space="preserve">the </w:t>
      </w:r>
      <w:r>
        <w:rPr>
          <w:rFonts w:cs="Times New Roman"/>
          <w:szCs w:val="24"/>
        </w:rPr>
        <w:t>methodology described in paragraph 18.5 based on the NUFs described in paragraph 18.8. The NUFs themselves are calculated in accordance with paragraphs 29 and 30 below</w:t>
      </w:r>
      <w:r w:rsidRPr="005F17A6">
        <w:t>.</w:t>
      </w:r>
    </w:p>
    <w:p w:rsidR="00876B95" w:rsidRDefault="00876B95" w:rsidP="00876B95">
      <w:pPr>
        <w:pStyle w:val="Heading2"/>
      </w:pPr>
      <w:proofErr w:type="gramStart"/>
      <w:r w:rsidRPr="005F17A6">
        <w:t xml:space="preserve">Table </w:t>
      </w:r>
      <w:r>
        <w:t>5</w:t>
      </w:r>
      <w:r w:rsidRPr="005F17A6">
        <w:t xml:space="preserve"> below sets out the schedule for the calculation of </w:t>
      </w:r>
      <w:r>
        <w:rPr>
          <w:rFonts w:cs="Times New Roman"/>
          <w:szCs w:val="24"/>
        </w:rPr>
        <w:t xml:space="preserve">the NUF </w:t>
      </w:r>
      <w:r w:rsidRPr="005F17A6">
        <w:t>caps and collars for each Charging Year.</w:t>
      </w:r>
      <w:proofErr w:type="gramEnd"/>
      <w:r w:rsidRPr="005F17A6">
        <w:t xml:space="preserve"> </w:t>
      </w:r>
    </w:p>
    <w:p w:rsidR="00876B95" w:rsidRPr="0031739F" w:rsidRDefault="00876B95" w:rsidP="00876B95">
      <w:pPr>
        <w:pStyle w:val="DCSubHeading2Level2"/>
        <w:spacing w:after="0"/>
        <w:rPr>
          <w:b/>
        </w:rPr>
      </w:pPr>
      <w:r w:rsidRPr="0031739F">
        <w:rPr>
          <w:b/>
        </w:rPr>
        <w:t>Table 5 NUF cap and collar calculation timeline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6221"/>
      </w:tblGrid>
      <w:tr w:rsidR="00876B95" w:rsidRPr="00A91D7B" w:rsidTr="00824111">
        <w:tc>
          <w:tcPr>
            <w:tcW w:w="2330" w:type="dxa"/>
            <w:shd w:val="clear" w:color="auto" w:fill="auto"/>
          </w:tcPr>
          <w:p w:rsidR="00876B95" w:rsidRPr="00642440" w:rsidRDefault="00876B95" w:rsidP="00824111">
            <w:pPr>
              <w:pStyle w:val="DCUSATableText"/>
              <w:rPr>
                <w:b/>
              </w:rPr>
            </w:pPr>
            <w:r w:rsidRPr="00642440">
              <w:rPr>
                <w:b/>
              </w:rPr>
              <w:t>Charging Year</w:t>
            </w:r>
          </w:p>
        </w:tc>
        <w:tc>
          <w:tcPr>
            <w:tcW w:w="6221" w:type="dxa"/>
            <w:shd w:val="clear" w:color="auto" w:fill="auto"/>
          </w:tcPr>
          <w:p w:rsidR="00876B95" w:rsidRPr="00642440" w:rsidRDefault="00876B95" w:rsidP="00824111">
            <w:pPr>
              <w:pStyle w:val="DCUSATableText"/>
              <w:rPr>
                <w:b/>
              </w:rPr>
            </w:pPr>
            <w:r w:rsidRPr="00642440">
              <w:rPr>
                <w:b/>
              </w:rPr>
              <w:t>Caps and collars</w:t>
            </w:r>
          </w:p>
        </w:tc>
      </w:tr>
      <w:tr w:rsidR="00876B95" w:rsidRPr="00A91D7B" w:rsidTr="00824111">
        <w:tc>
          <w:tcPr>
            <w:tcW w:w="2330" w:type="dxa"/>
            <w:shd w:val="clear" w:color="auto" w:fill="auto"/>
          </w:tcPr>
          <w:p w:rsidR="00876B95" w:rsidRPr="00A91D7B" w:rsidRDefault="00876B95" w:rsidP="00824111">
            <w:pPr>
              <w:pStyle w:val="DCUSATableText"/>
            </w:pPr>
            <w:r w:rsidRPr="00A91D7B">
              <w:t>2011/2012 Submission</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2012/2013</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2013/2014</w:t>
            </w:r>
          </w:p>
        </w:tc>
        <w:tc>
          <w:tcPr>
            <w:tcW w:w="6221" w:type="dxa"/>
            <w:shd w:val="clear" w:color="auto" w:fill="auto"/>
          </w:tcPr>
          <w:p w:rsidR="00876B95" w:rsidRPr="00A91D7B" w:rsidRDefault="00876B95" w:rsidP="00824111">
            <w:pPr>
              <w:pStyle w:val="DCUSATableText"/>
            </w:pPr>
            <w:r w:rsidRPr="00A91D7B">
              <w:t xml:space="preserve">2011/2012 </w:t>
            </w:r>
            <w:r>
              <w:rPr>
                <w:szCs w:val="24"/>
                <w:lang w:val="en-US"/>
              </w:rPr>
              <w:t>caps/collars (as per table 4)</w:t>
            </w:r>
          </w:p>
        </w:tc>
      </w:tr>
      <w:tr w:rsidR="00876B95" w:rsidRPr="00A91D7B" w:rsidTr="00824111">
        <w:tc>
          <w:tcPr>
            <w:tcW w:w="2330" w:type="dxa"/>
            <w:shd w:val="clear" w:color="auto" w:fill="auto"/>
          </w:tcPr>
          <w:p w:rsidR="00876B95" w:rsidRPr="00A91D7B" w:rsidRDefault="00876B95" w:rsidP="00824111">
            <w:pPr>
              <w:pStyle w:val="DCUSATableText"/>
            </w:pPr>
            <w:r w:rsidRPr="00A91D7B">
              <w:t>2014/2015</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2015/2016</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2016/2017</w:t>
            </w:r>
          </w:p>
        </w:tc>
        <w:tc>
          <w:tcPr>
            <w:tcW w:w="6221" w:type="dxa"/>
            <w:shd w:val="clear" w:color="auto" w:fill="auto"/>
          </w:tcPr>
          <w:p w:rsidR="00876B95" w:rsidRPr="00A91D7B" w:rsidRDefault="00876B95" w:rsidP="00824111">
            <w:pPr>
              <w:pStyle w:val="DCUSATableText"/>
            </w:pPr>
            <w:r w:rsidRPr="00A91D7B">
              <w:t>Average of 2011/2012, 2012/2013, 2013/2014 NUFs</w:t>
            </w:r>
          </w:p>
        </w:tc>
      </w:tr>
      <w:tr w:rsidR="00876B95" w:rsidRPr="00A91D7B" w:rsidTr="00824111">
        <w:tc>
          <w:tcPr>
            <w:tcW w:w="2330" w:type="dxa"/>
            <w:shd w:val="clear" w:color="auto" w:fill="auto"/>
          </w:tcPr>
          <w:p w:rsidR="00876B95" w:rsidRPr="00A91D7B" w:rsidRDefault="00876B95" w:rsidP="00824111">
            <w:pPr>
              <w:pStyle w:val="DCUSATableText"/>
            </w:pPr>
            <w:r w:rsidRPr="00A91D7B">
              <w:lastRenderedPageBreak/>
              <w:t>2017/2018</w:t>
            </w:r>
          </w:p>
        </w:tc>
        <w:tc>
          <w:tcPr>
            <w:tcW w:w="6221" w:type="dxa"/>
            <w:shd w:val="clear" w:color="auto" w:fill="auto"/>
          </w:tcPr>
          <w:p w:rsidR="00876B95" w:rsidRPr="00A91D7B" w:rsidRDefault="00876B95" w:rsidP="00824111">
            <w:pPr>
              <w:pStyle w:val="DCUSATableText"/>
            </w:pPr>
            <w:r w:rsidRPr="00B809B1">
              <w:rPr>
                <w:spacing w:val="-1"/>
                <w:szCs w:val="24"/>
                <w:lang w:val="en-US"/>
              </w:rPr>
              <w:t>2015/2016</w:t>
            </w:r>
            <w:r>
              <w:rPr>
                <w:szCs w:val="24"/>
                <w:lang w:val="en-US"/>
              </w:rPr>
              <w:t xml:space="preserve"> 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2018/2019</w:t>
            </w:r>
          </w:p>
        </w:tc>
        <w:tc>
          <w:tcPr>
            <w:tcW w:w="6221" w:type="dxa"/>
            <w:shd w:val="clear" w:color="auto" w:fill="auto"/>
          </w:tcPr>
          <w:p w:rsidR="00876B95" w:rsidRPr="00A91D7B" w:rsidRDefault="00876B95" w:rsidP="00824111">
            <w:pPr>
              <w:pStyle w:val="DCUSATableText"/>
            </w:pPr>
            <w:r w:rsidRPr="00A91D7B">
              <w:t>2015/2016</w:t>
            </w:r>
            <w:r>
              <w:rPr>
                <w:szCs w:val="24"/>
                <w:lang w:val="en-US"/>
              </w:rPr>
              <w:t xml:space="preserve"> 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2019/2020</w:t>
            </w:r>
          </w:p>
        </w:tc>
        <w:tc>
          <w:tcPr>
            <w:tcW w:w="6221" w:type="dxa"/>
            <w:shd w:val="clear" w:color="auto" w:fill="auto"/>
          </w:tcPr>
          <w:p w:rsidR="00876B95" w:rsidRPr="00A91D7B" w:rsidRDefault="00876B95" w:rsidP="00824111">
            <w:pPr>
              <w:pStyle w:val="DCUSATableText"/>
            </w:pPr>
            <w:r w:rsidRPr="00A91D7B">
              <w:t>2015/2016</w:t>
            </w:r>
            <w:r>
              <w:t xml:space="preserve"> </w:t>
            </w:r>
            <w:r>
              <w:rPr>
                <w:szCs w:val="24"/>
                <w:lang w:val="en-US"/>
              </w:rPr>
              <w:t>caps/collars (as per table 4A)</w:t>
            </w:r>
          </w:p>
        </w:tc>
      </w:tr>
      <w:tr w:rsidR="00876B95" w:rsidRPr="00A91D7B" w:rsidTr="00824111">
        <w:tc>
          <w:tcPr>
            <w:tcW w:w="2330" w:type="dxa"/>
            <w:shd w:val="clear" w:color="auto" w:fill="auto"/>
          </w:tcPr>
          <w:p w:rsidR="00876B95" w:rsidRPr="00A91D7B" w:rsidRDefault="00876B95" w:rsidP="00824111">
            <w:pPr>
              <w:pStyle w:val="DCUSATableText"/>
            </w:pPr>
            <w:r w:rsidRPr="00A91D7B">
              <w:t>2020/2021</w:t>
            </w:r>
          </w:p>
        </w:tc>
        <w:tc>
          <w:tcPr>
            <w:tcW w:w="6221" w:type="dxa"/>
            <w:shd w:val="clear" w:color="auto" w:fill="auto"/>
          </w:tcPr>
          <w:p w:rsidR="00876B95" w:rsidRPr="00A91D7B" w:rsidRDefault="00876B95" w:rsidP="00824111">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2018</w:t>
            </w:r>
            <w:r w:rsidRPr="00A91D7B">
              <w:t xml:space="preserve"> NUFs</w:t>
            </w:r>
          </w:p>
        </w:tc>
      </w:tr>
      <w:tr w:rsidR="00876B95" w:rsidRPr="00A91D7B" w:rsidTr="00824111">
        <w:tc>
          <w:tcPr>
            <w:tcW w:w="2330" w:type="dxa"/>
            <w:shd w:val="clear" w:color="auto" w:fill="auto"/>
          </w:tcPr>
          <w:p w:rsidR="00876B95" w:rsidRPr="00A91D7B" w:rsidRDefault="00876B95" w:rsidP="00824111">
            <w:pPr>
              <w:pStyle w:val="DCUSATableText"/>
            </w:pPr>
            <w:r w:rsidRPr="00A91D7B">
              <w:t>2021/2022</w:t>
            </w:r>
          </w:p>
        </w:tc>
        <w:tc>
          <w:tcPr>
            <w:tcW w:w="6221" w:type="dxa"/>
            <w:shd w:val="clear" w:color="auto" w:fill="auto"/>
          </w:tcPr>
          <w:p w:rsidR="00876B95" w:rsidRPr="00A91D7B" w:rsidRDefault="00876B95" w:rsidP="00824111">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w:t>
            </w:r>
            <w:r w:rsidRPr="00B809B1">
              <w:rPr>
                <w:spacing w:val="-1"/>
                <w:szCs w:val="24"/>
                <w:lang w:val="en-US"/>
              </w:rPr>
              <w:t xml:space="preserve">18 </w:t>
            </w:r>
            <w:r w:rsidRPr="00A91D7B">
              <w:t>NUFs</w:t>
            </w:r>
          </w:p>
        </w:tc>
      </w:tr>
      <w:tr w:rsidR="00876B95" w:rsidRPr="00A91D7B" w:rsidTr="00824111">
        <w:tc>
          <w:tcPr>
            <w:tcW w:w="2330" w:type="dxa"/>
            <w:shd w:val="clear" w:color="auto" w:fill="auto"/>
          </w:tcPr>
          <w:p w:rsidR="00876B95" w:rsidRPr="00A91D7B" w:rsidRDefault="00876B95" w:rsidP="00824111">
            <w:pPr>
              <w:pStyle w:val="DCUSATableText"/>
            </w:pPr>
            <w:r w:rsidRPr="00A91D7B">
              <w:t>2022/2023</w:t>
            </w:r>
          </w:p>
        </w:tc>
        <w:tc>
          <w:tcPr>
            <w:tcW w:w="6221" w:type="dxa"/>
            <w:shd w:val="clear" w:color="auto" w:fill="auto"/>
          </w:tcPr>
          <w:p w:rsidR="00876B95" w:rsidRPr="00A91D7B" w:rsidRDefault="00876B95" w:rsidP="00824111">
            <w:pPr>
              <w:pStyle w:val="DCUSATableText"/>
            </w:pPr>
            <w:r w:rsidRPr="00B809B1">
              <w:rPr>
                <w:spacing w:val="-1"/>
                <w:szCs w:val="24"/>
                <w:lang w:val="en-US"/>
              </w:rPr>
              <w:t>Average of 2015/2016, 2016/2017</w:t>
            </w:r>
            <w:r>
              <w:rPr>
                <w:spacing w:val="-1"/>
                <w:szCs w:val="24"/>
                <w:lang w:val="en-US"/>
              </w:rPr>
              <w:t xml:space="preserve">, </w:t>
            </w:r>
            <w:r w:rsidRPr="00B809B1">
              <w:rPr>
                <w:spacing w:val="-1"/>
                <w:szCs w:val="24"/>
                <w:lang w:val="en-US"/>
              </w:rPr>
              <w:t>2017/</w:t>
            </w:r>
            <w:r>
              <w:rPr>
                <w:spacing w:val="-1"/>
                <w:szCs w:val="24"/>
                <w:lang w:val="en-US"/>
              </w:rPr>
              <w:t>20</w:t>
            </w:r>
            <w:r w:rsidRPr="00B809B1">
              <w:rPr>
                <w:spacing w:val="-1"/>
                <w:szCs w:val="24"/>
                <w:lang w:val="en-US"/>
              </w:rPr>
              <w:t>18 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2023/2024</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2024/2025</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876B95" w:rsidRPr="00A91D7B" w:rsidTr="00824111">
        <w:tc>
          <w:tcPr>
            <w:tcW w:w="2330" w:type="dxa"/>
            <w:shd w:val="clear" w:color="auto" w:fill="auto"/>
          </w:tcPr>
          <w:p w:rsidR="00876B95" w:rsidRPr="00A91D7B" w:rsidRDefault="00876B95" w:rsidP="00824111">
            <w:pPr>
              <w:pStyle w:val="DCUSATableText"/>
            </w:pPr>
            <w:r w:rsidRPr="00B809B1">
              <w:rPr>
                <w:spacing w:val="-1"/>
                <w:szCs w:val="24"/>
                <w:lang w:val="en-US"/>
              </w:rPr>
              <w:t>2025/2026</w:t>
            </w:r>
          </w:p>
        </w:tc>
        <w:tc>
          <w:tcPr>
            <w:tcW w:w="6221" w:type="dxa"/>
            <w:shd w:val="clear" w:color="auto" w:fill="auto"/>
          </w:tcPr>
          <w:p w:rsidR="00876B95" w:rsidRPr="00B809B1" w:rsidRDefault="00876B95" w:rsidP="00824111">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w:t>
            </w:r>
            <w:r w:rsidRPr="00B809B1">
              <w:rPr>
                <w:spacing w:val="-1"/>
                <w:szCs w:val="24"/>
                <w:lang w:val="en-US"/>
              </w:rPr>
              <w:t>2017/2018,</w:t>
            </w:r>
            <w:r w:rsidRPr="00B809B1">
              <w:rPr>
                <w:szCs w:val="24"/>
                <w:lang w:val="en-US"/>
              </w:rPr>
              <w:t xml:space="preserve"> </w:t>
            </w:r>
            <w:r w:rsidRPr="00B809B1">
              <w:rPr>
                <w:spacing w:val="-1"/>
                <w:szCs w:val="24"/>
                <w:lang w:val="en-US"/>
              </w:rPr>
              <w:t>2018/2019,</w:t>
            </w:r>
            <w:r w:rsidRPr="00B809B1">
              <w:rPr>
                <w:spacing w:val="-3"/>
                <w:szCs w:val="24"/>
                <w:lang w:val="en-US"/>
              </w:rPr>
              <w:t xml:space="preserve"> </w:t>
            </w:r>
            <w:r w:rsidRPr="00B809B1">
              <w:rPr>
                <w:spacing w:val="-2"/>
                <w:szCs w:val="24"/>
                <w:lang w:val="en-US"/>
              </w:rPr>
              <w:t>2019/2020</w:t>
            </w:r>
            <w:r w:rsidRPr="00B809B1">
              <w:rPr>
                <w:szCs w:val="24"/>
                <w:lang w:val="en-US"/>
              </w:rPr>
              <w:t xml:space="preserve"> </w:t>
            </w:r>
            <w:r w:rsidRPr="00B809B1">
              <w:rPr>
                <w:spacing w:val="-1"/>
                <w:szCs w:val="24"/>
                <w:lang w:val="en-US"/>
              </w:rPr>
              <w:t>NUFs</w:t>
            </w:r>
          </w:p>
        </w:tc>
      </w:tr>
    </w:tbl>
    <w:p w:rsidR="00876B95" w:rsidRPr="00A91D7B" w:rsidRDefault="00876B95" w:rsidP="00876B95"/>
    <w:p w:rsidR="00876B95" w:rsidRPr="00A91D7B" w:rsidRDefault="00876B95" w:rsidP="00876B95">
      <w:pPr>
        <w:pStyle w:val="Heading2"/>
      </w:pPr>
      <w:r w:rsidRPr="00A91D7B">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rsidR="00876B95" w:rsidRPr="00A91D7B" w:rsidRDefault="00876B95" w:rsidP="00876B95">
      <w:pPr>
        <w:ind w:left="720"/>
      </w:pPr>
      <w:r w:rsidRPr="00A91D7B">
        <w:t xml:space="preserve">Adjusted site-specific asset value for capacity at level L (£/kVA) = </w:t>
      </w:r>
      <w:proofErr w:type="spellStart"/>
      <w:r w:rsidRPr="00A91D7B">
        <w:t>NUaL</w:t>
      </w:r>
      <w:proofErr w:type="spellEnd"/>
      <w:r w:rsidRPr="00A91D7B">
        <w:t xml:space="preserve"> * Average network asset value for capacity at level L (£/kVA)</w:t>
      </w:r>
    </w:p>
    <w:p w:rsidR="00876B95" w:rsidRPr="00A91D7B" w:rsidRDefault="00876B95" w:rsidP="00876B95">
      <w:pPr>
        <w:ind w:left="720"/>
      </w:pPr>
      <w:r w:rsidRPr="00A91D7B">
        <w:t xml:space="preserve">Adjusted site-specific asset value for demand at level L (£/kVA) = </w:t>
      </w:r>
      <w:proofErr w:type="spellStart"/>
      <w:r w:rsidRPr="00A91D7B">
        <w:t>NUaL</w:t>
      </w:r>
      <w:proofErr w:type="spellEnd"/>
      <w:r w:rsidRPr="00A91D7B">
        <w:t xml:space="preserve"> * Average network asset value for demand at level L (£/kVA)</w:t>
      </w:r>
    </w:p>
    <w:p w:rsidR="00876B95" w:rsidRPr="00A91D7B" w:rsidRDefault="00876B95" w:rsidP="00876B95">
      <w:pPr>
        <w:ind w:left="720"/>
      </w:pPr>
      <w:r w:rsidRPr="00A91D7B">
        <w:t xml:space="preserve">Where: </w:t>
      </w:r>
    </w:p>
    <w:p w:rsidR="00876B95" w:rsidRPr="00A91D7B" w:rsidRDefault="00876B95" w:rsidP="00876B95">
      <w:pPr>
        <w:ind w:left="720"/>
      </w:pPr>
      <w:proofErr w:type="spellStart"/>
      <w:r w:rsidRPr="00A91D7B">
        <w:t>NUaL</w:t>
      </w:r>
      <w:proofErr w:type="spellEnd"/>
      <w:r w:rsidRPr="00A91D7B">
        <w:t xml:space="preserve"> is the adjusted network use factor for that EDCM Connectee at level L after application of the cap and collar.</w:t>
      </w:r>
    </w:p>
    <w:p w:rsidR="00876B95" w:rsidRPr="00A91D7B" w:rsidRDefault="00876B95" w:rsidP="00876B95">
      <w:pPr>
        <w:ind w:left="720"/>
      </w:pPr>
      <w:r w:rsidRPr="00A91D7B">
        <w:t>Average notional asset value for capacity at level L is the voltage level average calculated as described earlier.</w:t>
      </w:r>
    </w:p>
    <w:p w:rsidR="00876B95" w:rsidRPr="00A91D7B" w:rsidRDefault="00876B95" w:rsidP="00876B95">
      <w:pPr>
        <w:ind w:left="720"/>
      </w:pPr>
      <w:r w:rsidRPr="00A91D7B">
        <w:t>Average notional asset value for demand at level L is the voltage level average calculated as described earlier.</w:t>
      </w:r>
    </w:p>
    <w:p w:rsidR="00876B95" w:rsidRPr="00A91D7B" w:rsidRDefault="00876B95" w:rsidP="00876B95">
      <w:pPr>
        <w:pStyle w:val="Heading2"/>
      </w:pPr>
      <w:r w:rsidRPr="00A91D7B">
        <w:lastRenderedPageBreak/>
        <w:t>The total value of the adjusted site-specific shared assets required to serve each EDCM Connectee is calculated according to the formula:</w:t>
      </w:r>
    </w:p>
    <w:p w:rsidR="00876B95" w:rsidRPr="00A91D7B" w:rsidRDefault="00876B95" w:rsidP="00876B95">
      <w:pPr>
        <w:ind w:left="720"/>
      </w:pPr>
      <w:proofErr w:type="spellStart"/>
      <w:r w:rsidRPr="00A91D7B">
        <w:t>TNAa</w:t>
      </w:r>
      <w:proofErr w:type="spellEnd"/>
      <w:r w:rsidRPr="00A91D7B">
        <w:t xml:space="preserve"> = </w:t>
      </w:r>
      <w:proofErr w:type="spellStart"/>
      <w:r w:rsidRPr="00A91D7B">
        <w:t>NACa</w:t>
      </w:r>
      <w:proofErr w:type="spellEnd"/>
      <w:r w:rsidRPr="00A91D7B">
        <w:t xml:space="preserve"> + (</w:t>
      </w:r>
      <w:proofErr w:type="spellStart"/>
      <w:r w:rsidRPr="00A91D7B">
        <w:t>NADa</w:t>
      </w:r>
      <w:proofErr w:type="spellEnd"/>
      <w:r w:rsidRPr="00A91D7B">
        <w:t xml:space="preserve"> * (1 - (Hours in super-red for which not a customer/Annual hours in super-red))*(Days in year / (Days in year - Days for which not a customer))) </w:t>
      </w:r>
    </w:p>
    <w:p w:rsidR="00876B95" w:rsidRPr="00A91D7B" w:rsidRDefault="00876B95" w:rsidP="00876B95">
      <w:pPr>
        <w:ind w:left="720"/>
      </w:pPr>
      <w:r w:rsidRPr="00A91D7B">
        <w:t>Where:</w:t>
      </w:r>
    </w:p>
    <w:p w:rsidR="00876B95" w:rsidRPr="00A91D7B" w:rsidRDefault="00876B95" w:rsidP="00876B95">
      <w:pPr>
        <w:ind w:left="720"/>
      </w:pPr>
      <w:proofErr w:type="spellStart"/>
      <w:r w:rsidRPr="00A91D7B">
        <w:t>TNAa</w:t>
      </w:r>
      <w:proofErr w:type="spellEnd"/>
      <w:r w:rsidRPr="00A91D7B">
        <w:t xml:space="preserve"> is the total adjusted site-specific network assets in £/kVA required to serve </w:t>
      </w:r>
      <w:proofErr w:type="gramStart"/>
      <w:r w:rsidRPr="00A91D7B">
        <w:t>a</w:t>
      </w:r>
      <w:proofErr w:type="gramEnd"/>
      <w:r w:rsidRPr="00A91D7B">
        <w:t xml:space="preserve"> EDCM Connectee.</w:t>
      </w:r>
    </w:p>
    <w:p w:rsidR="00876B95" w:rsidRPr="00A91D7B" w:rsidRDefault="00876B95" w:rsidP="00876B95">
      <w:pPr>
        <w:ind w:left="720"/>
      </w:pPr>
      <w:proofErr w:type="spellStart"/>
      <w:r w:rsidRPr="00A91D7B">
        <w:t>NACa</w:t>
      </w:r>
      <w:proofErr w:type="spellEnd"/>
      <w:r w:rsidRPr="00A91D7B">
        <w:t xml:space="preserve"> is the adjusted site-specific asset value in £/kVA for capacity for that EDCM Connectee aggregated across all levels.</w:t>
      </w:r>
    </w:p>
    <w:p w:rsidR="00876B95" w:rsidRPr="00A91D7B" w:rsidRDefault="00876B95" w:rsidP="00876B95">
      <w:pPr>
        <w:ind w:left="720"/>
      </w:pPr>
      <w:proofErr w:type="spellStart"/>
      <w:r w:rsidRPr="00A91D7B">
        <w:t>NADa</w:t>
      </w:r>
      <w:proofErr w:type="spellEnd"/>
      <w:r w:rsidRPr="00A91D7B">
        <w:t xml:space="preserve"> is the adjusted site-specific asset value in £/kVA for demand for that EDCM Connectee aggregated across all levels.</w:t>
      </w:r>
    </w:p>
    <w:p w:rsidR="00876B95" w:rsidRPr="00A91D7B" w:rsidRDefault="00876B95" w:rsidP="00876B95">
      <w:pPr>
        <w:pStyle w:val="Heading2"/>
      </w:pPr>
      <w:r w:rsidRPr="00A91D7B">
        <w:t xml:space="preserve">Total adjusted site-specific shared assets for all EDCM demand is the aggregate value (in £) of all adjusted site-specific shared assets for EDCM Connectees. This is calculated by multiplying </w:t>
      </w:r>
      <w:proofErr w:type="spellStart"/>
      <w:r w:rsidRPr="00A91D7B">
        <w:t>TNAa</w:t>
      </w:r>
      <w:proofErr w:type="spellEnd"/>
      <w:r w:rsidRPr="00A91D7B">
        <w:t xml:space="preserve"> by the Maximum Import Capacity (adjusted, if necessary, for Connectees connected for part of the Charging Year), and then aggregating across all EDCM demand.</w:t>
      </w:r>
    </w:p>
    <w:p w:rsidR="00876B95" w:rsidRPr="00A91D7B" w:rsidRDefault="00876B95" w:rsidP="00876B95">
      <w:pPr>
        <w:pStyle w:val="Heading2"/>
      </w:pPr>
      <w:r w:rsidRPr="00A91D7B">
        <w:t>The direct cost and network rates allocations to individual demand Connectees is determined in the same way as the contributions to the EDCM demand revenue target was calculated, except that adjusted site-specific assets are used.</w:t>
      </w:r>
    </w:p>
    <w:p w:rsidR="00876B95" w:rsidRPr="00A91D7B" w:rsidRDefault="00876B95" w:rsidP="00876B95">
      <w:pPr>
        <w:pStyle w:val="Heading2"/>
      </w:pPr>
      <w:r w:rsidRPr="00A91D7B">
        <w:t>A single asset based charging rate for network rates is calculated for all EDCM Connectee.  This is calculated as follows:</w:t>
      </w:r>
    </w:p>
    <w:p w:rsidR="00876B95" w:rsidRPr="00A91D7B" w:rsidRDefault="00876B95" w:rsidP="00876B95">
      <w:pPr>
        <w:pStyle w:val="DCNormParaL3"/>
        <w:ind w:left="720"/>
      </w:pPr>
      <w:r w:rsidRPr="00A91D7B">
        <w:t>Network rates charging rate (per cent) = EDCM NR contribution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NR contribution is the sum of the import capacity based network rates contribution from each EDCM Connectee.</w:t>
      </w:r>
    </w:p>
    <w:p w:rsidR="00876B95" w:rsidRPr="00A91D7B" w:rsidRDefault="00876B95" w:rsidP="00876B95">
      <w:pPr>
        <w:ind w:left="720"/>
      </w:pPr>
      <w:r w:rsidRPr="00A91D7B">
        <w:lastRenderedPageBreak/>
        <w:t>Total adjusted site-specific shared assets is the aggregate value (in £) of all adjusted site-specific shared assets for EDCM Connectees.</w:t>
      </w:r>
    </w:p>
    <w:p w:rsidR="00876B95" w:rsidRPr="00A91D7B" w:rsidRDefault="00876B95" w:rsidP="00876B95">
      <w:pPr>
        <w:pStyle w:val="Heading2"/>
        <w:ind w:left="709"/>
      </w:pPr>
      <w:r w:rsidRPr="00A91D7B">
        <w:t>A single asset based charging rate for direct operating costs is calculated for all EDCM Connectees.  This is calculated as follows:</w:t>
      </w:r>
    </w:p>
    <w:p w:rsidR="00876B95" w:rsidRPr="00A91D7B" w:rsidRDefault="00876B95" w:rsidP="00876B95">
      <w:pPr>
        <w:ind w:left="720"/>
      </w:pPr>
      <w:r w:rsidRPr="00A91D7B">
        <w:t>Direct operating costs charging rate (per cent) = EDCM DOC contribution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DOC contribution is the sum of the import capacity based direct costs contribution from each EDCM Connectee.</w:t>
      </w:r>
    </w:p>
    <w:p w:rsidR="00876B95" w:rsidRPr="00A91D7B" w:rsidRDefault="00876B95" w:rsidP="00876B95">
      <w:pPr>
        <w:ind w:left="720"/>
      </w:pPr>
      <w:r w:rsidRPr="00A91D7B">
        <w:t>Total adjusted site-specific shared assets is the aggregate value (in £) of all adjusted site-specific shared assets for EDCM Connectees.</w:t>
      </w:r>
    </w:p>
    <w:p w:rsidR="00876B95" w:rsidRPr="00A91D7B" w:rsidRDefault="00876B95" w:rsidP="00876B95">
      <w:pPr>
        <w:pStyle w:val="Heading2"/>
      </w:pPr>
      <w:r w:rsidRPr="00A91D7B">
        <w:t>The charging rates for network rates and direct operating costs are converted into p/kVA/day import capacity based charges for each EDCM Connectee.</w:t>
      </w:r>
    </w:p>
    <w:p w:rsidR="00876B95" w:rsidRPr="00A91D7B" w:rsidRDefault="00876B95" w:rsidP="00876B95">
      <w:pPr>
        <w:ind w:left="720"/>
      </w:pPr>
      <w:r w:rsidRPr="00A91D7B">
        <w:t xml:space="preserve">Network rates and direct costs charge in p/kVA/day = (100 / DC) * </w:t>
      </w:r>
      <w:proofErr w:type="spellStart"/>
      <w:r w:rsidRPr="00A91D7B">
        <w:t>TNAa</w:t>
      </w:r>
      <w:proofErr w:type="spellEnd"/>
      <w:r w:rsidRPr="00A91D7B">
        <w:t xml:space="preserve"> * (NR rate + DOC rate)</w:t>
      </w:r>
    </w:p>
    <w:p w:rsidR="00876B95" w:rsidRPr="00A91D7B" w:rsidRDefault="00876B95" w:rsidP="00876B95">
      <w:pPr>
        <w:ind w:left="720"/>
      </w:pPr>
      <w:r w:rsidRPr="00A91D7B">
        <w:t>Where:</w:t>
      </w:r>
    </w:p>
    <w:p w:rsidR="00876B95" w:rsidRPr="00A91D7B" w:rsidRDefault="00876B95" w:rsidP="00876B95">
      <w:pPr>
        <w:ind w:left="720"/>
      </w:pPr>
      <w:r w:rsidRPr="00A91D7B">
        <w:t>DC is the number of days in the Charging Year.</w:t>
      </w:r>
    </w:p>
    <w:p w:rsidR="00876B95" w:rsidRPr="00A91D7B" w:rsidRDefault="00876B95" w:rsidP="00876B95">
      <w:pPr>
        <w:ind w:left="720"/>
      </w:pPr>
      <w:proofErr w:type="spellStart"/>
      <w:r w:rsidRPr="00A91D7B">
        <w:t>TNAa</w:t>
      </w:r>
      <w:proofErr w:type="spellEnd"/>
      <w:r w:rsidRPr="00A91D7B">
        <w:t xml:space="preserve"> is the total adjusted site-specific assets (£/kVA) for that EDCM Connectee.</w:t>
      </w:r>
    </w:p>
    <w:p w:rsidR="00876B95" w:rsidRPr="00A91D7B" w:rsidRDefault="00876B95" w:rsidP="00876B95">
      <w:pPr>
        <w:ind w:left="720"/>
      </w:pPr>
      <w:r w:rsidRPr="00A91D7B">
        <w:t>NR rate is the network rates charge rate in per cent.</w:t>
      </w:r>
    </w:p>
    <w:p w:rsidR="00876B95" w:rsidRPr="00A91D7B" w:rsidRDefault="00876B95" w:rsidP="00876B95">
      <w:pPr>
        <w:ind w:left="720"/>
      </w:pPr>
      <w:r w:rsidRPr="00A91D7B">
        <w:t>DOC rate is the direct operating costs charge rate in per cent.</w:t>
      </w:r>
    </w:p>
    <w:p w:rsidR="00876B95" w:rsidRPr="00A91D7B" w:rsidRDefault="00876B95" w:rsidP="00876B95">
      <w:pPr>
        <w:pStyle w:val="Heading2"/>
      </w:pPr>
      <w:r w:rsidRPr="00A91D7B">
        <w:t>A p/kVA/day charging rate for indirect costs for each EDCM Connectee is calculated on the basis of historical demand at the time of the DNO Party’s peak and 50 per cent of Maximum Import Capacity of that Connectee.</w:t>
      </w:r>
    </w:p>
    <w:p w:rsidR="00876B95" w:rsidRPr="00A91D7B" w:rsidRDefault="00876B95" w:rsidP="00876B95">
      <w:pPr>
        <w:ind w:left="720"/>
      </w:pPr>
      <w:r w:rsidRPr="00A91D7B">
        <w:t>Indirect cost charging rate in p/kVA/day = 100 / DC * (Aggregate indirect cost contribution) / Volume for scaling</w:t>
      </w:r>
    </w:p>
    <w:p w:rsidR="00876B95" w:rsidRPr="00A91D7B" w:rsidRDefault="00876B95" w:rsidP="00876B95">
      <w:pPr>
        <w:ind w:left="720"/>
      </w:pPr>
      <w:r w:rsidRPr="00A91D7B">
        <w:lastRenderedPageBreak/>
        <w:t>Where:</w:t>
      </w:r>
    </w:p>
    <w:p w:rsidR="00876B95" w:rsidRPr="00A91D7B" w:rsidRDefault="00876B95" w:rsidP="00876B95">
      <w:pPr>
        <w:ind w:left="720"/>
      </w:pPr>
      <w:r w:rsidRPr="00A91D7B">
        <w:t>DC is the number of days in the Charging Year.</w:t>
      </w:r>
    </w:p>
    <w:p w:rsidR="00876B95" w:rsidRPr="00A91D7B" w:rsidRDefault="00876B95" w:rsidP="00876B95">
      <w:pPr>
        <w:ind w:left="720"/>
      </w:pPr>
      <w:r w:rsidRPr="00A91D7B">
        <w:t>Volume for scaling is calculated as the sum of (0.5 + coincidence factor)* import capacity * LDNO factor across all EDCM Connectees.</w:t>
      </w:r>
    </w:p>
    <w:p w:rsidR="00876B95" w:rsidRPr="00A91D7B" w:rsidRDefault="00876B95" w:rsidP="00876B95">
      <w:pPr>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876B95" w:rsidRPr="00A91D7B" w:rsidRDefault="00876B95" w:rsidP="00876B95">
      <w:pPr>
        <w:ind w:left="720"/>
      </w:pPr>
      <w:r w:rsidRPr="00A91D7B">
        <w:t>Import capacity is the Maximum Import Capacity (adjusted if the Connectee is connected for part of the Charging Year) in kVA for that EDCM Connectee.</w:t>
      </w:r>
    </w:p>
    <w:p w:rsidR="00876B95" w:rsidRPr="00A91D7B" w:rsidRDefault="00876B95" w:rsidP="00876B95">
      <w:pPr>
        <w:ind w:left="720"/>
      </w:pPr>
      <w:r w:rsidRPr="00A91D7B">
        <w:t xml:space="preserve">LDNO factor takes the value 0.5 if the EDCM Connectee is connected to a </w:t>
      </w:r>
      <w:r>
        <w:t>LDNO</w:t>
      </w:r>
      <w:r w:rsidRPr="00A91D7B">
        <w:t>’s network and 1 otherwise.</w:t>
      </w:r>
    </w:p>
    <w:p w:rsidR="00876B95" w:rsidRPr="00A91D7B" w:rsidRDefault="00876B95" w:rsidP="00876B95">
      <w:pPr>
        <w:ind w:left="720"/>
      </w:pPr>
      <w:r w:rsidRPr="00A91D7B">
        <w:t>Aggregate indirect cost contribution is the sum of the import capacity based and sole use asset based indirect cost contribution from each EDCM Connectee.</w:t>
      </w:r>
    </w:p>
    <w:p w:rsidR="00876B95" w:rsidRPr="00A91D7B" w:rsidRDefault="00876B95" w:rsidP="00876B95">
      <w:pPr>
        <w:pStyle w:val="Heading2"/>
      </w:pPr>
      <w:r w:rsidRPr="00395A5E">
        <w:rPr>
          <w:rStyle w:val="Heading2Char"/>
        </w:rPr>
        <w:t>The</w:t>
      </w:r>
      <w:r w:rsidRPr="00A91D7B">
        <w:t xml:space="preserve"> p/kVA/day charging rate for indirect costs is converted into an import capacity based charge for each EDCM Connectee as follows:</w:t>
      </w:r>
    </w:p>
    <w:p w:rsidR="00876B95" w:rsidRPr="00A91D7B" w:rsidRDefault="00876B95" w:rsidP="00876B95">
      <w:pPr>
        <w:pStyle w:val="DCNormParaL3"/>
        <w:ind w:left="720"/>
      </w:pPr>
      <w:r w:rsidRPr="00A91D7B">
        <w:t>Import capacity based INDOC charge in p/kVA/day = Indirect cost charging rate * (0.5 + coincidence factor) * LDNO factor</w:t>
      </w:r>
    </w:p>
    <w:p w:rsidR="00876B95" w:rsidRPr="00A91D7B" w:rsidRDefault="00876B95" w:rsidP="00876B95">
      <w:pPr>
        <w:pStyle w:val="DCNormParaL3"/>
        <w:ind w:left="720"/>
      </w:pPr>
      <w:r w:rsidRPr="00A91D7B">
        <w:t>Where:</w:t>
      </w:r>
    </w:p>
    <w:p w:rsidR="00876B95" w:rsidRPr="00A91D7B" w:rsidRDefault="00876B95" w:rsidP="00876B95">
      <w:pPr>
        <w:pStyle w:val="DCNormParaL3"/>
        <w:ind w:left="720"/>
      </w:pPr>
      <w:r w:rsidRPr="00A91D7B">
        <w:t>Indirect cost charging rate is the Distribution System-wide p/kVA/day rate calculated as described in the previous paragraph.</w:t>
      </w:r>
    </w:p>
    <w:p w:rsidR="00876B95" w:rsidRPr="00A91D7B" w:rsidRDefault="00876B95" w:rsidP="00876B95">
      <w:pPr>
        <w:pStyle w:val="DCNormParaL3"/>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876B95" w:rsidRPr="00A91D7B" w:rsidRDefault="00876B95" w:rsidP="00876B95">
      <w:pPr>
        <w:pStyle w:val="DCNormParaL3"/>
        <w:ind w:left="720"/>
      </w:pPr>
      <w:r w:rsidRPr="00A91D7B">
        <w:t xml:space="preserve">LDNO factor takes the value 0.5 if the EDCM Connectee is connected to a </w:t>
      </w:r>
      <w:r>
        <w:t>LDNO</w:t>
      </w:r>
      <w:r w:rsidRPr="00A91D7B">
        <w:t>’s network and 1 otherwise.</w:t>
      </w:r>
    </w:p>
    <w:p w:rsidR="00876B95" w:rsidRPr="00A91D7B" w:rsidRDefault="00876B95" w:rsidP="00876B95">
      <w:pPr>
        <w:pStyle w:val="Heading2"/>
      </w:pPr>
      <w:r w:rsidRPr="00A91D7B">
        <w:lastRenderedPageBreak/>
        <w:t>A single asset based residual revenue charging rate is calculated for all EDCM Connectees.  This is calculated as follows:</w:t>
      </w:r>
    </w:p>
    <w:p w:rsidR="00876B95" w:rsidRPr="00A91D7B" w:rsidRDefault="00876B95" w:rsidP="00876B95">
      <w:pPr>
        <w:ind w:left="720"/>
      </w:pPr>
      <w:r w:rsidRPr="00A91D7B">
        <w:t>Residual revenue charging rate (per cent) = 0.8 * (EDCM demand revenue target – EDCM NR and DOC capacity contribution - Aggregate indirect cost contribution – SU recovery - FCP recovery) / Total adjusted site-specific shared assets</w:t>
      </w:r>
    </w:p>
    <w:p w:rsidR="00876B95" w:rsidRPr="00A91D7B" w:rsidRDefault="00876B95" w:rsidP="00876B95">
      <w:pPr>
        <w:ind w:left="720"/>
      </w:pPr>
      <w:r w:rsidRPr="00A91D7B">
        <w:t>Where:</w:t>
      </w:r>
    </w:p>
    <w:p w:rsidR="00876B95" w:rsidRPr="00A91D7B" w:rsidRDefault="00876B95" w:rsidP="00876B95">
      <w:pPr>
        <w:ind w:left="720"/>
      </w:pPr>
      <w:r w:rsidRPr="00A91D7B">
        <w:t>EDCM NR and DOC capacity contribution is the sum of the import capacity based network rates and direct costs contribution from each EDCM Connectee.</w:t>
      </w:r>
    </w:p>
    <w:p w:rsidR="00876B95" w:rsidRPr="00A91D7B" w:rsidRDefault="00876B95" w:rsidP="00876B95">
      <w:pPr>
        <w:ind w:left="720"/>
      </w:pPr>
      <w:r w:rsidRPr="00A91D7B">
        <w:t>Aggregate indirect cost contribution is the sum of the import capacity based and import sole use asset based indirect cost contribution from each EDCM Connectee.</w:t>
      </w:r>
    </w:p>
    <w:p w:rsidR="00876B95" w:rsidRPr="00A91D7B" w:rsidRDefault="00876B95" w:rsidP="00876B95">
      <w:pPr>
        <w:ind w:left="720"/>
      </w:pPr>
      <w:r w:rsidRPr="00A91D7B">
        <w:t>SU recovery is the forecast notional recovery from the application of import fixed charges (before any rounding) for sole use assets relating to EDCM Connectees.</w:t>
      </w:r>
    </w:p>
    <w:p w:rsidR="00876B95" w:rsidRPr="00A91D7B" w:rsidRDefault="00876B95" w:rsidP="00876B95">
      <w:pPr>
        <w:ind w:left="720"/>
      </w:pPr>
      <w:r w:rsidRPr="00A91D7B">
        <w:t>FCP recovery is the forecast notional recovery from the application of FCP demand charges (before any rounding) to all EDCM Connectees.</w:t>
      </w:r>
    </w:p>
    <w:p w:rsidR="00876B95" w:rsidRPr="00A91D7B" w:rsidRDefault="00876B95" w:rsidP="00876B95">
      <w:pPr>
        <w:ind w:left="720"/>
      </w:pPr>
      <w:r w:rsidRPr="00A91D7B">
        <w:t xml:space="preserve">Total adjusted site-specific shared assets is the aggregate value (in £) of all adjusted site-specific shared assets for EDCM Connectees.  </w:t>
      </w:r>
    </w:p>
    <w:p w:rsidR="00876B95" w:rsidRPr="00CD71A9" w:rsidRDefault="00876B95" w:rsidP="00876B95">
      <w:pPr>
        <w:pStyle w:val="Heading2"/>
      </w:pPr>
      <w:r w:rsidRPr="00CD71A9">
        <w:t>The asset based charging rate for residual revenue is converted into a p/kVA/day import capacity based residual revenue charge for each EDCM Connectee.</w:t>
      </w:r>
    </w:p>
    <w:p w:rsidR="00876B95" w:rsidRPr="00F61EC2" w:rsidRDefault="00876B95" w:rsidP="00876B95">
      <w:pPr>
        <w:ind w:left="720"/>
      </w:pPr>
      <w:r w:rsidRPr="00F61EC2">
        <w:t xml:space="preserve">Asset based residual revenue charges in p/kVA/day = (100 / DC) * </w:t>
      </w:r>
      <w:proofErr w:type="spellStart"/>
      <w:r w:rsidRPr="00F61EC2">
        <w:t>TNAa</w:t>
      </w:r>
      <w:proofErr w:type="spellEnd"/>
      <w:r w:rsidRPr="00F61EC2">
        <w:t xml:space="preserve"> * Residual revenue rate</w:t>
      </w:r>
    </w:p>
    <w:p w:rsidR="00876B95" w:rsidRPr="00F61EC2" w:rsidRDefault="00876B95" w:rsidP="00876B95">
      <w:pPr>
        <w:ind w:left="720"/>
      </w:pPr>
      <w:r w:rsidRPr="00F61EC2">
        <w:t>Where:</w:t>
      </w:r>
    </w:p>
    <w:p w:rsidR="00876B95" w:rsidRPr="00F61EC2" w:rsidRDefault="00876B95" w:rsidP="00876B95">
      <w:pPr>
        <w:ind w:left="720"/>
      </w:pPr>
      <w:r w:rsidRPr="00F61EC2">
        <w:t>DC is the number of days in the Charging Year.</w:t>
      </w:r>
    </w:p>
    <w:p w:rsidR="00876B95" w:rsidRPr="00F61EC2" w:rsidRDefault="00876B95" w:rsidP="00876B95">
      <w:pPr>
        <w:ind w:left="720"/>
      </w:pPr>
      <w:r w:rsidRPr="00F61EC2">
        <w:t>TNA is the total site-specific assets (£/kVA) for that EDCM Connectee.</w:t>
      </w:r>
    </w:p>
    <w:p w:rsidR="00876B95" w:rsidRPr="00F61EC2" w:rsidRDefault="00876B95" w:rsidP="00876B95">
      <w:pPr>
        <w:ind w:left="720"/>
      </w:pPr>
      <w:r w:rsidRPr="00F61EC2">
        <w:t xml:space="preserve">Residual revenue rate is the residual revenue charging rate in per cent. </w:t>
      </w:r>
    </w:p>
    <w:p w:rsidR="00876B95" w:rsidRPr="00CD71A9" w:rsidRDefault="00876B95" w:rsidP="00876B95">
      <w:pPr>
        <w:pStyle w:val="Heading2"/>
      </w:pPr>
      <w:r w:rsidRPr="00CD71A9">
        <w:lastRenderedPageBreak/>
        <w:t>A fixed adder in p/kVA/day for the remaining 20 per cent of residual revenue is calculated as follows:</w:t>
      </w:r>
    </w:p>
    <w:p w:rsidR="00876B95" w:rsidRPr="00CD71A9" w:rsidRDefault="00876B95" w:rsidP="00876B95">
      <w:pPr>
        <w:ind w:left="720"/>
      </w:pPr>
      <w:r w:rsidRPr="00CD71A9">
        <w:t>Single fixed adder in p/kVA/day = 100 / DC * 0.2 * (EDCM demand revenue target – EDCM NR and DOC capacity contribution - Aggregate indirect cost contribution - SU recovery - FCP recovery) / Volume for scaling</w:t>
      </w:r>
    </w:p>
    <w:p w:rsidR="00876B95" w:rsidRPr="00CD71A9" w:rsidRDefault="00876B95" w:rsidP="00876B95">
      <w:pPr>
        <w:ind w:left="720"/>
      </w:pPr>
      <w:r w:rsidRPr="00CD71A9">
        <w:t>Where:</w:t>
      </w:r>
    </w:p>
    <w:p w:rsidR="00876B95" w:rsidRPr="00CD71A9" w:rsidRDefault="00876B95" w:rsidP="00876B95">
      <w:pPr>
        <w:ind w:left="720"/>
      </w:pPr>
      <w:r w:rsidRPr="00CD71A9">
        <w:t>DC is the number of days in the Charging Year.</w:t>
      </w:r>
    </w:p>
    <w:p w:rsidR="00876B95" w:rsidRPr="00CD71A9" w:rsidRDefault="00876B95" w:rsidP="00876B95">
      <w:pPr>
        <w:ind w:left="720"/>
      </w:pPr>
      <w:r w:rsidRPr="00CD71A9">
        <w:t>EDCM demand target is the EDCM demand revenue target calculated as described in the previous section.</w:t>
      </w:r>
    </w:p>
    <w:p w:rsidR="00876B95" w:rsidRPr="00CD71A9" w:rsidRDefault="00876B95" w:rsidP="00876B95">
      <w:pPr>
        <w:ind w:left="720"/>
      </w:pPr>
      <w:r w:rsidRPr="00CD71A9">
        <w:t>EDCM NR and DOC capacity contribution is the sum of the import capacity based direct costs contribution from each EDCM Connectee (from annex 3).</w:t>
      </w:r>
    </w:p>
    <w:p w:rsidR="00876B95" w:rsidRPr="00CD71A9" w:rsidRDefault="00876B95" w:rsidP="00876B95">
      <w:pPr>
        <w:ind w:left="720"/>
      </w:pPr>
      <w:r w:rsidRPr="00CD71A9">
        <w:t>Aggregate indirect cost contribution is the sum of the import capacity based and import sole use asset based indirect cost contribution from each EDCM Connectee</w:t>
      </w:r>
    </w:p>
    <w:p w:rsidR="00876B95" w:rsidRPr="00CD71A9" w:rsidRDefault="00876B95" w:rsidP="00876B95">
      <w:pPr>
        <w:ind w:left="720"/>
      </w:pPr>
      <w:r w:rsidRPr="00CD71A9">
        <w:t>SU recovery is the forecast notional recovery from the application of demand fixed charges (before any rounding) for sole use assets relating to EDCM Connectees.</w:t>
      </w:r>
    </w:p>
    <w:p w:rsidR="00876B95" w:rsidRPr="00CD71A9" w:rsidRDefault="00876B95" w:rsidP="00876B95">
      <w:pPr>
        <w:ind w:left="720"/>
      </w:pPr>
      <w:r w:rsidRPr="00CD71A9">
        <w:t>FCP recovery is the forecast notional recovery from the application of FCP demand charges (before any rounding) to all EDCM Connectees only.</w:t>
      </w:r>
    </w:p>
    <w:p w:rsidR="00876B95" w:rsidRPr="00CD71A9" w:rsidRDefault="00876B95" w:rsidP="00876B95">
      <w:pPr>
        <w:ind w:left="720"/>
      </w:pPr>
      <w:r w:rsidRPr="00CD71A9">
        <w:t>Volume for scaling is calculated as the sum of (0.5 + coincidence factor)* import capacity.</w:t>
      </w:r>
    </w:p>
    <w:p w:rsidR="00876B95" w:rsidRPr="00CD71A9" w:rsidRDefault="00876B95" w:rsidP="00876B95">
      <w:pPr>
        <w:ind w:left="720"/>
      </w:pPr>
      <w:r w:rsidRPr="00CD71A9">
        <w:t>Coincidence factor is calculated as the forecast peak-time consumption in kW divided by maximum capacity in kVA of that Connectee (based on historical data) multiplied by (1 - (Hours in super-red for which not a customer/Annual hours in super-red))*(Days in year</w:t>
      </w:r>
      <w:proofErr w:type="gramStart"/>
      <w:r w:rsidRPr="00CD71A9">
        <w:t>/(</w:t>
      </w:r>
      <w:proofErr w:type="gramEnd"/>
      <w:r w:rsidRPr="00CD71A9">
        <w:t>Days in year - Days for which not a customer))</w:t>
      </w:r>
    </w:p>
    <w:p w:rsidR="00876B95" w:rsidRPr="00CD71A9" w:rsidRDefault="00876B95" w:rsidP="00876B95">
      <w:pPr>
        <w:ind w:left="720"/>
      </w:pPr>
      <w:r w:rsidRPr="00CD71A9">
        <w:t>Import capacity is the Maximum Import Capacity (adjusted if the Connectee is connected for part of the Charging Year) in kVA for that EDCM Connectee.</w:t>
      </w:r>
    </w:p>
    <w:p w:rsidR="00876B95" w:rsidRPr="00CD71A9" w:rsidRDefault="00876B95" w:rsidP="00876B95">
      <w:pPr>
        <w:pStyle w:val="Heading2"/>
      </w:pPr>
      <w:r w:rsidRPr="00CD71A9">
        <w:t>The fixed adder in p/kVA/day is converted into an import capacity based charge for each EDCM Connectee as follows:</w:t>
      </w:r>
    </w:p>
    <w:p w:rsidR="00876B95" w:rsidRPr="00CD71A9" w:rsidRDefault="00876B95" w:rsidP="00876B95">
      <w:pPr>
        <w:ind w:left="720"/>
      </w:pPr>
      <w:r w:rsidRPr="00CD71A9">
        <w:lastRenderedPageBreak/>
        <w:t>Import capacity based fixed adder in p/kVA/day = Fixed adder * (0.5 + coincidence factor)</w:t>
      </w:r>
    </w:p>
    <w:p w:rsidR="00876B95" w:rsidRPr="00CD71A9" w:rsidRDefault="00876B95" w:rsidP="00876B95">
      <w:pPr>
        <w:ind w:left="720"/>
      </w:pPr>
      <w:r w:rsidRPr="00CD71A9">
        <w:t>Where:</w:t>
      </w:r>
    </w:p>
    <w:p w:rsidR="00876B95" w:rsidRPr="00CD71A9" w:rsidRDefault="00876B95" w:rsidP="00876B95">
      <w:pPr>
        <w:ind w:left="720"/>
      </w:pPr>
      <w:r w:rsidRPr="00CD71A9">
        <w:t>Fixed adder is the Distribution System-wide p/kVA/day fixed adder calculated as described in the previous paragraph.</w:t>
      </w:r>
    </w:p>
    <w:p w:rsidR="00876B95" w:rsidRPr="00CD71A9" w:rsidRDefault="00876B95" w:rsidP="00876B95">
      <w:pPr>
        <w:ind w:left="720"/>
      </w:pPr>
      <w:r w:rsidRPr="00CD71A9">
        <w:t xml:space="preserve">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        </w:t>
      </w:r>
    </w:p>
    <w:p w:rsidR="00876B95" w:rsidRPr="00CD71A9" w:rsidRDefault="00876B95" w:rsidP="00876B95">
      <w:pPr>
        <w:pStyle w:val="Heading1"/>
      </w:pPr>
      <w:bookmarkStart w:id="172" w:name="_Toc289364359"/>
      <w:bookmarkStart w:id="173" w:name="_Toc289363402"/>
      <w:bookmarkStart w:id="174" w:name="_Toc320876043"/>
      <w:bookmarkStart w:id="175" w:name="_Toc320876666"/>
      <w:bookmarkStart w:id="176" w:name="_Toc325449880"/>
      <w:bookmarkStart w:id="177" w:name="_Toc339284524"/>
      <w:bookmarkStart w:id="178" w:name="_Toc360027697"/>
      <w:bookmarkStart w:id="179" w:name="_Toc360028051"/>
      <w:bookmarkStart w:id="180" w:name="_Toc391559910"/>
      <w:bookmarkStart w:id="181" w:name="_Toc510303030"/>
      <w:bookmarkStart w:id="182" w:name="_Toc513018442"/>
      <w:bookmarkStart w:id="183" w:name="_Toc518333627"/>
      <w:r w:rsidRPr="00CD71A9">
        <w:t xml:space="preserve">Application of EDCM demand for </w:t>
      </w:r>
      <w:bookmarkEnd w:id="172"/>
      <w:bookmarkEnd w:id="173"/>
      <w:r w:rsidRPr="00CD71A9">
        <w:t>EDCM Connectees</w:t>
      </w:r>
      <w:bookmarkEnd w:id="174"/>
      <w:bookmarkEnd w:id="175"/>
      <w:bookmarkEnd w:id="176"/>
      <w:bookmarkEnd w:id="177"/>
      <w:bookmarkEnd w:id="178"/>
      <w:bookmarkEnd w:id="179"/>
      <w:bookmarkEnd w:id="180"/>
      <w:bookmarkEnd w:id="181"/>
      <w:bookmarkEnd w:id="182"/>
      <w:bookmarkEnd w:id="183"/>
    </w:p>
    <w:p w:rsidR="00876B95" w:rsidRPr="00CD71A9" w:rsidRDefault="00876B95" w:rsidP="00876B95">
      <w:pPr>
        <w:pStyle w:val="Heading2"/>
      </w:pPr>
      <w:r w:rsidRPr="00CD71A9">
        <w:t>The tariff application rules for the EDCM are the same as for the CDCM wherever possible. Each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rsidR="00876B95" w:rsidRPr="00CD71A9" w:rsidRDefault="00876B95" w:rsidP="00876B95">
      <w:pPr>
        <w:pStyle w:val="Heading2"/>
      </w:pPr>
      <w:r w:rsidRPr="00CD71A9">
        <w:t xml:space="preserve">The part of EDCM portfolio tariffs (for </w:t>
      </w:r>
      <w:r>
        <w:t>LDNO</w:t>
      </w:r>
      <w:r w:rsidRPr="00CD71A9">
        <w:t xml:space="preserve"> networks and Distribution Licence exempt networks) that is based on CDCM tariffs will be billed like CDCM tariffs.</w:t>
      </w:r>
    </w:p>
    <w:p w:rsidR="00876B95" w:rsidRPr="00CD71A9" w:rsidRDefault="00876B95" w:rsidP="00876B95">
      <w:pPr>
        <w:pStyle w:val="Heading2"/>
      </w:pPr>
      <w:r w:rsidRPr="00CD71A9">
        <w:t xml:space="preserve">Final EDCM demand charges will have: </w:t>
      </w:r>
    </w:p>
    <w:p w:rsidR="00876B95" w:rsidRPr="00CD71A9" w:rsidRDefault="00876B95" w:rsidP="00993801">
      <w:pPr>
        <w:pStyle w:val="ListParagraph"/>
        <w:numPr>
          <w:ilvl w:val="0"/>
          <w:numId w:val="28"/>
        </w:numPr>
      </w:pPr>
      <w:r w:rsidRPr="00CD71A9">
        <w:t xml:space="preserve">an import fixed charge on sole use assets (in p/day) </w:t>
      </w:r>
    </w:p>
    <w:p w:rsidR="00876B95" w:rsidRPr="00CD71A9" w:rsidRDefault="00876B95" w:rsidP="00993801">
      <w:pPr>
        <w:pStyle w:val="ListParagraph"/>
        <w:numPr>
          <w:ilvl w:val="0"/>
          <w:numId w:val="28"/>
        </w:numPr>
      </w:pPr>
      <w:r w:rsidRPr="00CD71A9">
        <w:t xml:space="preserve">an import capacity charge in (p/kVA/day) </w:t>
      </w:r>
    </w:p>
    <w:p w:rsidR="00876B95" w:rsidRPr="00CD71A9" w:rsidRDefault="00876B95" w:rsidP="00993801">
      <w:pPr>
        <w:pStyle w:val="ListParagraph"/>
        <w:numPr>
          <w:ilvl w:val="0"/>
          <w:numId w:val="28"/>
        </w:numPr>
      </w:pPr>
      <w:r w:rsidRPr="00CD71A9">
        <w:t xml:space="preserve">an import super-red unit rate charge (in p/kWh) </w:t>
      </w:r>
    </w:p>
    <w:p w:rsidR="00876B95" w:rsidRPr="00CD71A9" w:rsidRDefault="00876B95" w:rsidP="00993801">
      <w:pPr>
        <w:pStyle w:val="ListParagraph"/>
        <w:numPr>
          <w:ilvl w:val="0"/>
          <w:numId w:val="28"/>
        </w:numPr>
      </w:pPr>
      <w:proofErr w:type="gramStart"/>
      <w:r w:rsidRPr="00CD71A9">
        <w:t>an</w:t>
      </w:r>
      <w:proofErr w:type="gramEnd"/>
      <w:r w:rsidRPr="00CD71A9">
        <w:t xml:space="preserve"> exceeded import capacity charge (in p/kVA/day).</w:t>
      </w:r>
    </w:p>
    <w:p w:rsidR="00876B95" w:rsidRPr="00CD71A9" w:rsidRDefault="00876B95" w:rsidP="00876B95">
      <w:pPr>
        <w:pStyle w:val="Heading2"/>
      </w:pPr>
      <w:r w:rsidRPr="00CD71A9">
        <w:t>The import fixed charge on sole use assets in p/day is applied to each EDCM Connectee.</w:t>
      </w:r>
    </w:p>
    <w:p w:rsidR="00876B95" w:rsidRPr="00CD71A9" w:rsidRDefault="00876B95" w:rsidP="00876B95">
      <w:pPr>
        <w:pStyle w:val="Heading2"/>
      </w:pPr>
      <w:r w:rsidRPr="00CD71A9">
        <w:t>The final EDCM import capacity charge for each EDCM Connectee in p/kVA/day would be calculated as follows:</w:t>
      </w:r>
    </w:p>
    <w:p w:rsidR="00876B95" w:rsidRPr="00CD71A9" w:rsidRDefault="00876B95" w:rsidP="00876B95">
      <w:pPr>
        <w:ind w:left="720"/>
      </w:pPr>
      <w:r w:rsidRPr="00CD71A9">
        <w:lastRenderedPageBreak/>
        <w:t>EDCM import capacity charge (p/kVA/day) = [FCP p/kVA/day capacity charge] + [Transmission exit charge p/kVA/day] + [Network rates and direct costs charge in p/kVA/day] + [Indirect costs charge in p/kVA/day] + [Asset based residual revenue charges in p/kVA/day] + [Single fixed adder in p/kVA/day]</w:t>
      </w:r>
    </w:p>
    <w:p w:rsidR="00876B95" w:rsidRPr="00CD71A9" w:rsidRDefault="00876B95" w:rsidP="00876B95">
      <w:pPr>
        <w:pStyle w:val="Heading2"/>
      </w:pPr>
      <w:r w:rsidRPr="00CD71A9">
        <w:t xml:space="preserve">The final EDCM super-red unit rate in p/kWh is the FCP super-red unit rate as calculated as described earlier in this document.  </w:t>
      </w:r>
    </w:p>
    <w:p w:rsidR="00876B95" w:rsidRPr="00CD71A9" w:rsidRDefault="00876B95" w:rsidP="00876B95">
      <w:pPr>
        <w:pStyle w:val="Heading2"/>
      </w:pPr>
      <w:r w:rsidRPr="00CD71A9">
        <w:t xml:space="preserve">If the EDCM import capacity charge (p/kVA/day) calculated above is negative and the </w:t>
      </w:r>
      <w:proofErr w:type="spellStart"/>
      <w:r w:rsidRPr="00CD71A9">
        <w:t>Connectee’s</w:t>
      </w:r>
      <w:proofErr w:type="spellEnd"/>
      <w:r w:rsidRPr="00CD71A9">
        <w:t xml:space="preserve"> average kW/kVA</w:t>
      </w:r>
      <w:r>
        <w:t xml:space="preserve"> </w:t>
      </w:r>
      <w:r w:rsidRPr="00CD71A9">
        <w:t>(adjusted for part year) is not equal to zero, the final EDCM super-red unit rate is adjusted as follows:</w:t>
      </w:r>
    </w:p>
    <w:p w:rsidR="00876B95" w:rsidRPr="00CD71A9" w:rsidRDefault="00876B95" w:rsidP="00876B95">
      <w:pPr>
        <w:ind w:left="720"/>
      </w:pPr>
      <w:r w:rsidRPr="00CD71A9">
        <w:t xml:space="preserve">Adjusted FCP super-red unit rate in p/kWh = [FCP super-red rate in p/kWh] + ([EDCM import capacity charge (p/kVA/day)] * ([Days in the Charging Year] – [Days for which not a customer]) / [Average kW/kVA] / ([hours in the super-red time band] - [Hours in super-red for which not a customer])) </w:t>
      </w:r>
    </w:p>
    <w:p w:rsidR="00876B95" w:rsidRPr="00CD71A9" w:rsidRDefault="00876B95" w:rsidP="00876B95">
      <w:pPr>
        <w:pStyle w:val="Heading2"/>
      </w:pPr>
      <w:r w:rsidRPr="00CD71A9">
        <w:t>Finally, any remaining negative import super-red unit rates or import capacity charges are set to zero.</w:t>
      </w:r>
    </w:p>
    <w:p w:rsidR="00876B95" w:rsidRPr="00CD71A9" w:rsidRDefault="00876B95" w:rsidP="00876B95">
      <w:pPr>
        <w:pStyle w:val="Heading2"/>
      </w:pPr>
      <w:r w:rsidRPr="00CD71A9">
        <w:t>Final EDCM export charges will have:</w:t>
      </w:r>
    </w:p>
    <w:p w:rsidR="00876B95" w:rsidRPr="00CD71A9" w:rsidRDefault="00876B95" w:rsidP="00993801">
      <w:pPr>
        <w:pStyle w:val="ListParagraph"/>
        <w:numPr>
          <w:ilvl w:val="0"/>
          <w:numId w:val="29"/>
        </w:numPr>
      </w:pPr>
      <w:r w:rsidRPr="00CD71A9">
        <w:t>An export fixed charge on sole use assets (in p/day)</w:t>
      </w:r>
    </w:p>
    <w:p w:rsidR="00876B95" w:rsidRPr="00CD71A9" w:rsidRDefault="00876B95" w:rsidP="00993801">
      <w:pPr>
        <w:pStyle w:val="ListParagraph"/>
        <w:numPr>
          <w:ilvl w:val="0"/>
          <w:numId w:val="29"/>
        </w:numPr>
      </w:pPr>
      <w:r w:rsidRPr="00CD71A9">
        <w:t>An export capacity charge (in p/kVA/day), which might include transmission exit credits to qualifying generators.</w:t>
      </w:r>
    </w:p>
    <w:p w:rsidR="00876B95" w:rsidRPr="00CD71A9" w:rsidRDefault="00876B95" w:rsidP="00993801">
      <w:pPr>
        <w:pStyle w:val="ListParagraph"/>
        <w:numPr>
          <w:ilvl w:val="0"/>
          <w:numId w:val="29"/>
        </w:numPr>
      </w:pPr>
      <w:r w:rsidRPr="00CD71A9">
        <w:t>An export super-red unit rate (in p/kWh)</w:t>
      </w:r>
    </w:p>
    <w:p w:rsidR="00876B95" w:rsidRPr="00CD71A9" w:rsidRDefault="00876B95" w:rsidP="00993801">
      <w:pPr>
        <w:pStyle w:val="ListParagraph"/>
        <w:numPr>
          <w:ilvl w:val="0"/>
          <w:numId w:val="29"/>
        </w:numPr>
      </w:pPr>
      <w:r w:rsidRPr="00CD71A9">
        <w:t>An exceeded export capacity charge (in p/kVA/day)</w:t>
      </w:r>
    </w:p>
    <w:p w:rsidR="00876B95" w:rsidRPr="00CD71A9" w:rsidRDefault="00876B95" w:rsidP="00876B95">
      <w:pPr>
        <w:pStyle w:val="Heading2"/>
      </w:pPr>
      <w:r w:rsidRPr="00CD71A9">
        <w:t xml:space="preserve">The export capacity charge (in p/kVA/day) is applied to the Chargeable Export Capacity of EDCM Connectees.  </w:t>
      </w:r>
    </w:p>
    <w:p w:rsidR="00876B95" w:rsidRPr="00CD71A9" w:rsidRDefault="00876B95" w:rsidP="00876B95">
      <w:pPr>
        <w:pStyle w:val="Heading2"/>
      </w:pPr>
      <w:r w:rsidRPr="00CD71A9">
        <w:t>The export super-red unit rate (in p/kWh) is applied to active power units exported during the DNO Party’s super-red time band.</w:t>
      </w:r>
    </w:p>
    <w:p w:rsidR="00876B95" w:rsidRPr="00A95A15" w:rsidRDefault="00876B95" w:rsidP="00876B95">
      <w:pPr>
        <w:pStyle w:val="Heading1"/>
      </w:pPr>
      <w:bookmarkStart w:id="184" w:name="_Toc289364360"/>
      <w:bookmarkStart w:id="185" w:name="_Toc320876044"/>
      <w:bookmarkStart w:id="186" w:name="_Toc320876667"/>
      <w:bookmarkStart w:id="187" w:name="_Toc325449881"/>
      <w:bookmarkStart w:id="188" w:name="_Toc339284525"/>
      <w:bookmarkStart w:id="189" w:name="_Toc360027698"/>
      <w:bookmarkStart w:id="190" w:name="_Toc360028052"/>
      <w:bookmarkStart w:id="191" w:name="_Toc391559911"/>
      <w:bookmarkStart w:id="192" w:name="_Toc510303031"/>
      <w:bookmarkStart w:id="193" w:name="_Toc513018443"/>
      <w:bookmarkStart w:id="194" w:name="_Toc518333628"/>
      <w:r w:rsidRPr="00A95A15">
        <w:lastRenderedPageBreak/>
        <w:t>Exceeded capacity charges</w:t>
      </w:r>
      <w:bookmarkEnd w:id="184"/>
      <w:bookmarkEnd w:id="185"/>
      <w:bookmarkEnd w:id="186"/>
      <w:bookmarkEnd w:id="187"/>
      <w:bookmarkEnd w:id="188"/>
      <w:bookmarkEnd w:id="189"/>
      <w:bookmarkEnd w:id="190"/>
      <w:bookmarkEnd w:id="191"/>
      <w:bookmarkEnd w:id="192"/>
      <w:bookmarkEnd w:id="193"/>
      <w:bookmarkEnd w:id="194"/>
    </w:p>
    <w:p w:rsidR="00876B95" w:rsidRPr="00A95A15" w:rsidRDefault="00876B95" w:rsidP="00876B95">
      <w:pPr>
        <w:pStyle w:val="Heading2"/>
      </w:pPr>
      <w:r w:rsidRPr="00A95A15">
        <w:t>Where a Connectee uses additional capacity over and above the Maximum Import Capacity or Maximum Export Capacity without authorisation, the excess is classed as exceeded capacity.</w:t>
      </w:r>
    </w:p>
    <w:p w:rsidR="00876B95" w:rsidRPr="00A95A15" w:rsidRDefault="00876B95" w:rsidP="00876B95">
      <w:pPr>
        <w:pStyle w:val="Heading2"/>
      </w:pPr>
      <w:r w:rsidRPr="00A95A15">
        <w:t>For the purposes of determining capacity used, the following formula is used for each half hour:</w:t>
      </w:r>
    </w:p>
    <w:p w:rsidR="00876B95" w:rsidRPr="00A95A15" w:rsidRDefault="00876B95" w:rsidP="00876B95">
      <w:pPr>
        <w:pStyle w:val="DCNormParaL3"/>
      </w:pPr>
      <w:r w:rsidRPr="00A95A15">
        <w:t>Import capacity used = 2 * (</w:t>
      </w:r>
      <w:proofErr w:type="gramStart"/>
      <w:r w:rsidRPr="00A95A15">
        <w:t>SQRT(</w:t>
      </w:r>
      <w:proofErr w:type="gramEnd"/>
      <w:r w:rsidRPr="00A95A15">
        <w:t>AI^2 + MAX(RI,RE)^2))</w:t>
      </w:r>
    </w:p>
    <w:p w:rsidR="00876B95" w:rsidRPr="00A95A15" w:rsidRDefault="00876B95" w:rsidP="00876B95">
      <w:pPr>
        <w:pStyle w:val="DCNormParaL3"/>
      </w:pPr>
      <w:r w:rsidRPr="00A95A15">
        <w:t>Where:</w:t>
      </w:r>
    </w:p>
    <w:p w:rsidR="00876B95" w:rsidRPr="00A95A15" w:rsidRDefault="00876B95" w:rsidP="00876B95">
      <w:pPr>
        <w:pStyle w:val="DCNormParaL3"/>
      </w:pPr>
      <w:r w:rsidRPr="00A95A15">
        <w:t>AI = Import consumption in kWh</w:t>
      </w:r>
    </w:p>
    <w:p w:rsidR="00876B95" w:rsidRPr="00A95A15" w:rsidRDefault="00876B95" w:rsidP="00876B95">
      <w:pPr>
        <w:pStyle w:val="DCNormParaL3"/>
      </w:pPr>
      <w:r w:rsidRPr="00A95A15">
        <w:t xml:space="preserve">RI = Reactive import in </w:t>
      </w:r>
      <w:proofErr w:type="spellStart"/>
      <w:r w:rsidRPr="00A95A15">
        <w:t>kVArh</w:t>
      </w:r>
      <w:proofErr w:type="spellEnd"/>
    </w:p>
    <w:p w:rsidR="00876B95" w:rsidRPr="00A95A15" w:rsidRDefault="00876B95" w:rsidP="00876B95">
      <w:pPr>
        <w:pStyle w:val="DCNormParaL3"/>
      </w:pPr>
      <w:r w:rsidRPr="00A95A15">
        <w:t xml:space="preserve">RE = Reactive export in </w:t>
      </w:r>
      <w:proofErr w:type="spellStart"/>
      <w:r w:rsidRPr="00A95A15">
        <w:t>kVArh</w:t>
      </w:r>
      <w:proofErr w:type="spellEnd"/>
    </w:p>
    <w:p w:rsidR="00876B95" w:rsidRPr="00A95A15" w:rsidRDefault="00876B95" w:rsidP="00876B95">
      <w:pPr>
        <w:pStyle w:val="DCNormParaL3"/>
      </w:pPr>
      <w:r w:rsidRPr="00A95A15">
        <w:t>Export capacity used = 2 * (</w:t>
      </w:r>
      <w:proofErr w:type="gramStart"/>
      <w:r w:rsidRPr="00A95A15">
        <w:t>SQRT(</w:t>
      </w:r>
      <w:proofErr w:type="gramEnd"/>
      <w:r w:rsidRPr="00A95A15">
        <w:t>AE^2 + MAX(RI,RE)^2))</w:t>
      </w:r>
    </w:p>
    <w:p w:rsidR="00876B95" w:rsidRPr="00A95A15" w:rsidRDefault="00876B95" w:rsidP="00876B95">
      <w:pPr>
        <w:pStyle w:val="DCNormParaL3"/>
      </w:pPr>
      <w:r w:rsidRPr="00A95A15">
        <w:t>Where:</w:t>
      </w:r>
    </w:p>
    <w:p w:rsidR="00876B95" w:rsidRPr="00A95A15" w:rsidRDefault="00876B95" w:rsidP="00876B95">
      <w:pPr>
        <w:pStyle w:val="DCNormParaL3"/>
      </w:pPr>
      <w:r w:rsidRPr="00A95A15">
        <w:t>AE = Import consumption in kWh</w:t>
      </w:r>
    </w:p>
    <w:p w:rsidR="00876B95" w:rsidRPr="00A95A15" w:rsidRDefault="00876B95" w:rsidP="00876B95">
      <w:pPr>
        <w:pStyle w:val="DCNormParaL3"/>
      </w:pPr>
      <w:r w:rsidRPr="00A95A15">
        <w:t xml:space="preserve">RI = Reactive import in </w:t>
      </w:r>
      <w:proofErr w:type="spellStart"/>
      <w:r w:rsidRPr="00A95A15">
        <w:t>kVArh</w:t>
      </w:r>
      <w:proofErr w:type="spellEnd"/>
    </w:p>
    <w:p w:rsidR="00876B95" w:rsidRPr="00A95A15" w:rsidRDefault="00876B95" w:rsidP="00876B95">
      <w:pPr>
        <w:pStyle w:val="DCNormParaL3"/>
      </w:pPr>
      <w:r w:rsidRPr="00A95A15">
        <w:t xml:space="preserve">RE = Reactive export in </w:t>
      </w:r>
      <w:proofErr w:type="spellStart"/>
      <w:r w:rsidRPr="00A95A15">
        <w:t>kVArh</w:t>
      </w:r>
      <w:proofErr w:type="spellEnd"/>
    </w:p>
    <w:p w:rsidR="00876B95" w:rsidRPr="00A95A15" w:rsidRDefault="00876B95" w:rsidP="00876B95">
      <w:pPr>
        <w:pStyle w:val="Heading2"/>
      </w:pPr>
      <w:r w:rsidRPr="00A95A15">
        <w:t xml:space="preserve">For the purposes of calculating exceeded capacity for import charges, any reactive flows during half hours when there is no active power import would not be taken into account. </w:t>
      </w:r>
    </w:p>
    <w:p w:rsidR="00876B95" w:rsidRPr="00A95A15" w:rsidRDefault="00876B95" w:rsidP="00876B95">
      <w:pPr>
        <w:pStyle w:val="Heading2"/>
      </w:pPr>
      <w:r w:rsidRPr="00A95A15">
        <w:t>For the purposes of calculating exceeded capacity for export charges, any reactive flows during half hours when there is no active power export will not be taken into account.</w:t>
      </w:r>
    </w:p>
    <w:p w:rsidR="00876B95" w:rsidRPr="00A95A15" w:rsidRDefault="00876B95" w:rsidP="00876B95">
      <w:pPr>
        <w:pStyle w:val="Heading2"/>
      </w:pPr>
      <w:r w:rsidRPr="00A95A15">
        <w:t xml:space="preserve">Any reactive flows associated with a site which operates subject to grid code requirements for generation or sites providing voltage control at the request of the </w:t>
      </w:r>
      <w:r w:rsidRPr="00A95A15">
        <w:lastRenderedPageBreak/>
        <w:t xml:space="preserve">DNO Party would not be taken into account when calculating import or export capacity used.  </w:t>
      </w:r>
    </w:p>
    <w:p w:rsidR="00876B95" w:rsidRPr="00A95A15" w:rsidRDefault="00876B95" w:rsidP="00876B95">
      <w:pPr>
        <w:pStyle w:val="Heading2"/>
      </w:pPr>
      <w:r w:rsidRPr="00A95A15">
        <w:t xml:space="preserve">For Connectees other than those that have an agreement with the DNO, the terms of which require them, for the purposes of P2/6 compliance, to export power during </w:t>
      </w:r>
      <w:proofErr w:type="spellStart"/>
      <w:r w:rsidRPr="00A95A15">
        <w:t>supergrid</w:t>
      </w:r>
      <w:proofErr w:type="spellEnd"/>
      <w:r w:rsidRPr="00A95A15">
        <w:t xml:space="preserve"> transformer (SGT) outage conditions, the exceeded portion of the export capacity is charged at the same rate as the capacity that is within the Maximum Export Capacity. This is charged for the duration of the month in which the breach occurs.  </w:t>
      </w:r>
    </w:p>
    <w:p w:rsidR="00876B95" w:rsidRPr="00A95A15" w:rsidRDefault="00876B95" w:rsidP="00876B95">
      <w:pPr>
        <w:pStyle w:val="Heading2"/>
      </w:pPr>
      <w:r w:rsidRPr="00A95A15">
        <w:t>For Connectees other than those with DSM agreements, the exceeded portion of the import capacity is charged at the same rate as the capacity that is within the Maximum Import Capacity. This is charged for the duration of the month in which the breach occurs.</w:t>
      </w:r>
    </w:p>
    <w:p w:rsidR="00876B95" w:rsidRPr="00A95A15" w:rsidRDefault="00876B95" w:rsidP="00876B95">
      <w:pPr>
        <w:pStyle w:val="Heading2"/>
      </w:pPr>
      <w:r w:rsidRPr="00A95A15">
        <w:t xml:space="preserve">Sites subject to DSM arrangements would normally pay the DSM-adjusted capacity charge for capacity usage up to their Maximum Import Capacities.  </w:t>
      </w:r>
    </w:p>
    <w:p w:rsidR="00876B95" w:rsidRPr="00A95A15" w:rsidRDefault="00876B95" w:rsidP="00876B95">
      <w:pPr>
        <w:pStyle w:val="Heading2"/>
      </w:pPr>
      <w:r w:rsidRPr="00A95A15">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876B95" w:rsidRPr="00A95A15" w:rsidRDefault="00876B95" w:rsidP="00876B95">
      <w:pPr>
        <w:ind w:left="720"/>
      </w:pPr>
      <w:r w:rsidRPr="00A95A15">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rsidR="00876B95" w:rsidRPr="00A95A15" w:rsidRDefault="00876B95" w:rsidP="00876B95">
      <w:pPr>
        <w:ind w:left="720"/>
      </w:pPr>
      <w:r w:rsidRPr="00A95A15">
        <w:t xml:space="preserve">Where: </w:t>
      </w:r>
    </w:p>
    <w:p w:rsidR="00876B95" w:rsidRPr="00A95A15" w:rsidRDefault="00876B95" w:rsidP="00876B95">
      <w:pPr>
        <w:ind w:left="720"/>
      </w:pPr>
      <w:r w:rsidRPr="00A95A15">
        <w:t>The FCP super-red unit rate and FCP capacity charges in the equation above are the charges before any adjustments for DSM have been made.</w:t>
      </w:r>
    </w:p>
    <w:p w:rsidR="00876B95" w:rsidRPr="00A95A15" w:rsidRDefault="00876B95" w:rsidP="00876B95">
      <w:pPr>
        <w:pStyle w:val="Heading1"/>
      </w:pPr>
      <w:bookmarkStart w:id="195" w:name="_Toc320876045"/>
      <w:bookmarkStart w:id="196" w:name="_Toc320876668"/>
      <w:bookmarkStart w:id="197" w:name="_Toc325449882"/>
      <w:bookmarkStart w:id="198" w:name="_Toc339284526"/>
      <w:bookmarkStart w:id="199" w:name="_Toc360027699"/>
      <w:bookmarkStart w:id="200" w:name="_Toc360028053"/>
      <w:bookmarkStart w:id="201" w:name="_Toc391559912"/>
      <w:bookmarkStart w:id="202" w:name="_Toc510303032"/>
      <w:bookmarkStart w:id="203" w:name="_Toc513018444"/>
      <w:bookmarkStart w:id="204" w:name="_Toc518333629"/>
      <w:r w:rsidRPr="00A95A15">
        <w:t>Application of EDCM import charge components</w:t>
      </w:r>
      <w:bookmarkEnd w:id="195"/>
      <w:bookmarkEnd w:id="196"/>
      <w:bookmarkEnd w:id="197"/>
      <w:bookmarkEnd w:id="198"/>
      <w:bookmarkEnd w:id="199"/>
      <w:bookmarkEnd w:id="200"/>
      <w:bookmarkEnd w:id="201"/>
      <w:bookmarkEnd w:id="202"/>
      <w:bookmarkEnd w:id="203"/>
      <w:bookmarkEnd w:id="204"/>
    </w:p>
    <w:p w:rsidR="00876B95" w:rsidRPr="00A95A15" w:rsidRDefault="00876B95" w:rsidP="00876B95">
      <w:pPr>
        <w:pStyle w:val="Heading2"/>
      </w:pPr>
      <w:r w:rsidRPr="00A95A15">
        <w:t xml:space="preserve">Table </w:t>
      </w:r>
      <w:r>
        <w:t>6</w:t>
      </w:r>
      <w:r w:rsidRPr="00A95A15">
        <w:t xml:space="preserve"> summarises the method of application of import charge components.</w:t>
      </w:r>
    </w:p>
    <w:p w:rsidR="00876B95" w:rsidRPr="00FF080A" w:rsidRDefault="00876B95" w:rsidP="00876B95">
      <w:pPr>
        <w:spacing w:after="0"/>
        <w:rPr>
          <w:b/>
        </w:rPr>
      </w:pPr>
      <w:r w:rsidRPr="00FF080A">
        <w:rPr>
          <w:b/>
        </w:rPr>
        <w:lastRenderedPageBreak/>
        <w:t xml:space="preserve">Table </w:t>
      </w:r>
      <w:r>
        <w:rPr>
          <w:b/>
        </w:rPr>
        <w:t>6</w:t>
      </w:r>
      <w:r w:rsidRPr="00FF080A">
        <w:rPr>
          <w:b/>
        </w:rPr>
        <w:t xml:space="preserve"> Application of EDCM import charge components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gridCol w:w="4320"/>
      </w:tblGrid>
      <w:tr w:rsidR="00876B95" w:rsidRPr="00A95A15" w:rsidTr="00824111">
        <w:trPr>
          <w:tblHeader/>
        </w:trPr>
        <w:tc>
          <w:tcPr>
            <w:tcW w:w="3528"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Tariff component</w:t>
            </w:r>
          </w:p>
        </w:tc>
        <w:tc>
          <w:tcPr>
            <w:tcW w:w="1260"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Unit</w:t>
            </w:r>
          </w:p>
        </w:tc>
        <w:tc>
          <w:tcPr>
            <w:tcW w:w="4320" w:type="dxa"/>
            <w:tcBorders>
              <w:top w:val="single" w:sz="4" w:space="0" w:color="auto"/>
              <w:left w:val="nil"/>
              <w:bottom w:val="single" w:sz="4" w:space="0" w:color="auto"/>
              <w:right w:val="nil"/>
            </w:tcBorders>
            <w:shd w:val="clear" w:color="auto" w:fill="C0C0C0"/>
          </w:tcPr>
          <w:p w:rsidR="00876B95" w:rsidRPr="00A95A15" w:rsidRDefault="00876B95" w:rsidP="00824111">
            <w:r w:rsidRPr="00A95A15">
              <w:t>Application</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Import fixed charge</w:t>
            </w:r>
          </w:p>
        </w:tc>
        <w:tc>
          <w:tcPr>
            <w:tcW w:w="1260" w:type="dxa"/>
            <w:tcBorders>
              <w:top w:val="nil"/>
              <w:left w:val="nil"/>
              <w:bottom w:val="nil"/>
              <w:right w:val="nil"/>
            </w:tcBorders>
          </w:tcPr>
          <w:p w:rsidR="00876B95" w:rsidRPr="00A95A15" w:rsidRDefault="00876B95" w:rsidP="00824111">
            <w:r w:rsidRPr="00A95A15">
              <w:t>p/day</w:t>
            </w:r>
          </w:p>
        </w:tc>
        <w:tc>
          <w:tcPr>
            <w:tcW w:w="4320" w:type="dxa"/>
            <w:tcBorders>
              <w:top w:val="nil"/>
              <w:left w:val="nil"/>
              <w:bottom w:val="nil"/>
              <w:right w:val="nil"/>
            </w:tcBorders>
          </w:tcPr>
          <w:p w:rsidR="00876B95" w:rsidRPr="00A95A15" w:rsidRDefault="00876B95" w:rsidP="00824111">
            <w:r w:rsidRPr="00A95A15">
              <w:t>Applied as a fixed charge.</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Import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 xml:space="preserve">Applied to the Maximum Import Capacity. </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Exceeded import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Applied to exceeded capacity for the duration of the month in which the breach occurs (except for sites which operates subject to grid code requirements for generation)</w:t>
            </w:r>
          </w:p>
        </w:tc>
      </w:tr>
      <w:tr w:rsidR="00876B95" w:rsidRPr="00A95A15" w:rsidTr="00824111">
        <w:tc>
          <w:tcPr>
            <w:tcW w:w="3528" w:type="dxa"/>
            <w:tcBorders>
              <w:top w:val="nil"/>
              <w:left w:val="nil"/>
              <w:bottom w:val="single" w:sz="4" w:space="0" w:color="auto"/>
              <w:right w:val="nil"/>
            </w:tcBorders>
          </w:tcPr>
          <w:p w:rsidR="00876B95" w:rsidRPr="00A95A15" w:rsidRDefault="00876B95" w:rsidP="00824111">
            <w:r w:rsidRPr="00A95A15">
              <w:t>Import super-red unit rate</w:t>
            </w:r>
          </w:p>
        </w:tc>
        <w:tc>
          <w:tcPr>
            <w:tcW w:w="1260" w:type="dxa"/>
            <w:tcBorders>
              <w:top w:val="nil"/>
              <w:left w:val="nil"/>
              <w:bottom w:val="single" w:sz="4" w:space="0" w:color="auto"/>
              <w:right w:val="nil"/>
            </w:tcBorders>
          </w:tcPr>
          <w:p w:rsidR="00876B95" w:rsidRPr="00A95A15" w:rsidRDefault="00876B95" w:rsidP="00824111">
            <w:r w:rsidRPr="00A95A15">
              <w:t>p/kWh</w:t>
            </w:r>
          </w:p>
        </w:tc>
        <w:tc>
          <w:tcPr>
            <w:tcW w:w="4320" w:type="dxa"/>
            <w:tcBorders>
              <w:top w:val="nil"/>
              <w:left w:val="nil"/>
              <w:bottom w:val="single" w:sz="4" w:space="0" w:color="auto"/>
              <w:right w:val="nil"/>
            </w:tcBorders>
          </w:tcPr>
          <w:p w:rsidR="00876B95" w:rsidRPr="00A95A15" w:rsidRDefault="00876B95" w:rsidP="00824111">
            <w:r w:rsidRPr="00A95A15">
              <w:t>Applied to active power units consumed during the DNO Party’s super-red time band.</w:t>
            </w:r>
          </w:p>
        </w:tc>
      </w:tr>
    </w:tbl>
    <w:p w:rsidR="00876B95" w:rsidRPr="00A95A15" w:rsidRDefault="00876B95" w:rsidP="00876B95"/>
    <w:p w:rsidR="00876B95" w:rsidRPr="00A95A15" w:rsidRDefault="00876B95" w:rsidP="00876B95">
      <w:pPr>
        <w:pStyle w:val="Heading2"/>
      </w:pPr>
      <w:r w:rsidRPr="00A95A15">
        <w:t xml:space="preserve">Table </w:t>
      </w:r>
      <w:r>
        <w:t>7</w:t>
      </w:r>
      <w:r w:rsidRPr="00A95A15">
        <w:t xml:space="preserve"> summarises the method of application of export charge components.</w:t>
      </w:r>
    </w:p>
    <w:p w:rsidR="00876B95" w:rsidRPr="00A95A15" w:rsidRDefault="00876B95" w:rsidP="00876B95">
      <w:pPr>
        <w:pStyle w:val="DCSubHeading1Level2"/>
        <w:spacing w:after="0"/>
      </w:pPr>
      <w:r w:rsidRPr="00A95A15">
        <w:t xml:space="preserve">Table </w:t>
      </w:r>
      <w:r>
        <w:t>7</w:t>
      </w:r>
      <w:r w:rsidRPr="00A95A15">
        <w:t xml:space="preserve"> Application of EDCM export charge </w:t>
      </w:r>
      <w:r>
        <w:t>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gridCol w:w="4320"/>
      </w:tblGrid>
      <w:tr w:rsidR="00876B95" w:rsidRPr="00A95A15" w:rsidTr="00824111">
        <w:trPr>
          <w:tblHeader/>
        </w:trPr>
        <w:tc>
          <w:tcPr>
            <w:tcW w:w="3528" w:type="dxa"/>
            <w:tcBorders>
              <w:left w:val="nil"/>
              <w:right w:val="nil"/>
            </w:tcBorders>
            <w:shd w:val="clear" w:color="auto" w:fill="C0C0C0"/>
          </w:tcPr>
          <w:p w:rsidR="00876B95" w:rsidRPr="00A95A15" w:rsidRDefault="00876B95" w:rsidP="00824111">
            <w:r w:rsidRPr="00A95A15">
              <w:t>Tariff component</w:t>
            </w:r>
          </w:p>
        </w:tc>
        <w:tc>
          <w:tcPr>
            <w:tcW w:w="1260" w:type="dxa"/>
            <w:tcBorders>
              <w:left w:val="nil"/>
              <w:right w:val="nil"/>
            </w:tcBorders>
            <w:shd w:val="clear" w:color="auto" w:fill="C0C0C0"/>
          </w:tcPr>
          <w:p w:rsidR="00876B95" w:rsidRPr="00A95A15" w:rsidRDefault="00876B95" w:rsidP="00824111">
            <w:r w:rsidRPr="00A95A15">
              <w:t>Unit</w:t>
            </w:r>
          </w:p>
        </w:tc>
        <w:tc>
          <w:tcPr>
            <w:tcW w:w="4320" w:type="dxa"/>
            <w:tcBorders>
              <w:left w:val="nil"/>
              <w:right w:val="nil"/>
            </w:tcBorders>
            <w:shd w:val="clear" w:color="auto" w:fill="C0C0C0"/>
          </w:tcPr>
          <w:p w:rsidR="00876B95" w:rsidRPr="00A95A15" w:rsidRDefault="00876B95" w:rsidP="00824111">
            <w:r w:rsidRPr="00A95A15">
              <w:t>Application</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Export fixed charge</w:t>
            </w:r>
          </w:p>
        </w:tc>
        <w:tc>
          <w:tcPr>
            <w:tcW w:w="1260" w:type="dxa"/>
            <w:tcBorders>
              <w:top w:val="nil"/>
              <w:left w:val="nil"/>
              <w:bottom w:val="nil"/>
              <w:right w:val="nil"/>
            </w:tcBorders>
          </w:tcPr>
          <w:p w:rsidR="00876B95" w:rsidRPr="00A95A15" w:rsidRDefault="00876B95" w:rsidP="00824111">
            <w:r w:rsidRPr="00A95A15">
              <w:t>p/day</w:t>
            </w:r>
          </w:p>
        </w:tc>
        <w:tc>
          <w:tcPr>
            <w:tcW w:w="4320" w:type="dxa"/>
            <w:tcBorders>
              <w:top w:val="nil"/>
              <w:left w:val="nil"/>
              <w:bottom w:val="nil"/>
              <w:right w:val="nil"/>
            </w:tcBorders>
          </w:tcPr>
          <w:p w:rsidR="00876B95" w:rsidRPr="00A95A15" w:rsidRDefault="00876B95" w:rsidP="00824111">
            <w:r w:rsidRPr="00A95A15">
              <w:t>Applied as a fixed charge.</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 xml:space="preserve">Applied to the Chargeable Export Capacity.   </w:t>
            </w:r>
          </w:p>
        </w:tc>
      </w:tr>
      <w:tr w:rsidR="00876B95" w:rsidRPr="00A95A15" w:rsidTr="00824111">
        <w:tc>
          <w:tcPr>
            <w:tcW w:w="3528" w:type="dxa"/>
            <w:tcBorders>
              <w:top w:val="nil"/>
              <w:left w:val="nil"/>
              <w:bottom w:val="nil"/>
              <w:right w:val="nil"/>
            </w:tcBorders>
          </w:tcPr>
          <w:p w:rsidR="00876B95" w:rsidRPr="00A95A15" w:rsidRDefault="00876B95" w:rsidP="00824111">
            <w:r w:rsidRPr="00A95A15">
              <w:t>Exceeded export capacity charge</w:t>
            </w:r>
          </w:p>
        </w:tc>
        <w:tc>
          <w:tcPr>
            <w:tcW w:w="1260" w:type="dxa"/>
            <w:tcBorders>
              <w:top w:val="nil"/>
              <w:left w:val="nil"/>
              <w:bottom w:val="nil"/>
              <w:right w:val="nil"/>
            </w:tcBorders>
          </w:tcPr>
          <w:p w:rsidR="00876B95" w:rsidRPr="00A95A15" w:rsidRDefault="00876B95" w:rsidP="00824111">
            <w:r w:rsidRPr="00A95A15">
              <w:t>p/kVA/day</w:t>
            </w:r>
          </w:p>
        </w:tc>
        <w:tc>
          <w:tcPr>
            <w:tcW w:w="4320" w:type="dxa"/>
            <w:tcBorders>
              <w:top w:val="nil"/>
              <w:left w:val="nil"/>
              <w:bottom w:val="nil"/>
              <w:right w:val="nil"/>
            </w:tcBorders>
          </w:tcPr>
          <w:p w:rsidR="00876B95" w:rsidRPr="00A95A15" w:rsidRDefault="00876B95" w:rsidP="00824111">
            <w:r w:rsidRPr="00A95A15">
              <w:t>Applied to exceeded capacity for the duration of the month in which the breach occurs (except for sites which operates subject to grid code requirements for generation)</w:t>
            </w:r>
          </w:p>
        </w:tc>
      </w:tr>
      <w:tr w:rsidR="00876B95" w:rsidRPr="00A95A15" w:rsidTr="00824111">
        <w:tc>
          <w:tcPr>
            <w:tcW w:w="3528" w:type="dxa"/>
            <w:tcBorders>
              <w:top w:val="nil"/>
              <w:left w:val="nil"/>
              <w:right w:val="nil"/>
            </w:tcBorders>
          </w:tcPr>
          <w:p w:rsidR="00876B95" w:rsidRPr="00A95A15" w:rsidRDefault="00876B95" w:rsidP="00824111">
            <w:r w:rsidRPr="00A95A15">
              <w:t>Export super-red unit rate</w:t>
            </w:r>
          </w:p>
        </w:tc>
        <w:tc>
          <w:tcPr>
            <w:tcW w:w="1260" w:type="dxa"/>
            <w:tcBorders>
              <w:top w:val="nil"/>
              <w:left w:val="nil"/>
              <w:right w:val="nil"/>
            </w:tcBorders>
          </w:tcPr>
          <w:p w:rsidR="00876B95" w:rsidRPr="00A95A15" w:rsidRDefault="00876B95" w:rsidP="00824111">
            <w:r w:rsidRPr="00A95A15">
              <w:t>p/kWh</w:t>
            </w:r>
          </w:p>
        </w:tc>
        <w:tc>
          <w:tcPr>
            <w:tcW w:w="4320" w:type="dxa"/>
            <w:tcBorders>
              <w:top w:val="nil"/>
              <w:left w:val="nil"/>
              <w:right w:val="nil"/>
            </w:tcBorders>
          </w:tcPr>
          <w:p w:rsidR="00876B95" w:rsidRPr="00A95A15" w:rsidRDefault="00876B95" w:rsidP="00824111">
            <w:r w:rsidRPr="00A95A15">
              <w:t xml:space="preserve">Applied to active power units exported during the DNO Party’s super-red time </w:t>
            </w:r>
            <w:r w:rsidRPr="00A95A15">
              <w:lastRenderedPageBreak/>
              <w:t>band.</w:t>
            </w:r>
          </w:p>
        </w:tc>
      </w:tr>
    </w:tbl>
    <w:p w:rsidR="00876B95" w:rsidRDefault="00876B95" w:rsidP="00876B95">
      <w:pPr>
        <w:pStyle w:val="DCNormParaL3"/>
        <w:ind w:left="0"/>
      </w:pPr>
    </w:p>
    <w:p w:rsidR="00876B95" w:rsidRPr="00A95A15" w:rsidRDefault="00876B95" w:rsidP="00876B95">
      <w:pPr>
        <w:pStyle w:val="Heading1"/>
      </w:pPr>
      <w:bookmarkStart w:id="205" w:name="_Toc289364363"/>
      <w:bookmarkStart w:id="206" w:name="_Toc320876046"/>
      <w:bookmarkStart w:id="207" w:name="_Toc320876669"/>
      <w:bookmarkStart w:id="208" w:name="_Toc325449883"/>
      <w:bookmarkStart w:id="209" w:name="_Toc339284527"/>
      <w:bookmarkStart w:id="210" w:name="_Toc360027700"/>
      <w:bookmarkStart w:id="211" w:name="_Toc360028054"/>
      <w:bookmarkStart w:id="212" w:name="_Toc391559913"/>
      <w:bookmarkStart w:id="213" w:name="_Toc510303033"/>
      <w:bookmarkStart w:id="214" w:name="_Toc513018445"/>
      <w:bookmarkStart w:id="215" w:name="_Toc518333630"/>
      <w:r w:rsidRPr="00A95A15">
        <w:t>Charges for new Connectees</w:t>
      </w:r>
      <w:bookmarkEnd w:id="205"/>
      <w:bookmarkEnd w:id="206"/>
      <w:bookmarkEnd w:id="207"/>
      <w:bookmarkEnd w:id="208"/>
      <w:bookmarkEnd w:id="209"/>
      <w:bookmarkEnd w:id="210"/>
      <w:bookmarkEnd w:id="211"/>
      <w:bookmarkEnd w:id="212"/>
      <w:bookmarkEnd w:id="213"/>
      <w:bookmarkEnd w:id="214"/>
      <w:bookmarkEnd w:id="215"/>
    </w:p>
    <w:p w:rsidR="00876B95" w:rsidRPr="00A95A15" w:rsidRDefault="00876B95" w:rsidP="00876B95">
      <w:pPr>
        <w:pStyle w:val="Heading2"/>
      </w:pPr>
      <w:r w:rsidRPr="00A95A15">
        <w:t>New Connectees could connect at any time between the publication of EDCM charges for the new Charging Year and the end of that Charging Year.</w:t>
      </w:r>
    </w:p>
    <w:p w:rsidR="00876B95" w:rsidRPr="00A95A15" w:rsidRDefault="00876B95" w:rsidP="00876B95">
      <w:pPr>
        <w:pStyle w:val="Heading2"/>
      </w:pPr>
      <w:r w:rsidRPr="00A95A15">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rsidR="00876B95" w:rsidRPr="00A95A15" w:rsidRDefault="00876B95" w:rsidP="00876B95">
      <w:pPr>
        <w:pStyle w:val="Heading2"/>
      </w:pPr>
      <w:r w:rsidRPr="00A95A15">
        <w:t>If prices need to be produced for new connections that had not been anticipated at the time of calculating EDCM charges for that Charging Year, the DNO Party will:</w:t>
      </w:r>
    </w:p>
    <w:p w:rsidR="00876B95" w:rsidRPr="00A95A15" w:rsidRDefault="00876B95" w:rsidP="00876B95">
      <w:pPr>
        <w:ind w:left="720"/>
      </w:pPr>
      <w:r w:rsidRPr="00A95A15">
        <w:t>Seek indicative load profile information from the new Connectee, failing that, make a reasonable estimate;</w:t>
      </w:r>
    </w:p>
    <w:p w:rsidR="00876B95" w:rsidRPr="00A95A15" w:rsidRDefault="00876B95" w:rsidP="00876B95">
      <w:pPr>
        <w:ind w:left="720"/>
      </w:pPr>
      <w:r w:rsidRPr="00A95A15">
        <w:t>Run the power flow model after including the new Connectee to produce a full set of charges 1 and 2, including for the new Connectee;</w:t>
      </w:r>
    </w:p>
    <w:p w:rsidR="00876B95" w:rsidRPr="00A95A15" w:rsidRDefault="00876B95" w:rsidP="00876B95">
      <w:pPr>
        <w:ind w:left="720"/>
      </w:pPr>
      <w:r w:rsidRPr="00A95A15">
        <w:t xml:space="preserve">Include the new </w:t>
      </w:r>
      <w:proofErr w:type="spellStart"/>
      <w:r w:rsidRPr="00A95A15">
        <w:t>Connectee’s</w:t>
      </w:r>
      <w:proofErr w:type="spellEnd"/>
      <w:r w:rsidRPr="00A95A15">
        <w:t xml:space="preserve"> details, including marginal charges from (a) in the EDCM tariff model, to produce a full set of new charges;</w:t>
      </w:r>
    </w:p>
    <w:p w:rsidR="00876B95" w:rsidRPr="00A95A15" w:rsidRDefault="00876B95" w:rsidP="00876B95">
      <w:pPr>
        <w:ind w:left="720"/>
      </w:pPr>
      <w:r w:rsidRPr="00A95A15">
        <w:t>Use the tariff relating to the new Connectee to calculate charges; and</w:t>
      </w:r>
    </w:p>
    <w:p w:rsidR="00876B95" w:rsidRPr="00A95A15" w:rsidRDefault="00876B95" w:rsidP="00876B95">
      <w:pPr>
        <w:ind w:left="720"/>
      </w:pPr>
      <w:r w:rsidRPr="00A95A15">
        <w:t xml:space="preserve">Charges relating to the current year for existing Connectees would not change as a result. </w:t>
      </w:r>
    </w:p>
    <w:p w:rsidR="00876B95" w:rsidRPr="00A95A15" w:rsidRDefault="00876B95" w:rsidP="00876B95">
      <w:pPr>
        <w:pStyle w:val="Heading2"/>
      </w:pPr>
      <w:r w:rsidRPr="00A95A15">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rsidR="00876B95" w:rsidRPr="00A95A15" w:rsidRDefault="00876B95" w:rsidP="00876B95">
      <w:pPr>
        <w:pStyle w:val="Heading1"/>
      </w:pPr>
      <w:bookmarkStart w:id="216" w:name="_Toc269926834"/>
      <w:bookmarkStart w:id="217" w:name="_Toc289364365"/>
      <w:bookmarkStart w:id="218" w:name="_Toc320876047"/>
      <w:bookmarkStart w:id="219" w:name="_Toc320876670"/>
      <w:bookmarkStart w:id="220" w:name="_Toc325449884"/>
      <w:bookmarkStart w:id="221" w:name="_Toc339284528"/>
      <w:bookmarkStart w:id="222" w:name="_Toc360027701"/>
      <w:bookmarkStart w:id="223" w:name="_Toc360028055"/>
      <w:bookmarkStart w:id="224" w:name="_Toc391559914"/>
      <w:bookmarkStart w:id="225" w:name="_Toc510303034"/>
      <w:bookmarkStart w:id="226" w:name="_Toc513018446"/>
      <w:bookmarkStart w:id="227" w:name="_Toc518333631"/>
      <w:r w:rsidRPr="00A95A15">
        <w:lastRenderedPageBreak/>
        <w:t>DNO to DNO charges</w:t>
      </w:r>
      <w:bookmarkEnd w:id="216"/>
      <w:bookmarkEnd w:id="217"/>
      <w:bookmarkEnd w:id="218"/>
      <w:bookmarkEnd w:id="219"/>
      <w:bookmarkEnd w:id="220"/>
      <w:bookmarkEnd w:id="221"/>
      <w:bookmarkEnd w:id="222"/>
      <w:bookmarkEnd w:id="223"/>
      <w:bookmarkEnd w:id="224"/>
      <w:bookmarkEnd w:id="225"/>
      <w:bookmarkEnd w:id="226"/>
      <w:bookmarkEnd w:id="227"/>
    </w:p>
    <w:p w:rsidR="00876B95" w:rsidRPr="00A95A15" w:rsidRDefault="00876B95" w:rsidP="00876B95">
      <w:pPr>
        <w:pStyle w:val="Heading2"/>
      </w:pPr>
      <w:r w:rsidRPr="009D790E">
        <w:rPr>
          <w:rStyle w:val="Heading2Char"/>
        </w:rPr>
        <w:t>In the case of DNO Party to DNO Party interconnections, the interconnections are</w:t>
      </w:r>
      <w:r w:rsidRPr="00A95A15">
        <w:t xml:space="preserve"> categorised into four types:</w:t>
      </w:r>
    </w:p>
    <w:p w:rsidR="00876B95" w:rsidRPr="00A95A15" w:rsidRDefault="00876B95" w:rsidP="00993801">
      <w:pPr>
        <w:pStyle w:val="DCUSATableTexta"/>
        <w:numPr>
          <w:ilvl w:val="0"/>
          <w:numId w:val="27"/>
        </w:numPr>
        <w:spacing w:line="360" w:lineRule="auto"/>
        <w:ind w:left="1418" w:hanging="567"/>
      </w:pPr>
      <w:r w:rsidRPr="00A95A15">
        <w:t>The interconnector between the DNO Parties is normally closed (active), and there is an identifiable benefit from the existence of the interconnection to one DNO Party only. The other DNO Party does not benefit from the interconnection.</w:t>
      </w:r>
    </w:p>
    <w:p w:rsidR="00876B95" w:rsidRPr="00A95A15" w:rsidRDefault="00876B95" w:rsidP="00993801">
      <w:pPr>
        <w:pStyle w:val="DCUSATableTexta"/>
        <w:numPr>
          <w:ilvl w:val="0"/>
          <w:numId w:val="22"/>
        </w:numPr>
        <w:spacing w:line="360" w:lineRule="auto"/>
        <w:ind w:left="1418" w:hanging="567"/>
      </w:pPr>
      <w:r w:rsidRPr="00A95A15">
        <w:t>The interconnector is normally closed (active), and there is either an identifiable benefit to both DNO Parties, or no clear benefit to either DNO Party.</w:t>
      </w:r>
    </w:p>
    <w:p w:rsidR="00876B95" w:rsidRPr="00A95A15" w:rsidRDefault="00876B95" w:rsidP="00993801">
      <w:pPr>
        <w:pStyle w:val="DCUSATableTexta"/>
        <w:numPr>
          <w:ilvl w:val="0"/>
          <w:numId w:val="22"/>
        </w:numPr>
        <w:spacing w:line="360" w:lineRule="auto"/>
        <w:ind w:left="1418" w:hanging="567"/>
      </w:pPr>
      <w:r w:rsidRPr="00A95A15">
        <w:t>The interconnector is normally open, and the interconnection exists only to provide backup under certain conditions to either DNO Party.</w:t>
      </w:r>
    </w:p>
    <w:p w:rsidR="00876B95" w:rsidRPr="00A95A15" w:rsidRDefault="00876B95" w:rsidP="00993801">
      <w:pPr>
        <w:pStyle w:val="DCUSATableTexta"/>
        <w:numPr>
          <w:ilvl w:val="0"/>
          <w:numId w:val="22"/>
        </w:numPr>
        <w:spacing w:line="360" w:lineRule="auto"/>
        <w:ind w:left="1418" w:hanging="567"/>
      </w:pPr>
      <w:r w:rsidRPr="00A95A15">
        <w:t>All other interconnections between DNO Parties.</w:t>
      </w:r>
    </w:p>
    <w:p w:rsidR="00876B95" w:rsidRPr="00A95A15" w:rsidRDefault="00876B95" w:rsidP="00876B95">
      <w:pPr>
        <w:pStyle w:val="Heading2"/>
      </w:pPr>
      <w:r w:rsidRPr="00A95A15">
        <w:t xml:space="preserve">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 </w:t>
      </w:r>
    </w:p>
    <w:p w:rsidR="00876B95" w:rsidRPr="00A95A15" w:rsidRDefault="00876B95" w:rsidP="00876B95">
      <w:pPr>
        <w:pStyle w:val="Heading2"/>
      </w:pPr>
      <w:r w:rsidRPr="00A95A15">
        <w:t>In the case of type (b) interconnections, each DNO Party will treat the other as an EDCM Connectee. Normal EDCM import charges, except charges for sole use assets, will apply. Export charges or credits will not apply.</w:t>
      </w:r>
    </w:p>
    <w:p w:rsidR="00876B95" w:rsidRPr="00A95A15" w:rsidRDefault="00876B95" w:rsidP="00876B95">
      <w:pPr>
        <w:pStyle w:val="Heading2"/>
      </w:pPr>
      <w:r w:rsidRPr="00A95A15">
        <w:t>Type (c) interconnections are typically covered by special arrangements between DNO Parties. Use of system charges are agreed between DNO Parties and applied outside the EDCM model.</w:t>
      </w:r>
    </w:p>
    <w:p w:rsidR="00876B95" w:rsidRPr="00A95A15" w:rsidRDefault="00876B95" w:rsidP="00876B95">
      <w:pPr>
        <w:pStyle w:val="Heading2"/>
      </w:pPr>
      <w:r w:rsidRPr="00A95A15">
        <w:t>In every other case, each DNO Party applies import charges to the other as a normal EDCM Connectee, as with type (b) interconnections.</w:t>
      </w:r>
    </w:p>
    <w:p w:rsidR="00876B95" w:rsidRPr="004D3969" w:rsidRDefault="00876B95" w:rsidP="00876B95">
      <w:pPr>
        <w:pStyle w:val="Heading1"/>
      </w:pPr>
      <w:bookmarkStart w:id="228" w:name="_Toc269926835"/>
      <w:bookmarkStart w:id="229" w:name="_Toc289364366"/>
      <w:bookmarkStart w:id="230" w:name="_Toc320876048"/>
      <w:bookmarkStart w:id="231" w:name="_Toc320876671"/>
      <w:bookmarkStart w:id="232" w:name="_Toc325449885"/>
      <w:bookmarkStart w:id="233" w:name="_Toc339284529"/>
      <w:bookmarkStart w:id="234" w:name="_Toc360027702"/>
      <w:bookmarkStart w:id="235" w:name="_Toc360028056"/>
      <w:bookmarkStart w:id="236" w:name="_Toc391559915"/>
      <w:bookmarkStart w:id="237" w:name="_Toc510303035"/>
      <w:bookmarkStart w:id="238" w:name="_Toc513018447"/>
      <w:bookmarkStart w:id="239" w:name="_Toc518333632"/>
      <w:r w:rsidRPr="004D3969">
        <w:lastRenderedPageBreak/>
        <w:t>LDNO charg</w:t>
      </w:r>
      <w:bookmarkEnd w:id="228"/>
      <w:r w:rsidRPr="004D3969">
        <w:t>ing</w:t>
      </w:r>
      <w:bookmarkEnd w:id="229"/>
      <w:bookmarkEnd w:id="230"/>
      <w:bookmarkEnd w:id="231"/>
      <w:bookmarkEnd w:id="232"/>
      <w:bookmarkEnd w:id="233"/>
      <w:bookmarkEnd w:id="234"/>
      <w:bookmarkEnd w:id="235"/>
      <w:bookmarkEnd w:id="236"/>
      <w:bookmarkEnd w:id="237"/>
      <w:bookmarkEnd w:id="238"/>
      <w:bookmarkEnd w:id="239"/>
      <w:r w:rsidRPr="004D3969">
        <w:t xml:space="preserve"> </w:t>
      </w:r>
    </w:p>
    <w:p w:rsidR="00876B95" w:rsidRPr="004D3969" w:rsidRDefault="00876B95" w:rsidP="00876B95">
      <w:pPr>
        <w:pStyle w:val="Heading2"/>
      </w:pPr>
      <w:r>
        <w:t>LDNOs</w:t>
      </w:r>
      <w:r w:rsidRPr="004D3969">
        <w:t xml:space="preserve"> with Distribution Systems that serve Connectees that fall within the scope of the CDCM would have their charges based on standard discount percentages applied to the CDCM all-the-way end user charges.</w:t>
      </w:r>
    </w:p>
    <w:p w:rsidR="00876B95" w:rsidRPr="004D3969" w:rsidRDefault="00876B95" w:rsidP="00876B95">
      <w:pPr>
        <w:ind w:left="720"/>
      </w:pPr>
      <w:r w:rsidRPr="004D3969">
        <w:t xml:space="preserve">A </w:t>
      </w:r>
      <w:r>
        <w:t>LDNO</w:t>
      </w:r>
      <w:r w:rsidRPr="004D3969">
        <w:t xml:space="preserve"> with a Distribution System that qualifies as a CDCM “Designated Property” according to the definition set out in condition </w:t>
      </w:r>
      <w:r>
        <w:t>13A.6</w:t>
      </w:r>
      <w:r w:rsidRPr="004D3969">
        <w:t xml:space="preserve"> of the Distribution </w:t>
      </w:r>
      <w:r w:rsidRPr="00D810E1">
        <w:t>Licence is</w:t>
      </w:r>
      <w:r w:rsidRPr="004D3969">
        <w:t xml:space="preserve"> eligible for portfolio discounts calculated using a price control disaggregation model (method M) consistent with the CDCM</w:t>
      </w:r>
      <w:ins w:id="240" w:author="Enzor, Andrew" w:date="2018-09-27T09:40:00Z">
        <w:r w:rsidR="00993801">
          <w:t xml:space="preserve">, with any subsequent adjustment applied in respect of Eligible Bad Debt </w:t>
        </w:r>
        <w:r w:rsidR="00993801" w:rsidRPr="00344AC0">
          <w:t>pass-through</w:t>
        </w:r>
        <w:r w:rsidR="00993801">
          <w:t xml:space="preserve"> costs as defined in paragraph 101 of </w:t>
        </w:r>
      </w:ins>
      <w:ins w:id="241" w:author="Enzor, Andrew" w:date="2018-09-27T09:44:00Z">
        <w:r w:rsidR="000C44BE">
          <w:t>Schedule 16</w:t>
        </w:r>
      </w:ins>
      <w:r w:rsidRPr="004D3969">
        <w:t>.</w:t>
      </w:r>
    </w:p>
    <w:p w:rsidR="00876B95" w:rsidRPr="004D3969" w:rsidRDefault="00876B95" w:rsidP="00876B95">
      <w:pPr>
        <w:ind w:left="720"/>
      </w:pPr>
      <w:r w:rsidRPr="004D3969">
        <w:t xml:space="preserve">A </w:t>
      </w:r>
      <w:r>
        <w:t>LDNO</w:t>
      </w:r>
      <w:r w:rsidRPr="004D3969">
        <w:t xml:space="preserve"> with a Distribution </w:t>
      </w:r>
      <w:r>
        <w:t>System</w:t>
      </w:r>
      <w:r w:rsidRPr="004D3969">
        <w:t xml:space="preserve"> that qualifies as an EDCM “Designated EHV Property” according to the definition set out in condition </w:t>
      </w:r>
      <w:r>
        <w:t>13B.6</w:t>
      </w:r>
      <w:r w:rsidRPr="004D3969">
        <w:t xml:space="preserve"> of the Distribution </w:t>
      </w:r>
      <w:r w:rsidRPr="00741A19">
        <w:t>Licence is</w:t>
      </w:r>
      <w:r w:rsidRPr="004D3969">
        <w:t xml:space="preserve"> eligible for discounts calculated using an “extended” price control disaggregation model (extended method M)</w:t>
      </w:r>
      <w:ins w:id="242" w:author="Enzor, Andrew" w:date="2018-09-27T09:40:00Z">
        <w:r w:rsidR="00993801">
          <w:t xml:space="preserve">, with any subsequent adjustment applied in respect of </w:t>
        </w:r>
        <w:bookmarkStart w:id="243" w:name="_GoBack"/>
        <w:bookmarkEnd w:id="243"/>
        <w:r w:rsidR="00993801">
          <w:t xml:space="preserve">Eligible Bad Debt </w:t>
        </w:r>
        <w:r w:rsidR="00993801" w:rsidRPr="00344AC0">
          <w:t>pass-through</w:t>
        </w:r>
        <w:r w:rsidR="00993801">
          <w:t xml:space="preserve"> costs as defined in paragraph 101 of</w:t>
        </w:r>
      </w:ins>
      <w:ins w:id="244" w:author="Enzor, Andrew" w:date="2018-09-27T09:43:00Z">
        <w:r w:rsidR="000C44BE">
          <w:t xml:space="preserve"> Schedule 16</w:t>
        </w:r>
      </w:ins>
      <w:r w:rsidRPr="004D3969">
        <w:t>.</w:t>
      </w:r>
    </w:p>
    <w:p w:rsidR="00876B95" w:rsidRPr="004D3969" w:rsidRDefault="00876B95" w:rsidP="00876B95">
      <w:pPr>
        <w:pStyle w:val="Heading2"/>
      </w:pPr>
      <w:r w:rsidRPr="004D3969">
        <w:t xml:space="preserve">A </w:t>
      </w:r>
      <w:r>
        <w:t>LDNO</w:t>
      </w:r>
      <w:r w:rsidRPr="004D3969">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4D3969">
        <w:t>Distribution System.  No discounts are calculated for such EDCM Connectees as the DNO Party’s charges are based only on the specific site’s equivalent use of the DNO Party’s</w:t>
      </w:r>
      <w:r>
        <w:t xml:space="preserve"> </w:t>
      </w:r>
      <w:r w:rsidRPr="004D3969">
        <w:t>Distribution System.</w:t>
      </w:r>
    </w:p>
    <w:p w:rsidR="00876B95" w:rsidRPr="004D3969" w:rsidRDefault="00876B95" w:rsidP="00876B95">
      <w:pPr>
        <w:pStyle w:val="Heading2"/>
        <w:numPr>
          <w:ilvl w:val="0"/>
          <w:numId w:val="0"/>
        </w:numPr>
      </w:pPr>
    </w:p>
    <w:p w:rsidR="00876B95" w:rsidRPr="00E23CCF" w:rsidRDefault="00876B95" w:rsidP="00876B95">
      <w:pPr>
        <w:pStyle w:val="Heading1"/>
      </w:pPr>
      <w:bookmarkStart w:id="245" w:name="_Toc510303036"/>
      <w:bookmarkStart w:id="246" w:name="_Toc513018448"/>
      <w:bookmarkStart w:id="247" w:name="_Toc518333633"/>
      <w:bookmarkStart w:id="248" w:name="_Toc285203691"/>
      <w:bookmarkStart w:id="249" w:name="_Toc289364367"/>
      <w:bookmarkStart w:id="250" w:name="_Toc320876049"/>
      <w:bookmarkStart w:id="251" w:name="_Toc320876672"/>
      <w:bookmarkStart w:id="252" w:name="_Toc325449886"/>
      <w:bookmarkStart w:id="253" w:name="_Toc339284530"/>
      <w:bookmarkStart w:id="254" w:name="_Toc360027703"/>
      <w:bookmarkStart w:id="255" w:name="_Toc360028057"/>
      <w:bookmarkStart w:id="256" w:name="_Toc391559916"/>
      <w:r w:rsidRPr="00E53103">
        <w:t>Calculation of LDNO Discounts</w:t>
      </w:r>
      <w:bookmarkEnd w:id="245"/>
      <w:bookmarkEnd w:id="246"/>
      <w:bookmarkEnd w:id="247"/>
      <w:r w:rsidRPr="00E53103">
        <w:t xml:space="preserve"> </w:t>
      </w:r>
      <w:bookmarkEnd w:id="248"/>
      <w:bookmarkEnd w:id="249"/>
      <w:bookmarkEnd w:id="250"/>
      <w:bookmarkEnd w:id="251"/>
      <w:bookmarkEnd w:id="252"/>
      <w:bookmarkEnd w:id="253"/>
      <w:bookmarkEnd w:id="254"/>
      <w:bookmarkEnd w:id="255"/>
      <w:bookmarkEnd w:id="256"/>
    </w:p>
    <w:p w:rsidR="00876B95" w:rsidRPr="00885D77" w:rsidRDefault="00876B95" w:rsidP="00876B95">
      <w:pPr>
        <w:pStyle w:val="Heading2"/>
      </w:pPr>
      <w:r w:rsidRPr="00885D77">
        <w:t>The discount percentages are determined in accordance with Schedule 29, which is deemed to form part of this EDCM (as if it were set our therein).</w:t>
      </w:r>
    </w:p>
    <w:p w:rsidR="00876B95" w:rsidRDefault="00876B95" w:rsidP="00876B95">
      <w:pPr>
        <w:pStyle w:val="Heading2"/>
      </w:pPr>
      <w:r w:rsidRPr="00885D77">
        <w:lastRenderedPageBreak/>
        <w:t xml:space="preserve">In each case, the discount is applied to all CDCM tariff </w:t>
      </w:r>
      <w:r w:rsidRPr="00157900">
        <w:t>components</w:t>
      </w:r>
      <w:r w:rsidRPr="00885D77">
        <w:t>. Discount percentages are capped to 10</w:t>
      </w:r>
      <w:r>
        <w:t>0</w:t>
      </w:r>
      <w:r w:rsidRPr="00885D77">
        <w:t xml:space="preserve"> per cent.</w:t>
      </w:r>
    </w:p>
    <w:p w:rsidR="00876B95" w:rsidRDefault="00876B95" w:rsidP="00876B95">
      <w:pPr>
        <w:pStyle w:val="Heading2"/>
      </w:pPr>
      <w:del w:id="257" w:author="Enzor, Andrew" w:date="2018-09-27T09:40:00Z">
        <w:r w:rsidDel="00993801">
          <w:delText>Not used</w:delText>
        </w:r>
        <w:r w:rsidRPr="00E23CCF" w:rsidDel="00993801">
          <w:delText xml:space="preserve">. </w:delText>
        </w:r>
      </w:del>
    </w:p>
    <w:p w:rsidR="00993801" w:rsidRDefault="00993801" w:rsidP="00993801">
      <w:pPr>
        <w:pStyle w:val="Heading2"/>
        <w:numPr>
          <w:ilvl w:val="0"/>
          <w:numId w:val="0"/>
        </w:numPr>
        <w:rPr>
          <w:b/>
          <w:i/>
        </w:rPr>
      </w:pPr>
      <w:r>
        <w:rPr>
          <w:b/>
          <w:i/>
        </w:rPr>
        <w:t>Option A</w:t>
      </w:r>
    </w:p>
    <w:p w:rsidR="00993801" w:rsidRDefault="00993801" w:rsidP="00993801">
      <w:pPr>
        <w:pStyle w:val="Heading7"/>
        <w:numPr>
          <w:ilvl w:val="0"/>
          <w:numId w:val="0"/>
        </w:numPr>
        <w:ind w:left="720"/>
        <w:rPr>
          <w:ins w:id="258" w:author="Enzor, Andrew" w:date="2018-09-27T09:40:00Z"/>
        </w:rPr>
      </w:pPr>
      <w:ins w:id="259" w:author="Enzor, Andrew" w:date="2018-09-27T09:40:00Z">
        <w:r>
          <w:t xml:space="preserve">Following the application of discount percentages, Eligible Bad Debt pass-through costs are </w:t>
        </w:r>
        <w:r w:rsidRPr="007A27C3">
          <w:t>allocated by applying a unit charge adder (p/kWh) to all demand tariffs</w:t>
        </w:r>
        <w:r>
          <w:t>, as calculated under paragraph 101 of Schedule 16</w:t>
        </w:r>
        <w:r w:rsidRPr="007A27C3">
          <w:t>.</w:t>
        </w:r>
      </w:ins>
    </w:p>
    <w:p w:rsidR="00993801" w:rsidRPr="006E4E12" w:rsidRDefault="00993801" w:rsidP="00993801">
      <w:pPr>
        <w:rPr>
          <w:b/>
          <w:i/>
        </w:rPr>
      </w:pPr>
      <w:r>
        <w:rPr>
          <w:b/>
          <w:i/>
        </w:rPr>
        <w:t>Option B</w:t>
      </w:r>
    </w:p>
    <w:p w:rsidR="00993801" w:rsidRDefault="00993801" w:rsidP="00993801">
      <w:pPr>
        <w:ind w:left="709"/>
        <w:jc w:val="both"/>
        <w:rPr>
          <w:ins w:id="260" w:author="Enzor, Andrew" w:date="2018-09-27T09:40:00Z"/>
        </w:rPr>
      </w:pPr>
      <w:ins w:id="261" w:author="Enzor, Andrew" w:date="2018-09-27T09:40:00Z">
        <w:r>
          <w:t xml:space="preserve">Following the application of discount percentages, Eligible Bad Debt pass-through costs are </w:t>
        </w:r>
        <w:r w:rsidRPr="00A36D21">
          <w:t>allocated by applying a unit charge adder (p/kWh) to the following customer groups</w:t>
        </w:r>
        <w:r>
          <w:t>, as calculated under paragraph 101 of Schedule 16:</w:t>
        </w:r>
      </w:ins>
    </w:p>
    <w:p w:rsidR="00993801" w:rsidRDefault="00993801" w:rsidP="00993801">
      <w:pPr>
        <w:pStyle w:val="ListParagraph"/>
        <w:numPr>
          <w:ilvl w:val="0"/>
          <w:numId w:val="36"/>
        </w:numPr>
        <w:rPr>
          <w:ins w:id="262" w:author="Enzor, Andrew" w:date="2018-09-27T09:40:00Z"/>
        </w:rPr>
      </w:pPr>
      <w:ins w:id="263" w:author="Enzor, Andrew" w:date="2018-09-27T09:40:00Z">
        <w:r>
          <w:t xml:space="preserve">LDNO </w:t>
        </w:r>
        <w:proofErr w:type="spellStart"/>
        <w:r>
          <w:t>HVplus</w:t>
        </w:r>
        <w:proofErr w:type="spellEnd"/>
        <w:r>
          <w:t>: Domestic Unrestricted;</w:t>
        </w:r>
      </w:ins>
    </w:p>
    <w:p w:rsidR="00993801" w:rsidRDefault="00993801" w:rsidP="00993801">
      <w:pPr>
        <w:pStyle w:val="ListParagraph"/>
        <w:numPr>
          <w:ilvl w:val="0"/>
          <w:numId w:val="36"/>
        </w:numPr>
        <w:rPr>
          <w:ins w:id="264" w:author="Enzor, Andrew" w:date="2018-09-27T09:40:00Z"/>
        </w:rPr>
      </w:pPr>
      <w:ins w:id="265" w:author="Enzor, Andrew" w:date="2018-09-27T09:40:00Z">
        <w:r>
          <w:t>LDNO EHV: Domestic Unrestricted;</w:t>
        </w:r>
      </w:ins>
    </w:p>
    <w:p w:rsidR="00993801" w:rsidRDefault="00993801" w:rsidP="00993801">
      <w:pPr>
        <w:pStyle w:val="ListParagraph"/>
        <w:numPr>
          <w:ilvl w:val="0"/>
          <w:numId w:val="36"/>
        </w:numPr>
        <w:rPr>
          <w:ins w:id="266" w:author="Enzor, Andrew" w:date="2018-09-27T09:40:00Z"/>
        </w:rPr>
      </w:pPr>
      <w:ins w:id="267" w:author="Enzor, Andrew" w:date="2018-09-27T09:40:00Z">
        <w:r>
          <w:t>LDNO 132kV/EHV: Domestic Unrestricted;</w:t>
        </w:r>
      </w:ins>
    </w:p>
    <w:p w:rsidR="00993801" w:rsidRDefault="00993801" w:rsidP="00993801">
      <w:pPr>
        <w:pStyle w:val="ListParagraph"/>
        <w:numPr>
          <w:ilvl w:val="0"/>
          <w:numId w:val="36"/>
        </w:numPr>
        <w:rPr>
          <w:ins w:id="268" w:author="Enzor, Andrew" w:date="2018-09-27T09:40:00Z"/>
        </w:rPr>
      </w:pPr>
      <w:ins w:id="269" w:author="Enzor, Andrew" w:date="2018-09-27T09:40:00Z">
        <w:r>
          <w:t>LDNO 132kV: Domestic Unrestricted;</w:t>
        </w:r>
      </w:ins>
    </w:p>
    <w:p w:rsidR="00993801" w:rsidRDefault="00993801" w:rsidP="00993801">
      <w:pPr>
        <w:pStyle w:val="ListParagraph"/>
        <w:numPr>
          <w:ilvl w:val="0"/>
          <w:numId w:val="36"/>
        </w:numPr>
        <w:rPr>
          <w:ins w:id="270" w:author="Enzor, Andrew" w:date="2018-09-27T09:40:00Z"/>
        </w:rPr>
      </w:pPr>
      <w:ins w:id="271" w:author="Enzor, Andrew" w:date="2018-09-27T09:40:00Z">
        <w:r>
          <w:t>LDNO 0000: Domestic Unrestricted;</w:t>
        </w:r>
      </w:ins>
    </w:p>
    <w:p w:rsidR="00993801" w:rsidRDefault="00993801" w:rsidP="00993801">
      <w:pPr>
        <w:pStyle w:val="ListParagraph"/>
        <w:numPr>
          <w:ilvl w:val="0"/>
          <w:numId w:val="36"/>
        </w:numPr>
        <w:rPr>
          <w:ins w:id="272" w:author="Enzor, Andrew" w:date="2018-09-27T09:40:00Z"/>
        </w:rPr>
      </w:pPr>
      <w:ins w:id="273" w:author="Enzor, Andrew" w:date="2018-09-27T09:40:00Z">
        <w:r>
          <w:t xml:space="preserve">LDNO </w:t>
        </w:r>
        <w:proofErr w:type="spellStart"/>
        <w:r>
          <w:t>HVplus</w:t>
        </w:r>
        <w:proofErr w:type="spellEnd"/>
        <w:r>
          <w:t>: Domestic Two Rate;</w:t>
        </w:r>
      </w:ins>
    </w:p>
    <w:p w:rsidR="00993801" w:rsidRDefault="00993801" w:rsidP="00993801">
      <w:pPr>
        <w:pStyle w:val="ListParagraph"/>
        <w:numPr>
          <w:ilvl w:val="0"/>
          <w:numId w:val="36"/>
        </w:numPr>
        <w:rPr>
          <w:ins w:id="274" w:author="Enzor, Andrew" w:date="2018-09-27T09:40:00Z"/>
        </w:rPr>
      </w:pPr>
      <w:ins w:id="275" w:author="Enzor, Andrew" w:date="2018-09-27T09:40:00Z">
        <w:r>
          <w:t>LDNO EHV: Domestic Two Rate;</w:t>
        </w:r>
      </w:ins>
    </w:p>
    <w:p w:rsidR="00993801" w:rsidRDefault="00993801" w:rsidP="00993801">
      <w:pPr>
        <w:pStyle w:val="ListParagraph"/>
        <w:numPr>
          <w:ilvl w:val="0"/>
          <w:numId w:val="36"/>
        </w:numPr>
        <w:rPr>
          <w:ins w:id="276" w:author="Enzor, Andrew" w:date="2018-09-27T09:40:00Z"/>
        </w:rPr>
      </w:pPr>
      <w:ins w:id="277" w:author="Enzor, Andrew" w:date="2018-09-27T09:40:00Z">
        <w:r>
          <w:t>LDNO 132kV/EHV: Domestic Two Rate;</w:t>
        </w:r>
      </w:ins>
    </w:p>
    <w:p w:rsidR="00993801" w:rsidRDefault="00993801" w:rsidP="00993801">
      <w:pPr>
        <w:pStyle w:val="ListParagraph"/>
        <w:numPr>
          <w:ilvl w:val="0"/>
          <w:numId w:val="36"/>
        </w:numPr>
        <w:rPr>
          <w:ins w:id="278" w:author="Enzor, Andrew" w:date="2018-09-27T09:40:00Z"/>
        </w:rPr>
      </w:pPr>
      <w:ins w:id="279" w:author="Enzor, Andrew" w:date="2018-09-27T09:40:00Z">
        <w:r>
          <w:t>LDNO 132kV: Domestic Two Rate;</w:t>
        </w:r>
      </w:ins>
    </w:p>
    <w:p w:rsidR="00993801" w:rsidRDefault="00993801" w:rsidP="00993801">
      <w:pPr>
        <w:pStyle w:val="ListParagraph"/>
        <w:numPr>
          <w:ilvl w:val="0"/>
          <w:numId w:val="36"/>
        </w:numPr>
        <w:rPr>
          <w:ins w:id="280" w:author="Enzor, Andrew" w:date="2018-09-27T09:40:00Z"/>
        </w:rPr>
      </w:pPr>
      <w:ins w:id="281" w:author="Enzor, Andrew" w:date="2018-09-27T09:40:00Z">
        <w:r>
          <w:t>LDNO 0000: Domestic Two Rate;</w:t>
        </w:r>
      </w:ins>
    </w:p>
    <w:p w:rsidR="00993801" w:rsidRDefault="00993801" w:rsidP="00993801">
      <w:pPr>
        <w:pStyle w:val="ListParagraph"/>
        <w:numPr>
          <w:ilvl w:val="0"/>
          <w:numId w:val="36"/>
        </w:numPr>
        <w:rPr>
          <w:ins w:id="282" w:author="Enzor, Andrew" w:date="2018-09-27T09:40:00Z"/>
        </w:rPr>
      </w:pPr>
      <w:ins w:id="283" w:author="Enzor, Andrew" w:date="2018-09-27T09:40:00Z">
        <w:r>
          <w:t xml:space="preserve">LDNO </w:t>
        </w:r>
        <w:proofErr w:type="spellStart"/>
        <w:r>
          <w:t>HVplus</w:t>
        </w:r>
        <w:proofErr w:type="spellEnd"/>
        <w:r>
          <w:t>: Domestic Off Peak (related MPAN);</w:t>
        </w:r>
      </w:ins>
    </w:p>
    <w:p w:rsidR="00993801" w:rsidRDefault="00993801" w:rsidP="00993801">
      <w:pPr>
        <w:pStyle w:val="ListParagraph"/>
        <w:numPr>
          <w:ilvl w:val="0"/>
          <w:numId w:val="36"/>
        </w:numPr>
        <w:rPr>
          <w:ins w:id="284" w:author="Enzor, Andrew" w:date="2018-09-27T09:40:00Z"/>
        </w:rPr>
      </w:pPr>
      <w:ins w:id="285" w:author="Enzor, Andrew" w:date="2018-09-27T09:40:00Z">
        <w:r>
          <w:t>LDNO EHV: Domestic Off Peak (related MPAN);</w:t>
        </w:r>
      </w:ins>
    </w:p>
    <w:p w:rsidR="00993801" w:rsidRDefault="00993801" w:rsidP="00993801">
      <w:pPr>
        <w:pStyle w:val="ListParagraph"/>
        <w:numPr>
          <w:ilvl w:val="0"/>
          <w:numId w:val="36"/>
        </w:numPr>
        <w:rPr>
          <w:ins w:id="286" w:author="Enzor, Andrew" w:date="2018-09-27T09:40:00Z"/>
        </w:rPr>
      </w:pPr>
      <w:ins w:id="287" w:author="Enzor, Andrew" w:date="2018-09-27T09:40:00Z">
        <w:r>
          <w:t>LDNO 132kV/EHV: Domestic Off Peak (related MPAN);</w:t>
        </w:r>
      </w:ins>
    </w:p>
    <w:p w:rsidR="00993801" w:rsidRDefault="00993801" w:rsidP="00993801">
      <w:pPr>
        <w:pStyle w:val="ListParagraph"/>
        <w:numPr>
          <w:ilvl w:val="0"/>
          <w:numId w:val="36"/>
        </w:numPr>
        <w:rPr>
          <w:ins w:id="288" w:author="Enzor, Andrew" w:date="2018-09-27T09:40:00Z"/>
        </w:rPr>
      </w:pPr>
      <w:ins w:id="289" w:author="Enzor, Andrew" w:date="2018-09-27T09:40:00Z">
        <w:r>
          <w:t>LDNO 132kV: Domestic Off Peak (related MPAN);</w:t>
        </w:r>
      </w:ins>
    </w:p>
    <w:p w:rsidR="00993801" w:rsidRDefault="00993801" w:rsidP="00993801">
      <w:pPr>
        <w:pStyle w:val="ListParagraph"/>
        <w:numPr>
          <w:ilvl w:val="0"/>
          <w:numId w:val="36"/>
        </w:numPr>
        <w:rPr>
          <w:ins w:id="290" w:author="Enzor, Andrew" w:date="2018-09-27T09:40:00Z"/>
        </w:rPr>
      </w:pPr>
      <w:ins w:id="291" w:author="Enzor, Andrew" w:date="2018-09-27T09:40:00Z">
        <w:r>
          <w:t>LDNO 0000: Domestic Off Peak (related MPAN);</w:t>
        </w:r>
      </w:ins>
    </w:p>
    <w:p w:rsidR="00993801" w:rsidRDefault="00993801" w:rsidP="00993801">
      <w:pPr>
        <w:pStyle w:val="ListParagraph"/>
        <w:numPr>
          <w:ilvl w:val="0"/>
          <w:numId w:val="36"/>
        </w:numPr>
        <w:rPr>
          <w:ins w:id="292" w:author="Enzor, Andrew" w:date="2018-09-27T09:40:00Z"/>
        </w:rPr>
      </w:pPr>
      <w:ins w:id="293" w:author="Enzor, Andrew" w:date="2018-09-27T09:40:00Z">
        <w:r>
          <w:t xml:space="preserve">LDNO </w:t>
        </w:r>
        <w:proofErr w:type="spellStart"/>
        <w:r>
          <w:t>HVplus</w:t>
        </w:r>
        <w:proofErr w:type="spellEnd"/>
        <w:r>
          <w:t>: LV Network Domestic;</w:t>
        </w:r>
      </w:ins>
    </w:p>
    <w:p w:rsidR="00993801" w:rsidRDefault="00993801" w:rsidP="00993801">
      <w:pPr>
        <w:pStyle w:val="ListParagraph"/>
        <w:numPr>
          <w:ilvl w:val="0"/>
          <w:numId w:val="36"/>
        </w:numPr>
        <w:rPr>
          <w:ins w:id="294" w:author="Enzor, Andrew" w:date="2018-09-27T09:40:00Z"/>
        </w:rPr>
      </w:pPr>
      <w:ins w:id="295" w:author="Enzor, Andrew" w:date="2018-09-27T09:40:00Z">
        <w:r>
          <w:t>LDNO EHV: LV Network Domestic;</w:t>
        </w:r>
      </w:ins>
    </w:p>
    <w:p w:rsidR="00993801" w:rsidRDefault="00993801" w:rsidP="00993801">
      <w:pPr>
        <w:pStyle w:val="ListParagraph"/>
        <w:numPr>
          <w:ilvl w:val="0"/>
          <w:numId w:val="36"/>
        </w:numPr>
        <w:rPr>
          <w:ins w:id="296" w:author="Enzor, Andrew" w:date="2018-09-27T09:40:00Z"/>
        </w:rPr>
      </w:pPr>
      <w:ins w:id="297" w:author="Enzor, Andrew" w:date="2018-09-27T09:40:00Z">
        <w:r>
          <w:t>LDNO 132kV/EHV: LV Network Domestic;</w:t>
        </w:r>
      </w:ins>
    </w:p>
    <w:p w:rsidR="00993801" w:rsidRDefault="00993801" w:rsidP="00993801">
      <w:pPr>
        <w:pStyle w:val="ListParagraph"/>
        <w:numPr>
          <w:ilvl w:val="0"/>
          <w:numId w:val="36"/>
        </w:numPr>
        <w:rPr>
          <w:ins w:id="298" w:author="Enzor, Andrew" w:date="2018-09-27T09:40:00Z"/>
        </w:rPr>
      </w:pPr>
      <w:ins w:id="299" w:author="Enzor, Andrew" w:date="2018-09-27T09:40:00Z">
        <w:r>
          <w:lastRenderedPageBreak/>
          <w:t>LDNO 132kV: LV Network Domestic;</w:t>
        </w:r>
      </w:ins>
    </w:p>
    <w:p w:rsidR="00993801" w:rsidRDefault="00993801" w:rsidP="00993801">
      <w:pPr>
        <w:pStyle w:val="ListParagraph"/>
        <w:numPr>
          <w:ilvl w:val="0"/>
          <w:numId w:val="36"/>
        </w:numPr>
        <w:rPr>
          <w:ins w:id="300" w:author="Enzor, Andrew" w:date="2018-09-27T09:40:00Z"/>
        </w:rPr>
      </w:pPr>
      <w:ins w:id="301" w:author="Enzor, Andrew" w:date="2018-09-27T09:40:00Z">
        <w:r>
          <w:t>LDNO 0000: LV Network Domestic.</w:t>
        </w:r>
      </w:ins>
    </w:p>
    <w:p w:rsidR="00993801" w:rsidRPr="006E4E12" w:rsidRDefault="00993801" w:rsidP="00993801">
      <w:pPr>
        <w:rPr>
          <w:b/>
          <w:i/>
        </w:rPr>
      </w:pPr>
      <w:r>
        <w:rPr>
          <w:b/>
          <w:i/>
        </w:rPr>
        <w:t>Option C</w:t>
      </w:r>
    </w:p>
    <w:p w:rsidR="00993801" w:rsidRDefault="00993801" w:rsidP="00993801">
      <w:pPr>
        <w:ind w:left="709"/>
        <w:jc w:val="both"/>
        <w:rPr>
          <w:ins w:id="302" w:author="Enzor, Andrew" w:date="2018-09-27T09:40:00Z"/>
        </w:rPr>
      </w:pPr>
      <w:ins w:id="303" w:author="Enzor, Andrew" w:date="2018-09-27T09:40:00Z">
        <w:r>
          <w:t>Eligible Bad Debt pass-through costs are allocated by applying a fixed charge adder (p/day) to all metered demand tariffs, as calculated under paragraph 101 of Schedule 16.</w:t>
        </w:r>
      </w:ins>
    </w:p>
    <w:p w:rsidR="00993801" w:rsidRPr="006E4E12" w:rsidRDefault="00993801" w:rsidP="00993801">
      <w:pPr>
        <w:rPr>
          <w:b/>
          <w:i/>
        </w:rPr>
      </w:pPr>
      <w:r>
        <w:rPr>
          <w:b/>
          <w:i/>
        </w:rPr>
        <w:t>Option D</w:t>
      </w:r>
    </w:p>
    <w:p w:rsidR="00993801" w:rsidRDefault="00993801" w:rsidP="00993801">
      <w:pPr>
        <w:ind w:left="709"/>
        <w:jc w:val="both"/>
        <w:rPr>
          <w:ins w:id="304" w:author="Enzor, Andrew" w:date="2018-09-27T09:40:00Z"/>
        </w:rPr>
      </w:pPr>
      <w:ins w:id="305" w:author="Enzor, Andrew" w:date="2018-09-27T09:40:00Z">
        <w:r>
          <w:t>Eligible Bad Debt pass-through costs are allocated by applying a fixed charge adder (p/day) to the following customer groups, as calculated under paragraph 101 of Schedule 16:</w:t>
        </w:r>
      </w:ins>
    </w:p>
    <w:p w:rsidR="00993801" w:rsidRDefault="00993801" w:rsidP="00993801">
      <w:pPr>
        <w:pStyle w:val="ListParagraph"/>
        <w:numPr>
          <w:ilvl w:val="0"/>
          <w:numId w:val="37"/>
        </w:numPr>
        <w:rPr>
          <w:ins w:id="306" w:author="Enzor, Andrew" w:date="2018-09-27T09:40:00Z"/>
        </w:rPr>
      </w:pPr>
      <w:ins w:id="307" w:author="Enzor, Andrew" w:date="2018-09-27T09:40:00Z">
        <w:r>
          <w:t xml:space="preserve">LDNO </w:t>
        </w:r>
        <w:proofErr w:type="spellStart"/>
        <w:r>
          <w:t>HVplus</w:t>
        </w:r>
        <w:proofErr w:type="spellEnd"/>
        <w:r>
          <w:t>: Domestic Unrestricted;</w:t>
        </w:r>
      </w:ins>
    </w:p>
    <w:p w:rsidR="00993801" w:rsidRDefault="00993801" w:rsidP="00993801">
      <w:pPr>
        <w:pStyle w:val="ListParagraph"/>
        <w:numPr>
          <w:ilvl w:val="0"/>
          <w:numId w:val="37"/>
        </w:numPr>
        <w:rPr>
          <w:ins w:id="308" w:author="Enzor, Andrew" w:date="2018-09-27T09:40:00Z"/>
        </w:rPr>
      </w:pPr>
      <w:ins w:id="309" w:author="Enzor, Andrew" w:date="2018-09-27T09:40:00Z">
        <w:r>
          <w:t>LDNO EHV: Domestic Unrestricted;</w:t>
        </w:r>
      </w:ins>
    </w:p>
    <w:p w:rsidR="00993801" w:rsidRDefault="00993801" w:rsidP="00993801">
      <w:pPr>
        <w:pStyle w:val="ListParagraph"/>
        <w:numPr>
          <w:ilvl w:val="0"/>
          <w:numId w:val="37"/>
        </w:numPr>
        <w:rPr>
          <w:ins w:id="310" w:author="Enzor, Andrew" w:date="2018-09-27T09:40:00Z"/>
        </w:rPr>
      </w:pPr>
      <w:ins w:id="311" w:author="Enzor, Andrew" w:date="2018-09-27T09:40:00Z">
        <w:r>
          <w:t>LDNO 132kV/EHV: Domestic Unrestricted;</w:t>
        </w:r>
      </w:ins>
    </w:p>
    <w:p w:rsidR="00993801" w:rsidRDefault="00993801" w:rsidP="00993801">
      <w:pPr>
        <w:pStyle w:val="ListParagraph"/>
        <w:numPr>
          <w:ilvl w:val="0"/>
          <w:numId w:val="37"/>
        </w:numPr>
        <w:rPr>
          <w:ins w:id="312" w:author="Enzor, Andrew" w:date="2018-09-27T09:40:00Z"/>
        </w:rPr>
      </w:pPr>
      <w:ins w:id="313" w:author="Enzor, Andrew" w:date="2018-09-27T09:40:00Z">
        <w:r>
          <w:t>LDNO 132kV: Domestic Unrestricted;</w:t>
        </w:r>
      </w:ins>
    </w:p>
    <w:p w:rsidR="00993801" w:rsidRDefault="00993801" w:rsidP="00993801">
      <w:pPr>
        <w:pStyle w:val="ListParagraph"/>
        <w:numPr>
          <w:ilvl w:val="0"/>
          <w:numId w:val="37"/>
        </w:numPr>
        <w:rPr>
          <w:ins w:id="314" w:author="Enzor, Andrew" w:date="2018-09-27T09:40:00Z"/>
        </w:rPr>
      </w:pPr>
      <w:ins w:id="315" w:author="Enzor, Andrew" w:date="2018-09-27T09:40:00Z">
        <w:r>
          <w:t>LDNO 0000: Domestic Unrestricted;</w:t>
        </w:r>
      </w:ins>
    </w:p>
    <w:p w:rsidR="00993801" w:rsidRDefault="00993801" w:rsidP="00993801">
      <w:pPr>
        <w:pStyle w:val="ListParagraph"/>
        <w:numPr>
          <w:ilvl w:val="0"/>
          <w:numId w:val="37"/>
        </w:numPr>
        <w:rPr>
          <w:ins w:id="316" w:author="Enzor, Andrew" w:date="2018-09-27T09:40:00Z"/>
        </w:rPr>
      </w:pPr>
      <w:ins w:id="317" w:author="Enzor, Andrew" w:date="2018-09-27T09:40:00Z">
        <w:r>
          <w:t xml:space="preserve">LDNO </w:t>
        </w:r>
        <w:proofErr w:type="spellStart"/>
        <w:r>
          <w:t>HVplus</w:t>
        </w:r>
        <w:proofErr w:type="spellEnd"/>
        <w:r>
          <w:t>: Domestic Two Rate;</w:t>
        </w:r>
      </w:ins>
    </w:p>
    <w:p w:rsidR="00993801" w:rsidRDefault="00993801" w:rsidP="00993801">
      <w:pPr>
        <w:pStyle w:val="ListParagraph"/>
        <w:numPr>
          <w:ilvl w:val="0"/>
          <w:numId w:val="37"/>
        </w:numPr>
        <w:rPr>
          <w:ins w:id="318" w:author="Enzor, Andrew" w:date="2018-09-27T09:40:00Z"/>
        </w:rPr>
      </w:pPr>
      <w:ins w:id="319" w:author="Enzor, Andrew" w:date="2018-09-27T09:40:00Z">
        <w:r>
          <w:t>LDNO EHV: Domestic Two Rate;</w:t>
        </w:r>
      </w:ins>
    </w:p>
    <w:p w:rsidR="00993801" w:rsidRDefault="00993801" w:rsidP="00993801">
      <w:pPr>
        <w:pStyle w:val="ListParagraph"/>
        <w:numPr>
          <w:ilvl w:val="0"/>
          <w:numId w:val="37"/>
        </w:numPr>
        <w:rPr>
          <w:ins w:id="320" w:author="Enzor, Andrew" w:date="2018-09-27T09:40:00Z"/>
        </w:rPr>
      </w:pPr>
      <w:ins w:id="321" w:author="Enzor, Andrew" w:date="2018-09-27T09:40:00Z">
        <w:r>
          <w:t>LDNO 132kV/EHV: Domestic Two Rate;</w:t>
        </w:r>
      </w:ins>
    </w:p>
    <w:p w:rsidR="00993801" w:rsidRDefault="00993801" w:rsidP="00993801">
      <w:pPr>
        <w:pStyle w:val="ListParagraph"/>
        <w:numPr>
          <w:ilvl w:val="0"/>
          <w:numId w:val="37"/>
        </w:numPr>
        <w:rPr>
          <w:ins w:id="322" w:author="Enzor, Andrew" w:date="2018-09-27T09:40:00Z"/>
        </w:rPr>
      </w:pPr>
      <w:ins w:id="323" w:author="Enzor, Andrew" w:date="2018-09-27T09:40:00Z">
        <w:r>
          <w:t>LDNO 132kV: Domestic Two Rate;</w:t>
        </w:r>
      </w:ins>
    </w:p>
    <w:p w:rsidR="00993801" w:rsidRDefault="00993801" w:rsidP="00993801">
      <w:pPr>
        <w:pStyle w:val="ListParagraph"/>
        <w:numPr>
          <w:ilvl w:val="0"/>
          <w:numId w:val="37"/>
        </w:numPr>
        <w:rPr>
          <w:ins w:id="324" w:author="Enzor, Andrew" w:date="2018-09-27T09:40:00Z"/>
        </w:rPr>
      </w:pPr>
      <w:ins w:id="325" w:author="Enzor, Andrew" w:date="2018-09-27T09:40:00Z">
        <w:r>
          <w:t>LDNO 0000: Domestic Two Rate;</w:t>
        </w:r>
      </w:ins>
    </w:p>
    <w:p w:rsidR="00993801" w:rsidRDefault="00993801" w:rsidP="00993801">
      <w:pPr>
        <w:pStyle w:val="ListParagraph"/>
        <w:numPr>
          <w:ilvl w:val="0"/>
          <w:numId w:val="37"/>
        </w:numPr>
        <w:rPr>
          <w:ins w:id="326" w:author="Enzor, Andrew" w:date="2018-09-27T09:40:00Z"/>
        </w:rPr>
      </w:pPr>
      <w:ins w:id="327" w:author="Enzor, Andrew" w:date="2018-09-27T09:40:00Z">
        <w:r>
          <w:t xml:space="preserve">LDNO </w:t>
        </w:r>
        <w:proofErr w:type="spellStart"/>
        <w:r>
          <w:t>HVplus</w:t>
        </w:r>
        <w:proofErr w:type="spellEnd"/>
        <w:r>
          <w:t>: LV Network Domestic;</w:t>
        </w:r>
      </w:ins>
    </w:p>
    <w:p w:rsidR="00993801" w:rsidRDefault="00993801" w:rsidP="00993801">
      <w:pPr>
        <w:pStyle w:val="ListParagraph"/>
        <w:numPr>
          <w:ilvl w:val="0"/>
          <w:numId w:val="37"/>
        </w:numPr>
        <w:rPr>
          <w:ins w:id="328" w:author="Enzor, Andrew" w:date="2018-09-27T09:40:00Z"/>
        </w:rPr>
      </w:pPr>
      <w:ins w:id="329" w:author="Enzor, Andrew" w:date="2018-09-27T09:40:00Z">
        <w:r>
          <w:t>LDNO EHV: LV Network Domestic;</w:t>
        </w:r>
      </w:ins>
    </w:p>
    <w:p w:rsidR="00993801" w:rsidRDefault="00993801" w:rsidP="00993801">
      <w:pPr>
        <w:pStyle w:val="ListParagraph"/>
        <w:numPr>
          <w:ilvl w:val="0"/>
          <w:numId w:val="37"/>
        </w:numPr>
        <w:rPr>
          <w:ins w:id="330" w:author="Enzor, Andrew" w:date="2018-09-27T09:40:00Z"/>
        </w:rPr>
      </w:pPr>
      <w:ins w:id="331" w:author="Enzor, Andrew" w:date="2018-09-27T09:40:00Z">
        <w:r>
          <w:t>LDNO 132kV/EHV: LV Network Domestic;</w:t>
        </w:r>
      </w:ins>
    </w:p>
    <w:p w:rsidR="00993801" w:rsidRDefault="00993801" w:rsidP="00993801">
      <w:pPr>
        <w:pStyle w:val="ListParagraph"/>
        <w:numPr>
          <w:ilvl w:val="0"/>
          <w:numId w:val="37"/>
        </w:numPr>
        <w:rPr>
          <w:ins w:id="332" w:author="Enzor, Andrew" w:date="2018-09-27T09:40:00Z"/>
        </w:rPr>
      </w:pPr>
      <w:ins w:id="333" w:author="Enzor, Andrew" w:date="2018-09-27T09:40:00Z">
        <w:r>
          <w:t>LDNO 132kV: LV Network Domestic;</w:t>
        </w:r>
      </w:ins>
    </w:p>
    <w:p w:rsidR="00993801" w:rsidRDefault="00993801" w:rsidP="00993801">
      <w:pPr>
        <w:pStyle w:val="ListParagraph"/>
        <w:numPr>
          <w:ilvl w:val="0"/>
          <w:numId w:val="37"/>
        </w:numPr>
        <w:rPr>
          <w:ins w:id="334" w:author="Enzor, Andrew" w:date="2018-09-27T09:40:00Z"/>
        </w:rPr>
      </w:pPr>
      <w:ins w:id="335" w:author="Enzor, Andrew" w:date="2018-09-27T09:40:00Z">
        <w:r>
          <w:t>LDNO 0000: LV Network Domestic.</w:t>
        </w:r>
      </w:ins>
    </w:p>
    <w:p w:rsidR="00876B95" w:rsidRPr="00E23CCF" w:rsidRDefault="00876B95" w:rsidP="00876B95">
      <w:pPr>
        <w:pStyle w:val="Heading2"/>
      </w:pPr>
      <w:r w:rsidRPr="00E53103">
        <w:t>Not used</w:t>
      </w:r>
      <w:r>
        <w:t>.</w:t>
      </w:r>
    </w:p>
    <w:p w:rsidR="00876B95" w:rsidRPr="00E53103" w:rsidRDefault="00876B95" w:rsidP="00876B95">
      <w:pPr>
        <w:pStyle w:val="Heading2"/>
        <w:rPr>
          <w:b/>
        </w:rPr>
      </w:pPr>
      <w:r w:rsidRPr="00E53103">
        <w:t>Not used</w:t>
      </w:r>
      <w:r>
        <w:t>.</w:t>
      </w:r>
    </w:p>
    <w:p w:rsidR="00876B95" w:rsidRPr="00F86539" w:rsidRDefault="00876B95" w:rsidP="00876B95">
      <w:pPr>
        <w:pStyle w:val="Heading2"/>
      </w:pPr>
      <w:r w:rsidRPr="006E3B28">
        <w:t>Not used</w:t>
      </w:r>
      <w:r>
        <w:rPr>
          <w:rFonts w:cs="Times New Roman"/>
          <w:szCs w:val="24"/>
        </w:rPr>
        <w:t>.</w:t>
      </w:r>
    </w:p>
    <w:p w:rsidR="00876B95" w:rsidRDefault="00876B95" w:rsidP="00876B95">
      <w:pPr>
        <w:pStyle w:val="Heading2"/>
      </w:pPr>
      <w:r>
        <w:lastRenderedPageBreak/>
        <w:t>Not used</w:t>
      </w:r>
      <w:r w:rsidRPr="00E23CCF">
        <w:t>.</w:t>
      </w:r>
    </w:p>
    <w:p w:rsidR="00876B95" w:rsidRPr="00E23CCF" w:rsidRDefault="00876B95" w:rsidP="00876B95">
      <w:pPr>
        <w:pStyle w:val="Heading2"/>
      </w:pPr>
      <w:r>
        <w:t>Not used</w:t>
      </w:r>
      <w:r w:rsidRPr="00E23CCF">
        <w:t xml:space="preserve">. </w:t>
      </w:r>
    </w:p>
    <w:p w:rsidR="00876B95" w:rsidRPr="00E23CCF" w:rsidRDefault="00876B95" w:rsidP="00876B95">
      <w:pPr>
        <w:pStyle w:val="Heading2"/>
      </w:pPr>
      <w:r>
        <w:t>Not used</w:t>
      </w:r>
      <w:r w:rsidRPr="00E23CCF">
        <w:t>.</w:t>
      </w:r>
    </w:p>
    <w:p w:rsidR="00876B95" w:rsidRPr="00E23CCF" w:rsidRDefault="00876B95" w:rsidP="00876B95">
      <w:pPr>
        <w:pStyle w:val="Heading2"/>
      </w:pPr>
      <w:r>
        <w:t>Not used.</w:t>
      </w:r>
    </w:p>
    <w:p w:rsidR="00876B95" w:rsidRDefault="00876B95" w:rsidP="00876B95">
      <w:pPr>
        <w:pStyle w:val="Heading2"/>
      </w:pPr>
      <w:r>
        <w:t>Not used</w:t>
      </w:r>
      <w:r w:rsidRPr="00E23CCF">
        <w:t>.</w:t>
      </w:r>
    </w:p>
    <w:p w:rsidR="00876B95" w:rsidRPr="00B60CAC" w:rsidRDefault="00876B95" w:rsidP="00876B95">
      <w:pPr>
        <w:pStyle w:val="Heading2"/>
        <w:rPr>
          <w:rFonts w:cs="Times New Roman"/>
          <w:szCs w:val="24"/>
        </w:rPr>
      </w:pPr>
      <w:r>
        <w:t>Not used.</w:t>
      </w:r>
    </w:p>
    <w:p w:rsidR="00876B95" w:rsidRPr="00E23CCF" w:rsidRDefault="00876B95" w:rsidP="00876B95">
      <w:pPr>
        <w:pStyle w:val="Heading2"/>
      </w:pPr>
      <w:r>
        <w:t>Not used</w:t>
      </w:r>
      <w:r w:rsidRPr="005876FC">
        <w:t>.</w:t>
      </w:r>
    </w:p>
    <w:p w:rsidR="00876B95" w:rsidRDefault="00876B95" w:rsidP="00876B95">
      <w:pPr>
        <w:pStyle w:val="Heading2"/>
      </w:pPr>
      <w:r>
        <w:t>Not used</w:t>
      </w:r>
      <w:r w:rsidRPr="00E23CCF">
        <w:t>.</w:t>
      </w:r>
    </w:p>
    <w:p w:rsidR="00876B95" w:rsidRPr="00E23CCF" w:rsidRDefault="00876B95" w:rsidP="00876B95">
      <w:pPr>
        <w:pStyle w:val="Heading2"/>
      </w:pPr>
      <w:r>
        <w:t>Not used.</w:t>
      </w:r>
      <w:r w:rsidRPr="00E23CCF">
        <w:t xml:space="preserve"> </w:t>
      </w:r>
    </w:p>
    <w:p w:rsidR="00876B95" w:rsidRPr="00F61EC2" w:rsidRDefault="00876B95" w:rsidP="00876B95">
      <w:pPr>
        <w:pStyle w:val="Heading2"/>
      </w:pPr>
      <w:r>
        <w:t>Not used.</w:t>
      </w:r>
      <w:r w:rsidRPr="00E23CCF">
        <w:t xml:space="preserve"> </w:t>
      </w:r>
    </w:p>
    <w:p w:rsidR="00876B95" w:rsidRPr="00E23CCF" w:rsidRDefault="00876B95" w:rsidP="00876B95">
      <w:pPr>
        <w:pStyle w:val="Heading2"/>
      </w:pPr>
      <w:r>
        <w:t>Not used.</w:t>
      </w:r>
      <w:r w:rsidRPr="00245A2D">
        <w:t xml:space="preserve"> </w:t>
      </w:r>
    </w:p>
    <w:p w:rsidR="00876B95" w:rsidRPr="00E23CCF" w:rsidRDefault="00876B95" w:rsidP="00876B95">
      <w:pPr>
        <w:pStyle w:val="Heading2"/>
      </w:pPr>
      <w:r>
        <w:t>Not used</w:t>
      </w:r>
      <w:r w:rsidRPr="00E23CCF">
        <w:t>.</w:t>
      </w:r>
    </w:p>
    <w:p w:rsidR="00876B95" w:rsidRPr="00E23CCF" w:rsidRDefault="00876B95" w:rsidP="00876B95">
      <w:pPr>
        <w:pStyle w:val="Heading2"/>
      </w:pPr>
      <w:bookmarkStart w:id="336" w:name="_Hlk504127952"/>
      <w:r>
        <w:t>Not used.</w:t>
      </w:r>
      <w:r w:rsidRPr="00E23CCF">
        <w:t xml:space="preserve"> </w:t>
      </w:r>
    </w:p>
    <w:p w:rsidR="00876B95" w:rsidRPr="00E23CCF" w:rsidRDefault="00876B95" w:rsidP="00876B95">
      <w:pPr>
        <w:pStyle w:val="Heading1"/>
      </w:pPr>
      <w:bookmarkStart w:id="337" w:name="_Toc285203692"/>
      <w:bookmarkStart w:id="338" w:name="_Toc289361826"/>
      <w:bookmarkStart w:id="339" w:name="_Toc289364368"/>
      <w:bookmarkStart w:id="340" w:name="_Toc320876050"/>
      <w:bookmarkStart w:id="341" w:name="_Toc320876673"/>
      <w:bookmarkStart w:id="342" w:name="_Toc325449887"/>
      <w:bookmarkStart w:id="343" w:name="_Toc339284531"/>
      <w:bookmarkStart w:id="344" w:name="_Toc360027704"/>
      <w:bookmarkStart w:id="345" w:name="_Toc360028058"/>
      <w:bookmarkStart w:id="346" w:name="_Toc391559917"/>
      <w:bookmarkStart w:id="347" w:name="_Toc510303037"/>
      <w:bookmarkStart w:id="348" w:name="_Toc513018449"/>
      <w:bookmarkStart w:id="349" w:name="_Toc518333634"/>
      <w:bookmarkEnd w:id="336"/>
      <w:r w:rsidRPr="00E23CCF">
        <w:t>Portfolio EDCM tariffs for Connectees in the EDCM</w:t>
      </w:r>
      <w:bookmarkEnd w:id="337"/>
      <w:bookmarkEnd w:id="338"/>
      <w:bookmarkEnd w:id="339"/>
      <w:bookmarkEnd w:id="340"/>
      <w:bookmarkEnd w:id="341"/>
      <w:bookmarkEnd w:id="342"/>
      <w:bookmarkEnd w:id="343"/>
      <w:bookmarkEnd w:id="344"/>
      <w:bookmarkEnd w:id="345"/>
      <w:bookmarkEnd w:id="346"/>
      <w:bookmarkEnd w:id="347"/>
      <w:bookmarkEnd w:id="348"/>
      <w:bookmarkEnd w:id="349"/>
    </w:p>
    <w:p w:rsidR="00876B95" w:rsidRPr="00E23CCF" w:rsidRDefault="00876B95" w:rsidP="00876B95">
      <w:pPr>
        <w:pStyle w:val="Heading2"/>
      </w:pPr>
      <w:r w:rsidRPr="00E23CCF">
        <w:t xml:space="preserve">For Connectees on a </w:t>
      </w:r>
      <w:r>
        <w:t>LDNO</w:t>
      </w:r>
      <w:r w:rsidRPr="00E23CCF">
        <w:t xml:space="preserve">’s Distribution System that would be covered by the EDCM if they were on the DNO Party’s </w:t>
      </w:r>
      <w:r w:rsidRPr="00E50F58">
        <w:t>Distribution System</w:t>
      </w:r>
      <w:r w:rsidRPr="00E23CCF">
        <w:t xml:space="preserve">, the EDCM is applied to calculate a portfolio EDCM charge/credit for each such Connectee.  </w:t>
      </w:r>
    </w:p>
    <w:p w:rsidR="00876B95" w:rsidRPr="00E23CCF" w:rsidRDefault="00876B95" w:rsidP="00876B95">
      <w:pPr>
        <w:pStyle w:val="Heading2"/>
      </w:pPr>
      <w:r w:rsidRPr="00E23CCF">
        <w:t xml:space="preserve">These EDCM portfolio charges would be calculated as if each EDCM Connectee on the </w:t>
      </w:r>
      <w:r>
        <w:t xml:space="preserve">LDNO’s </w:t>
      </w:r>
      <w:r w:rsidRPr="00E50F58">
        <w:t>Distribution System</w:t>
      </w:r>
      <w:r>
        <w:t xml:space="preserve"> </w:t>
      </w:r>
      <w:r w:rsidRPr="00E23CCF">
        <w:t xml:space="preserve">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E23CCF">
        <w:t>. Both EDCM import and export charges will apply.</w:t>
      </w:r>
    </w:p>
    <w:p w:rsidR="00876B95" w:rsidRPr="00E23CCF" w:rsidRDefault="00876B95" w:rsidP="00876B95">
      <w:pPr>
        <w:pStyle w:val="Heading2"/>
      </w:pPr>
      <w:r w:rsidRPr="00E23CCF">
        <w:lastRenderedPageBreak/>
        <w:t xml:space="preserve">For the purposes of calculating the boundary-equivalent portfolio EDCM tariffs, each EDCM Connectee on the </w:t>
      </w:r>
      <w:r>
        <w:t xml:space="preserve">LDNO’s </w:t>
      </w:r>
      <w:r w:rsidRPr="00E50F58">
        <w:t>Distribution System</w:t>
      </w:r>
      <w:r>
        <w:t xml:space="preserve"> </w:t>
      </w:r>
      <w:r w:rsidRPr="00E23CCF">
        <w:t xml:space="preserve">would be assigned the demand Connectee category </w:t>
      </w:r>
      <w:r>
        <w:t>determined by reference</w:t>
      </w:r>
      <w:r w:rsidRPr="00E23CCF">
        <w:t xml:space="preserve"> to </w:t>
      </w:r>
      <w:r>
        <w:t xml:space="preserve">that LDNO </w:t>
      </w:r>
      <w:r w:rsidRPr="00E50F58">
        <w:t>Distribution System</w:t>
      </w:r>
      <w:r>
        <w:t>’s Point of Common Coupling. The demand Connectee category is assigned as per Table 3 in paragraph 15.6</w:t>
      </w:r>
      <w:r w:rsidRPr="00E23CCF">
        <w:t xml:space="preserve">. </w:t>
      </w:r>
    </w:p>
    <w:p w:rsidR="00876B95" w:rsidRPr="00E23CCF" w:rsidRDefault="00876B95" w:rsidP="00876B95">
      <w:pPr>
        <w:pStyle w:val="Heading2"/>
      </w:pPr>
      <w:r w:rsidRPr="00E23CCF">
        <w:t xml:space="preserve">Such Connectees would attract charges (credits) in respect of any reinforcements caused (avoided) on the DNO Party’s </w:t>
      </w:r>
      <w:r w:rsidRPr="00E50F58">
        <w:t>Distribution System</w:t>
      </w:r>
      <w:r>
        <w:t xml:space="preserve"> </w:t>
      </w:r>
      <w:r w:rsidRPr="00E23CCF">
        <w:t xml:space="preserve">only, i.e. any network Branches that are on the </w:t>
      </w:r>
      <w:r>
        <w:t xml:space="preserve">LDNO’s </w:t>
      </w:r>
      <w:r w:rsidRPr="00E50F58">
        <w:t>Distribution System</w:t>
      </w:r>
      <w:r w:rsidRPr="00E23CCF">
        <w:t xml:space="preserve"> would be attributed a zero FCP charge/credit.  </w:t>
      </w:r>
    </w:p>
    <w:p w:rsidR="00876B95" w:rsidRPr="00E23CCF" w:rsidRDefault="00876B95" w:rsidP="00876B95">
      <w:pPr>
        <w:pStyle w:val="Heading2"/>
      </w:pPr>
      <w:r w:rsidRPr="00E23CCF">
        <w:t xml:space="preserve">The setting of final charges to Embedded Designated EHV Properties including the calculation of charges for assets used on the </w:t>
      </w:r>
      <w:r>
        <w:t xml:space="preserve">LDNO’s </w:t>
      </w:r>
      <w:r w:rsidRPr="00E50F58">
        <w:t>Distribution System</w:t>
      </w:r>
      <w:r w:rsidRPr="00E23CCF">
        <w:t xml:space="preserve"> will be established by the </w:t>
      </w:r>
      <w:r>
        <w:t>LDNO</w:t>
      </w:r>
      <w:r w:rsidRPr="00E23CCF">
        <w:t xml:space="preserve">. </w:t>
      </w:r>
    </w:p>
    <w:p w:rsidR="00876B95" w:rsidRPr="00E23CCF" w:rsidRDefault="00876B95" w:rsidP="00876B95">
      <w:pPr>
        <w:pStyle w:val="Heading2"/>
      </w:pPr>
      <w:r w:rsidRPr="00E23CCF">
        <w:t xml:space="preserve">All EDCM charges would be calculated using “boundary equivalent” data provided by the </w:t>
      </w:r>
      <w:r>
        <w:t>LDNO</w:t>
      </w:r>
      <w:r w:rsidRPr="00E23CCF">
        <w:t xml:space="preserve"> to the host DNO Party for each Embedded Designated EHV Property.  For the purposes of the EDCM, boundary equivalent data should be what the </w:t>
      </w:r>
      <w:r>
        <w:t>LDNO</w:t>
      </w:r>
      <w:r w:rsidRPr="00E23CCF">
        <w:t xml:space="preserve"> has allowed for at the DNO Party - </w:t>
      </w:r>
      <w:r>
        <w:t>LDNO</w:t>
      </w:r>
      <w:r w:rsidRPr="00E23CCF">
        <w:t xml:space="preserve"> boundary, for each EDCM Connectee, after taking into consideration the diversity and losses within the </w:t>
      </w:r>
      <w:r>
        <w:t xml:space="preserve">LDNO’s </w:t>
      </w:r>
      <w:r w:rsidRPr="00E50F58">
        <w:t>Distribution System</w:t>
      </w:r>
      <w:r w:rsidRPr="00E23CCF">
        <w:t>.  Data relating to CDCM end users must be considered for the purposes of calculating boundary equivalent data in order to cater for the effect of diversity and losses.</w:t>
      </w:r>
    </w:p>
    <w:p w:rsidR="00876B95" w:rsidRPr="00E23CCF" w:rsidRDefault="00876B95" w:rsidP="00876B95">
      <w:pPr>
        <w:pStyle w:val="Heading2"/>
      </w:pPr>
      <w:r w:rsidRPr="00E23CCF">
        <w:t>The EDCM will include in the charges for Embedded Designated EHV Properties a fixed charge relating to any assets on the DNO Party’s</w:t>
      </w:r>
      <w:r>
        <w:t xml:space="preserve"> </w:t>
      </w:r>
      <w:r w:rsidRPr="00E50F58">
        <w:t>Distribution System</w:t>
      </w:r>
      <w:r>
        <w:t xml:space="preserve"> </w:t>
      </w:r>
      <w:r w:rsidRPr="00D810E1">
        <w:t>that are for the sole use of a LDNO's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E23CCF">
        <w:t xml:space="preserve">.  These fixed charges would be calculated in the same way as it would be for EDCM Connectees connected directly to the host DNO Party’s </w:t>
      </w:r>
      <w:r w:rsidRPr="00D810E1">
        <w:t>Distribution System</w:t>
      </w:r>
      <w:r w:rsidRPr="00E23CCF">
        <w:t xml:space="preserve">.  </w:t>
      </w:r>
    </w:p>
    <w:p w:rsidR="00876B95" w:rsidRPr="00E23CCF" w:rsidRDefault="00876B95" w:rsidP="00876B95">
      <w:pPr>
        <w:pStyle w:val="Heading2"/>
      </w:pPr>
      <w:r w:rsidRPr="00E23CCF">
        <w:lastRenderedPageBreak/>
        <w:t xml:space="preserve">In calculating charges for assets on the DNO Party’s </w:t>
      </w:r>
      <w:r w:rsidRPr="00D810E1">
        <w:t>Distribution System</w:t>
      </w:r>
      <w:r w:rsidRPr="00E23CCF">
        <w:t xml:space="preserve"> that are for the sole use of a</w:t>
      </w:r>
      <w:r>
        <w:t xml:space="preserve"> LDNO’s </w:t>
      </w:r>
      <w:r w:rsidRPr="00D810E1">
        <w:t>Distribution System</w:t>
      </w:r>
      <w:r w:rsidRPr="00E23CCF">
        <w:t>, DNO Part</w:t>
      </w:r>
      <w:r>
        <w:t>ies</w:t>
      </w:r>
      <w:r w:rsidRPr="00E23CCF">
        <w:t xml:space="preserve">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E23CCF">
        <w:t xml:space="preserve"> - DNO Party boundary.</w:t>
      </w:r>
    </w:p>
    <w:p w:rsidR="00876B95" w:rsidRPr="00E23CCF" w:rsidRDefault="00876B95" w:rsidP="00876B95">
      <w:pPr>
        <w:pStyle w:val="Heading2"/>
      </w:pPr>
      <w:r w:rsidRPr="00E23CCF">
        <w:t xml:space="preserve">If there are no Embedded Designated EHV Properties on the </w:t>
      </w:r>
      <w:r>
        <w:t xml:space="preserve">LDNO’s </w:t>
      </w:r>
      <w:r w:rsidRPr="00D810E1">
        <w:t>Distribution System</w:t>
      </w:r>
      <w:r w:rsidRPr="00E23CCF">
        <w:t>, no sole use asset charges would apply.</w:t>
      </w:r>
    </w:p>
    <w:p w:rsidR="00876B95" w:rsidRPr="00E23CCF" w:rsidRDefault="00876B95" w:rsidP="00876B95">
      <w:pPr>
        <w:pStyle w:val="Heading2"/>
      </w:pPr>
      <w:r w:rsidRPr="00E23CCF">
        <w:t xml:space="preserve">Demand scaling would be applied as normal to any EDCM portfolio tariff in respect of an EDCM Connectee.  For the purposes of scaling, all EDCM Connectees connected to the </w:t>
      </w:r>
      <w:r>
        <w:t xml:space="preserve">LDNO’s </w:t>
      </w:r>
      <w:r w:rsidRPr="00D810E1">
        <w:t>Distribution System</w:t>
      </w:r>
      <w:r w:rsidRPr="00E23CCF">
        <w:t xml:space="preserve"> will be treated as notional EDCM Connectees connected to the DNO Party’s </w:t>
      </w:r>
      <w:r w:rsidRPr="00D810E1">
        <w:t>Distribution System</w:t>
      </w:r>
      <w:r>
        <w:t xml:space="preserve"> with a Point of Common Coupling</w:t>
      </w:r>
      <w:r w:rsidRPr="00E23CCF">
        <w:t xml:space="preserve"> at the </w:t>
      </w:r>
      <w:r>
        <w:t xml:space="preserve">LDNO </w:t>
      </w:r>
      <w:r w:rsidRPr="00D810E1">
        <w:t>Distribution System</w:t>
      </w:r>
      <w:r>
        <w:t>’s Point of Common Coupling</w:t>
      </w:r>
      <w:r w:rsidRPr="00E23CCF">
        <w:t>.</w:t>
      </w:r>
    </w:p>
    <w:p w:rsidR="00876B95" w:rsidRPr="00E23CCF" w:rsidRDefault="00876B95" w:rsidP="00876B95">
      <w:pPr>
        <w:pStyle w:val="Heading2"/>
      </w:pPr>
      <w:r w:rsidRPr="00E23CCF">
        <w:t xml:space="preserve">For EDCM Connectees connected to the </w:t>
      </w:r>
      <w:r>
        <w:t xml:space="preserve">LDNO’s </w:t>
      </w:r>
      <w:r w:rsidRPr="00D810E1">
        <w:t>Distribution System</w:t>
      </w:r>
      <w:r w:rsidRPr="00E23CCF">
        <w:t xml:space="preserve">, the capacity-based charge for the DNO Party’s indirect costs </w:t>
      </w:r>
      <w:r w:rsidRPr="00092E00">
        <w:t>and the 20% share of residual revenue that is applied as a fixed adder,</w:t>
      </w:r>
      <w:r>
        <w:t xml:space="preserve"> </w:t>
      </w:r>
      <w:r w:rsidRPr="00E23CCF">
        <w:t>would be scaled down by a factor of 50 per cent</w:t>
      </w:r>
      <w:r>
        <w:t>,</w:t>
      </w:r>
      <w:r w:rsidRPr="00092E00">
        <w:t xml:space="preserve"> however, the scaling down will not apply where the residual revenue is negative</w:t>
      </w:r>
      <w:r>
        <w:t>.</w:t>
      </w:r>
    </w:p>
    <w:p w:rsidR="00876B95" w:rsidRPr="00E23CCF" w:rsidRDefault="00876B95" w:rsidP="00876B95">
      <w:pPr>
        <w:pStyle w:val="Heading1"/>
      </w:pPr>
      <w:bookmarkStart w:id="350" w:name="_Toc289364369"/>
      <w:bookmarkStart w:id="351" w:name="_Toc320876051"/>
      <w:bookmarkStart w:id="352" w:name="_Toc320876674"/>
      <w:bookmarkStart w:id="353" w:name="_Toc325449888"/>
      <w:bookmarkStart w:id="354" w:name="_Toc339284532"/>
      <w:bookmarkStart w:id="355" w:name="_Toc360027705"/>
      <w:bookmarkStart w:id="356" w:name="_Toc360028059"/>
      <w:bookmarkStart w:id="357" w:name="_Toc391559918"/>
      <w:bookmarkStart w:id="358" w:name="_Toc510303038"/>
      <w:bookmarkStart w:id="359" w:name="_Toc513018450"/>
      <w:bookmarkStart w:id="360" w:name="_Toc518333635"/>
      <w:r w:rsidRPr="00E23CCF">
        <w:t>Offshore networks charging</w:t>
      </w:r>
      <w:bookmarkEnd w:id="350"/>
      <w:bookmarkEnd w:id="351"/>
      <w:bookmarkEnd w:id="352"/>
      <w:bookmarkEnd w:id="353"/>
      <w:bookmarkEnd w:id="354"/>
      <w:bookmarkEnd w:id="355"/>
      <w:bookmarkEnd w:id="356"/>
      <w:bookmarkEnd w:id="357"/>
      <w:bookmarkEnd w:id="358"/>
      <w:bookmarkEnd w:id="359"/>
      <w:bookmarkEnd w:id="360"/>
    </w:p>
    <w:p w:rsidR="00876B95" w:rsidRPr="00E23CCF" w:rsidRDefault="00876B95" w:rsidP="00876B95">
      <w:pPr>
        <w:pStyle w:val="Heading2"/>
      </w:pPr>
      <w:r w:rsidRPr="00E23CCF">
        <w:t>The DNO Party will treat offshore networks connected to the DNO Party as if they were EDCM Connectees.</w:t>
      </w:r>
    </w:p>
    <w:p w:rsidR="00876B95" w:rsidRPr="00E23CCF" w:rsidRDefault="00876B95" w:rsidP="00876B95">
      <w:pPr>
        <w:pStyle w:val="Heading2"/>
      </w:pPr>
      <w:r w:rsidRPr="00E23CCF">
        <w:t>The DNO Party will apply the EDCM to calculate an import and export charge based on capacity at the boundary and power flow data metered at the boundary.</w:t>
      </w:r>
    </w:p>
    <w:p w:rsidR="00876B95" w:rsidRPr="00E23CCF" w:rsidRDefault="00876B95" w:rsidP="00876B95">
      <w:pPr>
        <w:pStyle w:val="Heading2"/>
      </w:pPr>
      <w:r w:rsidRPr="00E23CCF">
        <w:t>Any sole use assets specific to the offshore network are charged as a p/day sole use asset charge calculated as applicable to a normal EDCM Connectee.</w:t>
      </w:r>
    </w:p>
    <w:p w:rsidR="00876B95" w:rsidRPr="00E23CCF" w:rsidRDefault="00876B95" w:rsidP="00876B95">
      <w:pPr>
        <w:pStyle w:val="Heading2"/>
      </w:pPr>
      <w:r w:rsidRPr="00E23CCF">
        <w:t xml:space="preserve">Demand scaling will also be applied. </w:t>
      </w:r>
    </w:p>
    <w:p w:rsidR="00876B95" w:rsidRPr="00E23CCF" w:rsidRDefault="00876B95" w:rsidP="00876B95">
      <w:pPr>
        <w:pStyle w:val="Heading1"/>
      </w:pPr>
      <w:bookmarkStart w:id="361" w:name="_Toc138509068"/>
      <w:bookmarkStart w:id="362" w:name="_Toc269926837"/>
      <w:bookmarkStart w:id="363" w:name="_Toc289364370"/>
      <w:bookmarkStart w:id="364" w:name="_Toc320876052"/>
      <w:bookmarkStart w:id="365" w:name="_Toc320876675"/>
      <w:bookmarkStart w:id="366" w:name="_Toc325449889"/>
      <w:bookmarkStart w:id="367" w:name="_Toc339284533"/>
      <w:bookmarkStart w:id="368" w:name="_Toc360027706"/>
      <w:bookmarkStart w:id="369" w:name="_Toc360028060"/>
      <w:bookmarkStart w:id="370" w:name="_Toc391559919"/>
      <w:bookmarkStart w:id="371" w:name="_Toc510303039"/>
      <w:bookmarkStart w:id="372" w:name="_Toc513018451"/>
      <w:bookmarkStart w:id="373" w:name="_Toc518333636"/>
      <w:r w:rsidRPr="00E23CCF">
        <w:lastRenderedPageBreak/>
        <w:t>DNO Party to unlicensed networks</w:t>
      </w:r>
      <w:bookmarkEnd w:id="361"/>
      <w:bookmarkEnd w:id="362"/>
      <w:bookmarkEnd w:id="363"/>
      <w:bookmarkEnd w:id="364"/>
      <w:bookmarkEnd w:id="365"/>
      <w:bookmarkEnd w:id="366"/>
      <w:bookmarkEnd w:id="367"/>
      <w:bookmarkEnd w:id="368"/>
      <w:bookmarkEnd w:id="369"/>
      <w:bookmarkEnd w:id="370"/>
      <w:bookmarkEnd w:id="371"/>
      <w:bookmarkEnd w:id="372"/>
      <w:bookmarkEnd w:id="373"/>
    </w:p>
    <w:p w:rsidR="00876B95" w:rsidRPr="00E23CCF" w:rsidRDefault="00876B95" w:rsidP="00876B95">
      <w:pPr>
        <w:pStyle w:val="Heading2"/>
      </w:pPr>
      <w:r w:rsidRPr="00E23CCF">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E23CCF">
        <w:t>.</w:t>
      </w:r>
    </w:p>
    <w:p w:rsidR="00876B95" w:rsidRPr="00E23CCF" w:rsidRDefault="00876B95" w:rsidP="00876B95">
      <w:pPr>
        <w:pStyle w:val="Heading2"/>
      </w:pPr>
      <w:r w:rsidRPr="00E23CCF">
        <w:t xml:space="preserve">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  </w:t>
      </w:r>
    </w:p>
    <w:p w:rsidR="00876B95" w:rsidRPr="00E23CCF" w:rsidRDefault="00876B95" w:rsidP="00876B95">
      <w:pPr>
        <w:pStyle w:val="Heading1"/>
      </w:pPr>
      <w:bookmarkStart w:id="374" w:name="_Toc320876053"/>
      <w:bookmarkStart w:id="375" w:name="_Toc320876676"/>
      <w:bookmarkStart w:id="376" w:name="_Toc325449890"/>
      <w:bookmarkStart w:id="377" w:name="_Toc339284534"/>
      <w:bookmarkStart w:id="378" w:name="_Toc360027707"/>
      <w:bookmarkStart w:id="379" w:name="_Toc360028061"/>
      <w:bookmarkStart w:id="380" w:name="_Toc391559920"/>
      <w:bookmarkStart w:id="381" w:name="_Toc510303040"/>
      <w:bookmarkStart w:id="382" w:name="_Toc513018452"/>
      <w:bookmarkStart w:id="383" w:name="_Toc518333637"/>
      <w:r w:rsidRPr="00E23CCF">
        <w:t>Derivation of ‘Network Use Factors’</w:t>
      </w:r>
      <w:bookmarkEnd w:id="374"/>
      <w:bookmarkEnd w:id="375"/>
      <w:bookmarkEnd w:id="376"/>
      <w:bookmarkEnd w:id="377"/>
      <w:bookmarkEnd w:id="378"/>
      <w:bookmarkEnd w:id="379"/>
      <w:bookmarkEnd w:id="380"/>
      <w:bookmarkEnd w:id="381"/>
      <w:bookmarkEnd w:id="382"/>
      <w:bookmarkEnd w:id="383"/>
    </w:p>
    <w:p w:rsidR="00876B95" w:rsidRPr="00E23CCF" w:rsidRDefault="00876B95" w:rsidP="00876B95">
      <w:pPr>
        <w:pStyle w:val="DCUSATabletextnumbers"/>
      </w:pPr>
      <w:r w:rsidRPr="00E23CCF">
        <w:t>Step 1:</w:t>
      </w:r>
    </w:p>
    <w:p w:rsidR="00876B95" w:rsidRPr="00E23CCF" w:rsidRDefault="00876B95" w:rsidP="00876B95">
      <w:pPr>
        <w:pStyle w:val="Heading2"/>
      </w:pPr>
      <w:proofErr w:type="spellStart"/>
      <w:r w:rsidRPr="00E23CCF">
        <w:t>Powerflow</w:t>
      </w:r>
      <w:proofErr w:type="spellEnd"/>
      <w:r w:rsidRPr="00E23CCF">
        <w:t xml:space="preserve"> analysis is used to determine the change in </w:t>
      </w:r>
      <w:proofErr w:type="spellStart"/>
      <w:r w:rsidRPr="00E23CCF">
        <w:t>powerflow</w:t>
      </w:r>
      <w:proofErr w:type="spellEnd"/>
      <w:r w:rsidRPr="00E23CCF">
        <w:t xml:space="preserve"> in each Branch (in MW) that is caused by a change in load (in MW) at each node in the EHV network </w:t>
      </w:r>
      <w:proofErr w:type="gramStart"/>
      <w:r w:rsidRPr="00E23CCF">
        <w:t>model, that</w:t>
      </w:r>
      <w:proofErr w:type="gramEnd"/>
      <w:r w:rsidRPr="00E23CCF">
        <w:t xml:space="preserve"> represents either EDCM demand or CDCM demand at the EHV/HV boundary. </w:t>
      </w:r>
    </w:p>
    <w:p w:rsidR="00876B95" w:rsidRPr="00E23CCF" w:rsidRDefault="00876B95" w:rsidP="00876B95">
      <w:pPr>
        <w:pStyle w:val="Heading2"/>
      </w:pPr>
      <w:r w:rsidRPr="00E23CCF">
        <w:t xml:space="preserve">In essence, a change in load of X MW is applied at the node under consideration and changes in </w:t>
      </w:r>
      <w:proofErr w:type="spellStart"/>
      <w:r w:rsidRPr="00E23CCF">
        <w:t>powerflow</w:t>
      </w:r>
      <w:proofErr w:type="spellEnd"/>
      <w:r w:rsidRPr="00E23CCF">
        <w:t xml:space="preserve"> in each network Branch are identified. If the change in </w:t>
      </w:r>
      <w:proofErr w:type="spellStart"/>
      <w:r w:rsidRPr="00E23CCF">
        <w:t>powerflow</w:t>
      </w:r>
      <w:proofErr w:type="spellEnd"/>
      <w:r w:rsidRPr="00E23CCF">
        <w:t xml:space="preserve"> in a particular Branch is Y MW, as a result in the change in load at the node under consideration, then the ‘Change In Branch Flow per Change In Demand’ is given by:-</w:t>
      </w:r>
    </w:p>
    <w:p w:rsidR="00876B95" w:rsidRPr="00E23CCF" w:rsidRDefault="00876B95" w:rsidP="00876B95">
      <w:pPr>
        <w:pStyle w:val="DCNormParaL3"/>
      </w:pPr>
      <w:r w:rsidRPr="00E23CCF">
        <w:t xml:space="preserve">Abs (Y/X) </w:t>
      </w:r>
      <w:r w:rsidRPr="00E23CCF">
        <w:tab/>
        <w:t xml:space="preserve"> (MW Branch flow per MW of demand at node)</w:t>
      </w:r>
    </w:p>
    <w:p w:rsidR="00876B95" w:rsidRPr="00E23CCF" w:rsidRDefault="00876B95" w:rsidP="00876B95">
      <w:pPr>
        <w:pStyle w:val="Heading2"/>
      </w:pPr>
      <w:r w:rsidRPr="00E23CCF">
        <w:t xml:space="preserve">The effects of a change in demand at each node, upon the </w:t>
      </w:r>
      <w:proofErr w:type="spellStart"/>
      <w:r w:rsidRPr="00E23CCF">
        <w:t>powerflows</w:t>
      </w:r>
      <w:proofErr w:type="spellEnd"/>
      <w:r w:rsidRPr="00E23CCF">
        <w:t xml:space="preserve"> in Branches, are evaluated for each node in turn. </w:t>
      </w:r>
    </w:p>
    <w:p w:rsidR="00876B95" w:rsidRPr="00E23CCF" w:rsidRDefault="00876B95" w:rsidP="00876B95">
      <w:pPr>
        <w:pStyle w:val="Heading2"/>
      </w:pPr>
      <w:r w:rsidRPr="00E23CCF">
        <w:t xml:space="preserve">The method of evaluating the ‘Change in Branch Flow per Change in Demand’ shall be the Incremental Method, described below: </w:t>
      </w:r>
    </w:p>
    <w:p w:rsidR="00876B95" w:rsidRPr="00E23CCF" w:rsidRDefault="00876B95" w:rsidP="00876B95">
      <w:pPr>
        <w:pStyle w:val="Heading1"/>
      </w:pPr>
      <w:bookmarkStart w:id="384" w:name="_Toc320876054"/>
      <w:bookmarkStart w:id="385" w:name="_Toc320876677"/>
      <w:bookmarkStart w:id="386" w:name="_Toc325449891"/>
      <w:bookmarkStart w:id="387" w:name="_Toc339284535"/>
      <w:bookmarkStart w:id="388" w:name="_Toc360027708"/>
      <w:bookmarkStart w:id="389" w:name="_Toc360028062"/>
      <w:bookmarkStart w:id="390" w:name="_Toc391559921"/>
      <w:bookmarkStart w:id="391" w:name="_Toc510303041"/>
      <w:bookmarkStart w:id="392" w:name="_Toc513018453"/>
      <w:bookmarkStart w:id="393" w:name="_Toc518333638"/>
      <w:r w:rsidRPr="00E23CCF">
        <w:lastRenderedPageBreak/>
        <w:t>Incremental Method:</w:t>
      </w:r>
      <w:bookmarkEnd w:id="384"/>
      <w:bookmarkEnd w:id="385"/>
      <w:bookmarkEnd w:id="386"/>
      <w:bookmarkEnd w:id="387"/>
      <w:bookmarkEnd w:id="388"/>
      <w:bookmarkEnd w:id="389"/>
      <w:bookmarkEnd w:id="390"/>
      <w:bookmarkEnd w:id="391"/>
      <w:bookmarkEnd w:id="392"/>
      <w:bookmarkEnd w:id="393"/>
    </w:p>
    <w:p w:rsidR="00876B95" w:rsidRPr="00E23CCF" w:rsidRDefault="00876B95" w:rsidP="00876B95">
      <w:pPr>
        <w:pStyle w:val="Heading2"/>
      </w:pPr>
      <w:r w:rsidRPr="00E23CCF">
        <w:t xml:space="preserve">Establish the ‘base case’ </w:t>
      </w:r>
      <w:proofErr w:type="spellStart"/>
      <w:r w:rsidRPr="00E23CCF">
        <w:t>powerflow</w:t>
      </w:r>
      <w:proofErr w:type="spellEnd"/>
      <w:r w:rsidRPr="00E23CCF">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876B95" w:rsidRPr="00E23CCF" w:rsidRDefault="00876B95" w:rsidP="00876B95">
      <w:pPr>
        <w:pStyle w:val="Heading2"/>
      </w:pPr>
      <w:r w:rsidRPr="00E23CCF">
        <w:t xml:space="preserve">Apply a 0.1MW (at 0.95 lagging </w:t>
      </w:r>
      <w:proofErr w:type="spellStart"/>
      <w:r w:rsidRPr="00E23CCF">
        <w:t>p.f</w:t>
      </w:r>
      <w:proofErr w:type="spellEnd"/>
      <w:r w:rsidRPr="00E23CCF">
        <w:t xml:space="preserve">.) increment to each node, in turn, in the EHV network model (at nodes that represent either an EDCM Connectee or CDCM demand at the EHV/HV boundary) and identify the change in </w:t>
      </w:r>
      <w:proofErr w:type="spellStart"/>
      <w:r w:rsidRPr="00E23CCF">
        <w:t>powerflow</w:t>
      </w:r>
      <w:proofErr w:type="spellEnd"/>
      <w:r w:rsidRPr="00E23CCF">
        <w:t xml:space="preserve"> (in MW) in all Branches where the change exceeds both 1kVA and 0.01% of the ‘base case’ </w:t>
      </w:r>
      <w:proofErr w:type="spellStart"/>
      <w:r w:rsidRPr="00E23CCF">
        <w:t>powerflow</w:t>
      </w:r>
      <w:proofErr w:type="spellEnd"/>
      <w:r w:rsidRPr="00E23CCF">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tap positions, distributed generation outputs and switched shunt values are fixed to the values determined in the ‘base case’ </w:t>
      </w:r>
      <w:proofErr w:type="spellStart"/>
      <w:r w:rsidRPr="00E23CCF">
        <w:t>powerflow</w:t>
      </w:r>
      <w:proofErr w:type="spellEnd"/>
      <w:r w:rsidRPr="00E23CCF">
        <w:t xml:space="preserve"> to prevent change in their values when analysing the power flows with the increment applied.</w:t>
      </w:r>
    </w:p>
    <w:p w:rsidR="00876B95" w:rsidRPr="00E23CCF" w:rsidRDefault="00876B95" w:rsidP="00876B95">
      <w:pPr>
        <w:pStyle w:val="Heading2"/>
      </w:pPr>
      <w:r w:rsidRPr="00E23CCF">
        <w:t>This calculation is performed upon the Authorised Network Model and only considers normal running arrangements.</w:t>
      </w:r>
    </w:p>
    <w:p w:rsidR="00876B95" w:rsidRPr="00E23CCF" w:rsidRDefault="00876B95" w:rsidP="00876B95">
      <w:pPr>
        <w:pStyle w:val="DCSubHeading1Level2"/>
      </w:pPr>
      <w:r w:rsidRPr="00E23CCF">
        <w:t>Step 2:</w:t>
      </w:r>
    </w:p>
    <w:p w:rsidR="00876B95" w:rsidRPr="00E23CCF" w:rsidRDefault="00876B95" w:rsidP="00876B95">
      <w:pPr>
        <w:pStyle w:val="Heading2"/>
      </w:pPr>
      <w:r w:rsidRPr="00E23CCF">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876B95" w:rsidRPr="00E23CCF" w:rsidRDefault="00876B95" w:rsidP="00876B95">
      <w:pPr>
        <w:pStyle w:val="DCSubHeading1Level2"/>
      </w:pPr>
      <w:r w:rsidRPr="00E23CCF">
        <w:t>Step 3:</w:t>
      </w:r>
    </w:p>
    <w:p w:rsidR="00876B95" w:rsidRPr="00E23CCF" w:rsidRDefault="00876B95" w:rsidP="00876B95">
      <w:pPr>
        <w:pStyle w:val="Heading2"/>
      </w:pPr>
      <w:r w:rsidRPr="00E23CCF">
        <w:t>For each Branch, the ‘total MW usage’ of the Branch by all nodal demands is determined by summating the ‘MW usage of the Branch’ by each node (as determined in step 2).</w:t>
      </w:r>
    </w:p>
    <w:p w:rsidR="00876B95" w:rsidRPr="00E23CCF" w:rsidRDefault="00876B95" w:rsidP="00876B95">
      <w:pPr>
        <w:pStyle w:val="DCSubHeading1Level2"/>
      </w:pPr>
      <w:r w:rsidRPr="00E23CCF">
        <w:lastRenderedPageBreak/>
        <w:t>Step 4:</w:t>
      </w:r>
    </w:p>
    <w:p w:rsidR="00876B95" w:rsidRDefault="00876B95" w:rsidP="00876B95">
      <w:pPr>
        <w:pStyle w:val="Heading2"/>
      </w:pPr>
      <w:r w:rsidRPr="00E23CCF">
        <w:t xml:space="preserve">Each nodal demand’s proportionate usage of a Branch is determined </w:t>
      </w:r>
      <w:r w:rsidRPr="00DD2ECD">
        <w:rPr>
          <w:rFonts w:cs="Times New Roman"/>
          <w:szCs w:val="24"/>
        </w:rPr>
        <w:t xml:space="preserve">using the equation below: </w:t>
      </w:r>
    </w:p>
    <w:p w:rsidR="00876B95" w:rsidRPr="00DD2ECD" w:rsidRDefault="00876B95" w:rsidP="00876B95">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rsidR="00876B95" w:rsidRPr="00DD2ECD" w:rsidRDefault="00876B95" w:rsidP="00876B95">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876B95" w:rsidRPr="00DD2ECD" w:rsidRDefault="00876B95" w:rsidP="00876B95">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rsidR="00876B95" w:rsidRPr="00DD2ECD" w:rsidRDefault="00876B95" w:rsidP="00876B95">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Max contingency flow is the maximum post-contingent flow through the asset in MVA. The maximum post-contingency asset flows may be extracted from the ‘locational’ analyses.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876B95" w:rsidRPr="00DD2ECD" w:rsidRDefault="00876B95" w:rsidP="00993801">
      <w:pPr>
        <w:pStyle w:val="Default"/>
        <w:numPr>
          <w:ilvl w:val="0"/>
          <w:numId w:val="26"/>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rsidR="00876B95" w:rsidRPr="00E23CCF" w:rsidRDefault="00876B95" w:rsidP="00876B95">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p>
    <w:p w:rsidR="00876B95" w:rsidRPr="00E23CCF" w:rsidRDefault="00876B95" w:rsidP="00876B95">
      <w:pPr>
        <w:pStyle w:val="Heading2"/>
      </w:pPr>
      <w:r w:rsidRPr="00E23CCF">
        <w:t>Sole use assets are not to be included in the calculation of the MEAV of the Branches and consequently some Branches may have an MEAV of zero.</w:t>
      </w:r>
    </w:p>
    <w:p w:rsidR="00876B95" w:rsidRPr="00E23CCF" w:rsidRDefault="00876B95" w:rsidP="00876B95">
      <w:pPr>
        <w:pStyle w:val="DCSubHeading1Level2"/>
      </w:pPr>
      <w:r w:rsidRPr="00E23CCF">
        <w:t>Step 5:</w:t>
      </w:r>
    </w:p>
    <w:p w:rsidR="00876B95" w:rsidRPr="00E23CCF" w:rsidRDefault="00876B95" w:rsidP="00876B95">
      <w:pPr>
        <w:pStyle w:val="Heading2"/>
      </w:pPr>
      <w:r w:rsidRPr="00E23CCF">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876B95" w:rsidRPr="00E23CCF" w:rsidRDefault="00876B95" w:rsidP="00876B95">
      <w:pPr>
        <w:pStyle w:val="Heading2"/>
      </w:pPr>
      <w:r w:rsidRPr="00E23CCF">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rsidR="00876B95" w:rsidRPr="00E23CCF" w:rsidRDefault="00876B95" w:rsidP="00876B95">
      <w:pPr>
        <w:pStyle w:val="Heading2"/>
      </w:pPr>
      <w:r w:rsidRPr="00E23CCF">
        <w:t xml:space="preserve">For all nodes where CDCM demand is present, and the CDCM demand is considered to be ‘dominant’ at the node (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non zero £/annum ‘usages’ at the particular voltage level. The average £/kW/annum network usage by CDCM dominated nodes is derived for each voltage level by dividing the total £/annum usage (at the voltage level by CDCM dominated nodes) by the total CDCM </w:t>
      </w:r>
      <w:r w:rsidRPr="00E23CCF">
        <w:lastRenderedPageBreak/>
        <w:t>demand ‘using’ the voltage level. This provides the denominators used for the network use factors.</w:t>
      </w:r>
    </w:p>
    <w:p w:rsidR="00876B95" w:rsidRPr="00E23CCF" w:rsidRDefault="00876B95" w:rsidP="00876B95">
      <w:pPr>
        <w:pStyle w:val="Heading2"/>
      </w:pPr>
      <w:r w:rsidRPr="00E23CCF">
        <w:t>The network use factor, at each voltage level, for each node where EDCM demand is present therefore is the £/kW/annum for the nodal demand at the appropriate voltage level, divided by the corresponding average £/kW/annum for the same voltage level determined for CDCM dominated nodes.</w:t>
      </w:r>
    </w:p>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Enzor, Andrew" w:date="2018-09-27T09:38:00Z" w:initials="EA">
    <w:p w:rsidR="00993801" w:rsidRDefault="00993801">
      <w:pPr>
        <w:pStyle w:val="CommentText"/>
      </w:pPr>
      <w:r>
        <w:rPr>
          <w:rStyle w:val="CommentReference"/>
        </w:rPr>
        <w:annotationRef/>
      </w:r>
      <w:r>
        <w:rPr>
          <w:rStyle w:val="CommentReference"/>
        </w:rPr>
        <w:annotationRef/>
      </w:r>
      <w:r>
        <w:t>Diagram will require amendment to show adder to LDNO tariffs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2">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4">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19">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21">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24">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7">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3">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4"/>
  </w:num>
  <w:num w:numId="2">
    <w:abstractNumId w:val="22"/>
  </w:num>
  <w:num w:numId="3">
    <w:abstractNumId w:val="8"/>
  </w:num>
  <w:num w:numId="4">
    <w:abstractNumId w:val="29"/>
  </w:num>
  <w:num w:numId="5">
    <w:abstractNumId w:val="14"/>
  </w:num>
  <w:num w:numId="6">
    <w:abstractNumId w:val="20"/>
  </w:num>
  <w:num w:numId="7">
    <w:abstractNumId w:val="26"/>
  </w:num>
  <w:num w:numId="8">
    <w:abstractNumId w:val="15"/>
  </w:num>
  <w:num w:numId="9">
    <w:abstractNumId w:val="21"/>
  </w:num>
  <w:num w:numId="10">
    <w:abstractNumId w:val="6"/>
  </w:num>
  <w:num w:numId="11">
    <w:abstractNumId w:val="3"/>
  </w:num>
  <w:num w:numId="12">
    <w:abstractNumId w:val="2"/>
  </w:num>
  <w:num w:numId="13">
    <w:abstractNumId w:val="1"/>
  </w:num>
  <w:num w:numId="14">
    <w:abstractNumId w:val="0"/>
  </w:num>
  <w:num w:numId="15">
    <w:abstractNumId w:val="33"/>
  </w:num>
  <w:num w:numId="16">
    <w:abstractNumId w:val="32"/>
  </w:num>
  <w:num w:numId="17">
    <w:abstractNumId w:val="18"/>
  </w:num>
  <w:num w:numId="18">
    <w:abstractNumId w:val="7"/>
  </w:num>
  <w:num w:numId="19">
    <w:abstractNumId w:val="5"/>
  </w:num>
  <w:num w:numId="20">
    <w:abstractNumId w:val="4"/>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5"/>
  </w:num>
  <w:num w:numId="25">
    <w:abstractNumId w:val="9"/>
  </w:num>
  <w:num w:numId="26">
    <w:abstractNumId w:val="3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9"/>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7"/>
  </w:num>
  <w:num w:numId="33">
    <w:abstractNumId w:val="13"/>
  </w:num>
  <w:num w:numId="34">
    <w:abstractNumId w:val="10"/>
  </w:num>
  <w:num w:numId="35">
    <w:abstractNumId w:val="27"/>
  </w:num>
  <w:num w:numId="36">
    <w:abstractNumId w:val="16"/>
  </w:num>
  <w:num w:numId="37">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95"/>
    <w:rsid w:val="000C44BE"/>
    <w:rsid w:val="00115F73"/>
    <w:rsid w:val="0035145D"/>
    <w:rsid w:val="00502B2C"/>
    <w:rsid w:val="00876B95"/>
    <w:rsid w:val="00993801"/>
    <w:rsid w:val="00A13341"/>
    <w:rsid w:val="00C5556C"/>
    <w:rsid w:val="00D34CDA"/>
    <w:rsid w:val="00DE33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9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76B95"/>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76B95"/>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76B95"/>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76B95"/>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76B95"/>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76B95"/>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76B95"/>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76B95"/>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76B95"/>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76B9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76B9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76B9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76B9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76B9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76B9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76B9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76B9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76B95"/>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76B95"/>
    <w:pPr>
      <w:jc w:val="center"/>
    </w:pPr>
    <w:rPr>
      <w:b/>
      <w:caps/>
      <w:sz w:val="28"/>
    </w:rPr>
  </w:style>
  <w:style w:type="paragraph" w:customStyle="1" w:styleId="DCHeading2">
    <w:name w:val="DC Heading 2"/>
    <w:basedOn w:val="DCHeading1"/>
    <w:link w:val="DCHeading2Char"/>
    <w:qFormat/>
    <w:rsid w:val="00876B95"/>
    <w:pPr>
      <w:jc w:val="left"/>
    </w:pPr>
    <w:rPr>
      <w:b w:val="0"/>
      <w:sz w:val="24"/>
    </w:rPr>
  </w:style>
  <w:style w:type="paragraph" w:customStyle="1" w:styleId="DCTOCHeading1">
    <w:name w:val="DC TOC Heading 1"/>
    <w:basedOn w:val="DCHeading2"/>
    <w:link w:val="DCTOCHeading1Char"/>
    <w:qFormat/>
    <w:rsid w:val="00876B95"/>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76B95"/>
    <w:rPr>
      <w:rFonts w:ascii="Times New Roman" w:hAnsi="Times New Roman"/>
      <w:b/>
      <w:caps/>
      <w:sz w:val="28"/>
    </w:rPr>
  </w:style>
  <w:style w:type="character" w:customStyle="1" w:styleId="DCHeading2Char">
    <w:name w:val="DC Heading 2 Char"/>
    <w:basedOn w:val="DCHeading1Char"/>
    <w:link w:val="DCHeading2"/>
    <w:rsid w:val="00876B95"/>
    <w:rPr>
      <w:rFonts w:ascii="Times New Roman" w:hAnsi="Times New Roman"/>
      <w:b w:val="0"/>
      <w:caps/>
      <w:sz w:val="24"/>
    </w:rPr>
  </w:style>
  <w:style w:type="character" w:customStyle="1" w:styleId="DCTOCHeading1Char">
    <w:name w:val="DC TOC Heading 1 Char"/>
    <w:basedOn w:val="DCHeading2Char"/>
    <w:link w:val="DCTOCHeading1"/>
    <w:rsid w:val="00876B95"/>
    <w:rPr>
      <w:rFonts w:ascii="Times New Roman Bold" w:hAnsi="Times New Roman Bold"/>
      <w:b w:val="0"/>
      <w:caps/>
      <w:sz w:val="24"/>
      <w:u w:val="single"/>
    </w:rPr>
  </w:style>
  <w:style w:type="paragraph" w:customStyle="1" w:styleId="DCTOCHeading4">
    <w:name w:val="DC TOC Heading 4"/>
    <w:basedOn w:val="DCHeading1"/>
    <w:link w:val="DCTOCHeading4Char"/>
    <w:qFormat/>
    <w:rsid w:val="00876B9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76B95"/>
    <w:pPr>
      <w:jc w:val="left"/>
    </w:pPr>
    <w:rPr>
      <w:caps w:val="0"/>
    </w:rPr>
  </w:style>
  <w:style w:type="paragraph" w:customStyle="1" w:styleId="DCSubHeading2Level2">
    <w:name w:val="DC Sub Heading 2 Level 2"/>
    <w:basedOn w:val="DCSubHeading1Level2"/>
    <w:link w:val="DCSubHeading2Level2Char"/>
    <w:qFormat/>
    <w:rsid w:val="00876B95"/>
    <w:pPr>
      <w:ind w:left="720"/>
    </w:pPr>
    <w:rPr>
      <w:b w:val="0"/>
    </w:rPr>
  </w:style>
  <w:style w:type="paragraph" w:customStyle="1" w:styleId="DCUSATableText">
    <w:name w:val="DCUSA Table Text"/>
    <w:basedOn w:val="DCSubHeading1Level2"/>
    <w:link w:val="DCUSATableTextChar"/>
    <w:qFormat/>
    <w:rsid w:val="00876B95"/>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76B9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76B95"/>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76B95"/>
    <w:rPr>
      <w:rFonts w:ascii="Times New Roman Bold" w:hAnsi="Times New Roman Bold"/>
      <w:b w:val="0"/>
      <w:caps w:val="0"/>
      <w:sz w:val="24"/>
      <w:u w:val="single"/>
    </w:rPr>
  </w:style>
  <w:style w:type="numbering" w:customStyle="1" w:styleId="AlphaCaps">
    <w:name w:val="Alpha Caps"/>
    <w:uiPriority w:val="99"/>
    <w:rsid w:val="00876B95"/>
    <w:pPr>
      <w:numPr>
        <w:numId w:val="1"/>
      </w:numPr>
    </w:pPr>
  </w:style>
  <w:style w:type="paragraph" w:styleId="ListParagraph">
    <w:name w:val="List Paragraph"/>
    <w:basedOn w:val="Normal"/>
    <w:uiPriority w:val="34"/>
    <w:qFormat/>
    <w:rsid w:val="00876B95"/>
    <w:pPr>
      <w:ind w:left="720"/>
      <w:contextualSpacing/>
    </w:pPr>
  </w:style>
  <w:style w:type="character" w:customStyle="1" w:styleId="DCUSATableTextChar">
    <w:name w:val="DCUSA Table Text Char"/>
    <w:basedOn w:val="DCSubHeading1Level2Char"/>
    <w:link w:val="DCUSATableText"/>
    <w:rsid w:val="00876B95"/>
    <w:rPr>
      <w:rFonts w:ascii="Times New Roman" w:hAnsi="Times New Roman"/>
      <w:b w:val="0"/>
      <w:caps w:val="0"/>
      <w:sz w:val="24"/>
      <w:u w:val="single"/>
    </w:rPr>
  </w:style>
  <w:style w:type="paragraph" w:customStyle="1" w:styleId="Body1">
    <w:name w:val="Body1"/>
    <w:basedOn w:val="Normal"/>
    <w:link w:val="Body1Char"/>
    <w:autoRedefine/>
    <w:rsid w:val="00876B95"/>
    <w:pPr>
      <w:keepNext/>
      <w:ind w:left="840"/>
      <w:jc w:val="both"/>
    </w:pPr>
    <w:rPr>
      <w:rFonts w:eastAsia="Times New Roman" w:cs="Times New Roman"/>
      <w:b/>
      <w:bCs/>
      <w:lang w:val="en-US"/>
    </w:rPr>
  </w:style>
  <w:style w:type="paragraph" w:styleId="Footer">
    <w:name w:val="footer"/>
    <w:aliases w:val="JPW-footer"/>
    <w:basedOn w:val="Normal"/>
    <w:link w:val="FooterChar"/>
    <w:rsid w:val="00876B95"/>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76B95"/>
    <w:rPr>
      <w:rFonts w:ascii="Times New Roman" w:eastAsia="Times New Roman" w:hAnsi="Times New Roman" w:cs="Times New Roman"/>
      <w:sz w:val="24"/>
      <w:szCs w:val="24"/>
    </w:rPr>
  </w:style>
  <w:style w:type="character" w:customStyle="1" w:styleId="Body1Char">
    <w:name w:val="Body1 Char"/>
    <w:link w:val="Body1"/>
    <w:locked/>
    <w:rsid w:val="00876B95"/>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76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6B95"/>
    <w:rPr>
      <w:rFonts w:ascii="Tahoma" w:hAnsi="Tahoma" w:cs="Tahoma"/>
      <w:sz w:val="16"/>
      <w:szCs w:val="16"/>
    </w:rPr>
  </w:style>
  <w:style w:type="paragraph" w:styleId="EndnoteText">
    <w:name w:val="endnote text"/>
    <w:basedOn w:val="Normal"/>
    <w:link w:val="EndnoteTextChar"/>
    <w:uiPriority w:val="99"/>
    <w:semiHidden/>
    <w:unhideWhenUsed/>
    <w:rsid w:val="00876B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76B95"/>
    <w:rPr>
      <w:rFonts w:ascii="Times New Roman" w:hAnsi="Times New Roman"/>
      <w:sz w:val="20"/>
      <w:szCs w:val="20"/>
    </w:rPr>
  </w:style>
  <w:style w:type="character" w:styleId="EndnoteReference">
    <w:name w:val="endnote reference"/>
    <w:basedOn w:val="DefaultParagraphFont"/>
    <w:uiPriority w:val="99"/>
    <w:semiHidden/>
    <w:unhideWhenUsed/>
    <w:rsid w:val="00876B95"/>
    <w:rPr>
      <w:vertAlign w:val="superscript"/>
    </w:rPr>
  </w:style>
  <w:style w:type="paragraph" w:styleId="Header">
    <w:name w:val="header"/>
    <w:basedOn w:val="Normal"/>
    <w:link w:val="HeaderChar"/>
    <w:unhideWhenUsed/>
    <w:qFormat/>
    <w:rsid w:val="00876B95"/>
    <w:pPr>
      <w:tabs>
        <w:tab w:val="center" w:pos="4513"/>
        <w:tab w:val="right" w:pos="9026"/>
      </w:tabs>
      <w:spacing w:after="0" w:line="240" w:lineRule="auto"/>
    </w:pPr>
  </w:style>
  <w:style w:type="character" w:customStyle="1" w:styleId="HeaderChar">
    <w:name w:val="Header Char"/>
    <w:basedOn w:val="DefaultParagraphFont"/>
    <w:link w:val="Header"/>
    <w:rsid w:val="00876B95"/>
    <w:rPr>
      <w:rFonts w:ascii="Times New Roman" w:hAnsi="Times New Roman"/>
      <w:sz w:val="24"/>
    </w:rPr>
  </w:style>
  <w:style w:type="paragraph" w:customStyle="1" w:styleId="DCTOCHeading2">
    <w:name w:val="DC TOC Heading 2"/>
    <w:basedOn w:val="DCTOCHeading1"/>
    <w:qFormat/>
    <w:rsid w:val="00876B95"/>
    <w:pPr>
      <w:numPr>
        <w:numId w:val="2"/>
      </w:numPr>
    </w:pPr>
    <w:rPr>
      <w:rFonts w:ascii="Times New Roman" w:hAnsi="Times New Roman"/>
    </w:rPr>
  </w:style>
  <w:style w:type="numbering" w:customStyle="1" w:styleId="DCTOCWholeNumbers">
    <w:name w:val="DC TOC Whole Numbers"/>
    <w:uiPriority w:val="99"/>
    <w:rsid w:val="00876B95"/>
    <w:pPr>
      <w:numPr>
        <w:numId w:val="2"/>
      </w:numPr>
    </w:pPr>
  </w:style>
  <w:style w:type="paragraph" w:customStyle="1" w:styleId="DCTOCSchedule">
    <w:name w:val="DC TOC Schedule"/>
    <w:basedOn w:val="Normal"/>
    <w:qFormat/>
    <w:rsid w:val="00876B95"/>
    <w:pPr>
      <w:spacing w:after="0"/>
    </w:pPr>
    <w:rPr>
      <w:caps/>
    </w:rPr>
  </w:style>
  <w:style w:type="paragraph" w:styleId="BodyText">
    <w:name w:val="Body Text"/>
    <w:basedOn w:val="Normal"/>
    <w:link w:val="BodyTextChar"/>
    <w:qFormat/>
    <w:rsid w:val="00876B95"/>
    <w:pPr>
      <w:jc w:val="both"/>
    </w:pPr>
    <w:rPr>
      <w:rFonts w:eastAsia="Times New Roman" w:cs="Times New Roman"/>
      <w:szCs w:val="24"/>
    </w:rPr>
  </w:style>
  <w:style w:type="character" w:customStyle="1" w:styleId="BodyTextChar">
    <w:name w:val="Body Text Char"/>
    <w:basedOn w:val="DefaultParagraphFont"/>
    <w:link w:val="BodyText"/>
    <w:rsid w:val="00876B95"/>
    <w:rPr>
      <w:rFonts w:ascii="Times New Roman" w:eastAsia="Times New Roman" w:hAnsi="Times New Roman" w:cs="Times New Roman"/>
      <w:sz w:val="24"/>
      <w:szCs w:val="24"/>
    </w:rPr>
  </w:style>
  <w:style w:type="paragraph" w:customStyle="1" w:styleId="DCHeading3">
    <w:name w:val="DC Heading 3"/>
    <w:basedOn w:val="DCHeading2"/>
    <w:qFormat/>
    <w:rsid w:val="00876B95"/>
    <w:pPr>
      <w:jc w:val="center"/>
    </w:pPr>
    <w:rPr>
      <w:rFonts w:ascii="Times New Roman Bold" w:hAnsi="Times New Roman Bold"/>
      <w:b/>
    </w:rPr>
  </w:style>
  <w:style w:type="paragraph" w:customStyle="1" w:styleId="DCAlphaCaps">
    <w:name w:val="DC Alpha Caps"/>
    <w:basedOn w:val="Normal"/>
    <w:link w:val="DCAlphaCapsChar"/>
    <w:qFormat/>
    <w:rsid w:val="00876B95"/>
    <w:pPr>
      <w:numPr>
        <w:numId w:val="23"/>
      </w:numPr>
    </w:pPr>
  </w:style>
  <w:style w:type="numbering" w:customStyle="1" w:styleId="DCAphaCaps1">
    <w:name w:val="DC Apha Caps 1"/>
    <w:uiPriority w:val="99"/>
    <w:rsid w:val="00876B95"/>
    <w:pPr>
      <w:numPr>
        <w:numId w:val="3"/>
      </w:numPr>
    </w:pPr>
  </w:style>
  <w:style w:type="paragraph" w:styleId="TOC1">
    <w:name w:val="toc 1"/>
    <w:basedOn w:val="Normal"/>
    <w:next w:val="Normal"/>
    <w:autoRedefine/>
    <w:uiPriority w:val="39"/>
    <w:qFormat/>
    <w:rsid w:val="00876B95"/>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76B95"/>
    <w:pPr>
      <w:numPr>
        <w:numId w:val="8"/>
      </w:numPr>
    </w:pPr>
    <w:rPr>
      <w:b w:val="0"/>
      <w:caps w:val="0"/>
      <w:u w:val="single"/>
    </w:rPr>
  </w:style>
  <w:style w:type="numbering" w:customStyle="1" w:styleId="Style1">
    <w:name w:val="Style1"/>
    <w:uiPriority w:val="99"/>
    <w:rsid w:val="00876B95"/>
    <w:pPr>
      <w:numPr>
        <w:numId w:val="4"/>
      </w:numPr>
    </w:pPr>
  </w:style>
  <w:style w:type="numbering" w:customStyle="1" w:styleId="DCNormparalink2">
    <w:name w:val="DC Norm para link 2"/>
    <w:uiPriority w:val="99"/>
    <w:rsid w:val="00876B95"/>
    <w:pPr>
      <w:numPr>
        <w:numId w:val="5"/>
      </w:numPr>
    </w:pPr>
  </w:style>
  <w:style w:type="character" w:customStyle="1" w:styleId="DCNormParaL2Char">
    <w:name w:val="DC Norm Para L2 Char"/>
    <w:basedOn w:val="DCSubHeading1Level2Char"/>
    <w:uiPriority w:val="99"/>
    <w:rsid w:val="00876B95"/>
    <w:rPr>
      <w:rFonts w:ascii="Times New Roman" w:hAnsi="Times New Roman"/>
      <w:b w:val="0"/>
      <w:caps w:val="0"/>
      <w:color w:val="auto"/>
      <w:sz w:val="24"/>
      <w:u w:val="none"/>
    </w:rPr>
  </w:style>
  <w:style w:type="paragraph" w:customStyle="1" w:styleId="AgtLevel4">
    <w:name w:val="Agt/Level4"/>
    <w:basedOn w:val="Normal"/>
    <w:uiPriority w:val="99"/>
    <w:rsid w:val="00876B95"/>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76B95"/>
    <w:pPr>
      <w:ind w:left="737"/>
    </w:pPr>
  </w:style>
  <w:style w:type="numbering" w:customStyle="1" w:styleId="Style2">
    <w:name w:val="Style2"/>
    <w:uiPriority w:val="99"/>
    <w:rsid w:val="00876B95"/>
    <w:pPr>
      <w:numPr>
        <w:numId w:val="7"/>
      </w:numPr>
    </w:pPr>
  </w:style>
  <w:style w:type="character" w:customStyle="1" w:styleId="DCNormParaL3Char">
    <w:name w:val="DC Norm Para L3 Char"/>
    <w:basedOn w:val="DCNormParaL2Char"/>
    <w:link w:val="DCNormParaL3"/>
    <w:rsid w:val="00876B95"/>
    <w:rPr>
      <w:rFonts w:ascii="Times New Roman" w:hAnsi="Times New Roman"/>
      <w:b w:val="0"/>
      <w:caps w:val="0"/>
      <w:color w:val="auto"/>
      <w:sz w:val="24"/>
      <w:u w:val="none"/>
    </w:rPr>
  </w:style>
  <w:style w:type="numbering" w:customStyle="1" w:styleId="DCParalinknumbers">
    <w:name w:val="DC Para link numbers"/>
    <w:uiPriority w:val="99"/>
    <w:rsid w:val="00876B95"/>
    <w:pPr>
      <w:numPr>
        <w:numId w:val="8"/>
      </w:numPr>
    </w:pPr>
  </w:style>
  <w:style w:type="paragraph" w:customStyle="1" w:styleId="Heading10">
    <w:name w:val="Heading 10"/>
    <w:basedOn w:val="Heading5"/>
    <w:link w:val="Heading10Char"/>
    <w:qFormat/>
    <w:rsid w:val="00876B95"/>
    <w:pPr>
      <w:numPr>
        <w:ilvl w:val="3"/>
        <w:numId w:val="23"/>
      </w:numPr>
      <w:spacing w:before="0"/>
    </w:pPr>
  </w:style>
  <w:style w:type="character" w:customStyle="1" w:styleId="Heading10Char">
    <w:name w:val="Heading 10 Char"/>
    <w:basedOn w:val="Heading5Char"/>
    <w:link w:val="Heading10"/>
    <w:rsid w:val="00876B95"/>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76B95"/>
  </w:style>
  <w:style w:type="paragraph" w:styleId="Subtitle">
    <w:name w:val="Subtitle"/>
    <w:basedOn w:val="Normal"/>
    <w:next w:val="Normal"/>
    <w:link w:val="SubtitleChar"/>
    <w:uiPriority w:val="11"/>
    <w:qFormat/>
    <w:rsid w:val="00876B95"/>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76B95"/>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76B95"/>
    <w:pPr>
      <w:spacing w:after="0" w:line="240" w:lineRule="auto"/>
    </w:pPr>
    <w:rPr>
      <w:rFonts w:ascii="Times New Roman" w:hAnsi="Times New Roman"/>
      <w:sz w:val="24"/>
    </w:rPr>
  </w:style>
  <w:style w:type="paragraph" w:customStyle="1" w:styleId="BodyTextdef">
    <w:name w:val="Body Text def"/>
    <w:basedOn w:val="BodyText"/>
    <w:uiPriority w:val="99"/>
    <w:rsid w:val="00876B95"/>
    <w:pPr>
      <w:tabs>
        <w:tab w:val="left" w:pos="950"/>
      </w:tabs>
      <w:spacing w:before="120" w:after="120"/>
    </w:pPr>
  </w:style>
  <w:style w:type="character" w:styleId="PageNumber">
    <w:name w:val="page number"/>
    <w:basedOn w:val="DefaultParagraphFont"/>
    <w:rsid w:val="00876B95"/>
  </w:style>
  <w:style w:type="character" w:styleId="Hyperlink">
    <w:name w:val="Hyperlink"/>
    <w:basedOn w:val="DefaultParagraphFont"/>
    <w:uiPriority w:val="99"/>
    <w:rsid w:val="00876B95"/>
    <w:rPr>
      <w:color w:val="0000FF"/>
      <w:u w:val="single"/>
    </w:rPr>
  </w:style>
  <w:style w:type="paragraph" w:styleId="Title">
    <w:name w:val="Title"/>
    <w:basedOn w:val="Normal"/>
    <w:next w:val="Normal"/>
    <w:link w:val="TitleChar"/>
    <w:uiPriority w:val="99"/>
    <w:qFormat/>
    <w:rsid w:val="00876B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76B95"/>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76B95"/>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76B95"/>
    <w:pPr>
      <w:numPr>
        <w:ilvl w:val="2"/>
      </w:numPr>
      <w:outlineLvl w:val="2"/>
    </w:pPr>
  </w:style>
  <w:style w:type="paragraph" w:customStyle="1" w:styleId="DCNormaParaL1">
    <w:name w:val="DC Norma Para L1"/>
    <w:basedOn w:val="DCHeading4"/>
    <w:qFormat/>
    <w:rsid w:val="00876B95"/>
    <w:pPr>
      <w:numPr>
        <w:numId w:val="0"/>
      </w:numPr>
      <w:jc w:val="left"/>
    </w:pPr>
    <w:rPr>
      <w:rFonts w:ascii="Times New Roman" w:hAnsi="Times New Roman"/>
      <w:u w:val="none"/>
    </w:rPr>
  </w:style>
  <w:style w:type="paragraph" w:customStyle="1" w:styleId="DCUSATableTexta">
    <w:name w:val="DCUSA Table Text a)"/>
    <w:basedOn w:val="Normal"/>
    <w:qFormat/>
    <w:rsid w:val="00876B95"/>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76B95"/>
    <w:pPr>
      <w:numPr>
        <w:ilvl w:val="1"/>
        <w:numId w:val="17"/>
      </w:numPr>
      <w:spacing w:line="360" w:lineRule="auto"/>
    </w:pPr>
  </w:style>
  <w:style w:type="paragraph" w:customStyle="1" w:styleId="DCUSATabletextnumbers">
    <w:name w:val="DCUSA Table text numbers"/>
    <w:basedOn w:val="DCUSATableText"/>
    <w:link w:val="DCUSATabletextnumbersChar"/>
    <w:qFormat/>
    <w:rsid w:val="00876B95"/>
    <w:pPr>
      <w:spacing w:line="240" w:lineRule="auto"/>
    </w:pPr>
    <w:rPr>
      <w:b/>
    </w:rPr>
  </w:style>
  <w:style w:type="character" w:styleId="Emphasis">
    <w:name w:val="Emphasis"/>
    <w:basedOn w:val="DefaultParagraphFont"/>
    <w:uiPriority w:val="20"/>
    <w:qFormat/>
    <w:rsid w:val="00876B95"/>
    <w:rPr>
      <w:i/>
      <w:iCs/>
    </w:rPr>
  </w:style>
  <w:style w:type="character" w:styleId="IntenseEmphasis">
    <w:name w:val="Intense Emphasis"/>
    <w:basedOn w:val="DefaultParagraphFont"/>
    <w:uiPriority w:val="21"/>
    <w:qFormat/>
    <w:rsid w:val="00876B95"/>
    <w:rPr>
      <w:b/>
      <w:bCs/>
      <w:i/>
      <w:iCs/>
      <w:color w:val="4F81BD" w:themeColor="accent1"/>
    </w:rPr>
  </w:style>
  <w:style w:type="character" w:styleId="Strong">
    <w:name w:val="Strong"/>
    <w:basedOn w:val="DefaultParagraphFont"/>
    <w:uiPriority w:val="22"/>
    <w:qFormat/>
    <w:rsid w:val="00876B95"/>
    <w:rPr>
      <w:b/>
      <w:bCs/>
    </w:rPr>
  </w:style>
  <w:style w:type="paragraph" w:styleId="Quote">
    <w:name w:val="Quote"/>
    <w:basedOn w:val="Normal"/>
    <w:next w:val="Normal"/>
    <w:link w:val="QuoteChar"/>
    <w:uiPriority w:val="29"/>
    <w:qFormat/>
    <w:rsid w:val="00876B95"/>
    <w:rPr>
      <w:i/>
      <w:iCs/>
      <w:color w:val="000000" w:themeColor="text1"/>
    </w:rPr>
  </w:style>
  <w:style w:type="character" w:customStyle="1" w:styleId="QuoteChar">
    <w:name w:val="Quote Char"/>
    <w:basedOn w:val="DefaultParagraphFont"/>
    <w:link w:val="Quote"/>
    <w:uiPriority w:val="29"/>
    <w:rsid w:val="00876B95"/>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76B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6B95"/>
    <w:rPr>
      <w:rFonts w:ascii="Times New Roman" w:hAnsi="Times New Roman"/>
      <w:b/>
      <w:bCs/>
      <w:i/>
      <w:iCs/>
      <w:color w:val="4F81BD" w:themeColor="accent1"/>
      <w:sz w:val="24"/>
    </w:rPr>
  </w:style>
  <w:style w:type="paragraph" w:customStyle="1" w:styleId="Table">
    <w:name w:val="Table"/>
    <w:basedOn w:val="Normal"/>
    <w:rsid w:val="00876B95"/>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76B95"/>
    <w:rPr>
      <w:i/>
      <w:iCs/>
      <w:color w:val="808080" w:themeColor="text1" w:themeTint="7F"/>
    </w:rPr>
  </w:style>
  <w:style w:type="paragraph" w:styleId="Caption">
    <w:name w:val="caption"/>
    <w:basedOn w:val="Normal"/>
    <w:next w:val="Normal"/>
    <w:qFormat/>
    <w:rsid w:val="00876B95"/>
    <w:pPr>
      <w:spacing w:line="240" w:lineRule="auto"/>
      <w:jc w:val="center"/>
    </w:pPr>
    <w:rPr>
      <w:rFonts w:eastAsia="Times New Roman" w:cs="Times New Roman"/>
      <w:b/>
      <w:bCs/>
      <w:szCs w:val="24"/>
    </w:rPr>
  </w:style>
  <w:style w:type="paragraph" w:customStyle="1" w:styleId="NormalTextBold">
    <w:name w:val="Normal Text Bold"/>
    <w:basedOn w:val="Normal"/>
    <w:rsid w:val="00876B95"/>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76B95"/>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76B95"/>
    <w:rPr>
      <w:rFonts w:ascii="Arial" w:eastAsia="Times New Roman" w:hAnsi="Arial" w:cs="Times New Roman"/>
      <w:szCs w:val="20"/>
    </w:rPr>
  </w:style>
  <w:style w:type="paragraph" w:styleId="ListNumber">
    <w:name w:val="List Number"/>
    <w:basedOn w:val="Normal"/>
    <w:uiPriority w:val="99"/>
    <w:unhideWhenUsed/>
    <w:rsid w:val="00876B95"/>
    <w:pPr>
      <w:numPr>
        <w:numId w:val="10"/>
      </w:numPr>
      <w:contextualSpacing/>
    </w:pPr>
  </w:style>
  <w:style w:type="paragraph" w:styleId="ListNumber2">
    <w:name w:val="List Number 2"/>
    <w:basedOn w:val="Normal"/>
    <w:uiPriority w:val="99"/>
    <w:unhideWhenUsed/>
    <w:rsid w:val="00876B95"/>
    <w:pPr>
      <w:numPr>
        <w:numId w:val="11"/>
      </w:numPr>
      <w:contextualSpacing/>
    </w:pPr>
  </w:style>
  <w:style w:type="paragraph" w:styleId="ListNumber3">
    <w:name w:val="List Number 3"/>
    <w:basedOn w:val="Normal"/>
    <w:uiPriority w:val="99"/>
    <w:unhideWhenUsed/>
    <w:rsid w:val="00876B95"/>
    <w:pPr>
      <w:numPr>
        <w:numId w:val="12"/>
      </w:numPr>
      <w:contextualSpacing/>
    </w:pPr>
  </w:style>
  <w:style w:type="paragraph" w:styleId="ListNumber4">
    <w:name w:val="List Number 4"/>
    <w:basedOn w:val="Normal"/>
    <w:uiPriority w:val="99"/>
    <w:unhideWhenUsed/>
    <w:rsid w:val="00876B95"/>
    <w:pPr>
      <w:numPr>
        <w:numId w:val="13"/>
      </w:numPr>
      <w:contextualSpacing/>
    </w:pPr>
  </w:style>
  <w:style w:type="paragraph" w:styleId="ListNumber5">
    <w:name w:val="List Number 5"/>
    <w:basedOn w:val="Normal"/>
    <w:uiPriority w:val="99"/>
    <w:unhideWhenUsed/>
    <w:rsid w:val="00876B95"/>
    <w:pPr>
      <w:numPr>
        <w:numId w:val="14"/>
      </w:numPr>
      <w:contextualSpacing/>
    </w:pPr>
  </w:style>
  <w:style w:type="paragraph" w:styleId="ListContinue4">
    <w:name w:val="List Continue 4"/>
    <w:basedOn w:val="Normal"/>
    <w:uiPriority w:val="99"/>
    <w:unhideWhenUsed/>
    <w:rsid w:val="00876B95"/>
    <w:pPr>
      <w:spacing w:after="120"/>
      <w:ind w:left="1132"/>
      <w:contextualSpacing/>
    </w:pPr>
  </w:style>
  <w:style w:type="paragraph" w:styleId="FootnoteText">
    <w:name w:val="footnote text"/>
    <w:basedOn w:val="Normal"/>
    <w:link w:val="FootnoteTextChar"/>
    <w:uiPriority w:val="99"/>
    <w:rsid w:val="00876B95"/>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76B95"/>
    <w:rPr>
      <w:rFonts w:ascii="Arial" w:eastAsia="Times New Roman" w:hAnsi="Arial" w:cs="Times New Roman"/>
      <w:sz w:val="20"/>
      <w:szCs w:val="20"/>
      <w:lang w:eastAsia="en-GB"/>
    </w:rPr>
  </w:style>
  <w:style w:type="character" w:styleId="FootnoteReference">
    <w:name w:val="footnote reference"/>
    <w:basedOn w:val="DefaultParagraphFont"/>
    <w:rsid w:val="00876B95"/>
    <w:rPr>
      <w:vertAlign w:val="superscript"/>
    </w:rPr>
  </w:style>
  <w:style w:type="paragraph" w:customStyle="1" w:styleId="StyleHeading3level3level3Nadpis3After12pt">
    <w:name w:val="Style Heading 3level 3level3Nadpis 3 + After:  12 pt"/>
    <w:basedOn w:val="Heading3"/>
    <w:rsid w:val="00876B95"/>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76B95"/>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76B95"/>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76B95"/>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76B95"/>
    <w:rPr>
      <w:rFonts w:ascii="Times New Roman" w:eastAsia="Times New Roman" w:hAnsi="Times New Roman" w:cs="Times New Roman"/>
      <w:sz w:val="24"/>
      <w:szCs w:val="24"/>
    </w:rPr>
  </w:style>
  <w:style w:type="paragraph" w:customStyle="1" w:styleId="Normaltext">
    <w:name w:val="Normal_text"/>
    <w:basedOn w:val="Normal"/>
    <w:rsid w:val="00876B95"/>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76B95"/>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76B95"/>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76B95"/>
    <w:rPr>
      <w:b/>
      <w:bCs/>
      <w:smallCaps/>
      <w:color w:val="C0504D" w:themeColor="accent2"/>
      <w:spacing w:val="5"/>
      <w:u w:val="single"/>
    </w:rPr>
  </w:style>
  <w:style w:type="character" w:styleId="BookTitle">
    <w:name w:val="Book Title"/>
    <w:basedOn w:val="DefaultParagraphFont"/>
    <w:uiPriority w:val="33"/>
    <w:qFormat/>
    <w:rsid w:val="00876B95"/>
    <w:rPr>
      <w:b/>
      <w:bCs/>
      <w:smallCaps/>
      <w:spacing w:val="5"/>
    </w:rPr>
  </w:style>
  <w:style w:type="paragraph" w:styleId="List">
    <w:name w:val="List"/>
    <w:basedOn w:val="Normal"/>
    <w:uiPriority w:val="99"/>
    <w:unhideWhenUsed/>
    <w:rsid w:val="00876B95"/>
    <w:pPr>
      <w:ind w:left="283" w:hanging="283"/>
      <w:contextualSpacing/>
    </w:pPr>
  </w:style>
  <w:style w:type="paragraph" w:styleId="List2">
    <w:name w:val="List 2"/>
    <w:basedOn w:val="Normal"/>
    <w:uiPriority w:val="99"/>
    <w:unhideWhenUsed/>
    <w:rsid w:val="00876B95"/>
    <w:pPr>
      <w:ind w:left="566" w:hanging="283"/>
      <w:contextualSpacing/>
    </w:pPr>
  </w:style>
  <w:style w:type="paragraph" w:styleId="List3">
    <w:name w:val="List 3"/>
    <w:basedOn w:val="Normal"/>
    <w:uiPriority w:val="99"/>
    <w:unhideWhenUsed/>
    <w:rsid w:val="00876B95"/>
    <w:pPr>
      <w:ind w:left="849" w:hanging="283"/>
      <w:contextualSpacing/>
    </w:pPr>
  </w:style>
  <w:style w:type="paragraph" w:styleId="List4">
    <w:name w:val="List 4"/>
    <w:basedOn w:val="Normal"/>
    <w:uiPriority w:val="99"/>
    <w:unhideWhenUsed/>
    <w:rsid w:val="00876B95"/>
    <w:pPr>
      <w:ind w:left="1132" w:hanging="283"/>
      <w:contextualSpacing/>
    </w:pPr>
  </w:style>
  <w:style w:type="paragraph" w:styleId="ListBullet2">
    <w:name w:val="List Bullet 2"/>
    <w:basedOn w:val="Normal"/>
    <w:uiPriority w:val="99"/>
    <w:unhideWhenUsed/>
    <w:rsid w:val="00876B95"/>
    <w:pPr>
      <w:numPr>
        <w:numId w:val="19"/>
      </w:numPr>
      <w:contextualSpacing/>
    </w:pPr>
  </w:style>
  <w:style w:type="paragraph" w:styleId="ListBullet">
    <w:name w:val="List Bullet"/>
    <w:basedOn w:val="Normal"/>
    <w:uiPriority w:val="99"/>
    <w:unhideWhenUsed/>
    <w:rsid w:val="00876B95"/>
    <w:pPr>
      <w:numPr>
        <w:numId w:val="18"/>
      </w:numPr>
      <w:contextualSpacing/>
    </w:pPr>
  </w:style>
  <w:style w:type="paragraph" w:styleId="ListBullet3">
    <w:name w:val="List Bullet 3"/>
    <w:basedOn w:val="Normal"/>
    <w:uiPriority w:val="99"/>
    <w:unhideWhenUsed/>
    <w:rsid w:val="00876B95"/>
    <w:pPr>
      <w:numPr>
        <w:numId w:val="20"/>
      </w:numPr>
      <w:contextualSpacing/>
    </w:pPr>
  </w:style>
  <w:style w:type="paragraph" w:customStyle="1" w:styleId="questions">
    <w:name w:val="questions"/>
    <w:basedOn w:val="Text"/>
    <w:rsid w:val="00876B95"/>
    <w:rPr>
      <w:kern w:val="14"/>
    </w:rPr>
  </w:style>
  <w:style w:type="character" w:customStyle="1" w:styleId="DCAlphaCapsChar">
    <w:name w:val="DC Alpha Caps Char"/>
    <w:basedOn w:val="DefaultParagraphFont"/>
    <w:link w:val="DCAlphaCaps"/>
    <w:rsid w:val="00876B95"/>
    <w:rPr>
      <w:rFonts w:ascii="Times New Roman" w:hAnsi="Times New Roman"/>
      <w:sz w:val="24"/>
    </w:rPr>
  </w:style>
  <w:style w:type="character" w:customStyle="1" w:styleId="DCAlphaCaplevel4Char">
    <w:name w:val="DC Alpha Cap level 4 Char"/>
    <w:basedOn w:val="DCAlphaCapsChar"/>
    <w:link w:val="DCAlphaCaplevel4"/>
    <w:rsid w:val="00876B95"/>
    <w:rPr>
      <w:rFonts w:ascii="Times New Roman" w:hAnsi="Times New Roman"/>
      <w:sz w:val="24"/>
    </w:rPr>
  </w:style>
  <w:style w:type="paragraph" w:customStyle="1" w:styleId="Default">
    <w:name w:val="Default"/>
    <w:rsid w:val="00876B95"/>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76B95"/>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76B95"/>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76B95"/>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76B95"/>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76B95"/>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76B95"/>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76B95"/>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76B95"/>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76B95"/>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76B95"/>
    <w:rPr>
      <w:rFonts w:ascii="Times New Roman" w:hAnsi="Times New Roman"/>
      <w:b w:val="0"/>
      <w:caps w:val="0"/>
      <w:sz w:val="24"/>
      <w:u w:val="single"/>
    </w:rPr>
  </w:style>
  <w:style w:type="paragraph" w:customStyle="1" w:styleId="DCSideHeadingnumbered">
    <w:name w:val="DC Side Heading numbered"/>
    <w:basedOn w:val="Normal"/>
    <w:qFormat/>
    <w:rsid w:val="00876B95"/>
    <w:pPr>
      <w:numPr>
        <w:numId w:val="24"/>
      </w:numPr>
    </w:pPr>
    <w:rPr>
      <w:b/>
    </w:rPr>
  </w:style>
  <w:style w:type="character" w:customStyle="1" w:styleId="DCUSATableTextbulletptChar">
    <w:name w:val="DCUSA Table Text bullet pt Char"/>
    <w:basedOn w:val="DCUSATableTextChar"/>
    <w:link w:val="DCUSATableTextbulletpt"/>
    <w:rsid w:val="00876B95"/>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76B95"/>
    <w:rPr>
      <w:rFonts w:ascii="Times New Roman" w:hAnsi="Times New Roman"/>
      <w:b/>
      <w:caps w:val="0"/>
      <w:sz w:val="24"/>
      <w:u w:val="single"/>
    </w:rPr>
  </w:style>
  <w:style w:type="paragraph" w:styleId="Revision">
    <w:name w:val="Revision"/>
    <w:hidden/>
    <w:uiPriority w:val="99"/>
    <w:semiHidden/>
    <w:rsid w:val="00876B95"/>
    <w:pPr>
      <w:spacing w:after="0" w:line="240" w:lineRule="auto"/>
    </w:pPr>
    <w:rPr>
      <w:rFonts w:ascii="Times New Roman" w:hAnsi="Times New Roman"/>
      <w:sz w:val="24"/>
    </w:rPr>
  </w:style>
  <w:style w:type="paragraph" w:styleId="ListContinue3">
    <w:name w:val="List Continue 3"/>
    <w:basedOn w:val="Normal"/>
    <w:uiPriority w:val="99"/>
    <w:unhideWhenUsed/>
    <w:rsid w:val="00876B95"/>
    <w:pPr>
      <w:spacing w:after="120"/>
      <w:ind w:left="849"/>
      <w:contextualSpacing/>
    </w:pPr>
  </w:style>
  <w:style w:type="paragraph" w:styleId="BodyText2">
    <w:name w:val="Body Text 2"/>
    <w:basedOn w:val="Normal"/>
    <w:link w:val="BodyText2Char"/>
    <w:uiPriority w:val="99"/>
    <w:unhideWhenUsed/>
    <w:rsid w:val="00876B95"/>
    <w:pPr>
      <w:spacing w:after="120" w:line="480" w:lineRule="auto"/>
    </w:pPr>
  </w:style>
  <w:style w:type="character" w:customStyle="1" w:styleId="BodyText2Char">
    <w:name w:val="Body Text 2 Char"/>
    <w:basedOn w:val="DefaultParagraphFont"/>
    <w:link w:val="BodyText2"/>
    <w:uiPriority w:val="99"/>
    <w:rsid w:val="00876B95"/>
    <w:rPr>
      <w:rFonts w:ascii="Times New Roman" w:hAnsi="Times New Roman"/>
      <w:sz w:val="24"/>
    </w:rPr>
  </w:style>
  <w:style w:type="character" w:styleId="CommentReference">
    <w:name w:val="annotation reference"/>
    <w:basedOn w:val="DefaultParagraphFont"/>
    <w:rsid w:val="00876B95"/>
    <w:rPr>
      <w:rFonts w:cs="Times New Roman"/>
      <w:sz w:val="16"/>
      <w:szCs w:val="16"/>
    </w:rPr>
  </w:style>
  <w:style w:type="paragraph" w:styleId="CommentText">
    <w:name w:val="annotation text"/>
    <w:basedOn w:val="Normal"/>
    <w:link w:val="CommentTextChar"/>
    <w:rsid w:val="00876B95"/>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76B95"/>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76B95"/>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76B95"/>
    <w:rPr>
      <w:b/>
      <w:bCs/>
    </w:rPr>
  </w:style>
  <w:style w:type="character" w:customStyle="1" w:styleId="CommentSubjectChar">
    <w:name w:val="Comment Subject Char"/>
    <w:basedOn w:val="CommentTextChar"/>
    <w:link w:val="CommentSubject"/>
    <w:rsid w:val="00876B95"/>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76B95"/>
    <w:rPr>
      <w:rFonts w:cs="Times New Roman"/>
      <w:color w:val="800080"/>
      <w:u w:val="single"/>
    </w:rPr>
  </w:style>
  <w:style w:type="paragraph" w:styleId="TOCHeading">
    <w:name w:val="TOC Heading"/>
    <w:basedOn w:val="Heading1"/>
    <w:next w:val="Normal"/>
    <w:uiPriority w:val="39"/>
    <w:qFormat/>
    <w:rsid w:val="00876B95"/>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76B9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76B95"/>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76B95"/>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76B95"/>
    <w:pPr>
      <w:keepLines w:val="0"/>
      <w:numPr>
        <w:numId w:val="25"/>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76B95"/>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76B95"/>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76B95"/>
  </w:style>
  <w:style w:type="table" w:customStyle="1" w:styleId="TableGrid1">
    <w:name w:val="Table Grid1"/>
    <w:basedOn w:val="TableNormal"/>
    <w:next w:val="TableGrid"/>
    <w:rsid w:val="00876B9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76B95"/>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76B95"/>
    <w:rPr>
      <w:rFonts w:ascii="Arial Unicode MS" w:eastAsia="Arial Unicode MS" w:hAnsi="Arial Unicode MS" w:cs="Arial Unicode MS" w:hint="eastAsia"/>
    </w:rPr>
  </w:style>
  <w:style w:type="character" w:customStyle="1" w:styleId="div-wrap-info-bold">
    <w:name w:val="div-wrap-info-bold"/>
    <w:basedOn w:val="DefaultParagraphFont"/>
    <w:rsid w:val="00876B95"/>
    <w:rPr>
      <w:rFonts w:ascii="Times New Roman" w:hAnsi="Times New Roman" w:cs="Times New Roman" w:hint="default"/>
      <w:b/>
      <w:bCs/>
    </w:rPr>
  </w:style>
  <w:style w:type="character" w:customStyle="1" w:styleId="div-wraps-indented">
    <w:name w:val="div-wraps-indented"/>
    <w:basedOn w:val="DefaultParagraphFont"/>
    <w:rsid w:val="00876B95"/>
    <w:rPr>
      <w:rFonts w:ascii="Times New Roman" w:hAnsi="Times New Roman" w:cs="Times New Roman" w:hint="default"/>
    </w:rPr>
  </w:style>
  <w:style w:type="character" w:customStyle="1" w:styleId="amendment-quote">
    <w:name w:val="amendment-quote"/>
    <w:basedOn w:val="DefaultParagraphFont"/>
    <w:rsid w:val="00876B95"/>
    <w:rPr>
      <w:rFonts w:ascii="Helvetica" w:hAnsi="Helvetica" w:hint="default"/>
      <w:b w:val="0"/>
      <w:bCs w:val="0"/>
      <w:i w:val="0"/>
      <w:iCs w:val="0"/>
      <w:color w:val="000000"/>
    </w:rPr>
  </w:style>
  <w:style w:type="character" w:customStyle="1" w:styleId="within-new">
    <w:name w:val="within-new"/>
    <w:basedOn w:val="DefaultParagraphFont"/>
    <w:rsid w:val="00876B95"/>
    <w:rPr>
      <w:color w:val="0000FF"/>
    </w:rPr>
  </w:style>
  <w:style w:type="character" w:customStyle="1" w:styleId="div-wrap-info">
    <w:name w:val="div-wrap-info"/>
    <w:basedOn w:val="DefaultParagraphFont"/>
    <w:rsid w:val="00876B95"/>
  </w:style>
  <w:style w:type="paragraph" w:styleId="BodyTextIndent2">
    <w:name w:val="Body Text Indent 2"/>
    <w:basedOn w:val="Normal"/>
    <w:link w:val="BodyTextIndent2Char"/>
    <w:rsid w:val="00876B95"/>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76B95"/>
    <w:rPr>
      <w:rFonts w:ascii="Times New Roman" w:eastAsia="Times New Roman" w:hAnsi="Times New Roman" w:cs="Times New Roman"/>
      <w:sz w:val="24"/>
      <w:szCs w:val="24"/>
      <w:lang w:eastAsia="en-GB"/>
    </w:rPr>
  </w:style>
  <w:style w:type="paragraph" w:customStyle="1" w:styleId="SectionHeading">
    <w:name w:val="Section Heading"/>
    <w:basedOn w:val="Heading1"/>
    <w:rsid w:val="00876B95"/>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76B95"/>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76B95"/>
  </w:style>
  <w:style w:type="character" w:customStyle="1" w:styleId="CharChar6">
    <w:name w:val="Char Char6"/>
    <w:basedOn w:val="DefaultParagraphFont"/>
    <w:rsid w:val="00876B95"/>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76B95"/>
    <w:rPr>
      <w:rFonts w:ascii="Cambria" w:eastAsia="Times New Roman" w:hAnsi="Cambria" w:cs="Times New Roman"/>
      <w:b/>
      <w:bCs/>
      <w:sz w:val="26"/>
      <w:szCs w:val="26"/>
      <w:lang w:eastAsia="en-GB"/>
    </w:rPr>
  </w:style>
  <w:style w:type="character" w:customStyle="1" w:styleId="bold1">
    <w:name w:val="bold1"/>
    <w:basedOn w:val="DefaultParagraphFont"/>
    <w:rsid w:val="00876B95"/>
    <w:rPr>
      <w:b/>
      <w:bCs/>
    </w:rPr>
  </w:style>
  <w:style w:type="character" w:customStyle="1" w:styleId="highlight">
    <w:name w:val="highlight"/>
    <w:basedOn w:val="DefaultParagraphFont"/>
    <w:rsid w:val="00876B95"/>
  </w:style>
  <w:style w:type="paragraph" w:customStyle="1" w:styleId="StyleHeading2level2level2Left175cmHanging136cm">
    <w:name w:val="Style Heading 2level 2level2 + Left:  1.75 cm Hanging:  1.36 cm..."/>
    <w:basedOn w:val="Heading2"/>
    <w:rsid w:val="00876B95"/>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76B9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76B95"/>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76B95"/>
  </w:style>
  <w:style w:type="numbering" w:customStyle="1" w:styleId="NoList3">
    <w:name w:val="No List3"/>
    <w:next w:val="NoList"/>
    <w:uiPriority w:val="99"/>
    <w:semiHidden/>
    <w:unhideWhenUsed/>
    <w:rsid w:val="00876B95"/>
  </w:style>
  <w:style w:type="table" w:customStyle="1" w:styleId="TableGrid3">
    <w:name w:val="Table Grid3"/>
    <w:basedOn w:val="TableNormal"/>
    <w:next w:val="TableGrid"/>
    <w:uiPriority w:val="59"/>
    <w:rsid w:val="00876B95"/>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76B95"/>
  </w:style>
  <w:style w:type="table" w:customStyle="1" w:styleId="TableGrid4">
    <w:name w:val="Table Grid4"/>
    <w:basedOn w:val="TableNormal"/>
    <w:next w:val="TableGrid"/>
    <w:uiPriority w:val="59"/>
    <w:rsid w:val="0087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76B95"/>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76B95"/>
    <w:rPr>
      <w:rFonts w:eastAsiaTheme="minorEastAsia"/>
      <w:lang w:val="en-US"/>
    </w:rPr>
  </w:style>
  <w:style w:type="paragraph" w:customStyle="1" w:styleId="RecipientAddress">
    <w:name w:val="Recipient Address"/>
    <w:basedOn w:val="NoSpacing"/>
    <w:uiPriority w:val="3"/>
    <w:rsid w:val="00876B95"/>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76B95"/>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76B95"/>
    <w:rPr>
      <w:rFonts w:eastAsiaTheme="minorEastAsia"/>
      <w:b/>
      <w:lang w:val="en-US"/>
    </w:rPr>
  </w:style>
  <w:style w:type="paragraph" w:customStyle="1" w:styleId="SenderAddress">
    <w:name w:val="Sender Address"/>
    <w:basedOn w:val="NoSpacing"/>
    <w:uiPriority w:val="2"/>
    <w:rsid w:val="00876B95"/>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76B95"/>
    <w:rPr>
      <w:color w:val="808080"/>
    </w:rPr>
  </w:style>
  <w:style w:type="paragraph" w:styleId="Signature">
    <w:name w:val="Signature"/>
    <w:basedOn w:val="Normal"/>
    <w:link w:val="SignatureChar"/>
    <w:uiPriority w:val="99"/>
    <w:unhideWhenUsed/>
    <w:rsid w:val="00876B95"/>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76B95"/>
    <w:rPr>
      <w:rFonts w:eastAsiaTheme="minorEastAsia"/>
      <w:lang w:val="en-US"/>
    </w:rPr>
  </w:style>
  <w:style w:type="table" w:customStyle="1" w:styleId="TableGrid5">
    <w:name w:val="Table Grid5"/>
    <w:basedOn w:val="TableNormal"/>
    <w:next w:val="TableGrid"/>
    <w:uiPriority w:val="59"/>
    <w:rsid w:val="00876B95"/>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76B95"/>
    <w:rPr>
      <w:color w:val="2B579A"/>
      <w:shd w:val="clear" w:color="auto" w:fill="E6E6E6"/>
    </w:rPr>
  </w:style>
  <w:style w:type="character" w:customStyle="1" w:styleId="UnresolvedMention">
    <w:name w:val="Unresolved Mention"/>
    <w:basedOn w:val="DefaultParagraphFont"/>
    <w:uiPriority w:val="99"/>
    <w:semiHidden/>
    <w:unhideWhenUsed/>
    <w:rsid w:val="00876B95"/>
    <w:rPr>
      <w:color w:val="808080"/>
      <w:shd w:val="clear" w:color="auto" w:fill="E6E6E6"/>
    </w:rPr>
  </w:style>
  <w:style w:type="character" w:styleId="LineNumber">
    <w:name w:val="line number"/>
    <w:basedOn w:val="DefaultParagraphFont"/>
    <w:uiPriority w:val="99"/>
    <w:semiHidden/>
    <w:unhideWhenUsed/>
    <w:rsid w:val="00876B95"/>
  </w:style>
  <w:style w:type="paragraph" w:customStyle="1" w:styleId="Title1">
    <w:name w:val="Title1"/>
    <w:basedOn w:val="Normal"/>
    <w:uiPriority w:val="99"/>
    <w:rsid w:val="00876B95"/>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76B95"/>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9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76B95"/>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76B95"/>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76B95"/>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76B95"/>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76B95"/>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76B95"/>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76B95"/>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76B95"/>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76B95"/>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76B9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76B9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76B9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76B9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76B9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76B9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76B9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76B9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76B95"/>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76B95"/>
    <w:pPr>
      <w:jc w:val="center"/>
    </w:pPr>
    <w:rPr>
      <w:b/>
      <w:caps/>
      <w:sz w:val="28"/>
    </w:rPr>
  </w:style>
  <w:style w:type="paragraph" w:customStyle="1" w:styleId="DCHeading2">
    <w:name w:val="DC Heading 2"/>
    <w:basedOn w:val="DCHeading1"/>
    <w:link w:val="DCHeading2Char"/>
    <w:qFormat/>
    <w:rsid w:val="00876B95"/>
    <w:pPr>
      <w:jc w:val="left"/>
    </w:pPr>
    <w:rPr>
      <w:b w:val="0"/>
      <w:sz w:val="24"/>
    </w:rPr>
  </w:style>
  <w:style w:type="paragraph" w:customStyle="1" w:styleId="DCTOCHeading1">
    <w:name w:val="DC TOC Heading 1"/>
    <w:basedOn w:val="DCHeading2"/>
    <w:link w:val="DCTOCHeading1Char"/>
    <w:qFormat/>
    <w:rsid w:val="00876B95"/>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76B95"/>
    <w:rPr>
      <w:rFonts w:ascii="Times New Roman" w:hAnsi="Times New Roman"/>
      <w:b/>
      <w:caps/>
      <w:sz w:val="28"/>
    </w:rPr>
  </w:style>
  <w:style w:type="character" w:customStyle="1" w:styleId="DCHeading2Char">
    <w:name w:val="DC Heading 2 Char"/>
    <w:basedOn w:val="DCHeading1Char"/>
    <w:link w:val="DCHeading2"/>
    <w:rsid w:val="00876B95"/>
    <w:rPr>
      <w:rFonts w:ascii="Times New Roman" w:hAnsi="Times New Roman"/>
      <w:b w:val="0"/>
      <w:caps/>
      <w:sz w:val="24"/>
    </w:rPr>
  </w:style>
  <w:style w:type="character" w:customStyle="1" w:styleId="DCTOCHeading1Char">
    <w:name w:val="DC TOC Heading 1 Char"/>
    <w:basedOn w:val="DCHeading2Char"/>
    <w:link w:val="DCTOCHeading1"/>
    <w:rsid w:val="00876B95"/>
    <w:rPr>
      <w:rFonts w:ascii="Times New Roman Bold" w:hAnsi="Times New Roman Bold"/>
      <w:b w:val="0"/>
      <w:caps/>
      <w:sz w:val="24"/>
      <w:u w:val="single"/>
    </w:rPr>
  </w:style>
  <w:style w:type="paragraph" w:customStyle="1" w:styleId="DCTOCHeading4">
    <w:name w:val="DC TOC Heading 4"/>
    <w:basedOn w:val="DCHeading1"/>
    <w:link w:val="DCTOCHeading4Char"/>
    <w:qFormat/>
    <w:rsid w:val="00876B9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76B95"/>
    <w:pPr>
      <w:jc w:val="left"/>
    </w:pPr>
    <w:rPr>
      <w:caps w:val="0"/>
    </w:rPr>
  </w:style>
  <w:style w:type="paragraph" w:customStyle="1" w:styleId="DCSubHeading2Level2">
    <w:name w:val="DC Sub Heading 2 Level 2"/>
    <w:basedOn w:val="DCSubHeading1Level2"/>
    <w:link w:val="DCSubHeading2Level2Char"/>
    <w:qFormat/>
    <w:rsid w:val="00876B95"/>
    <w:pPr>
      <w:ind w:left="720"/>
    </w:pPr>
    <w:rPr>
      <w:b w:val="0"/>
    </w:rPr>
  </w:style>
  <w:style w:type="paragraph" w:customStyle="1" w:styleId="DCUSATableText">
    <w:name w:val="DCUSA Table Text"/>
    <w:basedOn w:val="DCSubHeading1Level2"/>
    <w:link w:val="DCUSATableTextChar"/>
    <w:qFormat/>
    <w:rsid w:val="00876B95"/>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76B9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76B95"/>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76B95"/>
    <w:rPr>
      <w:rFonts w:ascii="Times New Roman Bold" w:hAnsi="Times New Roman Bold"/>
      <w:b w:val="0"/>
      <w:caps w:val="0"/>
      <w:sz w:val="24"/>
      <w:u w:val="single"/>
    </w:rPr>
  </w:style>
  <w:style w:type="numbering" w:customStyle="1" w:styleId="AlphaCaps">
    <w:name w:val="Alpha Caps"/>
    <w:uiPriority w:val="99"/>
    <w:rsid w:val="00876B95"/>
    <w:pPr>
      <w:numPr>
        <w:numId w:val="1"/>
      </w:numPr>
    </w:pPr>
  </w:style>
  <w:style w:type="paragraph" w:styleId="ListParagraph">
    <w:name w:val="List Paragraph"/>
    <w:basedOn w:val="Normal"/>
    <w:uiPriority w:val="34"/>
    <w:qFormat/>
    <w:rsid w:val="00876B95"/>
    <w:pPr>
      <w:ind w:left="720"/>
      <w:contextualSpacing/>
    </w:pPr>
  </w:style>
  <w:style w:type="character" w:customStyle="1" w:styleId="DCUSATableTextChar">
    <w:name w:val="DCUSA Table Text Char"/>
    <w:basedOn w:val="DCSubHeading1Level2Char"/>
    <w:link w:val="DCUSATableText"/>
    <w:rsid w:val="00876B95"/>
    <w:rPr>
      <w:rFonts w:ascii="Times New Roman" w:hAnsi="Times New Roman"/>
      <w:b w:val="0"/>
      <w:caps w:val="0"/>
      <w:sz w:val="24"/>
      <w:u w:val="single"/>
    </w:rPr>
  </w:style>
  <w:style w:type="paragraph" w:customStyle="1" w:styleId="Body1">
    <w:name w:val="Body1"/>
    <w:basedOn w:val="Normal"/>
    <w:link w:val="Body1Char"/>
    <w:autoRedefine/>
    <w:rsid w:val="00876B95"/>
    <w:pPr>
      <w:keepNext/>
      <w:ind w:left="840"/>
      <w:jc w:val="both"/>
    </w:pPr>
    <w:rPr>
      <w:rFonts w:eastAsia="Times New Roman" w:cs="Times New Roman"/>
      <w:b/>
      <w:bCs/>
      <w:lang w:val="en-US"/>
    </w:rPr>
  </w:style>
  <w:style w:type="paragraph" w:styleId="Footer">
    <w:name w:val="footer"/>
    <w:aliases w:val="JPW-footer"/>
    <w:basedOn w:val="Normal"/>
    <w:link w:val="FooterChar"/>
    <w:rsid w:val="00876B95"/>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76B95"/>
    <w:rPr>
      <w:rFonts w:ascii="Times New Roman" w:eastAsia="Times New Roman" w:hAnsi="Times New Roman" w:cs="Times New Roman"/>
      <w:sz w:val="24"/>
      <w:szCs w:val="24"/>
    </w:rPr>
  </w:style>
  <w:style w:type="character" w:customStyle="1" w:styleId="Body1Char">
    <w:name w:val="Body1 Char"/>
    <w:link w:val="Body1"/>
    <w:locked/>
    <w:rsid w:val="00876B95"/>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76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6B95"/>
    <w:rPr>
      <w:rFonts w:ascii="Tahoma" w:hAnsi="Tahoma" w:cs="Tahoma"/>
      <w:sz w:val="16"/>
      <w:szCs w:val="16"/>
    </w:rPr>
  </w:style>
  <w:style w:type="paragraph" w:styleId="EndnoteText">
    <w:name w:val="endnote text"/>
    <w:basedOn w:val="Normal"/>
    <w:link w:val="EndnoteTextChar"/>
    <w:uiPriority w:val="99"/>
    <w:semiHidden/>
    <w:unhideWhenUsed/>
    <w:rsid w:val="00876B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76B95"/>
    <w:rPr>
      <w:rFonts w:ascii="Times New Roman" w:hAnsi="Times New Roman"/>
      <w:sz w:val="20"/>
      <w:szCs w:val="20"/>
    </w:rPr>
  </w:style>
  <w:style w:type="character" w:styleId="EndnoteReference">
    <w:name w:val="endnote reference"/>
    <w:basedOn w:val="DefaultParagraphFont"/>
    <w:uiPriority w:val="99"/>
    <w:semiHidden/>
    <w:unhideWhenUsed/>
    <w:rsid w:val="00876B95"/>
    <w:rPr>
      <w:vertAlign w:val="superscript"/>
    </w:rPr>
  </w:style>
  <w:style w:type="paragraph" w:styleId="Header">
    <w:name w:val="header"/>
    <w:basedOn w:val="Normal"/>
    <w:link w:val="HeaderChar"/>
    <w:unhideWhenUsed/>
    <w:qFormat/>
    <w:rsid w:val="00876B95"/>
    <w:pPr>
      <w:tabs>
        <w:tab w:val="center" w:pos="4513"/>
        <w:tab w:val="right" w:pos="9026"/>
      </w:tabs>
      <w:spacing w:after="0" w:line="240" w:lineRule="auto"/>
    </w:pPr>
  </w:style>
  <w:style w:type="character" w:customStyle="1" w:styleId="HeaderChar">
    <w:name w:val="Header Char"/>
    <w:basedOn w:val="DefaultParagraphFont"/>
    <w:link w:val="Header"/>
    <w:rsid w:val="00876B95"/>
    <w:rPr>
      <w:rFonts w:ascii="Times New Roman" w:hAnsi="Times New Roman"/>
      <w:sz w:val="24"/>
    </w:rPr>
  </w:style>
  <w:style w:type="paragraph" w:customStyle="1" w:styleId="DCTOCHeading2">
    <w:name w:val="DC TOC Heading 2"/>
    <w:basedOn w:val="DCTOCHeading1"/>
    <w:qFormat/>
    <w:rsid w:val="00876B95"/>
    <w:pPr>
      <w:numPr>
        <w:numId w:val="2"/>
      </w:numPr>
    </w:pPr>
    <w:rPr>
      <w:rFonts w:ascii="Times New Roman" w:hAnsi="Times New Roman"/>
    </w:rPr>
  </w:style>
  <w:style w:type="numbering" w:customStyle="1" w:styleId="DCTOCWholeNumbers">
    <w:name w:val="DC TOC Whole Numbers"/>
    <w:uiPriority w:val="99"/>
    <w:rsid w:val="00876B95"/>
    <w:pPr>
      <w:numPr>
        <w:numId w:val="2"/>
      </w:numPr>
    </w:pPr>
  </w:style>
  <w:style w:type="paragraph" w:customStyle="1" w:styleId="DCTOCSchedule">
    <w:name w:val="DC TOC Schedule"/>
    <w:basedOn w:val="Normal"/>
    <w:qFormat/>
    <w:rsid w:val="00876B95"/>
    <w:pPr>
      <w:spacing w:after="0"/>
    </w:pPr>
    <w:rPr>
      <w:caps/>
    </w:rPr>
  </w:style>
  <w:style w:type="paragraph" w:styleId="BodyText">
    <w:name w:val="Body Text"/>
    <w:basedOn w:val="Normal"/>
    <w:link w:val="BodyTextChar"/>
    <w:qFormat/>
    <w:rsid w:val="00876B95"/>
    <w:pPr>
      <w:jc w:val="both"/>
    </w:pPr>
    <w:rPr>
      <w:rFonts w:eastAsia="Times New Roman" w:cs="Times New Roman"/>
      <w:szCs w:val="24"/>
    </w:rPr>
  </w:style>
  <w:style w:type="character" w:customStyle="1" w:styleId="BodyTextChar">
    <w:name w:val="Body Text Char"/>
    <w:basedOn w:val="DefaultParagraphFont"/>
    <w:link w:val="BodyText"/>
    <w:rsid w:val="00876B95"/>
    <w:rPr>
      <w:rFonts w:ascii="Times New Roman" w:eastAsia="Times New Roman" w:hAnsi="Times New Roman" w:cs="Times New Roman"/>
      <w:sz w:val="24"/>
      <w:szCs w:val="24"/>
    </w:rPr>
  </w:style>
  <w:style w:type="paragraph" w:customStyle="1" w:styleId="DCHeading3">
    <w:name w:val="DC Heading 3"/>
    <w:basedOn w:val="DCHeading2"/>
    <w:qFormat/>
    <w:rsid w:val="00876B95"/>
    <w:pPr>
      <w:jc w:val="center"/>
    </w:pPr>
    <w:rPr>
      <w:rFonts w:ascii="Times New Roman Bold" w:hAnsi="Times New Roman Bold"/>
      <w:b/>
    </w:rPr>
  </w:style>
  <w:style w:type="paragraph" w:customStyle="1" w:styleId="DCAlphaCaps">
    <w:name w:val="DC Alpha Caps"/>
    <w:basedOn w:val="Normal"/>
    <w:link w:val="DCAlphaCapsChar"/>
    <w:qFormat/>
    <w:rsid w:val="00876B95"/>
    <w:pPr>
      <w:numPr>
        <w:numId w:val="23"/>
      </w:numPr>
    </w:pPr>
  </w:style>
  <w:style w:type="numbering" w:customStyle="1" w:styleId="DCAphaCaps1">
    <w:name w:val="DC Apha Caps 1"/>
    <w:uiPriority w:val="99"/>
    <w:rsid w:val="00876B95"/>
    <w:pPr>
      <w:numPr>
        <w:numId w:val="3"/>
      </w:numPr>
    </w:pPr>
  </w:style>
  <w:style w:type="paragraph" w:styleId="TOC1">
    <w:name w:val="toc 1"/>
    <w:basedOn w:val="Normal"/>
    <w:next w:val="Normal"/>
    <w:autoRedefine/>
    <w:uiPriority w:val="39"/>
    <w:qFormat/>
    <w:rsid w:val="00876B95"/>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76B95"/>
    <w:pPr>
      <w:numPr>
        <w:numId w:val="8"/>
      </w:numPr>
    </w:pPr>
    <w:rPr>
      <w:b w:val="0"/>
      <w:caps w:val="0"/>
      <w:u w:val="single"/>
    </w:rPr>
  </w:style>
  <w:style w:type="numbering" w:customStyle="1" w:styleId="Style1">
    <w:name w:val="Style1"/>
    <w:uiPriority w:val="99"/>
    <w:rsid w:val="00876B95"/>
    <w:pPr>
      <w:numPr>
        <w:numId w:val="4"/>
      </w:numPr>
    </w:pPr>
  </w:style>
  <w:style w:type="numbering" w:customStyle="1" w:styleId="DCNormparalink2">
    <w:name w:val="DC Norm para link 2"/>
    <w:uiPriority w:val="99"/>
    <w:rsid w:val="00876B95"/>
    <w:pPr>
      <w:numPr>
        <w:numId w:val="5"/>
      </w:numPr>
    </w:pPr>
  </w:style>
  <w:style w:type="character" w:customStyle="1" w:styleId="DCNormParaL2Char">
    <w:name w:val="DC Norm Para L2 Char"/>
    <w:basedOn w:val="DCSubHeading1Level2Char"/>
    <w:uiPriority w:val="99"/>
    <w:rsid w:val="00876B95"/>
    <w:rPr>
      <w:rFonts w:ascii="Times New Roman" w:hAnsi="Times New Roman"/>
      <w:b w:val="0"/>
      <w:caps w:val="0"/>
      <w:color w:val="auto"/>
      <w:sz w:val="24"/>
      <w:u w:val="none"/>
    </w:rPr>
  </w:style>
  <w:style w:type="paragraph" w:customStyle="1" w:styleId="AgtLevel4">
    <w:name w:val="Agt/Level4"/>
    <w:basedOn w:val="Normal"/>
    <w:uiPriority w:val="99"/>
    <w:rsid w:val="00876B95"/>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76B95"/>
    <w:pPr>
      <w:ind w:left="737"/>
    </w:pPr>
  </w:style>
  <w:style w:type="numbering" w:customStyle="1" w:styleId="Style2">
    <w:name w:val="Style2"/>
    <w:uiPriority w:val="99"/>
    <w:rsid w:val="00876B95"/>
    <w:pPr>
      <w:numPr>
        <w:numId w:val="7"/>
      </w:numPr>
    </w:pPr>
  </w:style>
  <w:style w:type="character" w:customStyle="1" w:styleId="DCNormParaL3Char">
    <w:name w:val="DC Norm Para L3 Char"/>
    <w:basedOn w:val="DCNormParaL2Char"/>
    <w:link w:val="DCNormParaL3"/>
    <w:rsid w:val="00876B95"/>
    <w:rPr>
      <w:rFonts w:ascii="Times New Roman" w:hAnsi="Times New Roman"/>
      <w:b w:val="0"/>
      <w:caps w:val="0"/>
      <w:color w:val="auto"/>
      <w:sz w:val="24"/>
      <w:u w:val="none"/>
    </w:rPr>
  </w:style>
  <w:style w:type="numbering" w:customStyle="1" w:styleId="DCParalinknumbers">
    <w:name w:val="DC Para link numbers"/>
    <w:uiPriority w:val="99"/>
    <w:rsid w:val="00876B95"/>
    <w:pPr>
      <w:numPr>
        <w:numId w:val="8"/>
      </w:numPr>
    </w:pPr>
  </w:style>
  <w:style w:type="paragraph" w:customStyle="1" w:styleId="Heading10">
    <w:name w:val="Heading 10"/>
    <w:basedOn w:val="Heading5"/>
    <w:link w:val="Heading10Char"/>
    <w:qFormat/>
    <w:rsid w:val="00876B95"/>
    <w:pPr>
      <w:numPr>
        <w:ilvl w:val="3"/>
        <w:numId w:val="23"/>
      </w:numPr>
      <w:spacing w:before="0"/>
    </w:pPr>
  </w:style>
  <w:style w:type="character" w:customStyle="1" w:styleId="Heading10Char">
    <w:name w:val="Heading 10 Char"/>
    <w:basedOn w:val="Heading5Char"/>
    <w:link w:val="Heading10"/>
    <w:rsid w:val="00876B95"/>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76B95"/>
  </w:style>
  <w:style w:type="paragraph" w:styleId="Subtitle">
    <w:name w:val="Subtitle"/>
    <w:basedOn w:val="Normal"/>
    <w:next w:val="Normal"/>
    <w:link w:val="SubtitleChar"/>
    <w:uiPriority w:val="11"/>
    <w:qFormat/>
    <w:rsid w:val="00876B95"/>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76B95"/>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76B95"/>
    <w:pPr>
      <w:spacing w:after="0" w:line="240" w:lineRule="auto"/>
    </w:pPr>
    <w:rPr>
      <w:rFonts w:ascii="Times New Roman" w:hAnsi="Times New Roman"/>
      <w:sz w:val="24"/>
    </w:rPr>
  </w:style>
  <w:style w:type="paragraph" w:customStyle="1" w:styleId="BodyTextdef">
    <w:name w:val="Body Text def"/>
    <w:basedOn w:val="BodyText"/>
    <w:uiPriority w:val="99"/>
    <w:rsid w:val="00876B95"/>
    <w:pPr>
      <w:tabs>
        <w:tab w:val="left" w:pos="950"/>
      </w:tabs>
      <w:spacing w:before="120" w:after="120"/>
    </w:pPr>
  </w:style>
  <w:style w:type="character" w:styleId="PageNumber">
    <w:name w:val="page number"/>
    <w:basedOn w:val="DefaultParagraphFont"/>
    <w:rsid w:val="00876B95"/>
  </w:style>
  <w:style w:type="character" w:styleId="Hyperlink">
    <w:name w:val="Hyperlink"/>
    <w:basedOn w:val="DefaultParagraphFont"/>
    <w:uiPriority w:val="99"/>
    <w:rsid w:val="00876B95"/>
    <w:rPr>
      <w:color w:val="0000FF"/>
      <w:u w:val="single"/>
    </w:rPr>
  </w:style>
  <w:style w:type="paragraph" w:styleId="Title">
    <w:name w:val="Title"/>
    <w:basedOn w:val="Normal"/>
    <w:next w:val="Normal"/>
    <w:link w:val="TitleChar"/>
    <w:uiPriority w:val="99"/>
    <w:qFormat/>
    <w:rsid w:val="00876B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76B95"/>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76B95"/>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76B95"/>
    <w:pPr>
      <w:numPr>
        <w:ilvl w:val="2"/>
      </w:numPr>
      <w:outlineLvl w:val="2"/>
    </w:pPr>
  </w:style>
  <w:style w:type="paragraph" w:customStyle="1" w:styleId="DCNormaParaL1">
    <w:name w:val="DC Norma Para L1"/>
    <w:basedOn w:val="DCHeading4"/>
    <w:qFormat/>
    <w:rsid w:val="00876B95"/>
    <w:pPr>
      <w:numPr>
        <w:numId w:val="0"/>
      </w:numPr>
      <w:jc w:val="left"/>
    </w:pPr>
    <w:rPr>
      <w:rFonts w:ascii="Times New Roman" w:hAnsi="Times New Roman"/>
      <w:u w:val="none"/>
    </w:rPr>
  </w:style>
  <w:style w:type="paragraph" w:customStyle="1" w:styleId="DCUSATableTexta">
    <w:name w:val="DCUSA Table Text a)"/>
    <w:basedOn w:val="Normal"/>
    <w:qFormat/>
    <w:rsid w:val="00876B95"/>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76B95"/>
    <w:pPr>
      <w:numPr>
        <w:ilvl w:val="1"/>
        <w:numId w:val="17"/>
      </w:numPr>
      <w:spacing w:line="360" w:lineRule="auto"/>
    </w:pPr>
  </w:style>
  <w:style w:type="paragraph" w:customStyle="1" w:styleId="DCUSATabletextnumbers">
    <w:name w:val="DCUSA Table text numbers"/>
    <w:basedOn w:val="DCUSATableText"/>
    <w:link w:val="DCUSATabletextnumbersChar"/>
    <w:qFormat/>
    <w:rsid w:val="00876B95"/>
    <w:pPr>
      <w:spacing w:line="240" w:lineRule="auto"/>
    </w:pPr>
    <w:rPr>
      <w:b/>
    </w:rPr>
  </w:style>
  <w:style w:type="character" w:styleId="Emphasis">
    <w:name w:val="Emphasis"/>
    <w:basedOn w:val="DefaultParagraphFont"/>
    <w:uiPriority w:val="20"/>
    <w:qFormat/>
    <w:rsid w:val="00876B95"/>
    <w:rPr>
      <w:i/>
      <w:iCs/>
    </w:rPr>
  </w:style>
  <w:style w:type="character" w:styleId="IntenseEmphasis">
    <w:name w:val="Intense Emphasis"/>
    <w:basedOn w:val="DefaultParagraphFont"/>
    <w:uiPriority w:val="21"/>
    <w:qFormat/>
    <w:rsid w:val="00876B95"/>
    <w:rPr>
      <w:b/>
      <w:bCs/>
      <w:i/>
      <w:iCs/>
      <w:color w:val="4F81BD" w:themeColor="accent1"/>
    </w:rPr>
  </w:style>
  <w:style w:type="character" w:styleId="Strong">
    <w:name w:val="Strong"/>
    <w:basedOn w:val="DefaultParagraphFont"/>
    <w:uiPriority w:val="22"/>
    <w:qFormat/>
    <w:rsid w:val="00876B95"/>
    <w:rPr>
      <w:b/>
      <w:bCs/>
    </w:rPr>
  </w:style>
  <w:style w:type="paragraph" w:styleId="Quote">
    <w:name w:val="Quote"/>
    <w:basedOn w:val="Normal"/>
    <w:next w:val="Normal"/>
    <w:link w:val="QuoteChar"/>
    <w:uiPriority w:val="29"/>
    <w:qFormat/>
    <w:rsid w:val="00876B95"/>
    <w:rPr>
      <w:i/>
      <w:iCs/>
      <w:color w:val="000000" w:themeColor="text1"/>
    </w:rPr>
  </w:style>
  <w:style w:type="character" w:customStyle="1" w:styleId="QuoteChar">
    <w:name w:val="Quote Char"/>
    <w:basedOn w:val="DefaultParagraphFont"/>
    <w:link w:val="Quote"/>
    <w:uiPriority w:val="29"/>
    <w:rsid w:val="00876B95"/>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76B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6B95"/>
    <w:rPr>
      <w:rFonts w:ascii="Times New Roman" w:hAnsi="Times New Roman"/>
      <w:b/>
      <w:bCs/>
      <w:i/>
      <w:iCs/>
      <w:color w:val="4F81BD" w:themeColor="accent1"/>
      <w:sz w:val="24"/>
    </w:rPr>
  </w:style>
  <w:style w:type="paragraph" w:customStyle="1" w:styleId="Table">
    <w:name w:val="Table"/>
    <w:basedOn w:val="Normal"/>
    <w:rsid w:val="00876B95"/>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76B95"/>
    <w:rPr>
      <w:i/>
      <w:iCs/>
      <w:color w:val="808080" w:themeColor="text1" w:themeTint="7F"/>
    </w:rPr>
  </w:style>
  <w:style w:type="paragraph" w:styleId="Caption">
    <w:name w:val="caption"/>
    <w:basedOn w:val="Normal"/>
    <w:next w:val="Normal"/>
    <w:qFormat/>
    <w:rsid w:val="00876B95"/>
    <w:pPr>
      <w:spacing w:line="240" w:lineRule="auto"/>
      <w:jc w:val="center"/>
    </w:pPr>
    <w:rPr>
      <w:rFonts w:eastAsia="Times New Roman" w:cs="Times New Roman"/>
      <w:b/>
      <w:bCs/>
      <w:szCs w:val="24"/>
    </w:rPr>
  </w:style>
  <w:style w:type="paragraph" w:customStyle="1" w:styleId="NormalTextBold">
    <w:name w:val="Normal Text Bold"/>
    <w:basedOn w:val="Normal"/>
    <w:rsid w:val="00876B95"/>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76B95"/>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76B95"/>
    <w:rPr>
      <w:rFonts w:ascii="Arial" w:eastAsia="Times New Roman" w:hAnsi="Arial" w:cs="Times New Roman"/>
      <w:szCs w:val="20"/>
    </w:rPr>
  </w:style>
  <w:style w:type="paragraph" w:styleId="ListNumber">
    <w:name w:val="List Number"/>
    <w:basedOn w:val="Normal"/>
    <w:uiPriority w:val="99"/>
    <w:unhideWhenUsed/>
    <w:rsid w:val="00876B95"/>
    <w:pPr>
      <w:numPr>
        <w:numId w:val="10"/>
      </w:numPr>
      <w:contextualSpacing/>
    </w:pPr>
  </w:style>
  <w:style w:type="paragraph" w:styleId="ListNumber2">
    <w:name w:val="List Number 2"/>
    <w:basedOn w:val="Normal"/>
    <w:uiPriority w:val="99"/>
    <w:unhideWhenUsed/>
    <w:rsid w:val="00876B95"/>
    <w:pPr>
      <w:numPr>
        <w:numId w:val="11"/>
      </w:numPr>
      <w:contextualSpacing/>
    </w:pPr>
  </w:style>
  <w:style w:type="paragraph" w:styleId="ListNumber3">
    <w:name w:val="List Number 3"/>
    <w:basedOn w:val="Normal"/>
    <w:uiPriority w:val="99"/>
    <w:unhideWhenUsed/>
    <w:rsid w:val="00876B95"/>
    <w:pPr>
      <w:numPr>
        <w:numId w:val="12"/>
      </w:numPr>
      <w:contextualSpacing/>
    </w:pPr>
  </w:style>
  <w:style w:type="paragraph" w:styleId="ListNumber4">
    <w:name w:val="List Number 4"/>
    <w:basedOn w:val="Normal"/>
    <w:uiPriority w:val="99"/>
    <w:unhideWhenUsed/>
    <w:rsid w:val="00876B95"/>
    <w:pPr>
      <w:numPr>
        <w:numId w:val="13"/>
      </w:numPr>
      <w:contextualSpacing/>
    </w:pPr>
  </w:style>
  <w:style w:type="paragraph" w:styleId="ListNumber5">
    <w:name w:val="List Number 5"/>
    <w:basedOn w:val="Normal"/>
    <w:uiPriority w:val="99"/>
    <w:unhideWhenUsed/>
    <w:rsid w:val="00876B95"/>
    <w:pPr>
      <w:numPr>
        <w:numId w:val="14"/>
      </w:numPr>
      <w:contextualSpacing/>
    </w:pPr>
  </w:style>
  <w:style w:type="paragraph" w:styleId="ListContinue4">
    <w:name w:val="List Continue 4"/>
    <w:basedOn w:val="Normal"/>
    <w:uiPriority w:val="99"/>
    <w:unhideWhenUsed/>
    <w:rsid w:val="00876B95"/>
    <w:pPr>
      <w:spacing w:after="120"/>
      <w:ind w:left="1132"/>
      <w:contextualSpacing/>
    </w:pPr>
  </w:style>
  <w:style w:type="paragraph" w:styleId="FootnoteText">
    <w:name w:val="footnote text"/>
    <w:basedOn w:val="Normal"/>
    <w:link w:val="FootnoteTextChar"/>
    <w:uiPriority w:val="99"/>
    <w:rsid w:val="00876B95"/>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76B95"/>
    <w:rPr>
      <w:rFonts w:ascii="Arial" w:eastAsia="Times New Roman" w:hAnsi="Arial" w:cs="Times New Roman"/>
      <w:sz w:val="20"/>
      <w:szCs w:val="20"/>
      <w:lang w:eastAsia="en-GB"/>
    </w:rPr>
  </w:style>
  <w:style w:type="character" w:styleId="FootnoteReference">
    <w:name w:val="footnote reference"/>
    <w:basedOn w:val="DefaultParagraphFont"/>
    <w:rsid w:val="00876B95"/>
    <w:rPr>
      <w:vertAlign w:val="superscript"/>
    </w:rPr>
  </w:style>
  <w:style w:type="paragraph" w:customStyle="1" w:styleId="StyleHeading3level3level3Nadpis3After12pt">
    <w:name w:val="Style Heading 3level 3level3Nadpis 3 + After:  12 pt"/>
    <w:basedOn w:val="Heading3"/>
    <w:rsid w:val="00876B95"/>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76B95"/>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76B95"/>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76B95"/>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76B95"/>
    <w:rPr>
      <w:rFonts w:ascii="Times New Roman" w:eastAsia="Times New Roman" w:hAnsi="Times New Roman" w:cs="Times New Roman"/>
      <w:sz w:val="24"/>
      <w:szCs w:val="24"/>
    </w:rPr>
  </w:style>
  <w:style w:type="paragraph" w:customStyle="1" w:styleId="Normaltext">
    <w:name w:val="Normal_text"/>
    <w:basedOn w:val="Normal"/>
    <w:rsid w:val="00876B95"/>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76B95"/>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76B95"/>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76B95"/>
    <w:rPr>
      <w:b/>
      <w:bCs/>
      <w:smallCaps/>
      <w:color w:val="C0504D" w:themeColor="accent2"/>
      <w:spacing w:val="5"/>
      <w:u w:val="single"/>
    </w:rPr>
  </w:style>
  <w:style w:type="character" w:styleId="BookTitle">
    <w:name w:val="Book Title"/>
    <w:basedOn w:val="DefaultParagraphFont"/>
    <w:uiPriority w:val="33"/>
    <w:qFormat/>
    <w:rsid w:val="00876B95"/>
    <w:rPr>
      <w:b/>
      <w:bCs/>
      <w:smallCaps/>
      <w:spacing w:val="5"/>
    </w:rPr>
  </w:style>
  <w:style w:type="paragraph" w:styleId="List">
    <w:name w:val="List"/>
    <w:basedOn w:val="Normal"/>
    <w:uiPriority w:val="99"/>
    <w:unhideWhenUsed/>
    <w:rsid w:val="00876B95"/>
    <w:pPr>
      <w:ind w:left="283" w:hanging="283"/>
      <w:contextualSpacing/>
    </w:pPr>
  </w:style>
  <w:style w:type="paragraph" w:styleId="List2">
    <w:name w:val="List 2"/>
    <w:basedOn w:val="Normal"/>
    <w:uiPriority w:val="99"/>
    <w:unhideWhenUsed/>
    <w:rsid w:val="00876B95"/>
    <w:pPr>
      <w:ind w:left="566" w:hanging="283"/>
      <w:contextualSpacing/>
    </w:pPr>
  </w:style>
  <w:style w:type="paragraph" w:styleId="List3">
    <w:name w:val="List 3"/>
    <w:basedOn w:val="Normal"/>
    <w:uiPriority w:val="99"/>
    <w:unhideWhenUsed/>
    <w:rsid w:val="00876B95"/>
    <w:pPr>
      <w:ind w:left="849" w:hanging="283"/>
      <w:contextualSpacing/>
    </w:pPr>
  </w:style>
  <w:style w:type="paragraph" w:styleId="List4">
    <w:name w:val="List 4"/>
    <w:basedOn w:val="Normal"/>
    <w:uiPriority w:val="99"/>
    <w:unhideWhenUsed/>
    <w:rsid w:val="00876B95"/>
    <w:pPr>
      <w:ind w:left="1132" w:hanging="283"/>
      <w:contextualSpacing/>
    </w:pPr>
  </w:style>
  <w:style w:type="paragraph" w:styleId="ListBullet2">
    <w:name w:val="List Bullet 2"/>
    <w:basedOn w:val="Normal"/>
    <w:uiPriority w:val="99"/>
    <w:unhideWhenUsed/>
    <w:rsid w:val="00876B95"/>
    <w:pPr>
      <w:numPr>
        <w:numId w:val="19"/>
      </w:numPr>
      <w:contextualSpacing/>
    </w:pPr>
  </w:style>
  <w:style w:type="paragraph" w:styleId="ListBullet">
    <w:name w:val="List Bullet"/>
    <w:basedOn w:val="Normal"/>
    <w:uiPriority w:val="99"/>
    <w:unhideWhenUsed/>
    <w:rsid w:val="00876B95"/>
    <w:pPr>
      <w:numPr>
        <w:numId w:val="18"/>
      </w:numPr>
      <w:contextualSpacing/>
    </w:pPr>
  </w:style>
  <w:style w:type="paragraph" w:styleId="ListBullet3">
    <w:name w:val="List Bullet 3"/>
    <w:basedOn w:val="Normal"/>
    <w:uiPriority w:val="99"/>
    <w:unhideWhenUsed/>
    <w:rsid w:val="00876B95"/>
    <w:pPr>
      <w:numPr>
        <w:numId w:val="20"/>
      </w:numPr>
      <w:contextualSpacing/>
    </w:pPr>
  </w:style>
  <w:style w:type="paragraph" w:customStyle="1" w:styleId="questions">
    <w:name w:val="questions"/>
    <w:basedOn w:val="Text"/>
    <w:rsid w:val="00876B95"/>
    <w:rPr>
      <w:kern w:val="14"/>
    </w:rPr>
  </w:style>
  <w:style w:type="character" w:customStyle="1" w:styleId="DCAlphaCapsChar">
    <w:name w:val="DC Alpha Caps Char"/>
    <w:basedOn w:val="DefaultParagraphFont"/>
    <w:link w:val="DCAlphaCaps"/>
    <w:rsid w:val="00876B95"/>
    <w:rPr>
      <w:rFonts w:ascii="Times New Roman" w:hAnsi="Times New Roman"/>
      <w:sz w:val="24"/>
    </w:rPr>
  </w:style>
  <w:style w:type="character" w:customStyle="1" w:styleId="DCAlphaCaplevel4Char">
    <w:name w:val="DC Alpha Cap level 4 Char"/>
    <w:basedOn w:val="DCAlphaCapsChar"/>
    <w:link w:val="DCAlphaCaplevel4"/>
    <w:rsid w:val="00876B95"/>
    <w:rPr>
      <w:rFonts w:ascii="Times New Roman" w:hAnsi="Times New Roman"/>
      <w:sz w:val="24"/>
    </w:rPr>
  </w:style>
  <w:style w:type="paragraph" w:customStyle="1" w:styleId="Default">
    <w:name w:val="Default"/>
    <w:rsid w:val="00876B95"/>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76B95"/>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76B95"/>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76B95"/>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76B95"/>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76B95"/>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76B95"/>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76B95"/>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76B95"/>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76B95"/>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76B95"/>
    <w:rPr>
      <w:rFonts w:ascii="Times New Roman" w:hAnsi="Times New Roman"/>
      <w:b w:val="0"/>
      <w:caps w:val="0"/>
      <w:sz w:val="24"/>
      <w:u w:val="single"/>
    </w:rPr>
  </w:style>
  <w:style w:type="paragraph" w:customStyle="1" w:styleId="DCSideHeadingnumbered">
    <w:name w:val="DC Side Heading numbered"/>
    <w:basedOn w:val="Normal"/>
    <w:qFormat/>
    <w:rsid w:val="00876B95"/>
    <w:pPr>
      <w:numPr>
        <w:numId w:val="24"/>
      </w:numPr>
    </w:pPr>
    <w:rPr>
      <w:b/>
    </w:rPr>
  </w:style>
  <w:style w:type="character" w:customStyle="1" w:styleId="DCUSATableTextbulletptChar">
    <w:name w:val="DCUSA Table Text bullet pt Char"/>
    <w:basedOn w:val="DCUSATableTextChar"/>
    <w:link w:val="DCUSATableTextbulletpt"/>
    <w:rsid w:val="00876B95"/>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76B95"/>
    <w:rPr>
      <w:rFonts w:ascii="Times New Roman" w:hAnsi="Times New Roman"/>
      <w:b/>
      <w:caps w:val="0"/>
      <w:sz w:val="24"/>
      <w:u w:val="single"/>
    </w:rPr>
  </w:style>
  <w:style w:type="paragraph" w:styleId="Revision">
    <w:name w:val="Revision"/>
    <w:hidden/>
    <w:uiPriority w:val="99"/>
    <w:semiHidden/>
    <w:rsid w:val="00876B95"/>
    <w:pPr>
      <w:spacing w:after="0" w:line="240" w:lineRule="auto"/>
    </w:pPr>
    <w:rPr>
      <w:rFonts w:ascii="Times New Roman" w:hAnsi="Times New Roman"/>
      <w:sz w:val="24"/>
    </w:rPr>
  </w:style>
  <w:style w:type="paragraph" w:styleId="ListContinue3">
    <w:name w:val="List Continue 3"/>
    <w:basedOn w:val="Normal"/>
    <w:uiPriority w:val="99"/>
    <w:unhideWhenUsed/>
    <w:rsid w:val="00876B95"/>
    <w:pPr>
      <w:spacing w:after="120"/>
      <w:ind w:left="849"/>
      <w:contextualSpacing/>
    </w:pPr>
  </w:style>
  <w:style w:type="paragraph" w:styleId="BodyText2">
    <w:name w:val="Body Text 2"/>
    <w:basedOn w:val="Normal"/>
    <w:link w:val="BodyText2Char"/>
    <w:uiPriority w:val="99"/>
    <w:unhideWhenUsed/>
    <w:rsid w:val="00876B95"/>
    <w:pPr>
      <w:spacing w:after="120" w:line="480" w:lineRule="auto"/>
    </w:pPr>
  </w:style>
  <w:style w:type="character" w:customStyle="1" w:styleId="BodyText2Char">
    <w:name w:val="Body Text 2 Char"/>
    <w:basedOn w:val="DefaultParagraphFont"/>
    <w:link w:val="BodyText2"/>
    <w:uiPriority w:val="99"/>
    <w:rsid w:val="00876B95"/>
    <w:rPr>
      <w:rFonts w:ascii="Times New Roman" w:hAnsi="Times New Roman"/>
      <w:sz w:val="24"/>
    </w:rPr>
  </w:style>
  <w:style w:type="character" w:styleId="CommentReference">
    <w:name w:val="annotation reference"/>
    <w:basedOn w:val="DefaultParagraphFont"/>
    <w:rsid w:val="00876B95"/>
    <w:rPr>
      <w:rFonts w:cs="Times New Roman"/>
      <w:sz w:val="16"/>
      <w:szCs w:val="16"/>
    </w:rPr>
  </w:style>
  <w:style w:type="paragraph" w:styleId="CommentText">
    <w:name w:val="annotation text"/>
    <w:basedOn w:val="Normal"/>
    <w:link w:val="CommentTextChar"/>
    <w:rsid w:val="00876B95"/>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76B95"/>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76B95"/>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76B95"/>
    <w:rPr>
      <w:b/>
      <w:bCs/>
    </w:rPr>
  </w:style>
  <w:style w:type="character" w:customStyle="1" w:styleId="CommentSubjectChar">
    <w:name w:val="Comment Subject Char"/>
    <w:basedOn w:val="CommentTextChar"/>
    <w:link w:val="CommentSubject"/>
    <w:rsid w:val="00876B95"/>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76B95"/>
    <w:rPr>
      <w:rFonts w:cs="Times New Roman"/>
      <w:color w:val="800080"/>
      <w:u w:val="single"/>
    </w:rPr>
  </w:style>
  <w:style w:type="paragraph" w:styleId="TOCHeading">
    <w:name w:val="TOC Heading"/>
    <w:basedOn w:val="Heading1"/>
    <w:next w:val="Normal"/>
    <w:uiPriority w:val="39"/>
    <w:qFormat/>
    <w:rsid w:val="00876B95"/>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76B9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76B95"/>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76B95"/>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76B95"/>
    <w:pPr>
      <w:keepLines w:val="0"/>
      <w:numPr>
        <w:numId w:val="25"/>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76B95"/>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76B95"/>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76B95"/>
  </w:style>
  <w:style w:type="table" w:customStyle="1" w:styleId="TableGrid1">
    <w:name w:val="Table Grid1"/>
    <w:basedOn w:val="TableNormal"/>
    <w:next w:val="TableGrid"/>
    <w:rsid w:val="00876B9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76B95"/>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76B95"/>
    <w:rPr>
      <w:rFonts w:ascii="Arial Unicode MS" w:eastAsia="Arial Unicode MS" w:hAnsi="Arial Unicode MS" w:cs="Arial Unicode MS" w:hint="eastAsia"/>
    </w:rPr>
  </w:style>
  <w:style w:type="character" w:customStyle="1" w:styleId="div-wrap-info-bold">
    <w:name w:val="div-wrap-info-bold"/>
    <w:basedOn w:val="DefaultParagraphFont"/>
    <w:rsid w:val="00876B95"/>
    <w:rPr>
      <w:rFonts w:ascii="Times New Roman" w:hAnsi="Times New Roman" w:cs="Times New Roman" w:hint="default"/>
      <w:b/>
      <w:bCs/>
    </w:rPr>
  </w:style>
  <w:style w:type="character" w:customStyle="1" w:styleId="div-wraps-indented">
    <w:name w:val="div-wraps-indented"/>
    <w:basedOn w:val="DefaultParagraphFont"/>
    <w:rsid w:val="00876B95"/>
    <w:rPr>
      <w:rFonts w:ascii="Times New Roman" w:hAnsi="Times New Roman" w:cs="Times New Roman" w:hint="default"/>
    </w:rPr>
  </w:style>
  <w:style w:type="character" w:customStyle="1" w:styleId="amendment-quote">
    <w:name w:val="amendment-quote"/>
    <w:basedOn w:val="DefaultParagraphFont"/>
    <w:rsid w:val="00876B95"/>
    <w:rPr>
      <w:rFonts w:ascii="Helvetica" w:hAnsi="Helvetica" w:hint="default"/>
      <w:b w:val="0"/>
      <w:bCs w:val="0"/>
      <w:i w:val="0"/>
      <w:iCs w:val="0"/>
      <w:color w:val="000000"/>
    </w:rPr>
  </w:style>
  <w:style w:type="character" w:customStyle="1" w:styleId="within-new">
    <w:name w:val="within-new"/>
    <w:basedOn w:val="DefaultParagraphFont"/>
    <w:rsid w:val="00876B95"/>
    <w:rPr>
      <w:color w:val="0000FF"/>
    </w:rPr>
  </w:style>
  <w:style w:type="character" w:customStyle="1" w:styleId="div-wrap-info">
    <w:name w:val="div-wrap-info"/>
    <w:basedOn w:val="DefaultParagraphFont"/>
    <w:rsid w:val="00876B95"/>
  </w:style>
  <w:style w:type="paragraph" w:styleId="BodyTextIndent2">
    <w:name w:val="Body Text Indent 2"/>
    <w:basedOn w:val="Normal"/>
    <w:link w:val="BodyTextIndent2Char"/>
    <w:rsid w:val="00876B95"/>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76B95"/>
    <w:rPr>
      <w:rFonts w:ascii="Times New Roman" w:eastAsia="Times New Roman" w:hAnsi="Times New Roman" w:cs="Times New Roman"/>
      <w:sz w:val="24"/>
      <w:szCs w:val="24"/>
      <w:lang w:eastAsia="en-GB"/>
    </w:rPr>
  </w:style>
  <w:style w:type="paragraph" w:customStyle="1" w:styleId="SectionHeading">
    <w:name w:val="Section Heading"/>
    <w:basedOn w:val="Heading1"/>
    <w:rsid w:val="00876B95"/>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76B95"/>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76B95"/>
  </w:style>
  <w:style w:type="character" w:customStyle="1" w:styleId="CharChar6">
    <w:name w:val="Char Char6"/>
    <w:basedOn w:val="DefaultParagraphFont"/>
    <w:rsid w:val="00876B95"/>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76B95"/>
    <w:rPr>
      <w:rFonts w:ascii="Cambria" w:eastAsia="Times New Roman" w:hAnsi="Cambria" w:cs="Times New Roman"/>
      <w:b/>
      <w:bCs/>
      <w:sz w:val="26"/>
      <w:szCs w:val="26"/>
      <w:lang w:eastAsia="en-GB"/>
    </w:rPr>
  </w:style>
  <w:style w:type="character" w:customStyle="1" w:styleId="bold1">
    <w:name w:val="bold1"/>
    <w:basedOn w:val="DefaultParagraphFont"/>
    <w:rsid w:val="00876B95"/>
    <w:rPr>
      <w:b/>
      <w:bCs/>
    </w:rPr>
  </w:style>
  <w:style w:type="character" w:customStyle="1" w:styleId="highlight">
    <w:name w:val="highlight"/>
    <w:basedOn w:val="DefaultParagraphFont"/>
    <w:rsid w:val="00876B95"/>
  </w:style>
  <w:style w:type="paragraph" w:customStyle="1" w:styleId="StyleHeading2level2level2Left175cmHanging136cm">
    <w:name w:val="Style Heading 2level 2level2 + Left:  1.75 cm Hanging:  1.36 cm..."/>
    <w:basedOn w:val="Heading2"/>
    <w:rsid w:val="00876B95"/>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76B9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76B95"/>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76B95"/>
  </w:style>
  <w:style w:type="numbering" w:customStyle="1" w:styleId="NoList3">
    <w:name w:val="No List3"/>
    <w:next w:val="NoList"/>
    <w:uiPriority w:val="99"/>
    <w:semiHidden/>
    <w:unhideWhenUsed/>
    <w:rsid w:val="00876B95"/>
  </w:style>
  <w:style w:type="table" w:customStyle="1" w:styleId="TableGrid3">
    <w:name w:val="Table Grid3"/>
    <w:basedOn w:val="TableNormal"/>
    <w:next w:val="TableGrid"/>
    <w:uiPriority w:val="59"/>
    <w:rsid w:val="00876B95"/>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76B95"/>
  </w:style>
  <w:style w:type="table" w:customStyle="1" w:styleId="TableGrid4">
    <w:name w:val="Table Grid4"/>
    <w:basedOn w:val="TableNormal"/>
    <w:next w:val="TableGrid"/>
    <w:uiPriority w:val="59"/>
    <w:rsid w:val="0087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76B95"/>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76B95"/>
    <w:rPr>
      <w:rFonts w:eastAsiaTheme="minorEastAsia"/>
      <w:lang w:val="en-US"/>
    </w:rPr>
  </w:style>
  <w:style w:type="paragraph" w:customStyle="1" w:styleId="RecipientAddress">
    <w:name w:val="Recipient Address"/>
    <w:basedOn w:val="NoSpacing"/>
    <w:uiPriority w:val="3"/>
    <w:rsid w:val="00876B95"/>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76B95"/>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76B95"/>
    <w:rPr>
      <w:rFonts w:eastAsiaTheme="minorEastAsia"/>
      <w:b/>
      <w:lang w:val="en-US"/>
    </w:rPr>
  </w:style>
  <w:style w:type="paragraph" w:customStyle="1" w:styleId="SenderAddress">
    <w:name w:val="Sender Address"/>
    <w:basedOn w:val="NoSpacing"/>
    <w:uiPriority w:val="2"/>
    <w:rsid w:val="00876B95"/>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76B95"/>
    <w:rPr>
      <w:color w:val="808080"/>
    </w:rPr>
  </w:style>
  <w:style w:type="paragraph" w:styleId="Signature">
    <w:name w:val="Signature"/>
    <w:basedOn w:val="Normal"/>
    <w:link w:val="SignatureChar"/>
    <w:uiPriority w:val="99"/>
    <w:unhideWhenUsed/>
    <w:rsid w:val="00876B95"/>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76B95"/>
    <w:rPr>
      <w:rFonts w:eastAsiaTheme="minorEastAsia"/>
      <w:lang w:val="en-US"/>
    </w:rPr>
  </w:style>
  <w:style w:type="table" w:customStyle="1" w:styleId="TableGrid5">
    <w:name w:val="Table Grid5"/>
    <w:basedOn w:val="TableNormal"/>
    <w:next w:val="TableGrid"/>
    <w:uiPriority w:val="59"/>
    <w:rsid w:val="00876B95"/>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76B95"/>
    <w:rPr>
      <w:color w:val="2B579A"/>
      <w:shd w:val="clear" w:color="auto" w:fill="E6E6E6"/>
    </w:rPr>
  </w:style>
  <w:style w:type="character" w:customStyle="1" w:styleId="UnresolvedMention">
    <w:name w:val="Unresolved Mention"/>
    <w:basedOn w:val="DefaultParagraphFont"/>
    <w:uiPriority w:val="99"/>
    <w:semiHidden/>
    <w:unhideWhenUsed/>
    <w:rsid w:val="00876B95"/>
    <w:rPr>
      <w:color w:val="808080"/>
      <w:shd w:val="clear" w:color="auto" w:fill="E6E6E6"/>
    </w:rPr>
  </w:style>
  <w:style w:type="character" w:styleId="LineNumber">
    <w:name w:val="line number"/>
    <w:basedOn w:val="DefaultParagraphFont"/>
    <w:uiPriority w:val="99"/>
    <w:semiHidden/>
    <w:unhideWhenUsed/>
    <w:rsid w:val="00876B95"/>
  </w:style>
  <w:style w:type="paragraph" w:customStyle="1" w:styleId="Title1">
    <w:name w:val="Title1"/>
    <w:basedOn w:val="Normal"/>
    <w:uiPriority w:val="99"/>
    <w:rsid w:val="00876B95"/>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76B95"/>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E43F7-444B-4CCC-AC29-640D9D85C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13004</Words>
  <Characters>74127</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86958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Enzor, Andrew</cp:lastModifiedBy>
  <cp:revision>3</cp:revision>
  <dcterms:created xsi:type="dcterms:W3CDTF">2018-11-12T15:06:00Z</dcterms:created>
  <dcterms:modified xsi:type="dcterms:W3CDTF">2018-11-12T15:14:00Z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1540399010</vt:lpwstr>
  </property>
  <property fmtid="{D5CDD505-2E9C-101B-9397-08002B2CF9AE}" pid="5" name="DLPManualFileClassificationVersion">
    <vt:lpwstr>11.0.400.15</vt:lpwstr>
  </property>
</Properties>
</file>