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B2F00" w14:textId="77777777" w:rsidR="00672BA6" w:rsidRDefault="00672BA6" w:rsidP="00587589">
      <w:pPr>
        <w:pStyle w:val="GSTitle"/>
      </w:pPr>
    </w:p>
    <w:p w14:paraId="579D9B90" w14:textId="77777777" w:rsidR="00672BA6" w:rsidRDefault="00672BA6" w:rsidP="00587589">
      <w:pPr>
        <w:pStyle w:val="GSTitle"/>
      </w:pPr>
    </w:p>
    <w:p w14:paraId="3AA5A8D6" w14:textId="5E3DD02E" w:rsidR="001313AC" w:rsidRPr="001313AC" w:rsidRDefault="00695BF3" w:rsidP="00587589">
      <w:pPr>
        <w:pStyle w:val="GSTitle"/>
      </w:pPr>
      <w:r>
        <w:t xml:space="preserve">DCUSA </w:t>
      </w:r>
      <w:r w:rsidR="002A70AF">
        <w:t>Sandbox Guidance Document</w:t>
      </w:r>
    </w:p>
    <w:p w14:paraId="60D1B4FF" w14:textId="651F198F" w:rsidR="00AB72D5" w:rsidRPr="00AB72D5" w:rsidRDefault="00587589" w:rsidP="002A70AF">
      <w:pPr>
        <w:pStyle w:val="Subtitle"/>
        <w:jc w:val="both"/>
        <w:rPr>
          <w:lang w:val="en-US"/>
        </w:rPr>
      </w:pPr>
      <w:r w:rsidRPr="00587589">
        <w:t>This document provides a high</w:t>
      </w:r>
      <w:r>
        <w:t>-</w:t>
      </w:r>
      <w:r w:rsidRPr="00587589">
        <w:t xml:space="preserve">level overview of the Distribution Connection and Use of System Agreement (DCUSA) </w:t>
      </w:r>
      <w:r w:rsidR="002A70AF">
        <w:t>Sandbox Application Process</w:t>
      </w:r>
      <w:r w:rsidRPr="00587589">
        <w:t xml:space="preserve">. </w:t>
      </w:r>
    </w:p>
    <w:tbl>
      <w:tblPr>
        <w:tblStyle w:val="GSTable"/>
        <w:tblW w:w="5000" w:type="pct"/>
        <w:tblInd w:w="0" w:type="dxa"/>
        <w:tblLook w:val="04A0" w:firstRow="1" w:lastRow="0" w:firstColumn="1" w:lastColumn="0" w:noHBand="0" w:noVBand="1"/>
      </w:tblPr>
      <w:tblGrid>
        <w:gridCol w:w="9628"/>
      </w:tblGrid>
      <w:tr w:rsidR="00587589" w:rsidRPr="001313AC" w14:paraId="354E0A35" w14:textId="77777777" w:rsidTr="00587589">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000" w:type="pct"/>
            <w:noWrap/>
            <w:hideMark/>
          </w:tcPr>
          <w:p w14:paraId="68197FF0" w14:textId="3C9E47CE" w:rsidR="00587589" w:rsidRPr="00B44372" w:rsidRDefault="002A70AF" w:rsidP="002A70AF">
            <w:pPr>
              <w:spacing w:before="240" w:line="240" w:lineRule="auto"/>
              <w:ind w:left="360"/>
              <w:jc w:val="center"/>
            </w:pPr>
            <w:r w:rsidRPr="00B44372">
              <w:rPr>
                <w:color w:val="FFFFFF" w:themeColor="background1"/>
              </w:rPr>
              <w:t>Purpose and Scope</w:t>
            </w:r>
          </w:p>
        </w:tc>
      </w:tr>
      <w:tr w:rsidR="002A70AF" w:rsidRPr="001313AC" w14:paraId="72D5C101" w14:textId="77777777" w:rsidTr="002A70AF">
        <w:trPr>
          <w:trHeight w:val="1509"/>
        </w:trPr>
        <w:tc>
          <w:tcPr>
            <w:cnfStyle w:val="001000000000" w:firstRow="0" w:lastRow="0" w:firstColumn="1" w:lastColumn="0" w:oddVBand="0" w:evenVBand="0" w:oddHBand="0" w:evenHBand="0" w:firstRowFirstColumn="0" w:firstRowLastColumn="0" w:lastRowFirstColumn="0" w:lastRowLastColumn="0"/>
            <w:tcW w:w="5000" w:type="pct"/>
            <w:noWrap/>
          </w:tcPr>
          <w:p w14:paraId="0DEA5BF0" w14:textId="24DE7847" w:rsidR="002A70AF" w:rsidRPr="002A70AF" w:rsidRDefault="002A70AF" w:rsidP="002A70AF">
            <w:pPr>
              <w:spacing w:after="120"/>
              <w:ind w:left="284" w:right="281"/>
              <w:jc w:val="both"/>
              <w:outlineLvl w:val="9"/>
              <w:rPr>
                <w:b w:val="0"/>
                <w:sz w:val="22"/>
              </w:rPr>
            </w:pPr>
            <w:r w:rsidRPr="002A70AF">
              <w:rPr>
                <w:b w:val="0"/>
              </w:rPr>
              <w:t>The purpose of this guidance document is to set out the process that the DCUSA Secretariat, Sandbox Applicant, DCUSA Parties, and the DCUSA Panel should follow with respect to Sandbox Applications.</w:t>
            </w:r>
            <w:r w:rsidR="00D625C9">
              <w:rPr>
                <w:b w:val="0"/>
              </w:rPr>
              <w:t xml:space="preserve"> This document also explains the role of the Authority in this process. </w:t>
            </w:r>
          </w:p>
        </w:tc>
      </w:tr>
      <w:tr w:rsidR="00587589" w:rsidRPr="001313AC" w14:paraId="4A1C064C"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6C531365" w14:textId="0C5FDEBF" w:rsidR="00587589" w:rsidRPr="002A70AF" w:rsidRDefault="002A70AF" w:rsidP="002A70AF">
            <w:pPr>
              <w:spacing w:before="240" w:line="240" w:lineRule="auto"/>
              <w:ind w:left="360"/>
              <w:jc w:val="center"/>
              <w:rPr>
                <w:b w:val="0"/>
                <w:color w:val="FFFFFF" w:themeColor="background1"/>
              </w:rPr>
            </w:pPr>
            <w:r w:rsidRPr="002A70AF">
              <w:rPr>
                <w:color w:val="FFFFFF" w:themeColor="background1"/>
              </w:rPr>
              <w:t>Sandbox Application</w:t>
            </w:r>
          </w:p>
        </w:tc>
      </w:tr>
      <w:tr w:rsidR="00587589" w:rsidRPr="001313AC" w14:paraId="642AB53B"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0A7CC388" w14:textId="77777777" w:rsidR="002A70AF" w:rsidRPr="002A70AF" w:rsidRDefault="002A70AF" w:rsidP="002A70AF">
            <w:pPr>
              <w:spacing w:after="120"/>
              <w:ind w:left="284" w:right="281"/>
              <w:jc w:val="both"/>
              <w:outlineLvl w:val="9"/>
              <w:rPr>
                <w:b w:val="0"/>
              </w:rPr>
            </w:pPr>
            <w:r w:rsidRPr="002A70AF">
              <w:rPr>
                <w:b w:val="0"/>
              </w:rPr>
              <w:t xml:space="preserve">A Sandbox Application is initiated by a person or company (Sandbox Applicant) that wishes to trial a new product or service and applies to Ofgem under their regulatory sandbox initiative. It enables innovation to be trialled over a set timeframe covering products or services in the live environment via derogations to either existing energy licences or code obligations. It will be measured against a set of Ofgem and code criteria. </w:t>
            </w:r>
          </w:p>
          <w:p w14:paraId="6F65F3D2" w14:textId="77777777" w:rsidR="002A70AF" w:rsidRPr="002A70AF" w:rsidRDefault="002A70AF" w:rsidP="002A70AF">
            <w:pPr>
              <w:spacing w:after="120"/>
              <w:ind w:left="284" w:right="281"/>
              <w:jc w:val="both"/>
              <w:outlineLvl w:val="9"/>
              <w:rPr>
                <w:b w:val="0"/>
              </w:rPr>
            </w:pPr>
            <w:r w:rsidRPr="002A70AF">
              <w:rPr>
                <w:b w:val="0"/>
              </w:rPr>
              <w:t>Ofgem are not able to offer relief from the detailed codes (of which DCUSA is one) which underpin the operation of the gas and electricity markets, and which industry maintain. In order to widen the scope of the regulatory sandbox, Ofgem have worked closely with code administrators and developed Principle 14 - code administrators shall support prospective energy innovators, which now forms part of the Code Administrators Code of Practice</w:t>
            </w:r>
            <w:r w:rsidRPr="002A70AF">
              <w:rPr>
                <w:rStyle w:val="FootnoteReference"/>
                <w:b w:val="0"/>
              </w:rPr>
              <w:footnoteReference w:id="1"/>
            </w:r>
            <w:r w:rsidRPr="002A70AF">
              <w:rPr>
                <w:b w:val="0"/>
              </w:rPr>
              <w:t xml:space="preserve">. </w:t>
            </w:r>
          </w:p>
          <w:p w14:paraId="3547C111" w14:textId="77777777" w:rsidR="002A70AF" w:rsidRPr="002A70AF" w:rsidRDefault="002A70AF" w:rsidP="002A70AF">
            <w:pPr>
              <w:spacing w:after="120"/>
              <w:ind w:left="284" w:right="281"/>
              <w:jc w:val="both"/>
              <w:outlineLvl w:val="9"/>
              <w:rPr>
                <w:b w:val="0"/>
              </w:rPr>
            </w:pPr>
            <w:r w:rsidRPr="002A70AF">
              <w:rPr>
                <w:b w:val="0"/>
              </w:rPr>
              <w:t>The code of practice ensures that code administrators assist innovators as they apply for derogations to specific code obligations that are then sent to Ofgem to grant permission in order that the trial can be undertaken.</w:t>
            </w:r>
          </w:p>
          <w:p w14:paraId="66D067CB" w14:textId="1CC673BB" w:rsidR="00587589" w:rsidRPr="002A70AF" w:rsidRDefault="002A70AF" w:rsidP="002A70AF">
            <w:pPr>
              <w:spacing w:after="120" w:line="276" w:lineRule="auto"/>
              <w:ind w:left="284" w:right="281"/>
              <w:rPr>
                <w:b w:val="0"/>
                <w:sz w:val="22"/>
              </w:rPr>
            </w:pPr>
            <w:r w:rsidRPr="002A70AF">
              <w:rPr>
                <w:b w:val="0"/>
              </w:rPr>
              <w:lastRenderedPageBreak/>
              <w:t>This guidance document forms part of the support package to Sandbox Applicants. It explains the process to be followed and the information required to progress the request through the DCUSA governance process</w:t>
            </w:r>
          </w:p>
        </w:tc>
      </w:tr>
      <w:tr w:rsidR="00587589" w:rsidRPr="001313AC" w14:paraId="25551F92"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02A59516" w14:textId="59241A63" w:rsidR="00587589" w:rsidRPr="001313AC" w:rsidRDefault="002A70AF" w:rsidP="00DF3A77">
            <w:pPr>
              <w:spacing w:before="240" w:line="240" w:lineRule="auto"/>
              <w:jc w:val="center"/>
            </w:pPr>
            <w:r w:rsidRPr="002A70AF">
              <w:rPr>
                <w:color w:val="FFFFFF" w:themeColor="background1"/>
              </w:rPr>
              <w:lastRenderedPageBreak/>
              <w:t xml:space="preserve">Initial </w:t>
            </w:r>
            <w:r>
              <w:rPr>
                <w:color w:val="FFFFFF" w:themeColor="background1"/>
              </w:rPr>
              <w:t>R</w:t>
            </w:r>
            <w:r w:rsidRPr="002A70AF">
              <w:rPr>
                <w:color w:val="FFFFFF" w:themeColor="background1"/>
              </w:rPr>
              <w:t>equest</w:t>
            </w:r>
          </w:p>
        </w:tc>
      </w:tr>
      <w:tr w:rsidR="002A70AF" w:rsidRPr="001313AC" w14:paraId="0A5BC21A" w14:textId="77777777" w:rsidTr="00C4607B">
        <w:trPr>
          <w:trHeight w:val="1228"/>
        </w:trPr>
        <w:tc>
          <w:tcPr>
            <w:cnfStyle w:val="001000000000" w:firstRow="0" w:lastRow="0" w:firstColumn="1" w:lastColumn="0" w:oddVBand="0" w:evenVBand="0" w:oddHBand="0" w:evenHBand="0" w:firstRowFirstColumn="0" w:firstRowLastColumn="0" w:lastRowFirstColumn="0" w:lastRowLastColumn="0"/>
            <w:tcW w:w="5000" w:type="pct"/>
            <w:noWrap/>
          </w:tcPr>
          <w:p w14:paraId="590D76FD" w14:textId="77777777" w:rsidR="002A70AF" w:rsidRPr="002A70AF" w:rsidRDefault="002A70AF" w:rsidP="002A70AF">
            <w:pPr>
              <w:spacing w:after="120"/>
              <w:ind w:left="142" w:right="281"/>
              <w:jc w:val="both"/>
              <w:outlineLvl w:val="9"/>
              <w:rPr>
                <w:b w:val="0"/>
              </w:rPr>
            </w:pPr>
            <w:r w:rsidRPr="002A70AF">
              <w:rPr>
                <w:b w:val="0"/>
              </w:rPr>
              <w:t>A Sandbox Application should be sent to Ofgem, who will consider whether to forward it to DCUSA Ltd for progression. This enables Ofgem to coordinate applications which have an impact on an industry code, or multiple codes and/or Licences.</w:t>
            </w:r>
          </w:p>
          <w:p w14:paraId="749AB826" w14:textId="77777777" w:rsidR="002A70AF" w:rsidRPr="002A70AF" w:rsidRDefault="002A70AF" w:rsidP="002A70AF">
            <w:pPr>
              <w:spacing w:after="120"/>
              <w:ind w:left="142" w:right="281"/>
              <w:jc w:val="both"/>
              <w:outlineLvl w:val="9"/>
              <w:rPr>
                <w:b w:val="0"/>
              </w:rPr>
            </w:pPr>
            <w:r w:rsidRPr="002A70AF">
              <w:rPr>
                <w:b w:val="0"/>
              </w:rPr>
              <w:t>In order to assist in the development of the application, the DCUSA Secretariat will support the Sandbox Applicant in advance of their submission to Ofgem should they contact them in such instances. They will advise on the process, likely impact on DCUSA if any and whether it impacts any other codes.</w:t>
            </w:r>
          </w:p>
          <w:p w14:paraId="40D36F25" w14:textId="7CEEF4C2" w:rsidR="002A70AF" w:rsidRPr="00672BA6" w:rsidRDefault="002A70AF" w:rsidP="002A70AF">
            <w:pPr>
              <w:spacing w:after="120"/>
              <w:ind w:left="142" w:right="281"/>
              <w:jc w:val="both"/>
              <w:outlineLvl w:val="9"/>
              <w:rPr>
                <w:b w:val="0"/>
                <w:sz w:val="22"/>
              </w:rPr>
            </w:pPr>
            <w:r w:rsidRPr="002A70AF">
              <w:rPr>
                <w:b w:val="0"/>
              </w:rPr>
              <w:t>On receipt of a formal request from Ofgem the DCUSA Secretariat will discuss with the Sandbox Applicant the initiative they wish to introduce, the impacted clauses that need a derogation, the length of time required for the trial, any partners involved and whether they need to accede to DCUSA or not.</w:t>
            </w:r>
          </w:p>
        </w:tc>
      </w:tr>
      <w:tr w:rsidR="00556B5D" w:rsidRPr="001313AC" w14:paraId="3D57DA2C" w14:textId="77777777" w:rsidTr="00556B5D">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7D36E0B7" w14:textId="0C9D67F1" w:rsidR="00556B5D" w:rsidRPr="00556B5D" w:rsidRDefault="002A70AF" w:rsidP="002A70AF">
            <w:pPr>
              <w:pStyle w:val="ListParagraph"/>
              <w:spacing w:after="120"/>
              <w:ind w:left="0"/>
              <w:jc w:val="center"/>
              <w:rPr>
                <w:b w:val="0"/>
              </w:rPr>
            </w:pPr>
            <w:r w:rsidRPr="002A70AF">
              <w:rPr>
                <w:color w:val="FFFFFF" w:themeColor="background1"/>
              </w:rPr>
              <w:t>Derogation</w:t>
            </w:r>
          </w:p>
        </w:tc>
      </w:tr>
      <w:tr w:rsidR="002A70AF" w:rsidRPr="001313AC" w14:paraId="18FADED2" w14:textId="77777777" w:rsidTr="00984A3F">
        <w:trPr>
          <w:trHeight w:val="1680"/>
        </w:trPr>
        <w:tc>
          <w:tcPr>
            <w:cnfStyle w:val="001000000000" w:firstRow="0" w:lastRow="0" w:firstColumn="1" w:lastColumn="0" w:oddVBand="0" w:evenVBand="0" w:oddHBand="0" w:evenHBand="0" w:firstRowFirstColumn="0" w:firstRowLastColumn="0" w:lastRowFirstColumn="0" w:lastRowLastColumn="0"/>
            <w:tcW w:w="5000" w:type="pct"/>
            <w:noWrap/>
          </w:tcPr>
          <w:p w14:paraId="60117679" w14:textId="0DA93F40" w:rsidR="002A70AF" w:rsidRPr="00672BA6" w:rsidRDefault="002A70AF" w:rsidP="002A70AF">
            <w:pPr>
              <w:tabs>
                <w:tab w:val="left" w:pos="567"/>
              </w:tabs>
              <w:spacing w:after="120"/>
              <w:ind w:left="142" w:right="281"/>
              <w:jc w:val="both"/>
              <w:outlineLvl w:val="9"/>
              <w:rPr>
                <w:b w:val="0"/>
                <w:sz w:val="22"/>
              </w:rPr>
            </w:pPr>
            <w:r w:rsidRPr="002A70AF">
              <w:rPr>
                <w:b w:val="0"/>
              </w:rPr>
              <w:t xml:space="preserve">A derogation allows for specific obligations to be removed or amended in order that compliance with the code is not breached. There are likely to be some clauses that will be refused a derogation such as payment of DCUSA Ltd charges, an amendment to the allocation of DCUSA Party charges, payment of DCUSA Party charges and credit cover arrangements. This is not an exhaustive list. </w:t>
            </w:r>
          </w:p>
        </w:tc>
      </w:tr>
      <w:tr w:rsidR="00556B5D" w:rsidRPr="001313AC" w14:paraId="1B7A3B9E" w14:textId="77777777" w:rsidTr="00556B5D">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79A3C99B" w14:textId="11378C4A" w:rsidR="00556B5D" w:rsidRPr="00556B5D" w:rsidRDefault="002A70AF" w:rsidP="00DF3A77">
            <w:pPr>
              <w:spacing w:before="240" w:line="240" w:lineRule="auto"/>
              <w:jc w:val="center"/>
              <w:rPr>
                <w:color w:val="FFFFFF" w:themeColor="background1"/>
              </w:rPr>
            </w:pPr>
            <w:r>
              <w:rPr>
                <w:color w:val="FFFFFF" w:themeColor="background1"/>
              </w:rPr>
              <w:t>Accession</w:t>
            </w:r>
          </w:p>
        </w:tc>
      </w:tr>
      <w:tr w:rsidR="00556B5D" w:rsidRPr="001313AC" w14:paraId="674FD481"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6CAD6E89" w14:textId="2B75EE1B" w:rsidR="002A70AF" w:rsidRPr="002A70AF" w:rsidRDefault="002A70AF" w:rsidP="002A70AF">
            <w:pPr>
              <w:spacing w:after="120"/>
              <w:ind w:left="284" w:right="281"/>
              <w:jc w:val="both"/>
              <w:outlineLvl w:val="9"/>
              <w:rPr>
                <w:b w:val="0"/>
              </w:rPr>
            </w:pPr>
            <w:r w:rsidRPr="002A70AF">
              <w:rPr>
                <w:b w:val="0"/>
              </w:rPr>
              <w:t xml:space="preserve">The obligations within DCUSA are specific to Parties to the agreement. These Parties, in the main, are distributors, suppliers or generators (DCUSA Parties). </w:t>
            </w:r>
            <w:proofErr w:type="gramStart"/>
            <w:r w:rsidRPr="002A70AF">
              <w:rPr>
                <w:b w:val="0"/>
              </w:rPr>
              <w:t>So</w:t>
            </w:r>
            <w:proofErr w:type="gramEnd"/>
            <w:r w:rsidRPr="002A70AF">
              <w:rPr>
                <w:b w:val="0"/>
              </w:rPr>
              <w:t xml:space="preserve"> to derogate an obligation means </w:t>
            </w:r>
            <w:r w:rsidR="00D625C9">
              <w:rPr>
                <w:b w:val="0"/>
              </w:rPr>
              <w:t>the Applicant will</w:t>
            </w:r>
            <w:r w:rsidRPr="002A70AF">
              <w:rPr>
                <w:b w:val="0"/>
              </w:rPr>
              <w:t xml:space="preserve"> impact the processes that are being undertaken by them. </w:t>
            </w:r>
          </w:p>
          <w:p w14:paraId="547672BB" w14:textId="77777777" w:rsidR="002A70AF" w:rsidRPr="002A70AF" w:rsidRDefault="002A70AF" w:rsidP="002A70AF">
            <w:pPr>
              <w:spacing w:after="120"/>
              <w:ind w:left="284" w:right="281"/>
              <w:jc w:val="both"/>
              <w:outlineLvl w:val="9"/>
              <w:rPr>
                <w:b w:val="0"/>
              </w:rPr>
            </w:pPr>
            <w:r w:rsidRPr="002A70AF">
              <w:rPr>
                <w:b w:val="0"/>
              </w:rPr>
              <w:t xml:space="preserve">There are </w:t>
            </w:r>
            <w:proofErr w:type="gramStart"/>
            <w:r w:rsidRPr="002A70AF">
              <w:rPr>
                <w:b w:val="0"/>
              </w:rPr>
              <w:t>a number of</w:t>
            </w:r>
            <w:proofErr w:type="gramEnd"/>
            <w:r w:rsidRPr="002A70AF">
              <w:rPr>
                <w:b w:val="0"/>
              </w:rPr>
              <w:t xml:space="preserve"> options available to Sandbox Applicants. The Sandbox Applicant may already be a Party to DCUSA so there is no accession concern.</w:t>
            </w:r>
          </w:p>
          <w:p w14:paraId="5F1C5E9A" w14:textId="77777777" w:rsidR="002A70AF" w:rsidRPr="002A70AF" w:rsidRDefault="002A70AF" w:rsidP="00B44372">
            <w:pPr>
              <w:spacing w:after="120"/>
              <w:ind w:left="284" w:right="284"/>
              <w:jc w:val="both"/>
              <w:outlineLvl w:val="9"/>
              <w:rPr>
                <w:b w:val="0"/>
              </w:rPr>
            </w:pPr>
            <w:r w:rsidRPr="002A70AF">
              <w:rPr>
                <w:b w:val="0"/>
              </w:rPr>
              <w:lastRenderedPageBreak/>
              <w:t>If the Sandbox Applicant does not have an electricity licence to act as a distributor, supplier or generator and the derogation required impacts that Party or Parties they cannot accede to DCUSA. They can however seek a licence and thereafter accession or seek a partner who has a licence to request the derogation on their behalf. Seeking a licence and the necessary code accession is likely to be prohibitive and not appropriate for a trial so the partner route with a distributor, supplier or generator is the more likely approach.</w:t>
            </w:r>
          </w:p>
          <w:p w14:paraId="5BD0761B" w14:textId="068513EE" w:rsidR="004C447B" w:rsidRPr="002A70AF" w:rsidRDefault="002A70AF" w:rsidP="002A70AF">
            <w:pPr>
              <w:spacing w:after="120"/>
              <w:ind w:left="284" w:right="281"/>
              <w:jc w:val="both"/>
              <w:outlineLvl w:val="9"/>
              <w:rPr>
                <w:b w:val="0"/>
              </w:rPr>
            </w:pPr>
            <w:r w:rsidRPr="002A70AF">
              <w:rPr>
                <w:b w:val="0"/>
              </w:rPr>
              <w:t>The DCUSA Secretariat can provide details of distributors, suppliers and generators so that the Sandbox Applicant can seek a partner to their initiative.</w:t>
            </w:r>
          </w:p>
        </w:tc>
      </w:tr>
      <w:tr w:rsidR="00556B5D" w:rsidRPr="001313AC" w14:paraId="59955759" w14:textId="77777777" w:rsidTr="00556B5D">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3A01292C" w14:textId="0A09A77F" w:rsidR="00556B5D" w:rsidRPr="00B44372" w:rsidRDefault="00B44372" w:rsidP="00B44372">
            <w:pPr>
              <w:tabs>
                <w:tab w:val="left" w:pos="567"/>
              </w:tabs>
              <w:spacing w:after="120"/>
              <w:jc w:val="center"/>
              <w:rPr>
                <w:color w:val="FFFFFF" w:themeColor="background1"/>
              </w:rPr>
            </w:pPr>
            <w:r w:rsidRPr="00B44372">
              <w:rPr>
                <w:color w:val="FFFFFF" w:themeColor="background1"/>
              </w:rPr>
              <w:lastRenderedPageBreak/>
              <w:t xml:space="preserve">Sandbox </w:t>
            </w:r>
            <w:r>
              <w:rPr>
                <w:color w:val="FFFFFF" w:themeColor="background1"/>
              </w:rPr>
              <w:t>P</w:t>
            </w:r>
            <w:r w:rsidRPr="00B44372">
              <w:rPr>
                <w:color w:val="FFFFFF" w:themeColor="background1"/>
              </w:rPr>
              <w:t>rocess</w:t>
            </w:r>
          </w:p>
        </w:tc>
      </w:tr>
      <w:tr w:rsidR="00556B5D" w:rsidRPr="001313AC" w14:paraId="5BE374BE"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2A932071" w14:textId="77777777" w:rsidR="00B44372" w:rsidRPr="00B44372" w:rsidRDefault="00B44372" w:rsidP="00B44372">
            <w:pPr>
              <w:spacing w:after="120"/>
              <w:ind w:left="284" w:right="281"/>
              <w:jc w:val="both"/>
              <w:outlineLvl w:val="9"/>
              <w:rPr>
                <w:b w:val="0"/>
              </w:rPr>
            </w:pPr>
            <w:r w:rsidRPr="00B44372">
              <w:rPr>
                <w:b w:val="0"/>
              </w:rPr>
              <w:t>The sandbox process allows for the DCUSA Panel, in conjunction with representations from DCUSA Parties, to consider the proposal prior to making a recommendation to Ofgem.</w:t>
            </w:r>
          </w:p>
          <w:p w14:paraId="690E125D" w14:textId="0EDA97FC" w:rsidR="00556B5D" w:rsidRPr="00B44372" w:rsidRDefault="00B44372" w:rsidP="00B44372">
            <w:pPr>
              <w:spacing w:after="120"/>
              <w:ind w:left="284" w:right="284"/>
              <w:jc w:val="both"/>
            </w:pPr>
            <w:r w:rsidRPr="00B44372">
              <w:rPr>
                <w:b w:val="0"/>
              </w:rPr>
              <w:t>In order to ensure a robust report is sent to Ofgem, so that a considered decision can be made, both the Panel and Ofgem may request additional information. The DCUSA Secretariat will assist in processing the request through the various stages of the process and keep the Sandbox Applicant updated with the progress</w:t>
            </w:r>
            <w:r w:rsidR="001B7415">
              <w:rPr>
                <w:b w:val="0"/>
              </w:rPr>
              <w:t>.</w:t>
            </w:r>
          </w:p>
        </w:tc>
      </w:tr>
      <w:tr w:rsidR="00556B5D" w:rsidRPr="001313AC" w14:paraId="371A38D0" w14:textId="77777777" w:rsidTr="00556B5D">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4601334F" w14:textId="10EDF7FC" w:rsidR="00556B5D" w:rsidRPr="00B44372" w:rsidRDefault="00B44372" w:rsidP="00B44372">
            <w:pPr>
              <w:tabs>
                <w:tab w:val="left" w:pos="567"/>
              </w:tabs>
              <w:spacing w:after="120"/>
              <w:jc w:val="center"/>
              <w:rPr>
                <w:color w:val="FFFFFF" w:themeColor="background1"/>
              </w:rPr>
            </w:pPr>
            <w:r w:rsidRPr="00B44372">
              <w:rPr>
                <w:color w:val="FFFFFF" w:themeColor="background1"/>
              </w:rPr>
              <w:t>Sandbox Report</w:t>
            </w:r>
          </w:p>
        </w:tc>
      </w:tr>
      <w:tr w:rsidR="00556B5D" w:rsidRPr="001313AC" w14:paraId="024F651E"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5446893C" w14:textId="71C35CF1" w:rsidR="00B44372" w:rsidRPr="00B44372" w:rsidRDefault="00B44372" w:rsidP="00B44372">
            <w:pPr>
              <w:tabs>
                <w:tab w:val="left" w:pos="567"/>
              </w:tabs>
              <w:spacing w:after="120"/>
              <w:ind w:left="142" w:right="281"/>
              <w:jc w:val="both"/>
              <w:outlineLvl w:val="9"/>
              <w:rPr>
                <w:b w:val="0"/>
              </w:rPr>
            </w:pPr>
            <w:r w:rsidRPr="00B44372">
              <w:rPr>
                <w:b w:val="0"/>
              </w:rPr>
              <w:t xml:space="preserve">The DCUSA Secretariat will discuss the initiative with the Sandbox </w:t>
            </w:r>
            <w:r w:rsidR="00DF4593">
              <w:rPr>
                <w:b w:val="0"/>
              </w:rPr>
              <w:t>A</w:t>
            </w:r>
            <w:r w:rsidRPr="00B44372">
              <w:rPr>
                <w:b w:val="0"/>
              </w:rPr>
              <w:t>pplicant in order to submit an initial report to the DCUSA Panel. It will include:</w:t>
            </w:r>
          </w:p>
          <w:p w14:paraId="310BAEFF" w14:textId="77777777" w:rsidR="00B44372" w:rsidRPr="00B44372" w:rsidRDefault="00B44372" w:rsidP="00B44372">
            <w:pPr>
              <w:pStyle w:val="ListParagraph"/>
              <w:numPr>
                <w:ilvl w:val="1"/>
                <w:numId w:val="61"/>
              </w:numPr>
              <w:tabs>
                <w:tab w:val="left" w:pos="851"/>
              </w:tabs>
              <w:spacing w:after="120"/>
              <w:ind w:left="851" w:hanging="567"/>
              <w:jc w:val="both"/>
              <w:outlineLvl w:val="9"/>
              <w:rPr>
                <w:b w:val="0"/>
              </w:rPr>
            </w:pPr>
            <w:r w:rsidRPr="00B44372">
              <w:rPr>
                <w:b w:val="0"/>
              </w:rPr>
              <w:t>Sandbox Applicant details;</w:t>
            </w:r>
            <w:bookmarkStart w:id="0" w:name="_GoBack"/>
            <w:bookmarkEnd w:id="0"/>
          </w:p>
          <w:p w14:paraId="28452B34" w14:textId="77777777" w:rsidR="00B44372" w:rsidRPr="00B44372" w:rsidRDefault="00B44372" w:rsidP="00B44372">
            <w:pPr>
              <w:pStyle w:val="ListParagraph"/>
              <w:numPr>
                <w:ilvl w:val="1"/>
                <w:numId w:val="61"/>
              </w:numPr>
              <w:tabs>
                <w:tab w:val="left" w:pos="851"/>
              </w:tabs>
              <w:spacing w:after="120"/>
              <w:ind w:left="851" w:right="281" w:hanging="567"/>
              <w:jc w:val="both"/>
              <w:outlineLvl w:val="9"/>
              <w:rPr>
                <w:b w:val="0"/>
              </w:rPr>
            </w:pPr>
            <w:r w:rsidRPr="00B44372">
              <w:rPr>
                <w:b w:val="0"/>
              </w:rPr>
              <w:t>DCUSA Party submitting the derogation request (if not the Sandbox Applicant);</w:t>
            </w:r>
          </w:p>
          <w:p w14:paraId="00973712" w14:textId="77777777" w:rsidR="00B44372" w:rsidRPr="00B44372" w:rsidRDefault="00B44372" w:rsidP="00B44372">
            <w:pPr>
              <w:pStyle w:val="ListParagraph"/>
              <w:numPr>
                <w:ilvl w:val="1"/>
                <w:numId w:val="61"/>
              </w:numPr>
              <w:tabs>
                <w:tab w:val="left" w:pos="851"/>
              </w:tabs>
              <w:spacing w:after="120"/>
              <w:ind w:left="851" w:right="281" w:hanging="567"/>
              <w:jc w:val="both"/>
              <w:outlineLvl w:val="9"/>
              <w:rPr>
                <w:b w:val="0"/>
              </w:rPr>
            </w:pPr>
            <w:r w:rsidRPr="00B44372">
              <w:rPr>
                <w:b w:val="0"/>
              </w:rPr>
              <w:t>Set out the reason for the derogation;</w:t>
            </w:r>
          </w:p>
          <w:p w14:paraId="44286476" w14:textId="77777777" w:rsidR="00B44372" w:rsidRPr="00B44372" w:rsidRDefault="00B44372" w:rsidP="00B44372">
            <w:pPr>
              <w:pStyle w:val="ListParagraph"/>
              <w:numPr>
                <w:ilvl w:val="1"/>
                <w:numId w:val="61"/>
              </w:numPr>
              <w:tabs>
                <w:tab w:val="left" w:pos="851"/>
              </w:tabs>
              <w:spacing w:after="120"/>
              <w:ind w:left="851" w:right="281" w:hanging="567"/>
              <w:jc w:val="both"/>
              <w:outlineLvl w:val="9"/>
              <w:rPr>
                <w:b w:val="0"/>
              </w:rPr>
            </w:pPr>
            <w:r w:rsidRPr="00B44372">
              <w:rPr>
                <w:b w:val="0"/>
              </w:rPr>
              <w:t xml:space="preserve">What amendments/deletions are required to DCUSA that form part of the derogation request; </w:t>
            </w:r>
          </w:p>
          <w:p w14:paraId="5CA2E22D" w14:textId="77777777" w:rsidR="00B44372" w:rsidRPr="00B44372" w:rsidRDefault="00B44372" w:rsidP="00B44372">
            <w:pPr>
              <w:pStyle w:val="ListParagraph"/>
              <w:numPr>
                <w:ilvl w:val="1"/>
                <w:numId w:val="61"/>
              </w:numPr>
              <w:tabs>
                <w:tab w:val="left" w:pos="851"/>
              </w:tabs>
              <w:spacing w:after="120"/>
              <w:ind w:left="851" w:right="281" w:hanging="567"/>
              <w:jc w:val="both"/>
              <w:outlineLvl w:val="9"/>
              <w:rPr>
                <w:b w:val="0"/>
              </w:rPr>
            </w:pPr>
            <w:r w:rsidRPr="00B44372">
              <w:rPr>
                <w:b w:val="0"/>
              </w:rPr>
              <w:t xml:space="preserve">Any impact on parties including any costs; </w:t>
            </w:r>
          </w:p>
          <w:p w14:paraId="6FCBBF72" w14:textId="77777777" w:rsidR="00B44372" w:rsidRPr="00B44372" w:rsidRDefault="00B44372" w:rsidP="00B44372">
            <w:pPr>
              <w:pStyle w:val="ListParagraph"/>
              <w:numPr>
                <w:ilvl w:val="1"/>
                <w:numId w:val="61"/>
              </w:numPr>
              <w:tabs>
                <w:tab w:val="left" w:pos="851"/>
              </w:tabs>
              <w:spacing w:after="120"/>
              <w:ind w:left="851" w:right="281" w:hanging="567"/>
              <w:jc w:val="both"/>
              <w:outlineLvl w:val="9"/>
              <w:rPr>
                <w:b w:val="0"/>
              </w:rPr>
            </w:pPr>
            <w:r w:rsidRPr="00B44372">
              <w:rPr>
                <w:b w:val="0"/>
              </w:rPr>
              <w:t xml:space="preserve">How long the derogation is for; </w:t>
            </w:r>
          </w:p>
          <w:p w14:paraId="767C7637" w14:textId="663C3ECC" w:rsidR="00B44372" w:rsidRPr="00B44372" w:rsidRDefault="001B7415" w:rsidP="00B44372">
            <w:pPr>
              <w:pStyle w:val="ListParagraph"/>
              <w:numPr>
                <w:ilvl w:val="1"/>
                <w:numId w:val="61"/>
              </w:numPr>
              <w:tabs>
                <w:tab w:val="left" w:pos="851"/>
              </w:tabs>
              <w:spacing w:after="120"/>
              <w:ind w:left="851" w:right="281" w:hanging="567"/>
              <w:jc w:val="both"/>
              <w:outlineLvl w:val="9"/>
              <w:rPr>
                <w:b w:val="0"/>
              </w:rPr>
            </w:pPr>
            <w:r>
              <w:rPr>
                <w:b w:val="0"/>
              </w:rPr>
              <w:t>H</w:t>
            </w:r>
            <w:r w:rsidR="00B44372" w:rsidRPr="00B44372">
              <w:rPr>
                <w:b w:val="0"/>
              </w:rPr>
              <w:t>ow it better facilitates the DCUSA Objectives; and</w:t>
            </w:r>
          </w:p>
          <w:p w14:paraId="1FD01B49" w14:textId="304212C5" w:rsidR="00B44372" w:rsidRPr="00B44372" w:rsidRDefault="001B7415" w:rsidP="00B44372">
            <w:pPr>
              <w:pStyle w:val="ListParagraph"/>
              <w:numPr>
                <w:ilvl w:val="1"/>
                <w:numId w:val="61"/>
              </w:numPr>
              <w:tabs>
                <w:tab w:val="left" w:pos="851"/>
              </w:tabs>
              <w:spacing w:after="120"/>
              <w:ind w:left="851" w:hanging="567"/>
              <w:jc w:val="both"/>
              <w:outlineLvl w:val="9"/>
              <w:rPr>
                <w:b w:val="0"/>
              </w:rPr>
            </w:pPr>
            <w:r>
              <w:rPr>
                <w:b w:val="0"/>
              </w:rPr>
              <w:lastRenderedPageBreak/>
              <w:t>A</w:t>
            </w:r>
            <w:r w:rsidR="00B44372" w:rsidRPr="00B44372">
              <w:rPr>
                <w:b w:val="0"/>
              </w:rPr>
              <w:t xml:space="preserve"> reporting plan on the trial.</w:t>
            </w:r>
          </w:p>
          <w:p w14:paraId="0DB38A60" w14:textId="71D6D04D" w:rsidR="00B44372" w:rsidRPr="00B44372" w:rsidRDefault="00B44372" w:rsidP="00B44372">
            <w:pPr>
              <w:tabs>
                <w:tab w:val="left" w:pos="567"/>
              </w:tabs>
              <w:spacing w:after="120"/>
              <w:ind w:left="284" w:right="281"/>
              <w:jc w:val="both"/>
              <w:outlineLvl w:val="9"/>
              <w:rPr>
                <w:b w:val="0"/>
              </w:rPr>
            </w:pPr>
            <w:r w:rsidRPr="00B44372">
              <w:rPr>
                <w:b w:val="0"/>
              </w:rPr>
              <w:t xml:space="preserve">Once the DCUSA Panel </w:t>
            </w:r>
            <w:r w:rsidR="001B7415">
              <w:rPr>
                <w:b w:val="0"/>
              </w:rPr>
              <w:t>has approved</w:t>
            </w:r>
            <w:r w:rsidRPr="00B44372">
              <w:rPr>
                <w:b w:val="0"/>
              </w:rPr>
              <w:t xml:space="preserve"> the report, including any request</w:t>
            </w:r>
            <w:r w:rsidR="001B7415">
              <w:rPr>
                <w:b w:val="0"/>
              </w:rPr>
              <w:t xml:space="preserve"> for</w:t>
            </w:r>
            <w:r w:rsidRPr="00B44372">
              <w:rPr>
                <w:b w:val="0"/>
              </w:rPr>
              <w:t xml:space="preserve"> additional information, it will be sent to DCUSA Parties and Ofgem for their consideration. </w:t>
            </w:r>
          </w:p>
          <w:p w14:paraId="3BD049F6" w14:textId="590217C7" w:rsidR="00B44372" w:rsidRPr="00B44372" w:rsidRDefault="00B44372" w:rsidP="00B44372">
            <w:pPr>
              <w:tabs>
                <w:tab w:val="left" w:pos="567"/>
              </w:tabs>
              <w:spacing w:after="120"/>
              <w:ind w:left="284" w:right="281"/>
              <w:jc w:val="both"/>
              <w:outlineLvl w:val="9"/>
              <w:rPr>
                <w:b w:val="0"/>
              </w:rPr>
            </w:pPr>
            <w:r w:rsidRPr="00B44372">
              <w:rPr>
                <w:b w:val="0"/>
              </w:rPr>
              <w:t xml:space="preserve">The feedback from DCUSA Parties will be discussed by the DCUSA Panel at its </w:t>
            </w:r>
            <w:r w:rsidR="001B7415">
              <w:rPr>
                <w:b w:val="0"/>
              </w:rPr>
              <w:t>subsequent</w:t>
            </w:r>
            <w:r w:rsidRPr="00B44372">
              <w:rPr>
                <w:b w:val="0"/>
              </w:rPr>
              <w:t xml:space="preserve"> meeting. The DCUSA Panel, in making their decision, will consider the application together with any representations made and any costs identified by either DCUSA Parties or the DCUSA Secretariat. </w:t>
            </w:r>
          </w:p>
          <w:p w14:paraId="40B227FA" w14:textId="4057063C" w:rsidR="00B44372" w:rsidRPr="00B44372" w:rsidRDefault="001B7415" w:rsidP="00B44372">
            <w:pPr>
              <w:tabs>
                <w:tab w:val="left" w:pos="567"/>
              </w:tabs>
              <w:spacing w:after="120"/>
              <w:ind w:left="284" w:right="281"/>
              <w:jc w:val="both"/>
              <w:outlineLvl w:val="9"/>
              <w:rPr>
                <w:b w:val="0"/>
              </w:rPr>
            </w:pPr>
            <w:r>
              <w:rPr>
                <w:b w:val="0"/>
              </w:rPr>
              <w:t>T</w:t>
            </w:r>
            <w:r w:rsidR="00B44372" w:rsidRPr="00B44372">
              <w:rPr>
                <w:b w:val="0"/>
              </w:rPr>
              <w:t xml:space="preserve">he DCUSA Panel may apply further conditions as part of its recommendation to Ofgem. </w:t>
            </w:r>
          </w:p>
          <w:p w14:paraId="1A77D5BD" w14:textId="00F5B708" w:rsidR="00556B5D" w:rsidRPr="00B44372" w:rsidRDefault="00B44372" w:rsidP="00B44372">
            <w:pPr>
              <w:tabs>
                <w:tab w:val="left" w:pos="567"/>
              </w:tabs>
              <w:spacing w:after="120"/>
              <w:ind w:left="284" w:right="281"/>
              <w:jc w:val="both"/>
              <w:outlineLvl w:val="9"/>
              <w:rPr>
                <w:b w:val="0"/>
              </w:rPr>
            </w:pPr>
            <w:r w:rsidRPr="00B44372">
              <w:rPr>
                <w:b w:val="0"/>
              </w:rPr>
              <w:t>In line with the regulatory sandbox any derogation</w:t>
            </w:r>
            <w:r w:rsidR="00C90DFD">
              <w:rPr>
                <w:b w:val="0"/>
              </w:rPr>
              <w:t xml:space="preserve"> can </w:t>
            </w:r>
            <w:proofErr w:type="gramStart"/>
            <w:r w:rsidR="00C90DFD">
              <w:rPr>
                <w:b w:val="0"/>
              </w:rPr>
              <w:t>only</w:t>
            </w:r>
            <w:r w:rsidRPr="00B44372">
              <w:rPr>
                <w:b w:val="0"/>
              </w:rPr>
              <w:t xml:space="preserve"> </w:t>
            </w:r>
            <w:r w:rsidR="00C90DFD">
              <w:rPr>
                <w:b w:val="0"/>
              </w:rPr>
              <w:t xml:space="preserve"> be</w:t>
            </w:r>
            <w:proofErr w:type="gramEnd"/>
            <w:r w:rsidRPr="00B44372">
              <w:rPr>
                <w:b w:val="0"/>
              </w:rPr>
              <w:t xml:space="preserve"> for</w:t>
            </w:r>
            <w:r w:rsidR="00C90DFD">
              <w:rPr>
                <w:b w:val="0"/>
              </w:rPr>
              <w:t xml:space="preserve"> a maximum of</w:t>
            </w:r>
            <w:r w:rsidRPr="00B44372">
              <w:rPr>
                <w:b w:val="0"/>
              </w:rPr>
              <w:t xml:space="preserve"> two year</w:t>
            </w:r>
            <w:r w:rsidR="00C90DFD">
              <w:rPr>
                <w:b w:val="0"/>
              </w:rPr>
              <w:t>s</w:t>
            </w:r>
            <w:r w:rsidRPr="00B44372">
              <w:rPr>
                <w:b w:val="0"/>
              </w:rPr>
              <w:t xml:space="preserve">. </w:t>
            </w:r>
          </w:p>
        </w:tc>
      </w:tr>
      <w:tr w:rsidR="00672BA6" w:rsidRPr="001313AC" w14:paraId="5BCB4DD8" w14:textId="77777777" w:rsidTr="00672BA6">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5537E14E" w14:textId="5A218BF6" w:rsidR="00672BA6" w:rsidRPr="001313AC" w:rsidRDefault="00B44372" w:rsidP="00DF3A77">
            <w:pPr>
              <w:spacing w:before="240" w:line="240" w:lineRule="auto"/>
              <w:jc w:val="center"/>
            </w:pPr>
            <w:r w:rsidRPr="00B44372">
              <w:rPr>
                <w:color w:val="FFFFFF" w:themeColor="background1"/>
              </w:rPr>
              <w:lastRenderedPageBreak/>
              <w:t>DCUSA Costs</w:t>
            </w:r>
          </w:p>
        </w:tc>
      </w:tr>
      <w:tr w:rsidR="00672BA6" w:rsidRPr="001313AC" w14:paraId="350261DF"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7B5C3CCB" w14:textId="72C0DAB2" w:rsidR="00C90DFD" w:rsidRDefault="00C90DFD" w:rsidP="00B44372">
            <w:pPr>
              <w:spacing w:after="120"/>
              <w:ind w:left="284" w:right="281"/>
              <w:jc w:val="both"/>
              <w:outlineLvl w:val="9"/>
            </w:pPr>
            <w:r w:rsidRPr="00B44372">
              <w:rPr>
                <w:b w:val="0"/>
              </w:rPr>
              <w:t>The DCUSA Secretariat may require payment of a fee to cover the costs of processing an application. This is a standard fee approved by the DCUSA Panel from time to time and published on the DCUSA website.</w:t>
            </w:r>
          </w:p>
          <w:p w14:paraId="59F3C847" w14:textId="31CF58B7" w:rsidR="00B44372" w:rsidRPr="00B44372" w:rsidRDefault="00B44372" w:rsidP="00B44372">
            <w:pPr>
              <w:spacing w:after="120"/>
              <w:ind w:left="284" w:right="281"/>
              <w:jc w:val="both"/>
              <w:outlineLvl w:val="9"/>
              <w:rPr>
                <w:b w:val="0"/>
              </w:rPr>
            </w:pPr>
            <w:proofErr w:type="gramStart"/>
            <w:r w:rsidRPr="00B44372">
              <w:rPr>
                <w:b w:val="0"/>
              </w:rPr>
              <w:t>In the event that</w:t>
            </w:r>
            <w:proofErr w:type="gramEnd"/>
            <w:r w:rsidRPr="00B44372">
              <w:rPr>
                <w:b w:val="0"/>
              </w:rPr>
              <w:t xml:space="preserve"> the initiative impacts any DCUSA Ltd third</w:t>
            </w:r>
            <w:r w:rsidR="00C90DFD">
              <w:rPr>
                <w:b w:val="0"/>
              </w:rPr>
              <w:t>-</w:t>
            </w:r>
            <w:r w:rsidRPr="00B44372">
              <w:rPr>
                <w:b w:val="0"/>
              </w:rPr>
              <w:t>party provider services and/or any additional process changes that need to be undertaken by the DCUSA Secretariat during the trial, such an impact may result in additional costs being passed on to the Sandbox Applicant.</w:t>
            </w:r>
          </w:p>
          <w:p w14:paraId="5F074581" w14:textId="48FFB730" w:rsidR="00672BA6" w:rsidRPr="00C9621C" w:rsidRDefault="00672BA6" w:rsidP="00B44372">
            <w:pPr>
              <w:spacing w:after="120"/>
              <w:ind w:left="284" w:right="281"/>
              <w:jc w:val="both"/>
              <w:outlineLvl w:val="9"/>
              <w:rPr>
                <w:b w:val="0"/>
                <w:sz w:val="22"/>
              </w:rPr>
            </w:pPr>
          </w:p>
        </w:tc>
      </w:tr>
      <w:tr w:rsidR="00672BA6" w:rsidRPr="001313AC" w14:paraId="1FBEC3D6" w14:textId="77777777" w:rsidTr="00672BA6">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56E163CE" w14:textId="25C66D2A" w:rsidR="00672BA6" w:rsidRPr="00B44372" w:rsidRDefault="00B44372" w:rsidP="00B44372">
            <w:pPr>
              <w:tabs>
                <w:tab w:val="left" w:pos="567"/>
              </w:tabs>
              <w:spacing w:after="120"/>
              <w:jc w:val="center"/>
            </w:pPr>
            <w:r w:rsidRPr="00B44372">
              <w:rPr>
                <w:color w:val="FFFFFF" w:themeColor="background1"/>
              </w:rPr>
              <w:t>Recommendation to Ofgem</w:t>
            </w:r>
          </w:p>
        </w:tc>
      </w:tr>
      <w:tr w:rsidR="00672BA6" w:rsidRPr="001313AC" w14:paraId="6D195962"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31EFD069" w14:textId="152387C7" w:rsidR="00B44372" w:rsidRPr="00B44372" w:rsidRDefault="00B44372" w:rsidP="00B44372">
            <w:pPr>
              <w:tabs>
                <w:tab w:val="left" w:pos="567"/>
              </w:tabs>
              <w:spacing w:after="120"/>
              <w:ind w:left="284" w:right="281"/>
              <w:jc w:val="both"/>
              <w:outlineLvl w:val="9"/>
              <w:rPr>
                <w:b w:val="0"/>
              </w:rPr>
            </w:pPr>
            <w:r w:rsidRPr="00B44372">
              <w:rPr>
                <w:b w:val="0"/>
              </w:rPr>
              <w:t xml:space="preserve">Ofgem, on receipt of the recommendation from the DCUSA Panel, will consider the Sandbox Report together with their own criteria in deciding the outcome of the request. They may consider that additional information is required. If this is the case, they will send the report back for further consideration by the DCUSA Panel indicating the areas of further development. This may mean that a further round of consultations </w:t>
            </w:r>
            <w:r w:rsidR="001802A8">
              <w:rPr>
                <w:b w:val="0"/>
              </w:rPr>
              <w:t>is</w:t>
            </w:r>
            <w:r w:rsidRPr="00B44372">
              <w:rPr>
                <w:b w:val="0"/>
              </w:rPr>
              <w:t xml:space="preserve"> required with DCUSA Parties and an updated recommendation by the DCUSA Panel.</w:t>
            </w:r>
          </w:p>
          <w:p w14:paraId="19F52857" w14:textId="23F6E66D" w:rsidR="00672BA6" w:rsidRPr="00B44372" w:rsidRDefault="00B44372" w:rsidP="00B44372">
            <w:pPr>
              <w:tabs>
                <w:tab w:val="left" w:pos="567"/>
              </w:tabs>
              <w:spacing w:after="120"/>
              <w:ind w:left="284" w:right="281"/>
              <w:jc w:val="both"/>
              <w:outlineLvl w:val="9"/>
            </w:pPr>
            <w:r w:rsidRPr="00B44372">
              <w:rPr>
                <w:b w:val="0"/>
              </w:rPr>
              <w:t xml:space="preserve">Once Ofgem have </w:t>
            </w:r>
            <w:proofErr w:type="gramStart"/>
            <w:r w:rsidRPr="00B44372">
              <w:rPr>
                <w:b w:val="0"/>
              </w:rPr>
              <w:t>sufficient</w:t>
            </w:r>
            <w:proofErr w:type="gramEnd"/>
            <w:r w:rsidRPr="00B44372">
              <w:rPr>
                <w:b w:val="0"/>
              </w:rPr>
              <w:t xml:space="preserve"> information to make a decision they will consider the Sandbox Application and notify the DCUSA Panel whether to accept or reject the request.</w:t>
            </w:r>
          </w:p>
        </w:tc>
      </w:tr>
      <w:tr w:rsidR="00672BA6" w:rsidRPr="001313AC" w14:paraId="5C5FA986" w14:textId="77777777" w:rsidTr="00672BA6">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vAlign w:val="center"/>
          </w:tcPr>
          <w:p w14:paraId="4E097879" w14:textId="16CA7558" w:rsidR="00672BA6" w:rsidRPr="00672BA6" w:rsidRDefault="00094839" w:rsidP="00B44372">
            <w:pPr>
              <w:spacing w:before="240" w:line="240" w:lineRule="auto"/>
              <w:ind w:left="284" w:right="281"/>
              <w:jc w:val="center"/>
              <w:rPr>
                <w:color w:val="FFFFFF" w:themeColor="background1"/>
              </w:rPr>
            </w:pPr>
            <w:r w:rsidRPr="00094839">
              <w:rPr>
                <w:color w:val="FFFFFF" w:themeColor="background1"/>
              </w:rPr>
              <w:lastRenderedPageBreak/>
              <w:t>Sandbox Application outcome</w:t>
            </w:r>
          </w:p>
        </w:tc>
      </w:tr>
      <w:tr w:rsidR="00672BA6" w:rsidRPr="001313AC" w14:paraId="156FC7F2"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377ECEE6" w14:textId="77777777" w:rsidR="00094839" w:rsidRPr="00094839" w:rsidRDefault="00094839" w:rsidP="00094839">
            <w:pPr>
              <w:tabs>
                <w:tab w:val="left" w:pos="567"/>
              </w:tabs>
              <w:spacing w:after="120"/>
              <w:ind w:left="284" w:right="281"/>
              <w:jc w:val="both"/>
              <w:outlineLvl w:val="9"/>
              <w:rPr>
                <w:b w:val="0"/>
              </w:rPr>
            </w:pPr>
            <w:r w:rsidRPr="00094839">
              <w:rPr>
                <w:b w:val="0"/>
              </w:rPr>
              <w:t>On receipt of the decision by Ofgem, the DCUSA Secretariat will inform the Sandbox Applicant of the outcome of their request together with any reasons made by them.</w:t>
            </w:r>
          </w:p>
          <w:p w14:paraId="16D4168A" w14:textId="464C530B" w:rsidR="00094839" w:rsidRPr="00094839" w:rsidRDefault="00094839" w:rsidP="00094839">
            <w:pPr>
              <w:tabs>
                <w:tab w:val="left" w:pos="567"/>
              </w:tabs>
              <w:spacing w:after="120"/>
              <w:ind w:left="284" w:right="281"/>
              <w:jc w:val="both"/>
              <w:outlineLvl w:val="9"/>
              <w:rPr>
                <w:b w:val="0"/>
              </w:rPr>
            </w:pPr>
            <w:r w:rsidRPr="00094839">
              <w:rPr>
                <w:b w:val="0"/>
              </w:rPr>
              <w:t xml:space="preserve">If the application was </w:t>
            </w:r>
            <w:proofErr w:type="gramStart"/>
            <w:r w:rsidRPr="00094839">
              <w:rPr>
                <w:b w:val="0"/>
              </w:rPr>
              <w:t>successful</w:t>
            </w:r>
            <w:r w:rsidR="001802A8">
              <w:rPr>
                <w:b w:val="0"/>
              </w:rPr>
              <w:t xml:space="preserve">, </w:t>
            </w:r>
            <w:r w:rsidRPr="00094839">
              <w:rPr>
                <w:b w:val="0"/>
              </w:rPr>
              <w:t xml:space="preserve"> </w:t>
            </w:r>
            <w:r w:rsidR="001802A8">
              <w:rPr>
                <w:b w:val="0"/>
              </w:rPr>
              <w:t>a</w:t>
            </w:r>
            <w:r w:rsidRPr="00094839">
              <w:rPr>
                <w:b w:val="0"/>
              </w:rPr>
              <w:t>s</w:t>
            </w:r>
            <w:proofErr w:type="gramEnd"/>
            <w:r w:rsidRPr="00094839">
              <w:rPr>
                <w:b w:val="0"/>
              </w:rPr>
              <w:t xml:space="preserve"> a minimum, a report </w:t>
            </w:r>
            <w:r w:rsidR="001802A8">
              <w:rPr>
                <w:b w:val="0"/>
              </w:rPr>
              <w:t xml:space="preserve">on the trial </w:t>
            </w:r>
            <w:r w:rsidRPr="00094839">
              <w:rPr>
                <w:b w:val="0"/>
              </w:rPr>
              <w:t xml:space="preserve">is required on the progress being made in line with the reporting plan. It is expected that </w:t>
            </w:r>
            <w:r w:rsidR="001802A8">
              <w:rPr>
                <w:b w:val="0"/>
              </w:rPr>
              <w:t>any additional</w:t>
            </w:r>
            <w:r w:rsidRPr="00094839">
              <w:rPr>
                <w:b w:val="0"/>
              </w:rPr>
              <w:t xml:space="preserve"> report is required by Ofgem, the DCUSA Panel is provided with a copy. Any confidential information will be treated as such by the DCUSA Panel.</w:t>
            </w:r>
          </w:p>
          <w:p w14:paraId="61715C76" w14:textId="77777777" w:rsidR="00094839" w:rsidRPr="00094839" w:rsidRDefault="00094839" w:rsidP="00094839">
            <w:pPr>
              <w:tabs>
                <w:tab w:val="left" w:pos="567"/>
              </w:tabs>
              <w:spacing w:after="120"/>
              <w:ind w:left="284" w:right="281"/>
              <w:jc w:val="both"/>
              <w:outlineLvl w:val="9"/>
              <w:rPr>
                <w:b w:val="0"/>
              </w:rPr>
            </w:pPr>
            <w:r w:rsidRPr="00094839">
              <w:rPr>
                <w:b w:val="0"/>
              </w:rPr>
              <w:t>Any conditions laid down by the DCUSA Panel that form part of the derogation and relate to timescales or milestones will be provided in addition to any Ofgem report.</w:t>
            </w:r>
          </w:p>
          <w:p w14:paraId="085DE6E6" w14:textId="5E3614AC" w:rsidR="00672BA6" w:rsidRPr="00C9621C" w:rsidRDefault="00094839" w:rsidP="00094839">
            <w:pPr>
              <w:tabs>
                <w:tab w:val="left" w:pos="567"/>
              </w:tabs>
              <w:spacing w:after="120"/>
              <w:ind w:left="284" w:right="281"/>
              <w:jc w:val="both"/>
              <w:outlineLvl w:val="9"/>
              <w:rPr>
                <w:b w:val="0"/>
                <w:sz w:val="22"/>
              </w:rPr>
            </w:pPr>
            <w:r w:rsidRPr="00094839">
              <w:rPr>
                <w:b w:val="0"/>
              </w:rPr>
              <w:t>The DCUSA Panel will consider the report and provide feedback if required. Such feedback may include any additional conditions or a revocation of the derogation. If this is the case representation from DCUSA Parties and Ofgem would be requested.</w:t>
            </w:r>
          </w:p>
        </w:tc>
      </w:tr>
      <w:tr w:rsidR="00672BA6" w:rsidRPr="001313AC" w14:paraId="7CBFE3FE" w14:textId="77777777" w:rsidTr="00672BA6">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tcPr>
          <w:p w14:paraId="145E3264" w14:textId="67C87E71" w:rsidR="00672BA6" w:rsidRPr="00672BA6" w:rsidRDefault="00094839" w:rsidP="00B44372">
            <w:pPr>
              <w:spacing w:before="240" w:line="240" w:lineRule="auto"/>
              <w:ind w:left="284" w:right="281"/>
              <w:jc w:val="center"/>
              <w:rPr>
                <w:color w:val="FFFFFF" w:themeColor="background1"/>
              </w:rPr>
            </w:pPr>
            <w:r>
              <w:rPr>
                <w:color w:val="FFFFFF" w:themeColor="background1"/>
              </w:rPr>
              <w:t>Records</w:t>
            </w:r>
          </w:p>
        </w:tc>
      </w:tr>
      <w:tr w:rsidR="00672BA6" w:rsidRPr="001313AC" w14:paraId="511BCC51"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6D68308F" w14:textId="0DE6D846" w:rsidR="00672BA6" w:rsidRPr="00094839" w:rsidRDefault="00094839" w:rsidP="00094839">
            <w:pPr>
              <w:tabs>
                <w:tab w:val="left" w:pos="567"/>
              </w:tabs>
              <w:spacing w:after="120"/>
              <w:ind w:left="284" w:right="281"/>
              <w:jc w:val="both"/>
              <w:outlineLvl w:val="9"/>
              <w:rPr>
                <w:b w:val="0"/>
                <w:sz w:val="22"/>
              </w:rPr>
            </w:pPr>
            <w:r w:rsidRPr="00094839">
              <w:rPr>
                <w:b w:val="0"/>
              </w:rPr>
              <w:t>The DCUSA Secretariat will maintain a record of applications received and their current status from receipt to completion and at various stages in between. A monthly report will be produced and provided to the DCUSA Panel with a status report of in-flight and closed applications which will assist the DCUSA Panel in reviewing any similar requests that have been approved or rejected or that are already under a trial status. In addition</w:t>
            </w:r>
            <w:r w:rsidR="001802A8">
              <w:rPr>
                <w:b w:val="0"/>
              </w:rPr>
              <w:t>,</w:t>
            </w:r>
            <w:r w:rsidRPr="00094839">
              <w:rPr>
                <w:b w:val="0"/>
              </w:rPr>
              <w:t xml:space="preserve"> it will also record the outcome of the trial e.g. whether a </w:t>
            </w:r>
            <w:r w:rsidR="001802A8">
              <w:rPr>
                <w:b w:val="0"/>
              </w:rPr>
              <w:t>C</w:t>
            </w:r>
            <w:r w:rsidRPr="00094839">
              <w:rPr>
                <w:b w:val="0"/>
              </w:rPr>
              <w:t xml:space="preserve">hange </w:t>
            </w:r>
            <w:r w:rsidR="001802A8">
              <w:rPr>
                <w:b w:val="0"/>
              </w:rPr>
              <w:t>P</w:t>
            </w:r>
            <w:r w:rsidRPr="00094839">
              <w:rPr>
                <w:b w:val="0"/>
              </w:rPr>
              <w:t xml:space="preserve">roposal has been raised and what the outcome was. The above will form part of the review undertaken by the DCUSA Panel when considering applications. </w:t>
            </w:r>
          </w:p>
        </w:tc>
      </w:tr>
      <w:tr w:rsidR="00672BA6" w:rsidRPr="001313AC" w14:paraId="04BC6454" w14:textId="77777777" w:rsidTr="00672BA6">
        <w:trPr>
          <w:trHeight w:val="462"/>
        </w:trPr>
        <w:tc>
          <w:tcPr>
            <w:cnfStyle w:val="001000000000" w:firstRow="0" w:lastRow="0" w:firstColumn="1" w:lastColumn="0" w:oddVBand="0" w:evenVBand="0" w:oddHBand="0" w:evenHBand="0" w:firstRowFirstColumn="0" w:firstRowLastColumn="0" w:lastRowFirstColumn="0" w:lastRowLastColumn="0"/>
            <w:tcW w:w="5000" w:type="pct"/>
            <w:shd w:val="clear" w:color="auto" w:fill="3C9164"/>
            <w:noWrap/>
            <w:vAlign w:val="center"/>
          </w:tcPr>
          <w:p w14:paraId="663119EC" w14:textId="2B3837DB" w:rsidR="00672BA6" w:rsidRPr="00672BA6" w:rsidRDefault="00094839" w:rsidP="00B44372">
            <w:pPr>
              <w:spacing w:before="240" w:line="240" w:lineRule="auto"/>
              <w:ind w:left="284" w:right="281"/>
              <w:jc w:val="center"/>
              <w:rPr>
                <w:color w:val="FFFFFF" w:themeColor="background1"/>
              </w:rPr>
            </w:pPr>
            <w:r>
              <w:rPr>
                <w:color w:val="FFFFFF" w:themeColor="background1"/>
              </w:rPr>
              <w:t>Next Steps</w:t>
            </w:r>
          </w:p>
        </w:tc>
      </w:tr>
      <w:tr w:rsidR="00672BA6" w:rsidRPr="001313AC" w14:paraId="0326FCF7" w14:textId="77777777" w:rsidTr="00587589">
        <w:trPr>
          <w:trHeight w:val="462"/>
        </w:trPr>
        <w:tc>
          <w:tcPr>
            <w:cnfStyle w:val="001000000000" w:firstRow="0" w:lastRow="0" w:firstColumn="1" w:lastColumn="0" w:oddVBand="0" w:evenVBand="0" w:oddHBand="0" w:evenHBand="0" w:firstRowFirstColumn="0" w:firstRowLastColumn="0" w:lastRowFirstColumn="0" w:lastRowLastColumn="0"/>
            <w:tcW w:w="5000" w:type="pct"/>
            <w:noWrap/>
          </w:tcPr>
          <w:p w14:paraId="33168CDE" w14:textId="4F220748" w:rsidR="00672BA6" w:rsidRPr="00094839" w:rsidRDefault="00094839" w:rsidP="00094839">
            <w:pPr>
              <w:pStyle w:val="ListParagraph"/>
              <w:spacing w:after="120" w:line="276" w:lineRule="auto"/>
              <w:ind w:left="284" w:right="281"/>
              <w:jc w:val="both"/>
              <w:outlineLvl w:val="9"/>
              <w:rPr>
                <w:rFonts w:asciiTheme="minorHAnsi" w:hAnsiTheme="minorHAnsi"/>
                <w:b w:val="0"/>
              </w:rPr>
            </w:pPr>
            <w:r w:rsidRPr="00094839">
              <w:rPr>
                <w:b w:val="0"/>
              </w:rPr>
              <w:t>If the Sandbox Applicant wishes to progress this initiative further after the tr</w:t>
            </w:r>
            <w:r w:rsidR="00481219">
              <w:rPr>
                <w:b w:val="0"/>
              </w:rPr>
              <w:t>ia</w:t>
            </w:r>
            <w:r w:rsidRPr="00094839">
              <w:rPr>
                <w:b w:val="0"/>
              </w:rPr>
              <w:t xml:space="preserve">l has been </w:t>
            </w:r>
            <w:proofErr w:type="gramStart"/>
            <w:r w:rsidRPr="00094839">
              <w:rPr>
                <w:b w:val="0"/>
              </w:rPr>
              <w:t>closed down</w:t>
            </w:r>
            <w:proofErr w:type="gramEnd"/>
            <w:r w:rsidRPr="00094839">
              <w:rPr>
                <w:b w:val="0"/>
              </w:rPr>
              <w:t xml:space="preserve">, a </w:t>
            </w:r>
            <w:r w:rsidR="00481219">
              <w:rPr>
                <w:b w:val="0"/>
              </w:rPr>
              <w:t>C</w:t>
            </w:r>
            <w:r w:rsidRPr="00094839">
              <w:rPr>
                <w:b w:val="0"/>
              </w:rPr>
              <w:t xml:space="preserve">hange </w:t>
            </w:r>
            <w:r w:rsidR="00481219">
              <w:rPr>
                <w:b w:val="0"/>
              </w:rPr>
              <w:t>P</w:t>
            </w:r>
            <w:r w:rsidRPr="00094839">
              <w:rPr>
                <w:b w:val="0"/>
              </w:rPr>
              <w:t xml:space="preserve">roposal can be </w:t>
            </w:r>
            <w:r w:rsidR="00481219">
              <w:rPr>
                <w:b w:val="0"/>
              </w:rPr>
              <w:t>raised</w:t>
            </w:r>
            <w:r w:rsidRPr="00094839">
              <w:rPr>
                <w:b w:val="0"/>
              </w:rPr>
              <w:t xml:space="preserve"> under the normal DCUSA process.</w:t>
            </w:r>
          </w:p>
        </w:tc>
      </w:tr>
    </w:tbl>
    <w:p w14:paraId="462FA3DB" w14:textId="77777777" w:rsidR="002A70AF" w:rsidRDefault="002A70AF" w:rsidP="00587589">
      <w:pPr>
        <w:pStyle w:val="GSHeading1"/>
      </w:pPr>
    </w:p>
    <w:p w14:paraId="3CBAD4F2" w14:textId="36ADD776" w:rsidR="001313AC" w:rsidRPr="001313AC" w:rsidRDefault="00672BA6" w:rsidP="00587589">
      <w:pPr>
        <w:pStyle w:val="GSHeading1"/>
      </w:pPr>
      <w:r>
        <w:t>Contact Us</w:t>
      </w:r>
    </w:p>
    <w:p w14:paraId="63B8572C" w14:textId="5A9D364C" w:rsidR="00672BA6" w:rsidRPr="00ED6160" w:rsidRDefault="00672BA6" w:rsidP="00672BA6">
      <w:pPr>
        <w:spacing w:line="276" w:lineRule="auto"/>
        <w:jc w:val="both"/>
        <w:rPr>
          <w:lang w:val="en-US"/>
        </w:rPr>
      </w:pPr>
      <w:r w:rsidRPr="00094839">
        <w:rPr>
          <w:bCs/>
          <w:sz w:val="24"/>
          <w:szCs w:val="24"/>
          <w:lang w:val="en-US"/>
        </w:rPr>
        <w:t xml:space="preserve">For more information on the DCUSA </w:t>
      </w:r>
      <w:r w:rsidR="002A70AF" w:rsidRPr="00094839">
        <w:rPr>
          <w:bCs/>
          <w:sz w:val="24"/>
          <w:szCs w:val="24"/>
          <w:lang w:val="en-US"/>
        </w:rPr>
        <w:t>Sandbox Application</w:t>
      </w:r>
      <w:r w:rsidRPr="00094839">
        <w:rPr>
          <w:bCs/>
          <w:sz w:val="24"/>
          <w:szCs w:val="24"/>
          <w:lang w:val="en-US"/>
        </w:rPr>
        <w:t xml:space="preserve"> Process you can contact the DCUSA Helpdesk at </w:t>
      </w:r>
      <w:hyperlink r:id="rId8" w:history="1">
        <w:r w:rsidRPr="00094839">
          <w:rPr>
            <w:rStyle w:val="Hyperlink"/>
            <w:bCs/>
            <w:sz w:val="24"/>
            <w:szCs w:val="24"/>
            <w:lang w:val="en-US"/>
          </w:rPr>
          <w:t>DCUSA@ElectraLink.co.uk</w:t>
        </w:r>
      </w:hyperlink>
      <w:r w:rsidRPr="00094839">
        <w:rPr>
          <w:bCs/>
          <w:sz w:val="24"/>
          <w:szCs w:val="24"/>
          <w:lang w:val="en-US"/>
        </w:rPr>
        <w:t xml:space="preserve"> or call 020 7432 3011</w:t>
      </w:r>
      <w:r w:rsidRPr="00ED6160">
        <w:rPr>
          <w:bCs/>
          <w:lang w:val="en-US"/>
        </w:rPr>
        <w:t xml:space="preserve">. </w:t>
      </w:r>
    </w:p>
    <w:sectPr w:rsidR="00672BA6" w:rsidRPr="00ED6160" w:rsidSect="00DF3A77">
      <w:headerReference w:type="default" r:id="rId9"/>
      <w:footerReference w:type="default" r:id="rId10"/>
      <w:headerReference w:type="first" r:id="rId11"/>
      <w:footerReference w:type="first" r:id="rId12"/>
      <w:pgSz w:w="11906" w:h="16838" w:code="9"/>
      <w:pgMar w:top="993" w:right="1134" w:bottom="851" w:left="1134" w:header="454" w:footer="1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DF703" w14:textId="77777777" w:rsidR="00CB706C" w:rsidRDefault="00CB706C" w:rsidP="00587589">
      <w:r>
        <w:separator/>
      </w:r>
    </w:p>
  </w:endnote>
  <w:endnote w:type="continuationSeparator" w:id="0">
    <w:p w14:paraId="07779C59" w14:textId="77777777" w:rsidR="00CB706C" w:rsidRDefault="00CB706C" w:rsidP="00587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79E23" w14:textId="2BF10A2A" w:rsidR="00752DAE" w:rsidRDefault="00752DAE" w:rsidP="00587589">
    <w:pPr>
      <w:pStyle w:val="GSHeaderFooter"/>
    </w:pPr>
    <w:r w:rsidRPr="00600716">
      <w:rPr>
        <w:noProof/>
        <w:lang w:eastAsia="en-GB"/>
      </w:rPr>
      <mc:AlternateContent>
        <mc:Choice Requires="wps">
          <w:drawing>
            <wp:anchor distT="0" distB="0" distL="114300" distR="114300" simplePos="0" relativeHeight="251652096" behindDoc="0" locked="0" layoutInCell="1" allowOverlap="1" wp14:anchorId="3CAC3301" wp14:editId="591FB809">
              <wp:simplePos x="0" y="0"/>
              <wp:positionH relativeFrom="margin">
                <wp:posOffset>0</wp:posOffset>
              </wp:positionH>
              <wp:positionV relativeFrom="paragraph">
                <wp:posOffset>114300</wp:posOffset>
              </wp:positionV>
              <wp:extent cx="6104255" cy="12700"/>
              <wp:effectExtent l="0" t="0" r="29845" b="25400"/>
              <wp:wrapNone/>
              <wp:docPr id="4" name="Straight Connector 4"/>
              <wp:cNvGraphicFramePr/>
              <a:graphic xmlns:a="http://schemas.openxmlformats.org/drawingml/2006/main">
                <a:graphicData uri="http://schemas.microsoft.com/office/word/2010/wordprocessingShape">
                  <wps:wsp>
                    <wps:cNvCnPr/>
                    <wps:spPr>
                      <a:xfrm flipV="1">
                        <a:off x="0" y="0"/>
                        <a:ext cx="6104255" cy="1270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w14:anchorId="6946F6BB" id="Straight Connector 4" o:spid="_x0000_s1026" style="position:absolute;flip:y;z-index:2516520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9pt" to="480.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" strokecolor="#7f7f7f">
              <w10:wrap anchorx="margin"/>
            </v:line>
          </w:pict>
        </mc:Fallback>
      </mc:AlternateContent>
    </w:r>
    <w:r>
      <w:tab/>
    </w:r>
    <w:r>
      <w:tab/>
    </w:r>
    <w:r w:rsidRPr="00600716">
      <w:rPr>
        <w:rFonts w:eastAsia="Times New Roman" w:cs="Times New Roman"/>
        <w:noProof/>
        <w:color w:val="404040"/>
        <w:sz w:val="22"/>
        <w:lang w:eastAsia="en-GB"/>
      </w:rPr>
      <mc:AlternateContent>
        <mc:Choice Requires="wps">
          <w:drawing>
            <wp:anchor distT="0" distB="0" distL="114300" distR="114300" simplePos="0" relativeHeight="251655168" behindDoc="0" locked="0" layoutInCell="1" allowOverlap="1" wp14:anchorId="2B3BEF02" wp14:editId="354CF00D">
              <wp:simplePos x="0" y="0"/>
              <wp:positionH relativeFrom="margin">
                <wp:posOffset>4652645</wp:posOffset>
              </wp:positionH>
              <wp:positionV relativeFrom="paragraph">
                <wp:posOffset>489585</wp:posOffset>
              </wp:positionV>
              <wp:extent cx="1468192" cy="373487"/>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1468192" cy="373487"/>
                      </a:xfrm>
                      <a:prstGeom prst="rect">
                        <a:avLst/>
                      </a:prstGeom>
                      <a:noFill/>
                      <a:ln w="6350">
                        <a:noFill/>
                      </a:ln>
                    </wps:spPr>
                    <wps:txbx>
                      <w:txbxContent>
                        <w:p w14:paraId="556E8103" w14:textId="3CE5C6C5" w:rsidR="00752DAE" w:rsidRDefault="00752DAE" w:rsidP="00587589">
                          <w:pPr>
                            <w:pStyle w:val="PageNo"/>
                          </w:pPr>
                          <w:r>
                            <w:t xml:space="preserve">Page </w:t>
                          </w:r>
                          <w:r>
                            <w:fldChar w:fldCharType="begin"/>
                          </w:r>
                          <w:r>
                            <w:instrText xml:space="preserve"> PAGE  \* Arabic  \* MERGEFORMAT </w:instrText>
                          </w:r>
                          <w:r>
                            <w:fldChar w:fldCharType="separate"/>
                          </w:r>
                          <w:r w:rsidR="00217420">
                            <w:rPr>
                              <w:noProof/>
                            </w:rPr>
                            <w:t>2</w:t>
                          </w:r>
                          <w:r>
                            <w:fldChar w:fldCharType="end"/>
                          </w:r>
                          <w:r>
                            <w:t xml:space="preserve"> of </w:t>
                          </w:r>
                          <w:r w:rsidR="00BD58B5">
                            <w:rPr>
                              <w:noProof/>
                            </w:rPr>
                            <w:fldChar w:fldCharType="begin"/>
                          </w:r>
                          <w:r w:rsidR="00BD58B5">
                            <w:rPr>
                              <w:noProof/>
                            </w:rPr>
                            <w:instrText xml:space="preserve"> NUMPAGES  \* Arabic  \* MERGEFORMAT </w:instrText>
                          </w:r>
                          <w:r w:rsidR="00BD58B5">
                            <w:rPr>
                              <w:noProof/>
                            </w:rPr>
                            <w:fldChar w:fldCharType="separate"/>
                          </w:r>
                          <w:r w:rsidR="00217420">
                            <w:rPr>
                              <w:noProof/>
                            </w:rPr>
                            <w:t>3</w:t>
                          </w:r>
                          <w:r w:rsidR="00BD58B5">
                            <w:rPr>
                              <w:noProof/>
                            </w:rPr>
                            <w:fldChar w:fldCharType="end"/>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2B3BEF02" id="_x0000_t202" coordsize="21600,21600" o:spt="202" path="m,l,21600r21600,l21600,xe">
              <v:stroke joinstyle="miter"/>
              <v:path gradientshapeok="t" o:connecttype="rect"/>
            </v:shapetype>
            <v:shape id="Text Box 9" o:spid="_x0000_s1026" type="#_x0000_t202" style="position:absolute;margin-left:366.35pt;margin-top:38.55pt;width:115.6pt;height:29.4pt;z-index:2516551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" filled="f" stroked="f" strokeweight=".5pt">
              <v:textbox inset="0,,0">
                <w:txbxContent>
                  <w:p w14:paraId="556E8103" w14:textId="3CE5C6C5" w:rsidR="00752DAE" w:rsidRDefault="00752DAE" w:rsidP="00587589">
                    <w:pPr>
                      <w:pStyle w:val="PageNo"/>
                    </w:pPr>
                    <w:r>
                      <w:t xml:space="preserve">Page </w:t>
                    </w:r>
                    <w:r>
                      <w:fldChar w:fldCharType="begin"/>
                    </w:r>
                    <w:r>
                      <w:instrText xml:space="preserve"> PAGE  \* Arabic  \* MERGEFORMAT </w:instrText>
                    </w:r>
                    <w:r>
                      <w:fldChar w:fldCharType="separate"/>
                    </w:r>
                    <w:r w:rsidR="00217420">
                      <w:rPr>
                        <w:noProof/>
                      </w:rPr>
                      <w:t>2</w:t>
                    </w:r>
                    <w:r>
                      <w:fldChar w:fldCharType="end"/>
                    </w:r>
                    <w:r>
                      <w:t xml:space="preserve"> of </w:t>
                    </w:r>
                    <w:r w:rsidR="00BD58B5">
                      <w:rPr>
                        <w:noProof/>
                      </w:rPr>
                      <w:fldChar w:fldCharType="begin"/>
                    </w:r>
                    <w:r w:rsidR="00BD58B5">
                      <w:rPr>
                        <w:noProof/>
                      </w:rPr>
                      <w:instrText xml:space="preserve"> NUMPAGES  \* Arabic  \* MERGEFORMAT </w:instrText>
                    </w:r>
                    <w:r w:rsidR="00BD58B5">
                      <w:rPr>
                        <w:noProof/>
                      </w:rPr>
                      <w:fldChar w:fldCharType="separate"/>
                    </w:r>
                    <w:r w:rsidR="00217420">
                      <w:rPr>
                        <w:noProof/>
                      </w:rPr>
                      <w:t>3</w:t>
                    </w:r>
                    <w:r w:rsidR="00BD58B5">
                      <w:rPr>
                        <w:noProof/>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F37CE" w14:textId="5A3C155D" w:rsidR="00752DAE" w:rsidRDefault="00752DAE" w:rsidP="00587589">
    <w:pPr>
      <w:pStyle w:val="Footer"/>
    </w:pPr>
    <w:r w:rsidRPr="00600716">
      <w:rPr>
        <w:rFonts w:eastAsia="Times New Roman" w:cs="Times New Roman"/>
        <w:noProof/>
        <w:color w:val="404040"/>
        <w:lang w:eastAsia="en-GB"/>
      </w:rPr>
      <mc:AlternateContent>
        <mc:Choice Requires="wps">
          <w:drawing>
            <wp:anchor distT="0" distB="0" distL="114300" distR="114300" simplePos="0" relativeHeight="251658240" behindDoc="0" locked="0" layoutInCell="1" allowOverlap="1" wp14:anchorId="43B84B20" wp14:editId="1026E3CB">
              <wp:simplePos x="0" y="0"/>
              <wp:positionH relativeFrom="margin">
                <wp:posOffset>4652645</wp:posOffset>
              </wp:positionH>
              <wp:positionV relativeFrom="paragraph">
                <wp:posOffset>579120</wp:posOffset>
              </wp:positionV>
              <wp:extent cx="1468120" cy="373380"/>
              <wp:effectExtent l="0" t="0" r="5080" b="7620"/>
              <wp:wrapNone/>
              <wp:docPr id="13" name="Text Box 13"/>
              <wp:cNvGraphicFramePr/>
              <a:graphic xmlns:a="http://schemas.openxmlformats.org/drawingml/2006/main">
                <a:graphicData uri="http://schemas.microsoft.com/office/word/2010/wordprocessingShape">
                  <wps:wsp>
                    <wps:cNvSpPr txBox="1"/>
                    <wps:spPr>
                      <a:xfrm>
                        <a:off x="0" y="0"/>
                        <a:ext cx="1468120" cy="373380"/>
                      </a:xfrm>
                      <a:prstGeom prst="rect">
                        <a:avLst/>
                      </a:prstGeom>
                      <a:noFill/>
                      <a:ln w="6350">
                        <a:noFill/>
                      </a:ln>
                    </wps:spPr>
                    <wps:txbx>
                      <w:txbxContent>
                        <w:p w14:paraId="0F655A82" w14:textId="0CDA93D2" w:rsidR="00752DAE" w:rsidRDefault="00752DAE" w:rsidP="00587589">
                          <w:pPr>
                            <w:pStyle w:val="PageNo"/>
                          </w:pPr>
                          <w:r>
                            <w:t xml:space="preserve">Page </w:t>
                          </w:r>
                          <w:r>
                            <w:fldChar w:fldCharType="begin"/>
                          </w:r>
                          <w:r>
                            <w:instrText xml:space="preserve"> PAGE  \* Arabic  \* MERGEFORMAT </w:instrText>
                          </w:r>
                          <w:r>
                            <w:fldChar w:fldCharType="separate"/>
                          </w:r>
                          <w:r w:rsidR="00217420">
                            <w:rPr>
                              <w:noProof/>
                            </w:rPr>
                            <w:t>1</w:t>
                          </w:r>
                          <w:r>
                            <w:fldChar w:fldCharType="end"/>
                          </w:r>
                          <w:r>
                            <w:t xml:space="preserve"> of </w:t>
                          </w:r>
                          <w:r w:rsidR="00BD58B5">
                            <w:rPr>
                              <w:noProof/>
                            </w:rPr>
                            <w:fldChar w:fldCharType="begin"/>
                          </w:r>
                          <w:r w:rsidR="00BD58B5">
                            <w:rPr>
                              <w:noProof/>
                            </w:rPr>
                            <w:instrText xml:space="preserve"> NUMPAGES  \* Arabic  \* MERGEFORMAT </w:instrText>
                          </w:r>
                          <w:r w:rsidR="00BD58B5">
                            <w:rPr>
                              <w:noProof/>
                            </w:rPr>
                            <w:fldChar w:fldCharType="separate"/>
                          </w:r>
                          <w:r w:rsidR="00217420">
                            <w:rPr>
                              <w:noProof/>
                            </w:rPr>
                            <w:t>3</w:t>
                          </w:r>
                          <w:r w:rsidR="00BD58B5">
                            <w:rPr>
                              <w:noProof/>
                            </w:rPr>
                            <w:fldChar w:fldCharType="end"/>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anchor>
          </w:drawing>
        </mc:Choice>
        <mc:Fallback>
          <w:pict>
            <v:shapetype w14:anchorId="43B84B20" id="_x0000_t202" coordsize="21600,21600" o:spt="202" path="m,l,21600r21600,l21600,xe">
              <v:stroke joinstyle="miter"/>
              <v:path gradientshapeok="t" o:connecttype="rect"/>
            </v:shapetype>
            <v:shape id="Text Box 13" o:spid="_x0000_s1027" type="#_x0000_t202" style="position:absolute;margin-left:366.35pt;margin-top:45.6pt;width:115.6pt;height:29.4pt;z-index:2516582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" filled="f" stroked="f" strokeweight=".5pt">
              <v:textbox inset="0,,0">
                <w:txbxContent>
                  <w:p w14:paraId="0F655A82" w14:textId="0CDA93D2" w:rsidR="00752DAE" w:rsidRDefault="00752DAE" w:rsidP="00587589">
                    <w:pPr>
                      <w:pStyle w:val="PageNo"/>
                    </w:pPr>
                    <w:r>
                      <w:t xml:space="preserve">Page </w:t>
                    </w:r>
                    <w:r>
                      <w:fldChar w:fldCharType="begin"/>
                    </w:r>
                    <w:r>
                      <w:instrText xml:space="preserve"> PAGE  \* Arabic  \* MERGEFORMAT </w:instrText>
                    </w:r>
                    <w:r>
                      <w:fldChar w:fldCharType="separate"/>
                    </w:r>
                    <w:r w:rsidR="00217420">
                      <w:rPr>
                        <w:noProof/>
                      </w:rPr>
                      <w:t>1</w:t>
                    </w:r>
                    <w:r>
                      <w:fldChar w:fldCharType="end"/>
                    </w:r>
                    <w:r>
                      <w:t xml:space="preserve"> of </w:t>
                    </w:r>
                    <w:r w:rsidR="00BD58B5">
                      <w:rPr>
                        <w:noProof/>
                      </w:rPr>
                      <w:fldChar w:fldCharType="begin"/>
                    </w:r>
                    <w:r w:rsidR="00BD58B5">
                      <w:rPr>
                        <w:noProof/>
                      </w:rPr>
                      <w:instrText xml:space="preserve"> NUMPAGES  \* Arabic  \* MERGEFORMAT </w:instrText>
                    </w:r>
                    <w:r w:rsidR="00BD58B5">
                      <w:rPr>
                        <w:noProof/>
                      </w:rPr>
                      <w:fldChar w:fldCharType="separate"/>
                    </w:r>
                    <w:r w:rsidR="00217420">
                      <w:rPr>
                        <w:noProof/>
                      </w:rPr>
                      <w:t>3</w:t>
                    </w:r>
                    <w:r w:rsidR="00BD58B5">
                      <w:rPr>
                        <w:noProof/>
                      </w:rPr>
                      <w:fldChar w:fldCharType="end"/>
                    </w:r>
                  </w:p>
                </w:txbxContent>
              </v:textbox>
              <w10:wrap anchorx="margin"/>
            </v:shape>
          </w:pict>
        </mc:Fallback>
      </mc:AlternateContent>
    </w:r>
    <w:r w:rsidRPr="00600716">
      <w:rPr>
        <w:noProof/>
        <w:lang w:eastAsia="en-GB"/>
      </w:rPr>
      <mc:AlternateContent>
        <mc:Choice Requires="wps">
          <w:drawing>
            <wp:anchor distT="0" distB="0" distL="114300" distR="114300" simplePos="0" relativeHeight="251661312" behindDoc="0" locked="0" layoutInCell="1" allowOverlap="1" wp14:anchorId="4DD2D819" wp14:editId="4E0C6BD3">
              <wp:simplePos x="0" y="0"/>
              <wp:positionH relativeFrom="margin">
                <wp:posOffset>0</wp:posOffset>
              </wp:positionH>
              <wp:positionV relativeFrom="paragraph">
                <wp:posOffset>234315</wp:posOffset>
              </wp:positionV>
              <wp:extent cx="6104255" cy="12700"/>
              <wp:effectExtent l="0" t="0" r="17145" b="38100"/>
              <wp:wrapNone/>
              <wp:docPr id="8" name="Straight Connector 8"/>
              <wp:cNvGraphicFramePr/>
              <a:graphic xmlns:a="http://schemas.openxmlformats.org/drawingml/2006/main">
                <a:graphicData uri="http://schemas.microsoft.com/office/word/2010/wordprocessingShape">
                  <wps:wsp>
                    <wps:cNvCnPr/>
                    <wps:spPr>
                      <a:xfrm flipV="1">
                        <a:off x="0" y="0"/>
                        <a:ext cx="6104255" cy="1270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anchor>
          </w:drawing>
        </mc:Choice>
        <mc:Fallback>
          <w:pict>
            <v:line w14:anchorId="293FC766" id="Straight Connector 8" o:spid="_x0000_s1026" style="position:absolute;flip:y;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8.45pt" to="480.65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" strokecolor="#7f7f7f">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52A25" w14:textId="77777777" w:rsidR="00CB706C" w:rsidRDefault="00CB706C" w:rsidP="00587589">
      <w:r>
        <w:separator/>
      </w:r>
    </w:p>
  </w:footnote>
  <w:footnote w:type="continuationSeparator" w:id="0">
    <w:p w14:paraId="42B97563" w14:textId="77777777" w:rsidR="00CB706C" w:rsidRDefault="00CB706C" w:rsidP="00587589">
      <w:r>
        <w:continuationSeparator/>
      </w:r>
    </w:p>
  </w:footnote>
  <w:footnote w:id="1">
    <w:p w14:paraId="04529C83" w14:textId="77777777" w:rsidR="002A70AF" w:rsidRDefault="002A70AF" w:rsidP="002A70AF">
      <w:pPr>
        <w:pStyle w:val="FootnoteText"/>
      </w:pPr>
      <w:r>
        <w:rPr>
          <w:rStyle w:val="FootnoteReference"/>
        </w:rPr>
        <w:footnoteRef/>
      </w:r>
      <w:r>
        <w:t xml:space="preserve"> </w:t>
      </w:r>
      <w:hyperlink r:id="rId1" w:history="1">
        <w:r w:rsidRPr="003E6205">
          <w:rPr>
            <w:rStyle w:val="Hyperlink"/>
          </w:rPr>
          <w:t>Code Administrators Code of Practice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5509E" w14:textId="77777777" w:rsidR="00752DAE" w:rsidRDefault="00752DAE" w:rsidP="00587589">
    <w:pPr>
      <w:pStyle w:val="GSHeaderFoote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3A747" w14:textId="57A827A2" w:rsidR="00752DAE" w:rsidRPr="002D067A" w:rsidRDefault="00752DAE" w:rsidP="00587589">
    <w:pPr>
      <w:pStyle w:val="Header"/>
    </w:pPr>
    <w:r w:rsidRPr="00A61E19">
      <w:rPr>
        <w:noProof/>
        <w:lang w:eastAsia="en-GB"/>
      </w:rPr>
      <w:drawing>
        <wp:anchor distT="0" distB="0" distL="114300" distR="114300" simplePos="0" relativeHeight="251664384" behindDoc="0" locked="0" layoutInCell="1" allowOverlap="1" wp14:anchorId="63A01C27" wp14:editId="6A9F4AF6">
          <wp:simplePos x="0" y="0"/>
          <wp:positionH relativeFrom="margin">
            <wp:posOffset>-342900</wp:posOffset>
          </wp:positionH>
          <wp:positionV relativeFrom="paragraph">
            <wp:posOffset>40005</wp:posOffset>
          </wp:positionV>
          <wp:extent cx="6842760" cy="152971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D067A">
      <w:tab/>
    </w:r>
    <w:r w:rsidRPr="002D067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AECF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90E7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E8C5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EE651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3A9F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D16349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F2ECC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D80E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9C3A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F420DF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F46E30"/>
    <w:multiLevelType w:val="multilevel"/>
    <w:tmpl w:val="83FA78CA"/>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15:restartNumberingAfterBreak="0">
    <w:nsid w:val="107920C5"/>
    <w:multiLevelType w:val="hybridMultilevel"/>
    <w:tmpl w:val="B414FBD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20F05E0"/>
    <w:multiLevelType w:val="multilevel"/>
    <w:tmpl w:val="26FE4F86"/>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3" w15:restartNumberingAfterBreak="0">
    <w:nsid w:val="15021CD4"/>
    <w:multiLevelType w:val="multilevel"/>
    <w:tmpl w:val="6C846A30"/>
    <w:numStyleLink w:val="GSNumList"/>
  </w:abstractNum>
  <w:abstractNum w:abstractNumId="14" w15:restartNumberingAfterBreak="0">
    <w:nsid w:val="15424780"/>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5"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6" w15:restartNumberingAfterBreak="0">
    <w:nsid w:val="19562F38"/>
    <w:multiLevelType w:val="hybridMultilevel"/>
    <w:tmpl w:val="D5FCD1DE"/>
    <w:lvl w:ilvl="0" w:tplc="8F588F22">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F90180B"/>
    <w:multiLevelType w:val="hybridMultilevel"/>
    <w:tmpl w:val="42A64594"/>
    <w:lvl w:ilvl="0" w:tplc="04090003">
      <w:start w:val="1"/>
      <w:numFmt w:val="decimal"/>
      <w:lvlText w:val="%1."/>
      <w:lvlJc w:val="left"/>
      <w:pPr>
        <w:ind w:left="2106" w:hanging="360"/>
      </w:pPr>
    </w:lvl>
    <w:lvl w:ilvl="1" w:tplc="08090019" w:tentative="1">
      <w:start w:val="1"/>
      <w:numFmt w:val="lowerLetter"/>
      <w:lvlText w:val="%2."/>
      <w:lvlJc w:val="left"/>
      <w:pPr>
        <w:ind w:left="2826" w:hanging="360"/>
      </w:pPr>
    </w:lvl>
    <w:lvl w:ilvl="2" w:tplc="0809001B" w:tentative="1">
      <w:start w:val="1"/>
      <w:numFmt w:val="lowerRoman"/>
      <w:lvlText w:val="%3."/>
      <w:lvlJc w:val="right"/>
      <w:pPr>
        <w:ind w:left="3546" w:hanging="180"/>
      </w:pPr>
    </w:lvl>
    <w:lvl w:ilvl="3" w:tplc="0809000F" w:tentative="1">
      <w:start w:val="1"/>
      <w:numFmt w:val="decimal"/>
      <w:lvlText w:val="%4."/>
      <w:lvlJc w:val="left"/>
      <w:pPr>
        <w:ind w:left="4266" w:hanging="360"/>
      </w:pPr>
    </w:lvl>
    <w:lvl w:ilvl="4" w:tplc="08090019" w:tentative="1">
      <w:start w:val="1"/>
      <w:numFmt w:val="lowerLetter"/>
      <w:lvlText w:val="%5."/>
      <w:lvlJc w:val="left"/>
      <w:pPr>
        <w:ind w:left="4986" w:hanging="360"/>
      </w:pPr>
    </w:lvl>
    <w:lvl w:ilvl="5" w:tplc="0809001B" w:tentative="1">
      <w:start w:val="1"/>
      <w:numFmt w:val="lowerRoman"/>
      <w:lvlText w:val="%6."/>
      <w:lvlJc w:val="right"/>
      <w:pPr>
        <w:ind w:left="5706" w:hanging="180"/>
      </w:pPr>
    </w:lvl>
    <w:lvl w:ilvl="6" w:tplc="0809000F" w:tentative="1">
      <w:start w:val="1"/>
      <w:numFmt w:val="decimal"/>
      <w:lvlText w:val="%7."/>
      <w:lvlJc w:val="left"/>
      <w:pPr>
        <w:ind w:left="6426" w:hanging="360"/>
      </w:pPr>
    </w:lvl>
    <w:lvl w:ilvl="7" w:tplc="08090019" w:tentative="1">
      <w:start w:val="1"/>
      <w:numFmt w:val="lowerLetter"/>
      <w:lvlText w:val="%8."/>
      <w:lvlJc w:val="left"/>
      <w:pPr>
        <w:ind w:left="7146" w:hanging="360"/>
      </w:pPr>
    </w:lvl>
    <w:lvl w:ilvl="8" w:tplc="0809001B" w:tentative="1">
      <w:start w:val="1"/>
      <w:numFmt w:val="lowerRoman"/>
      <w:lvlText w:val="%9."/>
      <w:lvlJc w:val="right"/>
      <w:pPr>
        <w:ind w:left="7866" w:hanging="180"/>
      </w:pPr>
    </w:lvl>
  </w:abstractNum>
  <w:abstractNum w:abstractNumId="18" w15:restartNumberingAfterBreak="0">
    <w:nsid w:val="200D4223"/>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9" w15:restartNumberingAfterBreak="0">
    <w:nsid w:val="2A7B6647"/>
    <w:multiLevelType w:val="multilevel"/>
    <w:tmpl w:val="6C846A30"/>
    <w:numStyleLink w:val="GSNumList"/>
  </w:abstractNum>
  <w:abstractNum w:abstractNumId="20" w15:restartNumberingAfterBreak="0">
    <w:nsid w:val="2ADA2FE4"/>
    <w:multiLevelType w:val="hybridMultilevel"/>
    <w:tmpl w:val="FF3E796A"/>
    <w:lvl w:ilvl="0" w:tplc="8F588F22">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0671B8"/>
    <w:multiLevelType w:val="multilevel"/>
    <w:tmpl w:val="6C846A30"/>
    <w:numStyleLink w:val="GSNumList"/>
  </w:abstractNum>
  <w:abstractNum w:abstractNumId="22" w15:restartNumberingAfterBreak="0">
    <w:nsid w:val="2D1E2321"/>
    <w:multiLevelType w:val="multilevel"/>
    <w:tmpl w:val="6C846A30"/>
    <w:numStyleLink w:val="GSNumList"/>
  </w:abstractNum>
  <w:abstractNum w:abstractNumId="23" w15:restartNumberingAfterBreak="0">
    <w:nsid w:val="2F8C4A2D"/>
    <w:multiLevelType w:val="multilevel"/>
    <w:tmpl w:val="6C846A30"/>
    <w:numStyleLink w:val="GSNumList"/>
  </w:abstractNum>
  <w:abstractNum w:abstractNumId="24" w15:restartNumberingAfterBreak="0">
    <w:nsid w:val="326F0C9E"/>
    <w:multiLevelType w:val="hybridMultilevel"/>
    <w:tmpl w:val="A9A6BDD6"/>
    <w:lvl w:ilvl="0" w:tplc="28F2226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295431E"/>
    <w:multiLevelType w:val="hybridMultilevel"/>
    <w:tmpl w:val="4EA80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8F42071"/>
    <w:multiLevelType w:val="multilevel"/>
    <w:tmpl w:val="6C846A30"/>
    <w:numStyleLink w:val="GSNumList"/>
  </w:abstractNum>
  <w:abstractNum w:abstractNumId="27" w15:restartNumberingAfterBreak="0">
    <w:nsid w:val="3A7858EF"/>
    <w:multiLevelType w:val="multilevel"/>
    <w:tmpl w:val="6C846A30"/>
    <w:numStyleLink w:val="GSNumList"/>
  </w:abstractNum>
  <w:abstractNum w:abstractNumId="28" w15:restartNumberingAfterBreak="0">
    <w:nsid w:val="41F34423"/>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9" w15:restartNumberingAfterBreak="0">
    <w:nsid w:val="461E3564"/>
    <w:multiLevelType w:val="hybridMultilevel"/>
    <w:tmpl w:val="F29CEA7A"/>
    <w:lvl w:ilvl="0" w:tplc="73F2AE3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7F314A"/>
    <w:multiLevelType w:val="hybridMultilevel"/>
    <w:tmpl w:val="2FD4486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68060C2"/>
    <w:multiLevelType w:val="hybridMultilevel"/>
    <w:tmpl w:val="90F23842"/>
    <w:lvl w:ilvl="0" w:tplc="8F588F22">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F20C6C"/>
    <w:multiLevelType w:val="hybridMultilevel"/>
    <w:tmpl w:val="9F10D1E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33" w15:restartNumberingAfterBreak="0">
    <w:nsid w:val="4BD86DC4"/>
    <w:multiLevelType w:val="multilevel"/>
    <w:tmpl w:val="6FD4A7F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FCC0CC4"/>
    <w:multiLevelType w:val="hybridMultilevel"/>
    <w:tmpl w:val="B4E2C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81B59A9"/>
    <w:multiLevelType w:val="hybridMultilevel"/>
    <w:tmpl w:val="F4F4EF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83703C6"/>
    <w:multiLevelType w:val="multilevel"/>
    <w:tmpl w:val="3FBEDCE8"/>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none"/>
      <w:lvlText w:val="-"/>
      <w:lvlJc w:val="left"/>
      <w:pPr>
        <w:tabs>
          <w:tab w:val="num" w:pos="1134"/>
        </w:tabs>
        <w:ind w:left="1134" w:hanging="283"/>
      </w:pPr>
      <w:rPr>
        <w:rFonts w:hint="default"/>
      </w:rPr>
    </w:lvl>
    <w:lvl w:ilvl="4">
      <w:start w:val="1"/>
      <w:numFmt w:val="lowerLetter"/>
      <w:lvlText w:val="(%5)"/>
      <w:lvlJc w:val="left"/>
      <w:pPr>
        <w:tabs>
          <w:tab w:val="num" w:pos="567"/>
        </w:tabs>
        <w:ind w:left="567" w:hanging="567"/>
      </w:pPr>
      <w:rPr>
        <w:rFonts w:hint="default"/>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37" w15:restartNumberingAfterBreak="0">
    <w:nsid w:val="5A762C80"/>
    <w:multiLevelType w:val="hybridMultilevel"/>
    <w:tmpl w:val="42A64594"/>
    <w:lvl w:ilvl="0" w:tplc="04090003">
      <w:start w:val="1"/>
      <w:numFmt w:val="decimal"/>
      <w:lvlText w:val="%1."/>
      <w:lvlJc w:val="left"/>
      <w:pPr>
        <w:ind w:left="2106" w:hanging="360"/>
      </w:pPr>
    </w:lvl>
    <w:lvl w:ilvl="1" w:tplc="08090019" w:tentative="1">
      <w:start w:val="1"/>
      <w:numFmt w:val="lowerLetter"/>
      <w:lvlText w:val="%2."/>
      <w:lvlJc w:val="left"/>
      <w:pPr>
        <w:ind w:left="2826" w:hanging="360"/>
      </w:pPr>
    </w:lvl>
    <w:lvl w:ilvl="2" w:tplc="0809001B" w:tentative="1">
      <w:start w:val="1"/>
      <w:numFmt w:val="lowerRoman"/>
      <w:lvlText w:val="%3."/>
      <w:lvlJc w:val="right"/>
      <w:pPr>
        <w:ind w:left="3546" w:hanging="180"/>
      </w:pPr>
    </w:lvl>
    <w:lvl w:ilvl="3" w:tplc="0809000F" w:tentative="1">
      <w:start w:val="1"/>
      <w:numFmt w:val="decimal"/>
      <w:lvlText w:val="%4."/>
      <w:lvlJc w:val="left"/>
      <w:pPr>
        <w:ind w:left="4266" w:hanging="360"/>
      </w:pPr>
    </w:lvl>
    <w:lvl w:ilvl="4" w:tplc="08090019" w:tentative="1">
      <w:start w:val="1"/>
      <w:numFmt w:val="lowerLetter"/>
      <w:lvlText w:val="%5."/>
      <w:lvlJc w:val="left"/>
      <w:pPr>
        <w:ind w:left="4986" w:hanging="360"/>
      </w:pPr>
    </w:lvl>
    <w:lvl w:ilvl="5" w:tplc="0809001B" w:tentative="1">
      <w:start w:val="1"/>
      <w:numFmt w:val="lowerRoman"/>
      <w:lvlText w:val="%6."/>
      <w:lvlJc w:val="right"/>
      <w:pPr>
        <w:ind w:left="5706" w:hanging="180"/>
      </w:pPr>
    </w:lvl>
    <w:lvl w:ilvl="6" w:tplc="0809000F" w:tentative="1">
      <w:start w:val="1"/>
      <w:numFmt w:val="decimal"/>
      <w:lvlText w:val="%7."/>
      <w:lvlJc w:val="left"/>
      <w:pPr>
        <w:ind w:left="6426" w:hanging="360"/>
      </w:pPr>
    </w:lvl>
    <w:lvl w:ilvl="7" w:tplc="08090019" w:tentative="1">
      <w:start w:val="1"/>
      <w:numFmt w:val="lowerLetter"/>
      <w:lvlText w:val="%8."/>
      <w:lvlJc w:val="left"/>
      <w:pPr>
        <w:ind w:left="7146" w:hanging="360"/>
      </w:pPr>
    </w:lvl>
    <w:lvl w:ilvl="8" w:tplc="0809001B" w:tentative="1">
      <w:start w:val="1"/>
      <w:numFmt w:val="lowerRoman"/>
      <w:lvlText w:val="%9."/>
      <w:lvlJc w:val="right"/>
      <w:pPr>
        <w:ind w:left="7866" w:hanging="180"/>
      </w:pPr>
    </w:lvl>
  </w:abstractNum>
  <w:abstractNum w:abstractNumId="38" w15:restartNumberingAfterBreak="0">
    <w:nsid w:val="5B050D51"/>
    <w:multiLevelType w:val="hybridMultilevel"/>
    <w:tmpl w:val="455C35CE"/>
    <w:lvl w:ilvl="0" w:tplc="535EC352">
      <w:start w:val="1"/>
      <w:numFmt w:val="bullet"/>
      <w:pStyle w:val="GSBodyPara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D5A0221"/>
    <w:multiLevelType w:val="multilevel"/>
    <w:tmpl w:val="EBC800D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890A5F"/>
    <w:multiLevelType w:val="multilevel"/>
    <w:tmpl w:val="6C846A30"/>
    <w:numStyleLink w:val="GSNumList"/>
  </w:abstractNum>
  <w:abstractNum w:abstractNumId="41" w15:restartNumberingAfterBreak="0">
    <w:nsid w:val="650F31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C27EAF"/>
    <w:multiLevelType w:val="hybridMultilevel"/>
    <w:tmpl w:val="BAAAA850"/>
    <w:lvl w:ilvl="0" w:tplc="8F588F22">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A5C1E77"/>
    <w:multiLevelType w:val="hybridMultilevel"/>
    <w:tmpl w:val="FF10C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33508CD"/>
    <w:multiLevelType w:val="hybridMultilevel"/>
    <w:tmpl w:val="42A64594"/>
    <w:lvl w:ilvl="0" w:tplc="04090003">
      <w:start w:val="1"/>
      <w:numFmt w:val="decimal"/>
      <w:lvlText w:val="%1."/>
      <w:lvlJc w:val="left"/>
      <w:pPr>
        <w:ind w:left="2106" w:hanging="360"/>
      </w:pPr>
    </w:lvl>
    <w:lvl w:ilvl="1" w:tplc="08090019" w:tentative="1">
      <w:start w:val="1"/>
      <w:numFmt w:val="lowerLetter"/>
      <w:lvlText w:val="%2."/>
      <w:lvlJc w:val="left"/>
      <w:pPr>
        <w:ind w:left="2826" w:hanging="360"/>
      </w:pPr>
    </w:lvl>
    <w:lvl w:ilvl="2" w:tplc="0809001B" w:tentative="1">
      <w:start w:val="1"/>
      <w:numFmt w:val="lowerRoman"/>
      <w:lvlText w:val="%3."/>
      <w:lvlJc w:val="right"/>
      <w:pPr>
        <w:ind w:left="3546" w:hanging="180"/>
      </w:pPr>
    </w:lvl>
    <w:lvl w:ilvl="3" w:tplc="0809000F" w:tentative="1">
      <w:start w:val="1"/>
      <w:numFmt w:val="decimal"/>
      <w:lvlText w:val="%4."/>
      <w:lvlJc w:val="left"/>
      <w:pPr>
        <w:ind w:left="4266" w:hanging="360"/>
      </w:pPr>
    </w:lvl>
    <w:lvl w:ilvl="4" w:tplc="08090019" w:tentative="1">
      <w:start w:val="1"/>
      <w:numFmt w:val="lowerLetter"/>
      <w:lvlText w:val="%5."/>
      <w:lvlJc w:val="left"/>
      <w:pPr>
        <w:ind w:left="4986" w:hanging="360"/>
      </w:pPr>
    </w:lvl>
    <w:lvl w:ilvl="5" w:tplc="0809001B" w:tentative="1">
      <w:start w:val="1"/>
      <w:numFmt w:val="lowerRoman"/>
      <w:lvlText w:val="%6."/>
      <w:lvlJc w:val="right"/>
      <w:pPr>
        <w:ind w:left="5706" w:hanging="180"/>
      </w:pPr>
    </w:lvl>
    <w:lvl w:ilvl="6" w:tplc="0809000F" w:tentative="1">
      <w:start w:val="1"/>
      <w:numFmt w:val="decimal"/>
      <w:lvlText w:val="%7."/>
      <w:lvlJc w:val="left"/>
      <w:pPr>
        <w:ind w:left="6426" w:hanging="360"/>
      </w:pPr>
    </w:lvl>
    <w:lvl w:ilvl="7" w:tplc="08090019" w:tentative="1">
      <w:start w:val="1"/>
      <w:numFmt w:val="lowerLetter"/>
      <w:lvlText w:val="%8."/>
      <w:lvlJc w:val="left"/>
      <w:pPr>
        <w:ind w:left="7146" w:hanging="360"/>
      </w:pPr>
    </w:lvl>
    <w:lvl w:ilvl="8" w:tplc="0809001B" w:tentative="1">
      <w:start w:val="1"/>
      <w:numFmt w:val="lowerRoman"/>
      <w:lvlText w:val="%9."/>
      <w:lvlJc w:val="right"/>
      <w:pPr>
        <w:ind w:left="7866" w:hanging="180"/>
      </w:pPr>
    </w:lvl>
  </w:abstractNum>
  <w:abstractNum w:abstractNumId="45" w15:restartNumberingAfterBreak="0">
    <w:nsid w:val="776F2894"/>
    <w:multiLevelType w:val="hybridMultilevel"/>
    <w:tmpl w:val="E4669C5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AF0E4A"/>
    <w:multiLevelType w:val="multilevel"/>
    <w:tmpl w:val="6C846A30"/>
    <w:numStyleLink w:val="GSNumList"/>
  </w:abstractNum>
  <w:abstractNum w:abstractNumId="47"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15"/>
  </w:num>
  <w:num w:numId="2">
    <w:abstractNumId w:val="13"/>
  </w:num>
  <w:num w:numId="3">
    <w:abstractNumId w:val="26"/>
  </w:num>
  <w:num w:numId="4">
    <w:abstractNumId w:val="46"/>
  </w:num>
  <w:num w:numId="5">
    <w:abstractNumId w:val="21"/>
  </w:num>
  <w:num w:numId="6">
    <w:abstractNumId w:val="19"/>
  </w:num>
  <w:num w:numId="7">
    <w:abstractNumId w:val="40"/>
  </w:num>
  <w:num w:numId="8">
    <w:abstractNumId w:val="47"/>
  </w:num>
  <w:num w:numId="9">
    <w:abstractNumId w:val="23"/>
  </w:num>
  <w:num w:numId="10">
    <w:abstractNumId w:val="36"/>
  </w:num>
  <w:num w:numId="11">
    <w:abstractNumId w:val="14"/>
  </w:num>
  <w:num w:numId="12">
    <w:abstractNumId w:val="18"/>
  </w:num>
  <w:num w:numId="13">
    <w:abstractNumId w:val="15"/>
  </w:num>
  <w:num w:numId="14">
    <w:abstractNumId w:val="29"/>
  </w:num>
  <w:num w:numId="15">
    <w:abstractNumId w:val="27"/>
  </w:num>
  <w:num w:numId="16">
    <w:abstractNumId w:val="28"/>
  </w:num>
  <w:num w:numId="17">
    <w:abstractNumId w:val="22"/>
  </w:num>
  <w:num w:numId="18">
    <w:abstractNumId w:val="10"/>
  </w:num>
  <w:num w:numId="19">
    <w:abstractNumId w:val="10"/>
  </w:num>
  <w:num w:numId="20">
    <w:abstractNumId w:val="47"/>
  </w:num>
  <w:num w:numId="21">
    <w:abstractNumId w:val="47"/>
  </w:num>
  <w:num w:numId="22">
    <w:abstractNumId w:val="12"/>
  </w:num>
  <w:num w:numId="23">
    <w:abstractNumId w:val="47"/>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4"/>
  </w:num>
  <w:num w:numId="35">
    <w:abstractNumId w:val="41"/>
  </w:num>
  <w:num w:numId="36">
    <w:abstractNumId w:val="34"/>
  </w:num>
  <w:num w:numId="37">
    <w:abstractNumId w:val="38"/>
  </w:num>
  <w:num w:numId="38">
    <w:abstractNumId w:val="43"/>
  </w:num>
  <w:num w:numId="3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25"/>
  </w:num>
  <w:num w:numId="42">
    <w:abstractNumId w:val="31"/>
  </w:num>
  <w:num w:numId="43">
    <w:abstractNumId w:val="42"/>
  </w:num>
  <w:num w:numId="44">
    <w:abstractNumId w:val="32"/>
  </w:num>
  <w:num w:numId="45">
    <w:abstractNumId w:val="17"/>
  </w:num>
  <w:num w:numId="46">
    <w:abstractNumId w:val="20"/>
  </w:num>
  <w:num w:numId="47">
    <w:abstractNumId w:val="16"/>
  </w:num>
  <w:num w:numId="48">
    <w:abstractNumId w:val="38"/>
  </w:num>
  <w:num w:numId="49">
    <w:abstractNumId w:val="30"/>
  </w:num>
  <w:num w:numId="50">
    <w:abstractNumId w:val="38"/>
  </w:num>
  <w:num w:numId="51">
    <w:abstractNumId w:val="11"/>
  </w:num>
  <w:num w:numId="52">
    <w:abstractNumId w:val="38"/>
  </w:num>
  <w:num w:numId="53">
    <w:abstractNumId w:val="38"/>
  </w:num>
  <w:num w:numId="54">
    <w:abstractNumId w:val="38"/>
  </w:num>
  <w:num w:numId="55">
    <w:abstractNumId w:val="38"/>
  </w:num>
  <w:num w:numId="56">
    <w:abstractNumId w:val="38"/>
  </w:num>
  <w:num w:numId="57">
    <w:abstractNumId w:val="37"/>
  </w:num>
  <w:num w:numId="58">
    <w:abstractNumId w:val="39"/>
  </w:num>
  <w:num w:numId="59">
    <w:abstractNumId w:val="45"/>
  </w:num>
  <w:num w:numId="60">
    <w:abstractNumId w:val="35"/>
  </w:num>
  <w:num w:numId="61">
    <w:abstractNumId w:val="3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25C"/>
    <w:rsid w:val="00044E50"/>
    <w:rsid w:val="00090CA1"/>
    <w:rsid w:val="00094839"/>
    <w:rsid w:val="000C149F"/>
    <w:rsid w:val="000D2210"/>
    <w:rsid w:val="00102586"/>
    <w:rsid w:val="001146A1"/>
    <w:rsid w:val="001313AC"/>
    <w:rsid w:val="00155A1B"/>
    <w:rsid w:val="00157BD0"/>
    <w:rsid w:val="00165147"/>
    <w:rsid w:val="001802A8"/>
    <w:rsid w:val="001A6D4E"/>
    <w:rsid w:val="001B5CF2"/>
    <w:rsid w:val="001B7415"/>
    <w:rsid w:val="001C090C"/>
    <w:rsid w:val="001D4493"/>
    <w:rsid w:val="00203AD3"/>
    <w:rsid w:val="00217420"/>
    <w:rsid w:val="00243243"/>
    <w:rsid w:val="00293029"/>
    <w:rsid w:val="0029641E"/>
    <w:rsid w:val="00297C39"/>
    <w:rsid w:val="002A1060"/>
    <w:rsid w:val="002A70AF"/>
    <w:rsid w:val="002C03D2"/>
    <w:rsid w:val="002D067A"/>
    <w:rsid w:val="002E57EE"/>
    <w:rsid w:val="002F4EF9"/>
    <w:rsid w:val="00312CC5"/>
    <w:rsid w:val="0031725C"/>
    <w:rsid w:val="00352D14"/>
    <w:rsid w:val="00392C4B"/>
    <w:rsid w:val="003B635F"/>
    <w:rsid w:val="003D0F16"/>
    <w:rsid w:val="00413FDA"/>
    <w:rsid w:val="00432E41"/>
    <w:rsid w:val="00433970"/>
    <w:rsid w:val="00481219"/>
    <w:rsid w:val="004827B4"/>
    <w:rsid w:val="0049526D"/>
    <w:rsid w:val="004957FF"/>
    <w:rsid w:val="004B51F6"/>
    <w:rsid w:val="004C447B"/>
    <w:rsid w:val="0050516E"/>
    <w:rsid w:val="0051322F"/>
    <w:rsid w:val="0051330B"/>
    <w:rsid w:val="00520D7E"/>
    <w:rsid w:val="00524120"/>
    <w:rsid w:val="00556B5D"/>
    <w:rsid w:val="005706BB"/>
    <w:rsid w:val="005847DB"/>
    <w:rsid w:val="00587589"/>
    <w:rsid w:val="005A6D44"/>
    <w:rsid w:val="005B6AD8"/>
    <w:rsid w:val="005C478D"/>
    <w:rsid w:val="00600716"/>
    <w:rsid w:val="00641C9D"/>
    <w:rsid w:val="00650E84"/>
    <w:rsid w:val="00655665"/>
    <w:rsid w:val="00662C0E"/>
    <w:rsid w:val="006630F5"/>
    <w:rsid w:val="00672BA6"/>
    <w:rsid w:val="00675B1E"/>
    <w:rsid w:val="00695BF3"/>
    <w:rsid w:val="00752DAE"/>
    <w:rsid w:val="00777ABB"/>
    <w:rsid w:val="007A340A"/>
    <w:rsid w:val="007A5B73"/>
    <w:rsid w:val="007B6F17"/>
    <w:rsid w:val="007E7A8D"/>
    <w:rsid w:val="00804C4C"/>
    <w:rsid w:val="008147C2"/>
    <w:rsid w:val="008313BC"/>
    <w:rsid w:val="008317FB"/>
    <w:rsid w:val="00891246"/>
    <w:rsid w:val="008B2E20"/>
    <w:rsid w:val="00925C4F"/>
    <w:rsid w:val="00942809"/>
    <w:rsid w:val="00942F55"/>
    <w:rsid w:val="00946C29"/>
    <w:rsid w:val="009F0891"/>
    <w:rsid w:val="00A126EA"/>
    <w:rsid w:val="00A30170"/>
    <w:rsid w:val="00A35ED5"/>
    <w:rsid w:val="00A3602E"/>
    <w:rsid w:val="00A61E19"/>
    <w:rsid w:val="00AA6003"/>
    <w:rsid w:val="00AB72D5"/>
    <w:rsid w:val="00B203E5"/>
    <w:rsid w:val="00B44372"/>
    <w:rsid w:val="00B47562"/>
    <w:rsid w:val="00B61151"/>
    <w:rsid w:val="00B67520"/>
    <w:rsid w:val="00B90BC0"/>
    <w:rsid w:val="00BC3907"/>
    <w:rsid w:val="00BD374E"/>
    <w:rsid w:val="00BD58B5"/>
    <w:rsid w:val="00C42CB1"/>
    <w:rsid w:val="00C54AAE"/>
    <w:rsid w:val="00C84E3A"/>
    <w:rsid w:val="00C90DFD"/>
    <w:rsid w:val="00C92A43"/>
    <w:rsid w:val="00C9621C"/>
    <w:rsid w:val="00CB706C"/>
    <w:rsid w:val="00CC5570"/>
    <w:rsid w:val="00CD6F2B"/>
    <w:rsid w:val="00D1257C"/>
    <w:rsid w:val="00D166A1"/>
    <w:rsid w:val="00D31679"/>
    <w:rsid w:val="00D441ED"/>
    <w:rsid w:val="00D625C9"/>
    <w:rsid w:val="00D83814"/>
    <w:rsid w:val="00DC130F"/>
    <w:rsid w:val="00DF3A77"/>
    <w:rsid w:val="00DF4593"/>
    <w:rsid w:val="00E87202"/>
    <w:rsid w:val="00EA28BF"/>
    <w:rsid w:val="00EA51D2"/>
    <w:rsid w:val="00F26B02"/>
    <w:rsid w:val="00F4370D"/>
    <w:rsid w:val="00F6630E"/>
    <w:rsid w:val="00F703B0"/>
    <w:rsid w:val="00FC2A27"/>
    <w:rsid w:val="00FF69B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8706BA2"/>
  <w15:docId w15:val="{281107C4-9C58-47BC-934E-CED0FC6F5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BA6"/>
    <w:pPr>
      <w:spacing w:before="120" w:after="240" w:line="360" w:lineRule="auto"/>
      <w:outlineLvl w:val="1"/>
    </w:pPr>
    <w:rPr>
      <w:rFonts w:cs="Arial"/>
      <w:color w:val="4D4D4D"/>
    </w:rPr>
  </w:style>
  <w:style w:type="paragraph" w:styleId="Heading1">
    <w:name w:val="heading 1"/>
    <w:basedOn w:val="Normal"/>
    <w:next w:val="Normal"/>
    <w:link w:val="Heading1Char"/>
    <w:uiPriority w:val="9"/>
    <w:qFormat/>
    <w:rsid w:val="00556B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nhideWhenUsed/>
    <w:qFormat/>
    <w:rsid w:val="00556B5D"/>
    <w:pPr>
      <w:keepNext w:val="0"/>
      <w:keepLines w:val="0"/>
      <w:spacing w:before="0" w:after="240"/>
      <w:outlineLvl w:val="1"/>
    </w:pPr>
    <w:rPr>
      <w:rFonts w:ascii="Times New Roman" w:eastAsia="Times New Roman" w:hAnsi="Times New Roman" w:cs="Times New Roman"/>
      <w:color w:val="auto"/>
      <w:sz w:val="24"/>
      <w:szCs w:val="26"/>
    </w:rPr>
  </w:style>
  <w:style w:type="paragraph" w:styleId="Heading3">
    <w:name w:val="heading 3"/>
    <w:basedOn w:val="Normal"/>
    <w:next w:val="Normal"/>
    <w:link w:val="Heading3Char"/>
    <w:uiPriority w:val="9"/>
    <w:semiHidden/>
    <w:unhideWhenUsed/>
    <w:qFormat/>
    <w:rsid w:val="00556B5D"/>
    <w:pPr>
      <w:keepNext/>
      <w:keepLines/>
      <w:spacing w:before="200" w:after="0" w:line="240" w:lineRule="auto"/>
      <w:outlineLvl w:val="2"/>
    </w:pPr>
    <w:rPr>
      <w:rFonts w:asciiTheme="majorHAnsi" w:eastAsiaTheme="majorEastAsia" w:hAnsiTheme="majorHAnsi" w:cstheme="majorBidi"/>
      <w:b/>
      <w:bCs/>
      <w:color w:val="4F81BD" w:themeColor="accent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Title">
    <w:name w:val="GS Title"/>
    <w:basedOn w:val="Title"/>
    <w:link w:val="GSTitleChar"/>
    <w:qFormat/>
    <w:rsid w:val="00C54AAE"/>
    <w:pPr>
      <w:pBdr>
        <w:bottom w:val="single" w:sz="2" w:space="3" w:color="CEE0CC"/>
      </w:pBdr>
      <w:spacing w:before="60" w:line="600" w:lineRule="exact"/>
    </w:pPr>
    <w:rPr>
      <w:b/>
      <w:color w:val="388E63"/>
      <w:sz w:val="56"/>
    </w:rPr>
  </w:style>
  <w:style w:type="paragraph" w:customStyle="1" w:styleId="GSHeading1">
    <w:name w:val="GS Heading 1"/>
    <w:basedOn w:val="GSHeading1withnumb"/>
    <w:link w:val="GSHeading1Char"/>
    <w:qFormat/>
    <w:rsid w:val="008317FB"/>
    <w:pPr>
      <w:numPr>
        <w:numId w:val="0"/>
      </w:numPr>
    </w:pPr>
  </w:style>
  <w:style w:type="character" w:customStyle="1" w:styleId="GSTitleChar">
    <w:name w:val="GS Title Char"/>
    <w:basedOn w:val="DefaultParagraphFont"/>
    <w:link w:val="GSTitle"/>
    <w:rsid w:val="00C54AAE"/>
    <w:rPr>
      <w:rFonts w:eastAsiaTheme="majorEastAsia" w:cstheme="majorBidi"/>
      <w:b/>
      <w:color w:val="388E63"/>
      <w:spacing w:val="-10"/>
      <w:kern w:val="28"/>
      <w:sz w:val="56"/>
      <w:szCs w:val="110"/>
      <w:lang w:eastAsia="en-GB"/>
    </w:rPr>
  </w:style>
  <w:style w:type="paragraph" w:customStyle="1" w:styleId="GSBodyPara">
    <w:name w:val="GS Body Para"/>
    <w:basedOn w:val="Normal"/>
    <w:link w:val="GSBodyParaChar"/>
    <w:qFormat/>
    <w:rsid w:val="00AB72D5"/>
    <w:pPr>
      <w:spacing w:before="60" w:after="120" w:line="260" w:lineRule="exact"/>
    </w:pPr>
  </w:style>
  <w:style w:type="character" w:customStyle="1" w:styleId="GSHeading1Char">
    <w:name w:val="GS Heading 1 Char"/>
    <w:basedOn w:val="DefaultParagraphFont"/>
    <w:link w:val="GSHeading1"/>
    <w:rsid w:val="008317FB"/>
    <w:rPr>
      <w:rFonts w:eastAsiaTheme="minorEastAsia" w:cs="Arial"/>
      <w:color w:val="215868" w:themeColor="accent5" w:themeShade="80"/>
      <w:spacing w:val="15"/>
      <w:sz w:val="40"/>
      <w:szCs w:val="40"/>
      <w:lang w:eastAsia="en-GB"/>
    </w:rPr>
  </w:style>
  <w:style w:type="numbering" w:customStyle="1" w:styleId="GSNumList">
    <w:name w:val="GS NumList"/>
    <w:uiPriority w:val="99"/>
    <w:rsid w:val="00F703B0"/>
    <w:pPr>
      <w:numPr>
        <w:numId w:val="1"/>
      </w:numPr>
    </w:pPr>
  </w:style>
  <w:style w:type="character" w:customStyle="1" w:styleId="GSBodyParaChar">
    <w:name w:val="GS Body Para Char"/>
    <w:basedOn w:val="DefaultParagraphFont"/>
    <w:link w:val="GSBodyPara"/>
    <w:rsid w:val="00AB72D5"/>
    <w:rPr>
      <w:rFonts w:cs="Arial"/>
      <w:color w:val="4D4D4D"/>
    </w:rPr>
  </w:style>
  <w:style w:type="paragraph" w:customStyle="1" w:styleId="GSHeading2">
    <w:name w:val="GS Heading 2"/>
    <w:basedOn w:val="GSHeading1"/>
    <w:next w:val="GSBodyPara"/>
    <w:link w:val="GSHeading2Char"/>
    <w:qFormat/>
    <w:rsid w:val="008317FB"/>
    <w:rPr>
      <w:sz w:val="32"/>
      <w:szCs w:val="32"/>
    </w:rPr>
  </w:style>
  <w:style w:type="table" w:customStyle="1" w:styleId="GSTable">
    <w:name w:val="GS Table"/>
    <w:basedOn w:val="TableNormal"/>
    <w:uiPriority w:val="99"/>
    <w:rsid w:val="00891246"/>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character" w:customStyle="1" w:styleId="GSHeading2Char">
    <w:name w:val="GS Heading 2 Char"/>
    <w:basedOn w:val="GSHeading1Char"/>
    <w:link w:val="GSHeading2"/>
    <w:rsid w:val="008317FB"/>
    <w:rPr>
      <w:rFonts w:eastAsiaTheme="minorEastAsia" w:cs="Arial"/>
      <w:color w:val="215868" w:themeColor="accent5" w:themeShade="80"/>
      <w:spacing w:val="15"/>
      <w:sz w:val="32"/>
      <w:szCs w:val="32"/>
      <w:lang w:eastAsia="en-GB"/>
    </w:rPr>
  </w:style>
  <w:style w:type="table" w:styleId="TableGrid">
    <w:name w:val="Table Grid"/>
    <w:basedOn w:val="TableNormal"/>
    <w:uiPriority w:val="59"/>
    <w:rsid w:val="00814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HeaderFooter">
    <w:name w:val="GS Header/Footer"/>
    <w:basedOn w:val="Normal"/>
    <w:link w:val="GSHeaderFooterChar"/>
    <w:qFormat/>
    <w:rsid w:val="0065566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655665"/>
    <w:rPr>
      <w:sz w:val="16"/>
    </w:rPr>
  </w:style>
  <w:style w:type="paragraph" w:styleId="Header">
    <w:name w:val="header"/>
    <w:basedOn w:val="Normal"/>
    <w:link w:val="HeaderChar"/>
    <w:uiPriority w:val="99"/>
    <w:unhideWhenUsed/>
    <w:rsid w:val="00D44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41ED"/>
    <w:rPr>
      <w:rFonts w:ascii="Calibri" w:hAnsi="Calibri"/>
      <w:sz w:val="24"/>
    </w:rPr>
  </w:style>
  <w:style w:type="paragraph" w:styleId="Footer">
    <w:name w:val="footer"/>
    <w:basedOn w:val="Normal"/>
    <w:link w:val="FooterChar"/>
    <w:uiPriority w:val="99"/>
    <w:unhideWhenUsed/>
    <w:rsid w:val="00D44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41ED"/>
    <w:rPr>
      <w:rFonts w:ascii="Calibri" w:hAnsi="Calibri"/>
      <w:sz w:val="24"/>
    </w:rPr>
  </w:style>
  <w:style w:type="paragraph" w:customStyle="1" w:styleId="GSTblText1">
    <w:name w:val="GS Tbl Text 1"/>
    <w:basedOn w:val="Normal"/>
    <w:qFormat/>
    <w:rsid w:val="00655665"/>
    <w:pPr>
      <w:spacing w:before="60" w:after="120" w:line="240" w:lineRule="auto"/>
    </w:pPr>
  </w:style>
  <w:style w:type="paragraph" w:customStyle="1" w:styleId="GSCommittee">
    <w:name w:val="GS Committee"/>
    <w:basedOn w:val="GSTblText1"/>
    <w:link w:val="GSCommitteeChar"/>
    <w:qFormat/>
    <w:rsid w:val="00662C0E"/>
  </w:style>
  <w:style w:type="character" w:customStyle="1" w:styleId="GSCommitteeChar">
    <w:name w:val="GS Committee Char"/>
    <w:basedOn w:val="DefaultParagraphFont"/>
    <w:link w:val="GSCommittee"/>
    <w:rsid w:val="00662C0E"/>
    <w:rPr>
      <w:rFonts w:ascii="Arial" w:hAnsi="Arial"/>
      <w:sz w:val="20"/>
    </w:rPr>
  </w:style>
  <w:style w:type="paragraph" w:customStyle="1" w:styleId="GSBodyParaBullet">
    <w:name w:val="GS Body Para Bullet"/>
    <w:basedOn w:val="ListParagraph"/>
    <w:link w:val="GSBodyParaBulletChar"/>
    <w:qFormat/>
    <w:rsid w:val="00587589"/>
    <w:pPr>
      <w:numPr>
        <w:numId w:val="37"/>
      </w:numPr>
    </w:pPr>
  </w:style>
  <w:style w:type="character" w:customStyle="1" w:styleId="GSBodyParaBulletChar">
    <w:name w:val="GS Body Para Bullet Char"/>
    <w:basedOn w:val="DefaultParagraphFont"/>
    <w:link w:val="GSBodyParaBullet"/>
    <w:rsid w:val="00587589"/>
    <w:rPr>
      <w:rFonts w:ascii="Calibri" w:hAnsi="Calibri" w:cs="Arial"/>
      <w:color w:val="4D4D4D"/>
      <w:sz w:val="24"/>
    </w:rPr>
  </w:style>
  <w:style w:type="paragraph" w:customStyle="1" w:styleId="GSBodyParawithnumb">
    <w:name w:val="GS Body Para with numb"/>
    <w:basedOn w:val="Normal"/>
    <w:link w:val="GSBodyParawithnumbChar"/>
    <w:qFormat/>
    <w:rsid w:val="00752DAE"/>
    <w:pPr>
      <w:numPr>
        <w:ilvl w:val="1"/>
        <w:numId w:val="21"/>
      </w:numPr>
    </w:pPr>
  </w:style>
  <w:style w:type="character" w:customStyle="1" w:styleId="GSBodyParawithnumbChar">
    <w:name w:val="GS Body Para with numb Char"/>
    <w:basedOn w:val="DefaultParagraphFont"/>
    <w:link w:val="GSBodyParawithnumb"/>
    <w:rsid w:val="00752DAE"/>
    <w:rPr>
      <w:rFonts w:cs="Arial"/>
      <w:color w:val="4D4D4D"/>
    </w:rPr>
  </w:style>
  <w:style w:type="paragraph" w:customStyle="1" w:styleId="GSHeaderFooterlandscape">
    <w:name w:val="GS Header/Footer landscape"/>
    <w:basedOn w:val="Normal"/>
    <w:link w:val="GSHeaderFooterlandscapeChar"/>
    <w:qFormat/>
    <w:rsid w:val="0065566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655665"/>
    <w:rPr>
      <w:sz w:val="16"/>
    </w:rPr>
  </w:style>
  <w:style w:type="paragraph" w:customStyle="1" w:styleId="GSHeading1withnumb">
    <w:name w:val="GS Heading 1 with numb"/>
    <w:basedOn w:val="Subtitle"/>
    <w:link w:val="GSHeading1withnumbChar"/>
    <w:qFormat/>
    <w:rsid w:val="00752DAE"/>
    <w:pPr>
      <w:numPr>
        <w:ilvl w:val="0"/>
        <w:numId w:val="21"/>
      </w:numPr>
    </w:pPr>
  </w:style>
  <w:style w:type="character" w:customStyle="1" w:styleId="GSHeading1withnumbChar">
    <w:name w:val="GS Heading 1 with numb Char"/>
    <w:basedOn w:val="DefaultParagraphFont"/>
    <w:link w:val="GSHeading1withnumb"/>
    <w:rsid w:val="00752DAE"/>
    <w:rPr>
      <w:rFonts w:eastAsiaTheme="minorEastAsia" w:cs="Arial"/>
      <w:color w:val="3B9164"/>
      <w:spacing w:val="15"/>
      <w:sz w:val="28"/>
      <w:szCs w:val="40"/>
      <w:lang w:eastAsia="en-GB"/>
    </w:rPr>
  </w:style>
  <w:style w:type="paragraph" w:styleId="BalloonText">
    <w:name w:val="Balloon Text"/>
    <w:basedOn w:val="Normal"/>
    <w:link w:val="BalloonTextChar"/>
    <w:uiPriority w:val="99"/>
    <w:semiHidden/>
    <w:unhideWhenUsed/>
    <w:rsid w:val="00C84E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4E3A"/>
    <w:rPr>
      <w:rFonts w:ascii="Tahoma" w:hAnsi="Tahoma" w:cs="Tahoma"/>
      <w:sz w:val="16"/>
      <w:szCs w:val="16"/>
    </w:rPr>
  </w:style>
  <w:style w:type="paragraph" w:styleId="NoSpacing">
    <w:name w:val="No Spacing"/>
    <w:uiPriority w:val="1"/>
    <w:qFormat/>
    <w:rsid w:val="00662C0E"/>
    <w:pPr>
      <w:spacing w:after="0" w:line="240" w:lineRule="auto"/>
    </w:pPr>
    <w:rPr>
      <w:rFonts w:ascii="Arial" w:hAnsi="Arial"/>
      <w:sz w:val="20"/>
    </w:rPr>
  </w:style>
  <w:style w:type="paragraph" w:customStyle="1" w:styleId="PageNo">
    <w:name w:val="Page No"/>
    <w:basedOn w:val="Normal"/>
    <w:link w:val="PageNoChar"/>
    <w:qFormat/>
    <w:rsid w:val="00600716"/>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600716"/>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styleId="Hyperlink">
    <w:name w:val="Hyperlink"/>
    <w:basedOn w:val="DefaultParagraphFont"/>
    <w:uiPriority w:val="99"/>
    <w:rsid w:val="00655665"/>
    <w:rPr>
      <w:color w:val="0000FF"/>
      <w:u w:val="single"/>
    </w:rPr>
  </w:style>
  <w:style w:type="table" w:customStyle="1" w:styleId="TableGrid1">
    <w:name w:val="Table Grid1"/>
    <w:basedOn w:val="TableNormal"/>
    <w:next w:val="TableGrid"/>
    <w:rsid w:val="00891246"/>
    <w:pPr>
      <w:spacing w:after="0" w:line="240" w:lineRule="auto"/>
    </w:pPr>
    <w:rPr>
      <w:rFonts w:eastAsia="Times New Roman" w:cs="Times New Roman"/>
      <w:sz w:val="20"/>
      <w:szCs w:val="20"/>
      <w:lang w:val="en-US"/>
    </w:rPr>
    <w:tblPr>
      <w:tblInd w:w="113" w:type="dxa"/>
      <w:tblBorders>
        <w:top w:val="single" w:sz="2" w:space="0" w:color="307F4F"/>
        <w:left w:val="single" w:sz="2" w:space="0" w:color="307F4F"/>
        <w:bottom w:val="single" w:sz="2" w:space="0" w:color="307F4F"/>
        <w:right w:val="single" w:sz="2" w:space="0" w:color="307F4F"/>
        <w:insideH w:val="single" w:sz="2" w:space="0" w:color="307F4F"/>
        <w:insideV w:val="single" w:sz="2" w:space="0" w:color="307F4F"/>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07F4F"/>
      </w:tcPr>
    </w:tblStylePr>
  </w:style>
  <w:style w:type="paragraph" w:styleId="Title">
    <w:name w:val="Title"/>
    <w:basedOn w:val="Normal"/>
    <w:next w:val="Normal"/>
    <w:link w:val="TitleChar"/>
    <w:qFormat/>
    <w:rsid w:val="00D1257C"/>
    <w:pPr>
      <w:pBdr>
        <w:bottom w:val="single" w:sz="2" w:space="3" w:color="92CDDC" w:themeColor="accent5" w:themeTint="99"/>
      </w:pBdr>
      <w:spacing w:after="120" w:line="1120" w:lineRule="exact"/>
    </w:pPr>
    <w:rPr>
      <w:rFonts w:eastAsiaTheme="majorEastAsia" w:cstheme="majorBidi"/>
      <w:color w:val="31849B" w:themeColor="accent5" w:themeShade="BF"/>
      <w:spacing w:val="-10"/>
      <w:kern w:val="28"/>
      <w:sz w:val="110"/>
      <w:szCs w:val="110"/>
      <w:lang w:eastAsia="en-GB"/>
    </w:rPr>
  </w:style>
  <w:style w:type="character" w:customStyle="1" w:styleId="TitleChar">
    <w:name w:val="Title Char"/>
    <w:basedOn w:val="DefaultParagraphFont"/>
    <w:link w:val="Title"/>
    <w:rsid w:val="00D1257C"/>
    <w:rPr>
      <w:rFonts w:eastAsiaTheme="majorEastAsia" w:cstheme="majorBidi"/>
      <w:color w:val="31849B" w:themeColor="accent5" w:themeShade="BF"/>
      <w:spacing w:val="-10"/>
      <w:kern w:val="28"/>
      <w:sz w:val="110"/>
      <w:szCs w:val="110"/>
      <w:lang w:eastAsia="en-GB"/>
    </w:rPr>
  </w:style>
  <w:style w:type="paragraph" w:styleId="Subtitle">
    <w:name w:val="Subtitle"/>
    <w:basedOn w:val="Normal"/>
    <w:next w:val="Normal"/>
    <w:link w:val="SubtitleChar"/>
    <w:qFormat/>
    <w:rsid w:val="00C54AAE"/>
    <w:pPr>
      <w:numPr>
        <w:ilvl w:val="1"/>
      </w:numPr>
      <w:pBdr>
        <w:bottom w:val="single" w:sz="2" w:space="5" w:color="CEE0CC"/>
      </w:pBdr>
      <w:spacing w:before="40" w:after="80" w:line="300" w:lineRule="exact"/>
    </w:pPr>
    <w:rPr>
      <w:rFonts w:eastAsiaTheme="minorEastAsia"/>
      <w:color w:val="3B9164"/>
      <w:spacing w:val="15"/>
      <w:sz w:val="28"/>
      <w:szCs w:val="40"/>
      <w:lang w:eastAsia="en-GB"/>
    </w:rPr>
  </w:style>
  <w:style w:type="character" w:customStyle="1" w:styleId="SubtitleChar">
    <w:name w:val="Subtitle Char"/>
    <w:basedOn w:val="DefaultParagraphFont"/>
    <w:link w:val="Subtitle"/>
    <w:rsid w:val="00C54AAE"/>
    <w:rPr>
      <w:rFonts w:eastAsiaTheme="minorEastAsia" w:cs="Arial"/>
      <w:color w:val="3B9164"/>
      <w:spacing w:val="15"/>
      <w:sz w:val="28"/>
      <w:szCs w:val="40"/>
      <w:lang w:eastAsia="en-GB"/>
    </w:rPr>
  </w:style>
  <w:style w:type="paragraph" w:styleId="ListParagraph">
    <w:name w:val="List Paragraph"/>
    <w:basedOn w:val="Normal"/>
    <w:uiPriority w:val="34"/>
    <w:qFormat/>
    <w:rsid w:val="00925C4F"/>
    <w:pPr>
      <w:ind w:left="720"/>
    </w:pPr>
  </w:style>
  <w:style w:type="table" w:customStyle="1" w:styleId="Style1">
    <w:name w:val="Style1"/>
    <w:basedOn w:val="TableGrid10"/>
    <w:uiPriority w:val="99"/>
    <w:rsid w:val="00752DAE"/>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1313AC"/>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HeaderWhite">
    <w:name w:val="Table Header White"/>
    <w:basedOn w:val="Normal"/>
    <w:qFormat/>
    <w:rsid w:val="00672BA6"/>
    <w:pPr>
      <w:spacing w:before="240"/>
      <w:jc w:val="center"/>
    </w:pPr>
    <w:rPr>
      <w:b/>
      <w:color w:val="FFFFFF" w:themeColor="background1"/>
    </w:rPr>
  </w:style>
  <w:style w:type="paragraph" w:customStyle="1" w:styleId="TableText">
    <w:name w:val="Table Text"/>
    <w:next w:val="Normal"/>
    <w:qFormat/>
    <w:rsid w:val="0050516E"/>
    <w:pPr>
      <w:spacing w:before="60" w:after="60"/>
    </w:pPr>
    <w:rPr>
      <w:rFonts w:ascii="Calibri" w:hAnsi="Calibri" w:cs="Arial"/>
      <w:b/>
      <w:color w:val="404040" w:themeColor="text1" w:themeTint="BF"/>
    </w:rPr>
  </w:style>
  <w:style w:type="paragraph" w:styleId="FootnoteText">
    <w:name w:val="footnote text"/>
    <w:basedOn w:val="Normal"/>
    <w:link w:val="FootnoteTextChar"/>
    <w:uiPriority w:val="99"/>
    <w:unhideWhenUsed/>
    <w:rsid w:val="00556B5D"/>
    <w:pPr>
      <w:spacing w:before="0" w:after="0" w:line="240" w:lineRule="auto"/>
      <w:outlineLvl w:val="9"/>
    </w:pPr>
    <w:rPr>
      <w:rFonts w:cs="Times New Roman"/>
      <w:color w:val="auto"/>
      <w:sz w:val="20"/>
      <w:szCs w:val="20"/>
      <w:lang w:eastAsia="en-GB"/>
    </w:rPr>
  </w:style>
  <w:style w:type="character" w:customStyle="1" w:styleId="FootnoteTextChar">
    <w:name w:val="Footnote Text Char"/>
    <w:basedOn w:val="DefaultParagraphFont"/>
    <w:link w:val="FootnoteText"/>
    <w:uiPriority w:val="99"/>
    <w:rsid w:val="00556B5D"/>
    <w:rPr>
      <w:rFonts w:ascii="Calibri" w:hAnsi="Calibri" w:cs="Times New Roman"/>
      <w:sz w:val="20"/>
      <w:szCs w:val="20"/>
      <w:lang w:eastAsia="en-GB"/>
    </w:rPr>
  </w:style>
  <w:style w:type="character" w:styleId="FootnoteReference">
    <w:name w:val="footnote reference"/>
    <w:basedOn w:val="DefaultParagraphFont"/>
    <w:uiPriority w:val="99"/>
    <w:unhideWhenUsed/>
    <w:rsid w:val="00556B5D"/>
    <w:rPr>
      <w:vertAlign w:val="superscript"/>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556B5D"/>
    <w:rPr>
      <w:rFonts w:ascii="Times New Roman" w:eastAsia="Times New Roman" w:hAnsi="Times New Roman" w:cs="Times New Roman"/>
      <w:sz w:val="24"/>
      <w:szCs w:val="26"/>
    </w:rPr>
  </w:style>
  <w:style w:type="character" w:customStyle="1" w:styleId="Heading1Char">
    <w:name w:val="Heading 1 Char"/>
    <w:basedOn w:val="DefaultParagraphFont"/>
    <w:link w:val="Heading1"/>
    <w:uiPriority w:val="9"/>
    <w:rsid w:val="00556B5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56B5D"/>
    <w:rPr>
      <w:rFonts w:asciiTheme="majorHAnsi" w:eastAsiaTheme="majorEastAsia" w:hAnsiTheme="majorHAnsi" w:cstheme="majorBidi"/>
      <w:b/>
      <w:bCs/>
      <w:color w:val="4F81BD" w:themeColor="accent1"/>
      <w:lang w:eastAsia="en-GB"/>
    </w:rPr>
  </w:style>
  <w:style w:type="paragraph" w:styleId="Revision">
    <w:name w:val="Revision"/>
    <w:hidden/>
    <w:uiPriority w:val="99"/>
    <w:semiHidden/>
    <w:rsid w:val="00777ABB"/>
    <w:pPr>
      <w:spacing w:after="0" w:line="240" w:lineRule="auto"/>
    </w:pPr>
    <w:rPr>
      <w:rFonts w:cs="Arial"/>
      <w:color w:val="4D4D4D"/>
    </w:rPr>
  </w:style>
  <w:style w:type="character" w:styleId="CommentReference">
    <w:name w:val="annotation reference"/>
    <w:basedOn w:val="DefaultParagraphFont"/>
    <w:uiPriority w:val="99"/>
    <w:semiHidden/>
    <w:unhideWhenUsed/>
    <w:rsid w:val="001B7415"/>
    <w:rPr>
      <w:sz w:val="16"/>
      <w:szCs w:val="16"/>
    </w:rPr>
  </w:style>
  <w:style w:type="paragraph" w:styleId="CommentText">
    <w:name w:val="annotation text"/>
    <w:basedOn w:val="Normal"/>
    <w:link w:val="CommentTextChar"/>
    <w:uiPriority w:val="99"/>
    <w:semiHidden/>
    <w:unhideWhenUsed/>
    <w:rsid w:val="001B7415"/>
    <w:pPr>
      <w:spacing w:line="240" w:lineRule="auto"/>
    </w:pPr>
    <w:rPr>
      <w:sz w:val="20"/>
      <w:szCs w:val="20"/>
    </w:rPr>
  </w:style>
  <w:style w:type="character" w:customStyle="1" w:styleId="CommentTextChar">
    <w:name w:val="Comment Text Char"/>
    <w:basedOn w:val="DefaultParagraphFont"/>
    <w:link w:val="CommentText"/>
    <w:uiPriority w:val="99"/>
    <w:semiHidden/>
    <w:rsid w:val="001B7415"/>
    <w:rPr>
      <w:rFonts w:cs="Arial"/>
      <w:color w:val="4D4D4D"/>
      <w:sz w:val="20"/>
      <w:szCs w:val="20"/>
    </w:rPr>
  </w:style>
  <w:style w:type="paragraph" w:styleId="CommentSubject">
    <w:name w:val="annotation subject"/>
    <w:basedOn w:val="CommentText"/>
    <w:next w:val="CommentText"/>
    <w:link w:val="CommentSubjectChar"/>
    <w:uiPriority w:val="99"/>
    <w:semiHidden/>
    <w:unhideWhenUsed/>
    <w:rsid w:val="001B7415"/>
    <w:rPr>
      <w:b/>
      <w:bCs/>
    </w:rPr>
  </w:style>
  <w:style w:type="character" w:customStyle="1" w:styleId="CommentSubjectChar">
    <w:name w:val="Comment Subject Char"/>
    <w:basedOn w:val="CommentTextChar"/>
    <w:link w:val="CommentSubject"/>
    <w:uiPriority w:val="99"/>
    <w:semiHidden/>
    <w:rsid w:val="001B7415"/>
    <w:rPr>
      <w:rFonts w:cs="Arial"/>
      <w:b/>
      <w:bCs/>
      <w:color w:val="4D4D4D"/>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system/files/docs/2019/01/cacop_v5.0_final.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Desktop\Work%20From%20Home\Templates\Meeting%20Paper%20Templates\TEMPLATE%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10EDD-B2F8-4EFF-98F9-ADF5E835E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Paper</Template>
  <TotalTime>5</TotalTime>
  <Pages>5</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Electralink Group</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Hollie Nicholls</cp:lastModifiedBy>
  <cp:revision>3</cp:revision>
  <cp:lastPrinted>2019-03-13T14:58:00Z</cp:lastPrinted>
  <dcterms:created xsi:type="dcterms:W3CDTF">2019-07-05T12:29:00Z</dcterms:created>
  <dcterms:modified xsi:type="dcterms:W3CDTF">2019-07-10T15:33:00Z</dcterms:modified>
</cp:coreProperties>
</file>