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6FC3F" w14:textId="513D881C" w:rsidR="00964778" w:rsidRDefault="0041683D" w:rsidP="00964778">
      <w:pPr>
        <w:pStyle w:val="Heading1"/>
        <w:numPr>
          <w:ilvl w:val="0"/>
          <w:numId w:val="12"/>
        </w:numPr>
      </w:pPr>
      <w:r>
        <w:t xml:space="preserve">Analysis of the impact of </w:t>
      </w:r>
      <w:r w:rsidR="00EC5718">
        <w:t xml:space="preserve">DCP </w:t>
      </w:r>
      <w:r>
        <w:t>227</w:t>
      </w:r>
      <w:r w:rsidR="004D75D4">
        <w:t xml:space="preserve"> </w:t>
      </w:r>
      <w:r>
        <w:t>on unrestricted tariffs</w:t>
      </w:r>
      <w:r w:rsidR="006E138E">
        <w:t xml:space="preserve"> (Executive summary)</w:t>
      </w:r>
    </w:p>
    <w:p w14:paraId="7FC40809" w14:textId="77777777" w:rsidR="00E3765C" w:rsidRDefault="00E3765C" w:rsidP="00E3765C">
      <w:pPr>
        <w:pStyle w:val="Byline"/>
      </w:pPr>
      <w:r w:rsidRPr="00AB6F30">
        <w:fldChar w:fldCharType="begin"/>
      </w:r>
      <w:r w:rsidRPr="00AB6F30">
        <w:instrText xml:space="preserve"> SAVEDATE \@ "dddd d MMMM yyyy" </w:instrText>
      </w:r>
      <w:r w:rsidRPr="00AB6F30">
        <w:fldChar w:fldCharType="separate"/>
      </w:r>
      <w:r w:rsidR="0041683D">
        <w:rPr>
          <w:noProof/>
        </w:rPr>
        <w:t>Friday 22 May 2015</w:t>
      </w:r>
      <w:r w:rsidRPr="00AB6F30">
        <w:fldChar w:fldCharType="end"/>
      </w:r>
    </w:p>
    <w:p w14:paraId="044D46A8" w14:textId="77777777" w:rsidR="0041683D" w:rsidRDefault="00AA1D8E" w:rsidP="00AA1D8E">
      <w:pPr>
        <w:pStyle w:val="Text"/>
        <w:numPr>
          <w:ilvl w:val="1"/>
          <w:numId w:val="3"/>
        </w:numPr>
      </w:pPr>
      <w:r>
        <w:t>This document</w:t>
      </w:r>
      <w:r w:rsidR="0041683D">
        <w:t xml:space="preserve"> provides an executive summary of the analysis of the impact of DCP 227 </w:t>
      </w:r>
      <w:r w:rsidR="0041683D">
        <w:t>on unrestricted tariffs (profile classes 1 and 3)</w:t>
      </w:r>
      <w:r>
        <w:t>.</w:t>
      </w:r>
      <w:r w:rsidR="0041683D">
        <w:t xml:space="preserve"> </w:t>
      </w:r>
    </w:p>
    <w:p w14:paraId="2875B870" w14:textId="7F2E3776" w:rsidR="00AA1D8E" w:rsidRDefault="0041683D" w:rsidP="00AA1D8E">
      <w:pPr>
        <w:pStyle w:val="Text"/>
        <w:numPr>
          <w:ilvl w:val="1"/>
          <w:numId w:val="3"/>
        </w:numPr>
      </w:pPr>
      <w:r>
        <w:t xml:space="preserve">This executive summary is not a complete description of the impact of DCP 227 on these tariffs, and should always be read in conjunction with our report dated 6 May 2015 which describes our analysis in full. </w:t>
      </w:r>
    </w:p>
    <w:p w14:paraId="59501B53" w14:textId="2CBA7918" w:rsidR="00964778" w:rsidRDefault="0041683D" w:rsidP="004F03A7">
      <w:pPr>
        <w:pStyle w:val="Heading2"/>
      </w:pPr>
      <w:r>
        <w:t>Executive summary</w:t>
      </w:r>
    </w:p>
    <w:p w14:paraId="3A712D6A" w14:textId="3D784994" w:rsidR="0041683D" w:rsidRDefault="0041683D" w:rsidP="0041683D">
      <w:pPr>
        <w:pStyle w:val="Text"/>
      </w:pPr>
      <w:r w:rsidRPr="0041683D">
        <w:t>In the CDCM without DCP 227</w:t>
      </w:r>
      <w:r w:rsidR="00875CC2">
        <w:t xml:space="preserve"> (disregarding the effect of DCP 179)</w:t>
      </w:r>
      <w:r w:rsidRPr="0041683D">
        <w:t xml:space="preserve">, the </w:t>
      </w:r>
      <w:r>
        <w:t xml:space="preserve">charges for </w:t>
      </w:r>
      <w:bookmarkStart w:id="0" w:name="_GoBack"/>
      <w:bookmarkEnd w:id="0"/>
      <w:r>
        <w:t xml:space="preserve">the </w:t>
      </w:r>
      <w:r w:rsidRPr="0041683D">
        <w:t xml:space="preserve">Domestic Unrestricted tariff </w:t>
      </w:r>
      <w:r>
        <w:t xml:space="preserve">and Small Non Domestic Unrestricted tariff are </w:t>
      </w:r>
      <w:r w:rsidRPr="0041683D">
        <w:t xml:space="preserve">determined </w:t>
      </w:r>
      <w:r>
        <w:t xml:space="preserve">for all network levels </w:t>
      </w:r>
      <w:r w:rsidRPr="0041683D">
        <w:t xml:space="preserve">by the ratio of consumption </w:t>
      </w:r>
      <w:r>
        <w:t xml:space="preserve">of that user group </w:t>
      </w:r>
      <w:r w:rsidRPr="0041683D">
        <w:t xml:space="preserve">at the time of system-wide simultaneous maximum demand to the average consumption </w:t>
      </w:r>
      <w:r>
        <w:t xml:space="preserve">of that user group </w:t>
      </w:r>
      <w:r w:rsidRPr="0041683D">
        <w:t>through the year.</w:t>
      </w:r>
    </w:p>
    <w:p w14:paraId="0A43C3D9" w14:textId="12013EAC" w:rsidR="007A04A8" w:rsidRDefault="007A04A8" w:rsidP="007A04A8">
      <w:pPr>
        <w:pStyle w:val="Text"/>
      </w:pPr>
      <w:r>
        <w:t xml:space="preserve">Charges for these tariffs </w:t>
      </w:r>
      <w:r>
        <w:t xml:space="preserve">under DCP 227 </w:t>
      </w:r>
      <w:r>
        <w:t>are</w:t>
      </w:r>
      <w:r>
        <w:t xml:space="preserve"> built up by network level. At each network level, the charge </w:t>
      </w:r>
      <w:r>
        <w:t xml:space="preserve">corresponding to that network level </w:t>
      </w:r>
      <w:r>
        <w:t xml:space="preserve">is </w:t>
      </w:r>
      <w:r w:rsidR="00EE3961">
        <w:t>influenced</w:t>
      </w:r>
      <w:r>
        <w:t xml:space="preserve"> by the ratio of the average</w:t>
      </w:r>
      <w:r w:rsidR="00EE3961">
        <w:t>s of the</w:t>
      </w:r>
      <w:r>
        <w:t xml:space="preserve"> consumption </w:t>
      </w:r>
      <w:r>
        <w:t xml:space="preserve">by the user group </w:t>
      </w:r>
      <w:r w:rsidR="00EE3961">
        <w:t>in</w:t>
      </w:r>
      <w:r>
        <w:t xml:space="preserve"> the time band</w:t>
      </w:r>
      <w:r w:rsidR="00EE3961">
        <w:t>s</w:t>
      </w:r>
      <w:r>
        <w:t xml:space="preserve"> </w:t>
      </w:r>
      <w:r w:rsidR="00EE3961">
        <w:t>in which</w:t>
      </w:r>
      <w:r>
        <w:t xml:space="preserve"> assets at that network level are likely to peak to the average consumption </w:t>
      </w:r>
      <w:r>
        <w:t xml:space="preserve">of that user group </w:t>
      </w:r>
      <w:r>
        <w:t xml:space="preserve">in the year. </w:t>
      </w:r>
    </w:p>
    <w:p w14:paraId="08CDC88B" w14:textId="7A4F877F" w:rsidR="007A04A8" w:rsidRDefault="007A04A8" w:rsidP="007A04A8">
      <w:pPr>
        <w:pStyle w:val="Text"/>
      </w:pPr>
      <w:r>
        <w:t xml:space="preserve">In most DNO areas, </w:t>
      </w:r>
      <w:r>
        <w:t xml:space="preserve">assets at lower network levels sometimes peak during the amber and green time bands, when </w:t>
      </w:r>
      <w:r>
        <w:t xml:space="preserve">consumption by users on the </w:t>
      </w:r>
      <w:r>
        <w:t xml:space="preserve">Domestic Unrestricted </w:t>
      </w:r>
      <w:r>
        <w:t xml:space="preserve">tariff </w:t>
      </w:r>
      <w:r>
        <w:t xml:space="preserve">is typically lower (than in the red time band).  By taking account of these differences in coincidence between network level peaking times and patterns of Domestic Unrestricted consumption, DCP 227 reduces the contribution from lower network levels to the overall charge (compared to a single GSP group-wide approach). This has the effect of reducing the </w:t>
      </w:r>
      <w:r>
        <w:t xml:space="preserve">overall </w:t>
      </w:r>
      <w:r>
        <w:t>charge for the Domestic Unrestricted tariff</w:t>
      </w:r>
      <w:r w:rsidR="00B23546">
        <w:t xml:space="preserve"> in these DNO areas</w:t>
      </w:r>
      <w:r>
        <w:t>.</w:t>
      </w:r>
    </w:p>
    <w:p w14:paraId="6A866760" w14:textId="08A0E5EC" w:rsidR="003A4E71" w:rsidRDefault="005D2A53" w:rsidP="003A4E71">
      <w:pPr>
        <w:pStyle w:val="Text"/>
      </w:pPr>
      <w:r>
        <w:t>I</w:t>
      </w:r>
      <w:r w:rsidR="004A1801">
        <w:t>n many</w:t>
      </w:r>
      <w:r w:rsidR="003A4E71">
        <w:t xml:space="preserve"> DNO areas, consumption by users on the </w:t>
      </w:r>
      <w:r w:rsidR="003A4E71">
        <w:t xml:space="preserve">Small Non Domestic Unrestricted </w:t>
      </w:r>
      <w:r w:rsidR="003A4E71">
        <w:t xml:space="preserve">tariff </w:t>
      </w:r>
      <w:r w:rsidR="003A4E71">
        <w:t>is higher in the amber time band than in the red, and lower network levels sometimes peak in the amber time band.</w:t>
      </w:r>
      <w:r w:rsidR="003A4E71">
        <w:t xml:space="preserve"> For such users, </w:t>
      </w:r>
      <w:r w:rsidR="007A04A8">
        <w:t>DCP 227 would increase the charge contribution from lower network levels (compared to a single GSP group-wide approach). This has the effect of increasing the charge for the Small Non Domestic Unrestricted tariff</w:t>
      </w:r>
      <w:r w:rsidR="003A4E71">
        <w:t xml:space="preserve"> in these DNO areas</w:t>
      </w:r>
      <w:r w:rsidR="00AA1D8E">
        <w:t>.</w:t>
      </w:r>
    </w:p>
    <w:p w14:paraId="7ABAF5EB" w14:textId="3210F701" w:rsidR="005D2A53" w:rsidRDefault="00732812" w:rsidP="003A4E71">
      <w:pPr>
        <w:pStyle w:val="Text"/>
      </w:pPr>
      <w:r>
        <w:t>There are</w:t>
      </w:r>
      <w:r w:rsidR="005D2A53">
        <w:t xml:space="preserve"> DNO areas where these observations do not hold.</w:t>
      </w:r>
      <w:r w:rsidR="002F2632">
        <w:t xml:space="preserve"> For instance:</w:t>
      </w:r>
    </w:p>
    <w:p w14:paraId="4EFB877A" w14:textId="58E5F783" w:rsidR="00241E12" w:rsidRDefault="005D2A53" w:rsidP="002F2632">
      <w:pPr>
        <w:pStyle w:val="ListBullet"/>
      </w:pPr>
      <w:r>
        <w:t xml:space="preserve">In the </w:t>
      </w:r>
      <w:r w:rsidR="001E21C0">
        <w:t xml:space="preserve">SPEN </w:t>
      </w:r>
      <w:r>
        <w:t>SPD area, for users on the</w:t>
      </w:r>
      <w:r w:rsidRPr="005D2A53">
        <w:t xml:space="preserve"> Small Non Domestic Unrestricted tariff, DCP 227 would reduce the charge contribution from the primary network level (compared to a single GSP group-wide approach). This is because a high proportion of primary substations are assumed to peak in the green time band, when business consumption is lower.  However, overall charges </w:t>
      </w:r>
      <w:r>
        <w:t xml:space="preserve">for such users </w:t>
      </w:r>
      <w:r w:rsidRPr="005D2A53">
        <w:lastRenderedPageBreak/>
        <w:t>are higher because of higher revenue matching charges (due to the reduction in Domestic Unrestricted charges) and increased charge contributions from the GSP network level</w:t>
      </w:r>
      <w:r>
        <w:t>.</w:t>
      </w:r>
    </w:p>
    <w:p w14:paraId="411AF2EA" w14:textId="512DDE36" w:rsidR="004C7DCF" w:rsidRDefault="00241E12" w:rsidP="002F2632">
      <w:pPr>
        <w:pStyle w:val="ListBullet"/>
      </w:pPr>
      <w:r>
        <w:t xml:space="preserve">In the </w:t>
      </w:r>
      <w:r w:rsidR="001E21C0">
        <w:t xml:space="preserve">UKPN </w:t>
      </w:r>
      <w:r>
        <w:t xml:space="preserve">LPN area, </w:t>
      </w:r>
      <w:r>
        <w:t>for users on the</w:t>
      </w:r>
      <w:r w:rsidRPr="005D2A53">
        <w:t xml:space="preserve"> Small Non Domestic Unrestricted tariff, DCP 227</w:t>
      </w:r>
      <w:r>
        <w:t xml:space="preserve"> would increase the change contribution</w:t>
      </w:r>
      <w:r w:rsidR="00636D88">
        <w:t xml:space="preserve"> </w:t>
      </w:r>
      <w:r>
        <w:t xml:space="preserve">from </w:t>
      </w:r>
      <w:r w:rsidR="00636D88">
        <w:t xml:space="preserve">higher network levels by a small amount. This is because non-domestic load in the LPN area is higher in the red time band than in amber. However, the average consumption by such users during the red time band is lower than the consumption at time of system peak (because this tends to be in the late evening, whereas the red time band includes a lunchtime element). This acts to reduce the overall charge for such users. The combined effect results in a </w:t>
      </w:r>
      <w:r w:rsidR="009961DE">
        <w:t>de</w:t>
      </w:r>
      <w:r w:rsidR="00636D88">
        <w:t>crease in overall charges.</w:t>
      </w:r>
    </w:p>
    <w:p w14:paraId="12988AD3" w14:textId="77777777" w:rsidR="0033610E" w:rsidRDefault="001E21C0" w:rsidP="002F2632">
      <w:pPr>
        <w:pStyle w:val="ListBullet"/>
      </w:pPr>
      <w:r>
        <w:t xml:space="preserve">In the WPD South Wales area, </w:t>
      </w:r>
      <w:r w:rsidR="00AB2A9A">
        <w:t xml:space="preserve">average consumption by users on the </w:t>
      </w:r>
      <w:r w:rsidR="00AB2A9A" w:rsidRPr="005D2A53">
        <w:t>Small Non Domestic Unrestricted tariff</w:t>
      </w:r>
      <w:r w:rsidR="00636D88">
        <w:t xml:space="preserve"> </w:t>
      </w:r>
      <w:r w:rsidR="00AB2A9A">
        <w:t>in the red time band is unusually and significantly lower than in the amber time band. Under DCP 227, the overall charge includes a contribution from the ratio of customer group load at the time of system peak to customer group load averaged over the red time band. In the South Wales area, this ratio, and therefore the charge contribution, is relatively high – resulting in a particularly high increase in overall charges.</w:t>
      </w:r>
    </w:p>
    <w:p w14:paraId="350EA988" w14:textId="2E581198" w:rsidR="003631F5" w:rsidRDefault="00332FF3" w:rsidP="003631F5">
      <w:pPr>
        <w:pStyle w:val="Text"/>
      </w:pPr>
      <w:r>
        <w:t>Table</w:t>
      </w:r>
      <w:r w:rsidR="003631F5">
        <w:t xml:space="preserve"> </w:t>
      </w:r>
      <w:r w:rsidR="003631F5">
        <w:fldChar w:fldCharType="begin"/>
      </w:r>
      <w:r w:rsidR="003631F5">
        <w:instrText xml:space="preserve"> =1+</w:instrText>
      </w:r>
      <w:r w:rsidR="003631F5">
        <w:fldChar w:fldCharType="begin"/>
      </w:r>
      <w:r w:rsidR="003631F5">
        <w:instrText xml:space="preserve"> SEQ \c </w:instrText>
      </w:r>
      <w:r w:rsidR="006E138E">
        <w:instrText xml:space="preserve">Table </w:instrText>
      </w:r>
      <w:r w:rsidR="003631F5">
        <w:instrText xml:space="preserve">\* ARABIC </w:instrText>
      </w:r>
      <w:r w:rsidR="003631F5">
        <w:fldChar w:fldCharType="separate"/>
      </w:r>
      <w:r w:rsidR="006E138E">
        <w:rPr>
          <w:noProof/>
        </w:rPr>
        <w:instrText>0</w:instrText>
      </w:r>
      <w:r w:rsidR="003631F5">
        <w:fldChar w:fldCharType="end"/>
      </w:r>
      <w:r w:rsidR="003631F5">
        <w:fldChar w:fldCharType="separate"/>
      </w:r>
      <w:r w:rsidR="006E138E">
        <w:rPr>
          <w:noProof/>
        </w:rPr>
        <w:t>1</w:t>
      </w:r>
      <w:r w:rsidR="003631F5">
        <w:fldChar w:fldCharType="end"/>
      </w:r>
      <w:r w:rsidR="003631F5">
        <w:t xml:space="preserve"> show</w:t>
      </w:r>
      <w:r>
        <w:t xml:space="preserve">s the </w:t>
      </w:r>
      <w:r w:rsidR="00C63B7F">
        <w:t xml:space="preserve">impact of DCP 227 on the unit rate for the </w:t>
      </w:r>
      <w:r w:rsidR="00C63B7F" w:rsidRPr="0041683D">
        <w:t>Domestic Unrestricted</w:t>
      </w:r>
      <w:r w:rsidR="00C63B7F">
        <w:t xml:space="preserve"> </w:t>
      </w:r>
      <w:r w:rsidR="00C63B7F">
        <w:t>tariff</w:t>
      </w:r>
      <w:r w:rsidR="00C63B7F">
        <w:t xml:space="preserve"> in each DNO area</w:t>
      </w:r>
      <w:r w:rsidR="003631F5">
        <w:t>.</w:t>
      </w:r>
    </w:p>
    <w:p w14:paraId="21CE3412" w14:textId="5676942F" w:rsidR="003637AA" w:rsidRDefault="00332FF3" w:rsidP="00332FF3">
      <w:pPr>
        <w:pStyle w:val="Caption"/>
      </w:pPr>
      <w:r>
        <w:t>Table</w:t>
      </w:r>
      <w:r w:rsidR="003631F5">
        <w:t xml:space="preserve"> </w:t>
      </w:r>
      <w:r w:rsidR="003631F5">
        <w:fldChar w:fldCharType="begin"/>
      </w:r>
      <w:r w:rsidR="003631F5">
        <w:instrText xml:space="preserve"> SEQ </w:instrText>
      </w:r>
      <w:r w:rsidR="006E138E">
        <w:instrText xml:space="preserve">Table </w:instrText>
      </w:r>
      <w:r w:rsidR="003631F5">
        <w:instrText xml:space="preserve">\* ARABIC </w:instrText>
      </w:r>
      <w:r w:rsidR="003631F5">
        <w:fldChar w:fldCharType="separate"/>
      </w:r>
      <w:r w:rsidR="006E138E">
        <w:rPr>
          <w:noProof/>
        </w:rPr>
        <w:t>1</w:t>
      </w:r>
      <w:r w:rsidR="003631F5">
        <w:fldChar w:fldCharType="end"/>
      </w:r>
      <w:r w:rsidR="00C63B7F">
        <w:tab/>
        <w:t xml:space="preserve">Impact </w:t>
      </w:r>
      <w:r w:rsidR="003637AA">
        <w:t>of DCP 227 on the unit rate for the Domestic Unrestricted tariff</w:t>
      </w:r>
    </w:p>
    <w:tbl>
      <w:tblPr>
        <w:tblStyle w:val="TableGrid"/>
        <w:tblW w:w="0" w:type="auto"/>
        <w:tblInd w:w="1080" w:type="dxa"/>
        <w:tblLook w:val="04A0" w:firstRow="1" w:lastRow="0" w:firstColumn="1" w:lastColumn="0" w:noHBand="0" w:noVBand="1"/>
      </w:tblPr>
      <w:tblGrid>
        <w:gridCol w:w="2039"/>
        <w:gridCol w:w="2039"/>
        <w:gridCol w:w="2039"/>
        <w:gridCol w:w="2039"/>
      </w:tblGrid>
      <w:tr w:rsidR="003637AA" w14:paraId="58530BC2" w14:textId="77777777" w:rsidTr="00F65E68">
        <w:trPr>
          <w:tblHeader/>
        </w:trPr>
        <w:tc>
          <w:tcPr>
            <w:tcW w:w="2039" w:type="dxa"/>
          </w:tcPr>
          <w:p w14:paraId="2DE1A043" w14:textId="77777777" w:rsidR="003637AA" w:rsidRPr="003637AA" w:rsidRDefault="003637AA" w:rsidP="003637AA">
            <w:pPr>
              <w:pStyle w:val="Table"/>
              <w:rPr>
                <w:b/>
              </w:rPr>
            </w:pPr>
          </w:p>
        </w:tc>
        <w:tc>
          <w:tcPr>
            <w:tcW w:w="2039" w:type="dxa"/>
          </w:tcPr>
          <w:p w14:paraId="54E3B5F4" w14:textId="77777777" w:rsidR="003637AA" w:rsidRPr="003637AA" w:rsidRDefault="003637AA" w:rsidP="00741F81">
            <w:pPr>
              <w:pStyle w:val="Table"/>
              <w:jc w:val="center"/>
              <w:rPr>
                <w:b/>
              </w:rPr>
            </w:pPr>
            <w:r w:rsidRPr="003637AA">
              <w:rPr>
                <w:b/>
              </w:rPr>
              <w:t>Baseline</w:t>
            </w:r>
          </w:p>
          <w:p w14:paraId="43CDEAC7" w14:textId="2249C790" w:rsidR="003637AA" w:rsidRPr="003637AA" w:rsidRDefault="003637AA" w:rsidP="00741F81">
            <w:pPr>
              <w:pStyle w:val="Table"/>
              <w:jc w:val="center"/>
              <w:rPr>
                <w:b/>
              </w:rPr>
            </w:pPr>
            <w:r w:rsidRPr="003637AA">
              <w:rPr>
                <w:b/>
              </w:rPr>
              <w:t>Unit rate 1 p/kWh</w:t>
            </w:r>
          </w:p>
        </w:tc>
        <w:tc>
          <w:tcPr>
            <w:tcW w:w="2039" w:type="dxa"/>
          </w:tcPr>
          <w:p w14:paraId="03799B56" w14:textId="77777777" w:rsidR="003637AA" w:rsidRPr="003637AA" w:rsidRDefault="003637AA" w:rsidP="00741F81">
            <w:pPr>
              <w:pStyle w:val="Table"/>
              <w:jc w:val="center"/>
              <w:rPr>
                <w:b/>
              </w:rPr>
            </w:pPr>
            <w:r w:rsidRPr="003637AA">
              <w:rPr>
                <w:b/>
              </w:rPr>
              <w:t>DCP 227</w:t>
            </w:r>
          </w:p>
          <w:p w14:paraId="4DB4B639" w14:textId="63B91702" w:rsidR="003637AA" w:rsidRPr="003637AA" w:rsidRDefault="003637AA" w:rsidP="00741F81">
            <w:pPr>
              <w:pStyle w:val="Table"/>
              <w:jc w:val="center"/>
              <w:rPr>
                <w:b/>
              </w:rPr>
            </w:pPr>
            <w:r w:rsidRPr="003637AA">
              <w:rPr>
                <w:b/>
              </w:rPr>
              <w:t>Unit rate 1 p/kWh</w:t>
            </w:r>
          </w:p>
        </w:tc>
        <w:tc>
          <w:tcPr>
            <w:tcW w:w="2039" w:type="dxa"/>
          </w:tcPr>
          <w:p w14:paraId="28BF920F" w14:textId="4EB4A0BC" w:rsidR="003637AA" w:rsidRPr="003637AA" w:rsidRDefault="003637AA" w:rsidP="00741F81">
            <w:pPr>
              <w:pStyle w:val="Table"/>
              <w:jc w:val="center"/>
              <w:rPr>
                <w:b/>
              </w:rPr>
            </w:pPr>
            <w:r w:rsidRPr="003637AA">
              <w:rPr>
                <w:b/>
              </w:rPr>
              <w:t>Percentage change</w:t>
            </w:r>
          </w:p>
        </w:tc>
      </w:tr>
      <w:tr w:rsidR="003637AA" w14:paraId="254F0980" w14:textId="77777777" w:rsidTr="00D6326B">
        <w:tc>
          <w:tcPr>
            <w:tcW w:w="2039" w:type="dxa"/>
            <w:vAlign w:val="center"/>
          </w:tcPr>
          <w:p w14:paraId="5E57198D" w14:textId="6B48D24F" w:rsidR="003637AA" w:rsidRPr="00732812" w:rsidRDefault="003637AA" w:rsidP="003637AA">
            <w:pPr>
              <w:pStyle w:val="Table"/>
            </w:pPr>
            <w:r w:rsidRPr="00732812">
              <w:rPr>
                <w:bCs/>
                <w:color w:val="000000"/>
                <w:szCs w:val="22"/>
              </w:rPr>
              <w:t>ENWL</w:t>
            </w:r>
          </w:p>
        </w:tc>
        <w:tc>
          <w:tcPr>
            <w:tcW w:w="2039" w:type="dxa"/>
          </w:tcPr>
          <w:p w14:paraId="4E7C1515" w14:textId="10E8B91D" w:rsidR="003637AA" w:rsidRPr="00732812" w:rsidRDefault="003637AA" w:rsidP="003637AA">
            <w:pPr>
              <w:pStyle w:val="Table"/>
              <w:jc w:val="center"/>
            </w:pPr>
            <w:r w:rsidRPr="00732812">
              <w:t>2.695</w:t>
            </w:r>
          </w:p>
        </w:tc>
        <w:tc>
          <w:tcPr>
            <w:tcW w:w="2039" w:type="dxa"/>
          </w:tcPr>
          <w:p w14:paraId="09419ED3" w14:textId="167D1FF4" w:rsidR="003637AA" w:rsidRPr="00732812" w:rsidRDefault="003637AA" w:rsidP="003637AA">
            <w:pPr>
              <w:pStyle w:val="Table"/>
              <w:jc w:val="center"/>
            </w:pPr>
            <w:r w:rsidRPr="00732812">
              <w:t>2.577</w:t>
            </w:r>
          </w:p>
        </w:tc>
        <w:tc>
          <w:tcPr>
            <w:tcW w:w="2039" w:type="dxa"/>
          </w:tcPr>
          <w:p w14:paraId="3576B01D" w14:textId="1252046F" w:rsidR="003637AA" w:rsidRPr="00732812" w:rsidRDefault="00732812" w:rsidP="003637AA">
            <w:pPr>
              <w:pStyle w:val="Table"/>
              <w:jc w:val="center"/>
              <w:rPr>
                <w:color w:val="FF0000"/>
              </w:rPr>
            </w:pPr>
            <w:r w:rsidRPr="00732812">
              <w:rPr>
                <w:color w:val="FF0000"/>
              </w:rPr>
              <w:t xml:space="preserve">– </w:t>
            </w:r>
            <w:r w:rsidR="003637AA" w:rsidRPr="00732812">
              <w:rPr>
                <w:color w:val="FF0000"/>
              </w:rPr>
              <w:t>4.4%</w:t>
            </w:r>
          </w:p>
        </w:tc>
      </w:tr>
      <w:tr w:rsidR="003637AA" w14:paraId="1009101A" w14:textId="77777777" w:rsidTr="00D6326B">
        <w:tc>
          <w:tcPr>
            <w:tcW w:w="2039" w:type="dxa"/>
            <w:vAlign w:val="center"/>
          </w:tcPr>
          <w:p w14:paraId="3C49A4F8" w14:textId="34EF29E0" w:rsidR="003637AA" w:rsidRPr="00732812" w:rsidRDefault="003637AA" w:rsidP="003637AA">
            <w:pPr>
              <w:pStyle w:val="Table"/>
            </w:pPr>
            <w:r w:rsidRPr="00732812">
              <w:rPr>
                <w:bCs/>
                <w:color w:val="000000"/>
                <w:szCs w:val="22"/>
              </w:rPr>
              <w:t>NPG Northeast</w:t>
            </w:r>
          </w:p>
        </w:tc>
        <w:tc>
          <w:tcPr>
            <w:tcW w:w="2039" w:type="dxa"/>
          </w:tcPr>
          <w:p w14:paraId="704A9FA6" w14:textId="090F5E51" w:rsidR="003637AA" w:rsidRPr="00732812" w:rsidRDefault="003637AA" w:rsidP="003637AA">
            <w:pPr>
              <w:pStyle w:val="Table"/>
              <w:jc w:val="center"/>
            </w:pPr>
            <w:r w:rsidRPr="00732812">
              <w:t>2.370</w:t>
            </w:r>
          </w:p>
        </w:tc>
        <w:tc>
          <w:tcPr>
            <w:tcW w:w="2039" w:type="dxa"/>
          </w:tcPr>
          <w:p w14:paraId="79DB902C" w14:textId="3B223392" w:rsidR="003637AA" w:rsidRPr="00732812" w:rsidRDefault="003637AA" w:rsidP="003637AA">
            <w:pPr>
              <w:pStyle w:val="Table"/>
              <w:jc w:val="center"/>
            </w:pPr>
            <w:r w:rsidRPr="00732812">
              <w:t>2.251</w:t>
            </w:r>
          </w:p>
        </w:tc>
        <w:tc>
          <w:tcPr>
            <w:tcW w:w="2039" w:type="dxa"/>
          </w:tcPr>
          <w:p w14:paraId="7736E556" w14:textId="36FB827E" w:rsidR="003637AA" w:rsidRPr="00732812" w:rsidRDefault="00732812" w:rsidP="003637AA">
            <w:pPr>
              <w:pStyle w:val="Table"/>
              <w:jc w:val="center"/>
              <w:rPr>
                <w:color w:val="FF0000"/>
              </w:rPr>
            </w:pPr>
            <w:r>
              <w:rPr>
                <w:color w:val="FF0000"/>
              </w:rPr>
              <w:t>–</w:t>
            </w:r>
            <w:r w:rsidR="003637AA" w:rsidRPr="00732812">
              <w:rPr>
                <w:color w:val="FF0000"/>
              </w:rPr>
              <w:t xml:space="preserve"> 5.0%</w:t>
            </w:r>
          </w:p>
        </w:tc>
      </w:tr>
      <w:tr w:rsidR="003637AA" w14:paraId="70D273DF" w14:textId="77777777" w:rsidTr="00D6326B">
        <w:tc>
          <w:tcPr>
            <w:tcW w:w="2039" w:type="dxa"/>
            <w:vAlign w:val="center"/>
          </w:tcPr>
          <w:p w14:paraId="0B87869C" w14:textId="56264EB7" w:rsidR="003637AA" w:rsidRPr="00732812" w:rsidRDefault="003637AA" w:rsidP="003637AA">
            <w:pPr>
              <w:pStyle w:val="Table"/>
            </w:pPr>
            <w:r w:rsidRPr="00732812">
              <w:rPr>
                <w:bCs/>
                <w:color w:val="000000"/>
                <w:szCs w:val="22"/>
              </w:rPr>
              <w:t>NPG Yorkshire</w:t>
            </w:r>
          </w:p>
        </w:tc>
        <w:tc>
          <w:tcPr>
            <w:tcW w:w="2039" w:type="dxa"/>
          </w:tcPr>
          <w:p w14:paraId="6943B568" w14:textId="61A8E12A" w:rsidR="003637AA" w:rsidRPr="00732812" w:rsidRDefault="003637AA" w:rsidP="003637AA">
            <w:pPr>
              <w:pStyle w:val="Table"/>
              <w:jc w:val="center"/>
            </w:pPr>
            <w:r w:rsidRPr="00732812">
              <w:t>1.963</w:t>
            </w:r>
          </w:p>
        </w:tc>
        <w:tc>
          <w:tcPr>
            <w:tcW w:w="2039" w:type="dxa"/>
          </w:tcPr>
          <w:p w14:paraId="65935376" w14:textId="0529F462" w:rsidR="003637AA" w:rsidRPr="00732812" w:rsidRDefault="003637AA" w:rsidP="003637AA">
            <w:pPr>
              <w:pStyle w:val="Table"/>
              <w:jc w:val="center"/>
            </w:pPr>
            <w:r w:rsidRPr="00732812">
              <w:t>1.868</w:t>
            </w:r>
          </w:p>
        </w:tc>
        <w:tc>
          <w:tcPr>
            <w:tcW w:w="2039" w:type="dxa"/>
          </w:tcPr>
          <w:p w14:paraId="5FF5B94C" w14:textId="0028E485" w:rsidR="003637AA" w:rsidRPr="00732812" w:rsidRDefault="00732812" w:rsidP="003637AA">
            <w:pPr>
              <w:pStyle w:val="Table"/>
              <w:jc w:val="center"/>
              <w:rPr>
                <w:color w:val="FF0000"/>
              </w:rPr>
            </w:pPr>
            <w:r>
              <w:rPr>
                <w:color w:val="FF0000"/>
              </w:rPr>
              <w:t>–</w:t>
            </w:r>
            <w:r w:rsidR="003637AA" w:rsidRPr="00732812">
              <w:rPr>
                <w:color w:val="FF0000"/>
              </w:rPr>
              <w:t xml:space="preserve"> 4.8%</w:t>
            </w:r>
          </w:p>
        </w:tc>
      </w:tr>
      <w:tr w:rsidR="003637AA" w14:paraId="154E24E0" w14:textId="77777777" w:rsidTr="00D6326B">
        <w:tc>
          <w:tcPr>
            <w:tcW w:w="2039" w:type="dxa"/>
            <w:vAlign w:val="center"/>
          </w:tcPr>
          <w:p w14:paraId="025E4558" w14:textId="16A6A23E" w:rsidR="003637AA" w:rsidRPr="00732812" w:rsidRDefault="003637AA" w:rsidP="003637AA">
            <w:pPr>
              <w:pStyle w:val="Table"/>
            </w:pPr>
            <w:r w:rsidRPr="00732812">
              <w:rPr>
                <w:bCs/>
                <w:color w:val="000000"/>
                <w:szCs w:val="22"/>
              </w:rPr>
              <w:t>SPEN SPD</w:t>
            </w:r>
          </w:p>
        </w:tc>
        <w:tc>
          <w:tcPr>
            <w:tcW w:w="2039" w:type="dxa"/>
          </w:tcPr>
          <w:p w14:paraId="7596F86A" w14:textId="4DC87EF2" w:rsidR="003637AA" w:rsidRPr="00732812" w:rsidRDefault="003637AA" w:rsidP="003637AA">
            <w:pPr>
              <w:pStyle w:val="Table"/>
              <w:jc w:val="center"/>
            </w:pPr>
            <w:r w:rsidRPr="00732812">
              <w:t>2.590</w:t>
            </w:r>
          </w:p>
        </w:tc>
        <w:tc>
          <w:tcPr>
            <w:tcW w:w="2039" w:type="dxa"/>
          </w:tcPr>
          <w:p w14:paraId="3BC4E43C" w14:textId="5E224768" w:rsidR="003637AA" w:rsidRPr="00732812" w:rsidRDefault="003637AA" w:rsidP="003637AA">
            <w:pPr>
              <w:pStyle w:val="Table"/>
              <w:jc w:val="center"/>
            </w:pPr>
            <w:r w:rsidRPr="00732812">
              <w:t>2.471</w:t>
            </w:r>
          </w:p>
        </w:tc>
        <w:tc>
          <w:tcPr>
            <w:tcW w:w="2039" w:type="dxa"/>
          </w:tcPr>
          <w:p w14:paraId="0B74A798" w14:textId="37BCFC8E" w:rsidR="003637AA" w:rsidRPr="00732812" w:rsidRDefault="00732812" w:rsidP="003637AA">
            <w:pPr>
              <w:pStyle w:val="Table"/>
              <w:jc w:val="center"/>
              <w:rPr>
                <w:color w:val="FF0000"/>
              </w:rPr>
            </w:pPr>
            <w:r>
              <w:rPr>
                <w:color w:val="FF0000"/>
              </w:rPr>
              <w:t>–</w:t>
            </w:r>
            <w:r w:rsidR="003637AA" w:rsidRPr="00732812">
              <w:rPr>
                <w:color w:val="FF0000"/>
              </w:rPr>
              <w:t xml:space="preserve"> 4.6%</w:t>
            </w:r>
          </w:p>
        </w:tc>
      </w:tr>
      <w:tr w:rsidR="003637AA" w14:paraId="24FE8CB3" w14:textId="77777777" w:rsidTr="00D6326B">
        <w:tc>
          <w:tcPr>
            <w:tcW w:w="2039" w:type="dxa"/>
            <w:vAlign w:val="center"/>
          </w:tcPr>
          <w:p w14:paraId="1B6B9472" w14:textId="11AADD3F" w:rsidR="003637AA" w:rsidRPr="00732812" w:rsidRDefault="003637AA" w:rsidP="003637AA">
            <w:pPr>
              <w:pStyle w:val="Table"/>
            </w:pPr>
            <w:r w:rsidRPr="00732812">
              <w:rPr>
                <w:bCs/>
                <w:color w:val="000000"/>
                <w:szCs w:val="22"/>
              </w:rPr>
              <w:t>SPEN SPM</w:t>
            </w:r>
          </w:p>
        </w:tc>
        <w:tc>
          <w:tcPr>
            <w:tcW w:w="2039" w:type="dxa"/>
          </w:tcPr>
          <w:p w14:paraId="092A98F5" w14:textId="6FB1C120" w:rsidR="003637AA" w:rsidRPr="00732812" w:rsidRDefault="003637AA" w:rsidP="003637AA">
            <w:pPr>
              <w:pStyle w:val="Table"/>
              <w:jc w:val="center"/>
            </w:pPr>
            <w:r w:rsidRPr="00732812">
              <w:t>3.165</w:t>
            </w:r>
          </w:p>
        </w:tc>
        <w:tc>
          <w:tcPr>
            <w:tcW w:w="2039" w:type="dxa"/>
          </w:tcPr>
          <w:p w14:paraId="423AA3AE" w14:textId="01B90001" w:rsidR="003637AA" w:rsidRPr="00732812" w:rsidRDefault="003637AA" w:rsidP="003637AA">
            <w:pPr>
              <w:pStyle w:val="Table"/>
              <w:jc w:val="center"/>
            </w:pPr>
            <w:r w:rsidRPr="00732812">
              <w:t>3.026</w:t>
            </w:r>
          </w:p>
        </w:tc>
        <w:tc>
          <w:tcPr>
            <w:tcW w:w="2039" w:type="dxa"/>
          </w:tcPr>
          <w:p w14:paraId="5EA61849" w14:textId="5159087D" w:rsidR="003637AA" w:rsidRPr="00732812" w:rsidRDefault="00732812" w:rsidP="003637AA">
            <w:pPr>
              <w:pStyle w:val="Table"/>
              <w:jc w:val="center"/>
              <w:rPr>
                <w:color w:val="FF0000"/>
              </w:rPr>
            </w:pPr>
            <w:r>
              <w:rPr>
                <w:color w:val="FF0000"/>
              </w:rPr>
              <w:t>–</w:t>
            </w:r>
            <w:r w:rsidR="003637AA" w:rsidRPr="00732812">
              <w:rPr>
                <w:color w:val="FF0000"/>
              </w:rPr>
              <w:t xml:space="preserve"> 4.4%</w:t>
            </w:r>
          </w:p>
        </w:tc>
      </w:tr>
      <w:tr w:rsidR="003637AA" w14:paraId="2052BECE" w14:textId="77777777" w:rsidTr="00D6326B">
        <w:tc>
          <w:tcPr>
            <w:tcW w:w="2039" w:type="dxa"/>
            <w:vAlign w:val="center"/>
          </w:tcPr>
          <w:p w14:paraId="55B7548F" w14:textId="62F6809E" w:rsidR="003637AA" w:rsidRPr="00732812" w:rsidRDefault="003637AA" w:rsidP="003637AA">
            <w:pPr>
              <w:pStyle w:val="Table"/>
            </w:pPr>
            <w:r w:rsidRPr="00732812">
              <w:rPr>
                <w:bCs/>
                <w:color w:val="000000"/>
                <w:szCs w:val="22"/>
              </w:rPr>
              <w:t>SSEPD SEPD</w:t>
            </w:r>
          </w:p>
        </w:tc>
        <w:tc>
          <w:tcPr>
            <w:tcW w:w="2039" w:type="dxa"/>
          </w:tcPr>
          <w:p w14:paraId="7533E689" w14:textId="119AD4DE" w:rsidR="003637AA" w:rsidRPr="00732812" w:rsidRDefault="003637AA" w:rsidP="003637AA">
            <w:pPr>
              <w:pStyle w:val="Table"/>
              <w:jc w:val="center"/>
            </w:pPr>
            <w:r w:rsidRPr="00732812">
              <w:t>2.435</w:t>
            </w:r>
          </w:p>
        </w:tc>
        <w:tc>
          <w:tcPr>
            <w:tcW w:w="2039" w:type="dxa"/>
          </w:tcPr>
          <w:p w14:paraId="632007E2" w14:textId="1AF6C5CF" w:rsidR="003637AA" w:rsidRPr="00732812" w:rsidRDefault="003637AA" w:rsidP="003637AA">
            <w:pPr>
              <w:pStyle w:val="Table"/>
              <w:jc w:val="center"/>
            </w:pPr>
            <w:r w:rsidRPr="00732812">
              <w:t>2.292</w:t>
            </w:r>
          </w:p>
        </w:tc>
        <w:tc>
          <w:tcPr>
            <w:tcW w:w="2039" w:type="dxa"/>
          </w:tcPr>
          <w:p w14:paraId="5EDB5B84" w14:textId="39C457AB" w:rsidR="003637AA" w:rsidRPr="00732812" w:rsidRDefault="00732812" w:rsidP="003637AA">
            <w:pPr>
              <w:pStyle w:val="Table"/>
              <w:jc w:val="center"/>
              <w:rPr>
                <w:color w:val="FF0000"/>
              </w:rPr>
            </w:pPr>
            <w:r>
              <w:rPr>
                <w:color w:val="FF0000"/>
              </w:rPr>
              <w:t>–</w:t>
            </w:r>
            <w:r w:rsidR="003637AA" w:rsidRPr="00732812">
              <w:rPr>
                <w:color w:val="FF0000"/>
              </w:rPr>
              <w:t xml:space="preserve"> 5.9%</w:t>
            </w:r>
          </w:p>
        </w:tc>
      </w:tr>
      <w:tr w:rsidR="003637AA" w14:paraId="7EFFC074" w14:textId="77777777" w:rsidTr="00D6326B">
        <w:tc>
          <w:tcPr>
            <w:tcW w:w="2039" w:type="dxa"/>
            <w:vAlign w:val="center"/>
          </w:tcPr>
          <w:p w14:paraId="1F4FE887" w14:textId="25B11939" w:rsidR="003637AA" w:rsidRPr="00732812" w:rsidRDefault="003637AA" w:rsidP="003637AA">
            <w:pPr>
              <w:pStyle w:val="Table"/>
            </w:pPr>
            <w:r w:rsidRPr="00732812">
              <w:rPr>
                <w:bCs/>
                <w:color w:val="000000"/>
                <w:szCs w:val="22"/>
              </w:rPr>
              <w:t>SSEPD SHEPD</w:t>
            </w:r>
          </w:p>
        </w:tc>
        <w:tc>
          <w:tcPr>
            <w:tcW w:w="2039" w:type="dxa"/>
          </w:tcPr>
          <w:p w14:paraId="5798589C" w14:textId="1CF425AE" w:rsidR="003637AA" w:rsidRPr="00732812" w:rsidRDefault="003637AA" w:rsidP="003637AA">
            <w:pPr>
              <w:pStyle w:val="Table"/>
              <w:jc w:val="center"/>
            </w:pPr>
            <w:r w:rsidRPr="00732812">
              <w:t>3.537</w:t>
            </w:r>
          </w:p>
        </w:tc>
        <w:tc>
          <w:tcPr>
            <w:tcW w:w="2039" w:type="dxa"/>
          </w:tcPr>
          <w:p w14:paraId="0A8C4326" w14:textId="507AC2E9" w:rsidR="003637AA" w:rsidRPr="00732812" w:rsidRDefault="003637AA" w:rsidP="003637AA">
            <w:pPr>
              <w:pStyle w:val="Table"/>
              <w:jc w:val="center"/>
            </w:pPr>
            <w:r w:rsidRPr="00732812">
              <w:t>3.301</w:t>
            </w:r>
          </w:p>
        </w:tc>
        <w:tc>
          <w:tcPr>
            <w:tcW w:w="2039" w:type="dxa"/>
          </w:tcPr>
          <w:p w14:paraId="41F8C08D" w14:textId="67904702" w:rsidR="003637AA" w:rsidRPr="00732812" w:rsidRDefault="00732812" w:rsidP="003637AA">
            <w:pPr>
              <w:pStyle w:val="Table"/>
              <w:jc w:val="center"/>
              <w:rPr>
                <w:color w:val="FF0000"/>
              </w:rPr>
            </w:pPr>
            <w:r>
              <w:rPr>
                <w:color w:val="FF0000"/>
              </w:rPr>
              <w:t>–</w:t>
            </w:r>
            <w:r w:rsidR="003637AA" w:rsidRPr="00732812">
              <w:rPr>
                <w:color w:val="FF0000"/>
              </w:rPr>
              <w:t xml:space="preserve"> 6.7%</w:t>
            </w:r>
          </w:p>
        </w:tc>
      </w:tr>
      <w:tr w:rsidR="003637AA" w14:paraId="291BE7E4" w14:textId="77777777" w:rsidTr="00D6326B">
        <w:tc>
          <w:tcPr>
            <w:tcW w:w="2039" w:type="dxa"/>
            <w:vAlign w:val="center"/>
          </w:tcPr>
          <w:p w14:paraId="04F7082B" w14:textId="162161CC" w:rsidR="003637AA" w:rsidRPr="00732812" w:rsidRDefault="003637AA" w:rsidP="003637AA">
            <w:pPr>
              <w:pStyle w:val="Table"/>
            </w:pPr>
            <w:r w:rsidRPr="00732812">
              <w:rPr>
                <w:bCs/>
                <w:color w:val="000000"/>
                <w:szCs w:val="22"/>
              </w:rPr>
              <w:t>UKPN EPN</w:t>
            </w:r>
          </w:p>
        </w:tc>
        <w:tc>
          <w:tcPr>
            <w:tcW w:w="2039" w:type="dxa"/>
          </w:tcPr>
          <w:p w14:paraId="1401024F" w14:textId="433EAE0F" w:rsidR="003637AA" w:rsidRPr="00732812" w:rsidRDefault="003637AA" w:rsidP="003637AA">
            <w:pPr>
              <w:pStyle w:val="Table"/>
              <w:jc w:val="center"/>
            </w:pPr>
            <w:r w:rsidRPr="00732812">
              <w:t>2.025</w:t>
            </w:r>
          </w:p>
        </w:tc>
        <w:tc>
          <w:tcPr>
            <w:tcW w:w="2039" w:type="dxa"/>
          </w:tcPr>
          <w:p w14:paraId="05C25C61" w14:textId="1401C405" w:rsidR="003637AA" w:rsidRPr="00732812" w:rsidRDefault="003637AA" w:rsidP="003637AA">
            <w:pPr>
              <w:pStyle w:val="Table"/>
              <w:jc w:val="center"/>
            </w:pPr>
            <w:r w:rsidRPr="00732812">
              <w:t>2.006</w:t>
            </w:r>
          </w:p>
        </w:tc>
        <w:tc>
          <w:tcPr>
            <w:tcW w:w="2039" w:type="dxa"/>
          </w:tcPr>
          <w:p w14:paraId="0C5EBA40" w14:textId="35FCF743" w:rsidR="003637AA" w:rsidRPr="00732812" w:rsidRDefault="00732812" w:rsidP="003637AA">
            <w:pPr>
              <w:pStyle w:val="Table"/>
              <w:jc w:val="center"/>
              <w:rPr>
                <w:color w:val="FF0000"/>
              </w:rPr>
            </w:pPr>
            <w:r>
              <w:rPr>
                <w:color w:val="FF0000"/>
              </w:rPr>
              <w:t>–</w:t>
            </w:r>
            <w:r w:rsidR="003637AA" w:rsidRPr="00732812">
              <w:rPr>
                <w:color w:val="FF0000"/>
              </w:rPr>
              <w:t xml:space="preserve"> 0.9%</w:t>
            </w:r>
          </w:p>
        </w:tc>
      </w:tr>
      <w:tr w:rsidR="003637AA" w14:paraId="4630D642" w14:textId="77777777" w:rsidTr="00D6326B">
        <w:tc>
          <w:tcPr>
            <w:tcW w:w="2039" w:type="dxa"/>
            <w:vAlign w:val="center"/>
          </w:tcPr>
          <w:p w14:paraId="2E9BE9F9" w14:textId="19B18A88" w:rsidR="003637AA" w:rsidRPr="00732812" w:rsidRDefault="003637AA" w:rsidP="003637AA">
            <w:pPr>
              <w:pStyle w:val="Table"/>
            </w:pPr>
            <w:r w:rsidRPr="00732812">
              <w:rPr>
                <w:bCs/>
                <w:color w:val="000000"/>
                <w:szCs w:val="22"/>
              </w:rPr>
              <w:t>UKPN LPN</w:t>
            </w:r>
          </w:p>
        </w:tc>
        <w:tc>
          <w:tcPr>
            <w:tcW w:w="2039" w:type="dxa"/>
          </w:tcPr>
          <w:p w14:paraId="2E6BCEA0" w14:textId="4C3CED45" w:rsidR="003637AA" w:rsidRPr="00732812" w:rsidRDefault="003637AA" w:rsidP="003637AA">
            <w:pPr>
              <w:pStyle w:val="Table"/>
              <w:jc w:val="center"/>
            </w:pPr>
            <w:r w:rsidRPr="00732812">
              <w:t>1.709</w:t>
            </w:r>
          </w:p>
        </w:tc>
        <w:tc>
          <w:tcPr>
            <w:tcW w:w="2039" w:type="dxa"/>
          </w:tcPr>
          <w:p w14:paraId="78E28971" w14:textId="0CE18296" w:rsidR="003637AA" w:rsidRPr="00732812" w:rsidRDefault="003637AA" w:rsidP="003637AA">
            <w:pPr>
              <w:pStyle w:val="Table"/>
              <w:jc w:val="center"/>
            </w:pPr>
            <w:r w:rsidRPr="00732812">
              <w:t>1.707</w:t>
            </w:r>
          </w:p>
        </w:tc>
        <w:tc>
          <w:tcPr>
            <w:tcW w:w="2039" w:type="dxa"/>
          </w:tcPr>
          <w:p w14:paraId="25BFB288" w14:textId="47C2530C" w:rsidR="003637AA" w:rsidRPr="00732812" w:rsidRDefault="00732812" w:rsidP="003637AA">
            <w:pPr>
              <w:pStyle w:val="Table"/>
              <w:jc w:val="center"/>
              <w:rPr>
                <w:color w:val="FF0000"/>
              </w:rPr>
            </w:pPr>
            <w:r>
              <w:rPr>
                <w:color w:val="FF0000"/>
              </w:rPr>
              <w:t>–</w:t>
            </w:r>
            <w:r w:rsidR="003637AA" w:rsidRPr="00732812">
              <w:rPr>
                <w:color w:val="FF0000"/>
              </w:rPr>
              <w:t xml:space="preserve"> 0.1%</w:t>
            </w:r>
          </w:p>
        </w:tc>
      </w:tr>
      <w:tr w:rsidR="003637AA" w14:paraId="00E82F0B" w14:textId="77777777" w:rsidTr="00D6326B">
        <w:tc>
          <w:tcPr>
            <w:tcW w:w="2039" w:type="dxa"/>
            <w:vAlign w:val="center"/>
          </w:tcPr>
          <w:p w14:paraId="5A988D6C" w14:textId="4B1C3875" w:rsidR="003637AA" w:rsidRPr="00732812" w:rsidRDefault="003637AA" w:rsidP="003637AA">
            <w:pPr>
              <w:pStyle w:val="Table"/>
            </w:pPr>
            <w:r w:rsidRPr="00732812">
              <w:rPr>
                <w:bCs/>
                <w:color w:val="000000"/>
                <w:szCs w:val="22"/>
              </w:rPr>
              <w:t>UKPN SPN</w:t>
            </w:r>
          </w:p>
        </w:tc>
        <w:tc>
          <w:tcPr>
            <w:tcW w:w="2039" w:type="dxa"/>
          </w:tcPr>
          <w:p w14:paraId="29765435" w14:textId="45525A55" w:rsidR="003637AA" w:rsidRPr="00732812" w:rsidRDefault="003637AA" w:rsidP="003637AA">
            <w:pPr>
              <w:pStyle w:val="Table"/>
              <w:jc w:val="center"/>
            </w:pPr>
            <w:r w:rsidRPr="00732812">
              <w:t>2.471</w:t>
            </w:r>
          </w:p>
        </w:tc>
        <w:tc>
          <w:tcPr>
            <w:tcW w:w="2039" w:type="dxa"/>
          </w:tcPr>
          <w:p w14:paraId="3B894547" w14:textId="21B576CB" w:rsidR="003637AA" w:rsidRPr="00732812" w:rsidRDefault="003637AA" w:rsidP="003637AA">
            <w:pPr>
              <w:pStyle w:val="Table"/>
              <w:jc w:val="center"/>
            </w:pPr>
            <w:r w:rsidRPr="00732812">
              <w:t>2.457</w:t>
            </w:r>
          </w:p>
        </w:tc>
        <w:tc>
          <w:tcPr>
            <w:tcW w:w="2039" w:type="dxa"/>
          </w:tcPr>
          <w:p w14:paraId="1C338E56" w14:textId="564FA16F" w:rsidR="003637AA" w:rsidRPr="00732812" w:rsidRDefault="00732812" w:rsidP="003637AA">
            <w:pPr>
              <w:pStyle w:val="Table"/>
              <w:jc w:val="center"/>
              <w:rPr>
                <w:color w:val="FF0000"/>
              </w:rPr>
            </w:pPr>
            <w:r>
              <w:rPr>
                <w:color w:val="FF0000"/>
              </w:rPr>
              <w:t>–</w:t>
            </w:r>
            <w:r w:rsidR="003637AA" w:rsidRPr="00732812">
              <w:rPr>
                <w:color w:val="FF0000"/>
              </w:rPr>
              <w:t xml:space="preserve"> 0.6%</w:t>
            </w:r>
          </w:p>
        </w:tc>
      </w:tr>
      <w:tr w:rsidR="003637AA" w14:paraId="7EABDEB7" w14:textId="77777777" w:rsidTr="00D6326B">
        <w:tc>
          <w:tcPr>
            <w:tcW w:w="2039" w:type="dxa"/>
            <w:vAlign w:val="center"/>
          </w:tcPr>
          <w:p w14:paraId="66617C81" w14:textId="306B3ABD" w:rsidR="003637AA" w:rsidRPr="00732812" w:rsidRDefault="006E138E" w:rsidP="003637AA">
            <w:pPr>
              <w:pStyle w:val="Table"/>
            </w:pPr>
            <w:r>
              <w:rPr>
                <w:bCs/>
                <w:color w:val="000000"/>
                <w:szCs w:val="22"/>
              </w:rPr>
              <w:t xml:space="preserve">WPD </w:t>
            </w:r>
            <w:proofErr w:type="spellStart"/>
            <w:r>
              <w:rPr>
                <w:bCs/>
                <w:color w:val="000000"/>
                <w:szCs w:val="22"/>
              </w:rPr>
              <w:t>EastM</w:t>
            </w:r>
            <w:proofErr w:type="spellEnd"/>
          </w:p>
        </w:tc>
        <w:tc>
          <w:tcPr>
            <w:tcW w:w="2039" w:type="dxa"/>
          </w:tcPr>
          <w:p w14:paraId="44F253F4" w14:textId="2BBF0AE9" w:rsidR="003637AA" w:rsidRPr="00732812" w:rsidRDefault="003637AA" w:rsidP="003637AA">
            <w:pPr>
              <w:pStyle w:val="Table"/>
              <w:jc w:val="center"/>
            </w:pPr>
            <w:r w:rsidRPr="00732812">
              <w:t>2.174</w:t>
            </w:r>
          </w:p>
        </w:tc>
        <w:tc>
          <w:tcPr>
            <w:tcW w:w="2039" w:type="dxa"/>
          </w:tcPr>
          <w:p w14:paraId="1F8B9CF2" w14:textId="6885BC29" w:rsidR="003637AA" w:rsidRPr="00732812" w:rsidRDefault="003637AA" w:rsidP="003637AA">
            <w:pPr>
              <w:pStyle w:val="Table"/>
              <w:jc w:val="center"/>
            </w:pPr>
            <w:r w:rsidRPr="00732812">
              <w:t>2.103</w:t>
            </w:r>
          </w:p>
        </w:tc>
        <w:tc>
          <w:tcPr>
            <w:tcW w:w="2039" w:type="dxa"/>
          </w:tcPr>
          <w:p w14:paraId="4A10B991" w14:textId="0359E903" w:rsidR="003637AA" w:rsidRPr="00732812" w:rsidRDefault="00732812" w:rsidP="003637AA">
            <w:pPr>
              <w:pStyle w:val="Table"/>
              <w:jc w:val="center"/>
              <w:rPr>
                <w:color w:val="FF0000"/>
              </w:rPr>
            </w:pPr>
            <w:r>
              <w:rPr>
                <w:color w:val="FF0000"/>
              </w:rPr>
              <w:t>–</w:t>
            </w:r>
            <w:r w:rsidR="003637AA" w:rsidRPr="00732812">
              <w:rPr>
                <w:color w:val="FF0000"/>
              </w:rPr>
              <w:t xml:space="preserve"> 3.3%</w:t>
            </w:r>
          </w:p>
        </w:tc>
      </w:tr>
      <w:tr w:rsidR="003637AA" w14:paraId="5272BB02" w14:textId="77777777" w:rsidTr="00D6326B">
        <w:tc>
          <w:tcPr>
            <w:tcW w:w="2039" w:type="dxa"/>
            <w:vAlign w:val="center"/>
          </w:tcPr>
          <w:p w14:paraId="228C1A07" w14:textId="0BE52E07" w:rsidR="003637AA" w:rsidRPr="00732812" w:rsidRDefault="003637AA" w:rsidP="003637AA">
            <w:pPr>
              <w:pStyle w:val="Table"/>
            </w:pPr>
            <w:r w:rsidRPr="00732812">
              <w:rPr>
                <w:bCs/>
                <w:color w:val="000000"/>
                <w:szCs w:val="22"/>
              </w:rPr>
              <w:lastRenderedPageBreak/>
              <w:t xml:space="preserve">WPD </w:t>
            </w:r>
            <w:proofErr w:type="spellStart"/>
            <w:r w:rsidRPr="00732812">
              <w:rPr>
                <w:bCs/>
                <w:color w:val="000000"/>
                <w:szCs w:val="22"/>
              </w:rPr>
              <w:t>SWales</w:t>
            </w:r>
            <w:proofErr w:type="spellEnd"/>
          </w:p>
        </w:tc>
        <w:tc>
          <w:tcPr>
            <w:tcW w:w="2039" w:type="dxa"/>
          </w:tcPr>
          <w:p w14:paraId="73CF48A5" w14:textId="29754677" w:rsidR="003637AA" w:rsidRPr="00732812" w:rsidRDefault="003637AA" w:rsidP="003637AA">
            <w:pPr>
              <w:pStyle w:val="Table"/>
              <w:jc w:val="center"/>
            </w:pPr>
            <w:r w:rsidRPr="00732812">
              <w:t>2.841</w:t>
            </w:r>
          </w:p>
        </w:tc>
        <w:tc>
          <w:tcPr>
            <w:tcW w:w="2039" w:type="dxa"/>
          </w:tcPr>
          <w:p w14:paraId="7222D46E" w14:textId="5CDD4522" w:rsidR="003637AA" w:rsidRPr="00732812" w:rsidRDefault="003637AA" w:rsidP="003637AA">
            <w:pPr>
              <w:pStyle w:val="Table"/>
              <w:jc w:val="center"/>
            </w:pPr>
            <w:r w:rsidRPr="00732812">
              <w:t>2.648</w:t>
            </w:r>
          </w:p>
        </w:tc>
        <w:tc>
          <w:tcPr>
            <w:tcW w:w="2039" w:type="dxa"/>
          </w:tcPr>
          <w:p w14:paraId="3D3C6EC8" w14:textId="39BA8769" w:rsidR="003637AA" w:rsidRPr="00732812" w:rsidRDefault="00732812" w:rsidP="003637AA">
            <w:pPr>
              <w:pStyle w:val="Table"/>
              <w:jc w:val="center"/>
              <w:rPr>
                <w:color w:val="FF0000"/>
              </w:rPr>
            </w:pPr>
            <w:r>
              <w:rPr>
                <w:color w:val="FF0000"/>
              </w:rPr>
              <w:t>–</w:t>
            </w:r>
            <w:r w:rsidR="003637AA" w:rsidRPr="00732812">
              <w:rPr>
                <w:color w:val="FF0000"/>
              </w:rPr>
              <w:t xml:space="preserve"> 6.8%</w:t>
            </w:r>
          </w:p>
        </w:tc>
      </w:tr>
      <w:tr w:rsidR="003637AA" w14:paraId="1A47CB6D" w14:textId="77777777" w:rsidTr="00D6326B">
        <w:tc>
          <w:tcPr>
            <w:tcW w:w="2039" w:type="dxa"/>
            <w:vAlign w:val="center"/>
          </w:tcPr>
          <w:p w14:paraId="167D1917" w14:textId="72237245" w:rsidR="003637AA" w:rsidRPr="00732812" w:rsidRDefault="003637AA" w:rsidP="003637AA">
            <w:pPr>
              <w:pStyle w:val="Table"/>
            </w:pPr>
            <w:r w:rsidRPr="00732812">
              <w:rPr>
                <w:bCs/>
                <w:color w:val="000000"/>
                <w:szCs w:val="22"/>
              </w:rPr>
              <w:t xml:space="preserve">WPD </w:t>
            </w:r>
            <w:proofErr w:type="spellStart"/>
            <w:r w:rsidRPr="00732812">
              <w:rPr>
                <w:bCs/>
                <w:color w:val="000000"/>
                <w:szCs w:val="22"/>
              </w:rPr>
              <w:t>SWest</w:t>
            </w:r>
            <w:proofErr w:type="spellEnd"/>
          </w:p>
        </w:tc>
        <w:tc>
          <w:tcPr>
            <w:tcW w:w="2039" w:type="dxa"/>
          </w:tcPr>
          <w:p w14:paraId="58384745" w14:textId="02CFA522" w:rsidR="003637AA" w:rsidRPr="00732812" w:rsidRDefault="003637AA" w:rsidP="003637AA">
            <w:pPr>
              <w:pStyle w:val="Table"/>
              <w:jc w:val="center"/>
            </w:pPr>
            <w:r w:rsidRPr="00732812">
              <w:t>3.206</w:t>
            </w:r>
          </w:p>
        </w:tc>
        <w:tc>
          <w:tcPr>
            <w:tcW w:w="2039" w:type="dxa"/>
          </w:tcPr>
          <w:p w14:paraId="0212F996" w14:textId="31A4A26F" w:rsidR="003637AA" w:rsidRPr="00732812" w:rsidRDefault="003637AA" w:rsidP="003637AA">
            <w:pPr>
              <w:pStyle w:val="Table"/>
              <w:jc w:val="center"/>
            </w:pPr>
            <w:r w:rsidRPr="00732812">
              <w:t>3.123</w:t>
            </w:r>
          </w:p>
        </w:tc>
        <w:tc>
          <w:tcPr>
            <w:tcW w:w="2039" w:type="dxa"/>
          </w:tcPr>
          <w:p w14:paraId="2CFDA8F7" w14:textId="7689816E" w:rsidR="003637AA" w:rsidRPr="00732812" w:rsidRDefault="00732812" w:rsidP="003637AA">
            <w:pPr>
              <w:pStyle w:val="Table"/>
              <w:jc w:val="center"/>
              <w:rPr>
                <w:color w:val="FF0000"/>
              </w:rPr>
            </w:pPr>
            <w:r>
              <w:rPr>
                <w:color w:val="FF0000"/>
              </w:rPr>
              <w:t>–</w:t>
            </w:r>
            <w:r w:rsidR="003637AA" w:rsidRPr="00732812">
              <w:rPr>
                <w:color w:val="FF0000"/>
              </w:rPr>
              <w:t xml:space="preserve"> 2.6%</w:t>
            </w:r>
          </w:p>
        </w:tc>
      </w:tr>
      <w:tr w:rsidR="003637AA" w14:paraId="5937C51A" w14:textId="77777777" w:rsidTr="003637AA">
        <w:tc>
          <w:tcPr>
            <w:tcW w:w="2039" w:type="dxa"/>
          </w:tcPr>
          <w:p w14:paraId="4F53C7D9" w14:textId="0287338D" w:rsidR="003637AA" w:rsidRPr="00732812" w:rsidRDefault="003637AA" w:rsidP="003637AA">
            <w:pPr>
              <w:pStyle w:val="Table"/>
            </w:pPr>
            <w:r w:rsidRPr="00732812">
              <w:rPr>
                <w:bCs/>
                <w:color w:val="000000"/>
                <w:szCs w:val="22"/>
              </w:rPr>
              <w:t xml:space="preserve">WPD </w:t>
            </w:r>
            <w:proofErr w:type="spellStart"/>
            <w:r w:rsidRPr="00732812">
              <w:rPr>
                <w:bCs/>
                <w:color w:val="000000"/>
                <w:szCs w:val="22"/>
              </w:rPr>
              <w:t>WestM</w:t>
            </w:r>
            <w:proofErr w:type="spellEnd"/>
          </w:p>
        </w:tc>
        <w:tc>
          <w:tcPr>
            <w:tcW w:w="2039" w:type="dxa"/>
          </w:tcPr>
          <w:p w14:paraId="5C26B2F6" w14:textId="1EBED8D7" w:rsidR="003637AA" w:rsidRPr="00732812" w:rsidRDefault="003637AA" w:rsidP="003637AA">
            <w:pPr>
              <w:pStyle w:val="Table"/>
              <w:jc w:val="center"/>
            </w:pPr>
            <w:r w:rsidRPr="00732812">
              <w:t>2.293</w:t>
            </w:r>
          </w:p>
        </w:tc>
        <w:tc>
          <w:tcPr>
            <w:tcW w:w="2039" w:type="dxa"/>
          </w:tcPr>
          <w:p w14:paraId="53AC6D1E" w14:textId="59F056E8" w:rsidR="003637AA" w:rsidRPr="00732812" w:rsidRDefault="003637AA" w:rsidP="003637AA">
            <w:pPr>
              <w:pStyle w:val="Table"/>
              <w:jc w:val="center"/>
            </w:pPr>
            <w:r w:rsidRPr="00732812">
              <w:t>2.220</w:t>
            </w:r>
          </w:p>
        </w:tc>
        <w:tc>
          <w:tcPr>
            <w:tcW w:w="2039" w:type="dxa"/>
          </w:tcPr>
          <w:p w14:paraId="18E30B5E" w14:textId="27D22FB2" w:rsidR="003637AA" w:rsidRPr="00732812" w:rsidRDefault="00732812" w:rsidP="003637AA">
            <w:pPr>
              <w:pStyle w:val="Table"/>
              <w:jc w:val="center"/>
              <w:rPr>
                <w:color w:val="FF0000"/>
              </w:rPr>
            </w:pPr>
            <w:r>
              <w:rPr>
                <w:color w:val="FF0000"/>
              </w:rPr>
              <w:t>–</w:t>
            </w:r>
            <w:r w:rsidR="003637AA" w:rsidRPr="00732812">
              <w:rPr>
                <w:color w:val="FF0000"/>
              </w:rPr>
              <w:t xml:space="preserve"> 3.2%</w:t>
            </w:r>
          </w:p>
        </w:tc>
      </w:tr>
    </w:tbl>
    <w:p w14:paraId="6DC5F326" w14:textId="7EB059F9" w:rsidR="00AA1D8E" w:rsidRDefault="00AB2A9A" w:rsidP="00332FF3">
      <w:pPr>
        <w:pStyle w:val="Caption"/>
      </w:pPr>
      <w:r>
        <w:t xml:space="preserve">   </w:t>
      </w:r>
      <w:r w:rsidR="00241E12" w:rsidRPr="005D2A53">
        <w:t xml:space="preserve"> </w:t>
      </w:r>
      <w:r w:rsidR="00440E72">
        <w:t xml:space="preserve"> </w:t>
      </w:r>
      <w:r w:rsidR="00AA1D8E">
        <w:t xml:space="preserve"> </w:t>
      </w:r>
    </w:p>
    <w:p w14:paraId="6DAE9E30" w14:textId="3C3331E9" w:rsidR="00692A5D" w:rsidRDefault="00692A5D" w:rsidP="00692A5D">
      <w:pPr>
        <w:pStyle w:val="Text"/>
      </w:pPr>
      <w:r>
        <w:t xml:space="preserve">Table </w:t>
      </w:r>
      <w:r>
        <w:fldChar w:fldCharType="begin"/>
      </w:r>
      <w:r>
        <w:instrText xml:space="preserve"> =1+</w:instrText>
      </w:r>
      <w:r>
        <w:fldChar w:fldCharType="begin"/>
      </w:r>
      <w:r>
        <w:instrText xml:space="preserve"> SEQ \c </w:instrText>
      </w:r>
      <w:r w:rsidR="006E138E">
        <w:instrText xml:space="preserve">Table </w:instrText>
      </w:r>
      <w:r>
        <w:instrText xml:space="preserve">\* ARABIC </w:instrText>
      </w:r>
      <w:r>
        <w:fldChar w:fldCharType="separate"/>
      </w:r>
      <w:r w:rsidR="006E138E">
        <w:rPr>
          <w:noProof/>
        </w:rPr>
        <w:instrText>1</w:instrText>
      </w:r>
      <w:r>
        <w:fldChar w:fldCharType="end"/>
      </w:r>
      <w:r>
        <w:fldChar w:fldCharType="separate"/>
      </w:r>
      <w:r w:rsidR="006E138E">
        <w:rPr>
          <w:noProof/>
        </w:rPr>
        <w:t>2</w:t>
      </w:r>
      <w:r>
        <w:fldChar w:fldCharType="end"/>
      </w:r>
      <w:r>
        <w:t xml:space="preserve"> shows the impact of DCP 227 on the unit rate for the Small Non Domestic Unrestricted tariff in each DNO area.</w:t>
      </w:r>
    </w:p>
    <w:p w14:paraId="5EF7819C" w14:textId="1CA8B3E1" w:rsidR="00692A5D" w:rsidRDefault="00692A5D" w:rsidP="00692A5D">
      <w:pPr>
        <w:pStyle w:val="Caption"/>
      </w:pPr>
      <w:r>
        <w:t xml:space="preserve">Table </w:t>
      </w:r>
      <w:r>
        <w:fldChar w:fldCharType="begin"/>
      </w:r>
      <w:r>
        <w:instrText xml:space="preserve"> SEQ </w:instrText>
      </w:r>
      <w:r w:rsidR="006E138E">
        <w:instrText xml:space="preserve">Table </w:instrText>
      </w:r>
      <w:r>
        <w:instrText xml:space="preserve">\* ARABIC </w:instrText>
      </w:r>
      <w:r>
        <w:fldChar w:fldCharType="separate"/>
      </w:r>
      <w:r w:rsidR="006E138E">
        <w:rPr>
          <w:noProof/>
        </w:rPr>
        <w:t>2</w:t>
      </w:r>
      <w:r>
        <w:fldChar w:fldCharType="end"/>
      </w:r>
      <w:r>
        <w:tab/>
        <w:t xml:space="preserve">Impact of DCP 227 on the unit rate for the </w:t>
      </w:r>
      <w:r w:rsidR="001236ED">
        <w:t xml:space="preserve">Small Non </w:t>
      </w:r>
      <w:r>
        <w:t>Domestic Unrestricted tariff</w:t>
      </w:r>
    </w:p>
    <w:tbl>
      <w:tblPr>
        <w:tblStyle w:val="TableGrid"/>
        <w:tblW w:w="0" w:type="auto"/>
        <w:tblInd w:w="1080" w:type="dxa"/>
        <w:tblLook w:val="04A0" w:firstRow="1" w:lastRow="0" w:firstColumn="1" w:lastColumn="0" w:noHBand="0" w:noVBand="1"/>
      </w:tblPr>
      <w:tblGrid>
        <w:gridCol w:w="2039"/>
        <w:gridCol w:w="2039"/>
        <w:gridCol w:w="2039"/>
        <w:gridCol w:w="2039"/>
      </w:tblGrid>
      <w:tr w:rsidR="00692A5D" w14:paraId="45AC3667" w14:textId="77777777" w:rsidTr="00754A26">
        <w:tc>
          <w:tcPr>
            <w:tcW w:w="2039" w:type="dxa"/>
          </w:tcPr>
          <w:p w14:paraId="58342658" w14:textId="77777777" w:rsidR="00692A5D" w:rsidRPr="003637AA" w:rsidRDefault="00692A5D" w:rsidP="00754A26">
            <w:pPr>
              <w:pStyle w:val="Table"/>
              <w:rPr>
                <w:b/>
              </w:rPr>
            </w:pPr>
          </w:p>
        </w:tc>
        <w:tc>
          <w:tcPr>
            <w:tcW w:w="2039" w:type="dxa"/>
          </w:tcPr>
          <w:p w14:paraId="63AFF4A7" w14:textId="77777777" w:rsidR="00692A5D" w:rsidRPr="003637AA" w:rsidRDefault="00692A5D" w:rsidP="001236ED">
            <w:pPr>
              <w:pStyle w:val="Table"/>
              <w:jc w:val="center"/>
              <w:rPr>
                <w:b/>
              </w:rPr>
            </w:pPr>
            <w:r w:rsidRPr="003637AA">
              <w:rPr>
                <w:b/>
              </w:rPr>
              <w:t>Baseline</w:t>
            </w:r>
          </w:p>
          <w:p w14:paraId="7049A014" w14:textId="77777777" w:rsidR="00692A5D" w:rsidRPr="003637AA" w:rsidRDefault="00692A5D" w:rsidP="001236ED">
            <w:pPr>
              <w:pStyle w:val="Table"/>
              <w:jc w:val="center"/>
              <w:rPr>
                <w:b/>
              </w:rPr>
            </w:pPr>
            <w:r w:rsidRPr="003637AA">
              <w:rPr>
                <w:b/>
              </w:rPr>
              <w:t>Unit rate 1 p/kWh</w:t>
            </w:r>
          </w:p>
        </w:tc>
        <w:tc>
          <w:tcPr>
            <w:tcW w:w="2039" w:type="dxa"/>
          </w:tcPr>
          <w:p w14:paraId="538F114E" w14:textId="77777777" w:rsidR="00692A5D" w:rsidRPr="003637AA" w:rsidRDefault="00692A5D" w:rsidP="001236ED">
            <w:pPr>
              <w:pStyle w:val="Table"/>
              <w:jc w:val="center"/>
              <w:rPr>
                <w:b/>
              </w:rPr>
            </w:pPr>
            <w:r w:rsidRPr="003637AA">
              <w:rPr>
                <w:b/>
              </w:rPr>
              <w:t>DCP 227</w:t>
            </w:r>
          </w:p>
          <w:p w14:paraId="3297C8DC" w14:textId="77777777" w:rsidR="00692A5D" w:rsidRPr="003637AA" w:rsidRDefault="00692A5D" w:rsidP="001236ED">
            <w:pPr>
              <w:pStyle w:val="Table"/>
              <w:jc w:val="center"/>
              <w:rPr>
                <w:b/>
              </w:rPr>
            </w:pPr>
            <w:r w:rsidRPr="003637AA">
              <w:rPr>
                <w:b/>
              </w:rPr>
              <w:t>Unit rate 1 p/kWh</w:t>
            </w:r>
          </w:p>
        </w:tc>
        <w:tc>
          <w:tcPr>
            <w:tcW w:w="2039" w:type="dxa"/>
          </w:tcPr>
          <w:p w14:paraId="04016C81" w14:textId="77777777" w:rsidR="00692A5D" w:rsidRPr="003637AA" w:rsidRDefault="00692A5D" w:rsidP="001236ED">
            <w:pPr>
              <w:pStyle w:val="Table"/>
              <w:jc w:val="center"/>
              <w:rPr>
                <w:b/>
              </w:rPr>
            </w:pPr>
            <w:r w:rsidRPr="003637AA">
              <w:rPr>
                <w:b/>
              </w:rPr>
              <w:t>Percentage change</w:t>
            </w:r>
          </w:p>
        </w:tc>
      </w:tr>
      <w:tr w:rsidR="00741F81" w14:paraId="3E22EAD7" w14:textId="77777777" w:rsidTr="00754A26">
        <w:tc>
          <w:tcPr>
            <w:tcW w:w="2039" w:type="dxa"/>
            <w:vAlign w:val="center"/>
          </w:tcPr>
          <w:p w14:paraId="7AAFE754" w14:textId="77777777" w:rsidR="00741F81" w:rsidRPr="00732812" w:rsidRDefault="00741F81" w:rsidP="00741F81">
            <w:pPr>
              <w:pStyle w:val="Table"/>
            </w:pPr>
            <w:r w:rsidRPr="00732812">
              <w:rPr>
                <w:bCs/>
                <w:color w:val="000000"/>
                <w:szCs w:val="22"/>
              </w:rPr>
              <w:t>ENWL</w:t>
            </w:r>
          </w:p>
        </w:tc>
        <w:tc>
          <w:tcPr>
            <w:tcW w:w="2039" w:type="dxa"/>
          </w:tcPr>
          <w:p w14:paraId="494A8085" w14:textId="4227FBB0" w:rsidR="00741F81" w:rsidRPr="00732812" w:rsidRDefault="00741F81" w:rsidP="00741F81">
            <w:pPr>
              <w:pStyle w:val="Table"/>
              <w:jc w:val="center"/>
            </w:pPr>
            <w:r w:rsidRPr="00732812">
              <w:t xml:space="preserve">      2.334 </w:t>
            </w:r>
          </w:p>
        </w:tc>
        <w:tc>
          <w:tcPr>
            <w:tcW w:w="2039" w:type="dxa"/>
          </w:tcPr>
          <w:p w14:paraId="4A3143A9" w14:textId="570BA39F" w:rsidR="00741F81" w:rsidRPr="00732812" w:rsidRDefault="00741F81" w:rsidP="00741F81">
            <w:pPr>
              <w:pStyle w:val="Table"/>
              <w:jc w:val="center"/>
            </w:pPr>
            <w:r w:rsidRPr="00732812">
              <w:t xml:space="preserve">      2.468 </w:t>
            </w:r>
          </w:p>
        </w:tc>
        <w:tc>
          <w:tcPr>
            <w:tcW w:w="2039" w:type="dxa"/>
          </w:tcPr>
          <w:p w14:paraId="5EFD7FF6" w14:textId="3A9111BB" w:rsidR="00741F81" w:rsidRPr="00732812" w:rsidRDefault="00741F81" w:rsidP="00732812">
            <w:pPr>
              <w:pStyle w:val="Table"/>
              <w:jc w:val="center"/>
              <w:rPr>
                <w:color w:val="0000FF"/>
              </w:rPr>
            </w:pPr>
            <w:r w:rsidRPr="00732812">
              <w:rPr>
                <w:color w:val="0000FF"/>
              </w:rPr>
              <w:t xml:space="preserve"> +</w:t>
            </w:r>
            <w:r w:rsidR="00732812" w:rsidRPr="00732812">
              <w:rPr>
                <w:color w:val="0000FF"/>
              </w:rPr>
              <w:t xml:space="preserve"> </w:t>
            </w:r>
            <w:r w:rsidRPr="00732812">
              <w:rPr>
                <w:color w:val="0000FF"/>
              </w:rPr>
              <w:t>5.7%</w:t>
            </w:r>
          </w:p>
        </w:tc>
      </w:tr>
      <w:tr w:rsidR="00741F81" w14:paraId="0992E961" w14:textId="77777777" w:rsidTr="00754A26">
        <w:tc>
          <w:tcPr>
            <w:tcW w:w="2039" w:type="dxa"/>
            <w:vAlign w:val="center"/>
          </w:tcPr>
          <w:p w14:paraId="5C981837" w14:textId="77777777" w:rsidR="00741F81" w:rsidRPr="00732812" w:rsidRDefault="00741F81" w:rsidP="00741F81">
            <w:pPr>
              <w:pStyle w:val="Table"/>
            </w:pPr>
            <w:r w:rsidRPr="00732812">
              <w:rPr>
                <w:bCs/>
                <w:color w:val="000000"/>
                <w:szCs w:val="22"/>
              </w:rPr>
              <w:t>NPG Northeast</w:t>
            </w:r>
          </w:p>
        </w:tc>
        <w:tc>
          <w:tcPr>
            <w:tcW w:w="2039" w:type="dxa"/>
          </w:tcPr>
          <w:p w14:paraId="51E5D537" w14:textId="055CCE6D" w:rsidR="00741F81" w:rsidRPr="00732812" w:rsidRDefault="00741F81" w:rsidP="00741F81">
            <w:pPr>
              <w:pStyle w:val="Table"/>
              <w:jc w:val="center"/>
            </w:pPr>
            <w:r w:rsidRPr="00732812">
              <w:t xml:space="preserve">      2.408 </w:t>
            </w:r>
          </w:p>
        </w:tc>
        <w:tc>
          <w:tcPr>
            <w:tcW w:w="2039" w:type="dxa"/>
          </w:tcPr>
          <w:p w14:paraId="793173A5" w14:textId="78FFF2B0" w:rsidR="00741F81" w:rsidRPr="00732812" w:rsidRDefault="00741F81" w:rsidP="00741F81">
            <w:pPr>
              <w:pStyle w:val="Table"/>
              <w:jc w:val="center"/>
            </w:pPr>
            <w:r w:rsidRPr="00732812">
              <w:t xml:space="preserve">      2.605 </w:t>
            </w:r>
          </w:p>
        </w:tc>
        <w:tc>
          <w:tcPr>
            <w:tcW w:w="2039" w:type="dxa"/>
          </w:tcPr>
          <w:p w14:paraId="792E8AE2" w14:textId="2565D042"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8.2%</w:t>
            </w:r>
          </w:p>
        </w:tc>
      </w:tr>
      <w:tr w:rsidR="00741F81" w14:paraId="2E156337" w14:textId="77777777" w:rsidTr="00754A26">
        <w:tc>
          <w:tcPr>
            <w:tcW w:w="2039" w:type="dxa"/>
            <w:vAlign w:val="center"/>
          </w:tcPr>
          <w:p w14:paraId="640FE9A8" w14:textId="77777777" w:rsidR="00741F81" w:rsidRPr="00732812" w:rsidRDefault="00741F81" w:rsidP="00741F81">
            <w:pPr>
              <w:pStyle w:val="Table"/>
            </w:pPr>
            <w:r w:rsidRPr="00732812">
              <w:rPr>
                <w:bCs/>
                <w:color w:val="000000"/>
                <w:szCs w:val="22"/>
              </w:rPr>
              <w:t>NPG Yorkshire</w:t>
            </w:r>
          </w:p>
        </w:tc>
        <w:tc>
          <w:tcPr>
            <w:tcW w:w="2039" w:type="dxa"/>
          </w:tcPr>
          <w:p w14:paraId="5183AD71" w14:textId="3010CBA3" w:rsidR="00741F81" w:rsidRPr="00732812" w:rsidRDefault="00741F81" w:rsidP="00741F81">
            <w:pPr>
              <w:pStyle w:val="Table"/>
              <w:jc w:val="center"/>
            </w:pPr>
            <w:r w:rsidRPr="00732812">
              <w:t xml:space="preserve">      1.914 </w:t>
            </w:r>
          </w:p>
        </w:tc>
        <w:tc>
          <w:tcPr>
            <w:tcW w:w="2039" w:type="dxa"/>
          </w:tcPr>
          <w:p w14:paraId="43A1B8F8" w14:textId="53452F96" w:rsidR="00741F81" w:rsidRPr="00732812" w:rsidRDefault="00741F81" w:rsidP="00741F81">
            <w:pPr>
              <w:pStyle w:val="Table"/>
              <w:jc w:val="center"/>
            </w:pPr>
            <w:r w:rsidRPr="00732812">
              <w:t xml:space="preserve">      2.089 </w:t>
            </w:r>
          </w:p>
        </w:tc>
        <w:tc>
          <w:tcPr>
            <w:tcW w:w="2039" w:type="dxa"/>
          </w:tcPr>
          <w:p w14:paraId="2E41D1AB" w14:textId="07ACF73E"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9.1%</w:t>
            </w:r>
          </w:p>
        </w:tc>
      </w:tr>
      <w:tr w:rsidR="00741F81" w14:paraId="0C03DD6E" w14:textId="77777777" w:rsidTr="00754A26">
        <w:tc>
          <w:tcPr>
            <w:tcW w:w="2039" w:type="dxa"/>
            <w:vAlign w:val="center"/>
          </w:tcPr>
          <w:p w14:paraId="058C0382" w14:textId="77777777" w:rsidR="00741F81" w:rsidRPr="00732812" w:rsidRDefault="00741F81" w:rsidP="00741F81">
            <w:pPr>
              <w:pStyle w:val="Table"/>
            </w:pPr>
            <w:r w:rsidRPr="00732812">
              <w:rPr>
                <w:bCs/>
                <w:color w:val="000000"/>
                <w:szCs w:val="22"/>
              </w:rPr>
              <w:t>SPEN SPD</w:t>
            </w:r>
          </w:p>
        </w:tc>
        <w:tc>
          <w:tcPr>
            <w:tcW w:w="2039" w:type="dxa"/>
          </w:tcPr>
          <w:p w14:paraId="676F537D" w14:textId="149D2204" w:rsidR="00741F81" w:rsidRPr="00732812" w:rsidRDefault="00741F81" w:rsidP="00741F81">
            <w:pPr>
              <w:pStyle w:val="Table"/>
              <w:jc w:val="center"/>
            </w:pPr>
            <w:r w:rsidRPr="00732812">
              <w:t xml:space="preserve">      2.261 </w:t>
            </w:r>
          </w:p>
        </w:tc>
        <w:tc>
          <w:tcPr>
            <w:tcW w:w="2039" w:type="dxa"/>
          </w:tcPr>
          <w:p w14:paraId="34E2C444" w14:textId="3BDC1482" w:rsidR="00741F81" w:rsidRPr="00732812" w:rsidRDefault="00741F81" w:rsidP="00741F81">
            <w:pPr>
              <w:pStyle w:val="Table"/>
              <w:jc w:val="center"/>
            </w:pPr>
            <w:r w:rsidRPr="00732812">
              <w:t xml:space="preserve">      2.341 </w:t>
            </w:r>
          </w:p>
        </w:tc>
        <w:tc>
          <w:tcPr>
            <w:tcW w:w="2039" w:type="dxa"/>
          </w:tcPr>
          <w:p w14:paraId="7A904715" w14:textId="38937EEA"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3.5%</w:t>
            </w:r>
          </w:p>
        </w:tc>
      </w:tr>
      <w:tr w:rsidR="00741F81" w14:paraId="6831854C" w14:textId="77777777" w:rsidTr="00754A26">
        <w:tc>
          <w:tcPr>
            <w:tcW w:w="2039" w:type="dxa"/>
            <w:vAlign w:val="center"/>
          </w:tcPr>
          <w:p w14:paraId="0B526E8D" w14:textId="77777777" w:rsidR="00741F81" w:rsidRPr="00732812" w:rsidRDefault="00741F81" w:rsidP="00741F81">
            <w:pPr>
              <w:pStyle w:val="Table"/>
            </w:pPr>
            <w:r w:rsidRPr="00732812">
              <w:rPr>
                <w:bCs/>
                <w:color w:val="000000"/>
                <w:szCs w:val="22"/>
              </w:rPr>
              <w:t>SPEN SPM</w:t>
            </w:r>
          </w:p>
        </w:tc>
        <w:tc>
          <w:tcPr>
            <w:tcW w:w="2039" w:type="dxa"/>
          </w:tcPr>
          <w:p w14:paraId="7467C36D" w14:textId="793F5930" w:rsidR="00741F81" w:rsidRPr="00732812" w:rsidRDefault="00741F81" w:rsidP="00741F81">
            <w:pPr>
              <w:pStyle w:val="Table"/>
              <w:jc w:val="center"/>
            </w:pPr>
            <w:r w:rsidRPr="00732812">
              <w:t xml:space="preserve">      2.860 </w:t>
            </w:r>
          </w:p>
        </w:tc>
        <w:tc>
          <w:tcPr>
            <w:tcW w:w="2039" w:type="dxa"/>
          </w:tcPr>
          <w:p w14:paraId="4BC1333E" w14:textId="27D3E02C" w:rsidR="00741F81" w:rsidRPr="00732812" w:rsidRDefault="00741F81" w:rsidP="00741F81">
            <w:pPr>
              <w:pStyle w:val="Table"/>
              <w:jc w:val="center"/>
            </w:pPr>
            <w:r w:rsidRPr="00732812">
              <w:t xml:space="preserve">      2.981 </w:t>
            </w:r>
          </w:p>
        </w:tc>
        <w:tc>
          <w:tcPr>
            <w:tcW w:w="2039" w:type="dxa"/>
          </w:tcPr>
          <w:p w14:paraId="4DD7BB19" w14:textId="6784A4C4"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4.2%</w:t>
            </w:r>
          </w:p>
        </w:tc>
      </w:tr>
      <w:tr w:rsidR="00741F81" w14:paraId="1B74F4C4" w14:textId="77777777" w:rsidTr="00754A26">
        <w:tc>
          <w:tcPr>
            <w:tcW w:w="2039" w:type="dxa"/>
            <w:vAlign w:val="center"/>
          </w:tcPr>
          <w:p w14:paraId="4ED39EEF" w14:textId="77777777" w:rsidR="00741F81" w:rsidRPr="00732812" w:rsidRDefault="00741F81" w:rsidP="00741F81">
            <w:pPr>
              <w:pStyle w:val="Table"/>
            </w:pPr>
            <w:r w:rsidRPr="00732812">
              <w:rPr>
                <w:bCs/>
                <w:color w:val="000000"/>
                <w:szCs w:val="22"/>
              </w:rPr>
              <w:t>SSEPD SEPD</w:t>
            </w:r>
          </w:p>
        </w:tc>
        <w:tc>
          <w:tcPr>
            <w:tcW w:w="2039" w:type="dxa"/>
          </w:tcPr>
          <w:p w14:paraId="27850700" w14:textId="4EBA58C2" w:rsidR="00741F81" w:rsidRPr="00732812" w:rsidRDefault="00741F81" w:rsidP="00741F81">
            <w:pPr>
              <w:pStyle w:val="Table"/>
              <w:jc w:val="center"/>
            </w:pPr>
            <w:r w:rsidRPr="00732812">
              <w:t xml:space="preserve">      1.579 </w:t>
            </w:r>
          </w:p>
        </w:tc>
        <w:tc>
          <w:tcPr>
            <w:tcW w:w="2039" w:type="dxa"/>
          </w:tcPr>
          <w:p w14:paraId="356A4C1D" w14:textId="204B3C0D" w:rsidR="00741F81" w:rsidRPr="00732812" w:rsidRDefault="00741F81" w:rsidP="00741F81">
            <w:pPr>
              <w:pStyle w:val="Table"/>
              <w:jc w:val="center"/>
            </w:pPr>
            <w:r w:rsidRPr="00732812">
              <w:t xml:space="preserve">      1.790 </w:t>
            </w:r>
          </w:p>
        </w:tc>
        <w:tc>
          <w:tcPr>
            <w:tcW w:w="2039" w:type="dxa"/>
          </w:tcPr>
          <w:p w14:paraId="49F6C874" w14:textId="4DE2D63B" w:rsidR="00741F81" w:rsidRPr="00732812" w:rsidRDefault="00741F81" w:rsidP="00741F81">
            <w:pPr>
              <w:pStyle w:val="Table"/>
              <w:jc w:val="center"/>
              <w:rPr>
                <w:color w:val="0000FF"/>
              </w:rPr>
            </w:pPr>
            <w:r w:rsidRPr="00732812">
              <w:rPr>
                <w:color w:val="0000FF"/>
              </w:rPr>
              <w:t xml:space="preserve"> </w:t>
            </w:r>
            <w:r w:rsidR="00732812">
              <w:rPr>
                <w:color w:val="0000FF"/>
              </w:rPr>
              <w:t xml:space="preserve">+ </w:t>
            </w:r>
            <w:r w:rsidRPr="00732812">
              <w:rPr>
                <w:color w:val="0000FF"/>
              </w:rPr>
              <w:t>13.4%</w:t>
            </w:r>
          </w:p>
        </w:tc>
      </w:tr>
      <w:tr w:rsidR="00741F81" w14:paraId="175A4D50" w14:textId="77777777" w:rsidTr="00754A26">
        <w:tc>
          <w:tcPr>
            <w:tcW w:w="2039" w:type="dxa"/>
            <w:vAlign w:val="center"/>
          </w:tcPr>
          <w:p w14:paraId="70DEC8E2" w14:textId="77777777" w:rsidR="00741F81" w:rsidRPr="00732812" w:rsidRDefault="00741F81" w:rsidP="00741F81">
            <w:pPr>
              <w:pStyle w:val="Table"/>
            </w:pPr>
            <w:r w:rsidRPr="00732812">
              <w:rPr>
                <w:bCs/>
                <w:color w:val="000000"/>
                <w:szCs w:val="22"/>
              </w:rPr>
              <w:t>SSEPD SHEPD</w:t>
            </w:r>
          </w:p>
        </w:tc>
        <w:tc>
          <w:tcPr>
            <w:tcW w:w="2039" w:type="dxa"/>
          </w:tcPr>
          <w:p w14:paraId="2DCD8375" w14:textId="3BCE3E2E" w:rsidR="00741F81" w:rsidRPr="00732812" w:rsidRDefault="00741F81" w:rsidP="00741F81">
            <w:pPr>
              <w:pStyle w:val="Table"/>
              <w:jc w:val="center"/>
            </w:pPr>
            <w:r w:rsidRPr="00732812">
              <w:t xml:space="preserve">      3.212 </w:t>
            </w:r>
          </w:p>
        </w:tc>
        <w:tc>
          <w:tcPr>
            <w:tcW w:w="2039" w:type="dxa"/>
          </w:tcPr>
          <w:p w14:paraId="4038F4FF" w14:textId="46EA3A61" w:rsidR="00741F81" w:rsidRPr="00732812" w:rsidRDefault="00741F81" w:rsidP="00741F81">
            <w:pPr>
              <w:pStyle w:val="Table"/>
              <w:jc w:val="center"/>
            </w:pPr>
            <w:r w:rsidRPr="00732812">
              <w:t xml:space="preserve">      3.339 </w:t>
            </w:r>
          </w:p>
        </w:tc>
        <w:tc>
          <w:tcPr>
            <w:tcW w:w="2039" w:type="dxa"/>
          </w:tcPr>
          <w:p w14:paraId="641BBE24" w14:textId="16FBE1CB"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4.0%</w:t>
            </w:r>
          </w:p>
        </w:tc>
      </w:tr>
      <w:tr w:rsidR="00741F81" w14:paraId="644805F9" w14:textId="77777777" w:rsidTr="00754A26">
        <w:tc>
          <w:tcPr>
            <w:tcW w:w="2039" w:type="dxa"/>
            <w:vAlign w:val="center"/>
          </w:tcPr>
          <w:p w14:paraId="7E54AE8E" w14:textId="77777777" w:rsidR="00741F81" w:rsidRPr="00732812" w:rsidRDefault="00741F81" w:rsidP="00741F81">
            <w:pPr>
              <w:pStyle w:val="Table"/>
            </w:pPr>
            <w:r w:rsidRPr="00732812">
              <w:rPr>
                <w:bCs/>
                <w:color w:val="000000"/>
                <w:szCs w:val="22"/>
              </w:rPr>
              <w:t>UKPN EPN</w:t>
            </w:r>
          </w:p>
        </w:tc>
        <w:tc>
          <w:tcPr>
            <w:tcW w:w="2039" w:type="dxa"/>
          </w:tcPr>
          <w:p w14:paraId="11B97C25" w14:textId="5753E821" w:rsidR="00741F81" w:rsidRPr="00732812" w:rsidRDefault="00741F81" w:rsidP="00741F81">
            <w:pPr>
              <w:pStyle w:val="Table"/>
              <w:jc w:val="center"/>
            </w:pPr>
            <w:r w:rsidRPr="00732812">
              <w:t xml:space="preserve">      1.425 </w:t>
            </w:r>
          </w:p>
        </w:tc>
        <w:tc>
          <w:tcPr>
            <w:tcW w:w="2039" w:type="dxa"/>
          </w:tcPr>
          <w:p w14:paraId="13DC42FA" w14:textId="6651732F" w:rsidR="00741F81" w:rsidRPr="00732812" w:rsidRDefault="00741F81" w:rsidP="00741F81">
            <w:pPr>
              <w:pStyle w:val="Table"/>
              <w:jc w:val="center"/>
            </w:pPr>
            <w:r w:rsidRPr="00732812">
              <w:t xml:space="preserve">      1.430 </w:t>
            </w:r>
          </w:p>
        </w:tc>
        <w:tc>
          <w:tcPr>
            <w:tcW w:w="2039" w:type="dxa"/>
          </w:tcPr>
          <w:p w14:paraId="040238C1" w14:textId="44959633"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0.4%</w:t>
            </w:r>
          </w:p>
        </w:tc>
      </w:tr>
      <w:tr w:rsidR="00741F81" w14:paraId="7A233DD5" w14:textId="77777777" w:rsidTr="00754A26">
        <w:tc>
          <w:tcPr>
            <w:tcW w:w="2039" w:type="dxa"/>
            <w:vAlign w:val="center"/>
          </w:tcPr>
          <w:p w14:paraId="3A1A14B3" w14:textId="77777777" w:rsidR="00741F81" w:rsidRPr="00732812" w:rsidRDefault="00741F81" w:rsidP="00741F81">
            <w:pPr>
              <w:pStyle w:val="Table"/>
            </w:pPr>
            <w:r w:rsidRPr="00732812">
              <w:rPr>
                <w:bCs/>
                <w:color w:val="000000"/>
                <w:szCs w:val="22"/>
              </w:rPr>
              <w:t>UKPN LPN</w:t>
            </w:r>
          </w:p>
        </w:tc>
        <w:tc>
          <w:tcPr>
            <w:tcW w:w="2039" w:type="dxa"/>
          </w:tcPr>
          <w:p w14:paraId="1598D871" w14:textId="335E161D" w:rsidR="00741F81" w:rsidRPr="00732812" w:rsidRDefault="00741F81" w:rsidP="00741F81">
            <w:pPr>
              <w:pStyle w:val="Table"/>
              <w:jc w:val="center"/>
            </w:pPr>
            <w:r w:rsidRPr="00732812">
              <w:t xml:space="preserve">      1.189 </w:t>
            </w:r>
          </w:p>
        </w:tc>
        <w:tc>
          <w:tcPr>
            <w:tcW w:w="2039" w:type="dxa"/>
          </w:tcPr>
          <w:p w14:paraId="23B4307C" w14:textId="2BCB2E48" w:rsidR="00741F81" w:rsidRPr="00732812" w:rsidRDefault="00741F81" w:rsidP="00741F81">
            <w:pPr>
              <w:pStyle w:val="Table"/>
              <w:jc w:val="center"/>
            </w:pPr>
            <w:r w:rsidRPr="00732812">
              <w:t xml:space="preserve">      1.169 </w:t>
            </w:r>
          </w:p>
        </w:tc>
        <w:tc>
          <w:tcPr>
            <w:tcW w:w="2039" w:type="dxa"/>
          </w:tcPr>
          <w:p w14:paraId="52B4B8D2" w14:textId="57D1DEC4" w:rsidR="00741F81" w:rsidRPr="00732812" w:rsidRDefault="00741F81" w:rsidP="00741F81">
            <w:pPr>
              <w:pStyle w:val="Table"/>
              <w:jc w:val="center"/>
              <w:rPr>
                <w:color w:val="0000FF"/>
              </w:rPr>
            </w:pPr>
            <w:r w:rsidRPr="00732812">
              <w:rPr>
                <w:color w:val="FF0000"/>
              </w:rPr>
              <w:t xml:space="preserve"> </w:t>
            </w:r>
            <w:r w:rsidR="00732812" w:rsidRPr="00732812">
              <w:rPr>
                <w:color w:val="FF0000"/>
              </w:rPr>
              <w:t>–</w:t>
            </w:r>
            <w:r w:rsidRPr="00732812">
              <w:rPr>
                <w:color w:val="FF0000"/>
              </w:rPr>
              <w:t xml:space="preserve"> 1.7%</w:t>
            </w:r>
          </w:p>
        </w:tc>
      </w:tr>
      <w:tr w:rsidR="00741F81" w14:paraId="2AA33E27" w14:textId="77777777" w:rsidTr="00754A26">
        <w:tc>
          <w:tcPr>
            <w:tcW w:w="2039" w:type="dxa"/>
            <w:vAlign w:val="center"/>
          </w:tcPr>
          <w:p w14:paraId="350803A6" w14:textId="77777777" w:rsidR="00741F81" w:rsidRPr="00732812" w:rsidRDefault="00741F81" w:rsidP="00741F81">
            <w:pPr>
              <w:pStyle w:val="Table"/>
            </w:pPr>
            <w:r w:rsidRPr="00732812">
              <w:rPr>
                <w:bCs/>
                <w:color w:val="000000"/>
                <w:szCs w:val="22"/>
              </w:rPr>
              <w:t>UKPN SPN</w:t>
            </w:r>
          </w:p>
        </w:tc>
        <w:tc>
          <w:tcPr>
            <w:tcW w:w="2039" w:type="dxa"/>
          </w:tcPr>
          <w:p w14:paraId="0F80C71B" w14:textId="33901CCA" w:rsidR="00741F81" w:rsidRPr="00732812" w:rsidRDefault="00741F81" w:rsidP="00741F81">
            <w:pPr>
              <w:pStyle w:val="Table"/>
              <w:jc w:val="center"/>
            </w:pPr>
            <w:r w:rsidRPr="00732812">
              <w:t xml:space="preserve">      1.378 </w:t>
            </w:r>
          </w:p>
        </w:tc>
        <w:tc>
          <w:tcPr>
            <w:tcW w:w="2039" w:type="dxa"/>
          </w:tcPr>
          <w:p w14:paraId="5A631B71" w14:textId="29C06596" w:rsidR="00741F81" w:rsidRPr="00732812" w:rsidRDefault="00741F81" w:rsidP="00741F81">
            <w:pPr>
              <w:pStyle w:val="Table"/>
              <w:jc w:val="center"/>
            </w:pPr>
            <w:r w:rsidRPr="00732812">
              <w:t xml:space="preserve">      1.383 </w:t>
            </w:r>
          </w:p>
        </w:tc>
        <w:tc>
          <w:tcPr>
            <w:tcW w:w="2039" w:type="dxa"/>
          </w:tcPr>
          <w:p w14:paraId="2720A694" w14:textId="31379F63"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0.4%</w:t>
            </w:r>
          </w:p>
        </w:tc>
      </w:tr>
      <w:tr w:rsidR="00741F81" w14:paraId="4EC51BA8" w14:textId="77777777" w:rsidTr="00754A26">
        <w:tc>
          <w:tcPr>
            <w:tcW w:w="2039" w:type="dxa"/>
            <w:vAlign w:val="center"/>
          </w:tcPr>
          <w:p w14:paraId="53943575" w14:textId="77777777" w:rsidR="00741F81" w:rsidRPr="00732812" w:rsidRDefault="00741F81" w:rsidP="00741F81">
            <w:pPr>
              <w:pStyle w:val="Table"/>
            </w:pPr>
            <w:r w:rsidRPr="00732812">
              <w:rPr>
                <w:bCs/>
                <w:color w:val="000000"/>
                <w:szCs w:val="22"/>
              </w:rPr>
              <w:t xml:space="preserve">WPD </w:t>
            </w:r>
            <w:proofErr w:type="spellStart"/>
            <w:r w:rsidRPr="00732812">
              <w:rPr>
                <w:bCs/>
                <w:color w:val="000000"/>
                <w:szCs w:val="22"/>
              </w:rPr>
              <w:t>EastM</w:t>
            </w:r>
            <w:proofErr w:type="spellEnd"/>
          </w:p>
        </w:tc>
        <w:tc>
          <w:tcPr>
            <w:tcW w:w="2039" w:type="dxa"/>
          </w:tcPr>
          <w:p w14:paraId="77D3BACB" w14:textId="228AF9A5" w:rsidR="00741F81" w:rsidRPr="00732812" w:rsidRDefault="00741F81" w:rsidP="00741F81">
            <w:pPr>
              <w:pStyle w:val="Table"/>
              <w:jc w:val="center"/>
            </w:pPr>
            <w:r w:rsidRPr="00732812">
              <w:t xml:space="preserve">      1.647 </w:t>
            </w:r>
          </w:p>
        </w:tc>
        <w:tc>
          <w:tcPr>
            <w:tcW w:w="2039" w:type="dxa"/>
          </w:tcPr>
          <w:p w14:paraId="10B1F02A" w14:textId="623E289A" w:rsidR="00741F81" w:rsidRPr="00732812" w:rsidRDefault="00741F81" w:rsidP="00741F81">
            <w:pPr>
              <w:pStyle w:val="Table"/>
              <w:jc w:val="center"/>
            </w:pPr>
            <w:r w:rsidRPr="00732812">
              <w:t xml:space="preserve">      1.700 </w:t>
            </w:r>
          </w:p>
        </w:tc>
        <w:tc>
          <w:tcPr>
            <w:tcW w:w="2039" w:type="dxa"/>
          </w:tcPr>
          <w:p w14:paraId="15573CD3" w14:textId="665A1979"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3.2%</w:t>
            </w:r>
          </w:p>
        </w:tc>
      </w:tr>
      <w:tr w:rsidR="00741F81" w14:paraId="123875A5" w14:textId="77777777" w:rsidTr="00754A26">
        <w:tc>
          <w:tcPr>
            <w:tcW w:w="2039" w:type="dxa"/>
            <w:vAlign w:val="center"/>
          </w:tcPr>
          <w:p w14:paraId="7AC2CDED" w14:textId="77777777" w:rsidR="00741F81" w:rsidRPr="00732812" w:rsidRDefault="00741F81" w:rsidP="00741F81">
            <w:pPr>
              <w:pStyle w:val="Table"/>
            </w:pPr>
            <w:r w:rsidRPr="00732812">
              <w:rPr>
                <w:bCs/>
                <w:color w:val="000000"/>
                <w:szCs w:val="22"/>
              </w:rPr>
              <w:t xml:space="preserve">WPD </w:t>
            </w:r>
            <w:proofErr w:type="spellStart"/>
            <w:r w:rsidRPr="00732812">
              <w:rPr>
                <w:bCs/>
                <w:color w:val="000000"/>
                <w:szCs w:val="22"/>
              </w:rPr>
              <w:t>SWales</w:t>
            </w:r>
            <w:proofErr w:type="spellEnd"/>
          </w:p>
        </w:tc>
        <w:tc>
          <w:tcPr>
            <w:tcW w:w="2039" w:type="dxa"/>
          </w:tcPr>
          <w:p w14:paraId="1E62EB65" w14:textId="068DEC45" w:rsidR="00741F81" w:rsidRPr="00732812" w:rsidRDefault="00741F81" w:rsidP="00741F81">
            <w:pPr>
              <w:pStyle w:val="Table"/>
              <w:jc w:val="center"/>
            </w:pPr>
            <w:r w:rsidRPr="00732812">
              <w:t xml:space="preserve">      2.234 </w:t>
            </w:r>
          </w:p>
        </w:tc>
        <w:tc>
          <w:tcPr>
            <w:tcW w:w="2039" w:type="dxa"/>
          </w:tcPr>
          <w:p w14:paraId="53ED438D" w14:textId="2DA6D011" w:rsidR="00741F81" w:rsidRPr="00732812" w:rsidRDefault="00741F81" w:rsidP="00741F81">
            <w:pPr>
              <w:pStyle w:val="Table"/>
              <w:jc w:val="center"/>
            </w:pPr>
            <w:r w:rsidRPr="00732812">
              <w:t xml:space="preserve">      2.630 </w:t>
            </w:r>
          </w:p>
        </w:tc>
        <w:tc>
          <w:tcPr>
            <w:tcW w:w="2039" w:type="dxa"/>
          </w:tcPr>
          <w:p w14:paraId="50456B76" w14:textId="124180F5" w:rsidR="00741F81" w:rsidRPr="00732812" w:rsidRDefault="00741F81" w:rsidP="00741F81">
            <w:pPr>
              <w:pStyle w:val="Table"/>
              <w:jc w:val="center"/>
              <w:rPr>
                <w:color w:val="0000FF"/>
              </w:rPr>
            </w:pPr>
            <w:r w:rsidRPr="00732812">
              <w:rPr>
                <w:color w:val="0000FF"/>
              </w:rPr>
              <w:t xml:space="preserve"> </w:t>
            </w:r>
            <w:r w:rsidR="00732812">
              <w:rPr>
                <w:color w:val="0000FF"/>
              </w:rPr>
              <w:t xml:space="preserve">+ </w:t>
            </w:r>
            <w:r w:rsidRPr="00732812">
              <w:rPr>
                <w:color w:val="0000FF"/>
              </w:rPr>
              <w:t>17.7%</w:t>
            </w:r>
          </w:p>
        </w:tc>
      </w:tr>
      <w:tr w:rsidR="00741F81" w14:paraId="340F802C" w14:textId="77777777" w:rsidTr="00754A26">
        <w:tc>
          <w:tcPr>
            <w:tcW w:w="2039" w:type="dxa"/>
            <w:vAlign w:val="center"/>
          </w:tcPr>
          <w:p w14:paraId="1B060460" w14:textId="77777777" w:rsidR="00741F81" w:rsidRPr="00732812" w:rsidRDefault="00741F81" w:rsidP="00741F81">
            <w:pPr>
              <w:pStyle w:val="Table"/>
            </w:pPr>
            <w:r w:rsidRPr="00732812">
              <w:rPr>
                <w:bCs/>
                <w:color w:val="000000"/>
                <w:szCs w:val="22"/>
              </w:rPr>
              <w:t xml:space="preserve">WPD </w:t>
            </w:r>
            <w:proofErr w:type="spellStart"/>
            <w:r w:rsidRPr="00732812">
              <w:rPr>
                <w:bCs/>
                <w:color w:val="000000"/>
                <w:szCs w:val="22"/>
              </w:rPr>
              <w:t>SWest</w:t>
            </w:r>
            <w:proofErr w:type="spellEnd"/>
          </w:p>
        </w:tc>
        <w:tc>
          <w:tcPr>
            <w:tcW w:w="2039" w:type="dxa"/>
          </w:tcPr>
          <w:p w14:paraId="50E28AA6" w14:textId="5F4D4CAA" w:rsidR="00741F81" w:rsidRPr="00732812" w:rsidRDefault="00741F81" w:rsidP="00741F81">
            <w:pPr>
              <w:pStyle w:val="Table"/>
              <w:jc w:val="center"/>
            </w:pPr>
            <w:r w:rsidRPr="00732812">
              <w:t xml:space="preserve">      2.266 </w:t>
            </w:r>
          </w:p>
        </w:tc>
        <w:tc>
          <w:tcPr>
            <w:tcW w:w="2039" w:type="dxa"/>
          </w:tcPr>
          <w:p w14:paraId="1DEDEFDA" w14:textId="68A9053E" w:rsidR="00741F81" w:rsidRPr="00732812" w:rsidRDefault="00741F81" w:rsidP="00741F81">
            <w:pPr>
              <w:pStyle w:val="Table"/>
              <w:jc w:val="center"/>
            </w:pPr>
            <w:r w:rsidRPr="00732812">
              <w:t xml:space="preserve">      2.356 </w:t>
            </w:r>
          </w:p>
        </w:tc>
        <w:tc>
          <w:tcPr>
            <w:tcW w:w="2039" w:type="dxa"/>
          </w:tcPr>
          <w:p w14:paraId="4C17471A" w14:textId="74ED9CF7"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4.0%</w:t>
            </w:r>
          </w:p>
        </w:tc>
      </w:tr>
      <w:tr w:rsidR="00741F81" w14:paraId="51FD4E37" w14:textId="77777777" w:rsidTr="00754A26">
        <w:tc>
          <w:tcPr>
            <w:tcW w:w="2039" w:type="dxa"/>
          </w:tcPr>
          <w:p w14:paraId="51B4D5A6" w14:textId="77777777" w:rsidR="00741F81" w:rsidRPr="00732812" w:rsidRDefault="00741F81" w:rsidP="00741F81">
            <w:pPr>
              <w:pStyle w:val="Table"/>
            </w:pPr>
            <w:r w:rsidRPr="00732812">
              <w:rPr>
                <w:bCs/>
                <w:color w:val="000000"/>
                <w:szCs w:val="22"/>
              </w:rPr>
              <w:t xml:space="preserve">WPD </w:t>
            </w:r>
            <w:proofErr w:type="spellStart"/>
            <w:r w:rsidRPr="00732812">
              <w:rPr>
                <w:bCs/>
                <w:color w:val="000000"/>
                <w:szCs w:val="22"/>
              </w:rPr>
              <w:t>WestM</w:t>
            </w:r>
            <w:proofErr w:type="spellEnd"/>
          </w:p>
        </w:tc>
        <w:tc>
          <w:tcPr>
            <w:tcW w:w="2039" w:type="dxa"/>
          </w:tcPr>
          <w:p w14:paraId="21752DF4" w14:textId="4589E013" w:rsidR="00741F81" w:rsidRPr="00732812" w:rsidRDefault="00741F81" w:rsidP="00741F81">
            <w:pPr>
              <w:pStyle w:val="Table"/>
              <w:jc w:val="center"/>
            </w:pPr>
            <w:r w:rsidRPr="00732812">
              <w:t xml:space="preserve">      1.913 </w:t>
            </w:r>
          </w:p>
        </w:tc>
        <w:tc>
          <w:tcPr>
            <w:tcW w:w="2039" w:type="dxa"/>
          </w:tcPr>
          <w:p w14:paraId="2770ABA7" w14:textId="704A8FC2" w:rsidR="00741F81" w:rsidRPr="00732812" w:rsidRDefault="00741F81" w:rsidP="00741F81">
            <w:pPr>
              <w:pStyle w:val="Table"/>
              <w:jc w:val="center"/>
            </w:pPr>
            <w:r w:rsidRPr="00732812">
              <w:t xml:space="preserve">      2.002 </w:t>
            </w:r>
          </w:p>
        </w:tc>
        <w:tc>
          <w:tcPr>
            <w:tcW w:w="2039" w:type="dxa"/>
          </w:tcPr>
          <w:p w14:paraId="2876007C" w14:textId="051691C5" w:rsidR="00741F81" w:rsidRPr="00732812" w:rsidRDefault="00741F81" w:rsidP="00741F81">
            <w:pPr>
              <w:pStyle w:val="Table"/>
              <w:jc w:val="center"/>
              <w:rPr>
                <w:color w:val="0000FF"/>
              </w:rPr>
            </w:pPr>
            <w:r w:rsidRPr="00732812">
              <w:rPr>
                <w:color w:val="0000FF"/>
              </w:rPr>
              <w:t xml:space="preserve"> </w:t>
            </w:r>
            <w:r w:rsidR="00732812">
              <w:rPr>
                <w:color w:val="0000FF"/>
              </w:rPr>
              <w:t>+</w:t>
            </w:r>
            <w:r w:rsidRPr="00732812">
              <w:rPr>
                <w:color w:val="0000FF"/>
              </w:rPr>
              <w:t xml:space="preserve"> 4.7%</w:t>
            </w:r>
          </w:p>
        </w:tc>
      </w:tr>
    </w:tbl>
    <w:p w14:paraId="131D7F70" w14:textId="77777777" w:rsidR="00692A5D" w:rsidRDefault="00692A5D" w:rsidP="00692A5D">
      <w:pPr>
        <w:pStyle w:val="Table"/>
      </w:pPr>
    </w:p>
    <w:sectPr w:rsidR="00692A5D" w:rsidSect="00964778">
      <w:footerReference w:type="default" r:id="rId8"/>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862E6" w14:textId="77777777" w:rsidR="00535A5E" w:rsidRDefault="00535A5E" w:rsidP="00964778">
      <w:pPr>
        <w:spacing w:after="0"/>
      </w:pPr>
      <w:r>
        <w:separator/>
      </w:r>
    </w:p>
  </w:endnote>
  <w:endnote w:type="continuationSeparator" w:id="0">
    <w:p w14:paraId="1CEE376E" w14:textId="77777777" w:rsidR="00535A5E" w:rsidRDefault="00535A5E" w:rsidP="009647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F2CF" w14:textId="77777777" w:rsidR="00EE1E45" w:rsidRDefault="00EE1E45">
    <w:pPr>
      <w:pStyle w:val="Footer"/>
    </w:pPr>
    <w:r w:rsidRPr="008021FC">
      <w:tab/>
    </w:r>
    <w:r>
      <w:fldChar w:fldCharType="begin"/>
    </w:r>
    <w:r>
      <w:instrText xml:space="preserve"> PAGE  \* MERGEFORMAT </w:instrText>
    </w:r>
    <w:r>
      <w:fldChar w:fldCharType="separate"/>
    </w:r>
    <w:r w:rsidR="006E138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19DA" w14:textId="77777777" w:rsidR="00535A5E" w:rsidRDefault="00535A5E" w:rsidP="00964778">
      <w:pPr>
        <w:spacing w:after="0"/>
      </w:pPr>
      <w:r>
        <w:separator/>
      </w:r>
    </w:p>
  </w:footnote>
  <w:footnote w:type="continuationSeparator" w:id="0">
    <w:p w14:paraId="4AEFB32F" w14:textId="77777777" w:rsidR="00535A5E" w:rsidRDefault="00535A5E" w:rsidP="009647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BD460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C9C475E"/>
    <w:lvl w:ilvl="0">
      <w:start w:val="1"/>
      <w:numFmt w:val="bullet"/>
      <w:lvlText w:val=""/>
      <w:lvlJc w:val="left"/>
      <w:pPr>
        <w:tabs>
          <w:tab w:val="num" w:pos="360"/>
        </w:tabs>
        <w:ind w:left="360" w:hanging="360"/>
      </w:pPr>
      <w:rPr>
        <w:rFonts w:ascii="Symbol" w:hAnsi="Symbol" w:hint="default"/>
      </w:rPr>
    </w:lvl>
  </w:abstractNum>
  <w:abstractNum w:abstractNumId="3">
    <w:nsid w:val="18E12C36"/>
    <w:multiLevelType w:val="multilevel"/>
    <w:tmpl w:val="9DD0A7B8"/>
    <w:lvl w:ilvl="0">
      <w:start w:val="1"/>
      <w:numFmt w:val="none"/>
      <w:pStyle w:val="Heading1"/>
      <w:suff w:val="nothing"/>
      <w:lvlText w:val=""/>
      <w:lvlJc w:val="left"/>
      <w:rPr>
        <w:rFonts w:cs="Times New Roman" w:hint="default"/>
      </w:rPr>
    </w:lvl>
    <w:lvl w:ilvl="1">
      <w:start w:val="1"/>
      <w:numFmt w:val="decimal"/>
      <w:lvlRestart w:val="0"/>
      <w:lvlText w:val="%2."/>
      <w:lvlJc w:val="left"/>
      <w:pPr>
        <w:tabs>
          <w:tab w:val="num" w:pos="720"/>
        </w:tabs>
        <w:ind w:left="720" w:hanging="720"/>
      </w:pPr>
      <w:rPr>
        <w:rFonts w:cs="Times New Roman" w:hint="default"/>
      </w:rPr>
    </w:lvl>
    <w:lvl w:ilvl="2">
      <w:start w:val="1"/>
      <w:numFmt w:val="lowerLetter"/>
      <w:pStyle w:val="TOC1"/>
      <w:lvlText w:val="(%3)"/>
      <w:lvlJc w:val="left"/>
      <w:pPr>
        <w:tabs>
          <w:tab w:val="num" w:pos="1195"/>
        </w:tabs>
        <w:ind w:left="1195" w:hanging="475"/>
      </w:pPr>
      <w:rPr>
        <w:rFonts w:cs="Times New Roman" w:hint="default"/>
      </w:rPr>
    </w:lvl>
    <w:lvl w:ilvl="3">
      <w:start w:val="1"/>
      <w:numFmt w:val="lowerRoman"/>
      <w:pStyle w:val="TOC2"/>
      <w:lvlText w:val="(%4)"/>
      <w:lvlJc w:val="left"/>
      <w:pPr>
        <w:tabs>
          <w:tab w:val="num" w:pos="1685"/>
        </w:tabs>
        <w:ind w:left="1685" w:hanging="490"/>
      </w:pPr>
      <w:rPr>
        <w:rFonts w:cs="Times New Roman"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1FB87DBC"/>
    <w:multiLevelType w:val="multilevel"/>
    <w:tmpl w:val="3C283E6E"/>
    <w:lvl w:ilvl="0">
      <w:start w:val="1"/>
      <w:numFmt w:val="none"/>
      <w:pStyle w:val="Heading1"/>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5">
    <w:nsid w:val="45F57804"/>
    <w:multiLevelType w:val="hybridMultilevel"/>
    <w:tmpl w:val="246C9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2"/>
  </w:num>
  <w:num w:numId="5">
    <w:abstractNumId w:val="4"/>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5"/>
  </w:num>
  <w:num w:numId="14">
    <w:abstractNumId w:val="4"/>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64778"/>
    <w:rsid w:val="00002352"/>
    <w:rsid w:val="00012D36"/>
    <w:rsid w:val="000318DF"/>
    <w:rsid w:val="0004009E"/>
    <w:rsid w:val="000B6C78"/>
    <w:rsid w:val="001236ED"/>
    <w:rsid w:val="00131C64"/>
    <w:rsid w:val="001B42BA"/>
    <w:rsid w:val="001E21C0"/>
    <w:rsid w:val="00241E12"/>
    <w:rsid w:val="002F2632"/>
    <w:rsid w:val="00332FF3"/>
    <w:rsid w:val="0033610E"/>
    <w:rsid w:val="003631F5"/>
    <w:rsid w:val="003637AA"/>
    <w:rsid w:val="0038112D"/>
    <w:rsid w:val="003A341D"/>
    <w:rsid w:val="003A4E71"/>
    <w:rsid w:val="003E64A7"/>
    <w:rsid w:val="0041683D"/>
    <w:rsid w:val="00440E72"/>
    <w:rsid w:val="00462D96"/>
    <w:rsid w:val="004A1801"/>
    <w:rsid w:val="004C7DCF"/>
    <w:rsid w:val="004D75D4"/>
    <w:rsid w:val="004F03A7"/>
    <w:rsid w:val="00535A5E"/>
    <w:rsid w:val="005D0F98"/>
    <w:rsid w:val="005D2A53"/>
    <w:rsid w:val="0060006F"/>
    <w:rsid w:val="00636D88"/>
    <w:rsid w:val="00650783"/>
    <w:rsid w:val="00681448"/>
    <w:rsid w:val="00692A5D"/>
    <w:rsid w:val="00695965"/>
    <w:rsid w:val="006B5F73"/>
    <w:rsid w:val="006D7AD1"/>
    <w:rsid w:val="006E138E"/>
    <w:rsid w:val="006E78FE"/>
    <w:rsid w:val="00716E37"/>
    <w:rsid w:val="00732812"/>
    <w:rsid w:val="00741F81"/>
    <w:rsid w:val="00747B12"/>
    <w:rsid w:val="007A04A8"/>
    <w:rsid w:val="007A4C51"/>
    <w:rsid w:val="007C7AA7"/>
    <w:rsid w:val="007D214E"/>
    <w:rsid w:val="0084681D"/>
    <w:rsid w:val="008620BE"/>
    <w:rsid w:val="00875CC2"/>
    <w:rsid w:val="00964778"/>
    <w:rsid w:val="009961DE"/>
    <w:rsid w:val="009F1DB7"/>
    <w:rsid w:val="00A1219D"/>
    <w:rsid w:val="00AA1D8E"/>
    <w:rsid w:val="00AB2A9A"/>
    <w:rsid w:val="00AD2D4D"/>
    <w:rsid w:val="00AD599A"/>
    <w:rsid w:val="00B04F5D"/>
    <w:rsid w:val="00B23546"/>
    <w:rsid w:val="00B23F95"/>
    <w:rsid w:val="00B4375B"/>
    <w:rsid w:val="00BD303A"/>
    <w:rsid w:val="00C629DA"/>
    <w:rsid w:val="00C63B7F"/>
    <w:rsid w:val="00CE107C"/>
    <w:rsid w:val="00D81270"/>
    <w:rsid w:val="00D844C1"/>
    <w:rsid w:val="00DD37C4"/>
    <w:rsid w:val="00DE2798"/>
    <w:rsid w:val="00DF5AE2"/>
    <w:rsid w:val="00E30A4D"/>
    <w:rsid w:val="00E31636"/>
    <w:rsid w:val="00E3765C"/>
    <w:rsid w:val="00E45EA0"/>
    <w:rsid w:val="00E754F6"/>
    <w:rsid w:val="00E92CF3"/>
    <w:rsid w:val="00EC5718"/>
    <w:rsid w:val="00ED0D10"/>
    <w:rsid w:val="00EE1E45"/>
    <w:rsid w:val="00EE3961"/>
    <w:rsid w:val="00F65E68"/>
    <w:rsid w:val="00FD6EEC"/>
    <w:rsid w:val="00FE14C5"/>
    <w:rsid w:val="00FF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31172"/>
  <w14:defaultImageDpi w14:val="300"/>
  <w15:docId w15:val="{6827CFF7-2093-4198-8D22-F900C35B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uiPriority w:val="99"/>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uiPriority w:val="99"/>
    <w:rPr>
      <w:rFonts w:cs="Times New Roman"/>
      <w:color w:val="auto"/>
    </w:rPr>
  </w:style>
  <w:style w:type="paragraph" w:styleId="ListBullet">
    <w:name w:val="List Bullet"/>
    <w:basedOn w:val="Normal"/>
    <w:uiPriority w:val="99"/>
    <w:pPr>
      <w:numPr>
        <w:ilvl w:val="2"/>
        <w:numId w:val="10"/>
      </w:numPr>
    </w:pPr>
  </w:style>
  <w:style w:type="paragraph" w:styleId="ListBullet2">
    <w:name w:val="List Bullet 2"/>
    <w:basedOn w:val="Normal"/>
    <w:uiPriority w:val="99"/>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uiPriority w:val="99"/>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 w:type="character" w:customStyle="1" w:styleId="Heading2Char">
    <w:name w:val="Heading 2 Char"/>
    <w:basedOn w:val="DefaultParagraphFont"/>
    <w:link w:val="Heading2"/>
    <w:rsid w:val="00131C64"/>
    <w:rPr>
      <w:rFonts w:ascii="Arial Black" w:hAnsi="Arial Black"/>
      <w:color w:val="333333"/>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06">
      <w:bodyDiv w:val="1"/>
      <w:marLeft w:val="0"/>
      <w:marRight w:val="0"/>
      <w:marTop w:val="0"/>
      <w:marBottom w:val="0"/>
      <w:divBdr>
        <w:top w:val="none" w:sz="0" w:space="0" w:color="auto"/>
        <w:left w:val="none" w:sz="0" w:space="0" w:color="auto"/>
        <w:bottom w:val="none" w:sz="0" w:space="0" w:color="auto"/>
        <w:right w:val="none" w:sz="0" w:space="0" w:color="auto"/>
      </w:divBdr>
    </w:div>
    <w:div w:id="626931170">
      <w:bodyDiv w:val="1"/>
      <w:marLeft w:val="0"/>
      <w:marRight w:val="0"/>
      <w:marTop w:val="0"/>
      <w:marBottom w:val="0"/>
      <w:divBdr>
        <w:top w:val="none" w:sz="0" w:space="0" w:color="auto"/>
        <w:left w:val="none" w:sz="0" w:space="0" w:color="auto"/>
        <w:bottom w:val="none" w:sz="0" w:space="0" w:color="auto"/>
        <w:right w:val="none" w:sz="0" w:space="0" w:color="auto"/>
      </w:divBdr>
    </w:div>
    <w:div w:id="658075761">
      <w:bodyDiv w:val="1"/>
      <w:marLeft w:val="0"/>
      <w:marRight w:val="0"/>
      <w:marTop w:val="0"/>
      <w:marBottom w:val="0"/>
      <w:divBdr>
        <w:top w:val="none" w:sz="0" w:space="0" w:color="auto"/>
        <w:left w:val="none" w:sz="0" w:space="0" w:color="auto"/>
        <w:bottom w:val="none" w:sz="0" w:space="0" w:color="auto"/>
        <w:right w:val="none" w:sz="0" w:space="0" w:color="auto"/>
      </w:divBdr>
    </w:div>
    <w:div w:id="679819499">
      <w:bodyDiv w:val="1"/>
      <w:marLeft w:val="0"/>
      <w:marRight w:val="0"/>
      <w:marTop w:val="0"/>
      <w:marBottom w:val="0"/>
      <w:divBdr>
        <w:top w:val="none" w:sz="0" w:space="0" w:color="auto"/>
        <w:left w:val="none" w:sz="0" w:space="0" w:color="auto"/>
        <w:bottom w:val="none" w:sz="0" w:space="0" w:color="auto"/>
        <w:right w:val="none" w:sz="0" w:space="0" w:color="auto"/>
      </w:divBdr>
    </w:div>
    <w:div w:id="749082163">
      <w:bodyDiv w:val="1"/>
      <w:marLeft w:val="0"/>
      <w:marRight w:val="0"/>
      <w:marTop w:val="0"/>
      <w:marBottom w:val="0"/>
      <w:divBdr>
        <w:top w:val="none" w:sz="0" w:space="0" w:color="auto"/>
        <w:left w:val="none" w:sz="0" w:space="0" w:color="auto"/>
        <w:bottom w:val="none" w:sz="0" w:space="0" w:color="auto"/>
        <w:right w:val="none" w:sz="0" w:space="0" w:color="auto"/>
      </w:divBdr>
    </w:div>
    <w:div w:id="1277520355">
      <w:bodyDiv w:val="1"/>
      <w:marLeft w:val="0"/>
      <w:marRight w:val="0"/>
      <w:marTop w:val="0"/>
      <w:marBottom w:val="0"/>
      <w:divBdr>
        <w:top w:val="none" w:sz="0" w:space="0" w:color="auto"/>
        <w:left w:val="none" w:sz="0" w:space="0" w:color="auto"/>
        <w:bottom w:val="none" w:sz="0" w:space="0" w:color="auto"/>
        <w:right w:val="none" w:sz="0" w:space="0" w:color="auto"/>
      </w:divBdr>
    </w:div>
    <w:div w:id="1370564336">
      <w:bodyDiv w:val="1"/>
      <w:marLeft w:val="0"/>
      <w:marRight w:val="0"/>
      <w:marTop w:val="0"/>
      <w:marBottom w:val="0"/>
      <w:divBdr>
        <w:top w:val="none" w:sz="0" w:space="0" w:color="auto"/>
        <w:left w:val="none" w:sz="0" w:space="0" w:color="auto"/>
        <w:bottom w:val="none" w:sz="0" w:space="0" w:color="auto"/>
        <w:right w:val="none" w:sz="0" w:space="0" w:color="auto"/>
      </w:divBdr>
    </w:div>
    <w:div w:id="2077700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2015-05-26T16:23:29+00:00</DateLastActivated1>
    <Commitees xmlns="c7312139-f4c2-453d-a4c8-c631b6303d87">
      <Value>173</Value>
      <Value>174</Value>
    </Commitees>
    <DocNotes xmlns="c7312139-f4c2-453d-a4c8-c631b6303d87" xsi:nil="true"/>
    <Activities xmlns="c7312139-f4c2-453d-a4c8-c631b6303d87">
      <Value>2011</Value>
    </Activities>
    <Issues xmlns="c7312139-f4c2-453d-a4c8-c631b6303d87"/>
    <PublishDate xmlns="c7312139-f4c2-453d-a4c8-c631b6303d87">2015-05-26T16:13:30+00:00</PublishDate>
    <ChangeProposal1 xmlns="c7312139-f4c2-453d-a4c8-c631b6303d87">
      <Value>251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5B8EA-CA9B-4DE3-9040-3DBD97E33257}"/>
</file>

<file path=customXml/itemProps2.xml><?xml version="1.0" encoding="utf-8"?>
<ds:datastoreItem xmlns:ds="http://schemas.openxmlformats.org/officeDocument/2006/customXml" ds:itemID="{5F30085C-62F8-4C17-8702-866C7FE9D1BC}"/>
</file>

<file path=customXml/itemProps3.xml><?xml version="1.0" encoding="utf-8"?>
<ds:datastoreItem xmlns:ds="http://schemas.openxmlformats.org/officeDocument/2006/customXml" ds:itemID="{1BD0FD57-A440-4F68-A0E0-A323408AD909}"/>
</file>

<file path=customXml/itemProps4.xml><?xml version="1.0" encoding="utf-8"?>
<ds:datastoreItem xmlns:ds="http://schemas.openxmlformats.org/officeDocument/2006/customXml" ds:itemID="{C5D91878-D471-4A24-905F-BA10954B2C26}"/>
</file>

<file path=customXml/itemProps5.xml><?xml version="1.0" encoding="utf-8"?>
<ds:datastoreItem xmlns:ds="http://schemas.openxmlformats.org/officeDocument/2006/customXml" ds:itemID="{43467BA5-45E7-4037-8764-E672EED65594}"/>
</file>

<file path=docProps/app.xml><?xml version="1.0" encoding="utf-8"?>
<Properties xmlns="http://schemas.openxmlformats.org/officeDocument/2006/extended-properties" xmlns:vt="http://schemas.openxmlformats.org/officeDocument/2006/docPropsVTypes">
  <Template>Normal</Template>
  <TotalTime>362</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DCP 227</dc:title>
  <dc:subject/>
  <dc:creator>Franck Latrémolière (Reckon)</dc:creator>
  <cp:keywords/>
  <dc:description/>
  <cp:lastModifiedBy>Shankar</cp:lastModifiedBy>
  <cp:revision>25</cp:revision>
  <cp:lastPrinted>2015-05-22T07:34:00Z</cp:lastPrinted>
  <dcterms:created xsi:type="dcterms:W3CDTF">2015-05-22T10:07:00Z</dcterms:created>
  <dcterms:modified xsi:type="dcterms:W3CDTF">2015-05-22T16:38:00Z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y fmtid="{D5CDD505-2E9C-101B-9397-08002B2CF9AE}" pid="3" name="Order">
    <vt:r8>998000</vt:r8>
  </property>
</Properties>
</file>