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E5B9667" w14:textId="77777777" w:rsidR="001313AC" w:rsidRPr="001313AC" w:rsidRDefault="001313AC" w:rsidP="00AB72D5">
      <w:pPr>
        <w:tabs>
          <w:tab w:val="center" w:pos="4536"/>
          <w:tab w:val="right" w:pos="9072"/>
        </w:tabs>
        <w:spacing w:before="0" w:after="0" w:line="0" w:lineRule="atLeast"/>
        <w:outlineLvl w:val="9"/>
        <w:rPr>
          <w:rFonts w:ascii="Arial" w:eastAsia="Calibri" w:hAnsi="Arial"/>
          <w:b/>
          <w:sz w:val="32"/>
          <w:szCs w:val="32"/>
        </w:rPr>
      </w:pPr>
    </w:p>
    <w:p w14:paraId="3B64464C" w14:textId="77777777" w:rsidR="00056424" w:rsidRDefault="00056424" w:rsidP="00E90567">
      <w:pPr>
        <w:pStyle w:val="GSTitle"/>
        <w:rPr>
          <w:rFonts w:eastAsia="Calibri"/>
        </w:rPr>
      </w:pPr>
    </w:p>
    <w:p w14:paraId="6CE7A5AA" w14:textId="26042021" w:rsidR="00E90567" w:rsidRPr="00E90567" w:rsidRDefault="00E90567" w:rsidP="00E90567">
      <w:pPr>
        <w:pStyle w:val="GSTitle"/>
        <w:rPr>
          <w:rFonts w:eastAsia="Calibri"/>
        </w:rPr>
      </w:pPr>
      <w:r w:rsidRPr="00E90567">
        <w:rPr>
          <w:rFonts w:eastAsia="Calibri"/>
        </w:rPr>
        <w:t>DCUSA S</w:t>
      </w:r>
      <w:r w:rsidR="00084880">
        <w:rPr>
          <w:rFonts w:eastAsia="Calibri"/>
        </w:rPr>
        <w:t xml:space="preserve">tanding </w:t>
      </w:r>
      <w:r w:rsidRPr="00E90567">
        <w:rPr>
          <w:rFonts w:eastAsia="Calibri"/>
        </w:rPr>
        <w:t>I</w:t>
      </w:r>
      <w:r w:rsidR="00084880">
        <w:rPr>
          <w:rFonts w:eastAsia="Calibri"/>
        </w:rPr>
        <w:t xml:space="preserve">ssues </w:t>
      </w:r>
      <w:r w:rsidRPr="00E90567">
        <w:rPr>
          <w:rFonts w:eastAsia="Calibri"/>
        </w:rPr>
        <w:t>G</w:t>
      </w:r>
      <w:r w:rsidR="00084880">
        <w:rPr>
          <w:rFonts w:eastAsia="Calibri"/>
        </w:rPr>
        <w:t>roup</w:t>
      </w:r>
      <w:r w:rsidR="00163DE1">
        <w:rPr>
          <w:rFonts w:eastAsia="Calibri"/>
        </w:rPr>
        <w:t xml:space="preserve"> D</w:t>
      </w:r>
      <w:r w:rsidR="00A157E8">
        <w:rPr>
          <w:rFonts w:eastAsia="Calibri"/>
        </w:rPr>
        <w:t xml:space="preserve">CUSA Issues </w:t>
      </w:r>
      <w:r w:rsidR="00163DE1">
        <w:rPr>
          <w:rFonts w:eastAsia="Calibri"/>
        </w:rPr>
        <w:t>F</w:t>
      </w:r>
      <w:r w:rsidR="00A157E8">
        <w:rPr>
          <w:rFonts w:eastAsia="Calibri"/>
        </w:rPr>
        <w:t>orm</w:t>
      </w:r>
      <w:r w:rsidR="00163DE1">
        <w:rPr>
          <w:rFonts w:eastAsia="Calibri"/>
        </w:rPr>
        <w:t xml:space="preserve"> 50</w:t>
      </w:r>
      <w:r w:rsidRPr="00E90567">
        <w:rPr>
          <w:rFonts w:eastAsia="Calibri"/>
        </w:rPr>
        <w:t xml:space="preserve"> </w:t>
      </w:r>
      <w:proofErr w:type="spellStart"/>
      <w:r w:rsidRPr="00E90567">
        <w:rPr>
          <w:rFonts w:eastAsia="Calibri"/>
        </w:rPr>
        <w:t>Meeting</w:t>
      </w:r>
      <w:r w:rsidR="002869AC">
        <w:rPr>
          <w:rFonts w:eastAsia="Calibri"/>
        </w:rPr>
        <w:t>_03</w:t>
      </w:r>
      <w:proofErr w:type="spellEnd"/>
      <w:r w:rsidRPr="00E90567">
        <w:rPr>
          <w:rFonts w:eastAsia="Calibri"/>
        </w:rPr>
        <w:t xml:space="preserve"> Minutes</w:t>
      </w:r>
    </w:p>
    <w:p w14:paraId="56ABCA15" w14:textId="27EF6F5A" w:rsidR="001313AC" w:rsidRPr="001313AC" w:rsidRDefault="002869AC" w:rsidP="001313AC">
      <w:pPr>
        <w:pStyle w:val="Subtitle"/>
        <w:rPr>
          <w:rFonts w:eastAsia="Calibri"/>
        </w:rPr>
      </w:pPr>
      <w:r>
        <w:rPr>
          <w:rFonts w:eastAsia="Calibri"/>
        </w:rPr>
        <w:t>23</w:t>
      </w:r>
      <w:r w:rsidR="00E90567">
        <w:rPr>
          <w:rFonts w:eastAsia="Calibri"/>
        </w:rPr>
        <w:t xml:space="preserve"> </w:t>
      </w:r>
      <w:r>
        <w:rPr>
          <w:rFonts w:eastAsia="Calibri"/>
        </w:rPr>
        <w:t xml:space="preserve">April </w:t>
      </w:r>
      <w:r w:rsidR="00616836">
        <w:rPr>
          <w:rFonts w:eastAsia="Calibri"/>
        </w:rPr>
        <w:t>201</w:t>
      </w:r>
      <w:r w:rsidR="00163DE1">
        <w:rPr>
          <w:rFonts w:eastAsia="Calibri"/>
        </w:rPr>
        <w:t>8</w:t>
      </w:r>
      <w:r w:rsidR="00AB79FA">
        <w:rPr>
          <w:rFonts w:eastAsia="Calibri"/>
        </w:rPr>
        <w:t xml:space="preserve"> at 1</w:t>
      </w:r>
      <w:r w:rsidR="000638B7">
        <w:rPr>
          <w:rFonts w:eastAsia="Calibri"/>
        </w:rPr>
        <w:t>4</w:t>
      </w:r>
      <w:r w:rsidR="002C4309">
        <w:rPr>
          <w:rFonts w:eastAsia="Calibri"/>
        </w:rPr>
        <w:t>:00</w:t>
      </w:r>
    </w:p>
    <w:p w14:paraId="17747D92" w14:textId="16AE25AB" w:rsidR="001313AC" w:rsidRPr="001313AC" w:rsidRDefault="001313AC" w:rsidP="001313AC">
      <w:pPr>
        <w:pStyle w:val="Subtitle"/>
        <w:rPr>
          <w:rFonts w:eastAsia="Calibri"/>
        </w:rPr>
      </w:pPr>
      <w:r w:rsidRPr="001313AC">
        <w:rPr>
          <w:rFonts w:eastAsia="Calibri"/>
        </w:rPr>
        <w:t>Web-Conference</w:t>
      </w:r>
    </w:p>
    <w:p w14:paraId="168D8028" w14:textId="77777777" w:rsidR="003D37DE" w:rsidRDefault="003D37DE" w:rsidP="003D37DE">
      <w:pPr>
        <w:spacing w:before="0" w:line="276" w:lineRule="auto"/>
        <w:outlineLvl w:val="9"/>
        <w:rPr>
          <w:lang w:val="en-US"/>
        </w:rPr>
      </w:pPr>
    </w:p>
    <w:tbl>
      <w:tblPr>
        <w:tblStyle w:val="GSTable"/>
        <w:tblW w:w="4891" w:type="pct"/>
        <w:tblLook w:val="04A0" w:firstRow="1" w:lastRow="0" w:firstColumn="1" w:lastColumn="0" w:noHBand="0" w:noVBand="1"/>
      </w:tblPr>
      <w:tblGrid>
        <w:gridCol w:w="4541"/>
        <w:gridCol w:w="4877"/>
      </w:tblGrid>
      <w:tr w:rsidR="003D37DE" w14:paraId="2D245F5B" w14:textId="77777777" w:rsidTr="003D3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  <w:hideMark/>
          </w:tcPr>
          <w:p w14:paraId="4D7A3C59" w14:textId="77777777" w:rsidR="003D37DE" w:rsidRDefault="003D37DE">
            <w:pPr>
              <w:pStyle w:val="TableHeaderWhite"/>
            </w:pPr>
            <w:r>
              <w:rPr>
                <w:b/>
              </w:rPr>
              <w:t xml:space="preserve">Attendee                                             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hideMark/>
          </w:tcPr>
          <w:p w14:paraId="6569F68D" w14:textId="77777777" w:rsidR="003D37DE" w:rsidRDefault="003D37DE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</w:t>
            </w:r>
          </w:p>
        </w:tc>
      </w:tr>
      <w:tr w:rsidR="003D37DE" w:rsidRPr="00AF30F7" w14:paraId="0F2A0941" w14:textId="77777777" w:rsidTr="003D37D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  <w:hideMark/>
          </w:tcPr>
          <w:p w14:paraId="676B019E" w14:textId="452404AE" w:rsidR="003D37DE" w:rsidRPr="00AF30F7" w:rsidRDefault="00862B6A">
            <w:pPr>
              <w:pStyle w:val="TableText"/>
              <w:rPr>
                <w:b/>
                <w:sz w:val="22"/>
              </w:rPr>
            </w:pPr>
            <w:r>
              <w:rPr>
                <w:b/>
                <w:sz w:val="22"/>
              </w:rPr>
              <w:t>Subg</w:t>
            </w:r>
            <w:r w:rsidR="0080275D" w:rsidRPr="00AF30F7">
              <w:rPr>
                <w:b/>
                <w:sz w:val="22"/>
              </w:rPr>
              <w:t>roup</w:t>
            </w:r>
            <w:r w:rsidR="003D37DE" w:rsidRPr="00AF30F7">
              <w:rPr>
                <w:b/>
                <w:sz w:val="22"/>
              </w:rPr>
              <w:t xml:space="preserve"> Members</w:t>
            </w:r>
          </w:p>
        </w:tc>
      </w:tr>
      <w:tr w:rsidR="003D37DE" w:rsidRPr="00AF30F7" w14:paraId="33D81CF6" w14:textId="77777777" w:rsidTr="00201E2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</w:tcPr>
          <w:p w14:paraId="5AB1C9F2" w14:textId="0125D166" w:rsidR="003D37DE" w:rsidRPr="004F1033" w:rsidRDefault="004F1033" w:rsidP="00870C0B">
            <w:pPr>
              <w:spacing w:before="40" w:after="60"/>
              <w:rPr>
                <w:b w:val="0"/>
                <w:sz w:val="22"/>
              </w:rPr>
            </w:pPr>
            <w:r w:rsidRPr="004F1033">
              <w:rPr>
                <w:b w:val="0"/>
                <w:sz w:val="22"/>
              </w:rPr>
              <w:t>Chris Lawton</w:t>
            </w:r>
            <w:r>
              <w:rPr>
                <w:b w:val="0"/>
                <w:sz w:val="22"/>
              </w:rPr>
              <w:t xml:space="preserve"> [CL]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719D1FC1" w14:textId="50B272F5" w:rsidR="003D37DE" w:rsidRPr="004F1033" w:rsidRDefault="004F1033" w:rsidP="00870C0B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British Gas</w:t>
            </w:r>
          </w:p>
        </w:tc>
      </w:tr>
      <w:tr w:rsidR="00A157E8" w:rsidRPr="00AF30F7" w14:paraId="78D9168B" w14:textId="77777777" w:rsidTr="003D37D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</w:tcPr>
          <w:p w14:paraId="585D4C07" w14:textId="77777777" w:rsidR="00A157E8" w:rsidRPr="004F1033" w:rsidRDefault="00A157E8" w:rsidP="008613FC">
            <w:pPr>
              <w:spacing w:before="40" w:after="60"/>
              <w:rPr>
                <w:b w:val="0"/>
                <w:sz w:val="22"/>
              </w:rPr>
            </w:pPr>
            <w:r w:rsidRPr="004F1033">
              <w:rPr>
                <w:b w:val="0"/>
                <w:sz w:val="22"/>
              </w:rPr>
              <w:t>Emslie Law</w:t>
            </w:r>
            <w:r>
              <w:rPr>
                <w:b w:val="0"/>
                <w:sz w:val="22"/>
              </w:rPr>
              <w:t xml:space="preserve"> [EL]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0E3A97AA" w14:textId="77777777" w:rsidR="00A157E8" w:rsidRPr="004F1033" w:rsidRDefault="00A157E8" w:rsidP="008613FC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SSE</w:t>
            </w:r>
          </w:p>
        </w:tc>
      </w:tr>
      <w:tr w:rsidR="003D37DE" w:rsidRPr="00AF30F7" w14:paraId="3EA48249" w14:textId="77777777" w:rsidTr="00201E2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</w:tcPr>
          <w:p w14:paraId="04DBC7F0" w14:textId="765FFEBE" w:rsidR="003D37DE" w:rsidRPr="004F1033" w:rsidRDefault="000C2EA0" w:rsidP="00870C0B">
            <w:pPr>
              <w:spacing w:before="4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Peter Morgan [PM]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7E91E8FF" w14:textId="2399C86E" w:rsidR="003D37DE" w:rsidRPr="004F1033" w:rsidRDefault="00CD32D4" w:rsidP="00870C0B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BEIS</w:t>
            </w:r>
          </w:p>
        </w:tc>
      </w:tr>
      <w:tr w:rsidR="007106AE" w:rsidRPr="00AF30F7" w14:paraId="50ADF1E3" w14:textId="77777777" w:rsidTr="003D37D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</w:tcPr>
          <w:p w14:paraId="6265A7E1" w14:textId="303D5D30" w:rsidR="007106AE" w:rsidRPr="004F1033" w:rsidRDefault="004F1033" w:rsidP="00124A3D">
            <w:pPr>
              <w:spacing w:before="40" w:after="60"/>
              <w:rPr>
                <w:b w:val="0"/>
                <w:sz w:val="22"/>
              </w:rPr>
            </w:pPr>
            <w:r w:rsidRPr="004F1033">
              <w:rPr>
                <w:b w:val="0"/>
                <w:sz w:val="22"/>
              </w:rPr>
              <w:t>Steven Gough</w:t>
            </w:r>
            <w:r>
              <w:rPr>
                <w:b w:val="0"/>
                <w:sz w:val="22"/>
              </w:rPr>
              <w:t xml:space="preserve"> [SG]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70E65DEB" w14:textId="206E017D" w:rsidR="007106AE" w:rsidRPr="004F1033" w:rsidRDefault="004F1033" w:rsidP="00124A3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SSE</w:t>
            </w:r>
          </w:p>
        </w:tc>
      </w:tr>
      <w:tr w:rsidR="000C2EA0" w:rsidRPr="00AF30F7" w14:paraId="15ACDA00" w14:textId="77777777" w:rsidTr="00201E2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</w:tcPr>
          <w:p w14:paraId="3AFA6A42" w14:textId="77777777" w:rsidR="000C2EA0" w:rsidRPr="004F1033" w:rsidRDefault="000C2EA0" w:rsidP="009758F2">
            <w:pPr>
              <w:spacing w:before="4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Tim Newton [TN]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33CB3494" w14:textId="14CC7E61" w:rsidR="000C2EA0" w:rsidRPr="004F1033" w:rsidRDefault="000638B7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Gemserv</w:t>
            </w:r>
            <w:proofErr w:type="spellEnd"/>
          </w:p>
        </w:tc>
      </w:tr>
      <w:tr w:rsidR="00124A3D" w:rsidRPr="00AF30F7" w14:paraId="602CD2F5" w14:textId="77777777" w:rsidTr="003D37D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</w:tcPr>
          <w:p w14:paraId="6B3E3874" w14:textId="4E60A79F" w:rsidR="00124A3D" w:rsidRPr="004F1033" w:rsidRDefault="004F1033" w:rsidP="00124A3D">
            <w:pPr>
              <w:spacing w:before="40" w:after="60"/>
              <w:rPr>
                <w:b w:val="0"/>
                <w:sz w:val="22"/>
              </w:rPr>
            </w:pPr>
            <w:r w:rsidRPr="004F1033">
              <w:rPr>
                <w:b w:val="0"/>
                <w:sz w:val="22"/>
              </w:rPr>
              <w:t>Warren Lacey</w:t>
            </w:r>
            <w:r>
              <w:rPr>
                <w:b w:val="0"/>
                <w:sz w:val="22"/>
              </w:rPr>
              <w:t xml:space="preserve"> [WL]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4D08A849" w14:textId="6265BFB6" w:rsidR="00124A3D" w:rsidRPr="004F1033" w:rsidRDefault="004F1033" w:rsidP="00124A3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Northern Powergrid</w:t>
            </w:r>
          </w:p>
        </w:tc>
      </w:tr>
      <w:tr w:rsidR="000C2EA0" w:rsidRPr="00AF30F7" w14:paraId="42EB1C03" w14:textId="77777777" w:rsidTr="00727D1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  <w:hideMark/>
          </w:tcPr>
          <w:p w14:paraId="4D8A04E8" w14:textId="77777777" w:rsidR="000C2EA0" w:rsidRPr="00AF30F7" w:rsidRDefault="000C2EA0" w:rsidP="00727D1C">
            <w:pPr>
              <w:pStyle w:val="TableText"/>
              <w:rPr>
                <w:b/>
                <w:sz w:val="22"/>
              </w:rPr>
            </w:pPr>
            <w:r w:rsidRPr="00AF30F7">
              <w:rPr>
                <w:b/>
                <w:sz w:val="22"/>
              </w:rPr>
              <w:t>Code Administrator</w:t>
            </w:r>
          </w:p>
        </w:tc>
      </w:tr>
      <w:tr w:rsidR="00124A3D" w:rsidRPr="00AF30F7" w14:paraId="46ED6601" w14:textId="77777777" w:rsidTr="003D37D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  <w:hideMark/>
          </w:tcPr>
          <w:p w14:paraId="6FEF01AB" w14:textId="73883097" w:rsidR="00124A3D" w:rsidRPr="00AF30F7" w:rsidRDefault="00124A3D" w:rsidP="00124A3D">
            <w:pPr>
              <w:spacing w:before="4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John Lawton</w:t>
            </w:r>
            <w:r w:rsidR="00BB77C0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[</w:t>
            </w:r>
            <w:proofErr w:type="spellStart"/>
            <w:r>
              <w:rPr>
                <w:b w:val="0"/>
                <w:sz w:val="22"/>
              </w:rPr>
              <w:t>JL</w:t>
            </w:r>
            <w:proofErr w:type="spellEnd"/>
            <w:r w:rsidRPr="00AF30F7">
              <w:rPr>
                <w:b w:val="0"/>
                <w:sz w:val="22"/>
              </w:rPr>
              <w:t>] (Chair)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hideMark/>
          </w:tcPr>
          <w:p w14:paraId="3F1FEDAA" w14:textId="77777777" w:rsidR="00124A3D" w:rsidRPr="00AF30F7" w:rsidRDefault="00124A3D" w:rsidP="00124A3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F30F7">
              <w:rPr>
                <w:sz w:val="22"/>
              </w:rPr>
              <w:t>ElectraLink</w:t>
            </w:r>
          </w:p>
        </w:tc>
      </w:tr>
      <w:tr w:rsidR="00124A3D" w:rsidRPr="00AF30F7" w14:paraId="40011DA7" w14:textId="77777777" w:rsidTr="003D37D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  <w:noWrap/>
          </w:tcPr>
          <w:p w14:paraId="0ACC47D0" w14:textId="10AA3A22" w:rsidR="00124A3D" w:rsidRDefault="00124A3D" w:rsidP="00124A3D">
            <w:pPr>
              <w:spacing w:before="40" w:after="60"/>
              <w:rPr>
                <w:b w:val="0"/>
              </w:rPr>
            </w:pPr>
            <w:r w:rsidRPr="00D60A4A">
              <w:rPr>
                <w:b w:val="0"/>
                <w:sz w:val="22"/>
              </w:rPr>
              <w:t>Joseph Underwood</w:t>
            </w:r>
            <w:r w:rsidR="00CA3D52">
              <w:rPr>
                <w:b w:val="0"/>
                <w:sz w:val="22"/>
              </w:rPr>
              <w:t xml:space="preserve"> [JU]</w:t>
            </w:r>
            <w:r w:rsidR="004F1033">
              <w:rPr>
                <w:b w:val="0"/>
                <w:sz w:val="22"/>
              </w:rPr>
              <w:t xml:space="preserve"> (Technical Secretary)</w:t>
            </w:r>
          </w:p>
        </w:tc>
        <w:tc>
          <w:tcPr>
            <w:tcW w:w="2589" w:type="pct"/>
            <w:tcBorders>
              <w:top w:val="single" w:sz="4" w:space="0" w:color="3A9262"/>
              <w:left w:val="single" w:sz="4" w:space="0" w:color="3A9262"/>
              <w:bottom w:val="single" w:sz="4" w:space="0" w:color="3A9262"/>
              <w:right w:val="single" w:sz="4" w:space="0" w:color="3A9262"/>
            </w:tcBorders>
          </w:tcPr>
          <w:p w14:paraId="59EBA40B" w14:textId="6BFD5571" w:rsidR="00124A3D" w:rsidRPr="00AF30F7" w:rsidRDefault="00124A3D" w:rsidP="00124A3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0F7">
              <w:rPr>
                <w:sz w:val="22"/>
              </w:rPr>
              <w:t>ElectraLink</w:t>
            </w:r>
          </w:p>
        </w:tc>
      </w:tr>
    </w:tbl>
    <w:p w14:paraId="64B664CC" w14:textId="5CAB6373" w:rsidR="00AF30F7" w:rsidRDefault="00AF30F7" w:rsidP="00633D0E">
      <w:pPr>
        <w:pStyle w:val="GSHeading1withnumb"/>
        <w:numPr>
          <w:ilvl w:val="0"/>
          <w:numId w:val="0"/>
        </w:numPr>
      </w:pPr>
    </w:p>
    <w:p w14:paraId="1A14F1FB" w14:textId="4D627E6F" w:rsidR="003D37DE" w:rsidRDefault="00AF30F7" w:rsidP="003D37DE">
      <w:pPr>
        <w:pStyle w:val="GSHeading1withnumb"/>
        <w:numPr>
          <w:ilvl w:val="0"/>
          <w:numId w:val="5"/>
        </w:numPr>
      </w:pPr>
      <w:r>
        <w:t>A</w:t>
      </w:r>
      <w:r w:rsidR="003D37DE">
        <w:t>dministration</w:t>
      </w:r>
    </w:p>
    <w:p w14:paraId="569884AE" w14:textId="45FA96CB" w:rsidR="00A83D27" w:rsidRDefault="00A83D27" w:rsidP="009758F2">
      <w:pPr>
        <w:pStyle w:val="GSBodyParawithnumb"/>
        <w:numPr>
          <w:ilvl w:val="1"/>
          <w:numId w:val="5"/>
        </w:numPr>
      </w:pPr>
      <w:r>
        <w:t xml:space="preserve">The Chair </w:t>
      </w:r>
      <w:r w:rsidR="00C34ACB">
        <w:t xml:space="preserve">welcomed the members to the meeting. </w:t>
      </w:r>
    </w:p>
    <w:p w14:paraId="4A3ACA10" w14:textId="3726867B" w:rsidR="009758F2" w:rsidRDefault="00212BD4" w:rsidP="00213FE2">
      <w:pPr>
        <w:pStyle w:val="GSBodyParawithnumb"/>
        <w:numPr>
          <w:ilvl w:val="1"/>
          <w:numId w:val="5"/>
        </w:numPr>
      </w:pPr>
      <w:r>
        <w:t xml:space="preserve">The </w:t>
      </w:r>
      <w:r w:rsidR="001D3A81">
        <w:t>Subg</w:t>
      </w:r>
      <w:r>
        <w:t>roup reviewed the “Competition Law Do’s and Don’ts”. All members agreed to be bound by the Competition Laws Do’s and Don’ts for the duration of the meeting.</w:t>
      </w:r>
    </w:p>
    <w:p w14:paraId="5C01F3E6" w14:textId="1BA2A2A7" w:rsidR="00F50194" w:rsidRDefault="00127673" w:rsidP="00127673">
      <w:pPr>
        <w:pStyle w:val="GSBodyParawithnumb"/>
        <w:numPr>
          <w:ilvl w:val="1"/>
          <w:numId w:val="5"/>
        </w:numPr>
      </w:pPr>
      <w:r>
        <w:t>The Subgroup reviewed the minutes from the previous minutes and agreed they were an accurate reflection of discussions held.</w:t>
      </w:r>
    </w:p>
    <w:p w14:paraId="49468E60" w14:textId="3650777C" w:rsidR="00EB5DE0" w:rsidRDefault="009931ED" w:rsidP="00127673">
      <w:pPr>
        <w:pStyle w:val="GSBodyParawithnumb"/>
        <w:numPr>
          <w:ilvl w:val="1"/>
          <w:numId w:val="5"/>
        </w:numPr>
      </w:pPr>
      <w:r>
        <w:t xml:space="preserve">Regarding </w:t>
      </w:r>
      <w:r w:rsidR="003147BB">
        <w:t>a</w:t>
      </w:r>
      <w:r>
        <w:t>ction 02/02</w:t>
      </w:r>
      <w:r w:rsidR="00E84388">
        <w:t xml:space="preserve">, SG </w:t>
      </w:r>
      <w:r w:rsidR="004551D7">
        <w:t xml:space="preserve">informed the Subgroup that he had been in touch with the proposer of </w:t>
      </w:r>
      <w:proofErr w:type="spellStart"/>
      <w:r w:rsidR="004551D7">
        <w:t>SECMP</w:t>
      </w:r>
      <w:proofErr w:type="spellEnd"/>
      <w:r w:rsidR="004551D7">
        <w:t xml:space="preserve"> 0046. SG confirmed that </w:t>
      </w:r>
      <w:r w:rsidR="00121DF6">
        <w:t xml:space="preserve">a solution to </w:t>
      </w:r>
      <w:proofErr w:type="spellStart"/>
      <w:r w:rsidR="00121DF6">
        <w:t>DIF50</w:t>
      </w:r>
      <w:proofErr w:type="spellEnd"/>
      <w:r w:rsidR="00121DF6">
        <w:t xml:space="preserve"> could be </w:t>
      </w:r>
      <w:r w:rsidR="00DA66EC">
        <w:t xml:space="preserve">incorporated into the </w:t>
      </w:r>
      <w:proofErr w:type="spellStart"/>
      <w:r w:rsidR="00DA66EC">
        <w:t>SECMP</w:t>
      </w:r>
      <w:proofErr w:type="spellEnd"/>
      <w:r w:rsidR="00DA66EC">
        <w:t xml:space="preserve"> 0046 solution. </w:t>
      </w:r>
      <w:r w:rsidR="000F3368">
        <w:t xml:space="preserve">The Subgroup decided that this should be addressed as part of the next steps section below. </w:t>
      </w:r>
    </w:p>
    <w:p w14:paraId="376CBD15" w14:textId="7C53A99E" w:rsidR="00F00BEB" w:rsidRDefault="00F00BEB" w:rsidP="00213FE2">
      <w:pPr>
        <w:pStyle w:val="GSBodyParawithnumb"/>
        <w:numPr>
          <w:ilvl w:val="1"/>
          <w:numId w:val="5"/>
        </w:numPr>
      </w:pPr>
      <w:r>
        <w:t xml:space="preserve">Regarding action 02/03, </w:t>
      </w:r>
      <w:r w:rsidR="00BC73A2">
        <w:t xml:space="preserve">the Secretariat confirmed they had contacted a representative at BEIS who had dialled into the meeting </w:t>
      </w:r>
      <w:proofErr w:type="gramStart"/>
      <w:r w:rsidR="00BC73A2">
        <w:t>in order to</w:t>
      </w:r>
      <w:proofErr w:type="gramEnd"/>
      <w:r w:rsidR="00BC73A2">
        <w:t xml:space="preserve"> give an update. </w:t>
      </w:r>
      <w:r w:rsidR="001D61E2">
        <w:t>The representative from BEIS informed the Subgroup that there is an obligation on the Data Communication Company (DCC) to provide</w:t>
      </w:r>
      <w:r w:rsidR="00474B61">
        <w:t xml:space="preserve"> Wide </w:t>
      </w:r>
      <w:r w:rsidR="00474B61">
        <w:lastRenderedPageBreak/>
        <w:t>Area Network (</w:t>
      </w:r>
      <w:r w:rsidR="001D61E2">
        <w:t>WAN</w:t>
      </w:r>
      <w:r w:rsidR="00474B61">
        <w:t>)</w:t>
      </w:r>
      <w:r w:rsidR="001D61E2">
        <w:t xml:space="preserve"> coverage </w:t>
      </w:r>
      <w:r w:rsidR="003713DD">
        <w:t>to 95% of</w:t>
      </w:r>
      <w:r w:rsidR="001D61E2">
        <w:t xml:space="preserve"> </w:t>
      </w:r>
      <w:r w:rsidR="00474B61">
        <w:t xml:space="preserve">GB by 2020. </w:t>
      </w:r>
      <w:r w:rsidR="002A571A">
        <w:t xml:space="preserve">Presently there are no obligations on suppliers in </w:t>
      </w:r>
      <w:r w:rsidR="00950017">
        <w:t xml:space="preserve">no-WAN areas. </w:t>
      </w:r>
    </w:p>
    <w:p w14:paraId="1FB5ADAE" w14:textId="7A3E469D" w:rsidR="001D12C5" w:rsidRDefault="001D12C5" w:rsidP="001F28A5">
      <w:pPr>
        <w:pStyle w:val="GSHeading1withnumb"/>
        <w:numPr>
          <w:ilvl w:val="0"/>
          <w:numId w:val="5"/>
        </w:numPr>
        <w:spacing w:before="120" w:after="120" w:line="240" w:lineRule="auto"/>
      </w:pPr>
      <w:r>
        <w:t>Introduction</w:t>
      </w:r>
    </w:p>
    <w:p w14:paraId="649F0DD8" w14:textId="57274151" w:rsidR="008F104A" w:rsidRPr="00C04A58" w:rsidRDefault="004B46AA" w:rsidP="00F50194">
      <w:pPr>
        <w:pStyle w:val="GSBodyParawithnumb"/>
      </w:pPr>
      <w:r w:rsidRPr="00C04A58">
        <w:t xml:space="preserve">The Chair set out that the main purpose of the meeting was </w:t>
      </w:r>
      <w:r w:rsidR="00412A94">
        <w:t xml:space="preserve">for the </w:t>
      </w:r>
      <w:proofErr w:type="spellStart"/>
      <w:r w:rsidR="00412A94">
        <w:t>DIF50</w:t>
      </w:r>
      <w:proofErr w:type="spellEnd"/>
      <w:r w:rsidR="00412A94">
        <w:t xml:space="preserve"> Subgroup </w:t>
      </w:r>
      <w:r w:rsidRPr="00C04A58">
        <w:t xml:space="preserve">to review the </w:t>
      </w:r>
      <w:r w:rsidR="00C04A58">
        <w:t>draft solution</w:t>
      </w:r>
      <w:r w:rsidR="00412A94">
        <w:t xml:space="preserve"> and decide on next steps.</w:t>
      </w:r>
    </w:p>
    <w:p w14:paraId="50D8087C" w14:textId="16D31387" w:rsidR="008613FC" w:rsidRPr="00CF6FA8" w:rsidRDefault="001D17AC" w:rsidP="001D12C5">
      <w:pPr>
        <w:pStyle w:val="GSHeading1withnumb"/>
        <w:numPr>
          <w:ilvl w:val="0"/>
          <w:numId w:val="5"/>
        </w:numPr>
        <w:rPr>
          <w:b/>
        </w:rPr>
      </w:pPr>
      <w:r>
        <w:t xml:space="preserve">Review </w:t>
      </w:r>
      <w:r w:rsidR="000A2FA5">
        <w:t>o</w:t>
      </w:r>
      <w:bookmarkStart w:id="0" w:name="_GoBack"/>
      <w:bookmarkEnd w:id="0"/>
      <w:r>
        <w:t>f the draft solution</w:t>
      </w:r>
    </w:p>
    <w:p w14:paraId="0FBAC9C1" w14:textId="51911144" w:rsidR="00A409CD" w:rsidRDefault="00567F75" w:rsidP="00E62008">
      <w:pPr>
        <w:pStyle w:val="GSBodyParawithnumb"/>
        <w:numPr>
          <w:ilvl w:val="1"/>
          <w:numId w:val="5"/>
        </w:numPr>
      </w:pPr>
      <w:r>
        <w:t>The Chair informed the Subgroup that they had</w:t>
      </w:r>
      <w:r w:rsidR="002754FA">
        <w:t xml:space="preserve"> drafted </w:t>
      </w:r>
      <w:r>
        <w:t>the solution and circulated it around the Group, but n</w:t>
      </w:r>
      <w:r w:rsidR="002754FA">
        <w:t>o comme</w:t>
      </w:r>
      <w:r w:rsidR="00FE2F62">
        <w:t>n</w:t>
      </w:r>
      <w:r w:rsidR="002754FA">
        <w:t xml:space="preserve">ts </w:t>
      </w:r>
      <w:r>
        <w:t xml:space="preserve">or amendments had been </w:t>
      </w:r>
      <w:r w:rsidR="002754FA">
        <w:t xml:space="preserve">received. </w:t>
      </w:r>
    </w:p>
    <w:p w14:paraId="6F28ADDD" w14:textId="5F0166CD" w:rsidR="009C0A4E" w:rsidRDefault="0031541D" w:rsidP="00E62008">
      <w:pPr>
        <w:pStyle w:val="GSBodyParawithnumb"/>
        <w:numPr>
          <w:ilvl w:val="1"/>
          <w:numId w:val="5"/>
        </w:numPr>
      </w:pPr>
      <w:r>
        <w:t xml:space="preserve">The Subgroup reviewed the </w:t>
      </w:r>
      <w:r w:rsidR="00B544CB">
        <w:t xml:space="preserve">draft solution and some </w:t>
      </w:r>
      <w:r w:rsidR="00EA45B5">
        <w:t>changes were made:</w:t>
      </w:r>
    </w:p>
    <w:p w14:paraId="6F53D893" w14:textId="720BB46B" w:rsidR="00EA45B5" w:rsidRDefault="001D42D8" w:rsidP="00CC56D7">
      <w:pPr>
        <w:pStyle w:val="GSBodyParawithnumb"/>
        <w:numPr>
          <w:ilvl w:val="3"/>
          <w:numId w:val="5"/>
        </w:numPr>
      </w:pPr>
      <w:r>
        <w:t>The wording of p</w:t>
      </w:r>
      <w:r w:rsidR="0068374C">
        <w:t xml:space="preserve">aragraph 1.1 was </w:t>
      </w:r>
      <w:r>
        <w:t>amended to say that t</w:t>
      </w:r>
      <w:r w:rsidRPr="001D42D8">
        <w:t>ime switching settings on smart metering systems are normally applied remotely</w:t>
      </w:r>
      <w:r>
        <w:t>. L</w:t>
      </w:r>
      <w:r w:rsidR="00EA45B5">
        <w:t xml:space="preserve">ocal control can be achieved by </w:t>
      </w:r>
      <w:r w:rsidR="00AC0032">
        <w:t>hand-held devices,</w:t>
      </w:r>
      <w:r w:rsidR="00EA45B5">
        <w:t xml:space="preserve"> but it is not mandat</w:t>
      </w:r>
      <w:r>
        <w:t>ed.</w:t>
      </w:r>
    </w:p>
    <w:p w14:paraId="46155F36" w14:textId="4C65B28B" w:rsidR="001D42D8" w:rsidRDefault="001D42D8" w:rsidP="001D42D8">
      <w:pPr>
        <w:pStyle w:val="ListParagraph"/>
        <w:numPr>
          <w:ilvl w:val="3"/>
          <w:numId w:val="5"/>
        </w:numPr>
      </w:pPr>
      <w:r>
        <w:t>Paragraph 3.2 was added to state that t</w:t>
      </w:r>
      <w:r w:rsidRPr="001D42D8">
        <w:t>he current contract to continue RTS with Arqiva ends at the end of March 2020.</w:t>
      </w:r>
    </w:p>
    <w:p w14:paraId="747F6F09" w14:textId="26BFDC87" w:rsidR="001D42D8" w:rsidRDefault="001D42D8" w:rsidP="001D42D8">
      <w:pPr>
        <w:pStyle w:val="GSBodyParawithnumb"/>
        <w:numPr>
          <w:ilvl w:val="1"/>
          <w:numId w:val="5"/>
        </w:numPr>
      </w:pPr>
      <w:r>
        <w:t>An issue was identified by the Subgroup whereby if a customer in a load managed area</w:t>
      </w:r>
      <w:r w:rsidR="00F80BFA">
        <w:t>,</w:t>
      </w:r>
      <w:r>
        <w:t xml:space="preserve"> and previously </w:t>
      </w:r>
      <w:r w:rsidR="00F80BFA">
        <w:t>subject to</w:t>
      </w:r>
      <w:r>
        <w:t xml:space="preserve"> RTS arrangements</w:t>
      </w:r>
      <w:r w:rsidR="00F80BFA">
        <w:t>,</w:t>
      </w:r>
      <w:r>
        <w:t xml:space="preserve"> changes supplier, that supplier can change the customer’s </w:t>
      </w:r>
      <w:r w:rsidR="007F4492">
        <w:t xml:space="preserve">tariff and </w:t>
      </w:r>
      <w:r>
        <w:t xml:space="preserve">switching arrangements </w:t>
      </w:r>
      <w:r w:rsidR="006716EB">
        <w:t>(</w:t>
      </w:r>
      <w:r w:rsidR="00F80BFA">
        <w:t xml:space="preserve">but </w:t>
      </w:r>
      <w:r w:rsidR="006716EB">
        <w:t>only if the customer agrees).</w:t>
      </w:r>
      <w:r w:rsidR="007F4492">
        <w:t xml:space="preserve"> DNOs have no visibility of this action and constraints may start to appear on the system where RTS switching arrangements previously prevented this. </w:t>
      </w:r>
    </w:p>
    <w:p w14:paraId="290E2819" w14:textId="772BFAB2" w:rsidR="00871246" w:rsidRPr="00104014" w:rsidRDefault="00871246" w:rsidP="001D42D8">
      <w:pPr>
        <w:pStyle w:val="GSBodyParawithnumb"/>
        <w:numPr>
          <w:ilvl w:val="1"/>
          <w:numId w:val="5"/>
        </w:numPr>
      </w:pPr>
      <w:r w:rsidRPr="00104014">
        <w:t xml:space="preserve">The </w:t>
      </w:r>
      <w:r w:rsidR="000763F1" w:rsidRPr="00104014">
        <w:t xml:space="preserve">amended </w:t>
      </w:r>
      <w:r w:rsidRPr="00104014">
        <w:t>draft solution can be found as Attachment 1.</w:t>
      </w:r>
    </w:p>
    <w:p w14:paraId="613FF8C7" w14:textId="1755835B" w:rsidR="00104BFA" w:rsidRPr="00104014" w:rsidRDefault="001D17AC" w:rsidP="00DB72ED">
      <w:pPr>
        <w:pStyle w:val="GSHeading1withnumb"/>
        <w:numPr>
          <w:ilvl w:val="0"/>
          <w:numId w:val="5"/>
        </w:numPr>
      </w:pPr>
      <w:r w:rsidRPr="00104014">
        <w:t>Next steps</w:t>
      </w:r>
    </w:p>
    <w:p w14:paraId="5A45723D" w14:textId="2D614B1A" w:rsidR="005E1036" w:rsidRDefault="007C5896" w:rsidP="001D12C5">
      <w:pPr>
        <w:pStyle w:val="GSBodyParawithnumb"/>
        <w:numPr>
          <w:ilvl w:val="1"/>
          <w:numId w:val="5"/>
        </w:numPr>
      </w:pPr>
      <w:r>
        <w:t xml:space="preserve">It was agreed that a consultation to wider industry should be drafted and </w:t>
      </w:r>
      <w:r w:rsidR="00AC6D1D">
        <w:t xml:space="preserve">circulated to </w:t>
      </w:r>
      <w:r>
        <w:t>the Working Group</w:t>
      </w:r>
      <w:r w:rsidR="00E67F66">
        <w:t xml:space="preserve"> by 04 May 2018</w:t>
      </w:r>
      <w:r w:rsidR="00AC6D1D">
        <w:t>.</w:t>
      </w:r>
      <w:r w:rsidR="00E67F66">
        <w:t xml:space="preserve"> The Subgroup will then be invited to </w:t>
      </w:r>
      <w:r w:rsidR="00AC6D1D">
        <w:t>provide comments and amendments by 11</w:t>
      </w:r>
      <w:r w:rsidR="00AC6D1D" w:rsidRPr="00AC6D1D">
        <w:rPr>
          <w:vertAlign w:val="superscript"/>
        </w:rPr>
        <w:t>th</w:t>
      </w:r>
      <w:r w:rsidR="00AC6D1D">
        <w:t xml:space="preserve"> May 2018.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C6D1D" w14:paraId="3D616BD7" w14:textId="77777777" w:rsidTr="004264C0">
        <w:tc>
          <w:tcPr>
            <w:tcW w:w="9628" w:type="dxa"/>
          </w:tcPr>
          <w:p w14:paraId="264B9A0B" w14:textId="77777777" w:rsidR="00AC6D1D" w:rsidRPr="00B977AF" w:rsidRDefault="00AC6D1D" w:rsidP="00B977AF">
            <w:pPr>
              <w:pStyle w:val="GSTblText2"/>
              <w:rPr>
                <w:b/>
              </w:rPr>
            </w:pPr>
            <w:r w:rsidRPr="00B977AF">
              <w:rPr>
                <w:b/>
              </w:rPr>
              <w:t xml:space="preserve">ACTION </w:t>
            </w:r>
            <w:r>
              <w:rPr>
                <w:b/>
              </w:rPr>
              <w:t>03</w:t>
            </w:r>
            <w:r w:rsidRPr="00B977AF">
              <w:rPr>
                <w:b/>
              </w:rPr>
              <w:t>/0</w:t>
            </w:r>
            <w:r>
              <w:rPr>
                <w:b/>
              </w:rPr>
              <w:t>1</w:t>
            </w:r>
            <w:r w:rsidRPr="00B977AF">
              <w:rPr>
                <w:b/>
              </w:rPr>
              <w:t>:</w:t>
            </w:r>
            <w:r>
              <w:rPr>
                <w:b/>
              </w:rPr>
              <w:t xml:space="preserve"> ElectraLink to draft a consultation and circulate to the </w:t>
            </w:r>
            <w:proofErr w:type="spellStart"/>
            <w:r>
              <w:rPr>
                <w:b/>
              </w:rPr>
              <w:t>DIF50</w:t>
            </w:r>
            <w:proofErr w:type="spellEnd"/>
            <w:r>
              <w:rPr>
                <w:b/>
              </w:rPr>
              <w:t xml:space="preserve"> Subgroup</w:t>
            </w:r>
          </w:p>
        </w:tc>
      </w:tr>
      <w:tr w:rsidR="00AC6D1D" w14:paraId="7D8C948E" w14:textId="77777777" w:rsidTr="004264C0">
        <w:tc>
          <w:tcPr>
            <w:tcW w:w="9628" w:type="dxa"/>
          </w:tcPr>
          <w:p w14:paraId="1F0AD4A6" w14:textId="557E1CE2" w:rsidR="00AC6D1D" w:rsidRPr="00B977AF" w:rsidRDefault="00AC6D1D" w:rsidP="00B977AF">
            <w:pPr>
              <w:pStyle w:val="GSTblText2"/>
              <w:rPr>
                <w:b/>
              </w:rPr>
            </w:pPr>
            <w:r w:rsidRPr="00B977AF">
              <w:rPr>
                <w:b/>
              </w:rPr>
              <w:t xml:space="preserve">ACTION </w:t>
            </w:r>
            <w:r>
              <w:rPr>
                <w:b/>
              </w:rPr>
              <w:t>03</w:t>
            </w:r>
            <w:r w:rsidRPr="00B977AF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B977AF">
              <w:rPr>
                <w:b/>
              </w:rPr>
              <w:t>:</w:t>
            </w:r>
            <w:r>
              <w:rPr>
                <w:b/>
              </w:rPr>
              <w:t xml:space="preserve"> Subgroup to provide comments and amendments to the draft consultation </w:t>
            </w:r>
          </w:p>
        </w:tc>
      </w:tr>
    </w:tbl>
    <w:p w14:paraId="3C42C769" w14:textId="516B51CF" w:rsidR="00123293" w:rsidRDefault="00FC0784" w:rsidP="003A6589">
      <w:pPr>
        <w:pStyle w:val="GSHeading1withnumb"/>
        <w:spacing w:before="240" w:after="240"/>
      </w:pPr>
      <w:r>
        <w:t>Agenda Items for the next meeting</w:t>
      </w:r>
    </w:p>
    <w:p w14:paraId="1D2E4718" w14:textId="59AD6393" w:rsidR="003A6589" w:rsidRDefault="0023060C" w:rsidP="003A6589">
      <w:pPr>
        <w:pStyle w:val="GSBodyParawithnumb"/>
      </w:pPr>
      <w:r>
        <w:t>The Subgroup agreed that agenda items for the workshop should include:</w:t>
      </w:r>
    </w:p>
    <w:p w14:paraId="777B298E" w14:textId="7FC4D59A" w:rsidR="00AC6D1D" w:rsidRDefault="000F7A79" w:rsidP="00AC6D1D">
      <w:pPr>
        <w:pStyle w:val="GSBodyParawithnumb"/>
        <w:numPr>
          <w:ilvl w:val="3"/>
          <w:numId w:val="3"/>
        </w:numPr>
      </w:pPr>
      <w:r>
        <w:t>Review consul</w:t>
      </w:r>
      <w:r w:rsidR="00692759">
        <w:t>tation responses</w:t>
      </w:r>
      <w:r w:rsidR="00AC6D1D">
        <w:t>;</w:t>
      </w:r>
    </w:p>
    <w:p w14:paraId="3D43627E" w14:textId="4DF5921B" w:rsidR="00AC6D1D" w:rsidRDefault="00AC6D1D" w:rsidP="00AC6D1D">
      <w:pPr>
        <w:pStyle w:val="GSBodyParawithnumb"/>
        <w:numPr>
          <w:ilvl w:val="3"/>
          <w:numId w:val="3"/>
        </w:numPr>
      </w:pPr>
      <w:r>
        <w:t>Review of suggested legal text; and</w:t>
      </w:r>
    </w:p>
    <w:p w14:paraId="09E6EFE9" w14:textId="60F2FF91" w:rsidR="00AC6D1D" w:rsidRDefault="00AC6D1D" w:rsidP="00AC6D1D">
      <w:pPr>
        <w:pStyle w:val="GSBodyParawithnumb"/>
        <w:numPr>
          <w:ilvl w:val="3"/>
          <w:numId w:val="3"/>
        </w:numPr>
      </w:pPr>
      <w:r>
        <w:t>Next steps.</w:t>
      </w:r>
    </w:p>
    <w:p w14:paraId="5FA369BF" w14:textId="77777777" w:rsidR="00692759" w:rsidRPr="009923A6" w:rsidRDefault="00692759" w:rsidP="00692759">
      <w:pPr>
        <w:pStyle w:val="GSHeading1withnumb"/>
        <w:spacing w:before="240" w:after="0"/>
      </w:pPr>
      <w:r>
        <w:t>Date of Next Meeting: 11 June 2018 at 10:00 am</w:t>
      </w:r>
    </w:p>
    <w:p w14:paraId="1B1CA2E0" w14:textId="77777777" w:rsidR="00692759" w:rsidRDefault="00692759" w:rsidP="00692759">
      <w:pPr>
        <w:pStyle w:val="GSBodyParawithnumb"/>
      </w:pPr>
      <w:r w:rsidRPr="00B03225">
        <w:t xml:space="preserve">The </w:t>
      </w:r>
      <w:r>
        <w:t>Subgroup agreed to hold the next meeting on 11 June 2018 at 10:00 am held face to face at a venue in central London</w:t>
      </w:r>
    </w:p>
    <w:p w14:paraId="7B2C3BC3" w14:textId="71D17309" w:rsidR="00FC0784" w:rsidRPr="001313AC" w:rsidRDefault="00FC0784" w:rsidP="00FC0784">
      <w:pPr>
        <w:pStyle w:val="GSHeading1withnumb"/>
      </w:pPr>
      <w:r>
        <w:t>Any Other Business</w:t>
      </w:r>
    </w:p>
    <w:p w14:paraId="4C01C664" w14:textId="453746B0" w:rsidR="001313AC" w:rsidRDefault="00104B5C" w:rsidP="00D5542E">
      <w:pPr>
        <w:pStyle w:val="GSBodyParawithnumb"/>
      </w:pPr>
      <w:r>
        <w:t xml:space="preserve">There were no items of </w:t>
      </w:r>
      <w:proofErr w:type="spellStart"/>
      <w:r>
        <w:t>AOB</w:t>
      </w:r>
      <w:proofErr w:type="spellEnd"/>
      <w:r>
        <w:t xml:space="preserve"> and the Chair closed the meeting.</w:t>
      </w:r>
    </w:p>
    <w:p w14:paraId="092A6AA7" w14:textId="1148F9BF" w:rsidR="0000756D" w:rsidRPr="009923A6" w:rsidRDefault="0000756D" w:rsidP="0000756D">
      <w:pPr>
        <w:pStyle w:val="GSHeading1withnumb"/>
        <w:spacing w:before="240" w:after="0"/>
      </w:pPr>
      <w:r>
        <w:t>Attachments</w:t>
      </w:r>
    </w:p>
    <w:p w14:paraId="3444D084" w14:textId="3791BA6E" w:rsidR="00104B5C" w:rsidRDefault="0000756D" w:rsidP="00C40FD7">
      <w:pPr>
        <w:pStyle w:val="GSBodyParawithnumb"/>
        <w:numPr>
          <w:ilvl w:val="0"/>
          <w:numId w:val="12"/>
        </w:numPr>
        <w:sectPr w:rsidR="00104B5C" w:rsidSect="00B977AF">
          <w:headerReference w:type="first" r:id="rId8"/>
          <w:pgSz w:w="11906" w:h="16838" w:code="9"/>
          <w:pgMar w:top="1134" w:right="1134" w:bottom="1134" w:left="1134" w:header="454" w:footer="1423" w:gutter="0"/>
          <w:cols w:space="708"/>
          <w:titlePg/>
          <w:docGrid w:linePitch="360"/>
        </w:sectPr>
      </w:pPr>
      <w:r>
        <w:t>Attachment 1 –</w:t>
      </w:r>
      <w:r w:rsidR="00AC6D1D">
        <w:t xml:space="preserve"> </w:t>
      </w:r>
      <w:proofErr w:type="spellStart"/>
      <w:r w:rsidR="00AC6D1D">
        <w:t>DIF50</w:t>
      </w:r>
      <w:proofErr w:type="spellEnd"/>
      <w:r w:rsidR="00AC6D1D">
        <w:t xml:space="preserve"> draft solution</w:t>
      </w:r>
    </w:p>
    <w:p w14:paraId="556A5233" w14:textId="77777777" w:rsidR="0000756D" w:rsidRDefault="0000756D" w:rsidP="00C40FD7">
      <w:pPr>
        <w:pStyle w:val="GSHeading1"/>
      </w:pPr>
    </w:p>
    <w:p w14:paraId="3BCEB298" w14:textId="77777777" w:rsidR="0000756D" w:rsidRDefault="0000756D" w:rsidP="00C40FD7">
      <w:pPr>
        <w:pStyle w:val="GSHeading1"/>
      </w:pPr>
    </w:p>
    <w:p w14:paraId="1BF0E344" w14:textId="77777777" w:rsidR="0000756D" w:rsidRDefault="0000756D" w:rsidP="00C40FD7">
      <w:pPr>
        <w:pStyle w:val="GSHeading1"/>
      </w:pPr>
    </w:p>
    <w:p w14:paraId="582878A5" w14:textId="77777777" w:rsidR="005542C5" w:rsidRDefault="005542C5" w:rsidP="00C40FD7">
      <w:pPr>
        <w:pStyle w:val="GSHeading1"/>
      </w:pPr>
    </w:p>
    <w:p w14:paraId="302339BD" w14:textId="77777777" w:rsidR="005542C5" w:rsidRDefault="005542C5" w:rsidP="00C40FD7">
      <w:pPr>
        <w:pStyle w:val="GSHeading1"/>
      </w:pPr>
    </w:p>
    <w:p w14:paraId="0FA75099" w14:textId="7AEAAA51" w:rsidR="00C40FD7" w:rsidRDefault="00C40FD7" w:rsidP="00C40FD7">
      <w:pPr>
        <w:pStyle w:val="GSHeading1"/>
      </w:pPr>
      <w:r w:rsidRPr="00A13B30">
        <w:t>New and open actions</w:t>
      </w:r>
    </w:p>
    <w:p w14:paraId="1794E93A" w14:textId="7576EBF2" w:rsidR="00B67FD0" w:rsidRDefault="00B67FD0" w:rsidP="00C40FD7">
      <w:pPr>
        <w:pStyle w:val="GSHeading1"/>
      </w:pPr>
    </w:p>
    <w:tbl>
      <w:tblPr>
        <w:tblStyle w:val="GSTable"/>
        <w:tblW w:w="5000" w:type="pct"/>
        <w:tblInd w:w="0" w:type="dxa"/>
        <w:tblLook w:val="04A0" w:firstRow="1" w:lastRow="0" w:firstColumn="1" w:lastColumn="0" w:noHBand="0" w:noVBand="1"/>
      </w:tblPr>
      <w:tblGrid>
        <w:gridCol w:w="1412"/>
        <w:gridCol w:w="6239"/>
        <w:gridCol w:w="1983"/>
        <w:gridCol w:w="3225"/>
      </w:tblGrid>
      <w:tr w:rsidR="00B67FD0" w:rsidRPr="00310F70" w14:paraId="0B86399D" w14:textId="77777777" w:rsidTr="0080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noWrap/>
            <w:hideMark/>
          </w:tcPr>
          <w:p w14:paraId="28E49B1E" w14:textId="77777777" w:rsidR="00B67FD0" w:rsidRPr="00310F70" w:rsidRDefault="00B67FD0" w:rsidP="00D5542E">
            <w:pPr>
              <w:pStyle w:val="TableHeaderWhite"/>
              <w:rPr>
                <w:rFonts w:asciiTheme="minorHAnsi" w:hAnsiTheme="minorHAnsi"/>
                <w:b/>
                <w:sz w:val="22"/>
              </w:rPr>
            </w:pPr>
            <w:r w:rsidRPr="00310F70">
              <w:rPr>
                <w:rFonts w:asciiTheme="minorHAnsi" w:hAnsiTheme="minorHAnsi"/>
                <w:b/>
                <w:sz w:val="22"/>
              </w:rPr>
              <w:t xml:space="preserve">Action Ref.                                          </w:t>
            </w:r>
          </w:p>
        </w:tc>
        <w:tc>
          <w:tcPr>
            <w:tcW w:w="2426" w:type="pct"/>
          </w:tcPr>
          <w:p w14:paraId="651F8FD5" w14:textId="77777777" w:rsidR="00B67FD0" w:rsidRPr="00310F70" w:rsidRDefault="00B67FD0" w:rsidP="00D5542E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0F70">
              <w:rPr>
                <w:rFonts w:asciiTheme="minorHAnsi" w:hAnsiTheme="minorHAnsi"/>
                <w:sz w:val="22"/>
              </w:rPr>
              <w:t>Action</w:t>
            </w:r>
          </w:p>
        </w:tc>
        <w:tc>
          <w:tcPr>
            <w:tcW w:w="771" w:type="pct"/>
          </w:tcPr>
          <w:p w14:paraId="06DDD897" w14:textId="77777777" w:rsidR="00B67FD0" w:rsidRPr="00310F70" w:rsidRDefault="00B67FD0" w:rsidP="00D5542E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0F70">
              <w:rPr>
                <w:rFonts w:asciiTheme="minorHAnsi" w:hAnsiTheme="minorHAnsi"/>
                <w:sz w:val="22"/>
              </w:rPr>
              <w:t>Owner</w:t>
            </w:r>
          </w:p>
        </w:tc>
        <w:tc>
          <w:tcPr>
            <w:tcW w:w="1254" w:type="pct"/>
          </w:tcPr>
          <w:p w14:paraId="07CAD627" w14:textId="77777777" w:rsidR="00B67FD0" w:rsidRPr="00310F70" w:rsidRDefault="00B67FD0" w:rsidP="00D5542E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0F70">
              <w:rPr>
                <w:rFonts w:asciiTheme="minorHAnsi" w:hAnsiTheme="minorHAnsi"/>
                <w:sz w:val="22"/>
              </w:rPr>
              <w:t>Update</w:t>
            </w:r>
          </w:p>
        </w:tc>
      </w:tr>
      <w:tr w:rsidR="00B67FD0" w:rsidRPr="00310F70" w14:paraId="524E69AD" w14:textId="77777777" w:rsidTr="008071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4CD5E5D0" w14:textId="486A9A2A" w:rsidR="00B67FD0" w:rsidRPr="00B67FD0" w:rsidRDefault="00B67FD0" w:rsidP="0080712C">
            <w:pPr>
              <w:pStyle w:val="TableText"/>
              <w:rPr>
                <w:b/>
                <w:sz w:val="22"/>
              </w:rPr>
            </w:pPr>
            <w:r w:rsidRPr="00B67FD0">
              <w:rPr>
                <w:b/>
                <w:sz w:val="22"/>
              </w:rPr>
              <w:t>03/01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44DE32BB" w14:textId="6F5F2C5B" w:rsidR="00B67FD0" w:rsidRPr="00B67FD0" w:rsidRDefault="00643F3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643F30">
              <w:rPr>
                <w:rFonts w:asciiTheme="minorHAnsi" w:hAnsiTheme="minorHAnsi"/>
                <w:b w:val="0"/>
                <w:sz w:val="22"/>
              </w:rPr>
              <w:t xml:space="preserve">ElectraLink to draft a consultation and circulate to the </w:t>
            </w:r>
            <w:proofErr w:type="spellStart"/>
            <w:r w:rsidRPr="00643F30">
              <w:rPr>
                <w:rFonts w:asciiTheme="minorHAnsi" w:hAnsiTheme="minorHAnsi"/>
                <w:b w:val="0"/>
                <w:sz w:val="22"/>
              </w:rPr>
              <w:t>DIF50</w:t>
            </w:r>
            <w:proofErr w:type="spellEnd"/>
            <w:r w:rsidRPr="00643F30">
              <w:rPr>
                <w:rFonts w:asciiTheme="minorHAnsi" w:hAnsiTheme="minorHAnsi"/>
                <w:b w:val="0"/>
                <w:sz w:val="22"/>
              </w:rPr>
              <w:t xml:space="preserve"> Subgroup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1B4D056E" w14:textId="00D6EC0F" w:rsidR="00B67FD0" w:rsidRPr="00B67FD0" w:rsidRDefault="00643F3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ElectraLink</w:t>
            </w:r>
          </w:p>
        </w:tc>
        <w:tc>
          <w:tcPr>
            <w:tcW w:w="1254" w:type="pct"/>
          </w:tcPr>
          <w:p w14:paraId="74D60A19" w14:textId="77777777" w:rsidR="00B67FD0" w:rsidRPr="00B67FD0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B67FD0" w:rsidRPr="00310F70" w14:paraId="7B59BE79" w14:textId="77777777" w:rsidTr="008071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2538F0C9" w14:textId="70D8CEEC" w:rsidR="00B67FD0" w:rsidRPr="00B67FD0" w:rsidRDefault="00B67FD0" w:rsidP="0080712C">
            <w:pPr>
              <w:pStyle w:val="TableText"/>
              <w:rPr>
                <w:b/>
                <w:sz w:val="22"/>
              </w:rPr>
            </w:pPr>
            <w:r w:rsidRPr="00B67FD0">
              <w:rPr>
                <w:b/>
                <w:sz w:val="22"/>
              </w:rPr>
              <w:t>03/02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147A07D1" w14:textId="46D0A9A5" w:rsidR="00B67FD0" w:rsidRPr="00B67FD0" w:rsidRDefault="00643F3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643F30">
              <w:rPr>
                <w:rFonts w:asciiTheme="minorHAnsi" w:hAnsiTheme="minorHAnsi"/>
                <w:b w:val="0"/>
                <w:sz w:val="22"/>
              </w:rPr>
              <w:t>Subgroup to provide comments and amendments to the draft consultation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288AAAA1" w14:textId="4F0A56F6" w:rsidR="00B67FD0" w:rsidRPr="00B67FD0" w:rsidRDefault="00643F3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Subgroup members</w:t>
            </w:r>
          </w:p>
        </w:tc>
        <w:tc>
          <w:tcPr>
            <w:tcW w:w="1254" w:type="pct"/>
          </w:tcPr>
          <w:p w14:paraId="6AC0A3D3" w14:textId="77777777" w:rsidR="00B67FD0" w:rsidRPr="00B67FD0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15B190C7" w14:textId="77777777" w:rsidR="00B67FD0" w:rsidRDefault="00B67FD0" w:rsidP="00C40FD7">
      <w:pPr>
        <w:pStyle w:val="GSHeading1"/>
      </w:pPr>
    </w:p>
    <w:p w14:paraId="59BB70BC" w14:textId="77777777" w:rsidR="00B67FD0" w:rsidRDefault="00B67FD0" w:rsidP="00C40FD7">
      <w:pPr>
        <w:pStyle w:val="GSHeading1"/>
      </w:pPr>
    </w:p>
    <w:p w14:paraId="6E46927B" w14:textId="580BDA1D" w:rsidR="00B67FD0" w:rsidRDefault="00B67FD0" w:rsidP="00C40FD7">
      <w:pPr>
        <w:pStyle w:val="GSHeading1"/>
      </w:pPr>
      <w:r>
        <w:t>Closed actions</w:t>
      </w:r>
    </w:p>
    <w:tbl>
      <w:tblPr>
        <w:tblStyle w:val="GSTable1"/>
        <w:tblW w:w="5000" w:type="pct"/>
        <w:tblInd w:w="0" w:type="dxa"/>
        <w:tblLook w:val="04A0" w:firstRow="1" w:lastRow="0" w:firstColumn="1" w:lastColumn="0" w:noHBand="0" w:noVBand="1"/>
      </w:tblPr>
      <w:tblGrid>
        <w:gridCol w:w="1412"/>
        <w:gridCol w:w="6239"/>
        <w:gridCol w:w="1983"/>
        <w:gridCol w:w="3225"/>
      </w:tblGrid>
      <w:tr w:rsidR="00B67FD0" w:rsidRPr="00310F70" w14:paraId="0EFFFB82" w14:textId="77777777" w:rsidTr="0080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noWrap/>
            <w:hideMark/>
          </w:tcPr>
          <w:p w14:paraId="6B7A44BD" w14:textId="77777777" w:rsidR="00B67FD0" w:rsidRPr="00310F70" w:rsidRDefault="00B67FD0" w:rsidP="0080712C">
            <w:pPr>
              <w:pStyle w:val="TableHeaderWhite"/>
              <w:rPr>
                <w:rFonts w:asciiTheme="minorHAnsi" w:hAnsiTheme="minorHAnsi"/>
                <w:b/>
                <w:sz w:val="22"/>
              </w:rPr>
            </w:pPr>
            <w:r w:rsidRPr="00310F70">
              <w:rPr>
                <w:rFonts w:asciiTheme="minorHAnsi" w:hAnsiTheme="minorHAnsi"/>
                <w:b/>
                <w:sz w:val="22"/>
              </w:rPr>
              <w:t xml:space="preserve">Action Ref.                                          </w:t>
            </w:r>
          </w:p>
        </w:tc>
        <w:tc>
          <w:tcPr>
            <w:tcW w:w="2426" w:type="pct"/>
          </w:tcPr>
          <w:p w14:paraId="4CABFD0C" w14:textId="77777777" w:rsidR="00B67FD0" w:rsidRPr="00310F70" w:rsidRDefault="00B67FD0" w:rsidP="0080712C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0F70">
              <w:rPr>
                <w:rFonts w:asciiTheme="minorHAnsi" w:hAnsiTheme="minorHAnsi"/>
                <w:sz w:val="22"/>
              </w:rPr>
              <w:t>Action</w:t>
            </w:r>
          </w:p>
        </w:tc>
        <w:tc>
          <w:tcPr>
            <w:tcW w:w="771" w:type="pct"/>
          </w:tcPr>
          <w:p w14:paraId="7D178EE5" w14:textId="77777777" w:rsidR="00B67FD0" w:rsidRPr="00310F70" w:rsidRDefault="00B67FD0" w:rsidP="0080712C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0F70">
              <w:rPr>
                <w:rFonts w:asciiTheme="minorHAnsi" w:hAnsiTheme="minorHAnsi"/>
                <w:sz w:val="22"/>
              </w:rPr>
              <w:t>Owner</w:t>
            </w:r>
          </w:p>
        </w:tc>
        <w:tc>
          <w:tcPr>
            <w:tcW w:w="1254" w:type="pct"/>
          </w:tcPr>
          <w:p w14:paraId="0BD1E9B8" w14:textId="77777777" w:rsidR="00B67FD0" w:rsidRPr="00310F70" w:rsidRDefault="00B67FD0" w:rsidP="0080712C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0F70">
              <w:rPr>
                <w:rFonts w:asciiTheme="minorHAnsi" w:hAnsiTheme="minorHAnsi"/>
                <w:sz w:val="22"/>
              </w:rPr>
              <w:t>Update</w:t>
            </w:r>
          </w:p>
        </w:tc>
      </w:tr>
      <w:tr w:rsidR="00B67FD0" w:rsidRPr="00310F70" w14:paraId="0B1D7BB7" w14:textId="77777777" w:rsidTr="008071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0D605E88" w14:textId="77777777" w:rsidR="00B67FD0" w:rsidRPr="008F7626" w:rsidRDefault="00B67FD0" w:rsidP="0080712C">
            <w:pPr>
              <w:pStyle w:val="TableText"/>
              <w:rPr>
                <w:b/>
                <w:sz w:val="22"/>
              </w:rPr>
            </w:pPr>
            <w:r w:rsidRPr="008F7626">
              <w:rPr>
                <w:b/>
                <w:sz w:val="22"/>
              </w:rPr>
              <w:t>02/01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451732A4" w14:textId="77777777" w:rsidR="00B67FD0" w:rsidRPr="008F7626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8F7626">
              <w:rPr>
                <w:rFonts w:asciiTheme="minorHAnsi" w:hAnsiTheme="minorHAnsi"/>
                <w:b w:val="0"/>
                <w:sz w:val="22"/>
              </w:rPr>
              <w:t xml:space="preserve">The Chair to draft the solution derived from </w:t>
            </w:r>
            <w:proofErr w:type="spellStart"/>
            <w:r w:rsidRPr="008F7626">
              <w:rPr>
                <w:rFonts w:asciiTheme="minorHAnsi" w:hAnsiTheme="minorHAnsi"/>
                <w:b w:val="0"/>
                <w:sz w:val="22"/>
              </w:rPr>
              <w:t>DIF45</w:t>
            </w:r>
            <w:proofErr w:type="spellEnd"/>
            <w:r w:rsidRPr="008F7626">
              <w:rPr>
                <w:rFonts w:asciiTheme="minorHAnsi" w:hAnsiTheme="minorHAnsi"/>
                <w:b w:val="0"/>
                <w:sz w:val="22"/>
              </w:rPr>
              <w:t xml:space="preserve"> and circulate it to the </w:t>
            </w:r>
            <w:proofErr w:type="spellStart"/>
            <w:r w:rsidRPr="008F7626">
              <w:rPr>
                <w:rFonts w:asciiTheme="minorHAnsi" w:hAnsiTheme="minorHAnsi"/>
                <w:b w:val="0"/>
                <w:sz w:val="22"/>
              </w:rPr>
              <w:t>DIF50</w:t>
            </w:r>
            <w:proofErr w:type="spellEnd"/>
            <w:r w:rsidRPr="008F7626">
              <w:rPr>
                <w:rFonts w:asciiTheme="minorHAnsi" w:hAnsiTheme="minorHAnsi"/>
                <w:b w:val="0"/>
                <w:sz w:val="22"/>
              </w:rPr>
              <w:t xml:space="preserve"> group.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25FE9000" w14:textId="77777777" w:rsidR="00B67FD0" w:rsidRPr="008F7626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Chair</w:t>
            </w:r>
          </w:p>
        </w:tc>
        <w:tc>
          <w:tcPr>
            <w:tcW w:w="1254" w:type="pct"/>
          </w:tcPr>
          <w:p w14:paraId="31E72259" w14:textId="77777777" w:rsidR="00B67FD0" w:rsidRPr="008F7626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Completed</w:t>
            </w:r>
          </w:p>
        </w:tc>
      </w:tr>
      <w:tr w:rsidR="00B67FD0" w:rsidRPr="00310F70" w14:paraId="59FCBECB" w14:textId="77777777" w:rsidTr="008071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051FC49F" w14:textId="77777777" w:rsidR="00B67FD0" w:rsidRPr="008F7626" w:rsidRDefault="00B67FD0" w:rsidP="0080712C">
            <w:pPr>
              <w:pStyle w:val="TableText"/>
              <w:rPr>
                <w:b/>
                <w:sz w:val="22"/>
              </w:rPr>
            </w:pPr>
            <w:r w:rsidRPr="008F7626">
              <w:rPr>
                <w:b/>
                <w:sz w:val="22"/>
              </w:rPr>
              <w:t>02/02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2EC6B086" w14:textId="77777777" w:rsidR="00B67FD0" w:rsidRPr="008F7626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8F7626">
              <w:rPr>
                <w:rFonts w:asciiTheme="minorHAnsi" w:hAnsiTheme="minorHAnsi"/>
                <w:b w:val="0"/>
                <w:sz w:val="22"/>
              </w:rPr>
              <w:t xml:space="preserve">SG to investigate whether the </w:t>
            </w:r>
            <w:proofErr w:type="spellStart"/>
            <w:r w:rsidRPr="008F7626">
              <w:rPr>
                <w:rFonts w:asciiTheme="minorHAnsi" w:hAnsiTheme="minorHAnsi"/>
                <w:b w:val="0"/>
                <w:sz w:val="22"/>
              </w:rPr>
              <w:t>SECMP</w:t>
            </w:r>
            <w:proofErr w:type="spellEnd"/>
            <w:r w:rsidRPr="008F7626">
              <w:rPr>
                <w:rFonts w:asciiTheme="minorHAnsi" w:hAnsiTheme="minorHAnsi"/>
                <w:b w:val="0"/>
                <w:sz w:val="22"/>
              </w:rPr>
              <w:t xml:space="preserve"> 0046 solution could be extended to incorporate the </w:t>
            </w:r>
            <w:proofErr w:type="spellStart"/>
            <w:r w:rsidRPr="008F7626">
              <w:rPr>
                <w:rFonts w:asciiTheme="minorHAnsi" w:hAnsiTheme="minorHAnsi"/>
                <w:b w:val="0"/>
                <w:sz w:val="22"/>
              </w:rPr>
              <w:t>DIF50</w:t>
            </w:r>
            <w:proofErr w:type="spellEnd"/>
            <w:r w:rsidRPr="008F7626">
              <w:rPr>
                <w:rFonts w:asciiTheme="minorHAnsi" w:hAnsiTheme="minorHAnsi"/>
                <w:b w:val="0"/>
                <w:sz w:val="22"/>
              </w:rPr>
              <w:t xml:space="preserve"> issue.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176ED754" w14:textId="77777777" w:rsidR="00B67FD0" w:rsidRPr="008F7626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4F1033">
              <w:rPr>
                <w:b w:val="0"/>
                <w:sz w:val="22"/>
              </w:rPr>
              <w:t>Steven Gough</w:t>
            </w:r>
          </w:p>
        </w:tc>
        <w:tc>
          <w:tcPr>
            <w:tcW w:w="1254" w:type="pct"/>
          </w:tcPr>
          <w:p w14:paraId="12477268" w14:textId="0AABF488" w:rsidR="00B67FD0" w:rsidRPr="008F7626" w:rsidRDefault="00643F3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Completed</w:t>
            </w:r>
          </w:p>
        </w:tc>
      </w:tr>
      <w:tr w:rsidR="00B67FD0" w:rsidRPr="00310F70" w14:paraId="66586070" w14:textId="77777777" w:rsidTr="008071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503068BB" w14:textId="77777777" w:rsidR="00B67FD0" w:rsidRPr="008F7626" w:rsidRDefault="00B67FD0" w:rsidP="0080712C">
            <w:pPr>
              <w:pStyle w:val="TableText"/>
              <w:rPr>
                <w:b/>
                <w:sz w:val="22"/>
              </w:rPr>
            </w:pPr>
            <w:r w:rsidRPr="008F7626">
              <w:rPr>
                <w:b/>
                <w:sz w:val="22"/>
              </w:rPr>
              <w:t>02/03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6C2EB8DB" w14:textId="77777777" w:rsidR="00B67FD0" w:rsidRPr="008F7626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8F7626">
              <w:rPr>
                <w:rFonts w:asciiTheme="minorHAnsi" w:hAnsiTheme="minorHAnsi"/>
                <w:b w:val="0"/>
                <w:sz w:val="22"/>
              </w:rPr>
              <w:t>Electralink to contact BEIS and enquire what their smart meter policy is if a geographical area does not receive WAN.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57768B1D" w14:textId="77777777" w:rsidR="00B67FD0" w:rsidRPr="008F7626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ElectraLink</w:t>
            </w:r>
          </w:p>
        </w:tc>
        <w:tc>
          <w:tcPr>
            <w:tcW w:w="1254" w:type="pct"/>
          </w:tcPr>
          <w:p w14:paraId="79C3C48D" w14:textId="77777777" w:rsidR="00B67FD0" w:rsidRPr="008F7626" w:rsidRDefault="00B67FD0" w:rsidP="00807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Completed</w:t>
            </w:r>
          </w:p>
        </w:tc>
      </w:tr>
    </w:tbl>
    <w:tbl>
      <w:tblPr>
        <w:tblStyle w:val="GSTable"/>
        <w:tblW w:w="5000" w:type="pct"/>
        <w:tblInd w:w="0" w:type="dxa"/>
        <w:tblLook w:val="04A0" w:firstRow="1" w:lastRow="0" w:firstColumn="1" w:lastColumn="0" w:noHBand="0" w:noVBand="1"/>
      </w:tblPr>
      <w:tblGrid>
        <w:gridCol w:w="1412"/>
        <w:gridCol w:w="6239"/>
        <w:gridCol w:w="1983"/>
        <w:gridCol w:w="3225"/>
      </w:tblGrid>
      <w:tr w:rsidR="00B67FD0" w:rsidRPr="00310F70" w14:paraId="0F3D48A4" w14:textId="77777777" w:rsidTr="00B67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shd w:val="clear" w:color="auto" w:fill="auto"/>
            <w:noWrap/>
          </w:tcPr>
          <w:p w14:paraId="1A0B770A" w14:textId="77777777" w:rsidR="00B67FD0" w:rsidRPr="00B67FD0" w:rsidRDefault="00B67FD0" w:rsidP="00710C7E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7FD0">
              <w:rPr>
                <w:b/>
                <w:sz w:val="22"/>
              </w:rPr>
              <w:t>01</w:t>
            </w:r>
            <w:r w:rsidRPr="00B67FD0">
              <w:rPr>
                <w:rFonts w:asciiTheme="minorHAnsi" w:hAnsiTheme="minorHAnsi"/>
                <w:b/>
                <w:sz w:val="22"/>
              </w:rPr>
              <w:t>/01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shd w:val="clear" w:color="auto" w:fill="auto"/>
          </w:tcPr>
          <w:p w14:paraId="44E27082" w14:textId="77777777" w:rsidR="00B67FD0" w:rsidRPr="00B67FD0" w:rsidRDefault="00B67FD0" w:rsidP="0008278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B67FD0">
              <w:rPr>
                <w:rFonts w:asciiTheme="minorHAnsi" w:hAnsiTheme="minorHAnsi"/>
                <w:b w:val="0"/>
                <w:sz w:val="22"/>
              </w:rPr>
              <w:t xml:space="preserve">The Secretariat to formally invite colleagues from: BEIS, Energy UK, </w:t>
            </w:r>
            <w:proofErr w:type="spellStart"/>
            <w:r w:rsidRPr="00B67FD0">
              <w:rPr>
                <w:rFonts w:asciiTheme="minorHAnsi" w:hAnsiTheme="minorHAnsi"/>
                <w:b w:val="0"/>
                <w:sz w:val="22"/>
              </w:rPr>
              <w:t>Gemserv</w:t>
            </w:r>
            <w:proofErr w:type="spellEnd"/>
            <w:r w:rsidRPr="00B67FD0">
              <w:rPr>
                <w:rFonts w:asciiTheme="minorHAnsi" w:hAnsiTheme="minorHAnsi"/>
                <w:b w:val="0"/>
                <w:sz w:val="22"/>
              </w:rPr>
              <w:t>, Elexon and Ofgem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shd w:val="clear" w:color="auto" w:fill="auto"/>
          </w:tcPr>
          <w:p w14:paraId="3E02F5B5" w14:textId="77777777" w:rsidR="00B67FD0" w:rsidRPr="00B67FD0" w:rsidRDefault="00B67FD0" w:rsidP="00710C7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B67FD0">
              <w:rPr>
                <w:rFonts w:asciiTheme="minorHAnsi" w:hAnsiTheme="minorHAnsi"/>
                <w:b w:val="0"/>
                <w:sz w:val="22"/>
              </w:rPr>
              <w:t>ElectraLink</w:t>
            </w:r>
          </w:p>
        </w:tc>
        <w:tc>
          <w:tcPr>
            <w:tcW w:w="1254" w:type="pct"/>
            <w:shd w:val="clear" w:color="auto" w:fill="auto"/>
          </w:tcPr>
          <w:p w14:paraId="1298E95D" w14:textId="01D0BC2F" w:rsidR="00B67FD0" w:rsidRPr="00B67FD0" w:rsidRDefault="00643F30" w:rsidP="00710C7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Completed</w:t>
            </w:r>
          </w:p>
        </w:tc>
      </w:tr>
      <w:tr w:rsidR="00B67FD0" w:rsidRPr="00310F70" w14:paraId="04B53D70" w14:textId="77777777" w:rsidTr="0080275D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  <w:noWrap/>
          </w:tcPr>
          <w:p w14:paraId="3D18635E" w14:textId="77777777" w:rsidR="00B67FD0" w:rsidRPr="00532056" w:rsidRDefault="00B67FD0" w:rsidP="00710C7E">
            <w:pPr>
              <w:pStyle w:val="TableText"/>
              <w:rPr>
                <w:b/>
                <w:sz w:val="22"/>
              </w:rPr>
            </w:pPr>
            <w:r w:rsidRPr="00532056">
              <w:rPr>
                <w:b/>
                <w:sz w:val="22"/>
              </w:rPr>
              <w:t>01</w:t>
            </w:r>
            <w:r w:rsidRPr="00532056">
              <w:rPr>
                <w:rFonts w:asciiTheme="minorHAnsi" w:hAnsiTheme="minorHAnsi"/>
                <w:b/>
                <w:sz w:val="22"/>
              </w:rPr>
              <w:t>/02</w:t>
            </w:r>
          </w:p>
        </w:tc>
        <w:tc>
          <w:tcPr>
            <w:tcW w:w="2426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6BA8D1EE" w14:textId="77777777" w:rsidR="00B67FD0" w:rsidRPr="00532056" w:rsidRDefault="00B67FD0" w:rsidP="000827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532056">
              <w:rPr>
                <w:rFonts w:asciiTheme="minorHAnsi" w:hAnsiTheme="minorHAnsi"/>
                <w:b w:val="0"/>
                <w:sz w:val="22"/>
              </w:rPr>
              <w:t>The Secretariat to confirm the date and location of the next meeting.</w:t>
            </w:r>
          </w:p>
        </w:tc>
        <w:tc>
          <w:tcPr>
            <w:tcW w:w="771" w:type="pct"/>
            <w:tcBorders>
              <w:top w:val="single" w:sz="4" w:space="0" w:color="86AD82"/>
              <w:left w:val="single" w:sz="4" w:space="0" w:color="86AD82"/>
              <w:bottom w:val="single" w:sz="4" w:space="0" w:color="86AD82"/>
              <w:right w:val="single" w:sz="4" w:space="0" w:color="86AD82"/>
            </w:tcBorders>
          </w:tcPr>
          <w:p w14:paraId="468A8DEC" w14:textId="77777777" w:rsidR="00B67FD0" w:rsidRPr="00532056" w:rsidRDefault="00B67FD0" w:rsidP="00710C7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532056">
              <w:rPr>
                <w:rFonts w:asciiTheme="minorHAnsi" w:hAnsiTheme="minorHAnsi"/>
                <w:b w:val="0"/>
                <w:sz w:val="22"/>
              </w:rPr>
              <w:t>ElectraLink</w:t>
            </w:r>
          </w:p>
        </w:tc>
        <w:tc>
          <w:tcPr>
            <w:tcW w:w="1254" w:type="pct"/>
          </w:tcPr>
          <w:p w14:paraId="4C737751" w14:textId="77777777" w:rsidR="00B67FD0" w:rsidRPr="0080275D" w:rsidRDefault="00B67FD0" w:rsidP="00710C7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</w:tc>
      </w:tr>
    </w:tbl>
    <w:p w14:paraId="60D059FC" w14:textId="77777777" w:rsidR="00B67FD0" w:rsidRPr="00310F70" w:rsidRDefault="00B67FD0" w:rsidP="00347F76">
      <w:pPr>
        <w:pStyle w:val="GSHeading1"/>
        <w:rPr>
          <w:sz w:val="22"/>
          <w:szCs w:val="22"/>
        </w:rPr>
      </w:pPr>
    </w:p>
    <w:p w14:paraId="24B52011" w14:textId="77777777" w:rsidR="00B67FD0" w:rsidRPr="00310F70" w:rsidRDefault="00B67FD0" w:rsidP="00347F76">
      <w:pPr>
        <w:pStyle w:val="GSHeading1"/>
        <w:rPr>
          <w:sz w:val="22"/>
          <w:szCs w:val="22"/>
        </w:rPr>
      </w:pPr>
    </w:p>
    <w:p w14:paraId="59FE6D7C" w14:textId="41DF0AFB" w:rsidR="008C74C9" w:rsidRPr="00310F70" w:rsidRDefault="008C74C9" w:rsidP="00347F76">
      <w:pPr>
        <w:pStyle w:val="GSHeading1"/>
        <w:rPr>
          <w:sz w:val="22"/>
          <w:szCs w:val="22"/>
        </w:rPr>
      </w:pPr>
    </w:p>
    <w:sectPr w:rsidR="008C74C9" w:rsidRPr="00310F70" w:rsidSect="00104B5C">
      <w:headerReference w:type="first" r:id="rId9"/>
      <w:pgSz w:w="16838" w:h="11906" w:orient="landscape" w:code="9"/>
      <w:pgMar w:top="1134" w:right="2835" w:bottom="1134" w:left="1134" w:header="454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8320" w14:textId="77777777" w:rsidR="00FD30F1" w:rsidRDefault="00FD30F1" w:rsidP="00925C4F">
      <w:r>
        <w:separator/>
      </w:r>
    </w:p>
  </w:endnote>
  <w:endnote w:type="continuationSeparator" w:id="0">
    <w:p w14:paraId="34A54F9D" w14:textId="77777777" w:rsidR="00FD30F1" w:rsidRDefault="00FD30F1" w:rsidP="0092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C87F" w14:textId="77777777" w:rsidR="00FD30F1" w:rsidRDefault="00FD30F1" w:rsidP="00925C4F">
      <w:r>
        <w:separator/>
      </w:r>
    </w:p>
  </w:footnote>
  <w:footnote w:type="continuationSeparator" w:id="0">
    <w:p w14:paraId="403C5E4E" w14:textId="77777777" w:rsidR="00FD30F1" w:rsidRDefault="00FD30F1" w:rsidP="0092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68E1" w14:textId="7D708E33" w:rsidR="00F127B0" w:rsidRPr="002D067A" w:rsidRDefault="00056424" w:rsidP="00925C4F">
    <w:pPr>
      <w:pStyle w:val="Header"/>
    </w:pPr>
    <w:r w:rsidRPr="00A61E1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555A9DF" wp14:editId="3C9041F2">
          <wp:simplePos x="0" y="0"/>
          <wp:positionH relativeFrom="margin">
            <wp:align>center</wp:align>
          </wp:positionH>
          <wp:positionV relativeFrom="paragraph">
            <wp:posOffset>-67870</wp:posOffset>
          </wp:positionV>
          <wp:extent cx="6842760" cy="152971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7B0" w:rsidRPr="002D067A">
      <w:tab/>
    </w:r>
    <w:r w:rsidR="00F127B0" w:rsidRPr="002D067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426F" w14:textId="620C3722" w:rsidR="00056424" w:rsidRPr="002D067A" w:rsidRDefault="00056424" w:rsidP="00925C4F">
    <w:pPr>
      <w:pStyle w:val="Header"/>
    </w:pPr>
    <w:r w:rsidRPr="002D067A">
      <w:tab/>
    </w:r>
    <w:r w:rsidRPr="002D06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76E"/>
    <w:multiLevelType w:val="hybridMultilevel"/>
    <w:tmpl w:val="F998E5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F46E30"/>
    <w:multiLevelType w:val="multilevel"/>
    <w:tmpl w:val="83FA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pStyle w:val="GSBodyPar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20F05E0"/>
    <w:multiLevelType w:val="multilevel"/>
    <w:tmpl w:val="2B629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7350920"/>
    <w:multiLevelType w:val="multilevel"/>
    <w:tmpl w:val="6C846A30"/>
    <w:styleLink w:val="GSNum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38909F8"/>
    <w:multiLevelType w:val="hybridMultilevel"/>
    <w:tmpl w:val="589EFE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840C40"/>
    <w:multiLevelType w:val="hybridMultilevel"/>
    <w:tmpl w:val="0C6E28EA"/>
    <w:lvl w:ilvl="0" w:tplc="08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35467356"/>
    <w:multiLevelType w:val="hybridMultilevel"/>
    <w:tmpl w:val="B12A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7DAB"/>
    <w:multiLevelType w:val="hybridMultilevel"/>
    <w:tmpl w:val="A1220B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210585"/>
    <w:multiLevelType w:val="multilevel"/>
    <w:tmpl w:val="33385960"/>
    <w:lvl w:ilvl="0">
      <w:start w:val="1"/>
      <w:numFmt w:val="decimal"/>
      <w:pStyle w:val="GSHeading1withnumb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8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5C"/>
    <w:rsid w:val="0000756D"/>
    <w:rsid w:val="00010BAF"/>
    <w:rsid w:val="00024582"/>
    <w:rsid w:val="000263E4"/>
    <w:rsid w:val="00037D54"/>
    <w:rsid w:val="00037E69"/>
    <w:rsid w:val="000423ED"/>
    <w:rsid w:val="00042507"/>
    <w:rsid w:val="00043863"/>
    <w:rsid w:val="00044E50"/>
    <w:rsid w:val="0004591A"/>
    <w:rsid w:val="00045BB0"/>
    <w:rsid w:val="000524E8"/>
    <w:rsid w:val="00056424"/>
    <w:rsid w:val="000638B7"/>
    <w:rsid w:val="00064E3C"/>
    <w:rsid w:val="000656E9"/>
    <w:rsid w:val="00067545"/>
    <w:rsid w:val="00067A63"/>
    <w:rsid w:val="000744C3"/>
    <w:rsid w:val="000763F1"/>
    <w:rsid w:val="00081AB3"/>
    <w:rsid w:val="00082783"/>
    <w:rsid w:val="00082F4D"/>
    <w:rsid w:val="00084880"/>
    <w:rsid w:val="00087277"/>
    <w:rsid w:val="00094500"/>
    <w:rsid w:val="0009619C"/>
    <w:rsid w:val="00097B13"/>
    <w:rsid w:val="000A09FA"/>
    <w:rsid w:val="000A118D"/>
    <w:rsid w:val="000A1998"/>
    <w:rsid w:val="000A2FA5"/>
    <w:rsid w:val="000A589D"/>
    <w:rsid w:val="000A63B4"/>
    <w:rsid w:val="000A66F0"/>
    <w:rsid w:val="000A6B4D"/>
    <w:rsid w:val="000B2B4B"/>
    <w:rsid w:val="000B7C42"/>
    <w:rsid w:val="000C149F"/>
    <w:rsid w:val="000C2EA0"/>
    <w:rsid w:val="000C4329"/>
    <w:rsid w:val="000C520F"/>
    <w:rsid w:val="000C5B30"/>
    <w:rsid w:val="000C7E26"/>
    <w:rsid w:val="000D2210"/>
    <w:rsid w:val="000D2DAE"/>
    <w:rsid w:val="000D49AC"/>
    <w:rsid w:val="000D4D1C"/>
    <w:rsid w:val="000D699C"/>
    <w:rsid w:val="000E0170"/>
    <w:rsid w:val="000F0F43"/>
    <w:rsid w:val="000F3368"/>
    <w:rsid w:val="000F7A79"/>
    <w:rsid w:val="000F7C44"/>
    <w:rsid w:val="00102586"/>
    <w:rsid w:val="00104014"/>
    <w:rsid w:val="00104B5C"/>
    <w:rsid w:val="00104BFA"/>
    <w:rsid w:val="0010515D"/>
    <w:rsid w:val="00105EA4"/>
    <w:rsid w:val="00106D35"/>
    <w:rsid w:val="00112CF4"/>
    <w:rsid w:val="001146A1"/>
    <w:rsid w:val="00120516"/>
    <w:rsid w:val="00120A61"/>
    <w:rsid w:val="00121DF6"/>
    <w:rsid w:val="00123293"/>
    <w:rsid w:val="0012357D"/>
    <w:rsid w:val="00124A3D"/>
    <w:rsid w:val="00127673"/>
    <w:rsid w:val="001313AC"/>
    <w:rsid w:val="00131515"/>
    <w:rsid w:val="001356D5"/>
    <w:rsid w:val="00137A2C"/>
    <w:rsid w:val="00141BC0"/>
    <w:rsid w:val="00143906"/>
    <w:rsid w:val="001474E6"/>
    <w:rsid w:val="00150CFB"/>
    <w:rsid w:val="00155A1B"/>
    <w:rsid w:val="00157BD0"/>
    <w:rsid w:val="00163DE1"/>
    <w:rsid w:val="00165147"/>
    <w:rsid w:val="00166012"/>
    <w:rsid w:val="001725F9"/>
    <w:rsid w:val="0017657A"/>
    <w:rsid w:val="00180639"/>
    <w:rsid w:val="00180FD7"/>
    <w:rsid w:val="00181872"/>
    <w:rsid w:val="001837BD"/>
    <w:rsid w:val="00186A1E"/>
    <w:rsid w:val="001933B5"/>
    <w:rsid w:val="001957B8"/>
    <w:rsid w:val="001A1BE7"/>
    <w:rsid w:val="001A1DD6"/>
    <w:rsid w:val="001A1F32"/>
    <w:rsid w:val="001A4B38"/>
    <w:rsid w:val="001A70B2"/>
    <w:rsid w:val="001A7F1A"/>
    <w:rsid w:val="001B0E6D"/>
    <w:rsid w:val="001B2CA3"/>
    <w:rsid w:val="001B5CF2"/>
    <w:rsid w:val="001B68CA"/>
    <w:rsid w:val="001C090C"/>
    <w:rsid w:val="001C58E0"/>
    <w:rsid w:val="001D12C5"/>
    <w:rsid w:val="001D17AC"/>
    <w:rsid w:val="001D3A81"/>
    <w:rsid w:val="001D42D8"/>
    <w:rsid w:val="001D4493"/>
    <w:rsid w:val="001D61E2"/>
    <w:rsid w:val="001D664E"/>
    <w:rsid w:val="001D7B34"/>
    <w:rsid w:val="001E2F8D"/>
    <w:rsid w:val="001E34CC"/>
    <w:rsid w:val="001E54A5"/>
    <w:rsid w:val="001F20EE"/>
    <w:rsid w:val="001F28A5"/>
    <w:rsid w:val="001F2D05"/>
    <w:rsid w:val="001F5E62"/>
    <w:rsid w:val="00201002"/>
    <w:rsid w:val="00201E21"/>
    <w:rsid w:val="00203AD3"/>
    <w:rsid w:val="002069E0"/>
    <w:rsid w:val="00212BD4"/>
    <w:rsid w:val="00213BD4"/>
    <w:rsid w:val="00213FE2"/>
    <w:rsid w:val="002149E7"/>
    <w:rsid w:val="00217420"/>
    <w:rsid w:val="0022236E"/>
    <w:rsid w:val="00227BDF"/>
    <w:rsid w:val="0023060C"/>
    <w:rsid w:val="00232265"/>
    <w:rsid w:val="00232FD2"/>
    <w:rsid w:val="00236409"/>
    <w:rsid w:val="00246403"/>
    <w:rsid w:val="00252878"/>
    <w:rsid w:val="0025328A"/>
    <w:rsid w:val="002542A1"/>
    <w:rsid w:val="00255873"/>
    <w:rsid w:val="002642D2"/>
    <w:rsid w:val="00271E13"/>
    <w:rsid w:val="00272CF3"/>
    <w:rsid w:val="002731AA"/>
    <w:rsid w:val="002754FA"/>
    <w:rsid w:val="00275AB3"/>
    <w:rsid w:val="00277673"/>
    <w:rsid w:val="00280E44"/>
    <w:rsid w:val="0028383D"/>
    <w:rsid w:val="002846A1"/>
    <w:rsid w:val="002869AC"/>
    <w:rsid w:val="00293029"/>
    <w:rsid w:val="00294234"/>
    <w:rsid w:val="0029641E"/>
    <w:rsid w:val="00297C39"/>
    <w:rsid w:val="002A0F3D"/>
    <w:rsid w:val="002A1060"/>
    <w:rsid w:val="002A44B9"/>
    <w:rsid w:val="002A571A"/>
    <w:rsid w:val="002B3926"/>
    <w:rsid w:val="002C03D2"/>
    <w:rsid w:val="002C0A91"/>
    <w:rsid w:val="002C4309"/>
    <w:rsid w:val="002D067A"/>
    <w:rsid w:val="002E2CB2"/>
    <w:rsid w:val="002E464C"/>
    <w:rsid w:val="002E57EE"/>
    <w:rsid w:val="002E647A"/>
    <w:rsid w:val="002F0756"/>
    <w:rsid w:val="002F45A4"/>
    <w:rsid w:val="002F4EF9"/>
    <w:rsid w:val="002F5913"/>
    <w:rsid w:val="002F645A"/>
    <w:rsid w:val="003052EA"/>
    <w:rsid w:val="00310F70"/>
    <w:rsid w:val="00312CC5"/>
    <w:rsid w:val="003147BB"/>
    <w:rsid w:val="00314C73"/>
    <w:rsid w:val="0031541D"/>
    <w:rsid w:val="00315DF8"/>
    <w:rsid w:val="0031725C"/>
    <w:rsid w:val="00323C07"/>
    <w:rsid w:val="003338A6"/>
    <w:rsid w:val="003364B0"/>
    <w:rsid w:val="00344640"/>
    <w:rsid w:val="00347792"/>
    <w:rsid w:val="00347F76"/>
    <w:rsid w:val="00350673"/>
    <w:rsid w:val="003514A0"/>
    <w:rsid w:val="00351803"/>
    <w:rsid w:val="00352D14"/>
    <w:rsid w:val="00353512"/>
    <w:rsid w:val="00355104"/>
    <w:rsid w:val="00361D1E"/>
    <w:rsid w:val="00364AA9"/>
    <w:rsid w:val="0036768A"/>
    <w:rsid w:val="003713DD"/>
    <w:rsid w:val="00372710"/>
    <w:rsid w:val="00375B10"/>
    <w:rsid w:val="00377883"/>
    <w:rsid w:val="00392B12"/>
    <w:rsid w:val="00393B4A"/>
    <w:rsid w:val="003A2F18"/>
    <w:rsid w:val="003A6407"/>
    <w:rsid w:val="003A6589"/>
    <w:rsid w:val="003A7C7B"/>
    <w:rsid w:val="003B154D"/>
    <w:rsid w:val="003B4DD1"/>
    <w:rsid w:val="003B716B"/>
    <w:rsid w:val="003C2002"/>
    <w:rsid w:val="003C3363"/>
    <w:rsid w:val="003D0F16"/>
    <w:rsid w:val="003D37DE"/>
    <w:rsid w:val="003D3BB9"/>
    <w:rsid w:val="003D4730"/>
    <w:rsid w:val="003D57E3"/>
    <w:rsid w:val="003E16F4"/>
    <w:rsid w:val="003E2549"/>
    <w:rsid w:val="003E6303"/>
    <w:rsid w:val="003F26C1"/>
    <w:rsid w:val="003F3EB4"/>
    <w:rsid w:val="003F5E9E"/>
    <w:rsid w:val="00401927"/>
    <w:rsid w:val="004060CA"/>
    <w:rsid w:val="00407D19"/>
    <w:rsid w:val="00412A94"/>
    <w:rsid w:val="00413FDA"/>
    <w:rsid w:val="0041454D"/>
    <w:rsid w:val="00415706"/>
    <w:rsid w:val="00420BBE"/>
    <w:rsid w:val="00427F9B"/>
    <w:rsid w:val="004308DC"/>
    <w:rsid w:val="00432E41"/>
    <w:rsid w:val="00433970"/>
    <w:rsid w:val="0043588E"/>
    <w:rsid w:val="00435DDB"/>
    <w:rsid w:val="00436493"/>
    <w:rsid w:val="00436DB5"/>
    <w:rsid w:val="00440A06"/>
    <w:rsid w:val="00443521"/>
    <w:rsid w:val="00444D72"/>
    <w:rsid w:val="004547CB"/>
    <w:rsid w:val="004551D7"/>
    <w:rsid w:val="004560F4"/>
    <w:rsid w:val="00457684"/>
    <w:rsid w:val="00463230"/>
    <w:rsid w:val="004745AE"/>
    <w:rsid w:val="00474B61"/>
    <w:rsid w:val="0048009E"/>
    <w:rsid w:val="0048026C"/>
    <w:rsid w:val="004817B5"/>
    <w:rsid w:val="0048254E"/>
    <w:rsid w:val="004827B4"/>
    <w:rsid w:val="00485941"/>
    <w:rsid w:val="00491874"/>
    <w:rsid w:val="00494C10"/>
    <w:rsid w:val="004957FF"/>
    <w:rsid w:val="00495D71"/>
    <w:rsid w:val="004A0469"/>
    <w:rsid w:val="004A52DD"/>
    <w:rsid w:val="004A65FF"/>
    <w:rsid w:val="004B0121"/>
    <w:rsid w:val="004B0DD0"/>
    <w:rsid w:val="004B46AA"/>
    <w:rsid w:val="004B51F6"/>
    <w:rsid w:val="004C62C9"/>
    <w:rsid w:val="004C7B4F"/>
    <w:rsid w:val="004D4485"/>
    <w:rsid w:val="004D5ADE"/>
    <w:rsid w:val="004F1033"/>
    <w:rsid w:val="004F3D9B"/>
    <w:rsid w:val="004F58C0"/>
    <w:rsid w:val="005008D3"/>
    <w:rsid w:val="00500A0A"/>
    <w:rsid w:val="00503FB0"/>
    <w:rsid w:val="005044A1"/>
    <w:rsid w:val="0050516E"/>
    <w:rsid w:val="0050664B"/>
    <w:rsid w:val="0051330B"/>
    <w:rsid w:val="00514766"/>
    <w:rsid w:val="00517B80"/>
    <w:rsid w:val="00520D7E"/>
    <w:rsid w:val="005233B7"/>
    <w:rsid w:val="00524120"/>
    <w:rsid w:val="0052676E"/>
    <w:rsid w:val="00526F23"/>
    <w:rsid w:val="00532056"/>
    <w:rsid w:val="0053385F"/>
    <w:rsid w:val="0053503B"/>
    <w:rsid w:val="00545F4E"/>
    <w:rsid w:val="005542C5"/>
    <w:rsid w:val="00554FA3"/>
    <w:rsid w:val="0055589D"/>
    <w:rsid w:val="00560D02"/>
    <w:rsid w:val="00560F32"/>
    <w:rsid w:val="00562E9E"/>
    <w:rsid w:val="00566DEC"/>
    <w:rsid w:val="00567F75"/>
    <w:rsid w:val="005706BB"/>
    <w:rsid w:val="00575E06"/>
    <w:rsid w:val="00577D5E"/>
    <w:rsid w:val="00583CFD"/>
    <w:rsid w:val="005847DB"/>
    <w:rsid w:val="005851B8"/>
    <w:rsid w:val="005856C6"/>
    <w:rsid w:val="00586917"/>
    <w:rsid w:val="005906CE"/>
    <w:rsid w:val="00592605"/>
    <w:rsid w:val="00593EC1"/>
    <w:rsid w:val="00594C54"/>
    <w:rsid w:val="005A0ABE"/>
    <w:rsid w:val="005A264C"/>
    <w:rsid w:val="005A35E1"/>
    <w:rsid w:val="005A53A3"/>
    <w:rsid w:val="005A6A45"/>
    <w:rsid w:val="005A6D44"/>
    <w:rsid w:val="005B0098"/>
    <w:rsid w:val="005B6AD8"/>
    <w:rsid w:val="005C0127"/>
    <w:rsid w:val="005C05F3"/>
    <w:rsid w:val="005C0B3B"/>
    <w:rsid w:val="005C0B8D"/>
    <w:rsid w:val="005C478D"/>
    <w:rsid w:val="005C603A"/>
    <w:rsid w:val="005D1395"/>
    <w:rsid w:val="005E1036"/>
    <w:rsid w:val="005E1501"/>
    <w:rsid w:val="005E65C1"/>
    <w:rsid w:val="005F2CD5"/>
    <w:rsid w:val="005F3AB1"/>
    <w:rsid w:val="00600716"/>
    <w:rsid w:val="00601BB6"/>
    <w:rsid w:val="00604FD3"/>
    <w:rsid w:val="00610C17"/>
    <w:rsid w:val="00611689"/>
    <w:rsid w:val="006137BC"/>
    <w:rsid w:val="00615C11"/>
    <w:rsid w:val="00616707"/>
    <w:rsid w:val="00616836"/>
    <w:rsid w:val="006309B0"/>
    <w:rsid w:val="00630C5D"/>
    <w:rsid w:val="00633D0E"/>
    <w:rsid w:val="00634F0D"/>
    <w:rsid w:val="00635942"/>
    <w:rsid w:val="00641C9D"/>
    <w:rsid w:val="00643F30"/>
    <w:rsid w:val="00650E84"/>
    <w:rsid w:val="00651BDD"/>
    <w:rsid w:val="00655665"/>
    <w:rsid w:val="0065592A"/>
    <w:rsid w:val="00657689"/>
    <w:rsid w:val="006617B3"/>
    <w:rsid w:val="00662C0E"/>
    <w:rsid w:val="006630F5"/>
    <w:rsid w:val="006705EA"/>
    <w:rsid w:val="00670BF2"/>
    <w:rsid w:val="006716EB"/>
    <w:rsid w:val="00672283"/>
    <w:rsid w:val="00672929"/>
    <w:rsid w:val="006738A0"/>
    <w:rsid w:val="00675B1E"/>
    <w:rsid w:val="00681A28"/>
    <w:rsid w:val="00682306"/>
    <w:rsid w:val="0068374C"/>
    <w:rsid w:val="00685A81"/>
    <w:rsid w:val="00691B02"/>
    <w:rsid w:val="00691C5A"/>
    <w:rsid w:val="00692759"/>
    <w:rsid w:val="00693FF6"/>
    <w:rsid w:val="00695BF3"/>
    <w:rsid w:val="0069641C"/>
    <w:rsid w:val="00697848"/>
    <w:rsid w:val="006A5635"/>
    <w:rsid w:val="006A5954"/>
    <w:rsid w:val="006B1753"/>
    <w:rsid w:val="006D35BF"/>
    <w:rsid w:val="006D454F"/>
    <w:rsid w:val="006E10BD"/>
    <w:rsid w:val="006E34C8"/>
    <w:rsid w:val="006E4C51"/>
    <w:rsid w:val="006F3AFE"/>
    <w:rsid w:val="006F3CB9"/>
    <w:rsid w:val="006F5E86"/>
    <w:rsid w:val="00701962"/>
    <w:rsid w:val="007106AE"/>
    <w:rsid w:val="00710905"/>
    <w:rsid w:val="00710C7E"/>
    <w:rsid w:val="00711F5D"/>
    <w:rsid w:val="0071343E"/>
    <w:rsid w:val="00716C69"/>
    <w:rsid w:val="0072415C"/>
    <w:rsid w:val="00730D7D"/>
    <w:rsid w:val="00731710"/>
    <w:rsid w:val="0073211E"/>
    <w:rsid w:val="0074191B"/>
    <w:rsid w:val="007435C0"/>
    <w:rsid w:val="00745A1B"/>
    <w:rsid w:val="00752DAE"/>
    <w:rsid w:val="007578CD"/>
    <w:rsid w:val="007618C4"/>
    <w:rsid w:val="00762869"/>
    <w:rsid w:val="0076383D"/>
    <w:rsid w:val="00766BA2"/>
    <w:rsid w:val="00773240"/>
    <w:rsid w:val="00773252"/>
    <w:rsid w:val="00775E3A"/>
    <w:rsid w:val="0077790B"/>
    <w:rsid w:val="00786A88"/>
    <w:rsid w:val="00792038"/>
    <w:rsid w:val="0079658D"/>
    <w:rsid w:val="007A340A"/>
    <w:rsid w:val="007A3B44"/>
    <w:rsid w:val="007A5B73"/>
    <w:rsid w:val="007A6748"/>
    <w:rsid w:val="007B16CA"/>
    <w:rsid w:val="007B365C"/>
    <w:rsid w:val="007B3DA9"/>
    <w:rsid w:val="007B617B"/>
    <w:rsid w:val="007B693D"/>
    <w:rsid w:val="007B6F17"/>
    <w:rsid w:val="007C4162"/>
    <w:rsid w:val="007C5896"/>
    <w:rsid w:val="007C730C"/>
    <w:rsid w:val="007D0E83"/>
    <w:rsid w:val="007D22CF"/>
    <w:rsid w:val="007D2570"/>
    <w:rsid w:val="007E4697"/>
    <w:rsid w:val="007E56A3"/>
    <w:rsid w:val="007E5B2D"/>
    <w:rsid w:val="007E688D"/>
    <w:rsid w:val="007E7A8D"/>
    <w:rsid w:val="007E7BDB"/>
    <w:rsid w:val="007F2D22"/>
    <w:rsid w:val="007F4492"/>
    <w:rsid w:val="007F6A35"/>
    <w:rsid w:val="0080275D"/>
    <w:rsid w:val="00804C4C"/>
    <w:rsid w:val="008100D6"/>
    <w:rsid w:val="0081118A"/>
    <w:rsid w:val="008147C2"/>
    <w:rsid w:val="0081566E"/>
    <w:rsid w:val="00817F12"/>
    <w:rsid w:val="008236E0"/>
    <w:rsid w:val="00823CB5"/>
    <w:rsid w:val="00826C95"/>
    <w:rsid w:val="008313BC"/>
    <w:rsid w:val="008317FB"/>
    <w:rsid w:val="00831913"/>
    <w:rsid w:val="00841534"/>
    <w:rsid w:val="00842BB3"/>
    <w:rsid w:val="0084657C"/>
    <w:rsid w:val="008609EF"/>
    <w:rsid w:val="008613FC"/>
    <w:rsid w:val="00862B6A"/>
    <w:rsid w:val="008677AE"/>
    <w:rsid w:val="00867F59"/>
    <w:rsid w:val="00870C0B"/>
    <w:rsid w:val="00871246"/>
    <w:rsid w:val="00874754"/>
    <w:rsid w:val="008768EA"/>
    <w:rsid w:val="008866A9"/>
    <w:rsid w:val="00891246"/>
    <w:rsid w:val="008954EA"/>
    <w:rsid w:val="008A44CB"/>
    <w:rsid w:val="008A5DB4"/>
    <w:rsid w:val="008B15DB"/>
    <w:rsid w:val="008B17FD"/>
    <w:rsid w:val="008B2AD9"/>
    <w:rsid w:val="008B2E20"/>
    <w:rsid w:val="008B3195"/>
    <w:rsid w:val="008B4406"/>
    <w:rsid w:val="008B5D10"/>
    <w:rsid w:val="008C150C"/>
    <w:rsid w:val="008C3371"/>
    <w:rsid w:val="008C6C50"/>
    <w:rsid w:val="008C74C9"/>
    <w:rsid w:val="008D0AA2"/>
    <w:rsid w:val="008D20A8"/>
    <w:rsid w:val="008D21E6"/>
    <w:rsid w:val="008D53D7"/>
    <w:rsid w:val="008E09B7"/>
    <w:rsid w:val="008E1887"/>
    <w:rsid w:val="008E5B5C"/>
    <w:rsid w:val="008E7614"/>
    <w:rsid w:val="008E7F25"/>
    <w:rsid w:val="008F104A"/>
    <w:rsid w:val="008F21E4"/>
    <w:rsid w:val="008F227C"/>
    <w:rsid w:val="008F6CDE"/>
    <w:rsid w:val="009007D6"/>
    <w:rsid w:val="0090263B"/>
    <w:rsid w:val="00906827"/>
    <w:rsid w:val="0091149D"/>
    <w:rsid w:val="0091785D"/>
    <w:rsid w:val="00917C41"/>
    <w:rsid w:val="00921119"/>
    <w:rsid w:val="0092253D"/>
    <w:rsid w:val="0092302A"/>
    <w:rsid w:val="00923D40"/>
    <w:rsid w:val="0092426B"/>
    <w:rsid w:val="00925C4F"/>
    <w:rsid w:val="00927D0F"/>
    <w:rsid w:val="0093099B"/>
    <w:rsid w:val="009363CE"/>
    <w:rsid w:val="00942809"/>
    <w:rsid w:val="00942F55"/>
    <w:rsid w:val="0094580B"/>
    <w:rsid w:val="00946C29"/>
    <w:rsid w:val="00947F18"/>
    <w:rsid w:val="00950017"/>
    <w:rsid w:val="00950A50"/>
    <w:rsid w:val="0095116C"/>
    <w:rsid w:val="0095554B"/>
    <w:rsid w:val="0096038D"/>
    <w:rsid w:val="0096369A"/>
    <w:rsid w:val="00965BE7"/>
    <w:rsid w:val="00965D22"/>
    <w:rsid w:val="00971901"/>
    <w:rsid w:val="00974FCD"/>
    <w:rsid w:val="009758F2"/>
    <w:rsid w:val="00984ACC"/>
    <w:rsid w:val="00990B7D"/>
    <w:rsid w:val="009923A6"/>
    <w:rsid w:val="009924A4"/>
    <w:rsid w:val="009931ED"/>
    <w:rsid w:val="00996AB1"/>
    <w:rsid w:val="00997DAD"/>
    <w:rsid w:val="009A0817"/>
    <w:rsid w:val="009A0AF6"/>
    <w:rsid w:val="009A2723"/>
    <w:rsid w:val="009B3B09"/>
    <w:rsid w:val="009B538B"/>
    <w:rsid w:val="009C0A4E"/>
    <w:rsid w:val="009C34B5"/>
    <w:rsid w:val="009C3C3D"/>
    <w:rsid w:val="009C7A33"/>
    <w:rsid w:val="009D0BA5"/>
    <w:rsid w:val="009D2624"/>
    <w:rsid w:val="009D75E1"/>
    <w:rsid w:val="009E3A80"/>
    <w:rsid w:val="009E6325"/>
    <w:rsid w:val="009E669A"/>
    <w:rsid w:val="009F0891"/>
    <w:rsid w:val="009F1286"/>
    <w:rsid w:val="009F40B5"/>
    <w:rsid w:val="009F4883"/>
    <w:rsid w:val="009F73EA"/>
    <w:rsid w:val="00A01DB0"/>
    <w:rsid w:val="00A060D4"/>
    <w:rsid w:val="00A12B57"/>
    <w:rsid w:val="00A157E8"/>
    <w:rsid w:val="00A22B97"/>
    <w:rsid w:val="00A23FFC"/>
    <w:rsid w:val="00A2407D"/>
    <w:rsid w:val="00A252FE"/>
    <w:rsid w:val="00A2631D"/>
    <w:rsid w:val="00A30170"/>
    <w:rsid w:val="00A35ED5"/>
    <w:rsid w:val="00A3602E"/>
    <w:rsid w:val="00A3618E"/>
    <w:rsid w:val="00A409CD"/>
    <w:rsid w:val="00A417F1"/>
    <w:rsid w:val="00A51937"/>
    <w:rsid w:val="00A551CE"/>
    <w:rsid w:val="00A558C1"/>
    <w:rsid w:val="00A56FED"/>
    <w:rsid w:val="00A61E19"/>
    <w:rsid w:val="00A659F2"/>
    <w:rsid w:val="00A75922"/>
    <w:rsid w:val="00A766D8"/>
    <w:rsid w:val="00A77F7F"/>
    <w:rsid w:val="00A838B0"/>
    <w:rsid w:val="00A83D27"/>
    <w:rsid w:val="00A853A8"/>
    <w:rsid w:val="00A85939"/>
    <w:rsid w:val="00A87971"/>
    <w:rsid w:val="00A9035D"/>
    <w:rsid w:val="00A92BB4"/>
    <w:rsid w:val="00A95777"/>
    <w:rsid w:val="00AA34AF"/>
    <w:rsid w:val="00AA5CC4"/>
    <w:rsid w:val="00AA6003"/>
    <w:rsid w:val="00AB059D"/>
    <w:rsid w:val="00AB72D5"/>
    <w:rsid w:val="00AB79FA"/>
    <w:rsid w:val="00AC0032"/>
    <w:rsid w:val="00AC6D1D"/>
    <w:rsid w:val="00AD3AEF"/>
    <w:rsid w:val="00AF30F7"/>
    <w:rsid w:val="00B03225"/>
    <w:rsid w:val="00B04A48"/>
    <w:rsid w:val="00B0594C"/>
    <w:rsid w:val="00B11582"/>
    <w:rsid w:val="00B13D62"/>
    <w:rsid w:val="00B17F5E"/>
    <w:rsid w:val="00B203E5"/>
    <w:rsid w:val="00B270D6"/>
    <w:rsid w:val="00B304CF"/>
    <w:rsid w:val="00B42154"/>
    <w:rsid w:val="00B47562"/>
    <w:rsid w:val="00B516F1"/>
    <w:rsid w:val="00B544CB"/>
    <w:rsid w:val="00B61151"/>
    <w:rsid w:val="00B619F1"/>
    <w:rsid w:val="00B640C9"/>
    <w:rsid w:val="00B67520"/>
    <w:rsid w:val="00B67FD0"/>
    <w:rsid w:val="00B7211C"/>
    <w:rsid w:val="00B7578A"/>
    <w:rsid w:val="00B776AC"/>
    <w:rsid w:val="00B776CC"/>
    <w:rsid w:val="00B827B5"/>
    <w:rsid w:val="00B8317B"/>
    <w:rsid w:val="00B86B01"/>
    <w:rsid w:val="00B90BC0"/>
    <w:rsid w:val="00B9139E"/>
    <w:rsid w:val="00B93065"/>
    <w:rsid w:val="00B94AA9"/>
    <w:rsid w:val="00B9563D"/>
    <w:rsid w:val="00B977AF"/>
    <w:rsid w:val="00BA312A"/>
    <w:rsid w:val="00BA4598"/>
    <w:rsid w:val="00BA7BB8"/>
    <w:rsid w:val="00BB0CCF"/>
    <w:rsid w:val="00BB13A1"/>
    <w:rsid w:val="00BB51C2"/>
    <w:rsid w:val="00BB77C0"/>
    <w:rsid w:val="00BC3907"/>
    <w:rsid w:val="00BC410B"/>
    <w:rsid w:val="00BC7212"/>
    <w:rsid w:val="00BC73A2"/>
    <w:rsid w:val="00BC7AFE"/>
    <w:rsid w:val="00BD374E"/>
    <w:rsid w:val="00BD4133"/>
    <w:rsid w:val="00BD784C"/>
    <w:rsid w:val="00BE4FA7"/>
    <w:rsid w:val="00BF117A"/>
    <w:rsid w:val="00BF749C"/>
    <w:rsid w:val="00BF7C91"/>
    <w:rsid w:val="00C0099E"/>
    <w:rsid w:val="00C015F5"/>
    <w:rsid w:val="00C04A58"/>
    <w:rsid w:val="00C147AB"/>
    <w:rsid w:val="00C156F0"/>
    <w:rsid w:val="00C160BE"/>
    <w:rsid w:val="00C20DC8"/>
    <w:rsid w:val="00C22CA7"/>
    <w:rsid w:val="00C22DCA"/>
    <w:rsid w:val="00C34ACB"/>
    <w:rsid w:val="00C35F69"/>
    <w:rsid w:val="00C3683D"/>
    <w:rsid w:val="00C40FD7"/>
    <w:rsid w:val="00C42CB1"/>
    <w:rsid w:val="00C46C3C"/>
    <w:rsid w:val="00C54AAE"/>
    <w:rsid w:val="00C56033"/>
    <w:rsid w:val="00C64C93"/>
    <w:rsid w:val="00C72443"/>
    <w:rsid w:val="00C75238"/>
    <w:rsid w:val="00C8160F"/>
    <w:rsid w:val="00C84E3A"/>
    <w:rsid w:val="00CA1810"/>
    <w:rsid w:val="00CA1C0C"/>
    <w:rsid w:val="00CA3D52"/>
    <w:rsid w:val="00CA4EA0"/>
    <w:rsid w:val="00CC1225"/>
    <w:rsid w:val="00CD32D4"/>
    <w:rsid w:val="00CD5E01"/>
    <w:rsid w:val="00CD6F2B"/>
    <w:rsid w:val="00CE21D8"/>
    <w:rsid w:val="00CE741B"/>
    <w:rsid w:val="00CE76D9"/>
    <w:rsid w:val="00CF026A"/>
    <w:rsid w:val="00CF1ADB"/>
    <w:rsid w:val="00CF5C8D"/>
    <w:rsid w:val="00CF6FA8"/>
    <w:rsid w:val="00D120ED"/>
    <w:rsid w:val="00D1257C"/>
    <w:rsid w:val="00D166A1"/>
    <w:rsid w:val="00D204DC"/>
    <w:rsid w:val="00D31679"/>
    <w:rsid w:val="00D34329"/>
    <w:rsid w:val="00D35043"/>
    <w:rsid w:val="00D35617"/>
    <w:rsid w:val="00D441ED"/>
    <w:rsid w:val="00D4654D"/>
    <w:rsid w:val="00D50761"/>
    <w:rsid w:val="00D52DB1"/>
    <w:rsid w:val="00D5542E"/>
    <w:rsid w:val="00D60A4A"/>
    <w:rsid w:val="00D64FB2"/>
    <w:rsid w:val="00D74F27"/>
    <w:rsid w:val="00D77D38"/>
    <w:rsid w:val="00D80EDF"/>
    <w:rsid w:val="00D816CB"/>
    <w:rsid w:val="00D8189E"/>
    <w:rsid w:val="00D82809"/>
    <w:rsid w:val="00D91367"/>
    <w:rsid w:val="00D91826"/>
    <w:rsid w:val="00D91AD3"/>
    <w:rsid w:val="00D968D8"/>
    <w:rsid w:val="00D97A73"/>
    <w:rsid w:val="00DA1496"/>
    <w:rsid w:val="00DA506A"/>
    <w:rsid w:val="00DA5ED7"/>
    <w:rsid w:val="00DA66EC"/>
    <w:rsid w:val="00DB24EF"/>
    <w:rsid w:val="00DB3179"/>
    <w:rsid w:val="00DB72ED"/>
    <w:rsid w:val="00DC00A3"/>
    <w:rsid w:val="00DC130F"/>
    <w:rsid w:val="00DC2144"/>
    <w:rsid w:val="00DC29CD"/>
    <w:rsid w:val="00DC6660"/>
    <w:rsid w:val="00DD03D9"/>
    <w:rsid w:val="00DD2DCB"/>
    <w:rsid w:val="00DD6654"/>
    <w:rsid w:val="00DE5AB2"/>
    <w:rsid w:val="00DE62B2"/>
    <w:rsid w:val="00DE6B60"/>
    <w:rsid w:val="00DF1F10"/>
    <w:rsid w:val="00DF7E79"/>
    <w:rsid w:val="00E003CF"/>
    <w:rsid w:val="00E048C8"/>
    <w:rsid w:val="00E10CB6"/>
    <w:rsid w:val="00E154A9"/>
    <w:rsid w:val="00E1759C"/>
    <w:rsid w:val="00E23172"/>
    <w:rsid w:val="00E56C30"/>
    <w:rsid w:val="00E62008"/>
    <w:rsid w:val="00E64BBA"/>
    <w:rsid w:val="00E66364"/>
    <w:rsid w:val="00E67373"/>
    <w:rsid w:val="00E67F66"/>
    <w:rsid w:val="00E71CA3"/>
    <w:rsid w:val="00E82645"/>
    <w:rsid w:val="00E84388"/>
    <w:rsid w:val="00E87202"/>
    <w:rsid w:val="00E90567"/>
    <w:rsid w:val="00EA28BF"/>
    <w:rsid w:val="00EA4203"/>
    <w:rsid w:val="00EA45B5"/>
    <w:rsid w:val="00EA49FA"/>
    <w:rsid w:val="00EA51D2"/>
    <w:rsid w:val="00EB5DE0"/>
    <w:rsid w:val="00EC5B0F"/>
    <w:rsid w:val="00ED0F35"/>
    <w:rsid w:val="00ED2EDD"/>
    <w:rsid w:val="00ED3A24"/>
    <w:rsid w:val="00ED49A4"/>
    <w:rsid w:val="00ED76E1"/>
    <w:rsid w:val="00ED786E"/>
    <w:rsid w:val="00EE3F75"/>
    <w:rsid w:val="00EE5405"/>
    <w:rsid w:val="00EF2FB7"/>
    <w:rsid w:val="00F003F9"/>
    <w:rsid w:val="00F00BEB"/>
    <w:rsid w:val="00F03A24"/>
    <w:rsid w:val="00F0605B"/>
    <w:rsid w:val="00F067EE"/>
    <w:rsid w:val="00F127B0"/>
    <w:rsid w:val="00F14582"/>
    <w:rsid w:val="00F15C38"/>
    <w:rsid w:val="00F16AD5"/>
    <w:rsid w:val="00F251E3"/>
    <w:rsid w:val="00F25632"/>
    <w:rsid w:val="00F30B09"/>
    <w:rsid w:val="00F33F89"/>
    <w:rsid w:val="00F358A4"/>
    <w:rsid w:val="00F40C25"/>
    <w:rsid w:val="00F45528"/>
    <w:rsid w:val="00F50194"/>
    <w:rsid w:val="00F51D48"/>
    <w:rsid w:val="00F6630E"/>
    <w:rsid w:val="00F703B0"/>
    <w:rsid w:val="00F72B0E"/>
    <w:rsid w:val="00F7656B"/>
    <w:rsid w:val="00F80BFA"/>
    <w:rsid w:val="00F8486E"/>
    <w:rsid w:val="00F9011F"/>
    <w:rsid w:val="00F91981"/>
    <w:rsid w:val="00F92E8A"/>
    <w:rsid w:val="00F958F4"/>
    <w:rsid w:val="00FB3A8B"/>
    <w:rsid w:val="00FB4A3E"/>
    <w:rsid w:val="00FB5F25"/>
    <w:rsid w:val="00FB6BE6"/>
    <w:rsid w:val="00FB77E4"/>
    <w:rsid w:val="00FC0784"/>
    <w:rsid w:val="00FC0968"/>
    <w:rsid w:val="00FC2A27"/>
    <w:rsid w:val="00FC495E"/>
    <w:rsid w:val="00FC5BA4"/>
    <w:rsid w:val="00FD30F1"/>
    <w:rsid w:val="00FE1EF2"/>
    <w:rsid w:val="00FE2760"/>
    <w:rsid w:val="00FE2F62"/>
    <w:rsid w:val="00FE3C89"/>
    <w:rsid w:val="00FE47D9"/>
    <w:rsid w:val="00FE7303"/>
    <w:rsid w:val="00FF41A6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706BA2"/>
  <w15:docId w15:val="{CE25E729-5155-45D6-B88B-0661F8B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9FA"/>
    <w:pPr>
      <w:spacing w:before="120" w:after="240" w:line="280" w:lineRule="exact"/>
      <w:outlineLvl w:val="1"/>
    </w:pPr>
    <w:rPr>
      <w:rFonts w:cs="Arial"/>
      <w:color w:val="4D4D4D"/>
    </w:rPr>
  </w:style>
  <w:style w:type="paragraph" w:styleId="Heading2">
    <w:name w:val="heading 2"/>
    <w:aliases w:val="level 2,level2"/>
    <w:basedOn w:val="Normal"/>
    <w:next w:val="Normal"/>
    <w:link w:val="Heading2Char"/>
    <w:uiPriority w:val="99"/>
    <w:qFormat/>
    <w:rsid w:val="005906CE"/>
    <w:pPr>
      <w:keepNext/>
      <w:spacing w:after="120" w:line="840" w:lineRule="atLeast"/>
    </w:pPr>
    <w:rPr>
      <w:rFonts w:ascii="Arial" w:eastAsia="Times New Roman" w:hAnsi="Arial"/>
      <w:bCs/>
      <w:iCs/>
      <w:color w:val="008576"/>
      <w:sz w:val="80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D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itle">
    <w:name w:val="GS Title"/>
    <w:basedOn w:val="Title"/>
    <w:link w:val="GSTitleChar"/>
    <w:qFormat/>
    <w:rsid w:val="00C54AAE"/>
    <w:pPr>
      <w:pBdr>
        <w:bottom w:val="single" w:sz="2" w:space="3" w:color="CEE0CC"/>
      </w:pBdr>
      <w:spacing w:before="60" w:line="600" w:lineRule="exact"/>
    </w:pPr>
    <w:rPr>
      <w:b/>
      <w:color w:val="388E63"/>
      <w:sz w:val="56"/>
    </w:rPr>
  </w:style>
  <w:style w:type="paragraph" w:customStyle="1" w:styleId="GSHeading1">
    <w:name w:val="GS Heading 1"/>
    <w:basedOn w:val="GSHeading1withnumb"/>
    <w:link w:val="GSHeading1Char"/>
    <w:qFormat/>
    <w:rsid w:val="008317FB"/>
    <w:pPr>
      <w:numPr>
        <w:numId w:val="0"/>
      </w:numPr>
    </w:pPr>
  </w:style>
  <w:style w:type="character" w:customStyle="1" w:styleId="GSTitleChar">
    <w:name w:val="GS Title Char"/>
    <w:basedOn w:val="DefaultParagraphFont"/>
    <w:link w:val="GSTitle"/>
    <w:rsid w:val="00C54AAE"/>
    <w:rPr>
      <w:rFonts w:eastAsiaTheme="majorEastAsia" w:cstheme="majorBidi"/>
      <w:b/>
      <w:color w:val="388E63"/>
      <w:spacing w:val="-10"/>
      <w:kern w:val="28"/>
      <w:sz w:val="56"/>
      <w:szCs w:val="110"/>
      <w:lang w:eastAsia="en-GB"/>
    </w:rPr>
  </w:style>
  <w:style w:type="paragraph" w:customStyle="1" w:styleId="GSBodyPara">
    <w:name w:val="GS Body Para"/>
    <w:basedOn w:val="Normal"/>
    <w:link w:val="GSBodyParaChar"/>
    <w:qFormat/>
    <w:rsid w:val="00AB72D5"/>
    <w:pPr>
      <w:spacing w:before="60" w:after="120" w:line="260" w:lineRule="exact"/>
    </w:pPr>
  </w:style>
  <w:style w:type="character" w:customStyle="1" w:styleId="GSHeading1Char">
    <w:name w:val="GS Heading 1 Char"/>
    <w:basedOn w:val="DefaultParagraphFont"/>
    <w:link w:val="GSHeading1"/>
    <w:rsid w:val="008317FB"/>
    <w:rPr>
      <w:rFonts w:eastAsiaTheme="minorEastAsia" w:cs="Arial"/>
      <w:color w:val="215868" w:themeColor="accent5" w:themeShade="80"/>
      <w:spacing w:val="15"/>
      <w:sz w:val="40"/>
      <w:szCs w:val="40"/>
      <w:lang w:eastAsia="en-GB"/>
    </w:rPr>
  </w:style>
  <w:style w:type="numbering" w:customStyle="1" w:styleId="GSNumList">
    <w:name w:val="GS NumList"/>
    <w:uiPriority w:val="99"/>
    <w:rsid w:val="00F703B0"/>
    <w:pPr>
      <w:numPr>
        <w:numId w:val="1"/>
      </w:numPr>
    </w:pPr>
  </w:style>
  <w:style w:type="character" w:customStyle="1" w:styleId="GSBodyParaChar">
    <w:name w:val="GS Body Para Char"/>
    <w:basedOn w:val="DefaultParagraphFont"/>
    <w:link w:val="GSBodyPara"/>
    <w:rsid w:val="00AB72D5"/>
    <w:rPr>
      <w:rFonts w:cs="Arial"/>
      <w:color w:val="4D4D4D"/>
    </w:rPr>
  </w:style>
  <w:style w:type="paragraph" w:customStyle="1" w:styleId="GSHeading2">
    <w:name w:val="GS Heading 2"/>
    <w:basedOn w:val="GSHeading1"/>
    <w:next w:val="GSBodyPara"/>
    <w:link w:val="GSHeading2Char"/>
    <w:qFormat/>
    <w:rsid w:val="008317FB"/>
    <w:rPr>
      <w:sz w:val="32"/>
      <w:szCs w:val="32"/>
    </w:rPr>
  </w:style>
  <w:style w:type="table" w:customStyle="1" w:styleId="GSTable">
    <w:name w:val="GS Table"/>
    <w:basedOn w:val="TableNormal"/>
    <w:uiPriority w:val="99"/>
    <w:rsid w:val="00891246"/>
    <w:pPr>
      <w:spacing w:before="60" w:after="120" w:line="240" w:lineRule="auto"/>
    </w:pPr>
    <w:rPr>
      <w:rFonts w:ascii="Calibri" w:hAnsi="Calibri"/>
      <w:sz w:val="24"/>
    </w:rPr>
    <w:tblPr>
      <w:tblInd w:w="113" w:type="dxa"/>
      <w:tblBorders>
        <w:top w:val="single" w:sz="4" w:space="0" w:color="3A9262"/>
        <w:left w:val="single" w:sz="4" w:space="0" w:color="3A9262"/>
        <w:bottom w:val="single" w:sz="4" w:space="0" w:color="3A9262"/>
        <w:right w:val="single" w:sz="4" w:space="0" w:color="3A9262"/>
        <w:insideH w:val="single" w:sz="4" w:space="0" w:color="3A9262"/>
        <w:insideV w:val="single" w:sz="4" w:space="0" w:color="3A9262"/>
      </w:tblBorders>
    </w:tblPr>
    <w:tblStylePr w:type="firstRow">
      <w:tblPr/>
      <w:tcPr>
        <w:shd w:val="clear" w:color="auto" w:fill="3C9164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character" w:customStyle="1" w:styleId="GSHeading2Char">
    <w:name w:val="GS Heading 2 Char"/>
    <w:basedOn w:val="GSHeading1Char"/>
    <w:link w:val="GSHeading2"/>
    <w:rsid w:val="008317FB"/>
    <w:rPr>
      <w:rFonts w:eastAsiaTheme="minorEastAsia" w:cs="Arial"/>
      <w:color w:val="215868" w:themeColor="accent5" w:themeShade="80"/>
      <w:spacing w:val="15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81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HeaderFooter">
    <w:name w:val="GS Header/Footer"/>
    <w:basedOn w:val="Normal"/>
    <w:link w:val="GSHeaderFooterChar"/>
    <w:qFormat/>
    <w:rsid w:val="00655665"/>
    <w:pPr>
      <w:tabs>
        <w:tab w:val="center" w:pos="4536"/>
        <w:tab w:val="right" w:pos="9072"/>
      </w:tabs>
      <w:spacing w:before="60" w:after="0" w:line="240" w:lineRule="auto"/>
    </w:pPr>
    <w:rPr>
      <w:sz w:val="16"/>
    </w:rPr>
  </w:style>
  <w:style w:type="character" w:customStyle="1" w:styleId="GSHeaderFooterChar">
    <w:name w:val="GS Header/Footer Char"/>
    <w:basedOn w:val="DefaultParagraphFont"/>
    <w:link w:val="GSHeaderFooter"/>
    <w:rsid w:val="00655665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ED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D"/>
    <w:rPr>
      <w:rFonts w:ascii="Calibri" w:hAnsi="Calibri"/>
      <w:sz w:val="24"/>
    </w:rPr>
  </w:style>
  <w:style w:type="paragraph" w:customStyle="1" w:styleId="GSTblText1">
    <w:name w:val="GS Tbl Text 1"/>
    <w:basedOn w:val="Normal"/>
    <w:qFormat/>
    <w:rsid w:val="00655665"/>
    <w:pPr>
      <w:spacing w:before="60" w:after="120" w:line="240" w:lineRule="auto"/>
    </w:pPr>
  </w:style>
  <w:style w:type="paragraph" w:customStyle="1" w:styleId="GSCommittee">
    <w:name w:val="GS Committee"/>
    <w:basedOn w:val="GSTblText1"/>
    <w:link w:val="GSCommitteeChar"/>
    <w:qFormat/>
    <w:rsid w:val="00662C0E"/>
  </w:style>
  <w:style w:type="character" w:customStyle="1" w:styleId="GSCommitteeChar">
    <w:name w:val="GS Committee Char"/>
    <w:basedOn w:val="DefaultParagraphFont"/>
    <w:link w:val="GSCommittee"/>
    <w:rsid w:val="00662C0E"/>
    <w:rPr>
      <w:rFonts w:ascii="Arial" w:hAnsi="Arial"/>
      <w:sz w:val="20"/>
    </w:rPr>
  </w:style>
  <w:style w:type="paragraph" w:customStyle="1" w:styleId="GSBodyParaBullet">
    <w:name w:val="GS Body Para Bullet"/>
    <w:basedOn w:val="Normal"/>
    <w:link w:val="GSBodyParaBulletChar"/>
    <w:qFormat/>
    <w:rsid w:val="00925C4F"/>
    <w:pPr>
      <w:numPr>
        <w:ilvl w:val="3"/>
        <w:numId w:val="2"/>
      </w:numPr>
      <w:spacing w:before="60" w:after="120"/>
    </w:pPr>
  </w:style>
  <w:style w:type="character" w:customStyle="1" w:styleId="GSBodyParaBulletChar">
    <w:name w:val="GS Body Para Bullet Char"/>
    <w:basedOn w:val="DefaultParagraphFont"/>
    <w:link w:val="GSBodyParaBullet"/>
    <w:rsid w:val="00925C4F"/>
    <w:rPr>
      <w:rFonts w:cs="Arial"/>
      <w:color w:val="4D4D4D"/>
    </w:rPr>
  </w:style>
  <w:style w:type="paragraph" w:customStyle="1" w:styleId="GSBodyParawithnumb">
    <w:name w:val="GS Body Para with numb"/>
    <w:basedOn w:val="Normal"/>
    <w:link w:val="GSBodyParawithnumbChar"/>
    <w:qFormat/>
    <w:rsid w:val="00752DAE"/>
    <w:pPr>
      <w:numPr>
        <w:ilvl w:val="1"/>
        <w:numId w:val="3"/>
      </w:numPr>
    </w:pPr>
  </w:style>
  <w:style w:type="character" w:customStyle="1" w:styleId="GSBodyParawithnumbChar">
    <w:name w:val="GS Body Para with numb Char"/>
    <w:basedOn w:val="DefaultParagraphFont"/>
    <w:link w:val="GSBodyParawithnumb"/>
    <w:rsid w:val="00752DAE"/>
    <w:rPr>
      <w:rFonts w:cs="Arial"/>
      <w:color w:val="4D4D4D"/>
    </w:rPr>
  </w:style>
  <w:style w:type="paragraph" w:customStyle="1" w:styleId="GSHeaderFooterlandscape">
    <w:name w:val="GS Header/Footer landscape"/>
    <w:basedOn w:val="Normal"/>
    <w:link w:val="GSHeaderFooterlandscapeChar"/>
    <w:qFormat/>
    <w:rsid w:val="00655665"/>
    <w:pPr>
      <w:tabs>
        <w:tab w:val="center" w:pos="6946"/>
        <w:tab w:val="right" w:pos="13892"/>
      </w:tabs>
      <w:spacing w:before="60" w:after="0" w:line="240" w:lineRule="auto"/>
    </w:pPr>
    <w:rPr>
      <w:sz w:val="16"/>
    </w:rPr>
  </w:style>
  <w:style w:type="character" w:customStyle="1" w:styleId="GSHeaderFooterlandscapeChar">
    <w:name w:val="GS Header/Footer landscape Char"/>
    <w:basedOn w:val="DefaultParagraphFont"/>
    <w:link w:val="GSHeaderFooterlandscape"/>
    <w:rsid w:val="00655665"/>
    <w:rPr>
      <w:sz w:val="16"/>
    </w:rPr>
  </w:style>
  <w:style w:type="paragraph" w:customStyle="1" w:styleId="GSHeading1withnumb">
    <w:name w:val="GS Heading 1 with numb"/>
    <w:basedOn w:val="Subtitle"/>
    <w:link w:val="GSHeading1withnumbChar"/>
    <w:qFormat/>
    <w:rsid w:val="00752DAE"/>
    <w:pPr>
      <w:numPr>
        <w:ilvl w:val="0"/>
        <w:numId w:val="3"/>
      </w:numPr>
    </w:pPr>
  </w:style>
  <w:style w:type="character" w:customStyle="1" w:styleId="GSHeading1withnumbChar">
    <w:name w:val="GS Heading 1 with numb Char"/>
    <w:basedOn w:val="DefaultParagraphFont"/>
    <w:link w:val="GSHeading1withnumb"/>
    <w:rsid w:val="00752DAE"/>
    <w:rPr>
      <w:rFonts w:eastAsiaTheme="minorEastAsia" w:cs="Arial"/>
      <w:color w:val="3B9164"/>
      <w:spacing w:val="15"/>
      <w:sz w:val="28"/>
      <w:szCs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C0E"/>
    <w:pPr>
      <w:spacing w:after="0" w:line="240" w:lineRule="auto"/>
    </w:pPr>
    <w:rPr>
      <w:rFonts w:ascii="Arial" w:hAnsi="Arial"/>
      <w:sz w:val="20"/>
    </w:rPr>
  </w:style>
  <w:style w:type="paragraph" w:customStyle="1" w:styleId="PageNo">
    <w:name w:val="Page No"/>
    <w:basedOn w:val="Normal"/>
    <w:link w:val="PageNoChar"/>
    <w:qFormat/>
    <w:rsid w:val="00600716"/>
    <w:pPr>
      <w:spacing w:before="60" w:line="300" w:lineRule="exact"/>
      <w:jc w:val="right"/>
    </w:pPr>
    <w:rPr>
      <w:rFonts w:ascii="Calibri" w:eastAsia="Times New Roman" w:hAnsi="Calibri" w:cs="Times New Roman"/>
      <w:color w:val="000000"/>
      <w:sz w:val="18"/>
      <w:lang w:eastAsia="en-GB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customStyle="1" w:styleId="PageNoChar">
    <w:name w:val="Page No Char"/>
    <w:basedOn w:val="DefaultParagraphFont"/>
    <w:link w:val="PageNo"/>
    <w:rsid w:val="00600716"/>
    <w:rPr>
      <w:rFonts w:ascii="Calibri" w:eastAsia="Times New Roman" w:hAnsi="Calibri" w:cs="Times New Roman"/>
      <w:color w:val="000000"/>
      <w:sz w:val="18"/>
      <w:lang w:eastAsia="en-GB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styleId="Hyperlink">
    <w:name w:val="Hyperlink"/>
    <w:basedOn w:val="DefaultParagraphFont"/>
    <w:uiPriority w:val="99"/>
    <w:rsid w:val="0065566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89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113" w:type="dxa"/>
      <w:tblBorders>
        <w:top w:val="single" w:sz="2" w:space="0" w:color="307F4F"/>
        <w:left w:val="single" w:sz="2" w:space="0" w:color="307F4F"/>
        <w:bottom w:val="single" w:sz="2" w:space="0" w:color="307F4F"/>
        <w:right w:val="single" w:sz="2" w:space="0" w:color="307F4F"/>
        <w:insideH w:val="single" w:sz="2" w:space="0" w:color="307F4F"/>
        <w:insideV w:val="single" w:sz="2" w:space="0" w:color="307F4F"/>
      </w:tblBorders>
      <w:tblCellMar>
        <w:top w:w="113" w:type="dxa"/>
        <w:left w:w="198" w:type="dxa"/>
        <w:bottom w:w="28" w:type="dxa"/>
        <w:right w:w="142" w:type="dxa"/>
      </w:tblCellMar>
    </w:tblPr>
    <w:tcPr>
      <w:vAlign w:val="center"/>
    </w:tcPr>
    <w:tblStylePr w:type="firstRow">
      <w:pPr>
        <w:wordWrap/>
        <w:jc w:val="left"/>
      </w:pPr>
      <w:rPr>
        <w:color w:val="FFFFFF" w:themeColor="background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307F4F"/>
      </w:tcPr>
    </w:tblStylePr>
  </w:style>
  <w:style w:type="paragraph" w:styleId="Title">
    <w:name w:val="Title"/>
    <w:basedOn w:val="Normal"/>
    <w:next w:val="Normal"/>
    <w:link w:val="TitleChar"/>
    <w:qFormat/>
    <w:rsid w:val="00D1257C"/>
    <w:pPr>
      <w:pBdr>
        <w:bottom w:val="single" w:sz="2" w:space="3" w:color="92CDDC" w:themeColor="accent5" w:themeTint="99"/>
      </w:pBdr>
      <w:spacing w:after="120" w:line="1120" w:lineRule="exact"/>
    </w:pPr>
    <w:rPr>
      <w:rFonts w:eastAsiaTheme="majorEastAsia" w:cstheme="majorBidi"/>
      <w:color w:val="31849B" w:themeColor="accent5" w:themeShade="BF"/>
      <w:spacing w:val="-10"/>
      <w:kern w:val="28"/>
      <w:sz w:val="110"/>
      <w:szCs w:val="110"/>
      <w:lang w:eastAsia="en-GB"/>
    </w:rPr>
  </w:style>
  <w:style w:type="character" w:customStyle="1" w:styleId="TitleChar">
    <w:name w:val="Title Char"/>
    <w:basedOn w:val="DefaultParagraphFont"/>
    <w:link w:val="Title"/>
    <w:rsid w:val="00D1257C"/>
    <w:rPr>
      <w:rFonts w:eastAsiaTheme="majorEastAsia" w:cstheme="majorBidi"/>
      <w:color w:val="31849B" w:themeColor="accent5" w:themeShade="BF"/>
      <w:spacing w:val="-10"/>
      <w:kern w:val="28"/>
      <w:sz w:val="110"/>
      <w:szCs w:val="11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C54AAE"/>
    <w:pPr>
      <w:numPr>
        <w:ilvl w:val="1"/>
      </w:numPr>
      <w:pBdr>
        <w:bottom w:val="single" w:sz="2" w:space="5" w:color="CEE0CC"/>
      </w:pBdr>
      <w:spacing w:before="40" w:after="80" w:line="300" w:lineRule="exact"/>
    </w:pPr>
    <w:rPr>
      <w:rFonts w:eastAsiaTheme="minorEastAsia"/>
      <w:color w:val="3B9164"/>
      <w:spacing w:val="15"/>
      <w:sz w:val="28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rsid w:val="00C54AAE"/>
    <w:rPr>
      <w:rFonts w:eastAsiaTheme="minorEastAsia" w:cs="Arial"/>
      <w:color w:val="3B9164"/>
      <w:spacing w:val="15"/>
      <w:sz w:val="28"/>
      <w:szCs w:val="40"/>
      <w:lang w:eastAsia="en-GB"/>
    </w:rPr>
  </w:style>
  <w:style w:type="paragraph" w:styleId="ListParagraph">
    <w:name w:val="List Paragraph"/>
    <w:basedOn w:val="Normal"/>
    <w:uiPriority w:val="34"/>
    <w:qFormat/>
    <w:rsid w:val="00925C4F"/>
    <w:pPr>
      <w:ind w:left="720"/>
    </w:pPr>
  </w:style>
  <w:style w:type="table" w:customStyle="1" w:styleId="Style1">
    <w:name w:val="Style1"/>
    <w:basedOn w:val="TableGrid10"/>
    <w:uiPriority w:val="99"/>
    <w:rsid w:val="00752DAE"/>
    <w:pPr>
      <w:spacing w:before="100" w:after="100" w:line="240" w:lineRule="auto"/>
      <w:ind w:left="113" w:right="113"/>
    </w:pPr>
    <w:rPr>
      <w:color w:val="7F7F7F" w:themeColor="text1" w:themeTint="80"/>
      <w:sz w:val="20"/>
      <w:szCs w:val="20"/>
      <w:lang w:eastAsia="en-GB"/>
    </w:rPr>
    <w:tblPr>
      <w:tblBorders>
        <w:top w:val="single" w:sz="6" w:space="0" w:color="3A8F64"/>
        <w:left w:val="single" w:sz="6" w:space="0" w:color="3A8F64"/>
        <w:bottom w:val="single" w:sz="6" w:space="0" w:color="3A8F64"/>
        <w:right w:val="single" w:sz="6" w:space="0" w:color="3A8F64"/>
        <w:insideH w:val="single" w:sz="6" w:space="0" w:color="3A8F64"/>
        <w:insideV w:val="single" w:sz="6" w:space="0" w:color="3A8F64"/>
      </w:tblBorders>
      <w:tblCellMar>
        <w:left w:w="0" w:type="dxa"/>
        <w:right w:w="0" w:type="dxa"/>
      </w:tblCellMar>
    </w:tblPr>
    <w:tcPr>
      <w:shd w:val="clear" w:color="auto" w:fill="CEE0CC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1313AC"/>
    <w:pPr>
      <w:spacing w:before="120" w:after="360" w:line="320" w:lineRule="exact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hite">
    <w:name w:val="Table Header White"/>
    <w:basedOn w:val="Normal"/>
    <w:qFormat/>
    <w:rsid w:val="00891246"/>
    <w:pPr>
      <w:spacing w:before="40" w:after="60"/>
    </w:pPr>
    <w:rPr>
      <w:rFonts w:ascii="Calibri" w:hAnsi="Calibri"/>
      <w:b/>
      <w:color w:val="FFFFFF" w:themeColor="background1"/>
      <w:sz w:val="24"/>
    </w:rPr>
  </w:style>
  <w:style w:type="paragraph" w:customStyle="1" w:styleId="TableText">
    <w:name w:val="Table Text"/>
    <w:next w:val="Normal"/>
    <w:qFormat/>
    <w:rsid w:val="0050516E"/>
    <w:pPr>
      <w:spacing w:before="60" w:after="60"/>
    </w:pPr>
    <w:rPr>
      <w:rFonts w:ascii="Calibri" w:hAnsi="Calibri" w:cs="Arial"/>
      <w:b/>
      <w:color w:val="404040" w:themeColor="text1" w:themeTint="BF"/>
    </w:rPr>
  </w:style>
  <w:style w:type="character" w:customStyle="1" w:styleId="Heading2Char">
    <w:name w:val="Heading 2 Char"/>
    <w:aliases w:val="level 2 Char,level2 Char"/>
    <w:basedOn w:val="DefaultParagraphFont"/>
    <w:link w:val="Heading2"/>
    <w:uiPriority w:val="99"/>
    <w:rsid w:val="005906CE"/>
    <w:rPr>
      <w:rFonts w:ascii="Arial" w:eastAsia="Times New Roman" w:hAnsi="Arial" w:cs="Arial"/>
      <w:bCs/>
      <w:iCs/>
      <w:color w:val="008576"/>
      <w:sz w:val="80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68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689"/>
    <w:rPr>
      <w:rFonts w:cs="Arial"/>
      <w:color w:val="4D4D4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689"/>
    <w:rPr>
      <w:vertAlign w:val="superscript"/>
    </w:rPr>
  </w:style>
  <w:style w:type="paragraph" w:customStyle="1" w:styleId="GSTblText2">
    <w:name w:val="GS Tbl Text 2"/>
    <w:basedOn w:val="Normal"/>
    <w:qFormat/>
    <w:rsid w:val="00C40FD7"/>
    <w:pPr>
      <w:spacing w:before="20" w:after="20" w:line="240" w:lineRule="auto"/>
      <w:outlineLvl w:val="9"/>
    </w:pPr>
    <w:rPr>
      <w:rFonts w:ascii="Calibri" w:hAnsi="Calibri" w:cstheme="minorBidi"/>
      <w:color w:val="auto"/>
    </w:rPr>
  </w:style>
  <w:style w:type="table" w:customStyle="1" w:styleId="GSActionsTable">
    <w:name w:val="GS Actions Table"/>
    <w:basedOn w:val="TableNormal"/>
    <w:uiPriority w:val="99"/>
    <w:rsid w:val="00C40FD7"/>
    <w:pPr>
      <w:spacing w:before="60" w:after="60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240" w:afterAutospacing="0" w:line="276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Calibri" w:hAnsi="Calibri"/>
        <w:b/>
        <w:sz w:val="24"/>
      </w:rPr>
    </w:tblStylePr>
    <w:tblStylePr w:type="lastRow">
      <w:pPr>
        <w:wordWrap/>
        <w:spacing w:beforeLines="0" w:before="60" w:beforeAutospacing="0" w:afterLines="0" w:after="120" w:afterAutospacing="0" w:line="276" w:lineRule="auto"/>
        <w:ind w:leftChars="0" w:left="0" w:rightChars="0" w:right="0"/>
        <w:contextualSpacing w:val="0"/>
        <w:mirrorIndents w:val="0"/>
        <w:jc w:val="left"/>
        <w:outlineLvl w:val="9"/>
      </w:pPr>
      <w:rPr>
        <w:b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AD3AEF"/>
    <w:pPr>
      <w:spacing w:before="0" w:after="0" w:line="240" w:lineRule="auto"/>
      <w:outlineLvl w:val="9"/>
    </w:pPr>
    <w:rPr>
      <w:rFonts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AE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0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68"/>
    <w:pPr>
      <w:spacing w:before="120" w:after="240"/>
      <w:outlineLvl w:val="1"/>
    </w:pPr>
    <w:rPr>
      <w:rFonts w:cs="Arial"/>
      <w:b/>
      <w:bCs/>
      <w:color w:val="4D4D4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68"/>
    <w:rPr>
      <w:rFonts w:cs="Arial"/>
      <w:b/>
      <w:bCs/>
      <w:color w:val="4D4D4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D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rsid w:val="00097B13"/>
    <w:pPr>
      <w:spacing w:after="120" w:line="360" w:lineRule="atLeast"/>
      <w:outlineLvl w:val="9"/>
    </w:pPr>
    <w:rPr>
      <w:rFonts w:ascii="Arial" w:eastAsia="Times New Roman" w:hAnsi="Arial" w:cs="Times New Roman"/>
      <w:color w:val="auto"/>
      <w:sz w:val="28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097B13"/>
    <w:rPr>
      <w:rFonts w:ascii="Arial" w:eastAsia="Times New Roman" w:hAnsi="Arial" w:cs="Times New Roman"/>
      <w:sz w:val="28"/>
      <w:szCs w:val="24"/>
      <w:lang w:eastAsia="en-GB"/>
    </w:rPr>
  </w:style>
  <w:style w:type="paragraph" w:styleId="Revision">
    <w:name w:val="Revision"/>
    <w:hidden/>
    <w:uiPriority w:val="99"/>
    <w:semiHidden/>
    <w:rsid w:val="00947F18"/>
    <w:pPr>
      <w:spacing w:after="0" w:line="240" w:lineRule="auto"/>
    </w:pPr>
    <w:rPr>
      <w:rFonts w:cs="Arial"/>
      <w:color w:val="4D4D4D"/>
    </w:rPr>
  </w:style>
  <w:style w:type="table" w:customStyle="1" w:styleId="GSTable1">
    <w:name w:val="GS Table1"/>
    <w:basedOn w:val="TableNormal"/>
    <w:uiPriority w:val="99"/>
    <w:rsid w:val="00B67FD0"/>
    <w:pPr>
      <w:spacing w:before="60" w:after="120" w:line="240" w:lineRule="auto"/>
    </w:pPr>
    <w:rPr>
      <w:rFonts w:ascii="Calibri" w:hAnsi="Calibri"/>
      <w:sz w:val="24"/>
    </w:rPr>
    <w:tblPr>
      <w:tblInd w:w="113" w:type="dxa"/>
      <w:tblBorders>
        <w:top w:val="single" w:sz="4" w:space="0" w:color="3A9262"/>
        <w:left w:val="single" w:sz="4" w:space="0" w:color="3A9262"/>
        <w:bottom w:val="single" w:sz="4" w:space="0" w:color="3A9262"/>
        <w:right w:val="single" w:sz="4" w:space="0" w:color="3A9262"/>
        <w:insideH w:val="single" w:sz="4" w:space="0" w:color="3A9262"/>
        <w:insideV w:val="single" w:sz="4" w:space="0" w:color="3A9262"/>
      </w:tblBorders>
    </w:tblPr>
    <w:tblStylePr w:type="firstRow">
      <w:tblPr/>
      <w:tcPr>
        <w:shd w:val="clear" w:color="auto" w:fill="3C9164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nesc\Desktop\Work%20From%20Home\Templates\Meeting%20Paper%20Templates\TEMPLA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publishDate xmlns="c7312139-f4c2-453d-a4c8-c631b6303d87" xsi:nil="true"/>
    <Date_x0020_Archived xmlns="c7312139-f4c2-453d-a4c8-c631b6303d87" xsi:nil="true"/>
    <DocumentCategory xmlns="830862f3-40c2-43d5-9778-1909aaa95bc7">4</DocumentCategory>
    <DateLastActivated1 xmlns="c7312139-f4c2-453d-a4c8-c631b6303d87">2018-06-11T15:46:41+00:00</DateLastActivated1>
    <Commitees xmlns="c7312139-f4c2-453d-a4c8-c631b6303d87">
      <Value>216</Value>
    </Commitees>
    <DocNotes xmlns="c7312139-f4c2-453d-a4c8-c631b6303d87" xsi:nil="true"/>
    <Activities xmlns="c7312139-f4c2-453d-a4c8-c631b6303d87">
      <Value>2991</Value>
    </Activities>
    <Issues xmlns="c7312139-f4c2-453d-a4c8-c631b6303d87">
      <Value>55</Value>
    </Issues>
    <PublishDate xmlns="c7312139-f4c2-453d-a4c8-c631b6303d87">2018-06-10T23:00:00+00:00</PublishDate>
    <ChangeProposal1 xmlns="c7312139-f4c2-453d-a4c8-c631b6303d87"/>
    <Confidential1 xmlns="c7312139-f4c2-453d-a4c8-c631b6303d87">false</Confidential1>
    <DocType xmlns="c7312139-f4c2-453d-a4c8-c631b6303d87">2</DocType>
    <Restricted xmlns="830862f3-40c2-43d5-9778-1909aaa95bc7">false</Restricted>
    <DateLastDeactivated1 xmlns="c7312139-f4c2-453d-a4c8-c631b6303d87" xsi:nil="true"/>
    <DocVersion xmlns="c7312139-f4c2-453d-a4c8-c631b6303d87" xsi:nil="true"/>
    <Archived xmlns="c7312139-f4c2-453d-a4c8-c631b6303d87">false</Archived>
    <SQLID xmlns="c7312139-f4c2-453d-a4c8-c631b6303d87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2FE946D2DC49B772FE47E464ED56" ma:contentTypeVersion="43" ma:contentTypeDescription="Create a new document." ma:contentTypeScope="" ma:versionID="3eda9f60ba35fa792978f47f221bc710">
  <xsd:schema xmlns:xsd="http://www.w3.org/2001/XMLSchema" xmlns:xs="http://www.w3.org/2001/XMLSchema" xmlns:p="http://schemas.microsoft.com/office/2006/metadata/properties" xmlns:ns2="c7312139-f4c2-453d-a4c8-c631b6303d87" xmlns:ns3="830862f3-40c2-43d5-9778-1909aaa95bc7" targetNamespace="http://schemas.microsoft.com/office/2006/metadata/properties" ma:root="true" ma:fieldsID="8ab4db3f37c2fb55e352b75920aaf867" ns2:_="" ns3:_="">
    <xsd:import namespace="c7312139-f4c2-453d-a4c8-c631b6303d87"/>
    <xsd:import namespace="830862f3-40c2-43d5-9778-1909aaa95bc7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DocumentCategory" minOccurs="0"/>
                <xsd:element ref="ns2:Commitees" minOccurs="0"/>
                <xsd:element ref="ns2:ChangeProposal1" minOccurs="0"/>
                <xsd:element ref="ns2:Activities" minOccurs="0"/>
                <xsd:element ref="ns2:Issues" minOccurs="0"/>
                <xsd:element ref="ns2:DocNotes" minOccurs="0"/>
                <xsd:element ref="ns3:Restricted" minOccurs="0"/>
                <xsd:element ref="ns2:Confidential1" minOccurs="0"/>
                <xsd:element ref="ns2:PublishDate" minOccurs="0"/>
                <xsd:element ref="ns2:UnpublishDate" minOccurs="0"/>
                <xsd:element ref="ns2:DocVersion" minOccurs="0"/>
                <xsd:element ref="ns2:Archived" minOccurs="0"/>
                <xsd:element ref="ns2:Date_x0020_Archived" minOccurs="0"/>
                <xsd:element ref="ns2:DateLastActivated1" minOccurs="0"/>
                <xsd:element ref="ns2:DateLastDeactivated1" minOccurs="0"/>
                <xsd:element ref="ns2:SQLID" minOccurs="0"/>
                <xsd:element ref="ns2:_dlc_DocId" minOccurs="0"/>
                <xsd:element ref="ns2:_dlc_DocIdUrl" minOccurs="0"/>
                <xsd:element ref="ns2:_dlc_DocIdPersistId" minOccurs="0"/>
                <xsd:element ref="ns3:Related_x0020_Commitees_x0020__x0026__x0020_Groups_x003a_ID" minOccurs="0"/>
                <xsd:element ref="ns3:Related_x0020_Change_x0020_Proposals_x003a_ID" minOccurs="0"/>
                <xsd:element ref="ns3:Related_x0020_Activities_x003a_ID" minOccurs="0"/>
                <xsd:element ref="ns3:Related_x0020_Issue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12139-f4c2-453d-a4c8-c631b6303d87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ument Type" ma:description="Select type of document" ma:indexed="true" ma:list="{e44f5265-7504-47b9-8500-c2f524d54778}" ma:internalName="DocType" ma:showField="Title" ma:web="c7312139-f4c2-453d-a4c8-c631b6303d87">
      <xsd:simpleType>
        <xsd:restriction base="dms:Lookup"/>
      </xsd:simpleType>
    </xsd:element>
    <xsd:element name="Commitees" ma:index="4" nillable="true" ma:displayName="Related Committees &amp; Groups" ma:description="Select any Committees and Groups related to this document" ma:list="{c4558e07-05f5-413e-8fc8-3371db0e06b8}" ma:internalName="Commitees" ma:readOnly="false" ma:showField="Title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ngeProposal1" ma:index="5" nillable="true" ma:displayName="Related Change Proposals" ma:description="Select Change Proposals to which this document belongs." ma:list="{9d78ab6c-e5db-4bbc-aef9-166e344e593e}" ma:internalName="ChangeProposal1" ma:readOnly="false" ma:showField="DCP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" ma:index="6" nillable="true" ma:displayName="Related Activities" ma:description="Select any Related Activities" ma:list="{4c7ccd60-2e0f-4363-be6e-3f24309280e9}" ma:internalName="Activities" ma:readOnly="false" ma:showField="Title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sues" ma:index="7" nillable="true" ma:displayName="Related Issues" ma:description="Select any issues related to this document" ma:list="{fd71b149-47ba-4a21-af25-87beffb6e97e}" ma:internalName="Issues" ma:showField="Issue_x0020_Number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Notes" ma:index="8" nillable="true" ma:displayName="Notes" ma:description="Add any notes related to this document" ma:internalName="DocNotes">
      <xsd:simpleType>
        <xsd:restriction base="dms:Note">
          <xsd:maxLength value="255"/>
        </xsd:restriction>
      </xsd:simpleType>
    </xsd:element>
    <xsd:element name="Confidential1" ma:index="10" nillable="true" ma:displayName="Confidential" ma:default="0" ma:description="Select if document is to be kept confidential to members of appropriate Change Proposal Working Group." ma:internalName="Confidential1">
      <xsd:simpleType>
        <xsd:restriction base="dms:Boolean"/>
      </xsd:simpleType>
    </xsd:element>
    <xsd:element name="PublishDate" ma:index="11" nillable="true" ma:displayName="Date Published" ma:description="Enter the date this document is to be published." ma:format="DateOnly" ma:indexed="true" ma:internalName="PublishDate">
      <xsd:simpleType>
        <xsd:restriction base="dms:DateTime"/>
      </xsd:simpleType>
    </xsd:element>
    <xsd:element name="UnpublishDate" ma:index="12" nillable="true" ma:displayName="Withdrawal Date" ma:description="Enter any date to automatically remove this document from publication." ma:format="DateOnly" ma:indexed="true" ma:internalName="UnpublishDate">
      <xsd:simpleType>
        <xsd:restriction base="dms:DateTime"/>
      </xsd:simpleType>
    </xsd:element>
    <xsd:element name="DocVersion" ma:index="13" nillable="true" ma:displayName="Version/Revision" ma:description="Enter version number for this document" ma:internalName="DocVersion">
      <xsd:simpleType>
        <xsd:restriction base="dms:Text">
          <xsd:maxLength value="255"/>
        </xsd:restriction>
      </xsd:simpleType>
    </xsd:element>
    <xsd:element name="Archived" ma:index="14" nillable="true" ma:displayName="Archived" ma:default="0" ma:description="Indicate if this record is to be archived." ma:indexed="true" ma:internalName="Archived">
      <xsd:simpleType>
        <xsd:restriction base="dms:Boolean"/>
      </xsd:simpleType>
    </xsd:element>
    <xsd:element name="Date_x0020_Archived" ma:index="15" nillable="true" ma:displayName="Date Archived" ma:description="Select date this record was archived." ma:format="DateOnly" ma:internalName="Date_x0020_Archived">
      <xsd:simpleType>
        <xsd:restriction base="dms:DateTime"/>
      </xsd:simpleType>
    </xsd:element>
    <xsd:element name="DateLastActivated1" ma:index="16" nillable="true" ma:displayName="Date Last Activated" ma:default="[today]" ma:description="Records date record was last activated" ma:format="DateOnly" ma:internalName="DateLastActivated1">
      <xsd:simpleType>
        <xsd:restriction base="dms:DateTime"/>
      </xsd:simpleType>
    </xsd:element>
    <xsd:element name="DateLastDeactivated1" ma:index="17" nillable="true" ma:displayName="Date Last Deactivated" ma:description="Records date record was last deactivated" ma:format="DateOnly" ma:internalName="DateLastDeactivated1">
      <xsd:simpleType>
        <xsd:restriction base="dms:DateTime"/>
      </xsd:simpleType>
    </xsd:element>
    <xsd:element name="SQLID" ma:index="18" nillable="true" ma:displayName="SQLID" ma:decimals="0" ma:description="Holds SQLID from old database." ma:internalName="SQLID" ma:percentage="FALSE">
      <xsd:simpleType>
        <xsd:restriction base="dms:Number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62f3-40c2-43d5-9778-1909aaa95bc7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Select Document Category for this document" ma:indexed="true" ma:list="{84b421a0-f42d-4db4-ba8d-bd6d116602cf}" ma:internalName="DocumentCategory" ma:showField="Title" ma:web="c7312139-f4c2-453d-a4c8-c631b6303d87">
      <xsd:simpleType>
        <xsd:restriction base="dms:Lookup"/>
      </xsd:simpleType>
    </xsd:element>
    <xsd:element name="Restricted" ma:index="9" nillable="true" ma:displayName="Restricted" ma:default="0" ma:description="Restrict document publishing to registered website users only." ma:indexed="true" ma:internalName="Restricted">
      <xsd:simpleType>
        <xsd:restriction base="dms:Boolean"/>
      </xsd:simpleType>
    </xsd:element>
    <xsd:element name="Related_x0020_Commitees_x0020__x0026__x0020_Groups_x003a_ID" ma:index="28" nillable="true" ma:displayName="Related Commitees &amp; Groups:ID" ma:list="{c4558e07-05f5-413e-8fc8-3371db0e06b8}" ma:internalName="Related_x0020_Commitees_x0020__x0026__x0020_Group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Change_x0020_Proposals_x003a_ID" ma:index="29" nillable="true" ma:displayName="Related Change Proposals:ID" ma:list="{9d78ab6c-e5db-4bbc-aef9-166e344e593e}" ma:internalName="Related_x0020_Change_x0020_Proposal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Activities_x003a_ID" ma:index="30" nillable="true" ma:displayName="Related Activities:ID" ma:list="{4c7ccd60-2e0f-4363-be6e-3f24309280e9}" ma:internalName="Related_x0020_Activitie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Issues_x003a_ID" ma:index="31" nillable="true" ma:displayName="Related Issues:ID" ma:list="{fd71b149-47ba-4a21-af25-87beffb6e97e}" ma:internalName="Related_x0020_Issue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F5B45-6F8A-46DE-B61F-F4A9581FCD72}"/>
</file>

<file path=customXml/itemProps2.xml><?xml version="1.0" encoding="utf-8"?>
<ds:datastoreItem xmlns:ds="http://schemas.openxmlformats.org/officeDocument/2006/customXml" ds:itemID="{951008CD-01B3-4552-A883-C741FD8B02BC}"/>
</file>

<file path=customXml/itemProps3.xml><?xml version="1.0" encoding="utf-8"?>
<ds:datastoreItem xmlns:ds="http://schemas.openxmlformats.org/officeDocument/2006/customXml" ds:itemID="{ADE55BC5-00F4-4A4D-AA03-8A62E024D666}"/>
</file>

<file path=customXml/itemProps4.xml><?xml version="1.0" encoding="utf-8"?>
<ds:datastoreItem xmlns:ds="http://schemas.openxmlformats.org/officeDocument/2006/customXml" ds:itemID="{64382B77-71AC-4266-987A-469C3B4419C6}"/>
</file>

<file path=customXml/itemProps5.xml><?xml version="1.0" encoding="utf-8"?>
<ds:datastoreItem xmlns:ds="http://schemas.openxmlformats.org/officeDocument/2006/customXml" ds:itemID="{0D128A82-6C8E-40EC-BE2B-80917A31A50E}"/>
</file>

<file path=docProps/app.xml><?xml version="1.0" encoding="utf-8"?>
<Properties xmlns="http://schemas.openxmlformats.org/officeDocument/2006/extended-properties" xmlns:vt="http://schemas.openxmlformats.org/officeDocument/2006/docPropsVTypes">
  <Template>TEMPLATE Paper</Template>
  <TotalTime>0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/>
      <vt:lpstr>    </vt:lpstr>
      <vt:lpstr>    DCUSA Standing Issues Group DCUSA Issues Form 50 Meeting_03 Minutes</vt:lpstr>
      <vt:lpstr>    23 April 2018 at 14:00</vt:lpstr>
      <vt:lpstr>    Web-Conference</vt:lpstr>
      <vt:lpstr>    </vt:lpstr>
      <vt:lpstr>    Administration</vt:lpstr>
      <vt:lpstr>    The Chair welcomed the members to the meeting. </vt:lpstr>
      <vt:lpstr>    The Subgroup reviewed the “Competition Law Do’s and Don’ts”. All members agreed </vt:lpstr>
      <vt:lpstr>    The Subgroup reviewed the minutes from the previous minutes and agreed they were</vt:lpstr>
      <vt:lpstr>    Regarding action 02/02, SG informed the Subgroup that he had been in touch with </vt:lpstr>
      <vt:lpstr>    Regarding action 02/03, the Secretariat confirmed they had contacted a represent</vt:lpstr>
      <vt:lpstr>    Introduction</vt:lpstr>
      <vt:lpstr>    The Chair set out that the main purpose of the meeting was for the DIF50 Subgrou</vt:lpstr>
      <vt:lpstr>    Review of the draft solution</vt:lpstr>
      <vt:lpstr>    The Chair informed the Subgroup that they had drafted the solution and circulate</vt:lpstr>
      <vt:lpstr>    The Subgroup reviewed the draft solution and some changes were made:</vt:lpstr>
      <vt:lpstr>    The wording of paragraph 1.1 was amended to say that time switching settings on </vt:lpstr>
      <vt:lpstr>    Paragraph 3.2 was added to state that the current contract to continue RTS with </vt:lpstr>
      <vt:lpstr>    An issue was identified by the Subgroup whereby if a customer in a load managed </vt:lpstr>
      <vt:lpstr>    The amended draft solution can be found as Attachment 1.</vt:lpstr>
      <vt:lpstr>    Next steps</vt:lpstr>
      <vt:lpstr>    It was agreed that a consultation to wider industry should be drafted and circul</vt:lpstr>
      <vt:lpstr>    Agenda Items for the next meeting</vt:lpstr>
      <vt:lpstr>    The Subgroup agreed that agenda items for the workshop should include:</vt:lpstr>
      <vt:lpstr>    Review consultation responses;</vt:lpstr>
      <vt:lpstr>    Review of suggested legal text; and</vt:lpstr>
      <vt:lpstr>    Next steps.</vt:lpstr>
      <vt:lpstr>    Date of Next Meeting: 11 June 2018 at 10:00 am</vt:lpstr>
      <vt:lpstr>    The Subgroup agreed to hold the next meeting on 11 June 2018 at 10:00 am held fa</vt:lpstr>
      <vt:lpstr>    Any Other Business</vt:lpstr>
      <vt:lpstr>    There were no items of AOB and the Chair closed the meeting.</vt:lpstr>
      <vt:lpstr>    Attachments</vt:lpstr>
      <vt:lpstr>    Attachment 1 – DIF50 draft solution</vt:lpstr>
      <vt:lpstr>    </vt:lpstr>
      <vt:lpstr>    </vt:lpstr>
      <vt:lpstr>    </vt:lpstr>
      <vt:lpstr>    </vt:lpstr>
      <vt:lpstr>    </vt:lpstr>
      <vt:lpstr>    New and open actions</vt:lpstr>
      <vt:lpstr>    </vt:lpstr>
      <vt:lpstr>    </vt:lpstr>
      <vt:lpstr>    </vt:lpstr>
      <vt:lpstr>    Closed actions</vt:lpstr>
      <vt:lpstr>    </vt:lpstr>
      <vt:lpstr>    </vt:lpstr>
      <vt:lpstr>    </vt:lpstr>
    </vt:vector>
  </TitlesOfParts>
  <Company>Electralink Group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DCUSA SIG DIF50_03 final minutes V1.0</dc:title>
  <dc:subject/>
  <dc:creator>hynesc</dc:creator>
  <cp:keywords/>
  <dc:description/>
  <cp:lastModifiedBy>Joseph Underwood</cp:lastModifiedBy>
  <cp:revision>2</cp:revision>
  <cp:lastPrinted>2016-12-05T17:31:00Z</cp:lastPrinted>
  <dcterms:created xsi:type="dcterms:W3CDTF">2018-06-11T15:46:00Z</dcterms:created>
  <dcterms:modified xsi:type="dcterms:W3CDTF">2018-06-11T15:46:00Z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0x010100DE162FE946D2DC49B772FE47E464ED56</vt:lpwstr>
  </property>
</Properties>
</file>