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pPr w:leftFromText="180" w:rightFromText="180" w:vertAnchor="page" w:horzAnchor="margin" w:tblpY="1"/>
        <w:tblW w:w="0" w:type="auto"/>
        <w:tblInd w:w="0" w:type="dxa"/>
        <w:tblLook w:val="04A0" w:firstRow="1" w:lastRow="0" w:firstColumn="1" w:lastColumn="0" w:noHBand="0" w:noVBand="1"/>
      </w:tblPr>
      <w:tblGrid>
        <w:gridCol w:w="2911"/>
        <w:gridCol w:w="1403"/>
        <w:gridCol w:w="8250"/>
        <w:gridCol w:w="1394"/>
      </w:tblGrid>
      <w:tr w:rsidR="008373BD" w:rsidRPr="00232923" w14:paraId="4C31C206" w14:textId="0D81A7C1" w:rsidTr="008373BD">
        <w:trPr>
          <w:cnfStyle w:val="100000000000" w:firstRow="1" w:lastRow="0" w:firstColumn="0" w:lastColumn="0" w:oddVBand="0" w:evenVBand="0" w:oddHBand="0" w:evenHBand="0" w:firstRowFirstColumn="0" w:firstRowLastColumn="0" w:lastRowFirstColumn="0" w:lastRowLastColumn="0"/>
        </w:trPr>
        <w:tc>
          <w:tcPr>
            <w:tcW w:w="0" w:type="auto"/>
            <w:gridSpan w:val="3"/>
            <w:tcBorders>
              <w:top w:val="nil"/>
              <w:left w:val="nil"/>
              <w:right w:val="nil"/>
            </w:tcBorders>
            <w:shd w:val="clear" w:color="auto" w:fill="auto"/>
          </w:tcPr>
          <w:p w14:paraId="68958C3C" w14:textId="2C483FDB" w:rsidR="008373BD" w:rsidRPr="003903B5" w:rsidRDefault="008373BD" w:rsidP="003903B5">
            <w:pPr>
              <w:pStyle w:val="BodyTextNoSpacing"/>
              <w:jc w:val="center"/>
              <w:rPr>
                <w:rFonts w:asciiTheme="minorHAnsi" w:hAnsiTheme="minorHAnsi" w:cstheme="minorHAnsi"/>
                <w:b/>
                <w:color w:val="398E63"/>
                <w:lang w:val="en-GB"/>
              </w:rPr>
            </w:pPr>
            <w:r w:rsidRPr="00E55753">
              <w:rPr>
                <w:rFonts w:asciiTheme="minorHAnsi" w:hAnsiTheme="minorHAnsi" w:cstheme="minorHAnsi"/>
                <w:b/>
                <w:color w:val="398E63"/>
                <w:sz w:val="48"/>
                <w:lang w:val="en-GB"/>
              </w:rPr>
              <w:t>DCP 314 Consultation Responses</w:t>
            </w:r>
            <w:r w:rsidR="00E55753">
              <w:rPr>
                <w:rFonts w:asciiTheme="minorHAnsi" w:hAnsiTheme="minorHAnsi" w:cstheme="minorHAnsi"/>
                <w:b/>
                <w:color w:val="398E63"/>
                <w:sz w:val="48"/>
                <w:lang w:val="en-GB"/>
              </w:rPr>
              <w:t xml:space="preserve"> - Public</w:t>
            </w:r>
          </w:p>
        </w:tc>
        <w:tc>
          <w:tcPr>
            <w:tcW w:w="0" w:type="auto"/>
            <w:tcBorders>
              <w:top w:val="nil"/>
              <w:left w:val="nil"/>
              <w:right w:val="nil"/>
            </w:tcBorders>
            <w:shd w:val="clear" w:color="auto" w:fill="auto"/>
          </w:tcPr>
          <w:p w14:paraId="420D4D36" w14:textId="77777777" w:rsidR="008373BD" w:rsidRPr="003903B5" w:rsidRDefault="008373BD" w:rsidP="003903B5">
            <w:pPr>
              <w:pStyle w:val="BodyTextNoSpacing"/>
              <w:jc w:val="center"/>
              <w:rPr>
                <w:rFonts w:asciiTheme="minorHAnsi" w:hAnsiTheme="minorHAnsi" w:cstheme="minorHAnsi"/>
                <w:b/>
                <w:color w:val="398E63"/>
                <w:sz w:val="40"/>
              </w:rPr>
            </w:pPr>
          </w:p>
        </w:tc>
      </w:tr>
      <w:tr w:rsidR="008373BD" w:rsidRPr="00232923" w14:paraId="4E7D3482" w14:textId="1357F001" w:rsidTr="008373BD">
        <w:tc>
          <w:tcPr>
            <w:tcW w:w="0" w:type="auto"/>
            <w:tcBorders>
              <w:top w:val="single" w:sz="4" w:space="0" w:color="auto"/>
            </w:tcBorders>
            <w:shd w:val="clear" w:color="auto" w:fill="D9D9D9" w:themeFill="background1" w:themeFillShade="D9"/>
          </w:tcPr>
          <w:p w14:paraId="657A03E9" w14:textId="77777777" w:rsidR="008373BD" w:rsidRPr="004B31EA" w:rsidRDefault="008373BD" w:rsidP="003903B5">
            <w:pPr>
              <w:pStyle w:val="ColumnHeading"/>
              <w:rPr>
                <w:rFonts w:asciiTheme="minorHAnsi" w:hAnsiTheme="minorHAnsi" w:cstheme="minorHAnsi"/>
                <w:lang w:val="en-GB"/>
              </w:rPr>
            </w:pPr>
            <w:bookmarkStart w:id="0" w:name="dcusa_response1"/>
            <w:r w:rsidRPr="00232923">
              <w:rPr>
                <w:rFonts w:asciiTheme="minorHAnsi" w:hAnsiTheme="minorHAnsi" w:cstheme="minorHAnsi"/>
              </w:rPr>
              <w:t>Company</w:t>
            </w:r>
          </w:p>
        </w:tc>
        <w:tc>
          <w:tcPr>
            <w:tcW w:w="0" w:type="auto"/>
            <w:tcBorders>
              <w:top w:val="single" w:sz="4" w:space="0" w:color="auto"/>
            </w:tcBorders>
            <w:shd w:val="clear" w:color="auto" w:fill="D9D9D9" w:themeFill="background1" w:themeFillShade="D9"/>
          </w:tcPr>
          <w:p w14:paraId="14F4F8DC" w14:textId="77777777" w:rsidR="008373BD" w:rsidRPr="00232923" w:rsidRDefault="008373BD" w:rsidP="003903B5">
            <w:pPr>
              <w:pStyle w:val="ColumnHeading"/>
              <w:rPr>
                <w:rFonts w:asciiTheme="minorHAnsi" w:hAnsiTheme="minorHAnsi" w:cstheme="minorHAnsi"/>
              </w:rPr>
            </w:pPr>
            <w:r w:rsidRPr="00232923">
              <w:rPr>
                <w:rFonts w:asciiTheme="minorHAnsi" w:hAnsiTheme="minorHAnsi" w:cstheme="minorHAnsi"/>
              </w:rPr>
              <w:t>Confidential/</w:t>
            </w:r>
          </w:p>
          <w:p w14:paraId="14FBC307" w14:textId="77777777" w:rsidR="008373BD" w:rsidRPr="00232923" w:rsidRDefault="008373BD" w:rsidP="003903B5">
            <w:pPr>
              <w:pStyle w:val="ColumnHeading"/>
              <w:rPr>
                <w:rFonts w:asciiTheme="minorHAnsi" w:hAnsiTheme="minorHAnsi" w:cstheme="minorHAnsi"/>
              </w:rPr>
            </w:pPr>
            <w:r w:rsidRPr="00232923">
              <w:rPr>
                <w:rFonts w:asciiTheme="minorHAnsi" w:hAnsiTheme="minorHAnsi" w:cstheme="minorHAnsi"/>
              </w:rPr>
              <w:t>Anonymous</w:t>
            </w:r>
          </w:p>
        </w:tc>
        <w:tc>
          <w:tcPr>
            <w:tcW w:w="0" w:type="auto"/>
            <w:tcBorders>
              <w:top w:val="single" w:sz="4" w:space="0" w:color="auto"/>
            </w:tcBorders>
            <w:shd w:val="clear" w:color="auto" w:fill="D9D9D9" w:themeFill="background1" w:themeFillShade="D9"/>
          </w:tcPr>
          <w:p w14:paraId="19759260" w14:textId="4B33FFF8" w:rsidR="008373BD" w:rsidRPr="004B31EA" w:rsidRDefault="008373BD" w:rsidP="00C53AD3">
            <w:pPr>
              <w:pStyle w:val="BodyTextNoSpacing"/>
              <w:numPr>
                <w:ilvl w:val="0"/>
                <w:numId w:val="5"/>
              </w:numPr>
              <w:rPr>
                <w:rFonts w:asciiTheme="minorHAnsi" w:hAnsiTheme="minorHAnsi" w:cstheme="minorHAnsi"/>
                <w:b/>
              </w:rPr>
            </w:pPr>
            <w:r w:rsidRPr="004B31EA">
              <w:rPr>
                <w:rFonts w:asciiTheme="minorHAnsi" w:hAnsiTheme="minorHAnsi" w:cstheme="minorHAnsi"/>
                <w:b/>
              </w:rPr>
              <w:t>Do you understand the intent of DCP 314?</w:t>
            </w:r>
          </w:p>
        </w:tc>
        <w:tc>
          <w:tcPr>
            <w:tcW w:w="0" w:type="auto"/>
            <w:tcBorders>
              <w:top w:val="single" w:sz="4" w:space="0" w:color="auto"/>
            </w:tcBorders>
            <w:shd w:val="clear" w:color="auto" w:fill="D9D9D9" w:themeFill="background1" w:themeFillShade="D9"/>
          </w:tcPr>
          <w:p w14:paraId="2F9F129B" w14:textId="5643F1EC" w:rsidR="008373BD" w:rsidRPr="008373BD" w:rsidRDefault="008373BD" w:rsidP="003903B5">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2BC23C70" w14:textId="04999FA6" w:rsidTr="008373BD">
        <w:tc>
          <w:tcPr>
            <w:tcW w:w="0" w:type="auto"/>
          </w:tcPr>
          <w:p w14:paraId="34542B9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1C18AA2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94373E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148E66E5" w14:textId="77777777" w:rsidR="008373BD" w:rsidRPr="003903B5" w:rsidRDefault="008373BD" w:rsidP="003903B5">
            <w:pPr>
              <w:pStyle w:val="BodyText"/>
              <w:rPr>
                <w:rFonts w:cstheme="minorHAnsi"/>
              </w:rPr>
            </w:pPr>
          </w:p>
        </w:tc>
      </w:tr>
      <w:tr w:rsidR="008373BD" w:rsidRPr="00232923" w14:paraId="1CEF84A5" w14:textId="360E0C86" w:rsidTr="008373BD">
        <w:tc>
          <w:tcPr>
            <w:tcW w:w="0" w:type="auto"/>
          </w:tcPr>
          <w:p w14:paraId="55954E2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5BE43A9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DA84F1A"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do understand the intent of the change.</w:t>
            </w:r>
          </w:p>
        </w:tc>
        <w:tc>
          <w:tcPr>
            <w:tcW w:w="0" w:type="auto"/>
            <w:shd w:val="clear" w:color="auto" w:fill="E2EFD9" w:themeFill="accent6" w:themeFillTint="33"/>
          </w:tcPr>
          <w:p w14:paraId="54034666" w14:textId="77777777" w:rsidR="008373BD" w:rsidRPr="003903B5" w:rsidRDefault="008373BD" w:rsidP="003903B5">
            <w:pPr>
              <w:pStyle w:val="BodyText"/>
              <w:rPr>
                <w:rFonts w:cstheme="minorHAnsi"/>
              </w:rPr>
            </w:pPr>
          </w:p>
        </w:tc>
      </w:tr>
      <w:tr w:rsidR="008373BD" w:rsidRPr="00232923" w14:paraId="345A18B3" w14:textId="1CB0891B" w:rsidTr="008373BD">
        <w:tc>
          <w:tcPr>
            <w:tcW w:w="0" w:type="auto"/>
          </w:tcPr>
          <w:p w14:paraId="2BC06C8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100F846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E5740B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3B888050" w14:textId="77777777" w:rsidR="008373BD" w:rsidRPr="003903B5" w:rsidRDefault="008373BD" w:rsidP="003903B5">
            <w:pPr>
              <w:pStyle w:val="BodyText"/>
              <w:rPr>
                <w:rFonts w:cstheme="minorHAnsi"/>
              </w:rPr>
            </w:pPr>
          </w:p>
        </w:tc>
      </w:tr>
      <w:tr w:rsidR="008373BD" w:rsidRPr="00232923" w14:paraId="0C5DE88C" w14:textId="7EAF5D0B" w:rsidTr="008373BD">
        <w:tc>
          <w:tcPr>
            <w:tcW w:w="0" w:type="auto"/>
          </w:tcPr>
          <w:p w14:paraId="7F7266A9" w14:textId="3147E670"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62D96737" w14:textId="2F8ABC1B"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495992B4" w14:textId="559C4A5F" w:rsidR="008373BD" w:rsidRPr="00094FAC" w:rsidRDefault="005053C6" w:rsidP="003903B5">
            <w:pPr>
              <w:pStyle w:val="BodyText"/>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289162FD" w14:textId="77777777" w:rsidR="008373BD" w:rsidRPr="00B00177" w:rsidRDefault="008373BD" w:rsidP="003903B5">
            <w:pPr>
              <w:pStyle w:val="BodyText"/>
              <w:rPr>
                <w:rFonts w:cstheme="minorHAnsi"/>
                <w:color w:val="FF0000"/>
              </w:rPr>
            </w:pPr>
          </w:p>
        </w:tc>
      </w:tr>
      <w:tr w:rsidR="008373BD" w:rsidRPr="00232923" w14:paraId="08345B6B" w14:textId="6C8F3E47" w:rsidTr="008373BD">
        <w:tc>
          <w:tcPr>
            <w:tcW w:w="0" w:type="auto"/>
          </w:tcPr>
          <w:p w14:paraId="09AEFE9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196944B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67CF45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understand the intent of DCP 314, but we believe it is based on an incorrect assumption; namely that independent distribution network operators (IDNOs) and distribution network operators (DNOs) operating out of area should be allowed to recover all bad debts associated with supplier failure.</w:t>
            </w:r>
          </w:p>
          <w:p w14:paraId="32B7B19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do not consider it appropriate to allow licensed distribution network operators (LDNOs, being IDNOs and DNOs operating out of area) to recover bad debts associated with defaulting suppliers. Ofgem has allowed LDNOs to operate on an unregulated basis since they win new network competitively. Bad debts associated with defaulting suppliers simply represent one of many business risks LDNOs face in a competitive market.</w:t>
            </w:r>
          </w:p>
          <w:p w14:paraId="4C248FA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Conversely DNOs are heavily regulated, and earn a low return on capital employed on long term investments. If costs beyond the control of DNOs were not recoverable, it would add to business risk, raise the cost of capital, and increase costs to energy consumers in the longer term.</w:t>
            </w:r>
          </w:p>
          <w:p w14:paraId="31A7AA13"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lastRenderedPageBreak/>
              <w:t>LDNOs will have priced the risk of bad debts into business decisions made when adopting new developments, either explicitly or through assumptions on the cost of capital. Hence allowing LDNOs to recover a portion of such bad debts from the host DNO would result in a windfall gain for LDNOs, at the expense of customers.</w:t>
            </w:r>
          </w:p>
        </w:tc>
        <w:tc>
          <w:tcPr>
            <w:tcW w:w="0" w:type="auto"/>
            <w:shd w:val="clear" w:color="auto" w:fill="E2EFD9" w:themeFill="accent6" w:themeFillTint="33"/>
          </w:tcPr>
          <w:p w14:paraId="4E5516BD" w14:textId="77777777" w:rsidR="008373BD" w:rsidRPr="003903B5" w:rsidRDefault="008373BD" w:rsidP="003903B5">
            <w:pPr>
              <w:pStyle w:val="BodyText"/>
              <w:rPr>
                <w:rFonts w:cstheme="minorHAnsi"/>
              </w:rPr>
            </w:pPr>
          </w:p>
        </w:tc>
      </w:tr>
      <w:tr w:rsidR="008373BD" w:rsidRPr="00232923" w14:paraId="7483B517" w14:textId="31562EB2" w:rsidTr="008373BD">
        <w:tc>
          <w:tcPr>
            <w:tcW w:w="0" w:type="auto"/>
          </w:tcPr>
          <w:p w14:paraId="5BA3DA6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37FEAD0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0400EC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524A3AEE" w14:textId="77777777" w:rsidR="008373BD" w:rsidRPr="003903B5" w:rsidRDefault="008373BD" w:rsidP="003903B5">
            <w:pPr>
              <w:pStyle w:val="BodyText"/>
              <w:rPr>
                <w:rFonts w:cstheme="minorHAnsi"/>
              </w:rPr>
            </w:pPr>
          </w:p>
        </w:tc>
      </w:tr>
      <w:tr w:rsidR="008373BD" w:rsidRPr="00232923" w14:paraId="4BC896A7" w14:textId="04C39541" w:rsidTr="008373BD">
        <w:tc>
          <w:tcPr>
            <w:tcW w:w="0" w:type="auto"/>
          </w:tcPr>
          <w:p w14:paraId="7BC73A8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251D1A9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892130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Whilst we understand the intent we believe consumers interests would be best served by a modification to the IDNO licence so that LDNO bad debt is recovered in a more cost reflective way.</w:t>
            </w:r>
          </w:p>
          <w:p w14:paraId="46F1F81F" w14:textId="77777777" w:rsidR="008373BD" w:rsidRPr="003903B5" w:rsidRDefault="008373BD" w:rsidP="003903B5">
            <w:pPr>
              <w:pStyle w:val="BodyTextNoSpacing"/>
              <w:rPr>
                <w:rFonts w:asciiTheme="minorHAnsi" w:hAnsiTheme="minorHAnsi" w:cstheme="minorHAnsi"/>
                <w:sz w:val="22"/>
                <w:szCs w:val="22"/>
              </w:rPr>
            </w:pPr>
          </w:p>
        </w:tc>
        <w:tc>
          <w:tcPr>
            <w:tcW w:w="0" w:type="auto"/>
            <w:shd w:val="clear" w:color="auto" w:fill="E2EFD9" w:themeFill="accent6" w:themeFillTint="33"/>
          </w:tcPr>
          <w:p w14:paraId="5E419B74" w14:textId="77777777" w:rsidR="008373BD" w:rsidRPr="003903B5" w:rsidRDefault="008373BD" w:rsidP="003903B5">
            <w:pPr>
              <w:pStyle w:val="BodyText"/>
              <w:rPr>
                <w:rFonts w:cstheme="minorHAnsi"/>
              </w:rPr>
            </w:pPr>
          </w:p>
        </w:tc>
      </w:tr>
      <w:tr w:rsidR="008373BD" w:rsidRPr="00232923" w14:paraId="6C5E14B5" w14:textId="15F59DDD" w:rsidTr="008373BD">
        <w:tc>
          <w:tcPr>
            <w:tcW w:w="0" w:type="auto"/>
          </w:tcPr>
          <w:p w14:paraId="694852E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16A0E6F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5C89DE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0AB5F045" w14:textId="77777777" w:rsidR="008373BD" w:rsidRPr="003903B5" w:rsidRDefault="008373BD" w:rsidP="003903B5">
            <w:pPr>
              <w:pStyle w:val="BodyText"/>
              <w:rPr>
                <w:rFonts w:cstheme="minorHAnsi"/>
              </w:rPr>
            </w:pPr>
          </w:p>
        </w:tc>
      </w:tr>
      <w:tr w:rsidR="008373BD" w:rsidRPr="00232923" w14:paraId="728F38DB" w14:textId="00CF3766" w:rsidTr="008373BD">
        <w:tc>
          <w:tcPr>
            <w:tcW w:w="0" w:type="auto"/>
          </w:tcPr>
          <w:p w14:paraId="704D5EA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633468D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CA78B13"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288CFD9A" w14:textId="77777777" w:rsidR="008373BD" w:rsidRPr="003903B5" w:rsidRDefault="008373BD" w:rsidP="003903B5">
            <w:pPr>
              <w:pStyle w:val="BodyText"/>
              <w:rPr>
                <w:rFonts w:cstheme="minorHAnsi"/>
              </w:rPr>
            </w:pPr>
          </w:p>
        </w:tc>
      </w:tr>
      <w:tr w:rsidR="00C53AD3" w:rsidRPr="00232923" w14:paraId="5D061C4C" w14:textId="77777777" w:rsidTr="00C53AD3">
        <w:tc>
          <w:tcPr>
            <w:tcW w:w="0" w:type="auto"/>
            <w:gridSpan w:val="4"/>
            <w:shd w:val="clear" w:color="auto" w:fill="E2EFD9" w:themeFill="accent6" w:themeFillTint="33"/>
          </w:tcPr>
          <w:p w14:paraId="5D45E243" w14:textId="77777777" w:rsidR="00C53AD3" w:rsidRPr="003903B5" w:rsidRDefault="00C53AD3" w:rsidP="003903B5">
            <w:pPr>
              <w:pStyle w:val="BodyText"/>
              <w:rPr>
                <w:rFonts w:cstheme="minorHAnsi"/>
              </w:rPr>
            </w:pPr>
            <w:bookmarkStart w:id="1" w:name="_Hlk525559216"/>
          </w:p>
        </w:tc>
      </w:tr>
      <w:bookmarkEnd w:id="0"/>
      <w:bookmarkEnd w:id="1"/>
    </w:tbl>
    <w:p w14:paraId="4DAD2387"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911"/>
        <w:gridCol w:w="1403"/>
        <w:gridCol w:w="8132"/>
        <w:gridCol w:w="1394"/>
      </w:tblGrid>
      <w:tr w:rsidR="008373BD" w:rsidRPr="00232923" w14:paraId="52AA5996" w14:textId="73A809D9"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6FD92BAC" w14:textId="77777777" w:rsidR="008373BD" w:rsidRPr="00232923" w:rsidRDefault="008373BD" w:rsidP="00232923">
            <w:pPr>
              <w:pStyle w:val="ColumnHeading"/>
              <w:rPr>
                <w:rFonts w:asciiTheme="minorHAnsi" w:hAnsiTheme="minorHAnsi" w:cstheme="minorHAnsi"/>
              </w:rPr>
            </w:pPr>
            <w:bookmarkStart w:id="2" w:name="dcusa_response2"/>
            <w:r w:rsidRPr="00232923">
              <w:rPr>
                <w:rFonts w:asciiTheme="minorHAnsi" w:hAnsiTheme="minorHAnsi" w:cstheme="minorHAnsi"/>
              </w:rPr>
              <w:t>Company</w:t>
            </w:r>
          </w:p>
        </w:tc>
        <w:tc>
          <w:tcPr>
            <w:tcW w:w="0" w:type="auto"/>
          </w:tcPr>
          <w:p w14:paraId="796D605D"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7416CBCA"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2994F5E7" w14:textId="5682F036" w:rsidR="008373BD" w:rsidRPr="004B31EA" w:rsidRDefault="008373BD" w:rsidP="00C53AD3">
            <w:pPr>
              <w:pStyle w:val="BodyTextNoSpacing"/>
              <w:numPr>
                <w:ilvl w:val="0"/>
                <w:numId w:val="5"/>
              </w:numPr>
              <w:rPr>
                <w:rFonts w:asciiTheme="minorHAnsi" w:hAnsiTheme="minorHAnsi" w:cstheme="minorHAnsi"/>
                <w:b/>
              </w:rPr>
            </w:pPr>
            <w:r w:rsidRPr="004B31EA">
              <w:rPr>
                <w:rFonts w:asciiTheme="minorHAnsi" w:hAnsiTheme="minorHAnsi" w:cstheme="minorHAnsi"/>
                <w:b/>
              </w:rPr>
              <w:t>Do you agree with the principles of DCP 314?</w:t>
            </w:r>
          </w:p>
        </w:tc>
        <w:tc>
          <w:tcPr>
            <w:tcW w:w="0" w:type="auto"/>
          </w:tcPr>
          <w:p w14:paraId="108EBDC0" w14:textId="1FB4067A"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C53AD3" w:rsidRPr="00232923" w14:paraId="17FBD974" w14:textId="4F12223A" w:rsidTr="00C53AD3">
        <w:tc>
          <w:tcPr>
            <w:tcW w:w="0" w:type="auto"/>
          </w:tcPr>
          <w:p w14:paraId="6C3BB1F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492684A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5BCD31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05B7DCBF" w14:textId="77777777" w:rsidR="008373BD" w:rsidRPr="003903B5" w:rsidRDefault="008373BD" w:rsidP="00232923">
            <w:pPr>
              <w:pStyle w:val="BodyText"/>
              <w:rPr>
                <w:rFonts w:cstheme="minorHAnsi"/>
              </w:rPr>
            </w:pPr>
          </w:p>
        </w:tc>
      </w:tr>
      <w:tr w:rsidR="00C53AD3" w:rsidRPr="00232923" w14:paraId="6CCCF5C9" w14:textId="799C3E69" w:rsidTr="00C53AD3">
        <w:tc>
          <w:tcPr>
            <w:tcW w:w="0" w:type="auto"/>
          </w:tcPr>
          <w:p w14:paraId="33D1E96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Electricity North West</w:t>
            </w:r>
          </w:p>
        </w:tc>
        <w:tc>
          <w:tcPr>
            <w:tcW w:w="0" w:type="auto"/>
          </w:tcPr>
          <w:p w14:paraId="16F4832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D57CAAE"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We understand that the underlying principle of DCP 314 is that LDNOs should not be disadvantaged following the appointment of a Supplier of Last Resort in relation to a bad debt, but we believe this should be achieved through licence modifications that also provide a mechanism for DNOs to recover bad debt related costs, rather than progressing this change at this time.</w:t>
            </w:r>
          </w:p>
          <w:p w14:paraId="6C073D7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We are also concerned that as the LDNOs generally mirror the DNOs all-the-way tariffs, and DNOs would recover the bad debt costs through higher all-the-way tariffs, that these proposals would result in a higher margin for LDNOs; unless changes to the charging methodology ensured that LDNO tariffs were increased by the same value as all-the-way tariffs.</w:t>
            </w:r>
          </w:p>
        </w:tc>
        <w:tc>
          <w:tcPr>
            <w:tcW w:w="0" w:type="auto"/>
            <w:shd w:val="clear" w:color="auto" w:fill="E2EFD9" w:themeFill="accent6" w:themeFillTint="33"/>
          </w:tcPr>
          <w:p w14:paraId="7A1336BB" w14:textId="77777777" w:rsidR="008373BD" w:rsidRPr="003903B5" w:rsidRDefault="008373BD" w:rsidP="00232923">
            <w:pPr>
              <w:pStyle w:val="BodyText"/>
              <w:rPr>
                <w:rFonts w:cstheme="minorHAnsi"/>
              </w:rPr>
            </w:pPr>
          </w:p>
        </w:tc>
      </w:tr>
      <w:tr w:rsidR="00C53AD3" w:rsidRPr="00232923" w14:paraId="41B6FF1F" w14:textId="4E27960D" w:rsidTr="00C53AD3">
        <w:tc>
          <w:tcPr>
            <w:tcW w:w="0" w:type="auto"/>
          </w:tcPr>
          <w:p w14:paraId="0DFE02DA"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64C02F26"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BDDA95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5FB43CC6" w14:textId="77777777" w:rsidR="008373BD" w:rsidRPr="003903B5" w:rsidRDefault="008373BD" w:rsidP="00232923">
            <w:pPr>
              <w:pStyle w:val="BodyText"/>
              <w:rPr>
                <w:rFonts w:cstheme="minorHAnsi"/>
              </w:rPr>
            </w:pPr>
          </w:p>
        </w:tc>
      </w:tr>
      <w:tr w:rsidR="00C53AD3" w:rsidRPr="00232923" w14:paraId="344E5F88" w14:textId="208C5FC8" w:rsidTr="00C53AD3">
        <w:tc>
          <w:tcPr>
            <w:tcW w:w="0" w:type="auto"/>
          </w:tcPr>
          <w:p w14:paraId="246613CB" w14:textId="32EA76CB"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7B1209D1" w14:textId="438F04A7"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E0F842B" w14:textId="741029C1" w:rsidR="008373BD" w:rsidRPr="00094FAC" w:rsidRDefault="005053C6" w:rsidP="003903B5">
            <w:pPr>
              <w:pStyle w:val="BodyText"/>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44434C0E" w14:textId="77777777" w:rsidR="008373BD" w:rsidRPr="00B00177" w:rsidRDefault="008373BD" w:rsidP="003903B5">
            <w:pPr>
              <w:pStyle w:val="BodyText"/>
              <w:rPr>
                <w:rFonts w:cstheme="minorHAnsi"/>
                <w:color w:val="FF0000"/>
              </w:rPr>
            </w:pPr>
          </w:p>
        </w:tc>
      </w:tr>
      <w:tr w:rsidR="00C53AD3" w:rsidRPr="00232923" w14:paraId="21B2FA2B" w14:textId="64C98B1A" w:rsidTr="00C53AD3">
        <w:tc>
          <w:tcPr>
            <w:tcW w:w="0" w:type="auto"/>
          </w:tcPr>
          <w:p w14:paraId="3DB3AC4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30E4679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567299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 As we have laid out in response to question one, we do not agree with the underlying principle that LDNOs should be allowed to recover bad debts associated with defaulting suppliers.</w:t>
            </w:r>
          </w:p>
        </w:tc>
        <w:tc>
          <w:tcPr>
            <w:tcW w:w="0" w:type="auto"/>
            <w:shd w:val="clear" w:color="auto" w:fill="E2EFD9" w:themeFill="accent6" w:themeFillTint="33"/>
          </w:tcPr>
          <w:p w14:paraId="22EA525E" w14:textId="77777777" w:rsidR="008373BD" w:rsidRPr="003903B5" w:rsidRDefault="008373BD" w:rsidP="003903B5">
            <w:pPr>
              <w:pStyle w:val="BodyText"/>
              <w:rPr>
                <w:rFonts w:cstheme="minorHAnsi"/>
              </w:rPr>
            </w:pPr>
          </w:p>
        </w:tc>
      </w:tr>
      <w:tr w:rsidR="00C53AD3" w:rsidRPr="00232923" w14:paraId="0736AE35" w14:textId="1266A589" w:rsidTr="00C53AD3">
        <w:tc>
          <w:tcPr>
            <w:tcW w:w="0" w:type="auto"/>
          </w:tcPr>
          <w:p w14:paraId="6A34109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6A6C9FC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43AA75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acknowledge that IDNOs are, in the same way as DNOs, obligated by Schedule 1 of DCUSA to provide potentially substantial levels of unsecured credit to electricity suppliers. However, IDNOs are not subject to recovery arrangements which provide mitigation to the bad debt exposure which clearly exists under these mandatory credit arrangements.</w:t>
            </w:r>
          </w:p>
          <w:p w14:paraId="39321C08"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We also recognise that the basis of the DCUSA credit arrangements is primarily the 2005 Ofgem ‘best practice’ guidance document, which drew on industry discussions and consultations in 2004 and earlier. This guidance, which Ofgem have confirmed as essentially remaining current, pre-dated embedded network development and operation on the scale which has subsequently emerged. It therefore did not consider </w:t>
            </w:r>
            <w:r w:rsidRPr="003903B5">
              <w:rPr>
                <w:rFonts w:asciiTheme="minorHAnsi" w:hAnsiTheme="minorHAnsi" w:cstheme="minorHAnsi"/>
                <w:sz w:val="22"/>
                <w:szCs w:val="22"/>
              </w:rPr>
              <w:lastRenderedPageBreak/>
              <w:t>how DUoS bad debt incurred by IDNOs should be handled and therefore requires to be significantly updated to reflect the current structures of electricity distribution.</w:t>
            </w:r>
          </w:p>
          <w:p w14:paraId="526A229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Accordingly, we agree that there is a firm case for an IDNO bad debt recovery mechanism. Although we have major reservations about DNOs taking on IDNO bad debt, we broadly but conditionally agree with the principles of this DCP to enable a form of bad debt protection for IDNOs to be implemented in the near term. </w:t>
            </w:r>
          </w:p>
          <w:p w14:paraId="4CBCEF5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However, our support for the principles of the DCP is entirely conditional on the change representing a short term, temporary measure, pending development of a licence modification (and associated revised guidance) which provides for an alternative IDNO recovery process. The enduring process in our view must not require DNOs to carry and finance IDNO supplier bad debt for lengthy periods or require DNO administrative involvement. </w:t>
            </w:r>
          </w:p>
        </w:tc>
        <w:tc>
          <w:tcPr>
            <w:tcW w:w="0" w:type="auto"/>
            <w:shd w:val="clear" w:color="auto" w:fill="E2EFD9" w:themeFill="accent6" w:themeFillTint="33"/>
          </w:tcPr>
          <w:p w14:paraId="06E933E4" w14:textId="77777777" w:rsidR="008373BD" w:rsidRPr="003903B5" w:rsidRDefault="008373BD" w:rsidP="003903B5">
            <w:pPr>
              <w:pStyle w:val="BodyText"/>
              <w:rPr>
                <w:rFonts w:cstheme="minorHAnsi"/>
              </w:rPr>
            </w:pPr>
          </w:p>
        </w:tc>
      </w:tr>
      <w:tr w:rsidR="00C53AD3" w:rsidRPr="00232923" w14:paraId="658A952D" w14:textId="3B78715E" w:rsidTr="00C53AD3">
        <w:tc>
          <w:tcPr>
            <w:tcW w:w="0" w:type="auto"/>
          </w:tcPr>
          <w:p w14:paraId="57C5D35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5B48766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5F3658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As previously stated in question one, in principle we believe that an IDNO Licence modification best serves all parties.</w:t>
            </w:r>
          </w:p>
        </w:tc>
        <w:tc>
          <w:tcPr>
            <w:tcW w:w="0" w:type="auto"/>
            <w:shd w:val="clear" w:color="auto" w:fill="E2EFD9" w:themeFill="accent6" w:themeFillTint="33"/>
          </w:tcPr>
          <w:p w14:paraId="16A1FE30" w14:textId="77777777" w:rsidR="008373BD" w:rsidRPr="003903B5" w:rsidRDefault="008373BD" w:rsidP="003903B5">
            <w:pPr>
              <w:pStyle w:val="BodyTextNoSpacing"/>
              <w:rPr>
                <w:rFonts w:asciiTheme="minorHAnsi" w:hAnsiTheme="minorHAnsi" w:cstheme="minorHAnsi"/>
                <w:sz w:val="22"/>
                <w:szCs w:val="22"/>
              </w:rPr>
            </w:pPr>
          </w:p>
        </w:tc>
      </w:tr>
      <w:tr w:rsidR="00C53AD3" w:rsidRPr="00232923" w14:paraId="651AF45B" w14:textId="5FA14583" w:rsidTr="00C53AD3">
        <w:tc>
          <w:tcPr>
            <w:tcW w:w="0" w:type="auto"/>
          </w:tcPr>
          <w:p w14:paraId="1089D4D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12B6E86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DFE0538"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At a high level yes we agree, however we are aware that work is currently taking place with Ofgem to look at the arrangements for DNO recovery of bad debts.  It would therefore not be appropriate for a solution on DCP314 to be agreed prior to those wider discussions having concluded, to avoid the risk of an inconsistent approach between how DNOs and IDNOs would be able to deal with bad debt issues. </w:t>
            </w:r>
          </w:p>
        </w:tc>
        <w:tc>
          <w:tcPr>
            <w:tcW w:w="0" w:type="auto"/>
            <w:shd w:val="clear" w:color="auto" w:fill="E2EFD9" w:themeFill="accent6" w:themeFillTint="33"/>
          </w:tcPr>
          <w:p w14:paraId="48F496C5" w14:textId="77777777" w:rsidR="008373BD" w:rsidRPr="003903B5" w:rsidRDefault="008373BD" w:rsidP="003903B5">
            <w:pPr>
              <w:pStyle w:val="BodyText"/>
              <w:rPr>
                <w:rFonts w:cstheme="minorHAnsi"/>
              </w:rPr>
            </w:pPr>
          </w:p>
        </w:tc>
      </w:tr>
      <w:tr w:rsidR="00C53AD3" w:rsidRPr="00232923" w14:paraId="2EFA6EF8" w14:textId="6A48D7C9" w:rsidTr="00C53AD3">
        <w:tc>
          <w:tcPr>
            <w:tcW w:w="0" w:type="auto"/>
          </w:tcPr>
          <w:p w14:paraId="561D3E0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3AE216E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E9616E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WPD agree with the principles of the DCP although the consultation and legal text needs to specify what should happen about the LDNOs credit cover and how this should be apportioned, and more direction needs to be specified in the legal text regarding administrator payments sent to the LDNO. </w:t>
            </w:r>
          </w:p>
        </w:tc>
        <w:tc>
          <w:tcPr>
            <w:tcW w:w="0" w:type="auto"/>
            <w:shd w:val="clear" w:color="auto" w:fill="E2EFD9" w:themeFill="accent6" w:themeFillTint="33"/>
          </w:tcPr>
          <w:p w14:paraId="078B1A28" w14:textId="77777777" w:rsidR="008373BD" w:rsidRPr="003903B5" w:rsidRDefault="008373BD" w:rsidP="003903B5">
            <w:pPr>
              <w:pStyle w:val="BodyText"/>
              <w:rPr>
                <w:rFonts w:cstheme="minorHAnsi"/>
              </w:rPr>
            </w:pPr>
          </w:p>
        </w:tc>
      </w:tr>
      <w:tr w:rsidR="00C53AD3" w:rsidRPr="00232923" w14:paraId="4EE7F929" w14:textId="77777777" w:rsidTr="00C53AD3">
        <w:tc>
          <w:tcPr>
            <w:tcW w:w="0" w:type="auto"/>
            <w:gridSpan w:val="4"/>
            <w:shd w:val="clear" w:color="auto" w:fill="E2EFD9" w:themeFill="accent6" w:themeFillTint="33"/>
          </w:tcPr>
          <w:p w14:paraId="50F12A13" w14:textId="77777777" w:rsidR="00C53AD3" w:rsidRPr="003903B5" w:rsidRDefault="00C53AD3" w:rsidP="003903B5">
            <w:pPr>
              <w:pStyle w:val="BodyText"/>
              <w:rPr>
                <w:rFonts w:cstheme="minorHAnsi"/>
              </w:rPr>
            </w:pPr>
          </w:p>
        </w:tc>
      </w:tr>
      <w:bookmarkEnd w:id="2"/>
    </w:tbl>
    <w:p w14:paraId="5F276E59"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69"/>
        <w:gridCol w:w="1401"/>
        <w:gridCol w:w="8185"/>
        <w:gridCol w:w="1385"/>
      </w:tblGrid>
      <w:tr w:rsidR="008373BD" w:rsidRPr="00232923" w14:paraId="19FA2C37" w14:textId="070F45B6"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230EF6A4" w14:textId="77777777" w:rsidR="008373BD" w:rsidRPr="00232923" w:rsidRDefault="008373BD" w:rsidP="00232923">
            <w:pPr>
              <w:pStyle w:val="ColumnHeading"/>
              <w:rPr>
                <w:rFonts w:asciiTheme="minorHAnsi" w:hAnsiTheme="minorHAnsi" w:cstheme="minorHAnsi"/>
              </w:rPr>
            </w:pPr>
            <w:bookmarkStart w:id="3" w:name="dcusa_response3"/>
            <w:r w:rsidRPr="00232923">
              <w:rPr>
                <w:rFonts w:asciiTheme="minorHAnsi" w:hAnsiTheme="minorHAnsi" w:cstheme="minorHAnsi"/>
              </w:rPr>
              <w:lastRenderedPageBreak/>
              <w:t>Company</w:t>
            </w:r>
          </w:p>
        </w:tc>
        <w:tc>
          <w:tcPr>
            <w:tcW w:w="0" w:type="auto"/>
          </w:tcPr>
          <w:p w14:paraId="1018B398"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1EAE82AC"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27D7B9A8" w14:textId="48DB01EA" w:rsidR="008373BD" w:rsidRPr="004B31EA" w:rsidRDefault="008373BD" w:rsidP="00C53AD3">
            <w:pPr>
              <w:pStyle w:val="BodyTextNoSpacing"/>
              <w:numPr>
                <w:ilvl w:val="0"/>
                <w:numId w:val="5"/>
              </w:numPr>
              <w:rPr>
                <w:rFonts w:asciiTheme="minorHAnsi" w:hAnsiTheme="minorHAnsi" w:cstheme="minorHAnsi"/>
                <w:b/>
              </w:rPr>
            </w:pPr>
            <w:r w:rsidRPr="004B31EA">
              <w:rPr>
                <w:rFonts w:asciiTheme="minorHAnsi" w:hAnsiTheme="minorHAnsi" w:cstheme="minorHAnsi"/>
                <w:b/>
              </w:rPr>
              <w:t>Do you agree with the Working Group that the ultimate solution to this issue should be via a licence modification, but that DCP 314 should progress in the meantime? Please provide your rationale.</w:t>
            </w:r>
          </w:p>
        </w:tc>
        <w:tc>
          <w:tcPr>
            <w:tcW w:w="0" w:type="auto"/>
          </w:tcPr>
          <w:p w14:paraId="6FF215FB" w14:textId="452672CB"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6DC614B5" w14:textId="3542273C" w:rsidTr="00C53AD3">
        <w:tc>
          <w:tcPr>
            <w:tcW w:w="0" w:type="auto"/>
          </w:tcPr>
          <w:p w14:paraId="2D7EE6B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7865BED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256249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It is agreed that ultimately the most appropriate solution is via an amendment of the licence condition as this would remove and discriminatory difference between IDNOs and DNOs. It is also agreed that DCP 314 should continue to progress as there has been no direction from the Authority around associated timeframes to this potential change to licence conditions, and with the number of Suppliers defaulting increasing, a solution does need to be created, even if only for a the interim.</w:t>
            </w:r>
          </w:p>
        </w:tc>
        <w:tc>
          <w:tcPr>
            <w:tcW w:w="0" w:type="auto"/>
            <w:shd w:val="clear" w:color="auto" w:fill="E2EFD9" w:themeFill="accent6" w:themeFillTint="33"/>
          </w:tcPr>
          <w:p w14:paraId="45E7F5C0"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4CD18963" w14:textId="6ECB8F21" w:rsidTr="00C53AD3">
        <w:tc>
          <w:tcPr>
            <w:tcW w:w="0" w:type="auto"/>
          </w:tcPr>
          <w:p w14:paraId="631566F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471B7A9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43A54B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We agree that a licence modification is the ultimate solution. Consequently, it does not seem appropriate to be progressing this change at this time as we do not know the outcome of any licence modifications. It’s worth noting that there is no mechanism for DNOs to recover bad debt under the current price control and licence modifications need to be progressed for DNO’s too. </w:t>
            </w:r>
          </w:p>
        </w:tc>
        <w:tc>
          <w:tcPr>
            <w:tcW w:w="0" w:type="auto"/>
            <w:shd w:val="clear" w:color="auto" w:fill="E2EFD9" w:themeFill="accent6" w:themeFillTint="33"/>
          </w:tcPr>
          <w:p w14:paraId="123ED0AA"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1618980E" w14:textId="0ED7BDFC" w:rsidTr="00C53AD3">
        <w:tc>
          <w:tcPr>
            <w:tcW w:w="0" w:type="auto"/>
          </w:tcPr>
          <w:p w14:paraId="1D9073A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49B2B67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80E244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Ofgem has offered no indication as to what changes to Distribution Licence Conditions</w:t>
            </w:r>
          </w:p>
          <w:p w14:paraId="0191C096"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would allow the recovery of bad debt for DNOs and IDNOs that may or may not be</w:t>
            </w:r>
          </w:p>
          <w:p w14:paraId="4F95EE5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proposed. Furthermore, we also do not know if Ofgem’s proposals would even be an</w:t>
            </w:r>
          </w:p>
          <w:p w14:paraId="45E5741F"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improvement on this modification or indeed any firm commitment as to when such a</w:t>
            </w:r>
          </w:p>
          <w:p w14:paraId="0EA49983"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change would be published.</w:t>
            </w:r>
          </w:p>
          <w:p w14:paraId="5BA1FEAB" w14:textId="77777777" w:rsidR="008373BD" w:rsidRPr="003903B5" w:rsidRDefault="008373BD" w:rsidP="00232923">
            <w:pPr>
              <w:autoSpaceDE w:val="0"/>
              <w:autoSpaceDN w:val="0"/>
              <w:adjustRightInd w:val="0"/>
              <w:rPr>
                <w:rFonts w:asciiTheme="minorHAnsi" w:hAnsiTheme="minorHAnsi" w:cstheme="minorHAnsi"/>
                <w:sz w:val="22"/>
                <w:szCs w:val="22"/>
              </w:rPr>
            </w:pPr>
          </w:p>
          <w:p w14:paraId="70B3DC4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It is therefore impossible to comment on changes that have yet to be proposed.</w:t>
            </w:r>
          </w:p>
          <w:p w14:paraId="3F16A127"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Therefore, ESPE believes that the only option currently available is to pursue the</w:t>
            </w:r>
          </w:p>
          <w:p w14:paraId="62313DB1"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implementation of DCP314.</w:t>
            </w:r>
          </w:p>
        </w:tc>
        <w:tc>
          <w:tcPr>
            <w:tcW w:w="0" w:type="auto"/>
            <w:shd w:val="clear" w:color="auto" w:fill="E2EFD9" w:themeFill="accent6" w:themeFillTint="33"/>
          </w:tcPr>
          <w:p w14:paraId="05A0372E" w14:textId="77777777" w:rsidR="008373BD" w:rsidRPr="003903B5" w:rsidRDefault="008373BD" w:rsidP="00232923">
            <w:pPr>
              <w:autoSpaceDE w:val="0"/>
              <w:autoSpaceDN w:val="0"/>
              <w:adjustRightInd w:val="0"/>
              <w:rPr>
                <w:rFonts w:cstheme="minorHAnsi"/>
              </w:rPr>
            </w:pPr>
          </w:p>
        </w:tc>
      </w:tr>
      <w:tr w:rsidR="008373BD" w:rsidRPr="00232923" w14:paraId="47112B85" w14:textId="6E718FE3" w:rsidTr="00C53AD3">
        <w:tc>
          <w:tcPr>
            <w:tcW w:w="0" w:type="auto"/>
          </w:tcPr>
          <w:p w14:paraId="488E0204" w14:textId="0CBF60CF"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0AF01E63" w14:textId="64462B2D"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38CA61A8" w14:textId="56769796" w:rsidR="008373BD" w:rsidRPr="00094FAC"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5A9EFCD" w14:textId="77777777" w:rsidR="008373BD" w:rsidRPr="00B00177" w:rsidRDefault="008373BD" w:rsidP="003903B5">
            <w:pPr>
              <w:autoSpaceDE w:val="0"/>
              <w:autoSpaceDN w:val="0"/>
              <w:adjustRightInd w:val="0"/>
              <w:rPr>
                <w:rFonts w:cstheme="minorHAnsi"/>
                <w:color w:val="FF0000"/>
              </w:rPr>
            </w:pPr>
          </w:p>
        </w:tc>
      </w:tr>
      <w:tr w:rsidR="008373BD" w:rsidRPr="00232923" w14:paraId="00EA05D6" w14:textId="33615A86" w:rsidTr="00C53AD3">
        <w:tc>
          <w:tcPr>
            <w:tcW w:w="0" w:type="auto"/>
          </w:tcPr>
          <w:p w14:paraId="78BF5DB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607B0B7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B74F50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We do not consider that the Working Group has in fact identified any issue. The existing arrangements enable LDNOs to price in the risk of bad debts arising from defaulting suppliers into business decisions made when adopting new developments, and so LDNOs </w:t>
            </w:r>
            <w:r w:rsidRPr="003903B5">
              <w:rPr>
                <w:rFonts w:asciiTheme="minorHAnsi" w:hAnsiTheme="minorHAnsi" w:cstheme="minorHAnsi"/>
                <w:sz w:val="22"/>
                <w:szCs w:val="22"/>
              </w:rPr>
              <w:lastRenderedPageBreak/>
              <w:t>have already had the opportunity to recover costs associated with the risk of future bad debts. Hence no ‘issue’ has been identified.</w:t>
            </w:r>
          </w:p>
        </w:tc>
        <w:tc>
          <w:tcPr>
            <w:tcW w:w="0" w:type="auto"/>
            <w:shd w:val="clear" w:color="auto" w:fill="E2EFD9" w:themeFill="accent6" w:themeFillTint="33"/>
          </w:tcPr>
          <w:p w14:paraId="38DA925C"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598EA130" w14:textId="342D986F" w:rsidTr="00C53AD3">
        <w:tc>
          <w:tcPr>
            <w:tcW w:w="0" w:type="auto"/>
          </w:tcPr>
          <w:p w14:paraId="2CEE9E0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5930A69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A72E6F9"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As set out in our response to Q2, our heavily-qualified support for this DCP is based on it being strictly a temporary measure until a licence modification implements a more appropriate mechanism. In our view, if this DCP is implemented it must be replaced by an alternative process, independent of DNO input, as soon as possible to minimise the impact of complex administration and financing issues for the DNOs and to address underlying competition concerns.</w:t>
            </w:r>
          </w:p>
          <w:p w14:paraId="6513BBF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The ultimate IDNO bad debt recovery process which a licence modification brings into operation should operate entirely independently from DNOs, both from a point of overall principle but also because recovery through the DNOs potentially places significant administration and financing burdens on the DNOs. </w:t>
            </w:r>
          </w:p>
          <w:p w14:paraId="411EE6F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Bad debt support from DNOs in favour of IDNOs (the ‘I’ in this term standing for ‘independent’) is essentially incompatible with the spirit of distribution competition in our view. However, we acknowledge that there is a major flaw in the existing arrangements which is potentially very damaging for IDNO businesses and this DCP can provide a stop gap solution on a limited-time basis. </w:t>
            </w:r>
          </w:p>
        </w:tc>
        <w:tc>
          <w:tcPr>
            <w:tcW w:w="0" w:type="auto"/>
            <w:shd w:val="clear" w:color="auto" w:fill="E2EFD9" w:themeFill="accent6" w:themeFillTint="33"/>
          </w:tcPr>
          <w:p w14:paraId="543D98F7" w14:textId="77777777" w:rsidR="008373BD" w:rsidRPr="003903B5" w:rsidRDefault="008373BD" w:rsidP="003903B5">
            <w:pPr>
              <w:pStyle w:val="BodyText"/>
              <w:rPr>
                <w:rFonts w:cstheme="minorHAnsi"/>
              </w:rPr>
            </w:pPr>
          </w:p>
        </w:tc>
      </w:tr>
      <w:tr w:rsidR="008373BD" w:rsidRPr="00232923" w14:paraId="6EF28F3C" w14:textId="5A220FE0" w:rsidTr="00C53AD3">
        <w:tc>
          <w:tcPr>
            <w:tcW w:w="0" w:type="auto"/>
          </w:tcPr>
          <w:p w14:paraId="4FCA8F0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28DD91D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73031C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Yes we would agree that widening the scope of SLC 38 would be a sensible approach and consideration should be given to DUoS Bad debt recovery due to Supplier insolvency.  We would agree that the LDNO licence condition should also be modified to better protect IDNO’s from exposure when a Supplier goes into liquidation.</w:t>
            </w:r>
          </w:p>
        </w:tc>
        <w:tc>
          <w:tcPr>
            <w:tcW w:w="0" w:type="auto"/>
            <w:shd w:val="clear" w:color="auto" w:fill="E2EFD9" w:themeFill="accent6" w:themeFillTint="33"/>
          </w:tcPr>
          <w:p w14:paraId="67C7DD8A"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39E47933" w14:textId="798AD6D0" w:rsidTr="00C53AD3">
        <w:tc>
          <w:tcPr>
            <w:tcW w:w="0" w:type="auto"/>
          </w:tcPr>
          <w:p w14:paraId="6A6DD8D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1325C86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B8574F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Yes we do agree that the ultimate solution is a licence modification. Further to this we do believe that DCP314 or any governance modifications, should be ‘on hold’ until the licence change discussions have been concluded. </w:t>
            </w:r>
          </w:p>
        </w:tc>
        <w:tc>
          <w:tcPr>
            <w:tcW w:w="0" w:type="auto"/>
            <w:shd w:val="clear" w:color="auto" w:fill="E2EFD9" w:themeFill="accent6" w:themeFillTint="33"/>
          </w:tcPr>
          <w:p w14:paraId="5E5FE80A" w14:textId="77777777" w:rsidR="008373BD" w:rsidRPr="003903B5" w:rsidRDefault="008373BD" w:rsidP="003903B5">
            <w:pPr>
              <w:pStyle w:val="BodyText"/>
              <w:rPr>
                <w:rFonts w:cstheme="minorHAnsi"/>
              </w:rPr>
            </w:pPr>
          </w:p>
        </w:tc>
      </w:tr>
      <w:tr w:rsidR="008373BD" w:rsidRPr="00232923" w14:paraId="13B13153" w14:textId="2055B8DA" w:rsidTr="00C53AD3">
        <w:tc>
          <w:tcPr>
            <w:tcW w:w="0" w:type="auto"/>
          </w:tcPr>
          <w:p w14:paraId="0D0A7B1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6620C17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1AC226C"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WPD agree that the solution to this should be through a licence modification. The reasons for this are in the complications resulting from the issues raised in our answer to question 2 of this response.</w:t>
            </w:r>
          </w:p>
        </w:tc>
        <w:tc>
          <w:tcPr>
            <w:tcW w:w="0" w:type="auto"/>
            <w:shd w:val="clear" w:color="auto" w:fill="E2EFD9" w:themeFill="accent6" w:themeFillTint="33"/>
          </w:tcPr>
          <w:p w14:paraId="13A14848" w14:textId="77777777" w:rsidR="008373BD" w:rsidRPr="003903B5" w:rsidRDefault="008373BD" w:rsidP="003903B5">
            <w:pPr>
              <w:autoSpaceDE w:val="0"/>
              <w:autoSpaceDN w:val="0"/>
              <w:adjustRightInd w:val="0"/>
              <w:rPr>
                <w:rFonts w:cstheme="minorHAnsi"/>
              </w:rPr>
            </w:pPr>
          </w:p>
        </w:tc>
      </w:tr>
      <w:tr w:rsidR="00C53AD3" w:rsidRPr="00232923" w14:paraId="71E31BCF" w14:textId="77777777" w:rsidTr="00C53AD3">
        <w:tc>
          <w:tcPr>
            <w:tcW w:w="0" w:type="auto"/>
            <w:gridSpan w:val="4"/>
            <w:shd w:val="clear" w:color="auto" w:fill="E2EFD9" w:themeFill="accent6" w:themeFillTint="33"/>
          </w:tcPr>
          <w:p w14:paraId="28AC37BD" w14:textId="77777777" w:rsidR="00C53AD3" w:rsidRPr="003903B5" w:rsidRDefault="00C53AD3" w:rsidP="003903B5">
            <w:pPr>
              <w:autoSpaceDE w:val="0"/>
              <w:autoSpaceDN w:val="0"/>
              <w:adjustRightInd w:val="0"/>
              <w:rPr>
                <w:rFonts w:cstheme="minorHAnsi"/>
              </w:rPr>
            </w:pPr>
          </w:p>
        </w:tc>
      </w:tr>
      <w:bookmarkEnd w:id="3"/>
    </w:tbl>
    <w:p w14:paraId="7005A8FB"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92"/>
        <w:gridCol w:w="1402"/>
        <w:gridCol w:w="8156"/>
        <w:gridCol w:w="1390"/>
      </w:tblGrid>
      <w:tr w:rsidR="008373BD" w:rsidRPr="00232923" w14:paraId="6CD84D7A" w14:textId="38894D41"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5CE802E8" w14:textId="77777777" w:rsidR="008373BD" w:rsidRPr="00232923" w:rsidRDefault="008373BD" w:rsidP="00232923">
            <w:pPr>
              <w:pStyle w:val="ColumnHeading"/>
              <w:rPr>
                <w:rFonts w:asciiTheme="minorHAnsi" w:hAnsiTheme="minorHAnsi" w:cstheme="minorHAnsi"/>
              </w:rPr>
            </w:pPr>
            <w:bookmarkStart w:id="4" w:name="dcusa_response4"/>
            <w:r w:rsidRPr="00232923">
              <w:rPr>
                <w:rFonts w:asciiTheme="minorHAnsi" w:hAnsiTheme="minorHAnsi" w:cstheme="minorHAnsi"/>
              </w:rPr>
              <w:t>Company</w:t>
            </w:r>
          </w:p>
        </w:tc>
        <w:tc>
          <w:tcPr>
            <w:tcW w:w="0" w:type="auto"/>
          </w:tcPr>
          <w:p w14:paraId="4BC46A54"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492FEF82"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4F0423A5" w14:textId="370A50B2"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agree with the Working Group that Ofgem would need to either consider updating the 2005 document or provide a guidance note to allow the DNO to pass-through Bad Debt which has been transferred from the LDNO to the DNO?  Please provide your rationale.</w:t>
            </w:r>
          </w:p>
        </w:tc>
        <w:tc>
          <w:tcPr>
            <w:tcW w:w="0" w:type="auto"/>
          </w:tcPr>
          <w:p w14:paraId="06658358" w14:textId="4C1410D3"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4B2AF10B" w14:textId="7F6C7A71" w:rsidTr="00C53AD3">
        <w:tc>
          <w:tcPr>
            <w:tcW w:w="0" w:type="auto"/>
          </w:tcPr>
          <w:p w14:paraId="412127AC"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2FFBD01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A6BF88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It is felt that the best solution at present is for Ofgem to provide a guidance note to allow the DNO to pass-through Bad Debt. This quick win would coincide with the possibility of DCP 314 acting as an interim solution following a more thorough Ofgem review where they could also analyse the 2005 document and any suitable actions from it.</w:t>
            </w:r>
          </w:p>
        </w:tc>
        <w:tc>
          <w:tcPr>
            <w:tcW w:w="0" w:type="auto"/>
            <w:shd w:val="clear" w:color="auto" w:fill="E2EFD9" w:themeFill="accent6" w:themeFillTint="33"/>
          </w:tcPr>
          <w:p w14:paraId="7FA23915" w14:textId="77777777" w:rsidR="008373BD" w:rsidRPr="003903B5" w:rsidRDefault="008373BD" w:rsidP="00232923">
            <w:pPr>
              <w:pStyle w:val="BodyText"/>
              <w:rPr>
                <w:rFonts w:cstheme="minorHAnsi"/>
              </w:rPr>
            </w:pPr>
          </w:p>
        </w:tc>
      </w:tr>
      <w:tr w:rsidR="008373BD" w:rsidRPr="00232923" w14:paraId="35C1B34B" w14:textId="0D74DA89" w:rsidTr="00C53AD3">
        <w:tc>
          <w:tcPr>
            <w:tcW w:w="0" w:type="auto"/>
          </w:tcPr>
          <w:p w14:paraId="496E193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1FC98A1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1C2DED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This does appear to be a sensible approach, but a guidance document isn’t really appropriate in isolation. This should be progressed as a change to the licence to ensure DNOs are able to recover bad debt in the first instance. DNO’s aren’t in a position to recover funding requested by LDNOs and nor has provision been made for them to recover the bad debt of other network operators. </w:t>
            </w:r>
          </w:p>
          <w:p w14:paraId="7BEC5D3C"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We have not seen enough information in any case to make clear if LDNO’s recovering their bad debt from DNO customers is the correct policy decision in any event.</w:t>
            </w:r>
          </w:p>
        </w:tc>
        <w:tc>
          <w:tcPr>
            <w:tcW w:w="0" w:type="auto"/>
            <w:shd w:val="clear" w:color="auto" w:fill="E2EFD9" w:themeFill="accent6" w:themeFillTint="33"/>
          </w:tcPr>
          <w:p w14:paraId="56F06FA4" w14:textId="77777777" w:rsidR="008373BD" w:rsidRPr="003903B5" w:rsidRDefault="008373BD" w:rsidP="00232923">
            <w:pPr>
              <w:pStyle w:val="BodyText"/>
              <w:rPr>
                <w:rFonts w:cstheme="minorHAnsi"/>
              </w:rPr>
            </w:pPr>
          </w:p>
        </w:tc>
      </w:tr>
      <w:tr w:rsidR="008373BD" w:rsidRPr="00232923" w14:paraId="00314C10" w14:textId="60F7D76B" w:rsidTr="00C53AD3">
        <w:tc>
          <w:tcPr>
            <w:tcW w:w="0" w:type="auto"/>
          </w:tcPr>
          <w:p w14:paraId="63081EA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498E02A1"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807B945"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we believe that updating the 2005 document regarding Ofgem’s conclusions on</w:t>
            </w:r>
          </w:p>
          <w:p w14:paraId="0B5B83A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 debts able to be recovered is likely to support this change proposal (be they DNO</w:t>
            </w:r>
          </w:p>
          <w:p w14:paraId="50D6739C"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debts or debts passed on through the LDNO).</w:t>
            </w:r>
          </w:p>
          <w:p w14:paraId="4E1E0E9F" w14:textId="77777777" w:rsidR="008373BD" w:rsidRPr="003903B5" w:rsidRDefault="008373BD" w:rsidP="00232923">
            <w:pPr>
              <w:autoSpaceDE w:val="0"/>
              <w:autoSpaceDN w:val="0"/>
              <w:adjustRightInd w:val="0"/>
              <w:rPr>
                <w:rFonts w:asciiTheme="minorHAnsi" w:hAnsiTheme="minorHAnsi" w:cstheme="minorHAnsi"/>
                <w:sz w:val="22"/>
                <w:szCs w:val="22"/>
              </w:rPr>
            </w:pPr>
          </w:p>
          <w:p w14:paraId="7223D9A0"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For Ofgem to publish a specific guidance document for the purposes of debt recovery</w:t>
            </w:r>
          </w:p>
          <w:p w14:paraId="6460D69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by the DNO, including in the event that an LDNO has recovered their own debt under</w:t>
            </w:r>
          </w:p>
          <w:p w14:paraId="72156EA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 proposed solution will provide clarity and transparency on the debt the DNO can</w:t>
            </w:r>
          </w:p>
          <w:p w14:paraId="3B427939"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recover.</w:t>
            </w:r>
          </w:p>
        </w:tc>
        <w:tc>
          <w:tcPr>
            <w:tcW w:w="0" w:type="auto"/>
            <w:shd w:val="clear" w:color="auto" w:fill="E2EFD9" w:themeFill="accent6" w:themeFillTint="33"/>
          </w:tcPr>
          <w:p w14:paraId="1F1012D8" w14:textId="77777777" w:rsidR="008373BD" w:rsidRPr="003903B5" w:rsidRDefault="008373BD" w:rsidP="00232923">
            <w:pPr>
              <w:autoSpaceDE w:val="0"/>
              <w:autoSpaceDN w:val="0"/>
              <w:adjustRightInd w:val="0"/>
              <w:rPr>
                <w:rFonts w:cstheme="minorHAnsi"/>
              </w:rPr>
            </w:pPr>
          </w:p>
        </w:tc>
      </w:tr>
      <w:tr w:rsidR="008373BD" w:rsidRPr="00232923" w14:paraId="143916B2" w14:textId="46AF9C52" w:rsidTr="00C53AD3">
        <w:tc>
          <w:tcPr>
            <w:tcW w:w="0" w:type="auto"/>
          </w:tcPr>
          <w:p w14:paraId="7E3FB8CE" w14:textId="1D8EBB8F"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lastRenderedPageBreak/>
              <w:t>Confidential</w:t>
            </w:r>
          </w:p>
        </w:tc>
        <w:tc>
          <w:tcPr>
            <w:tcW w:w="0" w:type="auto"/>
          </w:tcPr>
          <w:p w14:paraId="6DA1C37A" w14:textId="170B3663"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1D5054C" w14:textId="4F6EBC82" w:rsidR="008373BD" w:rsidRPr="00094FAC"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5A0CC3F0" w14:textId="77777777" w:rsidR="008373BD" w:rsidRPr="00B00177" w:rsidRDefault="008373BD" w:rsidP="003903B5">
            <w:pPr>
              <w:autoSpaceDE w:val="0"/>
              <w:autoSpaceDN w:val="0"/>
              <w:adjustRightInd w:val="0"/>
              <w:rPr>
                <w:rFonts w:cstheme="minorHAnsi"/>
                <w:color w:val="FF0000"/>
              </w:rPr>
            </w:pPr>
          </w:p>
        </w:tc>
      </w:tr>
      <w:tr w:rsidR="008373BD" w:rsidRPr="00232923" w14:paraId="44023A60" w14:textId="36C5B956" w:rsidTr="00C53AD3">
        <w:tc>
          <w:tcPr>
            <w:tcW w:w="0" w:type="auto"/>
          </w:tcPr>
          <w:p w14:paraId="6D28554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3F5D2C0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46E3C0A"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Regardless of the mechanism by which it is achieved, if this change were to progress it is important that DNOs are able to recover any bad debts which are passed from LDNOs to DNOs. As previously stated, DNOs are heavily regulated, and earn a low return on capital employed on long term investments. In a regulated market, DNOs must be able to recover costs beyond their control (in this case bad debts passed from LDNOs to DNOs); otherwise this would add to business risk, raise the cost of capital, and increase costs to energy consumers in the longer term.</w:t>
            </w:r>
          </w:p>
        </w:tc>
        <w:tc>
          <w:tcPr>
            <w:tcW w:w="0" w:type="auto"/>
            <w:shd w:val="clear" w:color="auto" w:fill="E2EFD9" w:themeFill="accent6" w:themeFillTint="33"/>
          </w:tcPr>
          <w:p w14:paraId="5A63E857" w14:textId="77777777" w:rsidR="008373BD" w:rsidRPr="003903B5" w:rsidRDefault="008373BD" w:rsidP="003903B5">
            <w:pPr>
              <w:pStyle w:val="BodyText"/>
              <w:rPr>
                <w:rFonts w:cstheme="minorHAnsi"/>
              </w:rPr>
            </w:pPr>
          </w:p>
        </w:tc>
      </w:tr>
      <w:tr w:rsidR="008373BD" w:rsidRPr="00232923" w14:paraId="0CD01BAA" w14:textId="45D5321D" w:rsidTr="00C53AD3">
        <w:tc>
          <w:tcPr>
            <w:tcW w:w="0" w:type="auto"/>
          </w:tcPr>
          <w:p w14:paraId="248660B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5238751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AF1BB5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agree that Ofgem should provide clear written support, either in the form of an updated guidance document or a specific note. It is only reasonable that DNOs should be given complete assurance that any IDNO bad debt which is taken on will be fully recovered and not represent an additional business risk in any respect.</w:t>
            </w:r>
          </w:p>
          <w:p w14:paraId="06ABEDD8"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In our view, reflecting that we see this DCP only as a temporary step, Ofgem should also confirm their definite commitment to and a timetable for bringing forward a replacement arrangement, to be implemented through a licence modification. We see this as an integral part of Ofgem’s review of Supplier of Last Resort arrangements.</w:t>
            </w:r>
          </w:p>
        </w:tc>
        <w:tc>
          <w:tcPr>
            <w:tcW w:w="0" w:type="auto"/>
            <w:shd w:val="clear" w:color="auto" w:fill="E2EFD9" w:themeFill="accent6" w:themeFillTint="33"/>
          </w:tcPr>
          <w:p w14:paraId="1EF05A94" w14:textId="77777777" w:rsidR="008373BD" w:rsidRPr="003903B5" w:rsidRDefault="008373BD" w:rsidP="003903B5">
            <w:pPr>
              <w:pStyle w:val="BodyText"/>
              <w:rPr>
                <w:rFonts w:cstheme="minorHAnsi"/>
              </w:rPr>
            </w:pPr>
          </w:p>
        </w:tc>
      </w:tr>
      <w:tr w:rsidR="008373BD" w:rsidRPr="00232923" w14:paraId="0A9C1E22" w14:textId="05CFA3A8" w:rsidTr="00C53AD3">
        <w:tc>
          <w:tcPr>
            <w:tcW w:w="0" w:type="auto"/>
          </w:tcPr>
          <w:p w14:paraId="26C1F1F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796C8D2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47138F6"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We would recommend that the 2005 Ofgem best practice guidelines for Network Operator credit cover be modified as it is now very much outdated.  Section one containing all the commentary is now irrelevant.</w:t>
            </w:r>
          </w:p>
          <w:p w14:paraId="16A31CF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 </w:t>
            </w:r>
          </w:p>
        </w:tc>
        <w:tc>
          <w:tcPr>
            <w:tcW w:w="0" w:type="auto"/>
            <w:shd w:val="clear" w:color="auto" w:fill="E2EFD9" w:themeFill="accent6" w:themeFillTint="33"/>
          </w:tcPr>
          <w:p w14:paraId="09C606E0" w14:textId="77777777" w:rsidR="008373BD" w:rsidRPr="003903B5" w:rsidRDefault="008373BD" w:rsidP="003903B5">
            <w:pPr>
              <w:autoSpaceDE w:val="0"/>
              <w:autoSpaceDN w:val="0"/>
              <w:adjustRightInd w:val="0"/>
              <w:rPr>
                <w:rFonts w:cstheme="minorHAnsi"/>
              </w:rPr>
            </w:pPr>
          </w:p>
        </w:tc>
      </w:tr>
      <w:tr w:rsidR="008373BD" w:rsidRPr="00232923" w14:paraId="66020BDB" w14:textId="0D02849D" w:rsidTr="00C53AD3">
        <w:tc>
          <w:tcPr>
            <w:tcW w:w="0" w:type="auto"/>
          </w:tcPr>
          <w:p w14:paraId="223CBA5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0EC694F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34CD7DC"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From our understanding of the issue at this time, we believe that a guidance note from Ofgem would be the most appropriate way forward.</w:t>
            </w:r>
          </w:p>
        </w:tc>
        <w:tc>
          <w:tcPr>
            <w:tcW w:w="0" w:type="auto"/>
            <w:shd w:val="clear" w:color="auto" w:fill="E2EFD9" w:themeFill="accent6" w:themeFillTint="33"/>
          </w:tcPr>
          <w:p w14:paraId="34A62838" w14:textId="77777777" w:rsidR="008373BD" w:rsidRPr="003903B5" w:rsidRDefault="008373BD" w:rsidP="003903B5">
            <w:pPr>
              <w:pStyle w:val="BodyText"/>
              <w:rPr>
                <w:rFonts w:cstheme="minorHAnsi"/>
              </w:rPr>
            </w:pPr>
          </w:p>
        </w:tc>
      </w:tr>
      <w:tr w:rsidR="008373BD" w:rsidRPr="00232923" w14:paraId="3564912E" w14:textId="6561B420" w:rsidTr="00C53AD3">
        <w:tc>
          <w:tcPr>
            <w:tcW w:w="0" w:type="auto"/>
          </w:tcPr>
          <w:p w14:paraId="778DB0F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11CBD15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32B0B7D"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WPD agree the 2005 document should be updated to include LDNOs.</w:t>
            </w:r>
          </w:p>
        </w:tc>
        <w:tc>
          <w:tcPr>
            <w:tcW w:w="0" w:type="auto"/>
            <w:shd w:val="clear" w:color="auto" w:fill="E2EFD9" w:themeFill="accent6" w:themeFillTint="33"/>
          </w:tcPr>
          <w:p w14:paraId="704809E9" w14:textId="77777777" w:rsidR="008373BD" w:rsidRPr="003903B5" w:rsidRDefault="008373BD" w:rsidP="003903B5">
            <w:pPr>
              <w:autoSpaceDE w:val="0"/>
              <w:autoSpaceDN w:val="0"/>
              <w:adjustRightInd w:val="0"/>
              <w:rPr>
                <w:rFonts w:cstheme="minorHAnsi"/>
              </w:rPr>
            </w:pPr>
          </w:p>
        </w:tc>
      </w:tr>
      <w:tr w:rsidR="00C53AD3" w:rsidRPr="00232923" w14:paraId="11331051" w14:textId="77777777" w:rsidTr="00C53AD3">
        <w:tc>
          <w:tcPr>
            <w:tcW w:w="0" w:type="auto"/>
            <w:gridSpan w:val="4"/>
            <w:shd w:val="clear" w:color="auto" w:fill="E2EFD9" w:themeFill="accent6" w:themeFillTint="33"/>
          </w:tcPr>
          <w:p w14:paraId="0752DE9E" w14:textId="77777777" w:rsidR="00C53AD3" w:rsidRPr="003903B5" w:rsidRDefault="00C53AD3" w:rsidP="003903B5">
            <w:pPr>
              <w:autoSpaceDE w:val="0"/>
              <w:autoSpaceDN w:val="0"/>
              <w:adjustRightInd w:val="0"/>
              <w:rPr>
                <w:rFonts w:cstheme="minorHAnsi"/>
              </w:rPr>
            </w:pPr>
          </w:p>
        </w:tc>
      </w:tr>
      <w:bookmarkEnd w:id="4"/>
    </w:tbl>
    <w:p w14:paraId="02691B85" w14:textId="1E2E4322" w:rsidR="00232923" w:rsidRDefault="00232923">
      <w:pPr>
        <w:rPr>
          <w:rFonts w:cstheme="minorHAnsi"/>
        </w:rPr>
      </w:pPr>
    </w:p>
    <w:p w14:paraId="6FD23CC0" w14:textId="77777777" w:rsidR="003903B5" w:rsidRPr="00232923" w:rsidRDefault="003903B5">
      <w:pPr>
        <w:rPr>
          <w:rFonts w:cstheme="minorHAnsi"/>
        </w:rPr>
      </w:pPr>
    </w:p>
    <w:tbl>
      <w:tblPr>
        <w:tblStyle w:val="ElectralinkResponseTable"/>
        <w:tblW w:w="0" w:type="auto"/>
        <w:tblInd w:w="108" w:type="dxa"/>
        <w:tblLook w:val="04A0" w:firstRow="1" w:lastRow="0" w:firstColumn="1" w:lastColumn="0" w:noHBand="0" w:noVBand="1"/>
      </w:tblPr>
      <w:tblGrid>
        <w:gridCol w:w="2870"/>
        <w:gridCol w:w="1401"/>
        <w:gridCol w:w="8183"/>
        <w:gridCol w:w="1386"/>
      </w:tblGrid>
      <w:tr w:rsidR="008373BD" w:rsidRPr="00232923" w14:paraId="2B44FD20" w14:textId="75BAF97D"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6A0BD5E7" w14:textId="77777777" w:rsidR="008373BD" w:rsidRPr="00232923" w:rsidRDefault="008373BD" w:rsidP="00232923">
            <w:pPr>
              <w:pStyle w:val="ColumnHeading"/>
              <w:rPr>
                <w:rFonts w:asciiTheme="minorHAnsi" w:hAnsiTheme="minorHAnsi" w:cstheme="minorHAnsi"/>
              </w:rPr>
            </w:pPr>
            <w:bookmarkStart w:id="5" w:name="dcusa_response5"/>
            <w:r w:rsidRPr="00232923">
              <w:rPr>
                <w:rFonts w:asciiTheme="minorHAnsi" w:hAnsiTheme="minorHAnsi" w:cstheme="minorHAnsi"/>
              </w:rPr>
              <w:t>Company</w:t>
            </w:r>
          </w:p>
        </w:tc>
        <w:tc>
          <w:tcPr>
            <w:tcW w:w="0" w:type="auto"/>
          </w:tcPr>
          <w:p w14:paraId="6319FE4B" w14:textId="77777777" w:rsidR="008373BD" w:rsidRPr="003903B5" w:rsidRDefault="008373BD" w:rsidP="00232923">
            <w:pPr>
              <w:pStyle w:val="ColumnHeading"/>
              <w:rPr>
                <w:rFonts w:asciiTheme="minorHAnsi" w:hAnsiTheme="minorHAnsi" w:cstheme="minorHAnsi"/>
              </w:rPr>
            </w:pPr>
            <w:r w:rsidRPr="003903B5">
              <w:rPr>
                <w:rFonts w:asciiTheme="minorHAnsi" w:hAnsiTheme="minorHAnsi" w:cstheme="minorHAnsi"/>
              </w:rPr>
              <w:t>Confidential/</w:t>
            </w:r>
          </w:p>
          <w:p w14:paraId="773D7B5A" w14:textId="77777777" w:rsidR="008373BD" w:rsidRPr="003903B5" w:rsidRDefault="008373BD" w:rsidP="00232923">
            <w:pPr>
              <w:pStyle w:val="ColumnHeading"/>
              <w:rPr>
                <w:rFonts w:asciiTheme="minorHAnsi" w:hAnsiTheme="minorHAnsi" w:cstheme="minorHAnsi"/>
              </w:rPr>
            </w:pPr>
            <w:r w:rsidRPr="003903B5">
              <w:rPr>
                <w:rFonts w:asciiTheme="minorHAnsi" w:hAnsiTheme="minorHAnsi" w:cstheme="minorHAnsi"/>
              </w:rPr>
              <w:t>Anonymous</w:t>
            </w:r>
          </w:p>
        </w:tc>
        <w:tc>
          <w:tcPr>
            <w:tcW w:w="0" w:type="auto"/>
          </w:tcPr>
          <w:p w14:paraId="0CB2326B" w14:textId="57C48062"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have any comments on the guidance note amendments suggested by the Working Group?</w:t>
            </w:r>
          </w:p>
        </w:tc>
        <w:tc>
          <w:tcPr>
            <w:tcW w:w="0" w:type="auto"/>
          </w:tcPr>
          <w:p w14:paraId="2102382F" w14:textId="58AC82C3"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5AE1EC88" w14:textId="6D321BA5" w:rsidTr="00C53AD3">
        <w:tc>
          <w:tcPr>
            <w:tcW w:w="0" w:type="auto"/>
          </w:tcPr>
          <w:p w14:paraId="10AF8EB1"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3A01DC8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47580FA"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All the guidance notes amendments are approved, but as per the provided answer for question 4, it is noted that Ofgem should review the process in more detail.</w:t>
            </w:r>
          </w:p>
        </w:tc>
        <w:tc>
          <w:tcPr>
            <w:tcW w:w="0" w:type="auto"/>
            <w:shd w:val="clear" w:color="auto" w:fill="E2EFD9" w:themeFill="accent6" w:themeFillTint="33"/>
          </w:tcPr>
          <w:p w14:paraId="365B681A" w14:textId="77777777" w:rsidR="008373BD" w:rsidRPr="003903B5" w:rsidRDefault="008373BD" w:rsidP="00232923">
            <w:pPr>
              <w:pStyle w:val="BodyText"/>
              <w:rPr>
                <w:rFonts w:cstheme="minorHAnsi"/>
              </w:rPr>
            </w:pPr>
          </w:p>
        </w:tc>
      </w:tr>
      <w:tr w:rsidR="008373BD" w:rsidRPr="00232923" w14:paraId="1448ED25" w14:textId="6BB57B4B" w:rsidTr="00C53AD3">
        <w:tc>
          <w:tcPr>
            <w:tcW w:w="0" w:type="auto"/>
          </w:tcPr>
          <w:p w14:paraId="283C050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2199E5C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8104C3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The guidance note is now over 13 years old, consequently we are unsure how closely it reflects the current view of the Authority, so any amendments should initially be made by the Authority.</w:t>
            </w:r>
          </w:p>
        </w:tc>
        <w:tc>
          <w:tcPr>
            <w:tcW w:w="0" w:type="auto"/>
            <w:shd w:val="clear" w:color="auto" w:fill="E2EFD9" w:themeFill="accent6" w:themeFillTint="33"/>
          </w:tcPr>
          <w:p w14:paraId="2C47E1E3"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51EC306D" w14:textId="5CB17BD5" w:rsidTr="00C53AD3">
        <w:tc>
          <w:tcPr>
            <w:tcW w:w="0" w:type="auto"/>
          </w:tcPr>
          <w:p w14:paraId="4CBE4E0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3BC4351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13679D1"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The Working Group should consider whether the term IDNO should be amended to EDNO to match the term used in the legal text for Schedule 19 – Portfolio Billing.</w:t>
            </w:r>
          </w:p>
        </w:tc>
        <w:tc>
          <w:tcPr>
            <w:tcW w:w="0" w:type="auto"/>
            <w:shd w:val="clear" w:color="auto" w:fill="E2EFD9" w:themeFill="accent6" w:themeFillTint="33"/>
          </w:tcPr>
          <w:p w14:paraId="1FE88754" w14:textId="77777777" w:rsidR="008373BD" w:rsidRPr="003903B5" w:rsidRDefault="008373BD" w:rsidP="00232923">
            <w:pPr>
              <w:pStyle w:val="BodyText"/>
              <w:rPr>
                <w:rFonts w:cstheme="minorHAnsi"/>
              </w:rPr>
            </w:pPr>
          </w:p>
        </w:tc>
      </w:tr>
      <w:tr w:rsidR="008373BD" w:rsidRPr="00232923" w14:paraId="471F7E93" w14:textId="369C590A" w:rsidTr="00C53AD3">
        <w:tc>
          <w:tcPr>
            <w:tcW w:w="0" w:type="auto"/>
          </w:tcPr>
          <w:p w14:paraId="6D0A95D8" w14:textId="2E219071" w:rsidR="008373BD" w:rsidRPr="00094FAC" w:rsidRDefault="00B01614" w:rsidP="003903B5">
            <w:pPr>
              <w:pStyle w:val="BodyTextNoSpacing"/>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tcPr>
          <w:p w14:paraId="4A236DEA" w14:textId="1C13C964"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4C3C79F5" w14:textId="2401C82C" w:rsidR="00094FAC" w:rsidRPr="00094FAC" w:rsidRDefault="005053C6" w:rsidP="003903B5">
            <w:pPr>
              <w:pStyle w:val="BodyText"/>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27109EF7" w14:textId="77777777" w:rsidR="008373BD" w:rsidRPr="00B00177" w:rsidRDefault="008373BD" w:rsidP="003903B5">
            <w:pPr>
              <w:pStyle w:val="BodyText"/>
              <w:rPr>
                <w:rFonts w:cstheme="minorHAnsi"/>
                <w:color w:val="FF0000"/>
              </w:rPr>
            </w:pPr>
          </w:p>
        </w:tc>
      </w:tr>
      <w:tr w:rsidR="008373BD" w:rsidRPr="00232923" w14:paraId="3DE6240D" w14:textId="43AF2466" w:rsidTr="00C53AD3">
        <w:tc>
          <w:tcPr>
            <w:tcW w:w="0" w:type="auto"/>
          </w:tcPr>
          <w:p w14:paraId="1E47ADB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3EDEFC1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B79352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do not consider that an update to guidance alone is sufficient to ensure that DNOs can recover these costs. Guidance alone does not give sufficient certainty. As such, we consider that, if a solution to the perceived issue is progressed, it must be done through licence changes which resolve all bad debt issues for all distribution licensees.</w:t>
            </w:r>
          </w:p>
          <w:p w14:paraId="43F8E14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If the guidance continues to be relied upon, it should also clarify that DNOs operating out of area should not be allowed to recover bad debts through an increase to the revenue allowances for the relevant licensee. This would create a clear distortion in competition between IDNOs (who are not allowed to recover bad debts) and DNOs operating out of area, and would create a cross-subsidy from customers connected within a DNO licensee’s distribution services area to those connected to that licensee’s out of area networks.</w:t>
            </w:r>
          </w:p>
        </w:tc>
        <w:tc>
          <w:tcPr>
            <w:tcW w:w="0" w:type="auto"/>
            <w:shd w:val="clear" w:color="auto" w:fill="E2EFD9" w:themeFill="accent6" w:themeFillTint="33"/>
          </w:tcPr>
          <w:p w14:paraId="31143F83" w14:textId="77777777" w:rsidR="008373BD" w:rsidRPr="003903B5" w:rsidRDefault="008373BD" w:rsidP="003903B5">
            <w:pPr>
              <w:pStyle w:val="BodyText"/>
              <w:rPr>
                <w:rFonts w:cstheme="minorHAnsi"/>
              </w:rPr>
            </w:pPr>
          </w:p>
        </w:tc>
      </w:tr>
      <w:tr w:rsidR="008373BD" w:rsidRPr="00232923" w14:paraId="43FA752E" w14:textId="70D551FD" w:rsidTr="00C53AD3">
        <w:tc>
          <w:tcPr>
            <w:tcW w:w="0" w:type="auto"/>
          </w:tcPr>
          <w:p w14:paraId="4101CB5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Southern Electric Power Distribution plc and Scottish Hydro Electric Power Distribution plc</w:t>
            </w:r>
          </w:p>
        </w:tc>
        <w:tc>
          <w:tcPr>
            <w:tcW w:w="0" w:type="auto"/>
          </w:tcPr>
          <w:p w14:paraId="7CE34A9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6B11EE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Our only comment is to suggest changing the first word of paragraph 4.7 to ‘DNOs’ rather than ‘Companies’ so that it is clear which category of companies is referred to.</w:t>
            </w:r>
          </w:p>
        </w:tc>
        <w:tc>
          <w:tcPr>
            <w:tcW w:w="0" w:type="auto"/>
            <w:shd w:val="clear" w:color="auto" w:fill="E2EFD9" w:themeFill="accent6" w:themeFillTint="33"/>
          </w:tcPr>
          <w:p w14:paraId="42B7491A" w14:textId="77777777" w:rsidR="008373BD" w:rsidRPr="003903B5" w:rsidRDefault="008373BD" w:rsidP="003903B5">
            <w:pPr>
              <w:pStyle w:val="BodyText"/>
              <w:rPr>
                <w:rFonts w:cstheme="minorHAnsi"/>
              </w:rPr>
            </w:pPr>
          </w:p>
        </w:tc>
      </w:tr>
      <w:tr w:rsidR="008373BD" w:rsidRPr="00232923" w14:paraId="2E546EAA" w14:textId="0C7C3D65" w:rsidTr="00C53AD3">
        <w:tc>
          <w:tcPr>
            <w:tcW w:w="0" w:type="auto"/>
          </w:tcPr>
          <w:p w14:paraId="7A6E3E9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7263779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CEF2B1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would agree with the guidance note amendments suggested by the working group and ensure that there is no delay in the recovery of the Pass through amount for the DNO and LDNO which allows for a secure and stable business environment.</w:t>
            </w:r>
          </w:p>
        </w:tc>
        <w:tc>
          <w:tcPr>
            <w:tcW w:w="0" w:type="auto"/>
            <w:shd w:val="clear" w:color="auto" w:fill="E2EFD9" w:themeFill="accent6" w:themeFillTint="33"/>
          </w:tcPr>
          <w:p w14:paraId="154C0218"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489F8986" w14:textId="1FF90140" w:rsidTr="00C53AD3">
        <w:tc>
          <w:tcPr>
            <w:tcW w:w="0" w:type="auto"/>
          </w:tcPr>
          <w:p w14:paraId="782645D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6F528AB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CA09C78"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 not at this time.</w:t>
            </w:r>
          </w:p>
        </w:tc>
        <w:tc>
          <w:tcPr>
            <w:tcW w:w="0" w:type="auto"/>
            <w:shd w:val="clear" w:color="auto" w:fill="E2EFD9" w:themeFill="accent6" w:themeFillTint="33"/>
          </w:tcPr>
          <w:p w14:paraId="2EB1C65F" w14:textId="77777777" w:rsidR="008373BD" w:rsidRPr="003903B5" w:rsidRDefault="008373BD" w:rsidP="003903B5">
            <w:pPr>
              <w:pStyle w:val="BodyText"/>
              <w:rPr>
                <w:rFonts w:cstheme="minorHAnsi"/>
              </w:rPr>
            </w:pPr>
          </w:p>
        </w:tc>
      </w:tr>
      <w:tr w:rsidR="008373BD" w:rsidRPr="00232923" w14:paraId="30DB7F2C" w14:textId="75140758" w:rsidTr="00C53AD3">
        <w:tc>
          <w:tcPr>
            <w:tcW w:w="0" w:type="auto"/>
          </w:tcPr>
          <w:p w14:paraId="2B6BC30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6025CC3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51850AB"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1C6ABD32" w14:textId="77777777" w:rsidR="008373BD" w:rsidRPr="003903B5" w:rsidRDefault="008373BD" w:rsidP="003903B5">
            <w:pPr>
              <w:pStyle w:val="BodyText"/>
              <w:rPr>
                <w:rFonts w:cstheme="minorHAnsi"/>
              </w:rPr>
            </w:pPr>
          </w:p>
        </w:tc>
      </w:tr>
      <w:tr w:rsidR="00C53AD3" w:rsidRPr="00232923" w14:paraId="47CAB6C5" w14:textId="77777777" w:rsidTr="00C53AD3">
        <w:tc>
          <w:tcPr>
            <w:tcW w:w="0" w:type="auto"/>
            <w:gridSpan w:val="4"/>
            <w:shd w:val="clear" w:color="auto" w:fill="E2EFD9" w:themeFill="accent6" w:themeFillTint="33"/>
          </w:tcPr>
          <w:p w14:paraId="03F4220B" w14:textId="77777777" w:rsidR="00C53AD3" w:rsidRPr="003903B5" w:rsidRDefault="00C53AD3" w:rsidP="003903B5">
            <w:pPr>
              <w:pStyle w:val="BodyText"/>
              <w:rPr>
                <w:rFonts w:cstheme="minorHAnsi"/>
              </w:rPr>
            </w:pPr>
          </w:p>
        </w:tc>
      </w:tr>
      <w:bookmarkEnd w:id="5"/>
    </w:tbl>
    <w:p w14:paraId="5B068C9C"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64"/>
        <w:gridCol w:w="1400"/>
        <w:gridCol w:w="8192"/>
        <w:gridCol w:w="1384"/>
      </w:tblGrid>
      <w:tr w:rsidR="008373BD" w:rsidRPr="00232923" w14:paraId="72D695E3" w14:textId="219249F4"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6C6E0429" w14:textId="77777777" w:rsidR="008373BD" w:rsidRPr="00232923" w:rsidRDefault="008373BD" w:rsidP="00232923">
            <w:pPr>
              <w:pStyle w:val="ColumnHeading"/>
              <w:rPr>
                <w:rFonts w:asciiTheme="minorHAnsi" w:hAnsiTheme="minorHAnsi" w:cstheme="minorHAnsi"/>
              </w:rPr>
            </w:pPr>
            <w:bookmarkStart w:id="6" w:name="dcusa_response6"/>
            <w:r w:rsidRPr="00232923">
              <w:rPr>
                <w:rFonts w:asciiTheme="minorHAnsi" w:hAnsiTheme="minorHAnsi" w:cstheme="minorHAnsi"/>
              </w:rPr>
              <w:t>Company</w:t>
            </w:r>
          </w:p>
        </w:tc>
        <w:tc>
          <w:tcPr>
            <w:tcW w:w="0" w:type="auto"/>
          </w:tcPr>
          <w:p w14:paraId="53A2914E"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1EAD3348"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759511BE" w14:textId="7312E847"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agree with the Working Group view that to progress with a redistribution of debt should be optional for the LDNO rather than invoking a de minimis value? Please provide your rationale</w:t>
            </w:r>
          </w:p>
        </w:tc>
        <w:tc>
          <w:tcPr>
            <w:tcW w:w="0" w:type="auto"/>
          </w:tcPr>
          <w:p w14:paraId="042BD988" w14:textId="6B0E6D2D"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686A9EAA" w14:textId="2144D940" w:rsidTr="00C53AD3">
        <w:tc>
          <w:tcPr>
            <w:tcW w:w="0" w:type="auto"/>
          </w:tcPr>
          <w:p w14:paraId="2D412D0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3868963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F56C84B"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It is agreed that the process to redistribute Bad Debt should be optional for the LDNO, but it is question which party would be responsible for determining any de minimis value? The DNO or LDNO? If the option is based on a high costing administration process, which party takes the lead in calculating this and determining if it is too high. Differing parties may have different approaches and thus doesn’t create an industry standard for dealing with Bad Debt cases.</w:t>
            </w:r>
          </w:p>
          <w:p w14:paraId="5F4EADB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It is felt the best option would be for the LDNO in question to have the right of setting their own minimum threshold for which to pursue any recovery of Bad Debt. This would allow the party to determine for themselves the best action to take rather than being forced into a situation which would not serve in their best interests.</w:t>
            </w:r>
          </w:p>
        </w:tc>
        <w:tc>
          <w:tcPr>
            <w:tcW w:w="0" w:type="auto"/>
            <w:shd w:val="clear" w:color="auto" w:fill="E2EFD9" w:themeFill="accent6" w:themeFillTint="33"/>
          </w:tcPr>
          <w:p w14:paraId="694F317B" w14:textId="77777777" w:rsidR="008373BD" w:rsidRPr="003903B5" w:rsidRDefault="008373BD" w:rsidP="00232923">
            <w:pPr>
              <w:pStyle w:val="BodyText"/>
              <w:rPr>
                <w:rFonts w:cstheme="minorHAnsi"/>
              </w:rPr>
            </w:pPr>
          </w:p>
        </w:tc>
      </w:tr>
      <w:tr w:rsidR="008373BD" w:rsidRPr="00232923" w14:paraId="47DE6214" w14:textId="1E2A3598" w:rsidTr="00C53AD3">
        <w:tc>
          <w:tcPr>
            <w:tcW w:w="0" w:type="auto"/>
          </w:tcPr>
          <w:p w14:paraId="5D55DC8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Electricity North West</w:t>
            </w:r>
          </w:p>
        </w:tc>
        <w:tc>
          <w:tcPr>
            <w:tcW w:w="0" w:type="auto"/>
          </w:tcPr>
          <w:p w14:paraId="41F977F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A7CFC0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It may be useful to apply a fixed time-frame to LDNO requests for redistribution of debt in the interests of clarity and certainty for DNOs.</w:t>
            </w:r>
          </w:p>
        </w:tc>
        <w:tc>
          <w:tcPr>
            <w:tcW w:w="0" w:type="auto"/>
            <w:shd w:val="clear" w:color="auto" w:fill="E2EFD9" w:themeFill="accent6" w:themeFillTint="33"/>
          </w:tcPr>
          <w:p w14:paraId="5456D000"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2F81B1F6" w14:textId="21766A4A" w:rsidTr="00C53AD3">
        <w:tc>
          <w:tcPr>
            <w:tcW w:w="0" w:type="auto"/>
          </w:tcPr>
          <w:p w14:paraId="39656D9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0328EE0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441402A"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similar to Schedule 21 (Portfolio Billing for Nested Networks), the LDNO should be</w:t>
            </w:r>
          </w:p>
          <w:p w14:paraId="66476420"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able to choose to request the redistribution of debt or not. There will be cases where</w:t>
            </w:r>
          </w:p>
          <w:p w14:paraId="5BD8FA70"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 administration required to report to the DNO outweighs the benefit of recovering</w:t>
            </w:r>
          </w:p>
          <w:p w14:paraId="2E0C7A39"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small amounts of DUoS and these costs will vary from LDNO to LDNO.</w:t>
            </w:r>
          </w:p>
          <w:p w14:paraId="2FB9A6E3" w14:textId="77777777" w:rsidR="008373BD" w:rsidRPr="003903B5" w:rsidRDefault="008373BD" w:rsidP="00232923">
            <w:pPr>
              <w:autoSpaceDE w:val="0"/>
              <w:autoSpaceDN w:val="0"/>
              <w:adjustRightInd w:val="0"/>
              <w:rPr>
                <w:rFonts w:asciiTheme="minorHAnsi" w:hAnsiTheme="minorHAnsi" w:cstheme="minorHAnsi"/>
                <w:sz w:val="22"/>
                <w:szCs w:val="22"/>
              </w:rPr>
            </w:pPr>
          </w:p>
          <w:p w14:paraId="0044259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Setting a de minimis value would need to be agreed by all Parties and some Parties</w:t>
            </w:r>
          </w:p>
          <w:p w14:paraId="5161C9A5"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may have different approaches as to what they consider to be a burden administration wise. Invoking a de minimis value could impact smaller LDNOs adversely.</w:t>
            </w:r>
          </w:p>
        </w:tc>
        <w:tc>
          <w:tcPr>
            <w:tcW w:w="0" w:type="auto"/>
            <w:shd w:val="clear" w:color="auto" w:fill="E2EFD9" w:themeFill="accent6" w:themeFillTint="33"/>
          </w:tcPr>
          <w:p w14:paraId="56D86E00" w14:textId="77777777" w:rsidR="008373BD" w:rsidRPr="003903B5" w:rsidRDefault="008373BD" w:rsidP="00232923">
            <w:pPr>
              <w:autoSpaceDE w:val="0"/>
              <w:autoSpaceDN w:val="0"/>
              <w:adjustRightInd w:val="0"/>
              <w:rPr>
                <w:rFonts w:cstheme="minorHAnsi"/>
              </w:rPr>
            </w:pPr>
          </w:p>
        </w:tc>
      </w:tr>
      <w:tr w:rsidR="008373BD" w:rsidRPr="00232923" w14:paraId="23529D93" w14:textId="4800DD07" w:rsidTr="00C53AD3">
        <w:tc>
          <w:tcPr>
            <w:tcW w:w="0" w:type="auto"/>
          </w:tcPr>
          <w:p w14:paraId="1D94E543" w14:textId="7A607702"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742C0C56" w14:textId="1AA0D549"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6F154E4" w14:textId="1C9E640D" w:rsidR="008373BD" w:rsidRPr="003903B5" w:rsidRDefault="005053C6" w:rsidP="00094FAC">
            <w:pPr>
              <w:autoSpaceDE w:val="0"/>
              <w:autoSpaceDN w:val="0"/>
              <w:adjustRightInd w:val="0"/>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642C2604" w14:textId="77777777" w:rsidR="008373BD" w:rsidRPr="00B00177" w:rsidRDefault="008373BD" w:rsidP="003903B5">
            <w:pPr>
              <w:autoSpaceDE w:val="0"/>
              <w:autoSpaceDN w:val="0"/>
              <w:adjustRightInd w:val="0"/>
              <w:rPr>
                <w:rFonts w:cstheme="minorHAnsi"/>
                <w:color w:val="FF0000"/>
              </w:rPr>
            </w:pPr>
          </w:p>
        </w:tc>
      </w:tr>
      <w:tr w:rsidR="008373BD" w:rsidRPr="00232923" w14:paraId="5E7607BB" w14:textId="0CBB4471" w:rsidTr="00C53AD3">
        <w:tc>
          <w:tcPr>
            <w:tcW w:w="0" w:type="auto"/>
          </w:tcPr>
          <w:p w14:paraId="3373D5D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7DE0415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F38BB4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do not believe that redistribution of debt should be an option for LDNOs at all, as LDNOs will have priced the risk of bad debts into business decisions made when adopting new developments, either explicitly or through assumptions on the cost of capital.</w:t>
            </w:r>
          </w:p>
        </w:tc>
        <w:tc>
          <w:tcPr>
            <w:tcW w:w="0" w:type="auto"/>
            <w:shd w:val="clear" w:color="auto" w:fill="E2EFD9" w:themeFill="accent6" w:themeFillTint="33"/>
          </w:tcPr>
          <w:p w14:paraId="073D667D"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2AB782A6" w14:textId="59918F2B" w:rsidTr="00C53AD3">
        <w:tc>
          <w:tcPr>
            <w:tcW w:w="0" w:type="auto"/>
          </w:tcPr>
          <w:p w14:paraId="711388D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1574ABB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7ED6E9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We agree with this proposed provision and we are willing to rely on the business sense of our IDNO counterparties not to raise claims for frivolous amounts. </w:t>
            </w:r>
          </w:p>
        </w:tc>
        <w:tc>
          <w:tcPr>
            <w:tcW w:w="0" w:type="auto"/>
            <w:shd w:val="clear" w:color="auto" w:fill="E2EFD9" w:themeFill="accent6" w:themeFillTint="33"/>
          </w:tcPr>
          <w:p w14:paraId="402E4295" w14:textId="77777777" w:rsidR="008373BD" w:rsidRPr="003903B5" w:rsidRDefault="008373BD" w:rsidP="003903B5">
            <w:pPr>
              <w:pStyle w:val="BodyText"/>
              <w:rPr>
                <w:rFonts w:cstheme="minorHAnsi"/>
              </w:rPr>
            </w:pPr>
          </w:p>
        </w:tc>
      </w:tr>
      <w:tr w:rsidR="008373BD" w:rsidRPr="00232923" w14:paraId="136F2AB9" w14:textId="49BD1F6D" w:rsidTr="00C53AD3">
        <w:tc>
          <w:tcPr>
            <w:tcW w:w="0" w:type="auto"/>
          </w:tcPr>
          <w:p w14:paraId="5D1BE93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12CE53F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0792AE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We agree with the view that redistribution of debt should be optional on the basis that the LDNO should use its discretion to avoid the need to process or submit a number of small and immaterial claims. </w:t>
            </w:r>
          </w:p>
        </w:tc>
        <w:tc>
          <w:tcPr>
            <w:tcW w:w="0" w:type="auto"/>
            <w:shd w:val="clear" w:color="auto" w:fill="E2EFD9" w:themeFill="accent6" w:themeFillTint="33"/>
          </w:tcPr>
          <w:p w14:paraId="776B7581"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4E2200AB" w14:textId="7087DF0E" w:rsidTr="00C53AD3">
        <w:tc>
          <w:tcPr>
            <w:tcW w:w="0" w:type="auto"/>
          </w:tcPr>
          <w:p w14:paraId="2AC6B00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235BFEE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B4F5950"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 we support this approach, as the administration of any claim could be greater than the bad debt looking to be recovered, and each case would need to be considered on its own merits.</w:t>
            </w:r>
          </w:p>
        </w:tc>
        <w:tc>
          <w:tcPr>
            <w:tcW w:w="0" w:type="auto"/>
            <w:shd w:val="clear" w:color="auto" w:fill="E2EFD9" w:themeFill="accent6" w:themeFillTint="33"/>
          </w:tcPr>
          <w:p w14:paraId="27850C68" w14:textId="77777777" w:rsidR="008373BD" w:rsidRPr="003903B5" w:rsidRDefault="008373BD" w:rsidP="003903B5">
            <w:pPr>
              <w:pStyle w:val="BodyText"/>
              <w:rPr>
                <w:rFonts w:cstheme="minorHAnsi"/>
              </w:rPr>
            </w:pPr>
          </w:p>
        </w:tc>
      </w:tr>
      <w:tr w:rsidR="008373BD" w:rsidRPr="00232923" w14:paraId="51BEAB60" w14:textId="3639B00C" w:rsidTr="00C53AD3">
        <w:tc>
          <w:tcPr>
            <w:tcW w:w="0" w:type="auto"/>
          </w:tcPr>
          <w:p w14:paraId="0980793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Western Power Distribution</w:t>
            </w:r>
          </w:p>
        </w:tc>
        <w:tc>
          <w:tcPr>
            <w:tcW w:w="0" w:type="auto"/>
          </w:tcPr>
          <w:p w14:paraId="20B6E55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388CA1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5E239406" w14:textId="77777777" w:rsidR="008373BD" w:rsidRPr="003903B5" w:rsidRDefault="008373BD" w:rsidP="003903B5">
            <w:pPr>
              <w:pStyle w:val="BodyText"/>
              <w:rPr>
                <w:rFonts w:cstheme="minorHAnsi"/>
              </w:rPr>
            </w:pPr>
          </w:p>
        </w:tc>
      </w:tr>
      <w:tr w:rsidR="00C53AD3" w:rsidRPr="00232923" w14:paraId="2B40BCB9" w14:textId="77777777" w:rsidTr="00C53AD3">
        <w:tc>
          <w:tcPr>
            <w:tcW w:w="0" w:type="auto"/>
            <w:gridSpan w:val="4"/>
            <w:shd w:val="clear" w:color="auto" w:fill="E2EFD9" w:themeFill="accent6" w:themeFillTint="33"/>
          </w:tcPr>
          <w:p w14:paraId="4E0B86D7" w14:textId="77777777" w:rsidR="00C53AD3" w:rsidRPr="003903B5" w:rsidRDefault="00C53AD3" w:rsidP="003903B5">
            <w:pPr>
              <w:pStyle w:val="BodyText"/>
              <w:rPr>
                <w:rFonts w:cstheme="minorHAnsi"/>
              </w:rPr>
            </w:pPr>
          </w:p>
        </w:tc>
      </w:tr>
      <w:bookmarkEnd w:id="6"/>
    </w:tbl>
    <w:p w14:paraId="2E1898E3"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57"/>
        <w:gridCol w:w="1400"/>
        <w:gridCol w:w="8222"/>
        <w:gridCol w:w="1361"/>
      </w:tblGrid>
      <w:tr w:rsidR="008373BD" w:rsidRPr="00232923" w14:paraId="0F231DFD" w14:textId="002FA7F5" w:rsidTr="008373BD">
        <w:trPr>
          <w:cnfStyle w:val="100000000000" w:firstRow="1" w:lastRow="0" w:firstColumn="0" w:lastColumn="0" w:oddVBand="0" w:evenVBand="0" w:oddHBand="0" w:evenHBand="0" w:firstRowFirstColumn="0" w:firstRowLastColumn="0" w:lastRowFirstColumn="0" w:lastRowLastColumn="0"/>
          <w:trHeight w:val="327"/>
        </w:trPr>
        <w:tc>
          <w:tcPr>
            <w:tcW w:w="0" w:type="auto"/>
          </w:tcPr>
          <w:p w14:paraId="45CD2C84" w14:textId="77777777" w:rsidR="008373BD" w:rsidRPr="00232923" w:rsidRDefault="008373BD" w:rsidP="00232923">
            <w:pPr>
              <w:pStyle w:val="ColumnHeading"/>
              <w:rPr>
                <w:rFonts w:asciiTheme="minorHAnsi" w:hAnsiTheme="minorHAnsi" w:cstheme="minorHAnsi"/>
              </w:rPr>
            </w:pPr>
            <w:bookmarkStart w:id="7" w:name="dcusa_response7"/>
            <w:r w:rsidRPr="00232923">
              <w:rPr>
                <w:rFonts w:asciiTheme="minorHAnsi" w:hAnsiTheme="minorHAnsi" w:cstheme="minorHAnsi"/>
              </w:rPr>
              <w:t>Company</w:t>
            </w:r>
          </w:p>
        </w:tc>
        <w:tc>
          <w:tcPr>
            <w:tcW w:w="0" w:type="auto"/>
          </w:tcPr>
          <w:p w14:paraId="6B318E0E"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6723A193"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5CFA7338" w14:textId="1B71230D"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Which of the three options for the timing of the LDNO to DNO report and DNO to LDNO payment do you support? Please explain your rationale.</w:t>
            </w:r>
          </w:p>
        </w:tc>
        <w:tc>
          <w:tcPr>
            <w:tcW w:w="0" w:type="auto"/>
          </w:tcPr>
          <w:p w14:paraId="3F4B23DE" w14:textId="3350ADC7"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4A57EA48" w14:textId="40ABC887" w:rsidTr="00C53AD3">
        <w:tc>
          <w:tcPr>
            <w:tcW w:w="0" w:type="auto"/>
          </w:tcPr>
          <w:p w14:paraId="514222F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71433B95"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B51C0A2"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Option C (Initial Settlement Run with a true-up after the Final Reconciliation Settlement Run) appears to be the best of choice of the three, providing both a mechanism to return Bad Debt early in the process, and reconcile after 14 months which Options A and B separate. Although meaning additional administration due to combining both Settlement Run types, as per the answer of question 6, this would be up to the assigned party to determine whether the Bad Debt should be redistributed or not. </w:t>
            </w:r>
          </w:p>
        </w:tc>
        <w:tc>
          <w:tcPr>
            <w:tcW w:w="0" w:type="auto"/>
            <w:shd w:val="clear" w:color="auto" w:fill="E2EFD9" w:themeFill="accent6" w:themeFillTint="33"/>
          </w:tcPr>
          <w:p w14:paraId="1938B2D8" w14:textId="77777777" w:rsidR="008373BD" w:rsidRPr="003903B5" w:rsidRDefault="008373BD" w:rsidP="00232923">
            <w:pPr>
              <w:pStyle w:val="BodyText"/>
              <w:rPr>
                <w:rFonts w:cstheme="minorHAnsi"/>
              </w:rPr>
            </w:pPr>
          </w:p>
        </w:tc>
      </w:tr>
      <w:tr w:rsidR="008373BD" w:rsidRPr="00232923" w14:paraId="162868E5" w14:textId="2F31CD1B" w:rsidTr="00C53AD3">
        <w:tc>
          <w:tcPr>
            <w:tcW w:w="0" w:type="auto"/>
          </w:tcPr>
          <w:p w14:paraId="29C3A76C"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51FA96DA"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57A0104"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We believe that option A is the most appropriate under these circumstances as it is the most efficient process requiring just one single accurate transaction.</w:t>
            </w:r>
          </w:p>
          <w:p w14:paraId="0485A570" w14:textId="77777777" w:rsidR="008373BD" w:rsidRPr="003903B5" w:rsidRDefault="008373BD" w:rsidP="00232923">
            <w:pPr>
              <w:pStyle w:val="BodyTextNoSpacing"/>
              <w:rPr>
                <w:rFonts w:asciiTheme="minorHAnsi" w:hAnsiTheme="minorHAnsi" w:cstheme="minorHAnsi"/>
                <w:sz w:val="22"/>
                <w:szCs w:val="22"/>
              </w:rPr>
            </w:pPr>
          </w:p>
        </w:tc>
        <w:tc>
          <w:tcPr>
            <w:tcW w:w="0" w:type="auto"/>
            <w:shd w:val="clear" w:color="auto" w:fill="E2EFD9" w:themeFill="accent6" w:themeFillTint="33"/>
          </w:tcPr>
          <w:p w14:paraId="249646F9" w14:textId="77777777" w:rsidR="008373BD" w:rsidRPr="003903B5" w:rsidRDefault="008373BD" w:rsidP="00232923">
            <w:pPr>
              <w:pStyle w:val="BodyText"/>
              <w:rPr>
                <w:rFonts w:cstheme="minorHAnsi"/>
              </w:rPr>
            </w:pPr>
          </w:p>
        </w:tc>
      </w:tr>
      <w:tr w:rsidR="008373BD" w:rsidRPr="00232923" w14:paraId="75AB088A" w14:textId="342D80D8" w:rsidTr="00C53AD3">
        <w:tc>
          <w:tcPr>
            <w:tcW w:w="0" w:type="auto"/>
          </w:tcPr>
          <w:p w14:paraId="274CDD4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4AD2B115"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FE051DE"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ESPE favours Option C as it enables the LDNO to recover the majority of bad debt in a</w:t>
            </w:r>
          </w:p>
          <w:p w14:paraId="2BB15FF5"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shorter time period. Additionally, Option C is more accurate than Option B and has a</w:t>
            </w:r>
          </w:p>
          <w:p w14:paraId="4EBAF738" w14:textId="77777777" w:rsidR="008373BD" w:rsidRPr="003903B5" w:rsidRDefault="008373BD" w:rsidP="00232923">
            <w:pPr>
              <w:pStyle w:val="NormalWeb"/>
              <w:rPr>
                <w:rFonts w:asciiTheme="minorHAnsi" w:hAnsiTheme="minorHAnsi" w:cstheme="minorHAnsi"/>
                <w:sz w:val="22"/>
                <w:szCs w:val="22"/>
              </w:rPr>
            </w:pPr>
            <w:r w:rsidRPr="003903B5">
              <w:rPr>
                <w:rFonts w:asciiTheme="minorHAnsi" w:hAnsiTheme="minorHAnsi" w:cstheme="minorHAnsi"/>
                <w:sz w:val="22"/>
                <w:szCs w:val="22"/>
              </w:rPr>
              <w:t>shorter recovery period than A.</w:t>
            </w:r>
          </w:p>
        </w:tc>
        <w:tc>
          <w:tcPr>
            <w:tcW w:w="0" w:type="auto"/>
            <w:shd w:val="clear" w:color="auto" w:fill="E2EFD9" w:themeFill="accent6" w:themeFillTint="33"/>
          </w:tcPr>
          <w:p w14:paraId="50B4B5C2" w14:textId="77777777" w:rsidR="008373BD" w:rsidRPr="003903B5" w:rsidRDefault="008373BD" w:rsidP="00232923">
            <w:pPr>
              <w:autoSpaceDE w:val="0"/>
              <w:autoSpaceDN w:val="0"/>
              <w:adjustRightInd w:val="0"/>
              <w:rPr>
                <w:rFonts w:cstheme="minorHAnsi"/>
              </w:rPr>
            </w:pPr>
          </w:p>
        </w:tc>
      </w:tr>
      <w:tr w:rsidR="008373BD" w:rsidRPr="00232923" w14:paraId="5D9E879A" w14:textId="3FADC4C5" w:rsidTr="00C53AD3">
        <w:tc>
          <w:tcPr>
            <w:tcW w:w="0" w:type="auto"/>
          </w:tcPr>
          <w:p w14:paraId="3D73973C" w14:textId="1602FF3B" w:rsidR="008373BD" w:rsidRPr="00094FAC"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167DB171" w14:textId="77C92DC9"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6F0CEAF4" w14:textId="20BF8241" w:rsidR="008373BD" w:rsidRPr="003903B5" w:rsidRDefault="005053C6" w:rsidP="003903B5">
            <w:pPr>
              <w:autoSpaceDE w:val="0"/>
              <w:autoSpaceDN w:val="0"/>
              <w:adjustRightInd w:val="0"/>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0862859F" w14:textId="77777777" w:rsidR="008373BD" w:rsidRPr="00B00177" w:rsidRDefault="008373BD" w:rsidP="003903B5">
            <w:pPr>
              <w:autoSpaceDE w:val="0"/>
              <w:autoSpaceDN w:val="0"/>
              <w:adjustRightInd w:val="0"/>
              <w:rPr>
                <w:rFonts w:cstheme="minorHAnsi"/>
                <w:color w:val="FF0000"/>
              </w:rPr>
            </w:pPr>
          </w:p>
        </w:tc>
      </w:tr>
      <w:tr w:rsidR="008373BD" w:rsidRPr="00232923" w14:paraId="3E862A60" w14:textId="46ACE640" w:rsidTr="00C53AD3">
        <w:tc>
          <w:tcPr>
            <w:tcW w:w="0" w:type="auto"/>
          </w:tcPr>
          <w:p w14:paraId="25C50D9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13A824B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496454C"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If the change were progressed, we favour option A. We are aware that this creates a delay between the LDNO incurring bad debts and the redistribution from DNO to LDNO taking place, so would be open to considering a time value of money adjustment should this be necessary.</w:t>
            </w:r>
          </w:p>
          <w:p w14:paraId="03ED37E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lastRenderedPageBreak/>
              <w:t>Option B will not provide a sufficiently precise outcome, so if option A is not progressed our next preference would be for option C, albeit we consider this option to create disproportionate administrative effort for the amounts being redistributed.</w:t>
            </w:r>
          </w:p>
        </w:tc>
        <w:tc>
          <w:tcPr>
            <w:tcW w:w="0" w:type="auto"/>
            <w:shd w:val="clear" w:color="auto" w:fill="E2EFD9" w:themeFill="accent6" w:themeFillTint="33"/>
          </w:tcPr>
          <w:p w14:paraId="7209F5A5" w14:textId="77777777" w:rsidR="008373BD" w:rsidRPr="003903B5" w:rsidRDefault="008373BD" w:rsidP="003903B5">
            <w:pPr>
              <w:pStyle w:val="BodyText"/>
              <w:rPr>
                <w:rFonts w:cstheme="minorHAnsi"/>
              </w:rPr>
            </w:pPr>
          </w:p>
        </w:tc>
      </w:tr>
      <w:tr w:rsidR="008373BD" w:rsidRPr="00232923" w14:paraId="5D32B0D4" w14:textId="0321B754" w:rsidTr="00C53AD3">
        <w:tc>
          <w:tcPr>
            <w:tcW w:w="0" w:type="auto"/>
          </w:tcPr>
          <w:p w14:paraId="3C148B1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7B284EC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4646584" w14:textId="77777777" w:rsidR="008373BD" w:rsidRPr="003903B5" w:rsidRDefault="008373BD" w:rsidP="003903B5">
            <w:pPr>
              <w:pStyle w:val="NormalWeb"/>
              <w:rPr>
                <w:rFonts w:asciiTheme="minorHAnsi" w:hAnsiTheme="minorHAnsi" w:cstheme="minorHAnsi"/>
                <w:sz w:val="22"/>
                <w:szCs w:val="22"/>
              </w:rPr>
            </w:pPr>
            <w:r w:rsidRPr="003903B5">
              <w:rPr>
                <w:rFonts w:asciiTheme="minorHAnsi" w:hAnsiTheme="minorHAnsi" w:cstheme="minorHAnsi"/>
                <w:sz w:val="22"/>
                <w:szCs w:val="22"/>
              </w:rPr>
              <w:t xml:space="preserve">Our strongly preferred choice from the Options presented is Option A. </w:t>
            </w:r>
          </w:p>
          <w:p w14:paraId="2A975EC8" w14:textId="77777777" w:rsidR="008373BD" w:rsidRPr="003903B5" w:rsidRDefault="008373BD" w:rsidP="003903B5">
            <w:pPr>
              <w:pStyle w:val="NormalWeb"/>
              <w:rPr>
                <w:rFonts w:asciiTheme="minorHAnsi" w:hAnsiTheme="minorHAnsi" w:cstheme="minorHAnsi"/>
                <w:sz w:val="22"/>
                <w:szCs w:val="22"/>
              </w:rPr>
            </w:pPr>
          </w:p>
          <w:p w14:paraId="0C1BF2BB" w14:textId="77777777" w:rsidR="008373BD" w:rsidRPr="003903B5" w:rsidRDefault="008373BD" w:rsidP="003903B5">
            <w:pPr>
              <w:pStyle w:val="NormalWeb"/>
              <w:rPr>
                <w:rFonts w:asciiTheme="minorHAnsi" w:hAnsiTheme="minorHAnsi" w:cstheme="minorHAnsi"/>
                <w:color w:val="000000"/>
                <w:sz w:val="22"/>
                <w:szCs w:val="22"/>
              </w:rPr>
            </w:pPr>
            <w:r w:rsidRPr="003903B5">
              <w:rPr>
                <w:rFonts w:asciiTheme="minorHAnsi" w:hAnsiTheme="minorHAnsi" w:cstheme="minorHAnsi"/>
                <w:sz w:val="22"/>
                <w:szCs w:val="22"/>
              </w:rPr>
              <w:t xml:space="preserve">This choice is based on our view that </w:t>
            </w:r>
            <w:r w:rsidRPr="003903B5">
              <w:rPr>
                <w:rFonts w:asciiTheme="minorHAnsi" w:hAnsiTheme="minorHAnsi" w:cstheme="minorHAnsi"/>
                <w:color w:val="000000"/>
                <w:sz w:val="22"/>
                <w:szCs w:val="22"/>
              </w:rPr>
              <w:t xml:space="preserve">Option A would enable the most accurate available data to be used between the parties. Therefore, any credits issued would be final and not skewed by subsequent billing runs. As our research into implementation of this CP indicates the requirement for complex manual processing, we wish to eliminate or minimise intermediate steps which would require subsequent reworking. </w:t>
            </w:r>
          </w:p>
          <w:p w14:paraId="273B9BC5" w14:textId="77777777" w:rsidR="008373BD" w:rsidRPr="003903B5" w:rsidRDefault="008373BD" w:rsidP="003903B5">
            <w:pPr>
              <w:pStyle w:val="NormalWeb"/>
              <w:rPr>
                <w:rFonts w:asciiTheme="minorHAnsi" w:hAnsiTheme="minorHAnsi" w:cstheme="minorHAnsi"/>
                <w:color w:val="000000"/>
                <w:sz w:val="22"/>
                <w:szCs w:val="22"/>
              </w:rPr>
            </w:pPr>
          </w:p>
          <w:p w14:paraId="34D39202" w14:textId="77777777" w:rsidR="008373BD" w:rsidRPr="003903B5" w:rsidRDefault="008373BD" w:rsidP="003903B5">
            <w:pPr>
              <w:pStyle w:val="NormalWeb"/>
              <w:rPr>
                <w:rFonts w:asciiTheme="minorHAnsi" w:hAnsiTheme="minorHAnsi" w:cstheme="minorHAnsi"/>
                <w:color w:val="000000"/>
                <w:sz w:val="22"/>
                <w:szCs w:val="22"/>
              </w:rPr>
            </w:pPr>
            <w:r w:rsidRPr="003903B5">
              <w:rPr>
                <w:rFonts w:asciiTheme="minorHAnsi" w:hAnsiTheme="minorHAnsi" w:cstheme="minorHAnsi"/>
                <w:color w:val="000000"/>
                <w:sz w:val="22"/>
                <w:szCs w:val="22"/>
              </w:rPr>
              <w:t>Aside from using the best available data, the additional time provided by this Option before IDNOs can lodge claims with DNOs may better accommodate situations where an administrator makes one or more interim payments to creditors part way through the administration process.</w:t>
            </w:r>
          </w:p>
          <w:p w14:paraId="33952E78" w14:textId="77777777" w:rsidR="008373BD" w:rsidRPr="003903B5" w:rsidRDefault="008373BD" w:rsidP="003903B5">
            <w:pPr>
              <w:pStyle w:val="NormalWeb"/>
              <w:rPr>
                <w:rFonts w:asciiTheme="minorHAnsi" w:hAnsiTheme="minorHAnsi" w:cstheme="minorHAnsi"/>
                <w:color w:val="000000"/>
                <w:sz w:val="22"/>
                <w:szCs w:val="22"/>
              </w:rPr>
            </w:pPr>
          </w:p>
          <w:p w14:paraId="7D247FF7" w14:textId="77777777" w:rsidR="008373BD" w:rsidRPr="003903B5" w:rsidRDefault="008373BD" w:rsidP="003903B5">
            <w:pPr>
              <w:pStyle w:val="NormalWeb"/>
              <w:rPr>
                <w:rFonts w:asciiTheme="minorHAnsi" w:hAnsiTheme="minorHAnsi" w:cstheme="minorHAnsi"/>
                <w:color w:val="000000"/>
                <w:sz w:val="22"/>
                <w:szCs w:val="22"/>
              </w:rPr>
            </w:pPr>
            <w:r w:rsidRPr="003903B5">
              <w:rPr>
                <w:rFonts w:asciiTheme="minorHAnsi" w:hAnsiTheme="minorHAnsi" w:cstheme="minorHAnsi"/>
                <w:color w:val="000000"/>
                <w:sz w:val="22"/>
                <w:szCs w:val="22"/>
              </w:rPr>
              <w:t>We recognise that this would mean the IDNO waiting 14 months for the credit(s). However, under each of the CP’s Options the DNOs are likely to have to finance the IDNO bad debt for multiple years, pending conclusion of the administration process and the ultimate recovery of the residual bad debt. This Option therefore represents the most reasonable sharing of the financing burden between the parties.</w:t>
            </w:r>
          </w:p>
          <w:p w14:paraId="7C4E26C8" w14:textId="77777777" w:rsidR="008373BD" w:rsidRPr="003903B5" w:rsidRDefault="008373BD" w:rsidP="003903B5">
            <w:pPr>
              <w:pStyle w:val="BodyText"/>
              <w:rPr>
                <w:rFonts w:asciiTheme="minorHAnsi" w:hAnsiTheme="minorHAnsi" w:cstheme="minorHAnsi"/>
                <w:sz w:val="22"/>
                <w:szCs w:val="22"/>
              </w:rPr>
            </w:pPr>
          </w:p>
        </w:tc>
        <w:tc>
          <w:tcPr>
            <w:tcW w:w="0" w:type="auto"/>
            <w:shd w:val="clear" w:color="auto" w:fill="E2EFD9" w:themeFill="accent6" w:themeFillTint="33"/>
          </w:tcPr>
          <w:p w14:paraId="3F82B2B6" w14:textId="77777777" w:rsidR="008373BD" w:rsidRPr="003903B5" w:rsidRDefault="008373BD" w:rsidP="003903B5">
            <w:pPr>
              <w:pStyle w:val="NormalWeb"/>
              <w:rPr>
                <w:rFonts w:asciiTheme="minorHAnsi" w:hAnsiTheme="minorHAnsi" w:cstheme="minorHAnsi"/>
              </w:rPr>
            </w:pPr>
          </w:p>
        </w:tc>
      </w:tr>
      <w:tr w:rsidR="008373BD" w:rsidRPr="00232923" w14:paraId="74E02606" w14:textId="140EB582" w:rsidTr="00C53AD3">
        <w:tc>
          <w:tcPr>
            <w:tcW w:w="0" w:type="auto"/>
          </w:tcPr>
          <w:p w14:paraId="7CB69DB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04CC5FA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F7D4C2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5.23 – Option C reconciling early appears to be the fairest option transferring the bad debt earlier in the process is a sensible approach.  With a true up after the final Reconciliation settlement run, however this has to be subject to an equally appropriate mechanism for DNO’s to be able to recover these costs timeously with no detriment to its customers.</w:t>
            </w:r>
          </w:p>
        </w:tc>
        <w:tc>
          <w:tcPr>
            <w:tcW w:w="0" w:type="auto"/>
            <w:shd w:val="clear" w:color="auto" w:fill="E2EFD9" w:themeFill="accent6" w:themeFillTint="33"/>
          </w:tcPr>
          <w:p w14:paraId="1355E7FD"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67E5A309" w14:textId="61B18B62" w:rsidTr="00C53AD3">
        <w:tc>
          <w:tcPr>
            <w:tcW w:w="0" w:type="auto"/>
          </w:tcPr>
          <w:p w14:paraId="561F9F8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1638C94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B8F6A17" w14:textId="77777777" w:rsidR="008373BD" w:rsidRPr="003903B5" w:rsidRDefault="008373BD" w:rsidP="003903B5">
            <w:pPr>
              <w:pStyle w:val="NormalWeb"/>
              <w:rPr>
                <w:rFonts w:asciiTheme="minorHAnsi" w:hAnsiTheme="minorHAnsi" w:cstheme="minorHAnsi"/>
                <w:sz w:val="22"/>
                <w:szCs w:val="22"/>
              </w:rPr>
            </w:pPr>
            <w:r w:rsidRPr="003903B5">
              <w:rPr>
                <w:rFonts w:asciiTheme="minorHAnsi" w:hAnsiTheme="minorHAnsi" w:cstheme="minorHAnsi"/>
                <w:sz w:val="22"/>
                <w:szCs w:val="22"/>
              </w:rPr>
              <w:t xml:space="preserve">At this time, based upon the commentary in the consultation document, we believe that option A or C would be most appropriate, we believe it is important that any settlement </w:t>
            </w:r>
            <w:r w:rsidRPr="003903B5">
              <w:rPr>
                <w:rFonts w:asciiTheme="minorHAnsi" w:hAnsiTheme="minorHAnsi" w:cstheme="minorHAnsi"/>
                <w:sz w:val="22"/>
                <w:szCs w:val="22"/>
              </w:rPr>
              <w:lastRenderedPageBreak/>
              <w:t>takes into account the details of the final settlement run, which is why we believe that option B would not be appropriate.</w:t>
            </w:r>
          </w:p>
        </w:tc>
        <w:tc>
          <w:tcPr>
            <w:tcW w:w="0" w:type="auto"/>
            <w:shd w:val="clear" w:color="auto" w:fill="E2EFD9" w:themeFill="accent6" w:themeFillTint="33"/>
          </w:tcPr>
          <w:p w14:paraId="733D0A76" w14:textId="77777777" w:rsidR="008373BD" w:rsidRPr="003903B5" w:rsidRDefault="008373BD" w:rsidP="003903B5">
            <w:pPr>
              <w:pStyle w:val="NormalWeb"/>
              <w:rPr>
                <w:rFonts w:asciiTheme="minorHAnsi" w:hAnsiTheme="minorHAnsi" w:cstheme="minorHAnsi"/>
              </w:rPr>
            </w:pPr>
          </w:p>
        </w:tc>
      </w:tr>
      <w:tr w:rsidR="008373BD" w:rsidRPr="00232923" w14:paraId="08C7492C" w14:textId="07C7453C" w:rsidTr="00C53AD3">
        <w:tc>
          <w:tcPr>
            <w:tcW w:w="0" w:type="auto"/>
          </w:tcPr>
          <w:p w14:paraId="6FAC705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455E1B1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642DDDC"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From a DNO perspective our order of preference is:-</w:t>
            </w:r>
          </w:p>
          <w:p w14:paraId="0E460EDA" w14:textId="77777777" w:rsidR="008373BD" w:rsidRPr="003903B5" w:rsidRDefault="008373BD" w:rsidP="003903B5">
            <w:pPr>
              <w:pStyle w:val="BodyText"/>
              <w:numPr>
                <w:ilvl w:val="0"/>
                <w:numId w:val="4"/>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Option A would be the simplest as there are no reconciliation issues. However IDNO may not wish to wait 14 months to receive their credits back</w:t>
            </w:r>
          </w:p>
          <w:p w14:paraId="30B47113" w14:textId="77777777" w:rsidR="008373BD" w:rsidRPr="003903B5" w:rsidRDefault="008373BD" w:rsidP="003903B5">
            <w:pPr>
              <w:pStyle w:val="BodyText"/>
              <w:numPr>
                <w:ilvl w:val="0"/>
                <w:numId w:val="4"/>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 xml:space="preserve">Option B – again no reconciliation issues and may be the most pragmatic approach as the majority of charges will be at this point(SF) </w:t>
            </w:r>
          </w:p>
          <w:p w14:paraId="1562C25E"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 xml:space="preserve">Option C – This option is the most complicated and there is no mention of whether the DNO should charge /pay interest at the RF reconciliation stage . </w:t>
            </w:r>
          </w:p>
        </w:tc>
        <w:tc>
          <w:tcPr>
            <w:tcW w:w="0" w:type="auto"/>
            <w:shd w:val="clear" w:color="auto" w:fill="E2EFD9" w:themeFill="accent6" w:themeFillTint="33"/>
          </w:tcPr>
          <w:p w14:paraId="02B7C5B9" w14:textId="77777777" w:rsidR="008373BD" w:rsidRPr="003903B5" w:rsidRDefault="008373BD" w:rsidP="003903B5">
            <w:pPr>
              <w:pStyle w:val="BodyText"/>
              <w:rPr>
                <w:rFonts w:cstheme="minorHAnsi"/>
              </w:rPr>
            </w:pPr>
          </w:p>
        </w:tc>
      </w:tr>
      <w:tr w:rsidR="00C53AD3" w:rsidRPr="00232923" w14:paraId="1E448570" w14:textId="77777777" w:rsidTr="00C53AD3">
        <w:tc>
          <w:tcPr>
            <w:tcW w:w="0" w:type="auto"/>
            <w:gridSpan w:val="4"/>
            <w:shd w:val="clear" w:color="auto" w:fill="E2EFD9" w:themeFill="accent6" w:themeFillTint="33"/>
          </w:tcPr>
          <w:p w14:paraId="2835427D" w14:textId="77777777" w:rsidR="00C53AD3" w:rsidRPr="003903B5" w:rsidRDefault="00C53AD3" w:rsidP="003903B5">
            <w:pPr>
              <w:pStyle w:val="BodyText"/>
              <w:rPr>
                <w:rFonts w:cstheme="minorHAnsi"/>
              </w:rPr>
            </w:pPr>
          </w:p>
        </w:tc>
      </w:tr>
      <w:bookmarkEnd w:id="7"/>
    </w:tbl>
    <w:p w14:paraId="43CEAE42"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561"/>
        <w:gridCol w:w="1382"/>
        <w:gridCol w:w="8571"/>
        <w:gridCol w:w="1326"/>
      </w:tblGrid>
      <w:tr w:rsidR="008373BD" w:rsidRPr="00232923" w14:paraId="50068D30" w14:textId="668B39F0"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7AE98507" w14:textId="77777777" w:rsidR="008373BD" w:rsidRPr="00232923" w:rsidRDefault="008373BD" w:rsidP="00232923">
            <w:pPr>
              <w:pStyle w:val="ColumnHeading"/>
              <w:rPr>
                <w:rFonts w:asciiTheme="minorHAnsi" w:hAnsiTheme="minorHAnsi" w:cstheme="minorHAnsi"/>
              </w:rPr>
            </w:pPr>
            <w:bookmarkStart w:id="8" w:name="dcusa_response8"/>
            <w:r w:rsidRPr="00232923">
              <w:rPr>
                <w:rFonts w:asciiTheme="minorHAnsi" w:hAnsiTheme="minorHAnsi" w:cstheme="minorHAnsi"/>
              </w:rPr>
              <w:t>Company</w:t>
            </w:r>
          </w:p>
        </w:tc>
        <w:tc>
          <w:tcPr>
            <w:tcW w:w="0" w:type="auto"/>
          </w:tcPr>
          <w:p w14:paraId="6BA1501B"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268B11AC"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4031C2AF" w14:textId="631CD308"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Is the information listed in paragraph 5.17, along with the resubmitted half-hourly invoicing reports and the non-half-hourly and half-hourly aggregate report sufficient to enable DNOs to process the LDNO’s claim? If not, what additional information is required?</w:t>
            </w:r>
          </w:p>
        </w:tc>
        <w:tc>
          <w:tcPr>
            <w:tcW w:w="0" w:type="auto"/>
          </w:tcPr>
          <w:p w14:paraId="063A9684" w14:textId="0591D706"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56F0E221" w14:textId="10ACEFC4" w:rsidTr="00C53AD3">
        <w:tc>
          <w:tcPr>
            <w:tcW w:w="0" w:type="auto"/>
          </w:tcPr>
          <w:p w14:paraId="26634D9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4AA3996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141DE11"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5576F351" w14:textId="77777777" w:rsidR="008373BD" w:rsidRPr="003903B5" w:rsidRDefault="008373BD" w:rsidP="00232923">
            <w:pPr>
              <w:pStyle w:val="BodyText"/>
              <w:rPr>
                <w:rFonts w:cstheme="minorHAnsi"/>
              </w:rPr>
            </w:pPr>
          </w:p>
        </w:tc>
      </w:tr>
      <w:tr w:rsidR="008373BD" w:rsidRPr="00232923" w14:paraId="68569BD6" w14:textId="4F613E58" w:rsidTr="00C53AD3">
        <w:tc>
          <w:tcPr>
            <w:tcW w:w="0" w:type="auto"/>
          </w:tcPr>
          <w:p w14:paraId="721FEF6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4E30C29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FA6429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As a DNO we only need to know the total amount recoverable whereas paragraph 5.17 is suggesting the LDNO provides the relevant elements for DNOs to undertake this calculation on their behalf, which is increasing the administrative burden unnecessarily on DNOs.</w:t>
            </w:r>
          </w:p>
        </w:tc>
        <w:tc>
          <w:tcPr>
            <w:tcW w:w="0" w:type="auto"/>
            <w:shd w:val="clear" w:color="auto" w:fill="E2EFD9" w:themeFill="accent6" w:themeFillTint="33"/>
          </w:tcPr>
          <w:p w14:paraId="60A1A097"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1527661D" w14:textId="339AACE7" w:rsidTr="00C53AD3">
        <w:tc>
          <w:tcPr>
            <w:tcW w:w="0" w:type="auto"/>
          </w:tcPr>
          <w:p w14:paraId="5DA544E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2851E5F5"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8EFA1C5"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We believe the information outlined in paragraph 5.17 and supported by the HH and NHH reports is sufficient for this change proposal. However, the Working Group should</w:t>
            </w:r>
          </w:p>
          <w:p w14:paraId="4C1E047E"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consider whether the LDNO should also report anomalies e.g. where the defaulting</w:t>
            </w:r>
          </w:p>
          <w:p w14:paraId="369F2E4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Supplier has missed a month in a consecutive run or an element of the debt that was</w:t>
            </w:r>
          </w:p>
          <w:p w14:paraId="13BEAE0A"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able to be recovered due to previous credit arrangements in place.</w:t>
            </w:r>
          </w:p>
        </w:tc>
        <w:tc>
          <w:tcPr>
            <w:tcW w:w="0" w:type="auto"/>
            <w:shd w:val="clear" w:color="auto" w:fill="E2EFD9" w:themeFill="accent6" w:themeFillTint="33"/>
          </w:tcPr>
          <w:p w14:paraId="4FE7F0E9" w14:textId="77777777" w:rsidR="008373BD" w:rsidRPr="003903B5" w:rsidRDefault="008373BD" w:rsidP="00232923">
            <w:pPr>
              <w:autoSpaceDE w:val="0"/>
              <w:autoSpaceDN w:val="0"/>
              <w:adjustRightInd w:val="0"/>
              <w:rPr>
                <w:rFonts w:cstheme="minorHAnsi"/>
              </w:rPr>
            </w:pPr>
          </w:p>
        </w:tc>
      </w:tr>
      <w:tr w:rsidR="008373BD" w:rsidRPr="00232923" w14:paraId="0929BBCD" w14:textId="1011F011" w:rsidTr="00C53AD3">
        <w:tc>
          <w:tcPr>
            <w:tcW w:w="0" w:type="auto"/>
          </w:tcPr>
          <w:p w14:paraId="23852E05" w14:textId="5362B948" w:rsidR="008373BD" w:rsidRPr="00E13A30"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lastRenderedPageBreak/>
              <w:t>Confidential</w:t>
            </w:r>
          </w:p>
        </w:tc>
        <w:tc>
          <w:tcPr>
            <w:tcW w:w="0" w:type="auto"/>
          </w:tcPr>
          <w:p w14:paraId="4743343B" w14:textId="4EFEDE85"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837A109" w14:textId="5E995FEC"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B33725A" w14:textId="77777777" w:rsidR="008373BD" w:rsidRPr="00B00177" w:rsidRDefault="008373BD" w:rsidP="003903B5">
            <w:pPr>
              <w:autoSpaceDE w:val="0"/>
              <w:autoSpaceDN w:val="0"/>
              <w:adjustRightInd w:val="0"/>
              <w:rPr>
                <w:rFonts w:cstheme="minorHAnsi"/>
                <w:color w:val="FF0000"/>
              </w:rPr>
            </w:pPr>
          </w:p>
        </w:tc>
      </w:tr>
      <w:tr w:rsidR="008373BD" w:rsidRPr="00232923" w14:paraId="5B02BF41" w14:textId="1FB6A6B0" w:rsidTr="00C53AD3">
        <w:tc>
          <w:tcPr>
            <w:tcW w:w="0" w:type="auto"/>
          </w:tcPr>
          <w:p w14:paraId="21165FB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7263E5A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D6ED5AA"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have two points to raise on the information to be passed from LDNO to DNO:</w:t>
            </w:r>
          </w:p>
          <w:p w14:paraId="2007E767" w14:textId="77777777" w:rsidR="008373BD" w:rsidRPr="003903B5" w:rsidRDefault="008373BD" w:rsidP="003903B5">
            <w:pPr>
              <w:pStyle w:val="BodyText"/>
              <w:numPr>
                <w:ilvl w:val="0"/>
                <w:numId w:val="2"/>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The resubmitted information for half hourly sites should only include data for MPANs which were registered to the failed supplier and remain outstanding.</w:t>
            </w:r>
          </w:p>
          <w:p w14:paraId="6A450BA5" w14:textId="77777777" w:rsidR="008373BD" w:rsidRPr="003903B5" w:rsidRDefault="008373BD" w:rsidP="003903B5">
            <w:pPr>
              <w:pStyle w:val="BodyText"/>
              <w:numPr>
                <w:ilvl w:val="0"/>
                <w:numId w:val="2"/>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Additional information will be required to ensure that any credit cover collateral held by LDNOs is properly accounted for.</w:t>
            </w:r>
          </w:p>
          <w:p w14:paraId="75DC9FBD" w14:textId="77777777" w:rsidR="008373BD" w:rsidRPr="003903B5" w:rsidRDefault="008373BD" w:rsidP="003903B5">
            <w:pPr>
              <w:pStyle w:val="BodyText"/>
              <w:rPr>
                <w:rFonts w:asciiTheme="minorHAnsi" w:hAnsiTheme="minorHAnsi" w:cstheme="minorHAnsi"/>
                <w:b/>
                <w:sz w:val="22"/>
                <w:szCs w:val="22"/>
              </w:rPr>
            </w:pPr>
            <w:r w:rsidRPr="003903B5">
              <w:rPr>
                <w:rFonts w:asciiTheme="minorHAnsi" w:hAnsiTheme="minorHAnsi" w:cstheme="minorHAnsi"/>
                <w:b/>
                <w:sz w:val="22"/>
                <w:szCs w:val="22"/>
              </w:rPr>
              <w:t>Half hourly data</w:t>
            </w:r>
          </w:p>
          <w:p w14:paraId="2BE91DF5"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The consultation document and legal text suggest that the LDNO will resubmit the entirety of any half hourly report for periods for which the LDNO has not received payment. In order for the DNO to be able to process the credit, the DNO will need to know in respect of which sites the LDNO has invoices outstanding, i.e. which sites were registered to the failed supplier at the time of failure.</w:t>
            </w:r>
          </w:p>
          <w:p w14:paraId="292F031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This could either be achieved by the LDNO marking on the resubmitted reports the sites in respect of which it has bad debts; or by the resubmitted report only including rows which relate to sites registered to the failed supplier at the time of failure. Our preference would be for the latter of these to be pursued.</w:t>
            </w:r>
          </w:p>
          <w:p w14:paraId="0B956C76" w14:textId="77777777" w:rsidR="008373BD" w:rsidRPr="003903B5" w:rsidRDefault="008373BD" w:rsidP="003903B5">
            <w:pPr>
              <w:pStyle w:val="BodyText"/>
              <w:rPr>
                <w:rFonts w:asciiTheme="minorHAnsi" w:hAnsiTheme="minorHAnsi" w:cstheme="minorHAnsi"/>
                <w:b/>
                <w:sz w:val="22"/>
                <w:szCs w:val="22"/>
              </w:rPr>
            </w:pPr>
            <w:r w:rsidRPr="003903B5">
              <w:rPr>
                <w:rFonts w:asciiTheme="minorHAnsi" w:hAnsiTheme="minorHAnsi" w:cstheme="minorHAnsi"/>
                <w:b/>
                <w:sz w:val="22"/>
                <w:szCs w:val="22"/>
              </w:rPr>
              <w:t>LDNO credit cover</w:t>
            </w:r>
          </w:p>
          <w:p w14:paraId="7E6E90B4"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In some instances LDNOs will hold either a letter of credit or Escrow account deposit covering the full ‘value at risk’ (i.e. all billed but unpaid charges and an estimate of charges which would be levied for the next 15 days, as defined in DCUSA Schedule 1). In this circumstance, that collateral should be used in full, and so no bad debt will be enduring.</w:t>
            </w:r>
          </w:p>
          <w:p w14:paraId="72B23F2D"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In some instances LDNOs will hold a cash deposit, covering some or all of the value at risk. If the cash deposit in question is sufficient to cover all bad debts, then it should be used in full, and so no bad debts will be enduring. It the cash deposit is not sufficient, it should be split proportionally between LDNO revenue which relates to use of host DNO assets and LDNO revenue which relates to the use of host DNO assets. So the LDNO should report to the DNO on any cash deposit it holds, and what its total bad debt position is in respect of end users </w:t>
            </w:r>
            <w:r w:rsidRPr="003903B5">
              <w:rPr>
                <w:rFonts w:asciiTheme="minorHAnsi" w:hAnsiTheme="minorHAnsi" w:cstheme="minorHAnsi"/>
                <w:sz w:val="22"/>
                <w:szCs w:val="22"/>
              </w:rPr>
              <w:lastRenderedPageBreak/>
              <w:t>within the host DNO’s distribution services area. The amount of bad debt to be redistributed would then be calculated as:</w:t>
            </w:r>
          </w:p>
          <w:p w14:paraId="3B2E8FDE" w14:textId="77777777" w:rsidR="008373BD" w:rsidRPr="003903B5" w:rsidRDefault="008373BD" w:rsidP="003903B5">
            <w:pPr>
              <w:pStyle w:val="BodyText"/>
              <w:rPr>
                <w:rFonts w:asciiTheme="minorHAnsi" w:hAnsiTheme="minorHAnsi" w:cstheme="minorHAnsi"/>
                <w:sz w:val="22"/>
                <w:szCs w:val="22"/>
              </w:rPr>
            </w:pPr>
            <m:oMathPara>
              <m:oMath>
                <m:r>
                  <w:rPr>
                    <w:rFonts w:ascii="Cambria Math" w:hAnsi="Cambria Math" w:cstheme="minorHAnsi"/>
                    <w:sz w:val="22"/>
                    <w:szCs w:val="22"/>
                  </w:rPr>
                  <m:t>DNO to LDNO Payment=LDNO Bad Debt from DNO Assets×</m:t>
                </m:r>
                <m:d>
                  <m:dPr>
                    <m:ctrlPr>
                      <w:rPr>
                        <w:rFonts w:ascii="Cambria Math" w:hAnsi="Cambria Math" w:cstheme="minorHAnsi"/>
                        <w:i/>
                        <w:sz w:val="22"/>
                        <w:szCs w:val="22"/>
                      </w:rPr>
                    </m:ctrlPr>
                  </m:dPr>
                  <m:e>
                    <m:r>
                      <w:rPr>
                        <w:rFonts w:ascii="Cambria Math" w:hAnsi="Cambria Math" w:cstheme="minorHAnsi"/>
                        <w:sz w:val="22"/>
                        <w:szCs w:val="22"/>
                      </w:rPr>
                      <m:t>1-</m:t>
                    </m:r>
                    <m:f>
                      <m:fPr>
                        <m:ctrlPr>
                          <w:rPr>
                            <w:rFonts w:ascii="Cambria Math" w:hAnsi="Cambria Math" w:cstheme="minorHAnsi"/>
                            <w:i/>
                            <w:sz w:val="22"/>
                            <w:szCs w:val="22"/>
                          </w:rPr>
                        </m:ctrlPr>
                      </m:fPr>
                      <m:num>
                        <m:r>
                          <w:rPr>
                            <w:rFonts w:ascii="Cambria Math" w:hAnsi="Cambria Math" w:cstheme="minorHAnsi"/>
                            <w:sz w:val="22"/>
                            <w:szCs w:val="22"/>
                          </w:rPr>
                          <m:t>LDNO Credit Cover Cash Deposit</m:t>
                        </m:r>
                      </m:num>
                      <m:den>
                        <m:r>
                          <w:rPr>
                            <w:rFonts w:ascii="Cambria Math" w:hAnsi="Cambria Math" w:cstheme="minorHAnsi"/>
                            <w:sz w:val="22"/>
                            <w:szCs w:val="22"/>
                          </w:rPr>
                          <m:t>Total LDNO Bad Debt for DNO area</m:t>
                        </m:r>
                      </m:den>
                    </m:f>
                  </m:e>
                </m:d>
              </m:oMath>
            </m:oMathPara>
          </w:p>
          <w:p w14:paraId="04520E7F" w14:textId="77777777" w:rsidR="008373BD" w:rsidRPr="003903B5" w:rsidRDefault="008373BD" w:rsidP="003903B5">
            <w:pPr>
              <w:pStyle w:val="BodyTextNoSpacing"/>
              <w:rPr>
                <w:rFonts w:asciiTheme="minorHAnsi" w:hAnsiTheme="minorHAnsi" w:cstheme="minorHAnsi"/>
                <w:sz w:val="22"/>
                <w:szCs w:val="22"/>
              </w:rPr>
            </w:pPr>
          </w:p>
        </w:tc>
        <w:tc>
          <w:tcPr>
            <w:tcW w:w="0" w:type="auto"/>
            <w:shd w:val="clear" w:color="auto" w:fill="E2EFD9" w:themeFill="accent6" w:themeFillTint="33"/>
          </w:tcPr>
          <w:p w14:paraId="3D25660F" w14:textId="77777777" w:rsidR="008373BD" w:rsidRPr="003903B5" w:rsidRDefault="008373BD" w:rsidP="003903B5">
            <w:pPr>
              <w:pStyle w:val="BodyText"/>
              <w:rPr>
                <w:rFonts w:cstheme="minorHAnsi"/>
              </w:rPr>
            </w:pPr>
          </w:p>
        </w:tc>
      </w:tr>
      <w:tr w:rsidR="008373BD" w:rsidRPr="00232923" w14:paraId="29648611" w14:textId="4ADC5F3E" w:rsidTr="00C53AD3">
        <w:tc>
          <w:tcPr>
            <w:tcW w:w="0" w:type="auto"/>
          </w:tcPr>
          <w:p w14:paraId="111E2AD0" w14:textId="77777777" w:rsidR="008373BD" w:rsidRPr="003903B5" w:rsidRDefault="008373BD" w:rsidP="003903B5">
            <w:pPr>
              <w:pStyle w:val="BodyTextNoSpacing"/>
              <w:rPr>
                <w:rFonts w:asciiTheme="minorHAnsi" w:hAnsiTheme="minorHAnsi" w:cstheme="minorHAnsi"/>
                <w:sz w:val="22"/>
                <w:szCs w:val="22"/>
              </w:rPr>
            </w:pPr>
            <w:bookmarkStart w:id="9" w:name="_GoBack"/>
            <w:bookmarkEnd w:id="9"/>
            <w:r w:rsidRPr="003903B5">
              <w:rPr>
                <w:rFonts w:asciiTheme="minorHAnsi" w:hAnsiTheme="minorHAnsi" w:cstheme="minorHAnsi"/>
                <w:sz w:val="22"/>
                <w:szCs w:val="22"/>
              </w:rPr>
              <w:t>Southern Electric Power Distribution plc and Scottish Hydro Electric Power Distribution plc</w:t>
            </w:r>
          </w:p>
        </w:tc>
        <w:tc>
          <w:tcPr>
            <w:tcW w:w="0" w:type="auto"/>
          </w:tcPr>
          <w:p w14:paraId="4D5D33F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BA08D9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We would expect that the self-certification of compliance with Schedule 1 should explicitly confirm that any sum claimed through the DNO is net of (i.e. excludes) any security deposits or other credit collateral which may have been placed by the defaulting supplier. If Option A is selected and implemented, the IDNO should also explicitly confirm that the sum claimed is net of any interim payment(s) made by the administrator. </w:t>
            </w:r>
          </w:p>
        </w:tc>
        <w:tc>
          <w:tcPr>
            <w:tcW w:w="0" w:type="auto"/>
            <w:shd w:val="clear" w:color="auto" w:fill="E2EFD9" w:themeFill="accent6" w:themeFillTint="33"/>
          </w:tcPr>
          <w:p w14:paraId="033EA51E" w14:textId="77777777" w:rsidR="008373BD" w:rsidRPr="003903B5" w:rsidRDefault="008373BD" w:rsidP="003903B5">
            <w:pPr>
              <w:pStyle w:val="BodyText"/>
              <w:rPr>
                <w:rFonts w:cstheme="minorHAnsi"/>
              </w:rPr>
            </w:pPr>
          </w:p>
        </w:tc>
      </w:tr>
      <w:tr w:rsidR="008373BD" w:rsidRPr="00232923" w14:paraId="2A77494D" w14:textId="15513057" w:rsidTr="00C53AD3">
        <w:tc>
          <w:tcPr>
            <w:tcW w:w="0" w:type="auto"/>
          </w:tcPr>
          <w:p w14:paraId="1077F41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64DC263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CB3029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Yes the information listed within 5.17 is fairly comprehensive and would meet expectations.</w:t>
            </w:r>
          </w:p>
        </w:tc>
        <w:tc>
          <w:tcPr>
            <w:tcW w:w="0" w:type="auto"/>
            <w:shd w:val="clear" w:color="auto" w:fill="E2EFD9" w:themeFill="accent6" w:themeFillTint="33"/>
          </w:tcPr>
          <w:p w14:paraId="66B8352C"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0E84E3C0" w14:textId="43DCD956" w:rsidTr="00C53AD3">
        <w:tc>
          <w:tcPr>
            <w:tcW w:w="0" w:type="auto"/>
          </w:tcPr>
          <w:p w14:paraId="3D43DEE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6FCBD64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9E94E9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At this time, we believe that the details as laid out in paragraph 5.17 of the consultation would be sufficient to validate any claims. However we do have a concern over the additional work placed upon the DNO to provide the audit assurance role as part of this exercise, this would be vital to ensure a robust process is introduced. In addition we do not believe that the legal text (8.5) is clear enough about what the DNO is to do when notified of amounts received from administrators.</w:t>
            </w:r>
          </w:p>
          <w:p w14:paraId="0679ECFA" w14:textId="77777777" w:rsidR="008373BD" w:rsidRPr="003903B5" w:rsidRDefault="008373BD" w:rsidP="003903B5">
            <w:pPr>
              <w:pStyle w:val="BodyText"/>
              <w:rPr>
                <w:rFonts w:asciiTheme="minorHAnsi" w:hAnsiTheme="minorHAnsi" w:cstheme="minorHAnsi"/>
                <w:sz w:val="22"/>
                <w:szCs w:val="22"/>
              </w:rPr>
            </w:pPr>
          </w:p>
        </w:tc>
        <w:tc>
          <w:tcPr>
            <w:tcW w:w="0" w:type="auto"/>
            <w:shd w:val="clear" w:color="auto" w:fill="E2EFD9" w:themeFill="accent6" w:themeFillTint="33"/>
          </w:tcPr>
          <w:p w14:paraId="0A8A97DB" w14:textId="77777777" w:rsidR="008373BD" w:rsidRPr="003903B5" w:rsidRDefault="008373BD" w:rsidP="003903B5">
            <w:pPr>
              <w:pStyle w:val="BodyText"/>
              <w:rPr>
                <w:rFonts w:cstheme="minorHAnsi"/>
              </w:rPr>
            </w:pPr>
          </w:p>
        </w:tc>
      </w:tr>
      <w:tr w:rsidR="008373BD" w:rsidRPr="00232923" w14:paraId="0862CB4C" w14:textId="2E459DA1" w:rsidTr="00C53AD3">
        <w:tc>
          <w:tcPr>
            <w:tcW w:w="0" w:type="auto"/>
          </w:tcPr>
          <w:p w14:paraId="4166540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0DB274A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B9D4D97" w14:textId="77777777" w:rsidR="001023D2" w:rsidRPr="001023D2" w:rsidRDefault="001023D2" w:rsidP="001023D2">
            <w:pPr>
              <w:pStyle w:val="Default"/>
              <w:rPr>
                <w:rFonts w:asciiTheme="minorHAnsi" w:hAnsiTheme="minorHAnsi" w:cstheme="minorHAnsi"/>
                <w:sz w:val="22"/>
                <w:szCs w:val="22"/>
              </w:rPr>
            </w:pPr>
            <w:r w:rsidRPr="001023D2">
              <w:rPr>
                <w:rFonts w:asciiTheme="minorHAnsi" w:hAnsiTheme="minorHAnsi" w:cstheme="minorHAnsi"/>
                <w:sz w:val="22"/>
                <w:szCs w:val="22"/>
              </w:rPr>
              <w:t xml:space="preserve">It should be noted that the resubmitted HH invoice reports should be resubmitted with the (-)ve values so that we can load into DURABILL and issue credit notes </w:t>
            </w:r>
          </w:p>
          <w:p w14:paraId="3CB68E38" w14:textId="77777777" w:rsidR="001023D2" w:rsidRPr="001023D2" w:rsidRDefault="001023D2" w:rsidP="001023D2">
            <w:pPr>
              <w:pStyle w:val="Default"/>
              <w:rPr>
                <w:rFonts w:asciiTheme="minorHAnsi" w:hAnsiTheme="minorHAnsi" w:cstheme="minorHAnsi"/>
                <w:sz w:val="22"/>
                <w:szCs w:val="22"/>
              </w:rPr>
            </w:pPr>
          </w:p>
          <w:p w14:paraId="427AD78E" w14:textId="77777777" w:rsidR="001023D2" w:rsidRPr="001023D2" w:rsidRDefault="001023D2" w:rsidP="001023D2">
            <w:pPr>
              <w:pStyle w:val="Default"/>
              <w:rPr>
                <w:rFonts w:asciiTheme="minorHAnsi" w:hAnsiTheme="minorHAnsi" w:cstheme="minorHAnsi"/>
                <w:sz w:val="22"/>
                <w:szCs w:val="22"/>
              </w:rPr>
            </w:pPr>
            <w:r w:rsidRPr="001023D2">
              <w:rPr>
                <w:rFonts w:asciiTheme="minorHAnsi" w:hAnsiTheme="minorHAnsi" w:cstheme="minorHAnsi"/>
                <w:sz w:val="22"/>
                <w:szCs w:val="22"/>
              </w:rPr>
              <w:t xml:space="preserve">There are a number of options covering submission of NHHSC data to the DNO. It will not be possible to load this data into DURABILL to apply tariffs and create the necessary credits. </w:t>
            </w:r>
          </w:p>
          <w:p w14:paraId="7DAC3AEC" w14:textId="77777777" w:rsidR="001023D2" w:rsidRPr="001023D2" w:rsidRDefault="001023D2" w:rsidP="001023D2">
            <w:pPr>
              <w:pStyle w:val="Default"/>
              <w:rPr>
                <w:rFonts w:asciiTheme="minorHAnsi" w:hAnsiTheme="minorHAnsi" w:cstheme="minorHAnsi"/>
                <w:sz w:val="22"/>
                <w:szCs w:val="22"/>
              </w:rPr>
            </w:pPr>
            <w:r w:rsidRPr="001023D2">
              <w:rPr>
                <w:rFonts w:asciiTheme="minorHAnsi" w:hAnsiTheme="minorHAnsi" w:cstheme="minorHAnsi"/>
                <w:sz w:val="22"/>
                <w:szCs w:val="22"/>
              </w:rPr>
              <w:lastRenderedPageBreak/>
              <w:t xml:space="preserve">Note that none of the suggested templates support the use of de-linked tariffs. Western Power currently uses de-linked tariffs and default TPRs, and DCP268 proposed that they are extended to all NHHSC billing from April 2020. The data templates do not include the breakdown of data by settlement period. This would be required to support de-linked tariffs. </w:t>
            </w:r>
          </w:p>
          <w:p w14:paraId="535D75DB" w14:textId="77777777" w:rsidR="001023D2" w:rsidRPr="001023D2" w:rsidRDefault="001023D2" w:rsidP="001023D2">
            <w:pPr>
              <w:pStyle w:val="Default"/>
              <w:rPr>
                <w:rFonts w:asciiTheme="minorHAnsi" w:hAnsiTheme="minorHAnsi" w:cstheme="minorHAnsi"/>
                <w:sz w:val="22"/>
                <w:szCs w:val="22"/>
              </w:rPr>
            </w:pPr>
            <w:r w:rsidRPr="001023D2">
              <w:rPr>
                <w:rFonts w:asciiTheme="minorHAnsi" w:hAnsiTheme="minorHAnsi" w:cstheme="minorHAnsi"/>
                <w:sz w:val="22"/>
                <w:szCs w:val="22"/>
              </w:rPr>
              <w:t xml:space="preserve">One of the suggestions for grouping data is to group data by billed periods. It is not specified how data should be reported if a billed period spans two tariff years. For example if a LDNO bills SFs for 25th March to 24th April on a single invoice, the templates do not show how data should be reported. </w:t>
            </w:r>
          </w:p>
          <w:p w14:paraId="1C4118D8" w14:textId="77777777" w:rsidR="008373BD" w:rsidRPr="001023D2" w:rsidRDefault="008373BD" w:rsidP="003903B5">
            <w:pPr>
              <w:pStyle w:val="Default"/>
            </w:pPr>
          </w:p>
        </w:tc>
        <w:tc>
          <w:tcPr>
            <w:tcW w:w="0" w:type="auto"/>
            <w:shd w:val="clear" w:color="auto" w:fill="E2EFD9" w:themeFill="accent6" w:themeFillTint="33"/>
          </w:tcPr>
          <w:p w14:paraId="3FBCE342" w14:textId="77777777" w:rsidR="008373BD" w:rsidRPr="003903B5" w:rsidRDefault="008373BD" w:rsidP="003903B5">
            <w:pPr>
              <w:pStyle w:val="Default"/>
              <w:rPr>
                <w:rFonts w:asciiTheme="minorHAnsi" w:hAnsiTheme="minorHAnsi" w:cstheme="minorHAnsi"/>
                <w:sz w:val="22"/>
                <w:szCs w:val="22"/>
              </w:rPr>
            </w:pPr>
          </w:p>
        </w:tc>
      </w:tr>
      <w:tr w:rsidR="00C53AD3" w:rsidRPr="00232923" w14:paraId="3CDDB4D0" w14:textId="77777777" w:rsidTr="00C53AD3">
        <w:tc>
          <w:tcPr>
            <w:tcW w:w="0" w:type="auto"/>
            <w:gridSpan w:val="4"/>
            <w:shd w:val="clear" w:color="auto" w:fill="E2EFD9" w:themeFill="accent6" w:themeFillTint="33"/>
          </w:tcPr>
          <w:p w14:paraId="4358B327" w14:textId="77777777" w:rsidR="00C53AD3" w:rsidRPr="003903B5" w:rsidRDefault="00C53AD3" w:rsidP="003903B5">
            <w:pPr>
              <w:pStyle w:val="Default"/>
              <w:rPr>
                <w:rFonts w:asciiTheme="minorHAnsi" w:hAnsiTheme="minorHAnsi" w:cstheme="minorHAnsi"/>
                <w:sz w:val="22"/>
                <w:szCs w:val="22"/>
              </w:rPr>
            </w:pPr>
          </w:p>
        </w:tc>
      </w:tr>
      <w:bookmarkEnd w:id="8"/>
    </w:tbl>
    <w:p w14:paraId="3AD29BD1"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902"/>
        <w:gridCol w:w="1402"/>
        <w:gridCol w:w="8144"/>
        <w:gridCol w:w="1392"/>
      </w:tblGrid>
      <w:tr w:rsidR="008373BD" w:rsidRPr="00232923" w14:paraId="3DD1C88A" w14:textId="39E9DDD0"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1E4D2FE6" w14:textId="77777777" w:rsidR="008373BD" w:rsidRPr="00232923" w:rsidRDefault="008373BD" w:rsidP="00232923">
            <w:pPr>
              <w:pStyle w:val="ColumnHeading"/>
              <w:rPr>
                <w:rFonts w:asciiTheme="minorHAnsi" w:hAnsiTheme="minorHAnsi" w:cstheme="minorHAnsi"/>
              </w:rPr>
            </w:pPr>
            <w:bookmarkStart w:id="10" w:name="dcusa_response9"/>
            <w:r w:rsidRPr="00232923">
              <w:rPr>
                <w:rFonts w:asciiTheme="minorHAnsi" w:hAnsiTheme="minorHAnsi" w:cstheme="minorHAnsi"/>
              </w:rPr>
              <w:t>Company</w:t>
            </w:r>
          </w:p>
        </w:tc>
        <w:tc>
          <w:tcPr>
            <w:tcW w:w="0" w:type="auto"/>
          </w:tcPr>
          <w:p w14:paraId="12335E1A"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57ADD33A"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428D325C" w14:textId="162A3B4B"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have any comments on the proposed format of the LDNO to DNO report?</w:t>
            </w:r>
          </w:p>
        </w:tc>
        <w:tc>
          <w:tcPr>
            <w:tcW w:w="0" w:type="auto"/>
          </w:tcPr>
          <w:p w14:paraId="5BEF5957" w14:textId="5310EB30"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 xml:space="preserve">Working Group Comments </w:t>
            </w:r>
          </w:p>
        </w:tc>
      </w:tr>
      <w:tr w:rsidR="008373BD" w:rsidRPr="00232923" w14:paraId="727DD726" w14:textId="08434436" w:rsidTr="00C53AD3">
        <w:tc>
          <w:tcPr>
            <w:tcW w:w="0" w:type="auto"/>
          </w:tcPr>
          <w:p w14:paraId="34073D2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14C21E5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613D922"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179C8AC9" w14:textId="77777777" w:rsidR="008373BD" w:rsidRPr="003903B5" w:rsidRDefault="008373BD" w:rsidP="00232923">
            <w:pPr>
              <w:pStyle w:val="BodyText"/>
              <w:rPr>
                <w:rFonts w:cstheme="minorHAnsi"/>
              </w:rPr>
            </w:pPr>
          </w:p>
        </w:tc>
      </w:tr>
      <w:tr w:rsidR="008373BD" w:rsidRPr="00232923" w14:paraId="3CE24030" w14:textId="6B84F937" w:rsidTr="00C53AD3">
        <w:tc>
          <w:tcPr>
            <w:tcW w:w="0" w:type="auto"/>
          </w:tcPr>
          <w:p w14:paraId="60B3B8E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69CA3A21"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E25029F"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From a DNO perspective the summary information would seem adequate. It doesn’t seem necessary for DNOs to receive detailed data. We strongly support a standardised format in any event. </w:t>
            </w:r>
          </w:p>
        </w:tc>
        <w:tc>
          <w:tcPr>
            <w:tcW w:w="0" w:type="auto"/>
            <w:shd w:val="clear" w:color="auto" w:fill="E2EFD9" w:themeFill="accent6" w:themeFillTint="33"/>
          </w:tcPr>
          <w:p w14:paraId="675995A9" w14:textId="77777777" w:rsidR="008373BD" w:rsidRPr="003903B5" w:rsidRDefault="008373BD" w:rsidP="00232923">
            <w:pPr>
              <w:pStyle w:val="BodyText"/>
              <w:rPr>
                <w:rFonts w:cstheme="minorHAnsi"/>
              </w:rPr>
            </w:pPr>
          </w:p>
        </w:tc>
      </w:tr>
      <w:tr w:rsidR="008373BD" w:rsidRPr="00232923" w14:paraId="3BEDED6A" w14:textId="72CF56C6" w:rsidTr="00C53AD3">
        <w:tc>
          <w:tcPr>
            <w:tcW w:w="0" w:type="auto"/>
          </w:tcPr>
          <w:p w14:paraId="4EC554A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034D044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CAAC6F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We have no comment on the format of the report. The inclusion of the report format</w:t>
            </w:r>
          </w:p>
          <w:p w14:paraId="7E9F5555"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as an appendix to the Schedule is prudent as the report could be complex and not</w:t>
            </w:r>
          </w:p>
          <w:p w14:paraId="419994CA"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easily determined from the legal text alone.</w:t>
            </w:r>
          </w:p>
        </w:tc>
        <w:tc>
          <w:tcPr>
            <w:tcW w:w="0" w:type="auto"/>
            <w:shd w:val="clear" w:color="auto" w:fill="E2EFD9" w:themeFill="accent6" w:themeFillTint="33"/>
          </w:tcPr>
          <w:p w14:paraId="1740D6BA" w14:textId="77777777" w:rsidR="008373BD" w:rsidRPr="003903B5" w:rsidRDefault="008373BD" w:rsidP="00232923">
            <w:pPr>
              <w:autoSpaceDE w:val="0"/>
              <w:autoSpaceDN w:val="0"/>
              <w:adjustRightInd w:val="0"/>
              <w:rPr>
                <w:rFonts w:cstheme="minorHAnsi"/>
              </w:rPr>
            </w:pPr>
          </w:p>
        </w:tc>
      </w:tr>
      <w:tr w:rsidR="008373BD" w:rsidRPr="00232923" w14:paraId="2509296B" w14:textId="2D7A6D85" w:rsidTr="00C53AD3">
        <w:tc>
          <w:tcPr>
            <w:tcW w:w="0" w:type="auto"/>
          </w:tcPr>
          <w:p w14:paraId="31B9C1CB" w14:textId="37949EF4" w:rsidR="008373BD" w:rsidRPr="00E13A30" w:rsidRDefault="00AB0BD5" w:rsidP="00E13A30">
            <w:pPr>
              <w:pStyle w:val="BodyTextNoSpacing"/>
              <w:tabs>
                <w:tab w:val="center" w:pos="1771"/>
              </w:tabs>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3E4C4AC2" w14:textId="078D872B"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0FDCCF4B" w14:textId="08C0CFA9"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4CC859E3" w14:textId="77777777" w:rsidR="008373BD" w:rsidRPr="00B00177" w:rsidRDefault="008373BD" w:rsidP="003903B5">
            <w:pPr>
              <w:autoSpaceDE w:val="0"/>
              <w:autoSpaceDN w:val="0"/>
              <w:adjustRightInd w:val="0"/>
              <w:rPr>
                <w:rFonts w:cstheme="minorHAnsi"/>
                <w:color w:val="FF0000"/>
              </w:rPr>
            </w:pPr>
          </w:p>
        </w:tc>
      </w:tr>
      <w:tr w:rsidR="008373BD" w:rsidRPr="00232923" w14:paraId="2D8CB7A6" w14:textId="3D2D39C0" w:rsidTr="00C53AD3">
        <w:tc>
          <w:tcPr>
            <w:tcW w:w="0" w:type="auto"/>
          </w:tcPr>
          <w:p w14:paraId="6B86B80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Southern Electric Power Distribution plc and Scottish </w:t>
            </w:r>
            <w:r w:rsidRPr="003903B5">
              <w:rPr>
                <w:rFonts w:asciiTheme="minorHAnsi" w:hAnsiTheme="minorHAnsi" w:cstheme="minorHAnsi"/>
                <w:sz w:val="22"/>
                <w:szCs w:val="22"/>
              </w:rPr>
              <w:lastRenderedPageBreak/>
              <w:t>Hydro Electric Power Distribution plc</w:t>
            </w:r>
          </w:p>
        </w:tc>
        <w:tc>
          <w:tcPr>
            <w:tcW w:w="0" w:type="auto"/>
          </w:tcPr>
          <w:p w14:paraId="2A4F9DD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Non-confidential</w:t>
            </w:r>
          </w:p>
        </w:tc>
        <w:tc>
          <w:tcPr>
            <w:tcW w:w="0" w:type="auto"/>
          </w:tcPr>
          <w:p w14:paraId="4B6645B3"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0B0D3DE4" w14:textId="77777777" w:rsidR="008373BD" w:rsidRPr="003903B5" w:rsidRDefault="008373BD" w:rsidP="003903B5">
            <w:pPr>
              <w:pStyle w:val="BodyText"/>
              <w:rPr>
                <w:rFonts w:cstheme="minorHAnsi"/>
              </w:rPr>
            </w:pPr>
          </w:p>
        </w:tc>
      </w:tr>
      <w:tr w:rsidR="008373BD" w:rsidRPr="00232923" w14:paraId="4539CF50" w14:textId="160BFDB7" w:rsidTr="00C53AD3">
        <w:tc>
          <w:tcPr>
            <w:tcW w:w="0" w:type="auto"/>
          </w:tcPr>
          <w:p w14:paraId="0A6E2A0F" w14:textId="77777777" w:rsidR="008373BD" w:rsidRPr="006F02CC" w:rsidRDefault="008373BD" w:rsidP="003903B5">
            <w:pPr>
              <w:pStyle w:val="BodyTextNoSpacing"/>
              <w:rPr>
                <w:rFonts w:asciiTheme="minorHAnsi" w:hAnsiTheme="minorHAnsi" w:cstheme="minorHAnsi"/>
                <w:sz w:val="22"/>
                <w:szCs w:val="22"/>
              </w:rPr>
            </w:pPr>
            <w:r w:rsidRPr="006F02CC">
              <w:rPr>
                <w:rFonts w:asciiTheme="minorHAnsi" w:hAnsiTheme="minorHAnsi" w:cstheme="minorHAnsi"/>
                <w:sz w:val="22"/>
                <w:szCs w:val="22"/>
              </w:rPr>
              <w:t>SP Distribution and SP Manweb</w:t>
            </w:r>
          </w:p>
        </w:tc>
        <w:tc>
          <w:tcPr>
            <w:tcW w:w="0" w:type="auto"/>
          </w:tcPr>
          <w:p w14:paraId="3F503141" w14:textId="77777777" w:rsidR="008373BD" w:rsidRPr="006F02CC" w:rsidRDefault="008373BD" w:rsidP="003903B5">
            <w:pPr>
              <w:pStyle w:val="BodyTextNoSpacing"/>
              <w:rPr>
                <w:rFonts w:asciiTheme="minorHAnsi" w:hAnsiTheme="minorHAnsi" w:cstheme="minorHAnsi"/>
                <w:sz w:val="22"/>
                <w:szCs w:val="22"/>
              </w:rPr>
            </w:pPr>
            <w:r w:rsidRPr="006F02CC">
              <w:rPr>
                <w:rFonts w:asciiTheme="minorHAnsi" w:hAnsiTheme="minorHAnsi" w:cstheme="minorHAnsi"/>
                <w:sz w:val="22"/>
                <w:szCs w:val="22"/>
              </w:rPr>
              <w:t>Non-confidential</w:t>
            </w:r>
          </w:p>
        </w:tc>
        <w:tc>
          <w:tcPr>
            <w:tcW w:w="0" w:type="auto"/>
          </w:tcPr>
          <w:p w14:paraId="027E601C" w14:textId="77777777" w:rsidR="008373BD" w:rsidRPr="006F02CC" w:rsidRDefault="008373BD" w:rsidP="003903B5">
            <w:pPr>
              <w:pStyle w:val="BodyTextNoSpacing"/>
              <w:rPr>
                <w:rFonts w:asciiTheme="minorHAnsi" w:hAnsiTheme="minorHAnsi" w:cstheme="minorHAnsi"/>
                <w:sz w:val="22"/>
                <w:szCs w:val="22"/>
              </w:rPr>
            </w:pPr>
            <w:r w:rsidRPr="006F02CC">
              <w:rPr>
                <w:rFonts w:asciiTheme="minorHAnsi" w:hAnsiTheme="minorHAnsi" w:cstheme="minorHAnsi"/>
                <w:sz w:val="22"/>
                <w:szCs w:val="22"/>
              </w:rPr>
              <w:t>Within column D of the report, there is paid/unpaid and not received.  Would the DNO be liable for values that were in the unpaid category only?</w:t>
            </w:r>
          </w:p>
        </w:tc>
        <w:tc>
          <w:tcPr>
            <w:tcW w:w="0" w:type="auto"/>
            <w:shd w:val="clear" w:color="auto" w:fill="E2EFD9" w:themeFill="accent6" w:themeFillTint="33"/>
          </w:tcPr>
          <w:p w14:paraId="65111D8F" w14:textId="77777777" w:rsidR="008373BD" w:rsidRPr="006F02CC" w:rsidRDefault="008373BD" w:rsidP="003903B5">
            <w:pPr>
              <w:pStyle w:val="BodyTextNoSpacing"/>
              <w:rPr>
                <w:rFonts w:asciiTheme="minorHAnsi" w:hAnsiTheme="minorHAnsi" w:cstheme="minorHAnsi"/>
                <w:sz w:val="22"/>
                <w:szCs w:val="22"/>
              </w:rPr>
            </w:pPr>
          </w:p>
        </w:tc>
      </w:tr>
      <w:tr w:rsidR="002E3B43" w:rsidRPr="00232923" w14:paraId="54586101" w14:textId="77777777" w:rsidTr="00C53AD3">
        <w:tc>
          <w:tcPr>
            <w:tcW w:w="0" w:type="auto"/>
          </w:tcPr>
          <w:p w14:paraId="01E1179F" w14:textId="45E40646"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3353DFFE" w14:textId="57D18498"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BD89AE8" w14:textId="77777777" w:rsidR="002E3B43" w:rsidRPr="003903B5" w:rsidRDefault="002E3B43" w:rsidP="002E3B4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No. </w:t>
            </w:r>
          </w:p>
          <w:p w14:paraId="33C4D3B7" w14:textId="5FBB6808" w:rsidR="002E3B43" w:rsidRPr="003903B5" w:rsidRDefault="002E3B43" w:rsidP="002E3B43">
            <w:pPr>
              <w:pStyle w:val="BodyText"/>
              <w:rPr>
                <w:rFonts w:cstheme="minorHAnsi"/>
              </w:rPr>
            </w:pPr>
            <w:r w:rsidRPr="003903B5">
              <w:rPr>
                <w:rFonts w:asciiTheme="minorHAnsi" w:hAnsiTheme="minorHAnsi" w:cstheme="minorHAnsi"/>
                <w:sz w:val="22"/>
                <w:szCs w:val="22"/>
              </w:rPr>
              <w:t>We will have very limited ability to validate the information provided, other than that appropriate settlement dates have been included for each settlement run and that the MPAN counts and unit volumes are less than the total for each IDNO for each settlement run. This is as a result of the settlement processes which result in the data being reported to DNOs showing the total by IDNO rather than by supplier for customers connected to IDNO networks, so unlikely to be something which the working group can mitigate.</w:t>
            </w:r>
          </w:p>
        </w:tc>
        <w:tc>
          <w:tcPr>
            <w:tcW w:w="0" w:type="auto"/>
            <w:shd w:val="clear" w:color="auto" w:fill="E2EFD9" w:themeFill="accent6" w:themeFillTint="33"/>
          </w:tcPr>
          <w:p w14:paraId="20FAE60E" w14:textId="77777777" w:rsidR="002E3B43" w:rsidRPr="003903B5" w:rsidRDefault="002E3B43" w:rsidP="002E3B43">
            <w:pPr>
              <w:pStyle w:val="BodyText"/>
              <w:rPr>
                <w:rFonts w:cstheme="minorHAnsi"/>
              </w:rPr>
            </w:pPr>
          </w:p>
        </w:tc>
      </w:tr>
      <w:tr w:rsidR="002E3B43" w:rsidRPr="00232923" w14:paraId="14C95BA7" w14:textId="076AF826" w:rsidTr="00C53AD3">
        <w:tc>
          <w:tcPr>
            <w:tcW w:w="0" w:type="auto"/>
          </w:tcPr>
          <w:p w14:paraId="6A33FD61" w14:textId="77777777"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678C5D29" w14:textId="77777777"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EDECF74" w14:textId="77777777" w:rsidR="002E3B43" w:rsidRPr="003903B5" w:rsidRDefault="002E3B43" w:rsidP="002E3B43">
            <w:pPr>
              <w:pStyle w:val="BodyText"/>
              <w:rPr>
                <w:rFonts w:asciiTheme="minorHAnsi" w:hAnsiTheme="minorHAnsi" w:cstheme="minorHAnsi"/>
                <w:sz w:val="22"/>
                <w:szCs w:val="22"/>
              </w:rPr>
            </w:pPr>
            <w:r w:rsidRPr="003903B5">
              <w:rPr>
                <w:rFonts w:asciiTheme="minorHAnsi" w:hAnsiTheme="minorHAnsi" w:cstheme="minorHAnsi"/>
                <w:sz w:val="22"/>
                <w:szCs w:val="22"/>
              </w:rPr>
              <w:t>No not at this time.</w:t>
            </w:r>
          </w:p>
        </w:tc>
        <w:tc>
          <w:tcPr>
            <w:tcW w:w="0" w:type="auto"/>
            <w:shd w:val="clear" w:color="auto" w:fill="E2EFD9" w:themeFill="accent6" w:themeFillTint="33"/>
          </w:tcPr>
          <w:p w14:paraId="2DBE8C31" w14:textId="77777777" w:rsidR="002E3B43" w:rsidRPr="003903B5" w:rsidRDefault="002E3B43" w:rsidP="002E3B43">
            <w:pPr>
              <w:pStyle w:val="BodyText"/>
              <w:rPr>
                <w:rFonts w:cstheme="minorHAnsi"/>
              </w:rPr>
            </w:pPr>
          </w:p>
        </w:tc>
      </w:tr>
      <w:tr w:rsidR="002E3B43" w:rsidRPr="00232923" w14:paraId="5BB4FAB0" w14:textId="02150B19" w:rsidTr="00C53AD3">
        <w:tc>
          <w:tcPr>
            <w:tcW w:w="0" w:type="auto"/>
          </w:tcPr>
          <w:p w14:paraId="0BCDC63A" w14:textId="77777777"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703A4728" w14:textId="77777777" w:rsidR="002E3B43" w:rsidRPr="003903B5" w:rsidRDefault="002E3B43" w:rsidP="002E3B4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6C8AA31" w14:textId="77777777" w:rsidR="002E3B43" w:rsidRPr="003903B5" w:rsidRDefault="002E3B43" w:rsidP="002E3B43">
            <w:pPr>
              <w:pStyle w:val="Default"/>
              <w:rPr>
                <w:rFonts w:asciiTheme="minorHAnsi" w:hAnsiTheme="minorHAnsi" w:cstheme="minorHAnsi"/>
                <w:sz w:val="22"/>
                <w:szCs w:val="22"/>
              </w:rPr>
            </w:pPr>
          </w:p>
          <w:p w14:paraId="5B35D990" w14:textId="77777777" w:rsidR="002E3B43" w:rsidRPr="003903B5" w:rsidRDefault="002E3B43" w:rsidP="002E3B43">
            <w:pPr>
              <w:pStyle w:val="Default"/>
              <w:rPr>
                <w:rFonts w:asciiTheme="minorHAnsi" w:hAnsiTheme="minorHAnsi" w:cstheme="minorHAnsi"/>
                <w:sz w:val="22"/>
                <w:szCs w:val="22"/>
              </w:rPr>
            </w:pPr>
            <w:r w:rsidRPr="003903B5">
              <w:rPr>
                <w:rFonts w:asciiTheme="minorHAnsi" w:hAnsiTheme="minorHAnsi" w:cstheme="minorHAnsi"/>
                <w:sz w:val="22"/>
                <w:szCs w:val="22"/>
              </w:rPr>
              <w:t xml:space="preserve">. </w:t>
            </w:r>
          </w:p>
          <w:p w14:paraId="3BE85942" w14:textId="77777777" w:rsidR="002E3B43" w:rsidRPr="003903B5" w:rsidRDefault="002E3B43" w:rsidP="002E3B4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Please see my response to Q8</w:t>
            </w:r>
          </w:p>
        </w:tc>
        <w:tc>
          <w:tcPr>
            <w:tcW w:w="0" w:type="auto"/>
            <w:shd w:val="clear" w:color="auto" w:fill="E2EFD9" w:themeFill="accent6" w:themeFillTint="33"/>
          </w:tcPr>
          <w:p w14:paraId="7C5762A5" w14:textId="77777777" w:rsidR="002E3B43" w:rsidRPr="003903B5" w:rsidRDefault="002E3B43" w:rsidP="002E3B43">
            <w:pPr>
              <w:pStyle w:val="Default"/>
              <w:rPr>
                <w:rFonts w:asciiTheme="minorHAnsi" w:hAnsiTheme="minorHAnsi" w:cstheme="minorHAnsi"/>
                <w:sz w:val="22"/>
                <w:szCs w:val="22"/>
              </w:rPr>
            </w:pPr>
          </w:p>
        </w:tc>
      </w:tr>
      <w:tr w:rsidR="002E3B43" w:rsidRPr="00232923" w14:paraId="610B8D1B" w14:textId="77777777" w:rsidTr="00C53AD3">
        <w:tc>
          <w:tcPr>
            <w:tcW w:w="0" w:type="auto"/>
            <w:gridSpan w:val="4"/>
            <w:shd w:val="clear" w:color="auto" w:fill="E2EFD9" w:themeFill="accent6" w:themeFillTint="33"/>
          </w:tcPr>
          <w:p w14:paraId="202FB3A5" w14:textId="77777777" w:rsidR="002E3B43" w:rsidRPr="003903B5" w:rsidRDefault="002E3B43" w:rsidP="002E3B43">
            <w:pPr>
              <w:pStyle w:val="Default"/>
              <w:rPr>
                <w:rFonts w:asciiTheme="minorHAnsi" w:hAnsiTheme="minorHAnsi" w:cstheme="minorHAnsi"/>
                <w:sz w:val="22"/>
                <w:szCs w:val="22"/>
              </w:rPr>
            </w:pPr>
          </w:p>
        </w:tc>
      </w:tr>
      <w:bookmarkEnd w:id="10"/>
    </w:tbl>
    <w:p w14:paraId="528D70A5"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97"/>
        <w:gridCol w:w="1402"/>
        <w:gridCol w:w="8150"/>
        <w:gridCol w:w="1391"/>
      </w:tblGrid>
      <w:tr w:rsidR="008373BD" w:rsidRPr="00232923" w14:paraId="19ED7EA6" w14:textId="5CED4642"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0656ECE5" w14:textId="77777777" w:rsidR="008373BD" w:rsidRPr="00232923" w:rsidRDefault="008373BD" w:rsidP="00232923">
            <w:pPr>
              <w:pStyle w:val="ColumnHeading"/>
              <w:rPr>
                <w:rFonts w:asciiTheme="minorHAnsi" w:hAnsiTheme="minorHAnsi" w:cstheme="minorHAnsi"/>
              </w:rPr>
            </w:pPr>
            <w:bookmarkStart w:id="11" w:name="dcusa_response10"/>
            <w:r w:rsidRPr="00232923">
              <w:rPr>
                <w:rFonts w:asciiTheme="minorHAnsi" w:hAnsiTheme="minorHAnsi" w:cstheme="minorHAnsi"/>
              </w:rPr>
              <w:t>Company</w:t>
            </w:r>
          </w:p>
        </w:tc>
        <w:tc>
          <w:tcPr>
            <w:tcW w:w="0" w:type="auto"/>
          </w:tcPr>
          <w:p w14:paraId="4FCAC384"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30BB6CE1"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214CC9FC" w14:textId="7536D644"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have a preference for the ‘By Date’ or ‘By Period’ version of the report to be used?</w:t>
            </w:r>
          </w:p>
        </w:tc>
        <w:tc>
          <w:tcPr>
            <w:tcW w:w="0" w:type="auto"/>
          </w:tcPr>
          <w:p w14:paraId="15AD36C2" w14:textId="1843EB36"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232923" w14:paraId="53DA6B83" w14:textId="311A6FB8" w:rsidTr="00C53AD3">
        <w:tc>
          <w:tcPr>
            <w:tcW w:w="0" w:type="auto"/>
          </w:tcPr>
          <w:p w14:paraId="47205F5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3FF5D5C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5164ED0"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No preference</w:t>
            </w:r>
          </w:p>
        </w:tc>
        <w:tc>
          <w:tcPr>
            <w:tcW w:w="0" w:type="auto"/>
            <w:shd w:val="clear" w:color="auto" w:fill="E2EFD9" w:themeFill="accent6" w:themeFillTint="33"/>
          </w:tcPr>
          <w:p w14:paraId="5E3CA502" w14:textId="77777777" w:rsidR="008373BD" w:rsidRPr="003903B5" w:rsidRDefault="008373BD" w:rsidP="00232923">
            <w:pPr>
              <w:pStyle w:val="BodyText"/>
              <w:rPr>
                <w:rFonts w:cstheme="minorHAnsi"/>
              </w:rPr>
            </w:pPr>
          </w:p>
        </w:tc>
      </w:tr>
      <w:tr w:rsidR="008373BD" w:rsidRPr="00232923" w14:paraId="49D43F1F" w14:textId="57931C49" w:rsidTr="00C53AD3">
        <w:tc>
          <w:tcPr>
            <w:tcW w:w="0" w:type="auto"/>
          </w:tcPr>
          <w:p w14:paraId="7D5B5448"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Electricity North West</w:t>
            </w:r>
          </w:p>
        </w:tc>
        <w:tc>
          <w:tcPr>
            <w:tcW w:w="0" w:type="auto"/>
          </w:tcPr>
          <w:p w14:paraId="33BD4A3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FD5D834"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We don’t believe DNOs require this report as they should not have a role in calculating or validating the amount of the bad debt losses to be recovered by the LDNO. Ultimately, this role of validating the amounts would be undertaken by the Authority. </w:t>
            </w:r>
          </w:p>
        </w:tc>
        <w:tc>
          <w:tcPr>
            <w:tcW w:w="0" w:type="auto"/>
            <w:shd w:val="clear" w:color="auto" w:fill="E2EFD9" w:themeFill="accent6" w:themeFillTint="33"/>
          </w:tcPr>
          <w:p w14:paraId="41B0FF33" w14:textId="77777777" w:rsidR="008373BD" w:rsidRPr="003903B5" w:rsidRDefault="008373BD" w:rsidP="00232923">
            <w:pPr>
              <w:pStyle w:val="BodyText"/>
              <w:rPr>
                <w:rFonts w:cstheme="minorHAnsi"/>
              </w:rPr>
            </w:pPr>
          </w:p>
        </w:tc>
      </w:tr>
      <w:tr w:rsidR="008373BD" w:rsidRPr="00232923" w14:paraId="4F052264" w14:textId="3E3B29D5" w:rsidTr="00C53AD3">
        <w:tc>
          <w:tcPr>
            <w:tcW w:w="0" w:type="auto"/>
          </w:tcPr>
          <w:p w14:paraId="6E86686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355FC641"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645844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Both reports have merits.</w:t>
            </w:r>
          </w:p>
          <w:p w14:paraId="23EF86E2" w14:textId="77777777" w:rsidR="008373BD" w:rsidRPr="003903B5" w:rsidRDefault="008373BD" w:rsidP="00232923">
            <w:pPr>
              <w:autoSpaceDE w:val="0"/>
              <w:autoSpaceDN w:val="0"/>
              <w:adjustRightInd w:val="0"/>
              <w:rPr>
                <w:rFonts w:asciiTheme="minorHAnsi" w:hAnsiTheme="minorHAnsi" w:cstheme="minorHAnsi"/>
                <w:sz w:val="22"/>
                <w:szCs w:val="22"/>
              </w:rPr>
            </w:pPr>
          </w:p>
          <w:p w14:paraId="37165AB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‘By Date’ lists quite clearly the individual settlement dates that are being reclaimed and</w:t>
            </w:r>
          </w:p>
          <w:p w14:paraId="6FA2739E"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therefore, easier to monitor through full reconciliation.</w:t>
            </w:r>
          </w:p>
          <w:p w14:paraId="463A787F" w14:textId="77777777" w:rsidR="008373BD" w:rsidRPr="003903B5" w:rsidRDefault="008373BD" w:rsidP="00232923">
            <w:pPr>
              <w:autoSpaceDE w:val="0"/>
              <w:autoSpaceDN w:val="0"/>
              <w:adjustRightInd w:val="0"/>
              <w:rPr>
                <w:rFonts w:asciiTheme="minorHAnsi" w:hAnsiTheme="minorHAnsi" w:cstheme="minorHAnsi"/>
                <w:sz w:val="22"/>
                <w:szCs w:val="22"/>
              </w:rPr>
            </w:pPr>
          </w:p>
          <w:p w14:paraId="4C2D82F7"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‘By Period’ is a shorter report but as ESPE’s approach to DUoS NHH invoicing (circa 23</w:t>
            </w:r>
            <w:r w:rsidRPr="003903B5">
              <w:rPr>
                <w:rFonts w:asciiTheme="minorHAnsi" w:hAnsiTheme="minorHAnsi" w:cstheme="minorHAnsi"/>
                <w:sz w:val="22"/>
                <w:szCs w:val="22"/>
                <w:vertAlign w:val="superscript"/>
              </w:rPr>
              <w:t>rd</w:t>
            </w:r>
          </w:p>
          <w:p w14:paraId="09062DFA"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each month to capture a full settlement run at SF), reconciliation date ranges can differ throughout the 14 months e.g. an invoice raised that includes R1 may span 23 Feb to</w:t>
            </w:r>
          </w:p>
          <w:p w14:paraId="4D1E870B"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22 March and the subsequent R2 run may overlap on a later invoice spanning 14th Feb</w:t>
            </w:r>
          </w:p>
          <w:p w14:paraId="272F85D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to the 13</w:t>
            </w:r>
            <w:r w:rsidRPr="003903B5">
              <w:rPr>
                <w:rFonts w:asciiTheme="minorHAnsi" w:hAnsiTheme="minorHAnsi" w:cstheme="minorHAnsi"/>
                <w:sz w:val="22"/>
                <w:szCs w:val="22"/>
                <w:vertAlign w:val="superscript"/>
              </w:rPr>
              <w:t>th</w:t>
            </w:r>
            <w:r w:rsidRPr="003903B5">
              <w:rPr>
                <w:rFonts w:asciiTheme="minorHAnsi" w:hAnsiTheme="minorHAnsi" w:cstheme="minorHAnsi"/>
                <w:sz w:val="22"/>
                <w:szCs w:val="22"/>
              </w:rPr>
              <w:t xml:space="preserve"> March. It has a level of complexity that may incur greater costs for system</w:t>
            </w:r>
          </w:p>
          <w:p w14:paraId="652D6E1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functionality changes.</w:t>
            </w:r>
          </w:p>
          <w:p w14:paraId="1AE4D63A" w14:textId="77777777" w:rsidR="008373BD" w:rsidRPr="003903B5" w:rsidRDefault="008373BD" w:rsidP="00232923">
            <w:pPr>
              <w:autoSpaceDE w:val="0"/>
              <w:autoSpaceDN w:val="0"/>
              <w:adjustRightInd w:val="0"/>
              <w:rPr>
                <w:rFonts w:asciiTheme="minorHAnsi" w:hAnsiTheme="minorHAnsi" w:cstheme="minorHAnsi"/>
                <w:sz w:val="22"/>
                <w:szCs w:val="22"/>
              </w:rPr>
            </w:pPr>
          </w:p>
          <w:p w14:paraId="57FB243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Our preference at this stage would be to report ‘By Date’ subject to confirmation of</w:t>
            </w:r>
          </w:p>
          <w:p w14:paraId="58A863AF"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costs advised to us by our service provider.</w:t>
            </w:r>
          </w:p>
        </w:tc>
        <w:tc>
          <w:tcPr>
            <w:tcW w:w="0" w:type="auto"/>
            <w:shd w:val="clear" w:color="auto" w:fill="E2EFD9" w:themeFill="accent6" w:themeFillTint="33"/>
          </w:tcPr>
          <w:p w14:paraId="7EC0B634" w14:textId="77777777" w:rsidR="008373BD" w:rsidRPr="003903B5" w:rsidRDefault="008373BD" w:rsidP="00232923">
            <w:pPr>
              <w:autoSpaceDE w:val="0"/>
              <w:autoSpaceDN w:val="0"/>
              <w:adjustRightInd w:val="0"/>
              <w:rPr>
                <w:rFonts w:cstheme="minorHAnsi"/>
              </w:rPr>
            </w:pPr>
          </w:p>
        </w:tc>
      </w:tr>
      <w:tr w:rsidR="008373BD" w:rsidRPr="00232923" w14:paraId="65EFAB50" w14:textId="421AE353" w:rsidTr="00C53AD3">
        <w:tc>
          <w:tcPr>
            <w:tcW w:w="0" w:type="auto"/>
          </w:tcPr>
          <w:p w14:paraId="13052CCC" w14:textId="6AA70459" w:rsidR="008373BD" w:rsidRPr="00E13A30" w:rsidRDefault="00AB0BD5" w:rsidP="00E13A30">
            <w:pPr>
              <w:pStyle w:val="BodyTextNoSpacing"/>
              <w:tabs>
                <w:tab w:val="left" w:pos="1800"/>
              </w:tabs>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4894591D" w14:textId="2E67441A"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E2B808D" w14:textId="47542375"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C8FB980" w14:textId="77777777" w:rsidR="008373BD" w:rsidRPr="00B00177" w:rsidRDefault="008373BD" w:rsidP="003903B5">
            <w:pPr>
              <w:autoSpaceDE w:val="0"/>
              <w:autoSpaceDN w:val="0"/>
              <w:adjustRightInd w:val="0"/>
              <w:rPr>
                <w:rFonts w:cstheme="minorHAnsi"/>
                <w:color w:val="FF0000"/>
              </w:rPr>
            </w:pPr>
          </w:p>
        </w:tc>
      </w:tr>
      <w:tr w:rsidR="008373BD" w:rsidRPr="00232923" w14:paraId="4D455099" w14:textId="50CC2EE1" w:rsidTr="00C53AD3">
        <w:tc>
          <w:tcPr>
            <w:tcW w:w="0" w:type="auto"/>
          </w:tcPr>
          <w:p w14:paraId="368C134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36CC3DE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46F4F62"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consider that only the ‘by date’ version is fit for purpose. DNOs will have limited means by which to validate the information provided by LDNOs, but the ability to validate the information is greater with the provision of more granular data which enables the DNOs to confirm that only data for appropriate combinations of date and settlement run have been included; hence reporting should be by settlement date rather than grouping settlement dates together.</w:t>
            </w:r>
          </w:p>
        </w:tc>
        <w:tc>
          <w:tcPr>
            <w:tcW w:w="0" w:type="auto"/>
            <w:shd w:val="clear" w:color="auto" w:fill="E2EFD9" w:themeFill="accent6" w:themeFillTint="33"/>
          </w:tcPr>
          <w:p w14:paraId="442F3D3D" w14:textId="77777777" w:rsidR="008373BD" w:rsidRPr="003903B5" w:rsidRDefault="008373BD" w:rsidP="003903B5">
            <w:pPr>
              <w:pStyle w:val="BodyText"/>
              <w:rPr>
                <w:rFonts w:cstheme="minorHAnsi"/>
              </w:rPr>
            </w:pPr>
          </w:p>
        </w:tc>
      </w:tr>
      <w:tr w:rsidR="008373BD" w:rsidRPr="00232923" w14:paraId="66D42BF3" w14:textId="634D1C48" w:rsidTr="00C53AD3">
        <w:tc>
          <w:tcPr>
            <w:tcW w:w="0" w:type="auto"/>
          </w:tcPr>
          <w:p w14:paraId="7731C9E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Southern Electric Power Distribution plc and Scottish </w:t>
            </w:r>
            <w:r w:rsidRPr="003903B5">
              <w:rPr>
                <w:rFonts w:asciiTheme="minorHAnsi" w:hAnsiTheme="minorHAnsi" w:cstheme="minorHAnsi"/>
                <w:sz w:val="22"/>
                <w:szCs w:val="22"/>
              </w:rPr>
              <w:lastRenderedPageBreak/>
              <w:t>Hydro Electric Power Distribution plc</w:t>
            </w:r>
          </w:p>
        </w:tc>
        <w:tc>
          <w:tcPr>
            <w:tcW w:w="0" w:type="auto"/>
          </w:tcPr>
          <w:p w14:paraId="4C1CB32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Non-confidential</w:t>
            </w:r>
          </w:p>
        </w:tc>
        <w:tc>
          <w:tcPr>
            <w:tcW w:w="0" w:type="auto"/>
          </w:tcPr>
          <w:p w14:paraId="0412F881"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have no preference.</w:t>
            </w:r>
          </w:p>
        </w:tc>
        <w:tc>
          <w:tcPr>
            <w:tcW w:w="0" w:type="auto"/>
            <w:shd w:val="clear" w:color="auto" w:fill="E2EFD9" w:themeFill="accent6" w:themeFillTint="33"/>
          </w:tcPr>
          <w:p w14:paraId="2042EF2B" w14:textId="77777777" w:rsidR="008373BD" w:rsidRPr="003903B5" w:rsidRDefault="008373BD" w:rsidP="003903B5">
            <w:pPr>
              <w:pStyle w:val="BodyText"/>
              <w:rPr>
                <w:rFonts w:cstheme="minorHAnsi"/>
              </w:rPr>
            </w:pPr>
          </w:p>
        </w:tc>
      </w:tr>
      <w:tr w:rsidR="008373BD" w:rsidRPr="00232923" w14:paraId="379438AF" w14:textId="42DE0582" w:rsidTr="00C53AD3">
        <w:tc>
          <w:tcPr>
            <w:tcW w:w="0" w:type="auto"/>
          </w:tcPr>
          <w:p w14:paraId="74A7073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46CD493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C7F64BA"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The version of the LDNO to DNO – preferred option would be by date.</w:t>
            </w:r>
          </w:p>
          <w:p w14:paraId="4E481CEB" w14:textId="77777777" w:rsidR="008373BD" w:rsidRPr="003903B5" w:rsidRDefault="008373BD" w:rsidP="003903B5">
            <w:pPr>
              <w:rPr>
                <w:rFonts w:asciiTheme="minorHAnsi" w:hAnsiTheme="minorHAnsi" w:cstheme="minorHAnsi"/>
                <w:sz w:val="22"/>
                <w:szCs w:val="22"/>
              </w:rPr>
            </w:pPr>
            <w:r w:rsidRPr="003903B5">
              <w:rPr>
                <w:rFonts w:asciiTheme="minorHAnsi" w:hAnsiTheme="minorHAnsi" w:cstheme="minorHAnsi"/>
                <w:sz w:val="22"/>
                <w:szCs w:val="22"/>
              </w:rPr>
              <w:t>One of the suggestions for grouping data was to group data by billed periods. It is not specified how data should be reported if a billed period spans two tariff years. For example if a LDNO bills SFs for 25th March to 24th April on a single invoice, the templates do not show how data should be reported.</w:t>
            </w:r>
          </w:p>
          <w:p w14:paraId="3F8A4C0C" w14:textId="77777777" w:rsidR="008373BD" w:rsidRPr="003903B5" w:rsidRDefault="008373BD" w:rsidP="003903B5">
            <w:pPr>
              <w:pStyle w:val="BodyTextNoSpacing"/>
              <w:rPr>
                <w:rFonts w:asciiTheme="minorHAnsi" w:hAnsiTheme="minorHAnsi" w:cstheme="minorHAnsi"/>
                <w:sz w:val="22"/>
                <w:szCs w:val="22"/>
              </w:rPr>
            </w:pPr>
          </w:p>
        </w:tc>
        <w:tc>
          <w:tcPr>
            <w:tcW w:w="0" w:type="auto"/>
            <w:shd w:val="clear" w:color="auto" w:fill="E2EFD9" w:themeFill="accent6" w:themeFillTint="33"/>
          </w:tcPr>
          <w:p w14:paraId="5A86319A" w14:textId="77777777" w:rsidR="008373BD" w:rsidRPr="003903B5" w:rsidRDefault="008373BD" w:rsidP="003903B5">
            <w:pPr>
              <w:pStyle w:val="BodyText"/>
              <w:rPr>
                <w:rFonts w:cstheme="minorHAnsi"/>
              </w:rPr>
            </w:pPr>
          </w:p>
        </w:tc>
      </w:tr>
      <w:tr w:rsidR="008373BD" w:rsidRPr="00232923" w14:paraId="0516077A" w14:textId="6929D7EE" w:rsidTr="00C53AD3">
        <w:tc>
          <w:tcPr>
            <w:tcW w:w="0" w:type="auto"/>
          </w:tcPr>
          <w:p w14:paraId="4C4F60A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1C3AA5C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0F794D9"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 not at this time.</w:t>
            </w:r>
          </w:p>
        </w:tc>
        <w:tc>
          <w:tcPr>
            <w:tcW w:w="0" w:type="auto"/>
            <w:shd w:val="clear" w:color="auto" w:fill="E2EFD9" w:themeFill="accent6" w:themeFillTint="33"/>
          </w:tcPr>
          <w:p w14:paraId="054DB063" w14:textId="77777777" w:rsidR="008373BD" w:rsidRPr="003903B5" w:rsidRDefault="008373BD" w:rsidP="003903B5">
            <w:pPr>
              <w:pStyle w:val="BodyText"/>
              <w:rPr>
                <w:rFonts w:cstheme="minorHAnsi"/>
              </w:rPr>
            </w:pPr>
          </w:p>
        </w:tc>
      </w:tr>
      <w:tr w:rsidR="008373BD" w:rsidRPr="00232923" w14:paraId="14C86E2D" w14:textId="10748129" w:rsidTr="00C53AD3">
        <w:tc>
          <w:tcPr>
            <w:tcW w:w="0" w:type="auto"/>
          </w:tcPr>
          <w:p w14:paraId="3929811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084A9B9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1408F5B"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 xml:space="preserve">To support validation of delinked or default TPR charging WPD would require data by settlement period </w:t>
            </w:r>
          </w:p>
        </w:tc>
        <w:tc>
          <w:tcPr>
            <w:tcW w:w="0" w:type="auto"/>
            <w:shd w:val="clear" w:color="auto" w:fill="E2EFD9" w:themeFill="accent6" w:themeFillTint="33"/>
          </w:tcPr>
          <w:p w14:paraId="608BC867" w14:textId="77777777" w:rsidR="008373BD" w:rsidRPr="003903B5" w:rsidRDefault="008373BD" w:rsidP="003903B5">
            <w:pPr>
              <w:autoSpaceDE w:val="0"/>
              <w:autoSpaceDN w:val="0"/>
              <w:adjustRightInd w:val="0"/>
              <w:rPr>
                <w:rFonts w:cstheme="minorHAnsi"/>
              </w:rPr>
            </w:pPr>
          </w:p>
        </w:tc>
      </w:tr>
      <w:tr w:rsidR="00C53AD3" w:rsidRPr="00232923" w14:paraId="6E18FA64" w14:textId="77777777" w:rsidTr="00C53AD3">
        <w:tc>
          <w:tcPr>
            <w:tcW w:w="0" w:type="auto"/>
            <w:gridSpan w:val="4"/>
            <w:shd w:val="clear" w:color="auto" w:fill="E2EFD9" w:themeFill="accent6" w:themeFillTint="33"/>
          </w:tcPr>
          <w:p w14:paraId="0BC70BB6" w14:textId="77777777" w:rsidR="00C53AD3" w:rsidRPr="003903B5" w:rsidRDefault="00C53AD3" w:rsidP="003903B5">
            <w:pPr>
              <w:autoSpaceDE w:val="0"/>
              <w:autoSpaceDN w:val="0"/>
              <w:adjustRightInd w:val="0"/>
              <w:rPr>
                <w:rFonts w:cstheme="minorHAnsi"/>
              </w:rPr>
            </w:pPr>
          </w:p>
        </w:tc>
      </w:tr>
      <w:bookmarkEnd w:id="11"/>
    </w:tbl>
    <w:p w14:paraId="3F6AD74A"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913"/>
        <w:gridCol w:w="1403"/>
        <w:gridCol w:w="8130"/>
        <w:gridCol w:w="1394"/>
      </w:tblGrid>
      <w:tr w:rsidR="008373BD" w:rsidRPr="00232923" w14:paraId="39758515" w14:textId="01336E16"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71133301" w14:textId="77777777" w:rsidR="008373BD" w:rsidRPr="00232923" w:rsidRDefault="008373BD" w:rsidP="00232923">
            <w:pPr>
              <w:pStyle w:val="ColumnHeading"/>
              <w:rPr>
                <w:rFonts w:asciiTheme="minorHAnsi" w:hAnsiTheme="minorHAnsi" w:cstheme="minorHAnsi"/>
              </w:rPr>
            </w:pPr>
            <w:bookmarkStart w:id="12" w:name="dcusa_response11"/>
            <w:r w:rsidRPr="00232923">
              <w:rPr>
                <w:rFonts w:asciiTheme="minorHAnsi" w:hAnsiTheme="minorHAnsi" w:cstheme="minorHAnsi"/>
              </w:rPr>
              <w:t>Company</w:t>
            </w:r>
          </w:p>
        </w:tc>
        <w:tc>
          <w:tcPr>
            <w:tcW w:w="0" w:type="auto"/>
          </w:tcPr>
          <w:p w14:paraId="08989165"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600E960C"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2A9F39B4" w14:textId="728F8F7B"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Do you agree that DCUSA already caters for a dispute process and as such there is no need to escalate to the Authority? Please provide your rationale.</w:t>
            </w:r>
          </w:p>
        </w:tc>
        <w:tc>
          <w:tcPr>
            <w:tcW w:w="0" w:type="auto"/>
          </w:tcPr>
          <w:p w14:paraId="2D12E609" w14:textId="2D4FE646"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3903B5" w14:paraId="6997CE50" w14:textId="490FA8E8" w:rsidTr="00C53AD3">
        <w:tc>
          <w:tcPr>
            <w:tcW w:w="0" w:type="auto"/>
          </w:tcPr>
          <w:p w14:paraId="6C7F568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6C27B2CA"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A02D45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Yes, as DCUSA provides a disputes process within Schedule 4, and Schedule 19 provided that legal text is amended.</w:t>
            </w:r>
          </w:p>
        </w:tc>
        <w:tc>
          <w:tcPr>
            <w:tcW w:w="0" w:type="auto"/>
            <w:shd w:val="clear" w:color="auto" w:fill="E2EFD9" w:themeFill="accent6" w:themeFillTint="33"/>
          </w:tcPr>
          <w:p w14:paraId="78CFB61D" w14:textId="77777777" w:rsidR="008373BD" w:rsidRPr="003903B5" w:rsidRDefault="008373BD" w:rsidP="00232923">
            <w:pPr>
              <w:pStyle w:val="BodyTextNoSpacing"/>
              <w:rPr>
                <w:rFonts w:asciiTheme="minorHAnsi" w:hAnsiTheme="minorHAnsi" w:cstheme="minorHAnsi"/>
                <w:sz w:val="22"/>
                <w:szCs w:val="22"/>
              </w:rPr>
            </w:pPr>
          </w:p>
        </w:tc>
      </w:tr>
      <w:tr w:rsidR="008373BD" w:rsidRPr="003903B5" w14:paraId="0D36802C" w14:textId="538A795C" w:rsidTr="00C53AD3">
        <w:tc>
          <w:tcPr>
            <w:tcW w:w="0" w:type="auto"/>
          </w:tcPr>
          <w:p w14:paraId="7FD2B75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51CF799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F79582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Although DCUSA does include robust dispute processes for Use of System charges, we are not sure that these processes are applicable to these circumstances, for example, DNOs making payments to LDNOs does not seem to be covered by Schedule 4.</w:t>
            </w:r>
          </w:p>
        </w:tc>
        <w:tc>
          <w:tcPr>
            <w:tcW w:w="0" w:type="auto"/>
            <w:shd w:val="clear" w:color="auto" w:fill="E2EFD9" w:themeFill="accent6" w:themeFillTint="33"/>
          </w:tcPr>
          <w:p w14:paraId="025E9DF6" w14:textId="77777777" w:rsidR="008373BD" w:rsidRPr="003903B5" w:rsidRDefault="008373BD" w:rsidP="00232923">
            <w:pPr>
              <w:pStyle w:val="BodyTextNoSpacing"/>
              <w:rPr>
                <w:rFonts w:asciiTheme="minorHAnsi" w:hAnsiTheme="minorHAnsi" w:cstheme="minorHAnsi"/>
                <w:sz w:val="22"/>
                <w:szCs w:val="22"/>
              </w:rPr>
            </w:pPr>
          </w:p>
        </w:tc>
      </w:tr>
      <w:tr w:rsidR="008373BD" w:rsidRPr="003903B5" w14:paraId="3ACDC389" w14:textId="02DE8A30" w:rsidTr="00C53AD3">
        <w:tc>
          <w:tcPr>
            <w:tcW w:w="0" w:type="auto"/>
          </w:tcPr>
          <w:p w14:paraId="7EDFC27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69344F0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6C9C7CC"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we believe that the DCUSA already caters for a disputes process under Clause 2.2</w:t>
            </w:r>
          </w:p>
          <w:p w14:paraId="56028C5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of Schedule 4 – Billing and Payment Disputes.</w:t>
            </w:r>
          </w:p>
        </w:tc>
        <w:tc>
          <w:tcPr>
            <w:tcW w:w="0" w:type="auto"/>
            <w:shd w:val="clear" w:color="auto" w:fill="E2EFD9" w:themeFill="accent6" w:themeFillTint="33"/>
          </w:tcPr>
          <w:p w14:paraId="2E68002C" w14:textId="77777777" w:rsidR="008373BD" w:rsidRPr="003903B5" w:rsidRDefault="008373BD" w:rsidP="00232923">
            <w:pPr>
              <w:autoSpaceDE w:val="0"/>
              <w:autoSpaceDN w:val="0"/>
              <w:adjustRightInd w:val="0"/>
              <w:rPr>
                <w:rFonts w:cstheme="minorHAnsi"/>
              </w:rPr>
            </w:pPr>
          </w:p>
        </w:tc>
      </w:tr>
      <w:tr w:rsidR="008373BD" w:rsidRPr="003903B5" w14:paraId="1D192949" w14:textId="66DB7351" w:rsidTr="00C53AD3">
        <w:tc>
          <w:tcPr>
            <w:tcW w:w="0" w:type="auto"/>
          </w:tcPr>
          <w:p w14:paraId="02D33CE2" w14:textId="7D582505" w:rsidR="008373BD" w:rsidRPr="00E13A30"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lastRenderedPageBreak/>
              <w:t>Confidential</w:t>
            </w:r>
          </w:p>
        </w:tc>
        <w:tc>
          <w:tcPr>
            <w:tcW w:w="0" w:type="auto"/>
          </w:tcPr>
          <w:p w14:paraId="7CD362F8" w14:textId="66D60DCA"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5488BF21" w14:textId="34930B43"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0BE3CCBC" w14:textId="77777777" w:rsidR="008373BD" w:rsidRPr="00B00177" w:rsidRDefault="008373BD" w:rsidP="003903B5">
            <w:pPr>
              <w:autoSpaceDE w:val="0"/>
              <w:autoSpaceDN w:val="0"/>
              <w:adjustRightInd w:val="0"/>
              <w:rPr>
                <w:rFonts w:cstheme="minorHAnsi"/>
                <w:color w:val="FF0000"/>
              </w:rPr>
            </w:pPr>
          </w:p>
        </w:tc>
      </w:tr>
      <w:tr w:rsidR="008373BD" w:rsidRPr="003903B5" w14:paraId="3DBC949F" w14:textId="3D3207C3" w:rsidTr="00C53AD3">
        <w:tc>
          <w:tcPr>
            <w:tcW w:w="0" w:type="auto"/>
          </w:tcPr>
          <w:p w14:paraId="6951964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79FE396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8ED96B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Yes, we consider the DCUSA dispute process to be fit for purpose should a DNO and LDNO disagree on the amount to be credited.</w:t>
            </w:r>
          </w:p>
        </w:tc>
        <w:tc>
          <w:tcPr>
            <w:tcW w:w="0" w:type="auto"/>
            <w:shd w:val="clear" w:color="auto" w:fill="E2EFD9" w:themeFill="accent6" w:themeFillTint="33"/>
          </w:tcPr>
          <w:p w14:paraId="436097E9" w14:textId="77777777" w:rsidR="008373BD" w:rsidRPr="003903B5" w:rsidRDefault="008373BD" w:rsidP="003903B5">
            <w:pPr>
              <w:pStyle w:val="BodyTextNoSpacing"/>
              <w:rPr>
                <w:rFonts w:asciiTheme="minorHAnsi" w:hAnsiTheme="minorHAnsi" w:cstheme="minorHAnsi"/>
                <w:sz w:val="22"/>
                <w:szCs w:val="22"/>
              </w:rPr>
            </w:pPr>
          </w:p>
        </w:tc>
      </w:tr>
      <w:tr w:rsidR="008373BD" w:rsidRPr="003903B5" w14:paraId="707F5973" w14:textId="6BB097D7" w:rsidTr="00C53AD3">
        <w:tc>
          <w:tcPr>
            <w:tcW w:w="0" w:type="auto"/>
          </w:tcPr>
          <w:p w14:paraId="069E67F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0606234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48514E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Provided that the ultimate recovery of IDNO bad debts by DNOs is fully secure and detailed in clear written support from Ofgem, we do not believe that an escalation path to the Authority should be necessary, as any matters of disagreement or dispute between parties should be relatively minor and capable of resolution without Authority referral. </w:t>
            </w:r>
          </w:p>
        </w:tc>
        <w:tc>
          <w:tcPr>
            <w:tcW w:w="0" w:type="auto"/>
            <w:shd w:val="clear" w:color="auto" w:fill="E2EFD9" w:themeFill="accent6" w:themeFillTint="33"/>
          </w:tcPr>
          <w:p w14:paraId="70BDF6E8" w14:textId="77777777" w:rsidR="008373BD" w:rsidRPr="003903B5" w:rsidRDefault="008373BD" w:rsidP="003903B5">
            <w:pPr>
              <w:pStyle w:val="BodyTextNoSpacing"/>
              <w:rPr>
                <w:rFonts w:asciiTheme="minorHAnsi" w:hAnsiTheme="minorHAnsi" w:cstheme="minorHAnsi"/>
                <w:sz w:val="22"/>
                <w:szCs w:val="22"/>
              </w:rPr>
            </w:pPr>
          </w:p>
        </w:tc>
      </w:tr>
      <w:tr w:rsidR="008373BD" w:rsidRPr="003903B5" w14:paraId="4AA4B5BD" w14:textId="42B62063" w:rsidTr="00C53AD3">
        <w:tc>
          <w:tcPr>
            <w:tcW w:w="0" w:type="auto"/>
          </w:tcPr>
          <w:p w14:paraId="60977CD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2E9C81C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52C2C1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If the legal text is amended within DCUSA schedule 4 then there will be no requirement to escalate to the authority.</w:t>
            </w:r>
          </w:p>
        </w:tc>
        <w:tc>
          <w:tcPr>
            <w:tcW w:w="0" w:type="auto"/>
            <w:shd w:val="clear" w:color="auto" w:fill="E2EFD9" w:themeFill="accent6" w:themeFillTint="33"/>
          </w:tcPr>
          <w:p w14:paraId="6005446A" w14:textId="77777777" w:rsidR="008373BD" w:rsidRPr="003903B5" w:rsidRDefault="008373BD" w:rsidP="003903B5">
            <w:pPr>
              <w:pStyle w:val="BodyTextNoSpacing"/>
              <w:rPr>
                <w:rFonts w:asciiTheme="minorHAnsi" w:hAnsiTheme="minorHAnsi" w:cstheme="minorHAnsi"/>
                <w:sz w:val="22"/>
                <w:szCs w:val="22"/>
              </w:rPr>
            </w:pPr>
          </w:p>
        </w:tc>
      </w:tr>
      <w:tr w:rsidR="008373BD" w:rsidRPr="003903B5" w14:paraId="534D52FD" w14:textId="451E772A" w:rsidTr="00C53AD3">
        <w:tc>
          <w:tcPr>
            <w:tcW w:w="0" w:type="auto"/>
          </w:tcPr>
          <w:p w14:paraId="2BDCFAC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578CE24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2D1BD0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believe that there are sufficient allowances in DCUSA at the current time for disputes, as long as it is an element of DCUSA which a party is in dispute over.</w:t>
            </w:r>
          </w:p>
        </w:tc>
        <w:tc>
          <w:tcPr>
            <w:tcW w:w="0" w:type="auto"/>
            <w:shd w:val="clear" w:color="auto" w:fill="E2EFD9" w:themeFill="accent6" w:themeFillTint="33"/>
          </w:tcPr>
          <w:p w14:paraId="3CCE6C3C" w14:textId="77777777" w:rsidR="008373BD" w:rsidRPr="003903B5" w:rsidRDefault="008373BD" w:rsidP="003903B5">
            <w:pPr>
              <w:pStyle w:val="BodyTextNoSpacing"/>
              <w:rPr>
                <w:rFonts w:asciiTheme="minorHAnsi" w:hAnsiTheme="minorHAnsi" w:cstheme="minorHAnsi"/>
                <w:sz w:val="22"/>
                <w:szCs w:val="22"/>
              </w:rPr>
            </w:pPr>
          </w:p>
        </w:tc>
      </w:tr>
      <w:tr w:rsidR="008373BD" w:rsidRPr="003903B5" w14:paraId="4630B84C" w14:textId="561B1BCD" w:rsidTr="00C53AD3">
        <w:trPr>
          <w:trHeight w:val="557"/>
        </w:trPr>
        <w:tc>
          <w:tcPr>
            <w:tcW w:w="0" w:type="auto"/>
          </w:tcPr>
          <w:p w14:paraId="58759C8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330216F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2371515"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690677CA" w14:textId="77777777" w:rsidR="008373BD" w:rsidRPr="003903B5" w:rsidRDefault="008373BD" w:rsidP="003903B5">
            <w:pPr>
              <w:autoSpaceDE w:val="0"/>
              <w:autoSpaceDN w:val="0"/>
              <w:adjustRightInd w:val="0"/>
              <w:rPr>
                <w:rFonts w:cstheme="minorHAnsi"/>
              </w:rPr>
            </w:pPr>
          </w:p>
        </w:tc>
      </w:tr>
      <w:tr w:rsidR="00C53AD3" w:rsidRPr="003903B5" w14:paraId="24C649D7" w14:textId="77777777" w:rsidTr="00C53AD3">
        <w:trPr>
          <w:trHeight w:val="557"/>
        </w:trPr>
        <w:tc>
          <w:tcPr>
            <w:tcW w:w="0" w:type="auto"/>
            <w:gridSpan w:val="4"/>
            <w:shd w:val="clear" w:color="auto" w:fill="E2EFD9" w:themeFill="accent6" w:themeFillTint="33"/>
          </w:tcPr>
          <w:p w14:paraId="6EEA1220" w14:textId="77777777" w:rsidR="00C53AD3" w:rsidRPr="003903B5" w:rsidRDefault="00C53AD3" w:rsidP="003903B5">
            <w:pPr>
              <w:autoSpaceDE w:val="0"/>
              <w:autoSpaceDN w:val="0"/>
              <w:adjustRightInd w:val="0"/>
              <w:rPr>
                <w:rFonts w:cstheme="minorHAnsi"/>
              </w:rPr>
            </w:pPr>
          </w:p>
        </w:tc>
      </w:tr>
      <w:bookmarkEnd w:id="12"/>
    </w:tbl>
    <w:p w14:paraId="5F61FC3B" w14:textId="77777777" w:rsidR="00232923" w:rsidRPr="003903B5"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22"/>
        <w:gridCol w:w="1486"/>
        <w:gridCol w:w="8039"/>
        <w:gridCol w:w="1493"/>
      </w:tblGrid>
      <w:tr w:rsidR="008373BD" w:rsidRPr="003903B5" w14:paraId="401D89C8" w14:textId="13F13401"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2DB45900" w14:textId="77777777" w:rsidR="008373BD" w:rsidRPr="003903B5" w:rsidRDefault="008373BD" w:rsidP="00232923">
            <w:pPr>
              <w:pStyle w:val="ColumnHeading"/>
              <w:rPr>
                <w:rFonts w:asciiTheme="minorHAnsi" w:hAnsiTheme="minorHAnsi" w:cstheme="minorHAnsi"/>
                <w:sz w:val="22"/>
                <w:szCs w:val="22"/>
              </w:rPr>
            </w:pPr>
            <w:bookmarkStart w:id="13" w:name="dcusa_response12"/>
            <w:r w:rsidRPr="003903B5">
              <w:rPr>
                <w:rFonts w:asciiTheme="minorHAnsi" w:hAnsiTheme="minorHAnsi" w:cstheme="minorHAnsi"/>
                <w:sz w:val="22"/>
                <w:szCs w:val="22"/>
              </w:rPr>
              <w:t>Company</w:t>
            </w:r>
          </w:p>
        </w:tc>
        <w:tc>
          <w:tcPr>
            <w:tcW w:w="0" w:type="auto"/>
          </w:tcPr>
          <w:p w14:paraId="7AC72193" w14:textId="77777777" w:rsidR="008373BD" w:rsidRPr="003903B5" w:rsidRDefault="008373BD" w:rsidP="00232923">
            <w:pPr>
              <w:pStyle w:val="ColumnHeading"/>
              <w:rPr>
                <w:rFonts w:asciiTheme="minorHAnsi" w:hAnsiTheme="minorHAnsi" w:cstheme="minorHAnsi"/>
                <w:sz w:val="22"/>
                <w:szCs w:val="22"/>
              </w:rPr>
            </w:pPr>
            <w:r w:rsidRPr="003903B5">
              <w:rPr>
                <w:rFonts w:asciiTheme="minorHAnsi" w:hAnsiTheme="minorHAnsi" w:cstheme="minorHAnsi"/>
                <w:sz w:val="22"/>
                <w:szCs w:val="22"/>
              </w:rPr>
              <w:t>Confidential/</w:t>
            </w:r>
          </w:p>
          <w:p w14:paraId="445FF6AB" w14:textId="77777777" w:rsidR="008373BD" w:rsidRPr="003903B5" w:rsidRDefault="008373BD" w:rsidP="00232923">
            <w:pPr>
              <w:pStyle w:val="ColumnHeading"/>
              <w:rPr>
                <w:rFonts w:asciiTheme="minorHAnsi" w:hAnsiTheme="minorHAnsi" w:cstheme="minorHAnsi"/>
                <w:sz w:val="22"/>
                <w:szCs w:val="22"/>
              </w:rPr>
            </w:pPr>
            <w:r w:rsidRPr="003903B5">
              <w:rPr>
                <w:rFonts w:asciiTheme="minorHAnsi" w:hAnsiTheme="minorHAnsi" w:cstheme="minorHAnsi"/>
                <w:sz w:val="22"/>
                <w:szCs w:val="22"/>
              </w:rPr>
              <w:t>Anonymous</w:t>
            </w:r>
          </w:p>
        </w:tc>
        <w:tc>
          <w:tcPr>
            <w:tcW w:w="0" w:type="auto"/>
          </w:tcPr>
          <w:p w14:paraId="3086D81C" w14:textId="66E12CC2" w:rsidR="008373BD" w:rsidRPr="003903B5" w:rsidRDefault="008373BD" w:rsidP="00C53AD3">
            <w:pPr>
              <w:pStyle w:val="BodyTextNoSpacing"/>
              <w:numPr>
                <w:ilvl w:val="0"/>
                <w:numId w:val="5"/>
              </w:numPr>
              <w:rPr>
                <w:rFonts w:asciiTheme="minorHAnsi" w:hAnsiTheme="minorHAnsi" w:cstheme="minorHAnsi"/>
                <w:b/>
                <w:sz w:val="22"/>
                <w:szCs w:val="22"/>
              </w:rPr>
            </w:pPr>
            <w:r w:rsidRPr="003903B5">
              <w:rPr>
                <w:rFonts w:asciiTheme="minorHAnsi" w:hAnsiTheme="minorHAnsi" w:cstheme="minorHAnsi"/>
                <w:b/>
                <w:sz w:val="22"/>
                <w:szCs w:val="22"/>
              </w:rPr>
              <w:t>Do you have any comments on the proposed legal text for DCP 314?</w:t>
            </w:r>
          </w:p>
        </w:tc>
        <w:tc>
          <w:tcPr>
            <w:tcW w:w="0" w:type="auto"/>
          </w:tcPr>
          <w:p w14:paraId="2764B766" w14:textId="06E44C1E" w:rsidR="008373BD" w:rsidRPr="008373BD" w:rsidRDefault="008373BD" w:rsidP="00232923">
            <w:pPr>
              <w:pStyle w:val="BodyTextNoSpacing"/>
              <w:rPr>
                <w:rFonts w:asciiTheme="minorHAnsi" w:hAnsiTheme="minorHAnsi" w:cstheme="minorHAnsi"/>
                <w:b/>
                <w:sz w:val="22"/>
                <w:szCs w:val="22"/>
                <w:lang w:val="en-GB"/>
              </w:rPr>
            </w:pPr>
            <w:r>
              <w:rPr>
                <w:rFonts w:asciiTheme="minorHAnsi" w:hAnsiTheme="minorHAnsi" w:cstheme="minorHAnsi"/>
                <w:b/>
                <w:sz w:val="22"/>
                <w:szCs w:val="22"/>
                <w:lang w:val="en-GB"/>
              </w:rPr>
              <w:t xml:space="preserve">Working Group </w:t>
            </w:r>
            <w:r w:rsidR="00C53AD3">
              <w:rPr>
                <w:rFonts w:asciiTheme="minorHAnsi" w:hAnsiTheme="minorHAnsi" w:cstheme="minorHAnsi"/>
                <w:b/>
                <w:sz w:val="22"/>
                <w:szCs w:val="22"/>
                <w:lang w:val="en-GB"/>
              </w:rPr>
              <w:t>Comments</w:t>
            </w:r>
            <w:r>
              <w:rPr>
                <w:rFonts w:asciiTheme="minorHAnsi" w:hAnsiTheme="minorHAnsi" w:cstheme="minorHAnsi"/>
                <w:b/>
                <w:sz w:val="22"/>
                <w:szCs w:val="22"/>
                <w:lang w:val="en-GB"/>
              </w:rPr>
              <w:t xml:space="preserve"> </w:t>
            </w:r>
          </w:p>
        </w:tc>
      </w:tr>
      <w:tr w:rsidR="008373BD" w:rsidRPr="003903B5" w14:paraId="20CB1190" w14:textId="5DDC7DE6" w:rsidTr="00C53AD3">
        <w:tc>
          <w:tcPr>
            <w:tcW w:w="0" w:type="auto"/>
          </w:tcPr>
          <w:p w14:paraId="483B8EC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2FE243D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6504746"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6ED6C315" w14:textId="77777777" w:rsidR="008373BD" w:rsidRPr="003903B5" w:rsidRDefault="008373BD" w:rsidP="00232923">
            <w:pPr>
              <w:pStyle w:val="BodyText"/>
              <w:rPr>
                <w:rFonts w:cstheme="minorHAnsi"/>
              </w:rPr>
            </w:pPr>
          </w:p>
        </w:tc>
      </w:tr>
      <w:tr w:rsidR="008373BD" w:rsidRPr="003903B5" w14:paraId="7E470E89" w14:textId="4006F75D" w:rsidTr="00C53AD3">
        <w:tc>
          <w:tcPr>
            <w:tcW w:w="0" w:type="auto"/>
          </w:tcPr>
          <w:p w14:paraId="296D7F94"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Electricity North West</w:t>
            </w:r>
          </w:p>
        </w:tc>
        <w:tc>
          <w:tcPr>
            <w:tcW w:w="0" w:type="auto"/>
          </w:tcPr>
          <w:p w14:paraId="68C4286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84FF1BB"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Before we know what the licence modification will be it is not possible to agree legal text, for example, should the proposed section 8 apply to DNOs operating out of area or would they be able to recover bad debts under a separate process. </w:t>
            </w:r>
          </w:p>
          <w:p w14:paraId="3DF970BF"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It’s not appropriate for a DNO to be issuing credit notes in respect of services it has not previously invoiced for. </w:t>
            </w:r>
          </w:p>
          <w:p w14:paraId="256712C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It is our view that DCP314 would require the LDNO to invoice the DNO for total amount of recoverable bad debt losses, including the standard formatted backing data, which would then be settled in accordance with the payment terms (which we would suggest could be similar to those covering Use of System charges).  </w:t>
            </w:r>
          </w:p>
        </w:tc>
        <w:tc>
          <w:tcPr>
            <w:tcW w:w="0" w:type="auto"/>
            <w:shd w:val="clear" w:color="auto" w:fill="E2EFD9" w:themeFill="accent6" w:themeFillTint="33"/>
          </w:tcPr>
          <w:p w14:paraId="664C72A4" w14:textId="77777777" w:rsidR="008373BD" w:rsidRPr="003903B5" w:rsidRDefault="008373BD" w:rsidP="00232923">
            <w:pPr>
              <w:pStyle w:val="BodyText"/>
              <w:rPr>
                <w:rFonts w:cstheme="minorHAnsi"/>
              </w:rPr>
            </w:pPr>
          </w:p>
        </w:tc>
      </w:tr>
      <w:tr w:rsidR="008373BD" w:rsidRPr="003903B5" w14:paraId="0E8250C7" w14:textId="1DD6DED6" w:rsidTr="00C53AD3">
        <w:tc>
          <w:tcPr>
            <w:tcW w:w="0" w:type="auto"/>
          </w:tcPr>
          <w:p w14:paraId="0705A638"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7EC65CF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AE9CA39"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We have reviewed the legal text and our comments are attached on a change marked</w:t>
            </w:r>
          </w:p>
          <w:p w14:paraId="15FFB9A9"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document of the proposed legal text.</w:t>
            </w:r>
          </w:p>
        </w:tc>
        <w:tc>
          <w:tcPr>
            <w:tcW w:w="0" w:type="auto"/>
            <w:shd w:val="clear" w:color="auto" w:fill="E2EFD9" w:themeFill="accent6" w:themeFillTint="33"/>
          </w:tcPr>
          <w:p w14:paraId="572F88BD" w14:textId="77777777" w:rsidR="008373BD" w:rsidRPr="003903B5" w:rsidRDefault="008373BD" w:rsidP="00232923">
            <w:pPr>
              <w:autoSpaceDE w:val="0"/>
              <w:autoSpaceDN w:val="0"/>
              <w:adjustRightInd w:val="0"/>
              <w:rPr>
                <w:rFonts w:cstheme="minorHAnsi"/>
              </w:rPr>
            </w:pPr>
          </w:p>
        </w:tc>
      </w:tr>
      <w:tr w:rsidR="008373BD" w:rsidRPr="003903B5" w14:paraId="6B68A0B4" w14:textId="559DA20F" w:rsidTr="00C53AD3">
        <w:tc>
          <w:tcPr>
            <w:tcW w:w="0" w:type="auto"/>
          </w:tcPr>
          <w:p w14:paraId="3861A79A" w14:textId="5B8B41FF" w:rsidR="008373BD" w:rsidRPr="00E13A30"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15679976" w14:textId="2C3BFDC4"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42770787" w14:textId="6123232A"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B5F0CC4" w14:textId="77777777" w:rsidR="008373BD" w:rsidRPr="00B00177" w:rsidRDefault="008373BD" w:rsidP="003903B5">
            <w:pPr>
              <w:autoSpaceDE w:val="0"/>
              <w:autoSpaceDN w:val="0"/>
              <w:adjustRightInd w:val="0"/>
              <w:rPr>
                <w:rFonts w:cstheme="minorHAnsi"/>
                <w:color w:val="FF0000"/>
              </w:rPr>
            </w:pPr>
          </w:p>
        </w:tc>
      </w:tr>
      <w:tr w:rsidR="008373BD" w:rsidRPr="003903B5" w14:paraId="77A2040E" w14:textId="28798396" w:rsidTr="00C53AD3">
        <w:tc>
          <w:tcPr>
            <w:tcW w:w="0" w:type="auto"/>
          </w:tcPr>
          <w:p w14:paraId="27EA115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59A87C3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FB13D1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Legal text amendments will be necessary to deal with the two issues detailed in our response to question eight and one in response to question five, namely:</w:t>
            </w:r>
          </w:p>
          <w:p w14:paraId="3D826F28" w14:textId="77777777" w:rsidR="008373BD" w:rsidRPr="003903B5" w:rsidRDefault="008373BD" w:rsidP="003903B5">
            <w:pPr>
              <w:pStyle w:val="BodyText"/>
              <w:numPr>
                <w:ilvl w:val="0"/>
                <w:numId w:val="3"/>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the content of the resubmitted half hourly report;</w:t>
            </w:r>
          </w:p>
          <w:p w14:paraId="4FEF2167" w14:textId="77777777" w:rsidR="008373BD" w:rsidRPr="003903B5" w:rsidRDefault="008373BD" w:rsidP="003903B5">
            <w:pPr>
              <w:pStyle w:val="BodyText"/>
              <w:numPr>
                <w:ilvl w:val="0"/>
                <w:numId w:val="3"/>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a provision for LDNO credit cover; and</w:t>
            </w:r>
          </w:p>
          <w:p w14:paraId="23E15E63" w14:textId="77777777" w:rsidR="008373BD" w:rsidRPr="003903B5" w:rsidRDefault="008373BD" w:rsidP="003903B5">
            <w:pPr>
              <w:pStyle w:val="BodyText"/>
              <w:numPr>
                <w:ilvl w:val="0"/>
                <w:numId w:val="3"/>
              </w:numPr>
              <w:spacing w:after="200" w:line="240" w:lineRule="atLeast"/>
              <w:rPr>
                <w:rFonts w:asciiTheme="minorHAnsi" w:hAnsiTheme="minorHAnsi" w:cstheme="minorHAnsi"/>
                <w:sz w:val="22"/>
                <w:szCs w:val="22"/>
              </w:rPr>
            </w:pPr>
            <w:r w:rsidRPr="003903B5">
              <w:rPr>
                <w:rFonts w:asciiTheme="minorHAnsi" w:hAnsiTheme="minorHAnsi" w:cstheme="minorHAnsi"/>
                <w:sz w:val="22"/>
                <w:szCs w:val="22"/>
              </w:rPr>
              <w:t>appropriate treatment of bad debt for DNOs operating out of area.</w:t>
            </w:r>
          </w:p>
          <w:p w14:paraId="17EEBA02"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Beyond these three points, we consider that the legal text as drafted is appropriate to implement the intent of DCP 314, albeit we reiterate our view that the intent is not valid.</w:t>
            </w:r>
          </w:p>
          <w:p w14:paraId="3C62A17D" w14:textId="77777777" w:rsidR="008373BD" w:rsidRPr="003903B5" w:rsidRDefault="008373BD" w:rsidP="003903B5">
            <w:pPr>
              <w:pStyle w:val="BodyText"/>
              <w:rPr>
                <w:rFonts w:asciiTheme="minorHAnsi" w:hAnsiTheme="minorHAnsi" w:cstheme="minorHAnsi"/>
                <w:b/>
                <w:sz w:val="22"/>
                <w:szCs w:val="22"/>
              </w:rPr>
            </w:pPr>
            <w:r w:rsidRPr="003903B5">
              <w:rPr>
                <w:rFonts w:asciiTheme="minorHAnsi" w:hAnsiTheme="minorHAnsi" w:cstheme="minorHAnsi"/>
                <w:b/>
                <w:sz w:val="22"/>
                <w:szCs w:val="22"/>
              </w:rPr>
              <w:t>Half hourly report</w:t>
            </w:r>
          </w:p>
          <w:p w14:paraId="2EDA0C2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would suggest that paragraph 8.3 be amended as follows:</w:t>
            </w:r>
          </w:p>
          <w:p w14:paraId="7E121D65" w14:textId="77777777" w:rsidR="008373BD" w:rsidRPr="003903B5" w:rsidRDefault="008373BD" w:rsidP="003903B5">
            <w:pPr>
              <w:pStyle w:val="BodyText"/>
              <w:ind w:left="720"/>
              <w:rPr>
                <w:rFonts w:asciiTheme="minorHAnsi" w:hAnsiTheme="minorHAnsi" w:cstheme="minorHAnsi"/>
                <w:sz w:val="22"/>
                <w:szCs w:val="22"/>
              </w:rPr>
            </w:pPr>
            <w:r w:rsidRPr="003903B5">
              <w:rPr>
                <w:rFonts w:asciiTheme="minorHAnsi" w:hAnsiTheme="minorHAnsi" w:cstheme="minorHAnsi"/>
                <w:sz w:val="22"/>
                <w:szCs w:val="22"/>
              </w:rPr>
              <w:t xml:space="preserve">“…the EDNO shall re-submit </w:t>
            </w:r>
            <w:r w:rsidRPr="003903B5">
              <w:rPr>
                <w:rFonts w:asciiTheme="minorHAnsi" w:hAnsiTheme="minorHAnsi" w:cstheme="minorHAnsi"/>
                <w:i/>
                <w:sz w:val="22"/>
                <w:szCs w:val="22"/>
                <w:u w:val="single"/>
              </w:rPr>
              <w:t>an extract of</w:t>
            </w:r>
            <w:r w:rsidRPr="003903B5">
              <w:rPr>
                <w:rFonts w:asciiTheme="minorHAnsi" w:hAnsiTheme="minorHAnsi" w:cstheme="minorHAnsi"/>
                <w:i/>
                <w:sz w:val="22"/>
                <w:szCs w:val="22"/>
              </w:rPr>
              <w:t xml:space="preserve"> </w:t>
            </w:r>
            <w:r w:rsidRPr="003903B5">
              <w:rPr>
                <w:rFonts w:asciiTheme="minorHAnsi" w:hAnsiTheme="minorHAnsi" w:cstheme="minorHAnsi"/>
                <w:sz w:val="22"/>
                <w:szCs w:val="22"/>
              </w:rPr>
              <w:t xml:space="preserve">any half-hourly DUoS reports </w:t>
            </w:r>
            <w:r w:rsidRPr="003903B5">
              <w:rPr>
                <w:rFonts w:asciiTheme="minorHAnsi" w:hAnsiTheme="minorHAnsi" w:cstheme="minorHAnsi"/>
                <w:i/>
                <w:sz w:val="22"/>
                <w:szCs w:val="22"/>
                <w:u w:val="single"/>
              </w:rPr>
              <w:t>which relates to sites registered to the defaulting Supplier Party, and</w:t>
            </w:r>
            <w:r w:rsidRPr="003903B5">
              <w:rPr>
                <w:rFonts w:asciiTheme="minorHAnsi" w:hAnsiTheme="minorHAnsi" w:cstheme="minorHAnsi"/>
                <w:i/>
                <w:sz w:val="22"/>
                <w:szCs w:val="22"/>
              </w:rPr>
              <w:t xml:space="preserve"> </w:t>
            </w:r>
            <w:r w:rsidRPr="003903B5">
              <w:rPr>
                <w:rFonts w:asciiTheme="minorHAnsi" w:hAnsiTheme="minorHAnsi" w:cstheme="minorHAnsi"/>
                <w:sz w:val="22"/>
                <w:szCs w:val="22"/>
              </w:rPr>
              <w:t xml:space="preserve">which relate to a </w:t>
            </w:r>
            <w:r w:rsidRPr="003903B5">
              <w:rPr>
                <w:rFonts w:asciiTheme="minorHAnsi" w:hAnsiTheme="minorHAnsi" w:cstheme="minorHAnsi"/>
                <w:sz w:val="22"/>
                <w:szCs w:val="22"/>
              </w:rPr>
              <w:lastRenderedPageBreak/>
              <w:t>period for which the EDNO has payments outstanding from the defaulting Supplier Party.”</w:t>
            </w:r>
          </w:p>
          <w:p w14:paraId="17FE9FFC" w14:textId="77777777" w:rsidR="008373BD" w:rsidRPr="003903B5" w:rsidRDefault="008373BD" w:rsidP="003903B5">
            <w:pPr>
              <w:pStyle w:val="BodyText"/>
              <w:rPr>
                <w:rFonts w:asciiTheme="minorHAnsi" w:hAnsiTheme="minorHAnsi" w:cstheme="minorHAnsi"/>
                <w:b/>
                <w:sz w:val="22"/>
                <w:szCs w:val="22"/>
              </w:rPr>
            </w:pPr>
            <w:r w:rsidRPr="003903B5">
              <w:rPr>
                <w:rFonts w:asciiTheme="minorHAnsi" w:hAnsiTheme="minorHAnsi" w:cstheme="minorHAnsi"/>
                <w:b/>
                <w:sz w:val="22"/>
                <w:szCs w:val="22"/>
              </w:rPr>
              <w:t>LDNO credit cover</w:t>
            </w:r>
          </w:p>
          <w:p w14:paraId="1E4C366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The legal text should be amended to account for credit cover collateral held by the LDNO.</w:t>
            </w:r>
          </w:p>
          <w:p w14:paraId="6CD0D00F" w14:textId="77777777" w:rsidR="008373BD" w:rsidRPr="003903B5" w:rsidRDefault="008373BD" w:rsidP="003903B5">
            <w:pPr>
              <w:pStyle w:val="BodyText"/>
              <w:rPr>
                <w:rFonts w:asciiTheme="minorHAnsi" w:hAnsiTheme="minorHAnsi" w:cstheme="minorHAnsi"/>
                <w:b/>
                <w:sz w:val="22"/>
                <w:szCs w:val="22"/>
              </w:rPr>
            </w:pPr>
            <w:r w:rsidRPr="003903B5">
              <w:rPr>
                <w:rFonts w:asciiTheme="minorHAnsi" w:hAnsiTheme="minorHAnsi" w:cstheme="minorHAnsi"/>
                <w:b/>
                <w:sz w:val="22"/>
                <w:szCs w:val="22"/>
              </w:rPr>
              <w:t>DNOs operating out of area</w:t>
            </w:r>
          </w:p>
          <w:p w14:paraId="21CAAED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Consideration should be given to the treatment of DNOs operating out of area. The current guidance does not distinguish between bad debts which relate to a licensee’s activities within its distribution services area and those outside, and so could enable the recovery of bad debts in respect of both of these activities through an adjustment to revenue allowances in the next price control, recovered from customers connected within that licensee’s distribution services area. This would create a clear distortion in competition between IDNOs (who are not allowed to recover bad debts) and DNOs operating out of area, and would create a cross-subsidy from customers connected within a DNO licensee’s distribution services area to those connected to that licensee’s out of area networks.</w:t>
            </w:r>
          </w:p>
        </w:tc>
        <w:tc>
          <w:tcPr>
            <w:tcW w:w="0" w:type="auto"/>
            <w:shd w:val="clear" w:color="auto" w:fill="E2EFD9" w:themeFill="accent6" w:themeFillTint="33"/>
          </w:tcPr>
          <w:p w14:paraId="58B9D6CD" w14:textId="77777777" w:rsidR="008373BD" w:rsidRPr="003903B5" w:rsidRDefault="008373BD" w:rsidP="003903B5">
            <w:pPr>
              <w:pStyle w:val="BodyText"/>
              <w:rPr>
                <w:rFonts w:cstheme="minorHAnsi"/>
              </w:rPr>
            </w:pPr>
          </w:p>
        </w:tc>
      </w:tr>
      <w:tr w:rsidR="008373BD" w:rsidRPr="003903B5" w14:paraId="48C934F5" w14:textId="6C7250FC" w:rsidTr="00C53AD3">
        <w:tc>
          <w:tcPr>
            <w:tcW w:w="0" w:type="auto"/>
          </w:tcPr>
          <w:p w14:paraId="1D8295C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35B7F2F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CEFDB9E"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7899BD91" w14:textId="77777777" w:rsidR="008373BD" w:rsidRPr="003903B5" w:rsidRDefault="008373BD" w:rsidP="003903B5">
            <w:pPr>
              <w:pStyle w:val="BodyText"/>
              <w:rPr>
                <w:rFonts w:cstheme="minorHAnsi"/>
              </w:rPr>
            </w:pPr>
          </w:p>
        </w:tc>
      </w:tr>
      <w:tr w:rsidR="008373BD" w:rsidRPr="003903B5" w14:paraId="33773EFE" w14:textId="3D0A64C7" w:rsidTr="00C53AD3">
        <w:tc>
          <w:tcPr>
            <w:tcW w:w="0" w:type="auto"/>
          </w:tcPr>
          <w:p w14:paraId="6A017EE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566D82C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2402FD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The suggested legal text has a section that indicates that DNOs should return a percentage of the calculated debt, based on the number of business days past the LDNO’s invoice due date. The proposed data templates do not provide a mechanism by which the LDNO can communicate the due date of invoices they have issued. This would prevent the DNOs from calculating this percentage.</w:t>
            </w:r>
          </w:p>
        </w:tc>
        <w:tc>
          <w:tcPr>
            <w:tcW w:w="0" w:type="auto"/>
            <w:shd w:val="clear" w:color="auto" w:fill="E2EFD9" w:themeFill="accent6" w:themeFillTint="33"/>
          </w:tcPr>
          <w:p w14:paraId="52C8FEEF" w14:textId="77777777" w:rsidR="008373BD" w:rsidRPr="003903B5" w:rsidRDefault="008373BD" w:rsidP="003903B5">
            <w:pPr>
              <w:pStyle w:val="BodyTextNoSpacing"/>
              <w:rPr>
                <w:rFonts w:asciiTheme="minorHAnsi" w:hAnsiTheme="minorHAnsi" w:cstheme="minorHAnsi"/>
                <w:sz w:val="22"/>
                <w:szCs w:val="22"/>
              </w:rPr>
            </w:pPr>
          </w:p>
        </w:tc>
      </w:tr>
      <w:tr w:rsidR="008373BD" w:rsidRPr="003903B5" w14:paraId="4D51FA49" w14:textId="03E8EC19" w:rsidTr="00C53AD3">
        <w:tc>
          <w:tcPr>
            <w:tcW w:w="0" w:type="auto"/>
          </w:tcPr>
          <w:p w14:paraId="00B8567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3ADAC67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5FB8609"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 not at this time.</w:t>
            </w:r>
          </w:p>
        </w:tc>
        <w:tc>
          <w:tcPr>
            <w:tcW w:w="0" w:type="auto"/>
            <w:shd w:val="clear" w:color="auto" w:fill="E2EFD9" w:themeFill="accent6" w:themeFillTint="33"/>
          </w:tcPr>
          <w:p w14:paraId="19B62352" w14:textId="77777777" w:rsidR="008373BD" w:rsidRPr="003903B5" w:rsidRDefault="008373BD" w:rsidP="003903B5">
            <w:pPr>
              <w:pStyle w:val="BodyText"/>
              <w:rPr>
                <w:rFonts w:cstheme="minorHAnsi"/>
              </w:rPr>
            </w:pPr>
          </w:p>
        </w:tc>
      </w:tr>
      <w:tr w:rsidR="008373BD" w:rsidRPr="003903B5" w14:paraId="39A656BE" w14:textId="7B75C904" w:rsidTr="00C53AD3">
        <w:tc>
          <w:tcPr>
            <w:tcW w:w="0" w:type="auto"/>
          </w:tcPr>
          <w:p w14:paraId="5CFB957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Western Power Distribution</w:t>
            </w:r>
          </w:p>
        </w:tc>
        <w:tc>
          <w:tcPr>
            <w:tcW w:w="0" w:type="auto"/>
          </w:tcPr>
          <w:p w14:paraId="3AA1D2F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D282F2A"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The legal text needs to include LDNO Credit cover and be more specific on administrator payments.</w:t>
            </w:r>
          </w:p>
        </w:tc>
        <w:tc>
          <w:tcPr>
            <w:tcW w:w="0" w:type="auto"/>
            <w:shd w:val="clear" w:color="auto" w:fill="E2EFD9" w:themeFill="accent6" w:themeFillTint="33"/>
          </w:tcPr>
          <w:p w14:paraId="70ADA28D" w14:textId="77777777" w:rsidR="008373BD" w:rsidRPr="003903B5" w:rsidRDefault="008373BD" w:rsidP="003903B5">
            <w:pPr>
              <w:autoSpaceDE w:val="0"/>
              <w:autoSpaceDN w:val="0"/>
              <w:adjustRightInd w:val="0"/>
              <w:rPr>
                <w:rFonts w:cstheme="minorHAnsi"/>
              </w:rPr>
            </w:pPr>
          </w:p>
        </w:tc>
      </w:tr>
      <w:tr w:rsidR="00C53AD3" w:rsidRPr="003903B5" w14:paraId="0D1597D4" w14:textId="77777777" w:rsidTr="00C53AD3">
        <w:tc>
          <w:tcPr>
            <w:tcW w:w="0" w:type="auto"/>
            <w:gridSpan w:val="4"/>
            <w:shd w:val="clear" w:color="auto" w:fill="E2EFD9" w:themeFill="accent6" w:themeFillTint="33"/>
          </w:tcPr>
          <w:p w14:paraId="1BDD1FB1" w14:textId="77777777" w:rsidR="00C53AD3" w:rsidRPr="003903B5" w:rsidRDefault="00C53AD3" w:rsidP="003903B5">
            <w:pPr>
              <w:autoSpaceDE w:val="0"/>
              <w:autoSpaceDN w:val="0"/>
              <w:adjustRightInd w:val="0"/>
              <w:rPr>
                <w:rFonts w:cstheme="minorHAnsi"/>
              </w:rPr>
            </w:pPr>
          </w:p>
        </w:tc>
      </w:tr>
      <w:bookmarkEnd w:id="13"/>
    </w:tbl>
    <w:p w14:paraId="1B67301F"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95"/>
        <w:gridCol w:w="1402"/>
        <w:gridCol w:w="8153"/>
        <w:gridCol w:w="1390"/>
      </w:tblGrid>
      <w:tr w:rsidR="008373BD" w:rsidRPr="00232923" w14:paraId="449A616B" w14:textId="6B7DF551"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6733FEAF" w14:textId="77777777" w:rsidR="008373BD" w:rsidRPr="00232923" w:rsidRDefault="008373BD" w:rsidP="00232923">
            <w:pPr>
              <w:pStyle w:val="ColumnHeading"/>
              <w:rPr>
                <w:rFonts w:asciiTheme="minorHAnsi" w:hAnsiTheme="minorHAnsi" w:cstheme="minorHAnsi"/>
              </w:rPr>
            </w:pPr>
            <w:bookmarkStart w:id="14" w:name="dcusa_response13"/>
            <w:r w:rsidRPr="00232923">
              <w:rPr>
                <w:rFonts w:asciiTheme="minorHAnsi" w:hAnsiTheme="minorHAnsi" w:cstheme="minorHAnsi"/>
              </w:rPr>
              <w:t>Company</w:t>
            </w:r>
          </w:p>
        </w:tc>
        <w:tc>
          <w:tcPr>
            <w:tcW w:w="0" w:type="auto"/>
          </w:tcPr>
          <w:p w14:paraId="50BE6DA5"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34812643"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59A5B194" w14:textId="0DCCACD1"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szCs w:val="20"/>
              </w:rPr>
              <w:t>Which of the DCUSA General Objectives does this change better facilitate? Please provide supporting comments.</w:t>
            </w:r>
          </w:p>
        </w:tc>
        <w:tc>
          <w:tcPr>
            <w:tcW w:w="0" w:type="auto"/>
          </w:tcPr>
          <w:p w14:paraId="5A3908D4" w14:textId="77D03808" w:rsidR="008373BD" w:rsidRPr="008373BD" w:rsidRDefault="008373BD" w:rsidP="00232923">
            <w:pPr>
              <w:pStyle w:val="BodyTextNoSpacing"/>
              <w:rPr>
                <w:rFonts w:asciiTheme="minorHAnsi" w:hAnsiTheme="minorHAnsi" w:cstheme="minorHAnsi"/>
                <w:b/>
                <w:szCs w:val="20"/>
                <w:lang w:val="en-GB"/>
              </w:rPr>
            </w:pPr>
            <w:r>
              <w:rPr>
                <w:rFonts w:asciiTheme="minorHAnsi" w:hAnsiTheme="minorHAnsi" w:cstheme="minorHAnsi"/>
                <w:b/>
                <w:szCs w:val="20"/>
                <w:lang w:val="en-GB"/>
              </w:rPr>
              <w:t>Working Group Comments</w:t>
            </w:r>
          </w:p>
        </w:tc>
      </w:tr>
      <w:tr w:rsidR="008373BD" w:rsidRPr="00232923" w14:paraId="10AD9A6B" w14:textId="59149624" w:rsidTr="00C53AD3">
        <w:tc>
          <w:tcPr>
            <w:tcW w:w="0" w:type="auto"/>
          </w:tcPr>
          <w:p w14:paraId="719819D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732524E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3048D4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The Proposers views are agreed that General Objectives 1 and 2 are better achieved through DCP 314. The change works to provide an improved mechanism and redistribution of risk associated with Bad Debt which supports for a competitive, co-ordinated and economical Distribution Network.</w:t>
            </w:r>
          </w:p>
        </w:tc>
        <w:tc>
          <w:tcPr>
            <w:tcW w:w="0" w:type="auto"/>
            <w:shd w:val="clear" w:color="auto" w:fill="E2EFD9" w:themeFill="accent6" w:themeFillTint="33"/>
          </w:tcPr>
          <w:p w14:paraId="05D0B6DA" w14:textId="77777777" w:rsidR="008373BD" w:rsidRPr="003903B5" w:rsidRDefault="008373BD" w:rsidP="00232923">
            <w:pPr>
              <w:pStyle w:val="BodyText"/>
              <w:rPr>
                <w:rFonts w:cstheme="minorHAnsi"/>
              </w:rPr>
            </w:pPr>
          </w:p>
        </w:tc>
      </w:tr>
      <w:tr w:rsidR="008373BD" w:rsidRPr="00232923" w14:paraId="496028A5" w14:textId="33037F85" w:rsidTr="00C53AD3">
        <w:tc>
          <w:tcPr>
            <w:tcW w:w="0" w:type="auto"/>
          </w:tcPr>
          <w:p w14:paraId="6F09AD7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614FDF8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0402F3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We agree with the working group’s view that changes in this area could potentially  better facilitate General Objectives 1 and 2 but only if progressed through licence changes, enabling both DNOs and LDNOs to recover bad debt following the appointment of a Supplier of Last Resort.  As currently drafted this change would result in a distortion of competition in the distribution of electricity as DNOs would be required to fund LDNO bad debt for some time in advance of DNOs being able to recover these monies.</w:t>
            </w:r>
          </w:p>
        </w:tc>
        <w:tc>
          <w:tcPr>
            <w:tcW w:w="0" w:type="auto"/>
            <w:shd w:val="clear" w:color="auto" w:fill="E2EFD9" w:themeFill="accent6" w:themeFillTint="33"/>
          </w:tcPr>
          <w:p w14:paraId="283FDF3E"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61569F92" w14:textId="356423C4" w:rsidTr="00C53AD3">
        <w:tc>
          <w:tcPr>
            <w:tcW w:w="0" w:type="auto"/>
          </w:tcPr>
          <w:p w14:paraId="09042FB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00A736E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9F30BD3"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ESPE believes that General Objectives 1 and 2 are better facilitated.</w:t>
            </w:r>
          </w:p>
          <w:p w14:paraId="6C195C71" w14:textId="77777777" w:rsidR="008373BD" w:rsidRPr="003903B5" w:rsidRDefault="008373BD" w:rsidP="00232923">
            <w:pPr>
              <w:autoSpaceDE w:val="0"/>
              <w:autoSpaceDN w:val="0"/>
              <w:adjustRightInd w:val="0"/>
              <w:rPr>
                <w:rFonts w:asciiTheme="minorHAnsi" w:hAnsiTheme="minorHAnsi" w:cstheme="minorHAnsi"/>
                <w:sz w:val="22"/>
                <w:szCs w:val="22"/>
              </w:rPr>
            </w:pPr>
          </w:p>
          <w:p w14:paraId="23FC48A3"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Objective 1 - the ability for a LDNO to recover debt from the DNO under the Supplier of</w:t>
            </w:r>
          </w:p>
          <w:p w14:paraId="207B4E8A"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Last Resort process makes for a more economical running of the LDNO’s distribution</w:t>
            </w:r>
          </w:p>
          <w:p w14:paraId="3580B5E3"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networks.</w:t>
            </w:r>
          </w:p>
          <w:p w14:paraId="25CE9052" w14:textId="77777777" w:rsidR="008373BD" w:rsidRPr="003903B5" w:rsidRDefault="008373BD" w:rsidP="00232923">
            <w:pPr>
              <w:autoSpaceDE w:val="0"/>
              <w:autoSpaceDN w:val="0"/>
              <w:adjustRightInd w:val="0"/>
              <w:rPr>
                <w:rFonts w:asciiTheme="minorHAnsi" w:hAnsiTheme="minorHAnsi" w:cstheme="minorHAnsi"/>
                <w:sz w:val="22"/>
                <w:szCs w:val="22"/>
              </w:rPr>
            </w:pPr>
          </w:p>
          <w:p w14:paraId="00835EE1"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Objective 2 – as, unlike the DNOs, the LDNO has no ability to recover bad debt under</w:t>
            </w:r>
          </w:p>
          <w:p w14:paraId="4ADB7CF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current regulations. This change promotes competition in the distribution of electricity</w:t>
            </w:r>
          </w:p>
        </w:tc>
        <w:tc>
          <w:tcPr>
            <w:tcW w:w="0" w:type="auto"/>
            <w:shd w:val="clear" w:color="auto" w:fill="E2EFD9" w:themeFill="accent6" w:themeFillTint="33"/>
          </w:tcPr>
          <w:p w14:paraId="5DBCF2AA" w14:textId="77777777" w:rsidR="008373BD" w:rsidRPr="003903B5" w:rsidRDefault="008373BD" w:rsidP="00232923">
            <w:pPr>
              <w:autoSpaceDE w:val="0"/>
              <w:autoSpaceDN w:val="0"/>
              <w:adjustRightInd w:val="0"/>
              <w:rPr>
                <w:rFonts w:cstheme="minorHAnsi"/>
              </w:rPr>
            </w:pPr>
          </w:p>
        </w:tc>
      </w:tr>
      <w:tr w:rsidR="008373BD" w:rsidRPr="00232923" w14:paraId="30692735" w14:textId="34B64324" w:rsidTr="00C53AD3">
        <w:tc>
          <w:tcPr>
            <w:tcW w:w="0" w:type="auto"/>
          </w:tcPr>
          <w:p w14:paraId="5334890B" w14:textId="042880AD" w:rsidR="008373BD" w:rsidRPr="00E13A30"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217A3F25" w14:textId="3C3230D0"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69D5213E" w14:textId="1CC507AD"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4F3A9EAF" w14:textId="77777777" w:rsidR="008373BD" w:rsidRPr="00B00177" w:rsidRDefault="008373BD" w:rsidP="003903B5">
            <w:pPr>
              <w:autoSpaceDE w:val="0"/>
              <w:autoSpaceDN w:val="0"/>
              <w:adjustRightInd w:val="0"/>
              <w:rPr>
                <w:rFonts w:cstheme="minorHAnsi"/>
                <w:color w:val="FF0000"/>
              </w:rPr>
            </w:pPr>
          </w:p>
        </w:tc>
      </w:tr>
      <w:tr w:rsidR="008373BD" w:rsidRPr="00232923" w14:paraId="42D66660" w14:textId="16E67AEA" w:rsidTr="00C53AD3">
        <w:tc>
          <w:tcPr>
            <w:tcW w:w="0" w:type="auto"/>
          </w:tcPr>
          <w:p w14:paraId="4D11F45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Northern Powergrid</w:t>
            </w:r>
          </w:p>
        </w:tc>
        <w:tc>
          <w:tcPr>
            <w:tcW w:w="0" w:type="auto"/>
          </w:tcPr>
          <w:p w14:paraId="44D8AB5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732FA3B"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General Objectives two and four will be negatively impacted by this change. General Objectives one, three and five will not be impacted by this change.</w:t>
            </w:r>
          </w:p>
          <w:p w14:paraId="09B69569"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General Objective two: this change will distort competition in the distribution of electricity. LDNOs operate on an unregulated basis since they win new network competitively. Bad debts associated with defaulting suppliers simply represent one of many business risks LDNOs face in a competitive market. LDNOs will have priced the risk of bad debts into business decisions made when adopting new developments. Any redistribution of bad debts would represent a windfall gain for LDNOs in respect of existing connections, and accentuate existing regulatory distortions between LDNOs and DNOs when competing for new developments.</w:t>
            </w:r>
          </w:p>
          <w:p w14:paraId="3C8E86C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General objective four: this change would introduce a significant administrative burden into the DCUSA requirements, with the associated risk of error. We will be unable to use our DUoS billing system to generate this credit (the only way to do so would be to credit the invoice, which in turn would reduce billed revenue and so create under-recovery rather than additional bad debt). Whilst we accept that the bad debts to be redistributed from LDNO to DNO relate to the use of DNO assets, they remain LDNO bad debts (as it is the LDNO’s invoices to the defaulting supplier which remain unpaid); hence if LDNOs are to be allowed to recover bad debts despite the reasons we set out as to why they should not, then this should be dealt with through licence changes enabling LDNOs to recover all of their bad debts.</w:t>
            </w:r>
          </w:p>
        </w:tc>
        <w:tc>
          <w:tcPr>
            <w:tcW w:w="0" w:type="auto"/>
            <w:shd w:val="clear" w:color="auto" w:fill="E2EFD9" w:themeFill="accent6" w:themeFillTint="33"/>
          </w:tcPr>
          <w:p w14:paraId="23062698" w14:textId="77777777" w:rsidR="008373BD" w:rsidRPr="003903B5" w:rsidRDefault="008373BD" w:rsidP="003903B5">
            <w:pPr>
              <w:pStyle w:val="BodyText"/>
              <w:rPr>
                <w:rFonts w:cstheme="minorHAnsi"/>
              </w:rPr>
            </w:pPr>
          </w:p>
        </w:tc>
      </w:tr>
      <w:tr w:rsidR="008373BD" w:rsidRPr="00232923" w14:paraId="3E4A5F76" w14:textId="3E0368EA" w:rsidTr="00C53AD3">
        <w:tc>
          <w:tcPr>
            <w:tcW w:w="0" w:type="auto"/>
          </w:tcPr>
          <w:p w14:paraId="36224D0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5CF23C2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3FA242B"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particularly see General Objective 4 as being better facilitated, as the issue behind the CP is clearly related to development of competition in electricity distribution.</w:t>
            </w:r>
          </w:p>
        </w:tc>
        <w:tc>
          <w:tcPr>
            <w:tcW w:w="0" w:type="auto"/>
            <w:shd w:val="clear" w:color="auto" w:fill="E2EFD9" w:themeFill="accent6" w:themeFillTint="33"/>
          </w:tcPr>
          <w:p w14:paraId="23DCAEBA" w14:textId="77777777" w:rsidR="008373BD" w:rsidRPr="003903B5" w:rsidRDefault="008373BD" w:rsidP="003903B5">
            <w:pPr>
              <w:pStyle w:val="BodyText"/>
              <w:rPr>
                <w:rFonts w:cstheme="minorHAnsi"/>
              </w:rPr>
            </w:pPr>
          </w:p>
        </w:tc>
      </w:tr>
      <w:tr w:rsidR="008373BD" w:rsidRPr="00232923" w14:paraId="2134B809" w14:textId="6427E79D" w:rsidTr="00C53AD3">
        <w:tc>
          <w:tcPr>
            <w:tcW w:w="0" w:type="auto"/>
          </w:tcPr>
          <w:p w14:paraId="463D038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2DBD9E8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E7748E7"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This change best facilitates General objectives 1 &amp; 2. They are both economical choices and mitigate risks.</w:t>
            </w:r>
          </w:p>
        </w:tc>
        <w:tc>
          <w:tcPr>
            <w:tcW w:w="0" w:type="auto"/>
            <w:shd w:val="clear" w:color="auto" w:fill="E2EFD9" w:themeFill="accent6" w:themeFillTint="33"/>
          </w:tcPr>
          <w:p w14:paraId="69ED6E44"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55653D81" w14:textId="54AC06AF" w:rsidTr="00C53AD3">
        <w:tc>
          <w:tcPr>
            <w:tcW w:w="0" w:type="auto"/>
          </w:tcPr>
          <w:p w14:paraId="7E84FD3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UK Power Networks</w:t>
            </w:r>
          </w:p>
        </w:tc>
        <w:tc>
          <w:tcPr>
            <w:tcW w:w="0" w:type="auto"/>
          </w:tcPr>
          <w:p w14:paraId="4EF43AC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A7F6C2A"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At the current time, due to the licence drafting still being separately worked on, we do not believe that any of the DCUSA General Objectives are better facilitated as a result of this change proposal.</w:t>
            </w:r>
          </w:p>
        </w:tc>
        <w:tc>
          <w:tcPr>
            <w:tcW w:w="0" w:type="auto"/>
            <w:shd w:val="clear" w:color="auto" w:fill="E2EFD9" w:themeFill="accent6" w:themeFillTint="33"/>
          </w:tcPr>
          <w:p w14:paraId="66895B90" w14:textId="77777777" w:rsidR="008373BD" w:rsidRPr="003903B5" w:rsidRDefault="008373BD" w:rsidP="003903B5">
            <w:pPr>
              <w:pStyle w:val="BodyText"/>
              <w:rPr>
                <w:rFonts w:cstheme="minorHAnsi"/>
              </w:rPr>
            </w:pPr>
          </w:p>
        </w:tc>
      </w:tr>
      <w:tr w:rsidR="008373BD" w:rsidRPr="00232923" w14:paraId="601A4A51" w14:textId="3E8A840C" w:rsidTr="00C53AD3">
        <w:tc>
          <w:tcPr>
            <w:tcW w:w="0" w:type="auto"/>
          </w:tcPr>
          <w:p w14:paraId="27F56B2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0D1DC47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A05D8C6" w14:textId="77777777" w:rsidR="008373BD" w:rsidRPr="003903B5" w:rsidRDefault="008373BD" w:rsidP="003903B5">
            <w:pPr>
              <w:pStyle w:val="BodyText"/>
              <w:rPr>
                <w:rFonts w:asciiTheme="minorHAnsi" w:hAnsiTheme="minorHAnsi" w:cstheme="minorHAnsi"/>
                <w:sz w:val="22"/>
                <w:szCs w:val="22"/>
              </w:rPr>
            </w:pPr>
          </w:p>
          <w:p w14:paraId="5D5A06D5" w14:textId="77777777" w:rsidR="008373BD" w:rsidRPr="003903B5" w:rsidRDefault="008373BD" w:rsidP="003903B5">
            <w:pPr>
              <w:pStyle w:val="Default"/>
              <w:rPr>
                <w:rFonts w:asciiTheme="minorHAnsi" w:hAnsiTheme="minorHAnsi" w:cstheme="minorHAnsi"/>
                <w:sz w:val="22"/>
                <w:szCs w:val="22"/>
              </w:rPr>
            </w:pPr>
            <w:r w:rsidRPr="003903B5">
              <w:rPr>
                <w:rFonts w:asciiTheme="minorHAnsi" w:hAnsiTheme="minorHAnsi" w:cstheme="minorHAnsi"/>
                <w:b/>
                <w:bCs/>
                <w:sz w:val="22"/>
                <w:szCs w:val="22"/>
              </w:rPr>
              <w:t xml:space="preserve">General Objective 1 </w:t>
            </w:r>
            <w:r w:rsidRPr="003903B5">
              <w:rPr>
                <w:rFonts w:asciiTheme="minorHAnsi" w:hAnsiTheme="minorHAnsi" w:cstheme="minorHAnsi"/>
                <w:sz w:val="22"/>
                <w:szCs w:val="22"/>
              </w:rPr>
              <w:t xml:space="preserve">- the development, maintenance and operation by the DNO Parties and IDNO Parties of efficient, co-ordinated, and economical Distribution Networks </w:t>
            </w:r>
          </w:p>
          <w:p w14:paraId="61C51097" w14:textId="77777777" w:rsidR="008373BD" w:rsidRPr="003903B5" w:rsidRDefault="008373BD" w:rsidP="003903B5">
            <w:pPr>
              <w:autoSpaceDE w:val="0"/>
              <w:autoSpaceDN w:val="0"/>
              <w:adjustRightInd w:val="0"/>
              <w:rPr>
                <w:rFonts w:asciiTheme="minorHAnsi" w:hAnsiTheme="minorHAnsi" w:cstheme="minorHAnsi"/>
                <w:sz w:val="22"/>
                <w:szCs w:val="22"/>
              </w:rPr>
            </w:pPr>
          </w:p>
        </w:tc>
        <w:tc>
          <w:tcPr>
            <w:tcW w:w="0" w:type="auto"/>
            <w:shd w:val="clear" w:color="auto" w:fill="E2EFD9" w:themeFill="accent6" w:themeFillTint="33"/>
          </w:tcPr>
          <w:p w14:paraId="62F886F1" w14:textId="77777777" w:rsidR="008373BD" w:rsidRPr="003903B5" w:rsidRDefault="008373BD" w:rsidP="003903B5">
            <w:pPr>
              <w:pStyle w:val="BodyText"/>
              <w:rPr>
                <w:rFonts w:cstheme="minorHAnsi"/>
              </w:rPr>
            </w:pPr>
          </w:p>
        </w:tc>
      </w:tr>
      <w:tr w:rsidR="00C53AD3" w:rsidRPr="00232923" w14:paraId="75D5A63A" w14:textId="77777777" w:rsidTr="00C53AD3">
        <w:tc>
          <w:tcPr>
            <w:tcW w:w="0" w:type="auto"/>
            <w:gridSpan w:val="4"/>
            <w:shd w:val="clear" w:color="auto" w:fill="E2EFD9" w:themeFill="accent6" w:themeFillTint="33"/>
          </w:tcPr>
          <w:p w14:paraId="43A3969C" w14:textId="77777777" w:rsidR="00C53AD3" w:rsidRPr="003903B5" w:rsidRDefault="00C53AD3" w:rsidP="003903B5">
            <w:pPr>
              <w:pStyle w:val="BodyText"/>
              <w:rPr>
                <w:rFonts w:cstheme="minorHAnsi"/>
              </w:rPr>
            </w:pPr>
          </w:p>
        </w:tc>
      </w:tr>
      <w:bookmarkEnd w:id="14"/>
    </w:tbl>
    <w:p w14:paraId="75AACDF7"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58"/>
        <w:gridCol w:w="1400"/>
        <w:gridCol w:w="8199"/>
        <w:gridCol w:w="1383"/>
      </w:tblGrid>
      <w:tr w:rsidR="008373BD" w:rsidRPr="00232923" w14:paraId="44965D11" w14:textId="21C3DF23"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5EFABF2D" w14:textId="77777777" w:rsidR="008373BD" w:rsidRPr="00232923" w:rsidRDefault="008373BD" w:rsidP="00232923">
            <w:pPr>
              <w:pStyle w:val="ColumnHeading"/>
              <w:rPr>
                <w:rFonts w:asciiTheme="minorHAnsi" w:hAnsiTheme="minorHAnsi" w:cstheme="minorHAnsi"/>
              </w:rPr>
            </w:pPr>
            <w:bookmarkStart w:id="15" w:name="dcusa_response14"/>
            <w:r w:rsidRPr="00232923">
              <w:rPr>
                <w:rFonts w:asciiTheme="minorHAnsi" w:hAnsiTheme="minorHAnsi" w:cstheme="minorHAnsi"/>
              </w:rPr>
              <w:t>Company</w:t>
            </w:r>
          </w:p>
        </w:tc>
        <w:tc>
          <w:tcPr>
            <w:tcW w:w="0" w:type="auto"/>
          </w:tcPr>
          <w:p w14:paraId="5484FEB5"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0D2C4C09"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776DA66B" w14:textId="0E2C98A5"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Are you aware of any wider industry developments that may impact upon or be impacted by this CP?</w:t>
            </w:r>
          </w:p>
        </w:tc>
        <w:tc>
          <w:tcPr>
            <w:tcW w:w="0" w:type="auto"/>
          </w:tcPr>
          <w:p w14:paraId="72540991" w14:textId="3579AAFF"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232923" w14:paraId="6589A801" w14:textId="1D00074C" w:rsidTr="00C53AD3">
        <w:tc>
          <w:tcPr>
            <w:tcW w:w="0" w:type="auto"/>
          </w:tcPr>
          <w:p w14:paraId="577D3B4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7A58E8EA"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FEC4115"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None identified</w:t>
            </w:r>
          </w:p>
        </w:tc>
        <w:tc>
          <w:tcPr>
            <w:tcW w:w="0" w:type="auto"/>
            <w:shd w:val="clear" w:color="auto" w:fill="E2EFD9" w:themeFill="accent6" w:themeFillTint="33"/>
          </w:tcPr>
          <w:p w14:paraId="2524BFC2" w14:textId="77777777" w:rsidR="008373BD" w:rsidRPr="003903B5" w:rsidRDefault="008373BD" w:rsidP="00232923">
            <w:pPr>
              <w:pStyle w:val="BodyText"/>
              <w:rPr>
                <w:rFonts w:cstheme="minorHAnsi"/>
              </w:rPr>
            </w:pPr>
          </w:p>
        </w:tc>
      </w:tr>
      <w:tr w:rsidR="008373BD" w:rsidRPr="00232923" w14:paraId="6B65C35C" w14:textId="0DDD4474" w:rsidTr="00C53AD3">
        <w:tc>
          <w:tcPr>
            <w:tcW w:w="0" w:type="auto"/>
          </w:tcPr>
          <w:p w14:paraId="6CFF2559"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1348B242"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6EB493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We understand that Ofgem is running a SoLR Licence modification working group that has given some consideration to arrangements addressing the recovery of bad debt following the appointment of a Supplier of Last Resort.</w:t>
            </w:r>
          </w:p>
        </w:tc>
        <w:tc>
          <w:tcPr>
            <w:tcW w:w="0" w:type="auto"/>
            <w:shd w:val="clear" w:color="auto" w:fill="E2EFD9" w:themeFill="accent6" w:themeFillTint="33"/>
          </w:tcPr>
          <w:p w14:paraId="7C97DAD9"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6535FBE9" w14:textId="68B3A653" w:rsidTr="00C53AD3">
        <w:tc>
          <w:tcPr>
            <w:tcW w:w="0" w:type="auto"/>
          </w:tcPr>
          <w:p w14:paraId="3A049995"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5D84B80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794C8A6"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Ofgem published a consultation (closed in July 2018) on proposed modifications to the</w:t>
            </w:r>
          </w:p>
          <w:p w14:paraId="31E2558F"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Supplier of Last Resort supplier licence conditions. On completion of their review,</w:t>
            </w:r>
          </w:p>
          <w:p w14:paraId="52F90CD7"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Ofgem may proceed to modify the Supplier licence. Should this change proposal be</w:t>
            </w:r>
          </w:p>
          <w:p w14:paraId="376E6F4B"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approved, it would be prudent for Ofgem to review the DCUSA clauses brought in by</w:t>
            </w:r>
          </w:p>
          <w:p w14:paraId="22B06C43"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DCP 314 to ensure the licence and DCUSA do not conflict.</w:t>
            </w:r>
          </w:p>
        </w:tc>
        <w:tc>
          <w:tcPr>
            <w:tcW w:w="0" w:type="auto"/>
            <w:shd w:val="clear" w:color="auto" w:fill="E2EFD9" w:themeFill="accent6" w:themeFillTint="33"/>
          </w:tcPr>
          <w:p w14:paraId="4F00A2C8" w14:textId="77777777" w:rsidR="008373BD" w:rsidRPr="003903B5" w:rsidRDefault="008373BD" w:rsidP="00232923">
            <w:pPr>
              <w:autoSpaceDE w:val="0"/>
              <w:autoSpaceDN w:val="0"/>
              <w:adjustRightInd w:val="0"/>
              <w:rPr>
                <w:rFonts w:cstheme="minorHAnsi"/>
              </w:rPr>
            </w:pPr>
          </w:p>
        </w:tc>
      </w:tr>
      <w:tr w:rsidR="008373BD" w:rsidRPr="00232923" w14:paraId="6D1FE7A8" w14:textId="6671AA52" w:rsidTr="00C53AD3">
        <w:tc>
          <w:tcPr>
            <w:tcW w:w="0" w:type="auto"/>
          </w:tcPr>
          <w:p w14:paraId="630E14FA" w14:textId="5C5CFF86" w:rsidR="008373BD" w:rsidRPr="00E13A30" w:rsidRDefault="00AB0BD5" w:rsidP="003903B5">
            <w:pPr>
              <w:pStyle w:val="BodyTextNoSpacing"/>
              <w:rPr>
                <w:rFonts w:asciiTheme="minorHAnsi" w:hAnsiTheme="minorHAnsi" w:cstheme="minorHAnsi"/>
                <w:color w:val="FF0000"/>
                <w:sz w:val="22"/>
                <w:szCs w:val="22"/>
                <w:lang w:val="en-GB"/>
              </w:rPr>
            </w:pPr>
            <w:r>
              <w:rPr>
                <w:rFonts w:asciiTheme="minorHAnsi" w:hAnsiTheme="minorHAnsi" w:cstheme="minorHAnsi"/>
                <w:color w:val="FF0000"/>
                <w:sz w:val="22"/>
                <w:szCs w:val="22"/>
                <w:lang w:val="en-GB"/>
              </w:rPr>
              <w:t>Confidential</w:t>
            </w:r>
          </w:p>
        </w:tc>
        <w:tc>
          <w:tcPr>
            <w:tcW w:w="0" w:type="auto"/>
          </w:tcPr>
          <w:p w14:paraId="2E4793E9" w14:textId="1752C6F0"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0B022A5D" w14:textId="7C7F2123"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319FF98F" w14:textId="77777777" w:rsidR="008373BD" w:rsidRPr="00B00177" w:rsidRDefault="008373BD" w:rsidP="003903B5">
            <w:pPr>
              <w:autoSpaceDE w:val="0"/>
              <w:autoSpaceDN w:val="0"/>
              <w:adjustRightInd w:val="0"/>
              <w:rPr>
                <w:rFonts w:cstheme="minorHAnsi"/>
                <w:color w:val="FF0000"/>
              </w:rPr>
            </w:pPr>
          </w:p>
        </w:tc>
      </w:tr>
      <w:tr w:rsidR="008373BD" w:rsidRPr="00232923" w14:paraId="312BDFAC" w14:textId="6135C0C2" w:rsidTr="00C53AD3">
        <w:tc>
          <w:tcPr>
            <w:tcW w:w="0" w:type="auto"/>
          </w:tcPr>
          <w:p w14:paraId="7C0708D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Northern Powergrid</w:t>
            </w:r>
          </w:p>
        </w:tc>
        <w:tc>
          <w:tcPr>
            <w:tcW w:w="0" w:type="auto"/>
          </w:tcPr>
          <w:p w14:paraId="34EC422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6B1D43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Yes.</w:t>
            </w:r>
          </w:p>
          <w:p w14:paraId="4F270EDB"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Ofgem has recently consulted on changes to the supply licence to amend conditions relating to the appointment of a supplier of last resort.</w:t>
            </w:r>
          </w:p>
          <w:p w14:paraId="2871CF5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A further consultation is expected within the next few months on changes to the distribution licence to improve the process by which DNOs recover the costs associated with last resort supply payment claims from customers (including rectifying contradictions between the DCUSA and distribution licence) and the process by which DNOs recover their own bad debts. The treatment of LDNO bad debt is being considered as part of this work. We do not consider it to be appropriate to continue with the development of DCP 314 until this work has been allowed to progress to a conclusion, and the industry has had a meaningful debate on whether LDNOs should be allowed to recover bad debts. </w:t>
            </w:r>
          </w:p>
        </w:tc>
        <w:tc>
          <w:tcPr>
            <w:tcW w:w="0" w:type="auto"/>
            <w:shd w:val="clear" w:color="auto" w:fill="E2EFD9" w:themeFill="accent6" w:themeFillTint="33"/>
          </w:tcPr>
          <w:p w14:paraId="6630BC33" w14:textId="77777777" w:rsidR="008373BD" w:rsidRPr="003903B5" w:rsidRDefault="008373BD" w:rsidP="003903B5">
            <w:pPr>
              <w:pStyle w:val="BodyText"/>
              <w:rPr>
                <w:rFonts w:cstheme="minorHAnsi"/>
              </w:rPr>
            </w:pPr>
          </w:p>
        </w:tc>
      </w:tr>
      <w:tr w:rsidR="008373BD" w:rsidRPr="00232923" w14:paraId="4C5944C6" w14:textId="76B0D5AD" w:rsidTr="00C53AD3">
        <w:tc>
          <w:tcPr>
            <w:tcW w:w="0" w:type="auto"/>
          </w:tcPr>
          <w:p w14:paraId="7B30A39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1401F84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A9FB7C2"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7902564A" w14:textId="77777777" w:rsidR="008373BD" w:rsidRPr="003903B5" w:rsidRDefault="008373BD" w:rsidP="003903B5">
            <w:pPr>
              <w:pStyle w:val="BodyText"/>
              <w:rPr>
                <w:rFonts w:cstheme="minorHAnsi"/>
              </w:rPr>
            </w:pPr>
          </w:p>
        </w:tc>
      </w:tr>
      <w:tr w:rsidR="008373BD" w:rsidRPr="00232923" w14:paraId="28DF69B9" w14:textId="69B54C3E" w:rsidTr="00C53AD3">
        <w:tc>
          <w:tcPr>
            <w:tcW w:w="0" w:type="auto"/>
          </w:tcPr>
          <w:p w14:paraId="17B03BB8"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5EEFC8E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FFA1AB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recognise that there are a number of Industry initiatives and reviews which may take higher priority. Existing Ofgem consultation relating to modification of SOLR Supply licence conditions could impact upon this CP.  The charging futures forum could have an impact on timescale for the licence change.</w:t>
            </w:r>
          </w:p>
        </w:tc>
        <w:tc>
          <w:tcPr>
            <w:tcW w:w="0" w:type="auto"/>
            <w:shd w:val="clear" w:color="auto" w:fill="E2EFD9" w:themeFill="accent6" w:themeFillTint="33"/>
          </w:tcPr>
          <w:p w14:paraId="6B3ACDFF"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3C504591" w14:textId="49FDA9EB" w:rsidTr="00C53AD3">
        <w:tc>
          <w:tcPr>
            <w:tcW w:w="0" w:type="auto"/>
          </w:tcPr>
          <w:p w14:paraId="1DE79B2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5936E7F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A6D4080"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As mentioned elsewhere there is currently a separate piece of work looking at the treatment of debt following the appointment of a SoLR which needs to be concluded prior to the approval of this DCP, in order to avoid further obligations and costs being placed upon DNOs which they would have no way of addressing.</w:t>
            </w:r>
          </w:p>
        </w:tc>
        <w:tc>
          <w:tcPr>
            <w:tcW w:w="0" w:type="auto"/>
            <w:shd w:val="clear" w:color="auto" w:fill="E2EFD9" w:themeFill="accent6" w:themeFillTint="33"/>
          </w:tcPr>
          <w:p w14:paraId="236C86FF" w14:textId="77777777" w:rsidR="008373BD" w:rsidRPr="003903B5" w:rsidRDefault="008373BD" w:rsidP="003903B5">
            <w:pPr>
              <w:pStyle w:val="BodyText"/>
              <w:rPr>
                <w:rFonts w:cstheme="minorHAnsi"/>
              </w:rPr>
            </w:pPr>
          </w:p>
        </w:tc>
      </w:tr>
      <w:tr w:rsidR="008373BD" w:rsidRPr="00232923" w14:paraId="141B3E13" w14:textId="1583AA53" w:rsidTr="00C53AD3">
        <w:tc>
          <w:tcPr>
            <w:tcW w:w="0" w:type="auto"/>
          </w:tcPr>
          <w:p w14:paraId="6E89A80F"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3201463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5F005CB"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7729E2C7" w14:textId="77777777" w:rsidR="008373BD" w:rsidRPr="003903B5" w:rsidRDefault="008373BD" w:rsidP="003903B5">
            <w:pPr>
              <w:autoSpaceDE w:val="0"/>
              <w:autoSpaceDN w:val="0"/>
              <w:adjustRightInd w:val="0"/>
              <w:rPr>
                <w:rFonts w:cstheme="minorHAnsi"/>
              </w:rPr>
            </w:pPr>
          </w:p>
        </w:tc>
      </w:tr>
      <w:tr w:rsidR="00C53AD3" w:rsidRPr="00232923" w14:paraId="0DD601DD" w14:textId="77777777" w:rsidTr="00C53AD3">
        <w:tc>
          <w:tcPr>
            <w:tcW w:w="0" w:type="auto"/>
            <w:gridSpan w:val="4"/>
            <w:shd w:val="clear" w:color="auto" w:fill="E2EFD9" w:themeFill="accent6" w:themeFillTint="33"/>
          </w:tcPr>
          <w:p w14:paraId="59D6505E" w14:textId="77777777" w:rsidR="00C53AD3" w:rsidRPr="003903B5" w:rsidRDefault="00C53AD3" w:rsidP="003903B5">
            <w:pPr>
              <w:autoSpaceDE w:val="0"/>
              <w:autoSpaceDN w:val="0"/>
              <w:adjustRightInd w:val="0"/>
              <w:rPr>
                <w:rFonts w:cstheme="minorHAnsi"/>
              </w:rPr>
            </w:pPr>
          </w:p>
        </w:tc>
      </w:tr>
      <w:bookmarkEnd w:id="15"/>
    </w:tbl>
    <w:p w14:paraId="7DD1276B"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61"/>
        <w:gridCol w:w="1400"/>
        <w:gridCol w:w="8195"/>
        <w:gridCol w:w="1384"/>
      </w:tblGrid>
      <w:tr w:rsidR="008373BD" w:rsidRPr="00232923" w14:paraId="6B48872C" w14:textId="290D985B"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6CDF71C8" w14:textId="77777777" w:rsidR="008373BD" w:rsidRPr="00232923" w:rsidRDefault="008373BD" w:rsidP="00232923">
            <w:pPr>
              <w:pStyle w:val="ColumnHeading"/>
              <w:rPr>
                <w:rFonts w:asciiTheme="minorHAnsi" w:hAnsiTheme="minorHAnsi" w:cstheme="minorHAnsi"/>
              </w:rPr>
            </w:pPr>
            <w:bookmarkStart w:id="16" w:name="dcusa_response15"/>
            <w:r w:rsidRPr="00232923">
              <w:rPr>
                <w:rFonts w:asciiTheme="minorHAnsi" w:hAnsiTheme="minorHAnsi" w:cstheme="minorHAnsi"/>
              </w:rPr>
              <w:t>Company</w:t>
            </w:r>
          </w:p>
        </w:tc>
        <w:tc>
          <w:tcPr>
            <w:tcW w:w="0" w:type="auto"/>
          </w:tcPr>
          <w:p w14:paraId="531CEFD4"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182980B1"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0B3AD6A1" w14:textId="48CF7FDF"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Are there any alternative solutions or unintended consequences that should be considered by the Working Group?</w:t>
            </w:r>
          </w:p>
        </w:tc>
        <w:tc>
          <w:tcPr>
            <w:tcW w:w="0" w:type="auto"/>
          </w:tcPr>
          <w:p w14:paraId="099A92E2" w14:textId="43881287"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232923" w14:paraId="6DC188FE" w14:textId="0A01A7F2" w:rsidTr="008373BD">
        <w:tc>
          <w:tcPr>
            <w:tcW w:w="0" w:type="auto"/>
          </w:tcPr>
          <w:p w14:paraId="58769506"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583FF2B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84EAFF8"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None identified</w:t>
            </w:r>
          </w:p>
        </w:tc>
        <w:tc>
          <w:tcPr>
            <w:tcW w:w="0" w:type="auto"/>
            <w:shd w:val="clear" w:color="auto" w:fill="E2EFD9" w:themeFill="accent6" w:themeFillTint="33"/>
          </w:tcPr>
          <w:p w14:paraId="7C949918"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0B9E3630" w14:textId="6BC23809" w:rsidTr="008373BD">
        <w:tc>
          <w:tcPr>
            <w:tcW w:w="0" w:type="auto"/>
          </w:tcPr>
          <w:p w14:paraId="34B1788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176A91D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E6AA08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It would appear that this change may also impact Schedules 16, 17 and 18 in respect of setting DUoS prices.  DNOs would be required to set ‘all-the-way tariffs’ that would recover the total bad debt, which would normally be mirrored by LDNOs. Changes would be required to LDNO tariffs to ensure that the margin available to LDNOs is not artificially increased.  </w:t>
            </w:r>
          </w:p>
        </w:tc>
        <w:tc>
          <w:tcPr>
            <w:tcW w:w="0" w:type="auto"/>
            <w:shd w:val="clear" w:color="auto" w:fill="E2EFD9" w:themeFill="accent6" w:themeFillTint="33"/>
          </w:tcPr>
          <w:p w14:paraId="14EC971A"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0D3F1563" w14:textId="536D6E3A" w:rsidTr="008373BD">
        <w:tc>
          <w:tcPr>
            <w:tcW w:w="0" w:type="auto"/>
          </w:tcPr>
          <w:p w14:paraId="4F9197B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1F7738B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BC81635"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Outside of the potential for licence modifications and guidance documents to be</w:t>
            </w:r>
          </w:p>
          <w:p w14:paraId="0608B28B"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updated to support the LDNO’s recovery of bad debt, ESPE are not aware of alternative</w:t>
            </w:r>
          </w:p>
          <w:p w14:paraId="16B63652"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solutions at this stage.</w:t>
            </w:r>
          </w:p>
          <w:p w14:paraId="674EA7A0" w14:textId="77777777" w:rsidR="008373BD" w:rsidRPr="003903B5" w:rsidRDefault="008373BD" w:rsidP="00232923">
            <w:pPr>
              <w:autoSpaceDE w:val="0"/>
              <w:autoSpaceDN w:val="0"/>
              <w:adjustRightInd w:val="0"/>
              <w:rPr>
                <w:rFonts w:asciiTheme="minorHAnsi" w:hAnsiTheme="minorHAnsi" w:cstheme="minorHAnsi"/>
                <w:sz w:val="22"/>
                <w:szCs w:val="22"/>
              </w:rPr>
            </w:pPr>
          </w:p>
          <w:p w14:paraId="4F819C09"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ESPE do not believe there will be unintended consequences should this change be</w:t>
            </w:r>
          </w:p>
          <w:p w14:paraId="3A4BE939"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approved.</w:t>
            </w:r>
          </w:p>
        </w:tc>
        <w:tc>
          <w:tcPr>
            <w:tcW w:w="0" w:type="auto"/>
            <w:shd w:val="clear" w:color="auto" w:fill="E2EFD9" w:themeFill="accent6" w:themeFillTint="33"/>
          </w:tcPr>
          <w:p w14:paraId="282A803D" w14:textId="77777777" w:rsidR="008373BD" w:rsidRPr="003903B5" w:rsidRDefault="008373BD" w:rsidP="00232923">
            <w:pPr>
              <w:autoSpaceDE w:val="0"/>
              <w:autoSpaceDN w:val="0"/>
              <w:adjustRightInd w:val="0"/>
              <w:rPr>
                <w:rFonts w:cstheme="minorHAnsi"/>
              </w:rPr>
            </w:pPr>
          </w:p>
        </w:tc>
      </w:tr>
      <w:tr w:rsidR="008373BD" w:rsidRPr="00232923" w14:paraId="7C675A4B" w14:textId="01865D7C" w:rsidTr="008373BD">
        <w:tc>
          <w:tcPr>
            <w:tcW w:w="0" w:type="auto"/>
          </w:tcPr>
          <w:p w14:paraId="48243D19" w14:textId="0840DD4B" w:rsidR="008373BD" w:rsidRPr="003903B5" w:rsidRDefault="00AB0BD5" w:rsidP="003903B5">
            <w:pPr>
              <w:pStyle w:val="BodyTextNoSpacing"/>
              <w:rPr>
                <w:rFonts w:asciiTheme="minorHAnsi" w:hAnsiTheme="minorHAnsi" w:cstheme="minorHAnsi"/>
                <w:color w:val="FF0000"/>
                <w:sz w:val="22"/>
                <w:szCs w:val="22"/>
              </w:rPr>
            </w:pPr>
            <w:r>
              <w:rPr>
                <w:rFonts w:asciiTheme="minorHAnsi" w:hAnsiTheme="minorHAnsi" w:cstheme="minorHAnsi"/>
                <w:color w:val="FF0000"/>
                <w:sz w:val="22"/>
                <w:szCs w:val="22"/>
                <w:lang w:val="en-GB"/>
              </w:rPr>
              <w:t>Confidential</w:t>
            </w:r>
          </w:p>
        </w:tc>
        <w:tc>
          <w:tcPr>
            <w:tcW w:w="0" w:type="auto"/>
          </w:tcPr>
          <w:p w14:paraId="3148C286" w14:textId="5E812C0E"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4F5B4B5F" w14:textId="5E4CAE0C"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ABD0FCD" w14:textId="77777777" w:rsidR="008373BD" w:rsidRPr="00B00177" w:rsidRDefault="008373BD" w:rsidP="003903B5">
            <w:pPr>
              <w:autoSpaceDE w:val="0"/>
              <w:autoSpaceDN w:val="0"/>
              <w:adjustRightInd w:val="0"/>
              <w:rPr>
                <w:rFonts w:cstheme="minorHAnsi"/>
                <w:color w:val="FF0000"/>
              </w:rPr>
            </w:pPr>
          </w:p>
        </w:tc>
      </w:tr>
      <w:tr w:rsidR="008373BD" w:rsidRPr="00232923" w14:paraId="41BFB987" w14:textId="6213F653" w:rsidTr="008373BD">
        <w:tc>
          <w:tcPr>
            <w:tcW w:w="0" w:type="auto"/>
          </w:tcPr>
          <w:p w14:paraId="23FFE6D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2B474F5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9BAE3B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If implemented, this change will create a windfall gain for LDNO shareholders, to the detriment of customers who will be required to fund that windfall gain.</w:t>
            </w:r>
          </w:p>
        </w:tc>
        <w:tc>
          <w:tcPr>
            <w:tcW w:w="0" w:type="auto"/>
            <w:shd w:val="clear" w:color="auto" w:fill="E2EFD9" w:themeFill="accent6" w:themeFillTint="33"/>
          </w:tcPr>
          <w:p w14:paraId="32DDC51A"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354B808E" w14:textId="00DF4AAB" w:rsidTr="008373BD">
        <w:tc>
          <w:tcPr>
            <w:tcW w:w="0" w:type="auto"/>
          </w:tcPr>
          <w:p w14:paraId="733D5126"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125F083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2CB88C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11403BE5"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141AC365" w14:textId="68467564" w:rsidTr="008373BD">
        <w:tc>
          <w:tcPr>
            <w:tcW w:w="0" w:type="auto"/>
          </w:tcPr>
          <w:p w14:paraId="2C8F92E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SP Distribution and SP Manweb</w:t>
            </w:r>
          </w:p>
        </w:tc>
        <w:tc>
          <w:tcPr>
            <w:tcW w:w="0" w:type="auto"/>
          </w:tcPr>
          <w:p w14:paraId="1B02FD5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5CBE85A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would like to reiterate that an LDNO license change would be the preferred option.</w:t>
            </w:r>
          </w:p>
        </w:tc>
        <w:tc>
          <w:tcPr>
            <w:tcW w:w="0" w:type="auto"/>
            <w:shd w:val="clear" w:color="auto" w:fill="E2EFD9" w:themeFill="accent6" w:themeFillTint="33"/>
          </w:tcPr>
          <w:p w14:paraId="72126151"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51F6EAAB" w14:textId="462C5CCF" w:rsidTr="008373BD">
        <w:tc>
          <w:tcPr>
            <w:tcW w:w="0" w:type="auto"/>
          </w:tcPr>
          <w:p w14:paraId="61C6BE19"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2077BF1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CE9BDED"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Self certification of compliance with Schedule 1 should include confirmation that any cash deposits have been used or LoCs/PCGs called or other collateral used, to offset debt, before any claim is made.  </w:t>
            </w:r>
          </w:p>
          <w:p w14:paraId="1E280345"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Consideration should be given to the treatment of any disputed invoices. </w:t>
            </w:r>
          </w:p>
          <w:p w14:paraId="00121D3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 xml:space="preserve">The SoLR process could be extended for the inclusion of IDNOs alongside Suppliers. </w:t>
            </w:r>
          </w:p>
        </w:tc>
        <w:tc>
          <w:tcPr>
            <w:tcW w:w="0" w:type="auto"/>
            <w:shd w:val="clear" w:color="auto" w:fill="E2EFD9" w:themeFill="accent6" w:themeFillTint="33"/>
          </w:tcPr>
          <w:p w14:paraId="2EF138C2" w14:textId="77777777" w:rsidR="008373BD" w:rsidRPr="003903B5" w:rsidRDefault="008373BD" w:rsidP="003903B5">
            <w:pPr>
              <w:pStyle w:val="BodyText"/>
              <w:rPr>
                <w:rFonts w:cstheme="minorHAnsi"/>
              </w:rPr>
            </w:pPr>
          </w:p>
        </w:tc>
      </w:tr>
      <w:tr w:rsidR="008373BD" w:rsidRPr="00232923" w14:paraId="5525364A" w14:textId="771B2FDB" w:rsidTr="008373BD">
        <w:tc>
          <w:tcPr>
            <w:tcW w:w="0" w:type="auto"/>
          </w:tcPr>
          <w:p w14:paraId="0895845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6B035D30"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B1AFB3C"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No</w:t>
            </w:r>
          </w:p>
        </w:tc>
        <w:tc>
          <w:tcPr>
            <w:tcW w:w="0" w:type="auto"/>
            <w:shd w:val="clear" w:color="auto" w:fill="E2EFD9" w:themeFill="accent6" w:themeFillTint="33"/>
          </w:tcPr>
          <w:p w14:paraId="6907EC67" w14:textId="77777777" w:rsidR="008373BD" w:rsidRPr="003903B5" w:rsidRDefault="008373BD" w:rsidP="003903B5">
            <w:pPr>
              <w:autoSpaceDE w:val="0"/>
              <w:autoSpaceDN w:val="0"/>
              <w:adjustRightInd w:val="0"/>
              <w:rPr>
                <w:rFonts w:cstheme="minorHAnsi"/>
              </w:rPr>
            </w:pPr>
          </w:p>
        </w:tc>
      </w:tr>
      <w:tr w:rsidR="00C53AD3" w:rsidRPr="00232923" w14:paraId="66F554E2" w14:textId="77777777" w:rsidTr="00C53AD3">
        <w:tc>
          <w:tcPr>
            <w:tcW w:w="0" w:type="auto"/>
            <w:gridSpan w:val="4"/>
            <w:shd w:val="clear" w:color="auto" w:fill="E2EFD9" w:themeFill="accent6" w:themeFillTint="33"/>
          </w:tcPr>
          <w:p w14:paraId="1DA53BD6" w14:textId="77777777" w:rsidR="00C53AD3" w:rsidRPr="003903B5" w:rsidRDefault="00C53AD3" w:rsidP="003903B5">
            <w:pPr>
              <w:autoSpaceDE w:val="0"/>
              <w:autoSpaceDN w:val="0"/>
              <w:adjustRightInd w:val="0"/>
              <w:rPr>
                <w:rFonts w:cstheme="minorHAnsi"/>
              </w:rPr>
            </w:pPr>
          </w:p>
        </w:tc>
      </w:tr>
      <w:bookmarkEnd w:id="16"/>
    </w:tbl>
    <w:p w14:paraId="724B382C"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40"/>
        <w:gridCol w:w="1399"/>
        <w:gridCol w:w="8244"/>
        <w:gridCol w:w="1357"/>
      </w:tblGrid>
      <w:tr w:rsidR="008373BD" w:rsidRPr="00232923" w14:paraId="2B3256F9" w14:textId="44937182"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46BA0B97" w14:textId="77777777" w:rsidR="008373BD" w:rsidRPr="00232923" w:rsidRDefault="008373BD" w:rsidP="00232923">
            <w:pPr>
              <w:pStyle w:val="ColumnHeading"/>
              <w:rPr>
                <w:rFonts w:asciiTheme="minorHAnsi" w:hAnsiTheme="minorHAnsi" w:cstheme="minorHAnsi"/>
              </w:rPr>
            </w:pPr>
            <w:bookmarkStart w:id="17" w:name="dcusa_response16"/>
            <w:r w:rsidRPr="00232923">
              <w:rPr>
                <w:rFonts w:asciiTheme="minorHAnsi" w:hAnsiTheme="minorHAnsi" w:cstheme="minorHAnsi"/>
              </w:rPr>
              <w:t>Company</w:t>
            </w:r>
          </w:p>
        </w:tc>
        <w:tc>
          <w:tcPr>
            <w:tcW w:w="0" w:type="auto"/>
          </w:tcPr>
          <w:p w14:paraId="6A5B6BFB"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504A6B00"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51F7D1A4" w14:textId="452A09E5"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The proposed implementation date for DCP 314 is the first scheduled DCUSA Release following approval. Do you agree with the proposed implementation date?</w:t>
            </w:r>
          </w:p>
        </w:tc>
        <w:tc>
          <w:tcPr>
            <w:tcW w:w="0" w:type="auto"/>
          </w:tcPr>
          <w:p w14:paraId="677661C4" w14:textId="019738F5"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232923" w14:paraId="00CA7A15" w14:textId="4391785D" w:rsidTr="008373BD">
        <w:tc>
          <w:tcPr>
            <w:tcW w:w="0" w:type="auto"/>
          </w:tcPr>
          <w:p w14:paraId="453F527E"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294C82E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7472E5C"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3EC371A9"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1D889B62" w14:textId="6AEC2D1E" w:rsidTr="008373BD">
        <w:tc>
          <w:tcPr>
            <w:tcW w:w="0" w:type="auto"/>
          </w:tcPr>
          <w:p w14:paraId="72BA3870"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Electricity North West</w:t>
            </w:r>
          </w:p>
        </w:tc>
        <w:tc>
          <w:tcPr>
            <w:tcW w:w="0" w:type="auto"/>
          </w:tcPr>
          <w:p w14:paraId="6D142576"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38EE002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This change is reliant on other changes to the licence that would enable DNOs to recover these costs in the future under Use of System charges, so implementation should be linked to these changes.</w:t>
            </w:r>
          </w:p>
        </w:tc>
        <w:tc>
          <w:tcPr>
            <w:tcW w:w="0" w:type="auto"/>
            <w:shd w:val="clear" w:color="auto" w:fill="E2EFD9" w:themeFill="accent6" w:themeFillTint="33"/>
          </w:tcPr>
          <w:p w14:paraId="018BD81B" w14:textId="77777777" w:rsidR="008373BD" w:rsidRPr="003903B5" w:rsidRDefault="008373BD" w:rsidP="00232923">
            <w:pPr>
              <w:pStyle w:val="BodyTextNoSpacing"/>
              <w:rPr>
                <w:rFonts w:asciiTheme="minorHAnsi" w:hAnsiTheme="minorHAnsi" w:cstheme="minorHAnsi"/>
                <w:sz w:val="22"/>
                <w:szCs w:val="22"/>
              </w:rPr>
            </w:pPr>
          </w:p>
        </w:tc>
      </w:tr>
      <w:tr w:rsidR="008373BD" w:rsidRPr="00232923" w14:paraId="3B9766CB" w14:textId="6CEE2F31" w:rsidTr="008373BD">
        <w:tc>
          <w:tcPr>
            <w:tcW w:w="0" w:type="auto"/>
          </w:tcPr>
          <w:p w14:paraId="1CBDAF75"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3400DF7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089A86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first release following Ofgem approval (anticipated to be the February release of</w:t>
            </w:r>
          </w:p>
          <w:p w14:paraId="5C0E5EE4"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DCUSA). Our system changes are expected to be minor. It would require the addition</w:t>
            </w:r>
          </w:p>
          <w:p w14:paraId="2E5B4B1D"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of a new automated report from our billing system and is not a major functionality</w:t>
            </w:r>
          </w:p>
          <w:p w14:paraId="7F5D5BCB"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change.</w:t>
            </w:r>
          </w:p>
        </w:tc>
        <w:tc>
          <w:tcPr>
            <w:tcW w:w="0" w:type="auto"/>
            <w:shd w:val="clear" w:color="auto" w:fill="E2EFD9" w:themeFill="accent6" w:themeFillTint="33"/>
          </w:tcPr>
          <w:p w14:paraId="08954B2A" w14:textId="77777777" w:rsidR="008373BD" w:rsidRPr="003903B5" w:rsidRDefault="008373BD" w:rsidP="00232923">
            <w:pPr>
              <w:autoSpaceDE w:val="0"/>
              <w:autoSpaceDN w:val="0"/>
              <w:adjustRightInd w:val="0"/>
              <w:rPr>
                <w:rFonts w:cstheme="minorHAnsi"/>
              </w:rPr>
            </w:pPr>
          </w:p>
        </w:tc>
      </w:tr>
      <w:tr w:rsidR="008373BD" w:rsidRPr="00232923" w14:paraId="68EDC63A" w14:textId="62713989" w:rsidTr="008373BD">
        <w:tc>
          <w:tcPr>
            <w:tcW w:w="0" w:type="auto"/>
          </w:tcPr>
          <w:p w14:paraId="3A4F50E3" w14:textId="5CFBF6E6" w:rsidR="008373BD" w:rsidRPr="003903B5" w:rsidRDefault="00AB0BD5" w:rsidP="003903B5">
            <w:pPr>
              <w:pStyle w:val="BodyTextNoSpacing"/>
              <w:rPr>
                <w:rFonts w:asciiTheme="minorHAnsi" w:hAnsiTheme="minorHAnsi" w:cstheme="minorHAnsi"/>
                <w:color w:val="FF0000"/>
                <w:sz w:val="22"/>
                <w:szCs w:val="22"/>
              </w:rPr>
            </w:pPr>
            <w:r>
              <w:rPr>
                <w:rFonts w:asciiTheme="minorHAnsi" w:hAnsiTheme="minorHAnsi" w:cstheme="minorHAnsi"/>
                <w:color w:val="FF0000"/>
                <w:sz w:val="22"/>
                <w:szCs w:val="22"/>
                <w:lang w:val="en-GB"/>
              </w:rPr>
              <w:t>Confidential</w:t>
            </w:r>
          </w:p>
        </w:tc>
        <w:tc>
          <w:tcPr>
            <w:tcW w:w="0" w:type="auto"/>
          </w:tcPr>
          <w:p w14:paraId="0FDEF7D3" w14:textId="1D28B4A6"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77D60795" w14:textId="179DE0B5"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2CB92E36" w14:textId="77777777" w:rsidR="008373BD" w:rsidRPr="00B00177" w:rsidRDefault="008373BD" w:rsidP="003903B5">
            <w:pPr>
              <w:autoSpaceDE w:val="0"/>
              <w:autoSpaceDN w:val="0"/>
              <w:adjustRightInd w:val="0"/>
              <w:rPr>
                <w:rFonts w:cstheme="minorHAnsi"/>
                <w:color w:val="FF0000"/>
              </w:rPr>
            </w:pPr>
          </w:p>
        </w:tc>
      </w:tr>
      <w:tr w:rsidR="008373BD" w:rsidRPr="00232923" w14:paraId="6009017A" w14:textId="572EA79B" w:rsidTr="008373BD">
        <w:tc>
          <w:tcPr>
            <w:tcW w:w="0" w:type="auto"/>
          </w:tcPr>
          <w:p w14:paraId="04DA9CE1"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Northern Powergrid</w:t>
            </w:r>
          </w:p>
        </w:tc>
        <w:tc>
          <w:tcPr>
            <w:tcW w:w="0" w:type="auto"/>
          </w:tcPr>
          <w:p w14:paraId="51C1163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77F0C5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consider that the change should not proceed until work on the distribution licence concludes.</w:t>
            </w:r>
          </w:p>
        </w:tc>
        <w:tc>
          <w:tcPr>
            <w:tcW w:w="0" w:type="auto"/>
            <w:shd w:val="clear" w:color="auto" w:fill="E2EFD9" w:themeFill="accent6" w:themeFillTint="33"/>
          </w:tcPr>
          <w:p w14:paraId="33E0C4EB"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2E103A9C" w14:textId="50EF3C85" w:rsidTr="008373BD">
        <w:tc>
          <w:tcPr>
            <w:tcW w:w="0" w:type="auto"/>
          </w:tcPr>
          <w:p w14:paraId="548A950A"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638473C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6B5B712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04F1894B"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49EB8051" w14:textId="412CC6F5" w:rsidTr="008373BD">
        <w:tc>
          <w:tcPr>
            <w:tcW w:w="0" w:type="auto"/>
          </w:tcPr>
          <w:p w14:paraId="3FA545E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SP Distribution and SP Manweb</w:t>
            </w:r>
          </w:p>
        </w:tc>
        <w:tc>
          <w:tcPr>
            <w:tcW w:w="0" w:type="auto"/>
          </w:tcPr>
          <w:p w14:paraId="42781AA4"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4A2F05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 would agree with the proposed implementation being the first scheduled DCUSA release following approval.</w:t>
            </w:r>
          </w:p>
        </w:tc>
        <w:tc>
          <w:tcPr>
            <w:tcW w:w="0" w:type="auto"/>
            <w:shd w:val="clear" w:color="auto" w:fill="E2EFD9" w:themeFill="accent6" w:themeFillTint="33"/>
          </w:tcPr>
          <w:p w14:paraId="6DD96E22"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04386FEC" w14:textId="4962F2FB" w:rsidTr="008373BD">
        <w:tc>
          <w:tcPr>
            <w:tcW w:w="0" w:type="auto"/>
          </w:tcPr>
          <w:p w14:paraId="6AA6722C"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UK Power Networks</w:t>
            </w:r>
          </w:p>
        </w:tc>
        <w:tc>
          <w:tcPr>
            <w:tcW w:w="0" w:type="auto"/>
          </w:tcPr>
          <w:p w14:paraId="0E76FE8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60EE373"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As mentioned elsewhere in this response, this change cannot be introduced until the work that Ofgem are currently looking at relating to SoLR has concluded, as a result we believe that this change should be placed ‘on hold’ until such time that the wider work has concluded. It would however be appropriate to ensure that this change is implemented at a time consistent with any wider licence changes.</w:t>
            </w:r>
          </w:p>
        </w:tc>
        <w:tc>
          <w:tcPr>
            <w:tcW w:w="0" w:type="auto"/>
            <w:shd w:val="clear" w:color="auto" w:fill="E2EFD9" w:themeFill="accent6" w:themeFillTint="33"/>
          </w:tcPr>
          <w:p w14:paraId="74105EEC" w14:textId="77777777" w:rsidR="008373BD" w:rsidRPr="003903B5" w:rsidRDefault="008373BD" w:rsidP="003903B5">
            <w:pPr>
              <w:pStyle w:val="BodyTextNoSpacing"/>
              <w:rPr>
                <w:rFonts w:asciiTheme="minorHAnsi" w:hAnsiTheme="minorHAnsi" w:cstheme="minorHAnsi"/>
                <w:sz w:val="22"/>
                <w:szCs w:val="22"/>
              </w:rPr>
            </w:pPr>
          </w:p>
        </w:tc>
      </w:tr>
      <w:tr w:rsidR="008373BD" w:rsidRPr="00232923" w14:paraId="1B30775E" w14:textId="33167879" w:rsidTr="008373BD">
        <w:tc>
          <w:tcPr>
            <w:tcW w:w="0" w:type="auto"/>
          </w:tcPr>
          <w:p w14:paraId="042A6C9B"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Western Power Distribution</w:t>
            </w:r>
          </w:p>
        </w:tc>
        <w:tc>
          <w:tcPr>
            <w:tcW w:w="0" w:type="auto"/>
          </w:tcPr>
          <w:p w14:paraId="6A952ECD"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78316D06"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w:t>
            </w:r>
          </w:p>
        </w:tc>
        <w:tc>
          <w:tcPr>
            <w:tcW w:w="0" w:type="auto"/>
            <w:shd w:val="clear" w:color="auto" w:fill="E2EFD9" w:themeFill="accent6" w:themeFillTint="33"/>
          </w:tcPr>
          <w:p w14:paraId="001893CD" w14:textId="77777777" w:rsidR="008373BD" w:rsidRPr="003903B5" w:rsidRDefault="008373BD" w:rsidP="003903B5">
            <w:pPr>
              <w:autoSpaceDE w:val="0"/>
              <w:autoSpaceDN w:val="0"/>
              <w:adjustRightInd w:val="0"/>
              <w:rPr>
                <w:rFonts w:cstheme="minorHAnsi"/>
              </w:rPr>
            </w:pPr>
          </w:p>
        </w:tc>
      </w:tr>
      <w:tr w:rsidR="00C53AD3" w:rsidRPr="00232923" w14:paraId="1F6221E6" w14:textId="77777777" w:rsidTr="00C53AD3">
        <w:tc>
          <w:tcPr>
            <w:tcW w:w="0" w:type="auto"/>
            <w:gridSpan w:val="4"/>
            <w:shd w:val="clear" w:color="auto" w:fill="E2EFD9" w:themeFill="accent6" w:themeFillTint="33"/>
          </w:tcPr>
          <w:p w14:paraId="59A1630F" w14:textId="77777777" w:rsidR="00C53AD3" w:rsidRPr="003903B5" w:rsidRDefault="00C53AD3" w:rsidP="003903B5">
            <w:pPr>
              <w:autoSpaceDE w:val="0"/>
              <w:autoSpaceDN w:val="0"/>
              <w:adjustRightInd w:val="0"/>
              <w:rPr>
                <w:rFonts w:cstheme="minorHAnsi"/>
              </w:rPr>
            </w:pPr>
          </w:p>
        </w:tc>
      </w:tr>
      <w:bookmarkEnd w:id="17"/>
    </w:tbl>
    <w:p w14:paraId="17B19759" w14:textId="77777777" w:rsidR="00232923" w:rsidRPr="00232923" w:rsidRDefault="00232923">
      <w:pPr>
        <w:rPr>
          <w:rFonts w:cstheme="minorHAnsi"/>
        </w:rPr>
      </w:pPr>
    </w:p>
    <w:tbl>
      <w:tblPr>
        <w:tblStyle w:val="ElectralinkResponseTable"/>
        <w:tblW w:w="0" w:type="auto"/>
        <w:tblInd w:w="108" w:type="dxa"/>
        <w:tblLook w:val="04A0" w:firstRow="1" w:lastRow="0" w:firstColumn="1" w:lastColumn="0" w:noHBand="0" w:noVBand="1"/>
      </w:tblPr>
      <w:tblGrid>
        <w:gridCol w:w="2835"/>
        <w:gridCol w:w="1399"/>
        <w:gridCol w:w="8227"/>
        <w:gridCol w:w="1379"/>
      </w:tblGrid>
      <w:tr w:rsidR="008373BD" w:rsidRPr="00232923" w14:paraId="01BD261C" w14:textId="275DE10B" w:rsidTr="008373BD">
        <w:trPr>
          <w:cnfStyle w:val="100000000000" w:firstRow="1" w:lastRow="0" w:firstColumn="0" w:lastColumn="0" w:oddVBand="0" w:evenVBand="0" w:oddHBand="0" w:evenHBand="0" w:firstRowFirstColumn="0" w:firstRowLastColumn="0" w:lastRowFirstColumn="0" w:lastRowLastColumn="0"/>
        </w:trPr>
        <w:tc>
          <w:tcPr>
            <w:tcW w:w="0" w:type="auto"/>
          </w:tcPr>
          <w:p w14:paraId="76E4CE84" w14:textId="77777777" w:rsidR="008373BD" w:rsidRPr="00232923" w:rsidRDefault="008373BD" w:rsidP="00232923">
            <w:pPr>
              <w:pStyle w:val="ColumnHeading"/>
              <w:rPr>
                <w:rFonts w:asciiTheme="minorHAnsi" w:hAnsiTheme="minorHAnsi" w:cstheme="minorHAnsi"/>
              </w:rPr>
            </w:pPr>
            <w:bookmarkStart w:id="18" w:name="dcusa_response17"/>
            <w:r w:rsidRPr="00232923">
              <w:rPr>
                <w:rFonts w:asciiTheme="minorHAnsi" w:hAnsiTheme="minorHAnsi" w:cstheme="minorHAnsi"/>
              </w:rPr>
              <w:t>Company</w:t>
            </w:r>
          </w:p>
        </w:tc>
        <w:tc>
          <w:tcPr>
            <w:tcW w:w="0" w:type="auto"/>
          </w:tcPr>
          <w:p w14:paraId="42D38C66"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Confidential/</w:t>
            </w:r>
          </w:p>
          <w:p w14:paraId="48BDF501" w14:textId="77777777" w:rsidR="008373BD" w:rsidRPr="00232923" w:rsidRDefault="008373BD" w:rsidP="00232923">
            <w:pPr>
              <w:pStyle w:val="ColumnHeading"/>
              <w:rPr>
                <w:rFonts w:asciiTheme="minorHAnsi" w:hAnsiTheme="minorHAnsi" w:cstheme="minorHAnsi"/>
              </w:rPr>
            </w:pPr>
            <w:r w:rsidRPr="00232923">
              <w:rPr>
                <w:rFonts w:asciiTheme="minorHAnsi" w:hAnsiTheme="minorHAnsi" w:cstheme="minorHAnsi"/>
              </w:rPr>
              <w:t>Anonymous</w:t>
            </w:r>
          </w:p>
        </w:tc>
        <w:tc>
          <w:tcPr>
            <w:tcW w:w="0" w:type="auto"/>
          </w:tcPr>
          <w:p w14:paraId="3A6CF9EF" w14:textId="12547F45" w:rsidR="008373BD" w:rsidRPr="003903B5" w:rsidRDefault="008373BD" w:rsidP="00C53AD3">
            <w:pPr>
              <w:pStyle w:val="BodyTextNoSpacing"/>
              <w:numPr>
                <w:ilvl w:val="0"/>
                <w:numId w:val="5"/>
              </w:numPr>
              <w:rPr>
                <w:rFonts w:asciiTheme="minorHAnsi" w:hAnsiTheme="minorHAnsi" w:cstheme="minorHAnsi"/>
                <w:b/>
              </w:rPr>
            </w:pPr>
            <w:r w:rsidRPr="003903B5">
              <w:rPr>
                <w:rFonts w:asciiTheme="minorHAnsi" w:hAnsiTheme="minorHAnsi" w:cstheme="minorHAnsi"/>
                <w:b/>
              </w:rPr>
              <w:t>Will you be required to make any system changes as a consequence of this change proposal and if so what would be the cost and implementation time frame?</w:t>
            </w:r>
          </w:p>
        </w:tc>
        <w:tc>
          <w:tcPr>
            <w:tcW w:w="0" w:type="auto"/>
          </w:tcPr>
          <w:p w14:paraId="578F1BF1" w14:textId="4EF96B5B" w:rsidR="008373BD" w:rsidRPr="008373BD" w:rsidRDefault="008373BD" w:rsidP="00232923">
            <w:pPr>
              <w:pStyle w:val="BodyTextNoSpacing"/>
              <w:rPr>
                <w:rFonts w:asciiTheme="minorHAnsi" w:hAnsiTheme="minorHAnsi" w:cstheme="minorHAnsi"/>
                <w:b/>
                <w:lang w:val="en-GB"/>
              </w:rPr>
            </w:pPr>
            <w:r>
              <w:rPr>
                <w:rFonts w:asciiTheme="minorHAnsi" w:hAnsiTheme="minorHAnsi" w:cstheme="minorHAnsi"/>
                <w:b/>
                <w:lang w:val="en-GB"/>
              </w:rPr>
              <w:t>Working Group Comments</w:t>
            </w:r>
          </w:p>
        </w:tc>
      </w:tr>
      <w:tr w:rsidR="008373BD" w:rsidRPr="00232923" w14:paraId="1B336085" w14:textId="282FC831" w:rsidTr="008373BD">
        <w:tc>
          <w:tcPr>
            <w:tcW w:w="0" w:type="auto"/>
          </w:tcPr>
          <w:p w14:paraId="506BC34F"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BUUK Infrastructure</w:t>
            </w:r>
          </w:p>
        </w:tc>
        <w:tc>
          <w:tcPr>
            <w:tcW w:w="0" w:type="auto"/>
          </w:tcPr>
          <w:p w14:paraId="51307DF3"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4C5CB25C"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System costs would be required, but at present the value and timescales are unknown.</w:t>
            </w:r>
          </w:p>
        </w:tc>
        <w:tc>
          <w:tcPr>
            <w:tcW w:w="0" w:type="auto"/>
            <w:shd w:val="clear" w:color="auto" w:fill="E2EFD9" w:themeFill="accent6" w:themeFillTint="33"/>
          </w:tcPr>
          <w:p w14:paraId="4C1FB8E5" w14:textId="77777777" w:rsidR="008373BD" w:rsidRPr="003903B5" w:rsidRDefault="008373BD" w:rsidP="00232923">
            <w:pPr>
              <w:pStyle w:val="BodyText"/>
              <w:rPr>
                <w:rFonts w:cstheme="minorHAnsi"/>
              </w:rPr>
            </w:pPr>
          </w:p>
        </w:tc>
      </w:tr>
      <w:tr w:rsidR="008373BD" w:rsidRPr="00232923" w14:paraId="32A48D3B" w14:textId="780512C3" w:rsidTr="008373BD">
        <w:tc>
          <w:tcPr>
            <w:tcW w:w="0" w:type="auto"/>
          </w:tcPr>
          <w:p w14:paraId="1D0A93C7"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lastRenderedPageBreak/>
              <w:t>Electricity North West</w:t>
            </w:r>
          </w:p>
        </w:tc>
        <w:tc>
          <w:tcPr>
            <w:tcW w:w="0" w:type="auto"/>
          </w:tcPr>
          <w:p w14:paraId="39D3FB61"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45F9A06"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It is too early at this stage given the range of options being tabled to form a view on system changes that may be required, but we have not identified any significant changes to date.  </w:t>
            </w:r>
          </w:p>
        </w:tc>
        <w:tc>
          <w:tcPr>
            <w:tcW w:w="0" w:type="auto"/>
            <w:shd w:val="clear" w:color="auto" w:fill="E2EFD9" w:themeFill="accent6" w:themeFillTint="33"/>
          </w:tcPr>
          <w:p w14:paraId="75ADC06B" w14:textId="77777777" w:rsidR="008373BD" w:rsidRPr="003903B5" w:rsidRDefault="008373BD" w:rsidP="00232923">
            <w:pPr>
              <w:pStyle w:val="BodyText"/>
              <w:rPr>
                <w:rFonts w:cstheme="minorHAnsi"/>
              </w:rPr>
            </w:pPr>
          </w:p>
        </w:tc>
      </w:tr>
      <w:tr w:rsidR="008373BD" w:rsidRPr="00232923" w14:paraId="5CF18F4D" w14:textId="25BBB332" w:rsidTr="008373BD">
        <w:tc>
          <w:tcPr>
            <w:tcW w:w="0" w:type="auto"/>
          </w:tcPr>
          <w:p w14:paraId="6DCADAFC"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ESP Electricity Ltd</w:t>
            </w:r>
          </w:p>
        </w:tc>
        <w:tc>
          <w:tcPr>
            <w:tcW w:w="0" w:type="auto"/>
          </w:tcPr>
          <w:p w14:paraId="1A3FEB7D" w14:textId="77777777" w:rsidR="008373BD" w:rsidRPr="003903B5" w:rsidRDefault="008373BD" w:rsidP="00232923">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2139CA4B"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Yes. Costs are not known at this stage and would be dependent on the reporting</w:t>
            </w:r>
          </w:p>
          <w:p w14:paraId="41125558" w14:textId="77777777" w:rsidR="008373BD" w:rsidRPr="003903B5" w:rsidRDefault="008373BD" w:rsidP="00232923">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option (1 to 3) agreed upon. To create a new automated report is expected to be a minor change and, as a result, we do not expect a significant cost (in the region of £2K</w:t>
            </w:r>
          </w:p>
          <w:p w14:paraId="7760F059" w14:textId="77777777" w:rsidR="008373BD" w:rsidRPr="003903B5" w:rsidRDefault="008373BD" w:rsidP="00232923">
            <w:pPr>
              <w:pStyle w:val="BodyText"/>
              <w:rPr>
                <w:rFonts w:asciiTheme="minorHAnsi" w:hAnsiTheme="minorHAnsi" w:cstheme="minorHAnsi"/>
                <w:sz w:val="22"/>
                <w:szCs w:val="22"/>
              </w:rPr>
            </w:pPr>
            <w:r w:rsidRPr="003903B5">
              <w:rPr>
                <w:rFonts w:asciiTheme="minorHAnsi" w:hAnsiTheme="minorHAnsi" w:cstheme="minorHAnsi"/>
                <w:sz w:val="22"/>
                <w:szCs w:val="22"/>
              </w:rPr>
              <w:t>- £3k).</w:t>
            </w:r>
          </w:p>
        </w:tc>
        <w:tc>
          <w:tcPr>
            <w:tcW w:w="0" w:type="auto"/>
            <w:shd w:val="clear" w:color="auto" w:fill="E2EFD9" w:themeFill="accent6" w:themeFillTint="33"/>
          </w:tcPr>
          <w:p w14:paraId="2CD6556A" w14:textId="77777777" w:rsidR="008373BD" w:rsidRPr="003903B5" w:rsidRDefault="008373BD" w:rsidP="00232923">
            <w:pPr>
              <w:autoSpaceDE w:val="0"/>
              <w:autoSpaceDN w:val="0"/>
              <w:adjustRightInd w:val="0"/>
              <w:rPr>
                <w:rFonts w:cstheme="minorHAnsi"/>
              </w:rPr>
            </w:pPr>
          </w:p>
        </w:tc>
      </w:tr>
      <w:tr w:rsidR="008373BD" w:rsidRPr="00232923" w14:paraId="23C6B1B8" w14:textId="35978B97" w:rsidTr="008373BD">
        <w:tc>
          <w:tcPr>
            <w:tcW w:w="0" w:type="auto"/>
          </w:tcPr>
          <w:p w14:paraId="3A135850" w14:textId="0764E792" w:rsidR="008373BD" w:rsidRPr="003903B5" w:rsidRDefault="00AB0BD5" w:rsidP="003903B5">
            <w:pPr>
              <w:pStyle w:val="BodyTextNoSpacing"/>
              <w:rPr>
                <w:rFonts w:asciiTheme="minorHAnsi" w:hAnsiTheme="minorHAnsi" w:cstheme="minorHAnsi"/>
                <w:color w:val="FF0000"/>
                <w:sz w:val="22"/>
                <w:szCs w:val="22"/>
              </w:rPr>
            </w:pPr>
            <w:r>
              <w:rPr>
                <w:rFonts w:asciiTheme="minorHAnsi" w:hAnsiTheme="minorHAnsi" w:cstheme="minorHAnsi"/>
                <w:color w:val="FF0000"/>
                <w:sz w:val="22"/>
                <w:szCs w:val="22"/>
                <w:lang w:val="en-GB"/>
              </w:rPr>
              <w:t>Confidential</w:t>
            </w:r>
          </w:p>
        </w:tc>
        <w:tc>
          <w:tcPr>
            <w:tcW w:w="0" w:type="auto"/>
          </w:tcPr>
          <w:p w14:paraId="132FB8A7" w14:textId="54812BAF" w:rsidR="008373BD" w:rsidRPr="003903B5" w:rsidRDefault="008373BD" w:rsidP="003903B5">
            <w:pPr>
              <w:pStyle w:val="BodyTextNoSpacing"/>
              <w:rPr>
                <w:rFonts w:asciiTheme="minorHAnsi" w:hAnsiTheme="minorHAnsi" w:cstheme="minorHAnsi"/>
                <w:color w:val="FF0000"/>
                <w:sz w:val="22"/>
                <w:szCs w:val="22"/>
              </w:rPr>
            </w:pPr>
            <w:r w:rsidRPr="00B00177">
              <w:rPr>
                <w:rFonts w:asciiTheme="minorHAnsi" w:hAnsiTheme="minorHAnsi" w:cstheme="minorHAnsi"/>
                <w:color w:val="FF0000"/>
                <w:sz w:val="22"/>
                <w:szCs w:val="22"/>
              </w:rPr>
              <w:t>Confidential</w:t>
            </w:r>
          </w:p>
        </w:tc>
        <w:tc>
          <w:tcPr>
            <w:tcW w:w="0" w:type="auto"/>
          </w:tcPr>
          <w:p w14:paraId="28CB8C00" w14:textId="1C28851E" w:rsidR="008373BD" w:rsidRPr="00E13A30" w:rsidRDefault="005053C6" w:rsidP="003903B5">
            <w:pPr>
              <w:autoSpaceDE w:val="0"/>
              <w:autoSpaceDN w:val="0"/>
              <w:adjustRightInd w:val="0"/>
              <w:rPr>
                <w:rFonts w:asciiTheme="minorHAnsi" w:hAnsiTheme="minorHAnsi" w:cstheme="minorHAnsi"/>
                <w:color w:val="FF0000"/>
                <w:sz w:val="22"/>
                <w:szCs w:val="22"/>
                <w:lang w:val="en-GB"/>
              </w:rPr>
            </w:pPr>
            <w:r w:rsidRPr="00B00177">
              <w:rPr>
                <w:rFonts w:asciiTheme="minorHAnsi" w:hAnsiTheme="minorHAnsi" w:cstheme="minorHAnsi"/>
                <w:color w:val="FF0000"/>
                <w:sz w:val="22"/>
                <w:szCs w:val="22"/>
              </w:rPr>
              <w:t>Confidential</w:t>
            </w:r>
          </w:p>
        </w:tc>
        <w:tc>
          <w:tcPr>
            <w:tcW w:w="0" w:type="auto"/>
            <w:shd w:val="clear" w:color="auto" w:fill="E2EFD9" w:themeFill="accent6" w:themeFillTint="33"/>
          </w:tcPr>
          <w:p w14:paraId="11D2EFA8" w14:textId="77777777" w:rsidR="008373BD" w:rsidRPr="00B00177" w:rsidRDefault="008373BD" w:rsidP="003903B5">
            <w:pPr>
              <w:autoSpaceDE w:val="0"/>
              <w:autoSpaceDN w:val="0"/>
              <w:adjustRightInd w:val="0"/>
              <w:rPr>
                <w:rFonts w:cstheme="minorHAnsi"/>
                <w:color w:val="FF0000"/>
              </w:rPr>
            </w:pPr>
          </w:p>
        </w:tc>
      </w:tr>
      <w:tr w:rsidR="008373BD" w:rsidRPr="00232923" w14:paraId="0B05D132" w14:textId="6440C4AA" w:rsidTr="008373BD">
        <w:tc>
          <w:tcPr>
            <w:tcW w:w="0" w:type="auto"/>
          </w:tcPr>
          <w:p w14:paraId="189CB1E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Northern Powergrid</w:t>
            </w:r>
          </w:p>
        </w:tc>
        <w:tc>
          <w:tcPr>
            <w:tcW w:w="0" w:type="auto"/>
          </w:tcPr>
          <w:p w14:paraId="4E614DB2"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05EE85A7"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No.</w:t>
            </w:r>
          </w:p>
          <w:p w14:paraId="2A89FEEF"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We will generate this credit separately from our DUoS billing system in order to avoid reducing billed revenue and so creating under-recovery. Whilst this precludes the need for system changes, it is a manual process with the associated risk of error.</w:t>
            </w:r>
          </w:p>
        </w:tc>
        <w:tc>
          <w:tcPr>
            <w:tcW w:w="0" w:type="auto"/>
            <w:shd w:val="clear" w:color="auto" w:fill="E2EFD9" w:themeFill="accent6" w:themeFillTint="33"/>
          </w:tcPr>
          <w:p w14:paraId="23C59649" w14:textId="77777777" w:rsidR="008373BD" w:rsidRPr="003903B5" w:rsidRDefault="008373BD" w:rsidP="003903B5">
            <w:pPr>
              <w:pStyle w:val="BodyText"/>
              <w:rPr>
                <w:rFonts w:cstheme="minorHAnsi"/>
              </w:rPr>
            </w:pPr>
          </w:p>
        </w:tc>
      </w:tr>
      <w:tr w:rsidR="008373BD" w:rsidRPr="00232923" w14:paraId="52A53F92" w14:textId="6E2330E7" w:rsidTr="008373BD">
        <w:tc>
          <w:tcPr>
            <w:tcW w:w="0" w:type="auto"/>
          </w:tcPr>
          <w:p w14:paraId="793731B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Southern Electric Power Distribution plc and Scottish Hydro Electric Power Distribution plc</w:t>
            </w:r>
          </w:p>
        </w:tc>
        <w:tc>
          <w:tcPr>
            <w:tcW w:w="0" w:type="auto"/>
          </w:tcPr>
          <w:p w14:paraId="557C4A45"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Non-confidential</w:t>
            </w:r>
          </w:p>
        </w:tc>
        <w:tc>
          <w:tcPr>
            <w:tcW w:w="0" w:type="auto"/>
          </w:tcPr>
          <w:p w14:paraId="1C3A29D6"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We do not believe that our billing system can accommodate the processes that this CP would necessitate, and that significant manual processing would be involved in the event of a claim. Whilst we broadly support the case for an IDNO bad debt recovery mechanism, the cumbersome mechanics of processing any claims that may arise concern us and are a notably unwelcome aspect of the proposal, in our view. </w:t>
            </w:r>
          </w:p>
          <w:p w14:paraId="7E63B860"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The implementation issues that we foresee further strengthen our view that the CP can only be considered a short-term solution and that an alternative enduring solution, independent of all DNO involvement, is imperative.</w:t>
            </w:r>
          </w:p>
        </w:tc>
        <w:tc>
          <w:tcPr>
            <w:tcW w:w="0" w:type="auto"/>
            <w:shd w:val="clear" w:color="auto" w:fill="E2EFD9" w:themeFill="accent6" w:themeFillTint="33"/>
          </w:tcPr>
          <w:p w14:paraId="57180B92" w14:textId="77777777" w:rsidR="008373BD" w:rsidRPr="003903B5" w:rsidRDefault="008373BD" w:rsidP="003903B5">
            <w:pPr>
              <w:pStyle w:val="BodyText"/>
              <w:rPr>
                <w:rFonts w:cstheme="minorHAnsi"/>
              </w:rPr>
            </w:pPr>
          </w:p>
        </w:tc>
      </w:tr>
      <w:tr w:rsidR="008373BD" w:rsidRPr="00232923" w14:paraId="71E6DC46" w14:textId="5080D168" w:rsidTr="008373BD">
        <w:tc>
          <w:tcPr>
            <w:tcW w:w="0" w:type="auto"/>
          </w:tcPr>
          <w:p w14:paraId="2884B841"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SP Distribution and SP Manweb</w:t>
            </w:r>
          </w:p>
        </w:tc>
        <w:tc>
          <w:tcPr>
            <w:tcW w:w="0" w:type="auto"/>
          </w:tcPr>
          <w:p w14:paraId="069D64E4"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Non-confidential</w:t>
            </w:r>
          </w:p>
        </w:tc>
        <w:tc>
          <w:tcPr>
            <w:tcW w:w="0" w:type="auto"/>
          </w:tcPr>
          <w:p w14:paraId="5F34390C"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 xml:space="preserve">Based on a high level impact assessment from our IT service partners we understand that significant changes would be required to align our billing, credit management and debt management processes and systems to automatically handle the proposed changes and to this end costs may be prohibitive.   To implement a work around is therefore going to </w:t>
            </w:r>
            <w:r w:rsidRPr="003903B5">
              <w:rPr>
                <w:rFonts w:asciiTheme="minorHAnsi" w:hAnsiTheme="minorHAnsi" w:cstheme="minorHAnsi"/>
                <w:sz w:val="22"/>
                <w:szCs w:val="22"/>
              </w:rPr>
              <w:lastRenderedPageBreak/>
              <w:t xml:space="preserve">incur an increased level of effort and cost in order to receive, validate, process and administer claims manually.  </w:t>
            </w:r>
          </w:p>
          <w:p w14:paraId="717D605E" w14:textId="77777777" w:rsidR="008373BD" w:rsidRPr="003903B5" w:rsidRDefault="008373BD" w:rsidP="003903B5">
            <w:pPr>
              <w:pStyle w:val="BodyTextNoSpacing"/>
              <w:rPr>
                <w:rFonts w:asciiTheme="minorHAnsi" w:hAnsiTheme="minorHAnsi" w:cstheme="minorHAnsi"/>
                <w:sz w:val="22"/>
                <w:szCs w:val="22"/>
              </w:rPr>
            </w:pPr>
            <w:r w:rsidRPr="003903B5">
              <w:rPr>
                <w:rFonts w:asciiTheme="minorHAnsi" w:hAnsiTheme="minorHAnsi" w:cstheme="minorHAnsi"/>
                <w:sz w:val="22"/>
                <w:szCs w:val="22"/>
              </w:rPr>
              <w:t>A further level of detailed analysis would need to be carried out in order establish the cost associated with the proposal as it stands.</w:t>
            </w:r>
          </w:p>
        </w:tc>
        <w:tc>
          <w:tcPr>
            <w:tcW w:w="0" w:type="auto"/>
            <w:shd w:val="clear" w:color="auto" w:fill="E2EFD9" w:themeFill="accent6" w:themeFillTint="33"/>
          </w:tcPr>
          <w:p w14:paraId="78EE55CC" w14:textId="77777777" w:rsidR="008373BD" w:rsidRPr="003903B5" w:rsidRDefault="008373BD" w:rsidP="003903B5">
            <w:pPr>
              <w:pStyle w:val="BodyText"/>
              <w:rPr>
                <w:rFonts w:cstheme="minorHAnsi"/>
              </w:rPr>
            </w:pPr>
          </w:p>
        </w:tc>
      </w:tr>
      <w:tr w:rsidR="008373BD" w:rsidRPr="00232923" w14:paraId="622F9A01" w14:textId="6A5E7D33" w:rsidTr="008373BD">
        <w:tc>
          <w:tcPr>
            <w:tcW w:w="0" w:type="auto"/>
          </w:tcPr>
          <w:p w14:paraId="409D5973"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UK Power Networks</w:t>
            </w:r>
          </w:p>
        </w:tc>
        <w:tc>
          <w:tcPr>
            <w:tcW w:w="0" w:type="auto"/>
          </w:tcPr>
          <w:p w14:paraId="6F7D5988"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Non-confidential</w:t>
            </w:r>
          </w:p>
        </w:tc>
        <w:tc>
          <w:tcPr>
            <w:tcW w:w="0" w:type="auto"/>
          </w:tcPr>
          <w:p w14:paraId="36E09E8F" w14:textId="77777777" w:rsidR="008373BD" w:rsidRPr="003903B5" w:rsidRDefault="008373BD" w:rsidP="003903B5">
            <w:pPr>
              <w:pStyle w:val="BodyText"/>
              <w:rPr>
                <w:rFonts w:asciiTheme="minorHAnsi" w:hAnsiTheme="minorHAnsi" w:cstheme="minorHAnsi"/>
                <w:sz w:val="22"/>
                <w:szCs w:val="22"/>
              </w:rPr>
            </w:pPr>
            <w:r w:rsidRPr="003903B5">
              <w:rPr>
                <w:rFonts w:asciiTheme="minorHAnsi" w:hAnsiTheme="minorHAnsi" w:cstheme="minorHAnsi"/>
                <w:sz w:val="22"/>
                <w:szCs w:val="22"/>
              </w:rPr>
              <w:t>There will be system changes we would need to make, but these will not be material.</w:t>
            </w:r>
          </w:p>
        </w:tc>
        <w:tc>
          <w:tcPr>
            <w:tcW w:w="0" w:type="auto"/>
            <w:shd w:val="clear" w:color="auto" w:fill="E2EFD9" w:themeFill="accent6" w:themeFillTint="33"/>
          </w:tcPr>
          <w:p w14:paraId="45F604BD" w14:textId="77777777" w:rsidR="008373BD" w:rsidRPr="003903B5" w:rsidRDefault="008373BD" w:rsidP="003903B5">
            <w:pPr>
              <w:pStyle w:val="BodyText"/>
              <w:rPr>
                <w:rFonts w:cstheme="minorHAnsi"/>
              </w:rPr>
            </w:pPr>
          </w:p>
        </w:tc>
      </w:tr>
      <w:tr w:rsidR="008373BD" w:rsidRPr="00232923" w14:paraId="308F5D33" w14:textId="0A20A021" w:rsidTr="008373BD">
        <w:tc>
          <w:tcPr>
            <w:tcW w:w="0" w:type="auto"/>
          </w:tcPr>
          <w:p w14:paraId="57341232"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Western Power Distribution</w:t>
            </w:r>
          </w:p>
        </w:tc>
        <w:tc>
          <w:tcPr>
            <w:tcW w:w="0" w:type="auto"/>
          </w:tcPr>
          <w:p w14:paraId="03AAEF58" w14:textId="77777777" w:rsidR="008373BD" w:rsidRPr="00232923" w:rsidRDefault="008373BD" w:rsidP="003903B5">
            <w:pPr>
              <w:pStyle w:val="BodyTextNoSpacing"/>
              <w:rPr>
                <w:rFonts w:asciiTheme="minorHAnsi" w:hAnsiTheme="minorHAnsi" w:cstheme="minorHAnsi"/>
              </w:rPr>
            </w:pPr>
            <w:r w:rsidRPr="00232923">
              <w:rPr>
                <w:rFonts w:asciiTheme="minorHAnsi" w:hAnsiTheme="minorHAnsi" w:cstheme="minorHAnsi"/>
              </w:rPr>
              <w:t>Non-confidential</w:t>
            </w:r>
          </w:p>
        </w:tc>
        <w:tc>
          <w:tcPr>
            <w:tcW w:w="0" w:type="auto"/>
          </w:tcPr>
          <w:p w14:paraId="4FACBB04" w14:textId="77777777" w:rsidR="008373BD" w:rsidRPr="003903B5" w:rsidRDefault="008373BD" w:rsidP="003903B5">
            <w:pPr>
              <w:autoSpaceDE w:val="0"/>
              <w:autoSpaceDN w:val="0"/>
              <w:adjustRightInd w:val="0"/>
              <w:rPr>
                <w:rFonts w:asciiTheme="minorHAnsi" w:hAnsiTheme="minorHAnsi" w:cstheme="minorHAnsi"/>
                <w:sz w:val="22"/>
                <w:szCs w:val="22"/>
              </w:rPr>
            </w:pPr>
            <w:r w:rsidRPr="003903B5">
              <w:rPr>
                <w:rFonts w:asciiTheme="minorHAnsi" w:hAnsiTheme="minorHAnsi" w:cstheme="minorHAnsi"/>
                <w:sz w:val="22"/>
                <w:szCs w:val="22"/>
              </w:rPr>
              <w:t>No – the costs associated with processing this data in DURABILL would not be justified. , therefore we would have to validate the charges with a manual process</w:t>
            </w:r>
          </w:p>
        </w:tc>
        <w:tc>
          <w:tcPr>
            <w:tcW w:w="0" w:type="auto"/>
            <w:shd w:val="clear" w:color="auto" w:fill="E2EFD9" w:themeFill="accent6" w:themeFillTint="33"/>
          </w:tcPr>
          <w:p w14:paraId="20ABC0D2" w14:textId="77777777" w:rsidR="008373BD" w:rsidRPr="003903B5" w:rsidRDefault="008373BD" w:rsidP="003903B5">
            <w:pPr>
              <w:autoSpaceDE w:val="0"/>
              <w:autoSpaceDN w:val="0"/>
              <w:adjustRightInd w:val="0"/>
              <w:rPr>
                <w:rFonts w:cstheme="minorHAnsi"/>
              </w:rPr>
            </w:pPr>
          </w:p>
        </w:tc>
      </w:tr>
      <w:tr w:rsidR="00C53AD3" w:rsidRPr="00232923" w14:paraId="061393F2" w14:textId="77777777" w:rsidTr="00C53AD3">
        <w:tc>
          <w:tcPr>
            <w:tcW w:w="0" w:type="auto"/>
            <w:gridSpan w:val="4"/>
            <w:shd w:val="clear" w:color="auto" w:fill="E2EFD9" w:themeFill="accent6" w:themeFillTint="33"/>
          </w:tcPr>
          <w:p w14:paraId="3968D72C" w14:textId="77777777" w:rsidR="00C53AD3" w:rsidRPr="003903B5" w:rsidRDefault="00C53AD3" w:rsidP="003903B5">
            <w:pPr>
              <w:autoSpaceDE w:val="0"/>
              <w:autoSpaceDN w:val="0"/>
              <w:adjustRightInd w:val="0"/>
              <w:rPr>
                <w:rFonts w:cstheme="minorHAnsi"/>
              </w:rPr>
            </w:pPr>
          </w:p>
        </w:tc>
      </w:tr>
      <w:bookmarkEnd w:id="18"/>
    </w:tbl>
    <w:p w14:paraId="6516E766" w14:textId="4C406070" w:rsidR="00282AE5" w:rsidRDefault="00282AE5">
      <w:pPr>
        <w:rPr>
          <w:rFonts w:cstheme="minorHAnsi"/>
        </w:rPr>
      </w:pPr>
    </w:p>
    <w:p w14:paraId="5CC076D6" w14:textId="5E9BDAE3" w:rsidR="009135A2" w:rsidRDefault="009135A2">
      <w:pPr>
        <w:rPr>
          <w:rFonts w:cstheme="minorHAnsi"/>
        </w:rPr>
      </w:pPr>
    </w:p>
    <w:sectPr w:rsidR="009135A2" w:rsidSect="00232923">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8A0E" w14:textId="77777777" w:rsidR="00327CC4" w:rsidRDefault="00327CC4" w:rsidP="00232923">
      <w:pPr>
        <w:spacing w:after="0" w:line="240" w:lineRule="auto"/>
      </w:pPr>
      <w:r>
        <w:separator/>
      </w:r>
    </w:p>
  </w:endnote>
  <w:endnote w:type="continuationSeparator" w:id="0">
    <w:p w14:paraId="41ADDFC5" w14:textId="77777777" w:rsidR="00327CC4" w:rsidRDefault="00327CC4" w:rsidP="00232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168E" w14:textId="255BF965" w:rsidR="00437E0F" w:rsidRDefault="00437E0F" w:rsidP="00437E0F">
    <w:pPr>
      <w:pStyle w:val="Footer"/>
      <w:tabs>
        <w:tab w:val="clear" w:pos="4513"/>
        <w:tab w:val="clear" w:pos="9026"/>
        <w:tab w:val="right" w:pos="13958"/>
      </w:tabs>
    </w:pPr>
    <w:r>
      <w:t>25 September 2018</w:t>
    </w:r>
    <w:r>
      <w:tab/>
      <w:t>Consultation Responses DCP314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7284" w14:textId="77777777" w:rsidR="00327CC4" w:rsidRDefault="00327CC4" w:rsidP="00232923">
      <w:pPr>
        <w:spacing w:after="0" w:line="240" w:lineRule="auto"/>
      </w:pPr>
      <w:r>
        <w:separator/>
      </w:r>
    </w:p>
  </w:footnote>
  <w:footnote w:type="continuationSeparator" w:id="0">
    <w:p w14:paraId="5CBF797A" w14:textId="77777777" w:rsidR="00327CC4" w:rsidRDefault="00327CC4" w:rsidP="002329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371"/>
    <w:multiLevelType w:val="hybridMultilevel"/>
    <w:tmpl w:val="322E7B6C"/>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 w15:restartNumberingAfterBreak="0">
    <w:nsid w:val="24EF17DB"/>
    <w:multiLevelType w:val="hybridMultilevel"/>
    <w:tmpl w:val="1F705D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15494D"/>
    <w:multiLevelType w:val="hybridMultilevel"/>
    <w:tmpl w:val="6F6AA8B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A294F29"/>
    <w:multiLevelType w:val="hybridMultilevel"/>
    <w:tmpl w:val="21784A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923"/>
    <w:rsid w:val="00094FAC"/>
    <w:rsid w:val="001023D2"/>
    <w:rsid w:val="00232923"/>
    <w:rsid w:val="00282AE5"/>
    <w:rsid w:val="002E3B43"/>
    <w:rsid w:val="00327CC4"/>
    <w:rsid w:val="003903B5"/>
    <w:rsid w:val="00437E0F"/>
    <w:rsid w:val="004B31EA"/>
    <w:rsid w:val="005053C6"/>
    <w:rsid w:val="005A792C"/>
    <w:rsid w:val="006F02CC"/>
    <w:rsid w:val="008373BD"/>
    <w:rsid w:val="009135A2"/>
    <w:rsid w:val="00AB0BD5"/>
    <w:rsid w:val="00B01614"/>
    <w:rsid w:val="00C44BD2"/>
    <w:rsid w:val="00C53AD3"/>
    <w:rsid w:val="00E13A30"/>
    <w:rsid w:val="00E55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CEB7F"/>
  <w15:chartTrackingRefBased/>
  <w15:docId w15:val="{97622C29-E6B1-470A-BCD0-525BE592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6">
    <w:name w:val="heading 6"/>
    <w:basedOn w:val="Normal"/>
    <w:next w:val="BodyText"/>
    <w:link w:val="Heading6Char"/>
    <w:semiHidden/>
    <w:qFormat/>
    <w:rsid w:val="00232923"/>
    <w:pPr>
      <w:keepNext/>
      <w:keepLines/>
      <w:spacing w:before="200" w:after="100" w:line="240" w:lineRule="auto"/>
      <w:outlineLvl w:val="5"/>
    </w:pPr>
    <w:rPr>
      <w:rFonts w:asciiTheme="majorHAnsi" w:eastAsiaTheme="majorEastAsia" w:hAnsiTheme="majorHAnsi" w:cstheme="majorBidi"/>
      <w:b/>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2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232923"/>
    <w:pPr>
      <w:spacing w:after="0" w:line="240" w:lineRule="atLeast"/>
    </w:pPr>
    <w:rPr>
      <w:rFonts w:ascii="Verdana" w:hAnsi="Verdana"/>
      <w:sz w:val="20"/>
      <w:szCs w:val="24"/>
    </w:rPr>
  </w:style>
  <w:style w:type="paragraph" w:styleId="BodyText">
    <w:name w:val="Body Text"/>
    <w:basedOn w:val="Normal"/>
    <w:link w:val="BodyTextChar"/>
    <w:unhideWhenUsed/>
    <w:qFormat/>
    <w:rsid w:val="00232923"/>
    <w:pPr>
      <w:spacing w:after="120"/>
    </w:pPr>
  </w:style>
  <w:style w:type="character" w:customStyle="1" w:styleId="BodyTextChar">
    <w:name w:val="Body Text Char"/>
    <w:basedOn w:val="DefaultParagraphFont"/>
    <w:link w:val="BodyText"/>
    <w:rsid w:val="00232923"/>
  </w:style>
  <w:style w:type="table" w:customStyle="1" w:styleId="ElectralinkResponseTable">
    <w:name w:val="Electralink Response Table"/>
    <w:basedOn w:val="TableNormal"/>
    <w:uiPriority w:val="99"/>
    <w:rsid w:val="00232923"/>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232923"/>
    <w:pPr>
      <w:spacing w:after="0" w:line="240" w:lineRule="auto"/>
    </w:pPr>
    <w:rPr>
      <w:rFonts w:ascii="Verdana" w:hAnsi="Verdana"/>
      <w:b/>
      <w:sz w:val="20"/>
      <w:szCs w:val="24"/>
    </w:rPr>
  </w:style>
  <w:style w:type="numbering" w:customStyle="1" w:styleId="BulletList">
    <w:name w:val="Bullet List"/>
    <w:basedOn w:val="NoList"/>
    <w:uiPriority w:val="99"/>
    <w:rsid w:val="00232923"/>
    <w:pPr>
      <w:numPr>
        <w:numId w:val="1"/>
      </w:numPr>
    </w:pPr>
  </w:style>
  <w:style w:type="paragraph" w:styleId="ListBullet">
    <w:name w:val="List Bullet"/>
    <w:basedOn w:val="BodyText"/>
    <w:qFormat/>
    <w:rsid w:val="00232923"/>
    <w:pPr>
      <w:numPr>
        <w:numId w:val="1"/>
      </w:numPr>
      <w:spacing w:after="200" w:line="240" w:lineRule="atLeast"/>
    </w:pPr>
    <w:rPr>
      <w:rFonts w:ascii="Verdana" w:hAnsi="Verdana"/>
      <w:sz w:val="20"/>
      <w:szCs w:val="24"/>
    </w:rPr>
  </w:style>
  <w:style w:type="paragraph" w:styleId="ListBullet2">
    <w:name w:val="List Bullet 2"/>
    <w:basedOn w:val="BodyText"/>
    <w:qFormat/>
    <w:rsid w:val="00232923"/>
    <w:pPr>
      <w:numPr>
        <w:ilvl w:val="1"/>
        <w:numId w:val="1"/>
      </w:numPr>
      <w:spacing w:after="200" w:line="240" w:lineRule="atLeast"/>
    </w:pPr>
    <w:rPr>
      <w:rFonts w:ascii="Verdana" w:hAnsi="Verdana"/>
      <w:sz w:val="20"/>
      <w:szCs w:val="24"/>
    </w:rPr>
  </w:style>
  <w:style w:type="character" w:styleId="CommentReference">
    <w:name w:val="annotation reference"/>
    <w:basedOn w:val="DefaultParagraphFont"/>
    <w:uiPriority w:val="99"/>
    <w:semiHidden/>
    <w:unhideWhenUsed/>
    <w:rsid w:val="00232923"/>
    <w:rPr>
      <w:sz w:val="16"/>
      <w:szCs w:val="16"/>
    </w:rPr>
  </w:style>
  <w:style w:type="paragraph" w:styleId="CommentText">
    <w:name w:val="annotation text"/>
    <w:basedOn w:val="Normal"/>
    <w:link w:val="CommentTextChar"/>
    <w:uiPriority w:val="99"/>
    <w:semiHidden/>
    <w:unhideWhenUsed/>
    <w:rsid w:val="00232923"/>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semiHidden/>
    <w:rsid w:val="00232923"/>
    <w:rPr>
      <w:rFonts w:ascii="Verdana" w:hAnsi="Verdana"/>
      <w:sz w:val="20"/>
      <w:szCs w:val="20"/>
    </w:rPr>
  </w:style>
  <w:style w:type="paragraph" w:styleId="NormalWeb">
    <w:name w:val="Normal (Web)"/>
    <w:basedOn w:val="Normal"/>
    <w:uiPriority w:val="99"/>
    <w:unhideWhenUsed/>
    <w:rsid w:val="00232923"/>
    <w:pPr>
      <w:spacing w:after="0" w:line="240" w:lineRule="auto"/>
    </w:pPr>
    <w:rPr>
      <w:rFonts w:ascii="Calibri" w:eastAsia="Times New Roman" w:hAnsi="Calibri" w:cs="Calibri"/>
      <w:lang w:eastAsia="en-GB"/>
    </w:rPr>
  </w:style>
  <w:style w:type="character" w:customStyle="1" w:styleId="Heading6Char">
    <w:name w:val="Heading 6 Char"/>
    <w:basedOn w:val="DefaultParagraphFont"/>
    <w:link w:val="Heading6"/>
    <w:semiHidden/>
    <w:rsid w:val="00232923"/>
    <w:rPr>
      <w:rFonts w:asciiTheme="majorHAnsi" w:eastAsiaTheme="majorEastAsia" w:hAnsiTheme="majorHAnsi" w:cstheme="majorBidi"/>
      <w:b/>
      <w:sz w:val="20"/>
      <w:szCs w:val="24"/>
    </w:rPr>
  </w:style>
  <w:style w:type="paragraph" w:customStyle="1" w:styleId="Default">
    <w:name w:val="Default"/>
    <w:rsid w:val="0023292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2329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923"/>
    <w:rPr>
      <w:rFonts w:ascii="Segoe UI" w:hAnsi="Segoe UI" w:cs="Segoe UI"/>
      <w:sz w:val="18"/>
      <w:szCs w:val="18"/>
    </w:rPr>
  </w:style>
  <w:style w:type="paragraph" w:styleId="Header">
    <w:name w:val="header"/>
    <w:basedOn w:val="Normal"/>
    <w:link w:val="HeaderChar"/>
    <w:uiPriority w:val="99"/>
    <w:unhideWhenUsed/>
    <w:rsid w:val="00232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2923"/>
  </w:style>
  <w:style w:type="paragraph" w:styleId="Footer">
    <w:name w:val="footer"/>
    <w:basedOn w:val="Normal"/>
    <w:link w:val="FooterChar"/>
    <w:uiPriority w:val="99"/>
    <w:unhideWhenUsed/>
    <w:rsid w:val="00232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2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376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3C50-1FE7-47D3-B7A9-CF7AA055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7900</Words>
  <Characters>45033</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Neyroud</dc:creator>
  <cp:keywords/>
  <dc:description/>
  <cp:lastModifiedBy>Huw Neyroud</cp:lastModifiedBy>
  <cp:revision>8</cp:revision>
  <dcterms:created xsi:type="dcterms:W3CDTF">2018-09-25T08:16:00Z</dcterms:created>
  <dcterms:modified xsi:type="dcterms:W3CDTF">2018-09-26T09:08:00Z</dcterms:modified>
</cp:coreProperties>
</file>