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page" w:horzAnchor="page" w:tblpX="775" w:tblpY="1474"/>
        <w:tblW w:w="10134" w:type="dxa"/>
        <w:shd w:val="clear" w:color="auto" w:fill="CCE0DA"/>
        <w:tblLayout w:type="fixed"/>
        <w:tblCellMar>
          <w:left w:w="0" w:type="dxa"/>
          <w:right w:w="0" w:type="dxa"/>
        </w:tblCellMar>
        <w:tblLook w:val="01E0" w:firstRow="1" w:lastRow="1" w:firstColumn="1" w:lastColumn="1" w:noHBand="0" w:noVBand="0"/>
      </w:tblPr>
      <w:tblGrid>
        <w:gridCol w:w="913"/>
        <w:gridCol w:w="7060"/>
        <w:gridCol w:w="2161"/>
      </w:tblGrid>
      <w:tr w:rsidR="006F19E3" w:rsidRPr="00EB32BB" w14:paraId="1F25EBC1" w14:textId="77777777" w:rsidTr="00AF7744">
        <w:trPr>
          <w:trHeight w:val="826"/>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0096D7"/>
          </w:tcPr>
          <w:p w14:paraId="50EC4D17" w14:textId="77777777" w:rsidR="005079E0" w:rsidRPr="00EB32BB" w:rsidRDefault="00407BD8" w:rsidP="00327CE7">
            <w:pPr>
              <w:pStyle w:val="Header"/>
              <w:spacing w:before="0" w:after="0"/>
              <w:ind w:left="-284"/>
              <w:rPr>
                <w:rFonts w:cs="Arial"/>
              </w:rPr>
            </w:pPr>
            <w:r>
              <w:rPr>
                <w:rFonts w:cs="Arial"/>
              </w:rPr>
              <w:t xml:space="preserve">  </w:t>
            </w:r>
            <w:r w:rsidR="00CA136E">
              <w:rPr>
                <w:rFonts w:cs="Arial"/>
              </w:rPr>
              <w:tab/>
            </w:r>
          </w:p>
          <w:p w14:paraId="145639CF" w14:textId="77777777" w:rsidR="006F19E3" w:rsidRPr="00F20FAB" w:rsidRDefault="00ED0E84" w:rsidP="00327CE7">
            <w:pPr>
              <w:tabs>
                <w:tab w:val="left" w:pos="2901"/>
              </w:tabs>
              <w:spacing w:before="240" w:after="240"/>
              <w:ind w:left="113"/>
              <w:rPr>
                <w:rFonts w:cs="Arial"/>
                <w:b/>
                <w:color w:val="FFFFFF"/>
                <w:sz w:val="28"/>
                <w:szCs w:val="28"/>
              </w:rPr>
            </w:pPr>
            <w:r>
              <w:rPr>
                <w:rFonts w:cs="Arial"/>
                <w:b/>
                <w:color w:val="FFFFFF"/>
                <w:sz w:val="28"/>
                <w:szCs w:val="28"/>
              </w:rPr>
              <w:t xml:space="preserve">DCUSA </w:t>
            </w:r>
            <w:r w:rsidR="00CA136E">
              <w:rPr>
                <w:rFonts w:cs="Arial"/>
                <w:b/>
                <w:color w:val="FFFFFF"/>
                <w:sz w:val="28"/>
                <w:szCs w:val="28"/>
              </w:rPr>
              <w:t>Consultation</w:t>
            </w:r>
          </w:p>
        </w:tc>
        <w:tc>
          <w:tcPr>
            <w:tcW w:w="2161" w:type="dxa"/>
            <w:tcBorders>
              <w:top w:val="single" w:sz="4" w:space="0" w:color="4A8958"/>
              <w:left w:val="single" w:sz="4" w:space="0" w:color="4A8958"/>
              <w:bottom w:val="single" w:sz="4" w:space="0" w:color="4A8958"/>
              <w:right w:val="single" w:sz="4" w:space="0" w:color="4A8958"/>
            </w:tcBorders>
            <w:shd w:val="clear" w:color="auto" w:fill="0096D7"/>
          </w:tcPr>
          <w:p w14:paraId="4AF4747E" w14:textId="77777777" w:rsidR="006F19E3" w:rsidRPr="00EB32BB" w:rsidRDefault="006F19E3" w:rsidP="00327CE7">
            <w:pPr>
              <w:pStyle w:val="BlockText"/>
              <w:spacing w:line="240" w:lineRule="auto"/>
              <w:ind w:left="57" w:right="-57"/>
              <w:rPr>
                <w:rFonts w:cs="Arial"/>
                <w:sz w:val="20"/>
                <w:szCs w:val="20"/>
              </w:rPr>
            </w:pPr>
            <w:r w:rsidRPr="00EB32BB">
              <w:rPr>
                <w:rFonts w:cs="Arial"/>
                <w:sz w:val="20"/>
                <w:szCs w:val="20"/>
              </w:rPr>
              <w:t>At what stage is this document in the process?</w:t>
            </w:r>
          </w:p>
        </w:tc>
      </w:tr>
      <w:tr w:rsidR="006F19E3" w:rsidRPr="00EB32BB" w14:paraId="41C2997C" w14:textId="77777777" w:rsidTr="006F19E3">
        <w:trPr>
          <w:trHeight w:val="2725"/>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auto"/>
          </w:tcPr>
          <w:p w14:paraId="0CD206C2" w14:textId="13934CEB" w:rsidR="006F19E3" w:rsidRPr="00EB32BB" w:rsidRDefault="00245D7E" w:rsidP="00327CE7">
            <w:pPr>
              <w:ind w:left="113" w:right="113"/>
              <w:rPr>
                <w:rFonts w:cs="Arial"/>
                <w:i/>
                <w:color w:val="00B274"/>
                <w:sz w:val="24"/>
              </w:rPr>
            </w:pPr>
            <w:r>
              <w:rPr>
                <w:rFonts w:cs="Arial"/>
                <w:color w:val="008576"/>
                <w:sz w:val="80"/>
                <w:szCs w:val="80"/>
              </w:rPr>
              <w:t>DCP 3</w:t>
            </w:r>
            <w:r w:rsidR="00BB724F">
              <w:rPr>
                <w:rFonts w:cs="Arial"/>
                <w:color w:val="008576"/>
                <w:sz w:val="80"/>
                <w:szCs w:val="80"/>
              </w:rPr>
              <w:t>45</w:t>
            </w:r>
          </w:p>
          <w:p w14:paraId="705A0A6E" w14:textId="16528E7F" w:rsidR="00A340FA" w:rsidRDefault="00BB724F" w:rsidP="00327CE7">
            <w:pPr>
              <w:ind w:left="113" w:right="113"/>
              <w:rPr>
                <w:rFonts w:cs="Arial"/>
                <w:color w:val="008000"/>
                <w:sz w:val="48"/>
                <w:szCs w:val="48"/>
              </w:rPr>
            </w:pPr>
            <w:r>
              <w:rPr>
                <w:rFonts w:cs="Arial"/>
                <w:color w:val="008000"/>
                <w:sz w:val="48"/>
                <w:szCs w:val="48"/>
              </w:rPr>
              <w:t>Sandbox Application</w:t>
            </w:r>
          </w:p>
          <w:p w14:paraId="783169E3" w14:textId="77777777" w:rsidR="00BB724F" w:rsidRDefault="00BB724F" w:rsidP="00327CE7">
            <w:pPr>
              <w:ind w:left="113" w:right="113"/>
              <w:rPr>
                <w:rFonts w:cs="Arial"/>
                <w:color w:val="008000"/>
                <w:sz w:val="48"/>
                <w:szCs w:val="48"/>
              </w:rPr>
            </w:pPr>
          </w:p>
          <w:p w14:paraId="494F0284" w14:textId="6F402430" w:rsidR="00D93A95" w:rsidRPr="00EB32BB" w:rsidRDefault="00857BF6" w:rsidP="00327CE7">
            <w:pPr>
              <w:ind w:left="113" w:right="113"/>
              <w:rPr>
                <w:rFonts w:cs="Arial"/>
                <w:i/>
                <w:color w:val="00B274"/>
                <w:sz w:val="24"/>
              </w:rPr>
            </w:pPr>
            <w:r>
              <w:rPr>
                <w:rFonts w:cs="Arial"/>
                <w:i/>
                <w:color w:val="00B274"/>
                <w:sz w:val="24"/>
              </w:rPr>
              <w:t>R</w:t>
            </w:r>
            <w:r w:rsidR="00370895">
              <w:rPr>
                <w:rFonts w:cs="Arial"/>
                <w:i/>
                <w:color w:val="00B274"/>
                <w:sz w:val="24"/>
              </w:rPr>
              <w:t>aised</w:t>
            </w:r>
            <w:r w:rsidR="00A340FA">
              <w:rPr>
                <w:rFonts w:cs="Arial"/>
                <w:i/>
                <w:color w:val="00B274"/>
                <w:sz w:val="24"/>
              </w:rPr>
              <w:t xml:space="preserve"> on the </w:t>
            </w:r>
            <w:r w:rsidR="00BB724F">
              <w:rPr>
                <w:rFonts w:cs="Arial"/>
                <w:i/>
                <w:color w:val="00B274"/>
                <w:sz w:val="24"/>
              </w:rPr>
              <w:t>14 March</w:t>
            </w:r>
            <w:r w:rsidR="00AE39CB">
              <w:rPr>
                <w:rFonts w:cs="Arial"/>
                <w:i/>
                <w:color w:val="00B274"/>
                <w:sz w:val="24"/>
              </w:rPr>
              <w:t xml:space="preserve"> 2019</w:t>
            </w:r>
            <w:r w:rsidR="00A340FA">
              <w:rPr>
                <w:rFonts w:cs="Arial"/>
                <w:i/>
                <w:color w:val="00B274"/>
                <w:sz w:val="24"/>
              </w:rPr>
              <w:t xml:space="preserve"> as a Standard</w:t>
            </w:r>
            <w:r w:rsidR="00D519F7">
              <w:rPr>
                <w:rFonts w:cs="Arial"/>
                <w:i/>
                <w:color w:val="00B274"/>
                <w:sz w:val="24"/>
              </w:rPr>
              <w:t xml:space="preserve"> Change</w:t>
            </w:r>
          </w:p>
        </w:tc>
        <w:tc>
          <w:tcPr>
            <w:tcW w:w="2161" w:type="dxa"/>
            <w:tcBorders>
              <w:top w:val="single" w:sz="4" w:space="0" w:color="4A8958"/>
              <w:left w:val="single" w:sz="4" w:space="0" w:color="FFFFFF"/>
              <w:bottom w:val="single" w:sz="4" w:space="0" w:color="4A8958"/>
              <w:right w:val="single" w:sz="4" w:space="0" w:color="4A8958"/>
            </w:tcBorders>
            <w:shd w:val="clear" w:color="auto" w:fill="auto"/>
          </w:tcPr>
          <w:tbl>
            <w:tblPr>
              <w:tblW w:w="207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5"/>
            </w:tblGrid>
            <w:tr w:rsidR="00F770DC" w:rsidRPr="00881D23" w14:paraId="2E155BF0" w14:textId="77777777" w:rsidTr="00C4569B">
              <w:trPr>
                <w:trHeight w:val="820"/>
              </w:trPr>
              <w:tc>
                <w:tcPr>
                  <w:tcW w:w="2075" w:type="dxa"/>
                  <w:shd w:val="clear" w:color="auto" w:fill="auto"/>
                  <w:vAlign w:val="center"/>
                </w:tcPr>
                <w:p w14:paraId="772052CC" w14:textId="77777777" w:rsidR="00F770DC" w:rsidRPr="000E1892" w:rsidRDefault="00F770DC" w:rsidP="00C76604">
                  <w:pPr>
                    <w:framePr w:hSpace="180" w:wrap="around" w:vAnchor="page" w:hAnchor="page" w:x="775" w:y="1474"/>
                    <w:spacing w:line="240" w:lineRule="auto"/>
                    <w:ind w:right="28"/>
                    <w:rPr>
                      <w:rFonts w:cs="Arial"/>
                      <w:b/>
                      <w:color w:val="00CC66"/>
                      <w:szCs w:val="20"/>
                    </w:rPr>
                  </w:pPr>
                  <w:r w:rsidRPr="000E1892">
                    <w:rPr>
                      <w:rFonts w:cs="Arial"/>
                      <w:b/>
                      <w:color w:val="00B274"/>
                      <w:szCs w:val="20"/>
                    </w:rPr>
                    <w:t>01 – Change Proposal</w:t>
                  </w:r>
                </w:p>
              </w:tc>
            </w:tr>
            <w:tr w:rsidR="00F770DC" w:rsidRPr="00881D23" w14:paraId="1216C5FA" w14:textId="77777777" w:rsidTr="00F770DC">
              <w:trPr>
                <w:trHeight w:val="802"/>
              </w:trPr>
              <w:tc>
                <w:tcPr>
                  <w:tcW w:w="2075" w:type="dxa"/>
                  <w:shd w:val="clear" w:color="auto" w:fill="0096D7"/>
                  <w:vAlign w:val="center"/>
                </w:tcPr>
                <w:p w14:paraId="0474DB89" w14:textId="77777777" w:rsidR="00F770DC" w:rsidRPr="00C4569B" w:rsidRDefault="00F770DC" w:rsidP="00C76604">
                  <w:pPr>
                    <w:framePr w:hSpace="180" w:wrap="around" w:vAnchor="page" w:hAnchor="page" w:x="775" w:y="1474"/>
                    <w:spacing w:line="240" w:lineRule="auto"/>
                    <w:ind w:right="28"/>
                    <w:rPr>
                      <w:rFonts w:cs="Arial"/>
                      <w:b/>
                      <w:color w:val="FFFFFF"/>
                      <w:szCs w:val="20"/>
                    </w:rPr>
                  </w:pPr>
                  <w:r w:rsidRPr="00C4569B">
                    <w:rPr>
                      <w:rFonts w:cs="Arial"/>
                      <w:b/>
                      <w:color w:val="FFFFFF"/>
                      <w:szCs w:val="20"/>
                    </w:rPr>
                    <w:t xml:space="preserve">02 – Consultation </w:t>
                  </w:r>
                </w:p>
              </w:tc>
            </w:tr>
            <w:tr w:rsidR="00F770DC" w:rsidRPr="00881D23" w14:paraId="6F5D4791" w14:textId="77777777" w:rsidTr="00F770DC">
              <w:trPr>
                <w:trHeight w:val="800"/>
              </w:trPr>
              <w:tc>
                <w:tcPr>
                  <w:tcW w:w="2075" w:type="dxa"/>
                  <w:shd w:val="clear" w:color="auto" w:fill="auto"/>
                  <w:vAlign w:val="center"/>
                </w:tcPr>
                <w:p w14:paraId="0EB5CBEF" w14:textId="77777777" w:rsidR="00F770DC" w:rsidRPr="00F770DC" w:rsidRDefault="0007537E" w:rsidP="00C76604">
                  <w:pPr>
                    <w:framePr w:hSpace="180" w:wrap="around" w:vAnchor="page" w:hAnchor="page" w:x="775" w:y="1474"/>
                    <w:spacing w:line="240" w:lineRule="auto"/>
                    <w:ind w:right="28"/>
                    <w:rPr>
                      <w:rFonts w:cs="Arial"/>
                      <w:b/>
                      <w:color w:val="9A4D9E"/>
                      <w:szCs w:val="20"/>
                    </w:rPr>
                  </w:pPr>
                  <w:r>
                    <w:rPr>
                      <w:rFonts w:cs="Arial"/>
                      <w:b/>
                      <w:color w:val="9A4D9E"/>
                      <w:szCs w:val="20"/>
                    </w:rPr>
                    <w:t xml:space="preserve">03 – </w:t>
                  </w:r>
                  <w:r w:rsidR="00F770DC" w:rsidRPr="00F770DC">
                    <w:rPr>
                      <w:rFonts w:cs="Arial"/>
                      <w:b/>
                      <w:color w:val="9A4D9E"/>
                      <w:szCs w:val="20"/>
                    </w:rPr>
                    <w:t>Change Report</w:t>
                  </w:r>
                </w:p>
              </w:tc>
            </w:tr>
            <w:tr w:rsidR="00F770DC" w:rsidRPr="00881D23" w14:paraId="65DED12C" w14:textId="77777777" w:rsidTr="00C4569B">
              <w:trPr>
                <w:trHeight w:val="795"/>
              </w:trPr>
              <w:tc>
                <w:tcPr>
                  <w:tcW w:w="2075" w:type="dxa"/>
                  <w:shd w:val="clear" w:color="auto" w:fill="FFFFFF"/>
                  <w:vAlign w:val="center"/>
                </w:tcPr>
                <w:p w14:paraId="688F8B45" w14:textId="77777777" w:rsidR="00F770DC" w:rsidRPr="00881D23" w:rsidRDefault="00F770DC" w:rsidP="00C76604">
                  <w:pPr>
                    <w:framePr w:hSpace="180" w:wrap="around" w:vAnchor="page" w:hAnchor="page" w:x="775" w:y="1474"/>
                    <w:spacing w:line="240" w:lineRule="auto"/>
                    <w:ind w:right="28"/>
                    <w:rPr>
                      <w:rFonts w:cs="Arial"/>
                      <w:b/>
                      <w:color w:val="F59114"/>
                      <w:szCs w:val="20"/>
                    </w:rPr>
                  </w:pPr>
                  <w:r w:rsidRPr="00881D23">
                    <w:rPr>
                      <w:rFonts w:cs="Arial"/>
                      <w:b/>
                      <w:color w:val="F59114"/>
                      <w:szCs w:val="20"/>
                    </w:rPr>
                    <w:t xml:space="preserve">04 – </w:t>
                  </w:r>
                  <w:r w:rsidR="00E20E29">
                    <w:rPr>
                      <w:rFonts w:cs="Arial"/>
                      <w:b/>
                      <w:color w:val="F59114"/>
                      <w:szCs w:val="20"/>
                    </w:rPr>
                    <w:t>Change Declaration</w:t>
                  </w:r>
                </w:p>
              </w:tc>
            </w:tr>
          </w:tbl>
          <w:p w14:paraId="300B6F89" w14:textId="77777777" w:rsidR="006F19E3" w:rsidRPr="00EB32BB" w:rsidRDefault="006F19E3" w:rsidP="00327CE7">
            <w:pPr>
              <w:spacing w:line="240" w:lineRule="auto"/>
              <w:ind w:left="28" w:right="28"/>
              <w:rPr>
                <w:rFonts w:cs="Arial"/>
                <w:color w:val="008576"/>
                <w:szCs w:val="20"/>
              </w:rPr>
            </w:pPr>
          </w:p>
        </w:tc>
      </w:tr>
      <w:tr w:rsidR="006F19E3" w:rsidRPr="00EB32BB" w14:paraId="3EBF393F" w14:textId="77777777" w:rsidTr="006F19E3">
        <w:trPr>
          <w:trHeight w:val="862"/>
        </w:trPr>
        <w:tc>
          <w:tcPr>
            <w:tcW w:w="10134" w:type="dxa"/>
            <w:gridSpan w:val="3"/>
            <w:tcBorders>
              <w:top w:val="single" w:sz="4" w:space="0" w:color="4A8958"/>
              <w:left w:val="single" w:sz="4" w:space="0" w:color="4A8958"/>
              <w:bottom w:val="single" w:sz="4" w:space="0" w:color="4A8958"/>
              <w:right w:val="single" w:sz="4" w:space="0" w:color="4A8958"/>
            </w:tcBorders>
            <w:shd w:val="clear" w:color="auto" w:fill="auto"/>
          </w:tcPr>
          <w:p w14:paraId="61870528" w14:textId="77777777" w:rsidR="006F19E3" w:rsidRPr="00351B9D" w:rsidRDefault="006F19E3" w:rsidP="00327CE7">
            <w:pPr>
              <w:pStyle w:val="BodyText2"/>
              <w:ind w:left="113" w:right="113"/>
              <w:rPr>
                <w:rFonts w:cs="Arial"/>
                <w:b/>
                <w:i/>
                <w:color w:val="00B274"/>
                <w:sz w:val="24"/>
              </w:rPr>
            </w:pPr>
            <w:r w:rsidRPr="00351B9D">
              <w:rPr>
                <w:rFonts w:cs="Arial"/>
                <w:b/>
                <w:sz w:val="24"/>
              </w:rPr>
              <w:t xml:space="preserve">Purpose of </w:t>
            </w:r>
            <w:r w:rsidR="00231812">
              <w:rPr>
                <w:rFonts w:cs="Arial"/>
                <w:b/>
                <w:sz w:val="24"/>
              </w:rPr>
              <w:t>Change Proposal</w:t>
            </w:r>
            <w:r w:rsidRPr="00351B9D">
              <w:rPr>
                <w:rFonts w:cs="Arial"/>
                <w:b/>
                <w:sz w:val="24"/>
              </w:rPr>
              <w:t>:</w:t>
            </w:r>
            <w:r w:rsidRPr="00351B9D">
              <w:rPr>
                <w:rFonts w:cs="Arial"/>
                <w:b/>
                <w:i/>
                <w:color w:val="00B274"/>
                <w:sz w:val="24"/>
              </w:rPr>
              <w:t xml:space="preserve"> </w:t>
            </w:r>
            <w:r w:rsidR="00370895">
              <w:rPr>
                <w:rFonts w:cs="Arial"/>
                <w:i/>
                <w:color w:val="00B274"/>
                <w:sz w:val="24"/>
              </w:rPr>
              <w:t xml:space="preserve"> </w:t>
            </w:r>
          </w:p>
          <w:p w14:paraId="13DDCAF1" w14:textId="35D249F7" w:rsidR="006F19E3" w:rsidRPr="00EB32BB" w:rsidRDefault="00A340FA" w:rsidP="00327CE7">
            <w:pPr>
              <w:ind w:left="113" w:right="113"/>
              <w:rPr>
                <w:rFonts w:cs="Arial"/>
              </w:rPr>
            </w:pPr>
            <w:r w:rsidRPr="00A340FA">
              <w:rPr>
                <w:sz w:val="24"/>
              </w:rPr>
              <w:t xml:space="preserve">The intent of this Change Proposal </w:t>
            </w:r>
            <w:r w:rsidR="00AE39CB">
              <w:rPr>
                <w:sz w:val="24"/>
              </w:rPr>
              <w:t xml:space="preserve">is to </w:t>
            </w:r>
            <w:r w:rsidR="00BB724F">
              <w:rPr>
                <w:sz w:val="24"/>
              </w:rPr>
              <w:t>facilitate the processing of sandbox applications</w:t>
            </w:r>
            <w:r w:rsidR="00BB724F">
              <w:rPr>
                <w:rStyle w:val="FootnoteReference"/>
                <w:sz w:val="24"/>
              </w:rPr>
              <w:footnoteReference w:id="1"/>
            </w:r>
            <w:r w:rsidR="00AE39CB">
              <w:rPr>
                <w:sz w:val="24"/>
              </w:rPr>
              <w:t>.</w:t>
            </w:r>
            <w:r w:rsidRPr="00A340FA">
              <w:rPr>
                <w:sz w:val="24"/>
              </w:rPr>
              <w:t xml:space="preserve">  </w:t>
            </w:r>
          </w:p>
        </w:tc>
      </w:tr>
      <w:tr w:rsidR="006F19E3" w:rsidRPr="00EB32BB" w14:paraId="78F67677" w14:textId="77777777" w:rsidTr="006F19E3">
        <w:trPr>
          <w:trHeight w:val="89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4903FA7B" w14:textId="77777777" w:rsidR="006F19E3" w:rsidRPr="00EB32BB" w:rsidRDefault="00EB5FE7" w:rsidP="00327CE7">
            <w:pPr>
              <w:ind w:firstLine="9"/>
              <w:jc w:val="center"/>
              <w:rPr>
                <w:rFonts w:cs="Arial"/>
              </w:rPr>
            </w:pPr>
            <w:r>
              <w:rPr>
                <w:rFonts w:cs="Arial"/>
                <w:noProof/>
              </w:rPr>
              <w:drawing>
                <wp:inline distT="0" distB="0" distL="0" distR="0" wp14:anchorId="77EF833C" wp14:editId="3A8A7A53">
                  <wp:extent cx="476250" cy="476250"/>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r>
              <w:rPr>
                <w:rFonts w:cs="Arial"/>
                <w:noProof/>
              </w:rPr>
              <w:drawing>
                <wp:inline distT="0" distB="0" distL="0" distR="0" wp14:anchorId="6D83A0C9" wp14:editId="6DBC28AA">
                  <wp:extent cx="466725" cy="552450"/>
                  <wp:effectExtent l="0" t="0" r="9525" b="0"/>
                  <wp:docPr id="1" name="Picture 1" descr="Description: Description: YES_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YES_GREEN"/>
                          <pic:cNvPicPr>
                            <a:picLocks noChangeAspect="1" noChangeArrowheads="1"/>
                          </pic:cNvPicPr>
                        </pic:nvPicPr>
                        <pic:blipFill>
                          <a:blip r:embed="rId9">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552450"/>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6449B391" w14:textId="0BB4480D" w:rsidR="00F770DC" w:rsidRDefault="00F770DC" w:rsidP="00610F10">
            <w:pPr>
              <w:pStyle w:val="BodyText3"/>
              <w:rPr>
                <w:rFonts w:cs="Arial"/>
              </w:rPr>
            </w:pPr>
            <w:r w:rsidRPr="00EB32BB">
              <w:t xml:space="preserve">The </w:t>
            </w:r>
            <w:r>
              <w:t>Workgroup</w:t>
            </w:r>
            <w:r w:rsidRPr="00EB32BB">
              <w:t xml:space="preserve"> recommends that this </w:t>
            </w:r>
            <w:r w:rsidR="00944047">
              <w:t xml:space="preserve">Change Proposal </w:t>
            </w:r>
            <w:r w:rsidRPr="00EB32BB">
              <w:t>should:</w:t>
            </w:r>
            <w:r w:rsidRPr="00EB32BB">
              <w:rPr>
                <w:rFonts w:cs="Arial"/>
              </w:rPr>
              <w:t xml:space="preserve"> proceed to Consultation</w:t>
            </w:r>
          </w:p>
          <w:p w14:paraId="7A7A9C09" w14:textId="2ACCE27B" w:rsidR="00231812" w:rsidRDefault="003328B8" w:rsidP="00610F10">
            <w:pPr>
              <w:pStyle w:val="BodyText3"/>
              <w:rPr>
                <w:b/>
                <w:bCs/>
                <w:iCs/>
              </w:rPr>
            </w:pPr>
            <w:r w:rsidRPr="003328B8">
              <w:t xml:space="preserve">Parties are invited to consider the questions set </w:t>
            </w:r>
            <w:r w:rsidR="00067E74">
              <w:t xml:space="preserve">in section </w:t>
            </w:r>
            <w:r w:rsidR="00AD0E5F">
              <w:t>9</w:t>
            </w:r>
            <w:r w:rsidR="00AD0E5F" w:rsidRPr="003328B8">
              <w:t xml:space="preserve"> </w:t>
            </w:r>
            <w:r w:rsidRPr="003328B8">
              <w:t xml:space="preserve">and submit comments using the form attached as </w:t>
            </w:r>
            <w:r w:rsidRPr="00270472">
              <w:t>Attachment 1 to</w:t>
            </w:r>
            <w:r w:rsidRPr="00270472">
              <w:rPr>
                <w:color w:val="000000"/>
              </w:rPr>
              <w:t xml:space="preserve"> </w:t>
            </w:r>
            <w:r w:rsidRPr="00270472">
              <w:rPr>
                <w:color w:val="0000FF"/>
                <w:u w:val="single"/>
              </w:rPr>
              <w:t>dcusa@electralink.co.uk</w:t>
            </w:r>
            <w:r w:rsidRPr="00270472">
              <w:rPr>
                <w:color w:val="000000"/>
              </w:rPr>
              <w:t xml:space="preserve"> </w:t>
            </w:r>
            <w:r w:rsidRPr="00BD500A">
              <w:t>by</w:t>
            </w:r>
            <w:r w:rsidRPr="00BD500A">
              <w:rPr>
                <w:rFonts w:ascii="Calibri" w:hAnsi="Calibri" w:cs="Verdana"/>
                <w:color w:val="000000"/>
                <w:sz w:val="22"/>
                <w:szCs w:val="22"/>
              </w:rPr>
              <w:t xml:space="preserve"> </w:t>
            </w:r>
            <w:r w:rsidR="00BB724F">
              <w:rPr>
                <w:b/>
              </w:rPr>
              <w:t>XX XXX XX</w:t>
            </w:r>
            <w:r w:rsidR="006248E3" w:rsidRPr="00BD500A">
              <w:rPr>
                <w:b/>
              </w:rPr>
              <w:t>.</w:t>
            </w:r>
          </w:p>
          <w:p w14:paraId="4CC107B8" w14:textId="5CC9F01A" w:rsidR="00C35A97" w:rsidRPr="00C35A97" w:rsidRDefault="00E25A24" w:rsidP="00610F10">
            <w:pPr>
              <w:pStyle w:val="BodyText3"/>
            </w:pPr>
            <w:r>
              <w:t xml:space="preserve">DCP </w:t>
            </w:r>
            <w:r w:rsidR="00245D7E">
              <w:t>3</w:t>
            </w:r>
            <w:r w:rsidR="00BB724F">
              <w:t>45</w:t>
            </w:r>
            <w:r>
              <w:t xml:space="preserve"> has been designated as a Part </w:t>
            </w:r>
            <w:r w:rsidR="00BB724F">
              <w:t>1</w:t>
            </w:r>
            <w:r w:rsidR="00C35A97" w:rsidRPr="00C35A97">
              <w:t xml:space="preserve"> Matter</w:t>
            </w:r>
            <w:r>
              <w:t xml:space="preserve"> and a</w:t>
            </w:r>
            <w:r w:rsidR="00BB724F">
              <w:t>s a</w:t>
            </w:r>
            <w:r w:rsidR="00245D7E">
              <w:t xml:space="preserve"> </w:t>
            </w:r>
            <w:r w:rsidR="00BB724F">
              <w:t>S</w:t>
            </w:r>
            <w:r w:rsidR="00245D7E">
              <w:t>tandard</w:t>
            </w:r>
            <w:r>
              <w:t xml:space="preserve"> </w:t>
            </w:r>
            <w:r w:rsidR="00BB724F">
              <w:t>C</w:t>
            </w:r>
            <w:r>
              <w:t>hange</w:t>
            </w:r>
            <w:r w:rsidR="00C35A97" w:rsidRPr="00C35A97">
              <w:t>.</w:t>
            </w:r>
          </w:p>
          <w:p w14:paraId="245200D3" w14:textId="6BA2BA17" w:rsidR="006F19E3" w:rsidRPr="00EB32BB" w:rsidRDefault="00BB3DE9" w:rsidP="00610F10">
            <w:pPr>
              <w:pStyle w:val="BodyText3"/>
              <w:rPr>
                <w:rFonts w:cs="Arial"/>
              </w:rPr>
            </w:pPr>
            <w:r w:rsidRPr="005B0B30">
              <w:rPr>
                <w:rFonts w:cs="Arial"/>
              </w:rPr>
              <w:t xml:space="preserve">The </w:t>
            </w:r>
            <w:r w:rsidR="003328B8">
              <w:rPr>
                <w:rFonts w:cs="Arial"/>
              </w:rPr>
              <w:t xml:space="preserve">Working Group </w:t>
            </w:r>
            <w:r w:rsidRPr="005B0B30">
              <w:rPr>
                <w:rFonts w:cs="Arial"/>
              </w:rPr>
              <w:t xml:space="preserve">will consider </w:t>
            </w:r>
            <w:r w:rsidR="003328B8">
              <w:rPr>
                <w:rFonts w:cs="Arial"/>
              </w:rPr>
              <w:t xml:space="preserve">the consultation responses </w:t>
            </w:r>
            <w:r w:rsidR="006F19E3">
              <w:rPr>
                <w:rFonts w:cs="Arial"/>
              </w:rPr>
              <w:t xml:space="preserve">and determine the appropriate </w:t>
            </w:r>
            <w:r w:rsidR="00D36FC3">
              <w:rPr>
                <w:rFonts w:cs="Arial"/>
              </w:rPr>
              <w:t>next steps</w:t>
            </w:r>
            <w:r w:rsidR="003328B8">
              <w:rPr>
                <w:rFonts w:cs="Arial"/>
              </w:rPr>
              <w:t xml:space="preserve"> for the </w:t>
            </w:r>
            <w:r w:rsidR="00F770DC">
              <w:rPr>
                <w:rFonts w:cs="Arial"/>
              </w:rPr>
              <w:t>progression</w:t>
            </w:r>
            <w:r w:rsidR="00E20E29">
              <w:rPr>
                <w:rFonts w:cs="Arial"/>
              </w:rPr>
              <w:t xml:space="preserve"> of the Change Proposal (CP)</w:t>
            </w:r>
            <w:r w:rsidR="006F19E3">
              <w:rPr>
                <w:rFonts w:cs="Arial"/>
              </w:rPr>
              <w:t>.</w:t>
            </w:r>
          </w:p>
        </w:tc>
      </w:tr>
      <w:tr w:rsidR="006F19E3" w:rsidRPr="00EB32BB" w14:paraId="1FF07076"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222BAEF0" w14:textId="77777777" w:rsidR="006F19E3" w:rsidRPr="00EB32BB" w:rsidRDefault="00EB5FE7" w:rsidP="00327CE7">
            <w:pPr>
              <w:spacing w:before="60" w:after="60"/>
              <w:ind w:firstLine="9"/>
              <w:jc w:val="center"/>
              <w:rPr>
                <w:rFonts w:cs="Arial"/>
              </w:rPr>
            </w:pPr>
            <w:r>
              <w:rPr>
                <w:rFonts w:cs="Arial"/>
                <w:noProof/>
              </w:rPr>
              <w:drawing>
                <wp:inline distT="0" distB="0" distL="0" distR="0" wp14:anchorId="66710674" wp14:editId="1911845B">
                  <wp:extent cx="466725" cy="466725"/>
                  <wp:effectExtent l="0" t="0" r="9525" b="9525"/>
                  <wp:docPr id="3"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0">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00E302D6" w14:textId="5F8A8530" w:rsidR="006F19E3" w:rsidRPr="00EB32BB" w:rsidRDefault="00370895" w:rsidP="00327CE7">
            <w:pPr>
              <w:ind w:left="113" w:right="113"/>
              <w:rPr>
                <w:rFonts w:cs="Arial"/>
              </w:rPr>
            </w:pPr>
            <w:r>
              <w:rPr>
                <w:sz w:val="24"/>
              </w:rPr>
              <w:t>Impacted Parties</w:t>
            </w:r>
            <w:r w:rsidR="00231812">
              <w:rPr>
                <w:sz w:val="24"/>
              </w:rPr>
              <w:t xml:space="preserve">: </w:t>
            </w:r>
            <w:r w:rsidR="00A340FA">
              <w:rPr>
                <w:sz w:val="24"/>
              </w:rPr>
              <w:t xml:space="preserve"> </w:t>
            </w:r>
            <w:r w:rsidR="00BB724F">
              <w:rPr>
                <w:sz w:val="24"/>
              </w:rPr>
              <w:t>All</w:t>
            </w:r>
          </w:p>
        </w:tc>
      </w:tr>
      <w:tr w:rsidR="005D1C6B" w:rsidRPr="00EB32BB" w14:paraId="4C6AFBDC"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6617127E" w14:textId="77777777" w:rsidR="005D1C6B" w:rsidRPr="00EB32BB" w:rsidRDefault="00EB5FE7" w:rsidP="00327CE7">
            <w:pPr>
              <w:spacing w:before="60" w:after="60"/>
              <w:ind w:firstLine="9"/>
              <w:jc w:val="center"/>
              <w:rPr>
                <w:rFonts w:cs="Arial"/>
              </w:rPr>
            </w:pPr>
            <w:r>
              <w:rPr>
                <w:rFonts w:cs="Arial"/>
                <w:noProof/>
              </w:rPr>
              <w:drawing>
                <wp:inline distT="0" distB="0" distL="0" distR="0" wp14:anchorId="500F6655" wp14:editId="79D5AB75">
                  <wp:extent cx="466725" cy="466725"/>
                  <wp:effectExtent l="0" t="0" r="9525" b="9525"/>
                  <wp:docPr id="4" name="Picture 4"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High_Impact"/>
                          <pic:cNvPicPr>
                            <a:picLocks noChangeAspect="1" noChangeArrowheads="1"/>
                          </pic:cNvPicPr>
                        </pic:nvPicPr>
                        <pic:blipFill>
                          <a:blip r:embed="rId10">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1E2D56E3" w14:textId="35BAF82E" w:rsidR="005D1C6B" w:rsidRPr="00EB32BB" w:rsidRDefault="005D1C6B" w:rsidP="00327CE7">
            <w:pPr>
              <w:ind w:left="113" w:right="113"/>
              <w:rPr>
                <w:rFonts w:cs="Arial"/>
              </w:rPr>
            </w:pPr>
            <w:r>
              <w:rPr>
                <w:sz w:val="24"/>
              </w:rPr>
              <w:t>Impacted Clauses:</w:t>
            </w:r>
            <w:r w:rsidR="00A340FA" w:rsidRPr="00D22205">
              <w:rPr>
                <w:sz w:val="24"/>
              </w:rPr>
              <w:t xml:space="preserve"> </w:t>
            </w:r>
            <w:r w:rsidR="00BB724F">
              <w:rPr>
                <w:sz w:val="24"/>
              </w:rPr>
              <w:t xml:space="preserve">Clause 56 – Derogations </w:t>
            </w:r>
          </w:p>
        </w:tc>
      </w:tr>
    </w:tbl>
    <w:p w14:paraId="3F4D0602" w14:textId="77777777" w:rsidR="00231812" w:rsidRDefault="00231812" w:rsidP="00327CE7">
      <w:pPr>
        <w:rPr>
          <w:rFonts w:cs="Arial"/>
        </w:rPr>
      </w:pPr>
    </w:p>
    <w:p w14:paraId="08EC4176" w14:textId="36D3774E" w:rsidR="00231812" w:rsidRDefault="00231812" w:rsidP="00327CE7">
      <w:pPr>
        <w:rPr>
          <w:rFonts w:cs="Arial"/>
        </w:rPr>
      </w:pPr>
    </w:p>
    <w:p w14:paraId="6994C89F" w14:textId="266B496E" w:rsidR="00327CE7" w:rsidRDefault="00327CE7" w:rsidP="00327CE7">
      <w:pPr>
        <w:rPr>
          <w:rFonts w:cs="Arial"/>
        </w:rPr>
      </w:pPr>
    </w:p>
    <w:p w14:paraId="7CECC2A2" w14:textId="234EFF37" w:rsidR="00327CE7" w:rsidRDefault="00327CE7" w:rsidP="00327CE7">
      <w:pPr>
        <w:rPr>
          <w:rFonts w:cs="Arial"/>
        </w:rPr>
      </w:pPr>
    </w:p>
    <w:p w14:paraId="28A1B294" w14:textId="1BECD0F1" w:rsidR="00327CE7" w:rsidRDefault="00327CE7" w:rsidP="00327CE7">
      <w:pPr>
        <w:rPr>
          <w:rFonts w:cs="Arial"/>
        </w:rPr>
      </w:pPr>
    </w:p>
    <w:p w14:paraId="67187F85" w14:textId="44E3A0BD" w:rsidR="00327CE7" w:rsidRDefault="00327CE7" w:rsidP="00327CE7">
      <w:pPr>
        <w:rPr>
          <w:rFonts w:cs="Arial"/>
        </w:rPr>
      </w:pPr>
    </w:p>
    <w:p w14:paraId="6B9A454E" w14:textId="3578F31F" w:rsidR="00327CE7" w:rsidRDefault="00327CE7" w:rsidP="00327CE7">
      <w:pPr>
        <w:rPr>
          <w:rFonts w:cs="Arial"/>
        </w:rPr>
      </w:pPr>
    </w:p>
    <w:p w14:paraId="7C13CAF8" w14:textId="77777777" w:rsidR="00327CE7" w:rsidRDefault="00327CE7" w:rsidP="00327CE7">
      <w:pPr>
        <w:rPr>
          <w:rFonts w:cs="Arial"/>
        </w:rPr>
      </w:pPr>
    </w:p>
    <w:p w14:paraId="6A981153" w14:textId="77777777" w:rsidR="00231812" w:rsidRDefault="00231812" w:rsidP="00327CE7">
      <w:pPr>
        <w:rPr>
          <w:rFonts w:cs="Arial"/>
        </w:rPr>
      </w:pPr>
    </w:p>
    <w:p w14:paraId="66DD859A" w14:textId="30F14534" w:rsidR="005079E0" w:rsidRPr="00EB32BB" w:rsidRDefault="005079E0" w:rsidP="00327CE7">
      <w:pPr>
        <w:rPr>
          <w:rFonts w:cs="Arial"/>
        </w:rPr>
      </w:pPr>
    </w:p>
    <w:tbl>
      <w:tblPr>
        <w:tblW w:w="10207" w:type="dxa"/>
        <w:tblInd w:w="-176" w:type="dxa"/>
        <w:tblLayout w:type="fixed"/>
        <w:tblLook w:val="04A0" w:firstRow="1" w:lastRow="0" w:firstColumn="1" w:lastColumn="0" w:noHBand="0" w:noVBand="1"/>
      </w:tblPr>
      <w:tblGrid>
        <w:gridCol w:w="7939"/>
        <w:gridCol w:w="2268"/>
      </w:tblGrid>
      <w:tr w:rsidR="00E54184" w:rsidRPr="00EB32BB" w14:paraId="143E93D2" w14:textId="77777777" w:rsidTr="004D430C">
        <w:trPr>
          <w:trHeight w:val="617"/>
        </w:trPr>
        <w:tc>
          <w:tcPr>
            <w:tcW w:w="7939" w:type="dxa"/>
            <w:vMerge w:val="restart"/>
            <w:tcBorders>
              <w:top w:val="single" w:sz="4" w:space="0" w:color="4A8958"/>
              <w:left w:val="single" w:sz="4" w:space="0" w:color="4A8958"/>
              <w:bottom w:val="single" w:sz="4" w:space="0" w:color="4A8958"/>
              <w:right w:val="single" w:sz="4" w:space="0" w:color="4A8958"/>
            </w:tcBorders>
            <w:shd w:val="clear" w:color="auto" w:fill="auto"/>
          </w:tcPr>
          <w:p w14:paraId="5B5B46BA" w14:textId="77777777" w:rsidR="00E54184" w:rsidRPr="00EB32BB" w:rsidRDefault="00E54184" w:rsidP="00327CE7">
            <w:pPr>
              <w:pStyle w:val="Contents02"/>
              <w:keepNext w:val="0"/>
              <w:rPr>
                <w:noProof/>
              </w:rPr>
            </w:pPr>
            <w:r w:rsidRPr="00EB32BB">
              <w:rPr>
                <w:noProof/>
              </w:rPr>
              <w:t>Contents</w:t>
            </w:r>
          </w:p>
          <w:p w14:paraId="7B52DD66" w14:textId="08FE64D0" w:rsidR="006C57B2" w:rsidRDefault="00E54184" w:rsidP="006C57B2">
            <w:pPr>
              <w:pStyle w:val="TOC1"/>
              <w:framePr w:wrap="around"/>
              <w:rPr>
                <w:rFonts w:asciiTheme="minorHAnsi" w:eastAsiaTheme="minorEastAsia" w:hAnsiTheme="minorHAnsi" w:cstheme="minorBidi"/>
                <w:b w:val="0"/>
                <w:bCs w:val="0"/>
                <w:color w:val="auto"/>
                <w:sz w:val="22"/>
                <w:szCs w:val="22"/>
              </w:rPr>
            </w:pPr>
            <w:r w:rsidRPr="00EB32BB">
              <w:fldChar w:fldCharType="begin"/>
            </w:r>
            <w:r w:rsidRPr="00EB32BB">
              <w:instrText xml:space="preserve"> TOC \o "1-1" </w:instrText>
            </w:r>
            <w:r w:rsidRPr="00EB32BB">
              <w:fldChar w:fldCharType="separate"/>
            </w:r>
            <w:r w:rsidR="006C57B2">
              <w:t>1</w:t>
            </w:r>
            <w:r w:rsidR="006C57B2">
              <w:rPr>
                <w:rFonts w:asciiTheme="minorHAnsi" w:eastAsiaTheme="minorEastAsia" w:hAnsiTheme="minorHAnsi" w:cstheme="minorBidi"/>
                <w:b w:val="0"/>
                <w:bCs w:val="0"/>
                <w:color w:val="auto"/>
                <w:sz w:val="22"/>
                <w:szCs w:val="22"/>
              </w:rPr>
              <w:tab/>
            </w:r>
            <w:r w:rsidR="006C57B2">
              <w:t>Summary</w:t>
            </w:r>
            <w:r w:rsidR="006C57B2">
              <w:tab/>
            </w:r>
            <w:r w:rsidR="006C57B2">
              <w:fldChar w:fldCharType="begin"/>
            </w:r>
            <w:r w:rsidR="006C57B2">
              <w:instrText xml:space="preserve"> PAGEREF _Toc4664536 \h </w:instrText>
            </w:r>
            <w:r w:rsidR="006C57B2">
              <w:fldChar w:fldCharType="separate"/>
            </w:r>
            <w:r w:rsidR="00564A43">
              <w:t>3</w:t>
            </w:r>
            <w:r w:rsidR="006C57B2">
              <w:fldChar w:fldCharType="end"/>
            </w:r>
          </w:p>
          <w:p w14:paraId="35049674" w14:textId="768990BF" w:rsidR="006C57B2" w:rsidRDefault="006C57B2" w:rsidP="006C57B2">
            <w:pPr>
              <w:pStyle w:val="TOC1"/>
              <w:framePr w:wrap="around"/>
              <w:rPr>
                <w:rFonts w:asciiTheme="minorHAnsi" w:eastAsiaTheme="minorEastAsia" w:hAnsiTheme="minorHAnsi" w:cstheme="minorBidi"/>
                <w:b w:val="0"/>
                <w:bCs w:val="0"/>
                <w:color w:val="auto"/>
                <w:sz w:val="22"/>
                <w:szCs w:val="22"/>
              </w:rPr>
            </w:pPr>
            <w:r>
              <w:t>2</w:t>
            </w:r>
            <w:r>
              <w:rPr>
                <w:rFonts w:asciiTheme="minorHAnsi" w:eastAsiaTheme="minorEastAsia" w:hAnsiTheme="minorHAnsi" w:cstheme="minorBidi"/>
                <w:b w:val="0"/>
                <w:bCs w:val="0"/>
                <w:color w:val="auto"/>
                <w:sz w:val="22"/>
                <w:szCs w:val="22"/>
              </w:rPr>
              <w:tab/>
            </w:r>
            <w:r>
              <w:t>Governance</w:t>
            </w:r>
            <w:r>
              <w:tab/>
            </w:r>
            <w:r>
              <w:fldChar w:fldCharType="begin"/>
            </w:r>
            <w:r>
              <w:instrText xml:space="preserve"> PAGEREF _Toc4664537 \h </w:instrText>
            </w:r>
            <w:r>
              <w:fldChar w:fldCharType="separate"/>
            </w:r>
            <w:r w:rsidR="00564A43">
              <w:t>3</w:t>
            </w:r>
            <w:r>
              <w:fldChar w:fldCharType="end"/>
            </w:r>
          </w:p>
          <w:p w14:paraId="0C0CB87C" w14:textId="341AD479" w:rsidR="006C57B2" w:rsidRDefault="006C57B2" w:rsidP="006C57B2">
            <w:pPr>
              <w:pStyle w:val="TOC1"/>
              <w:framePr w:wrap="around"/>
              <w:rPr>
                <w:rFonts w:asciiTheme="minorHAnsi" w:eastAsiaTheme="minorEastAsia" w:hAnsiTheme="minorHAnsi" w:cstheme="minorBidi"/>
                <w:b w:val="0"/>
                <w:bCs w:val="0"/>
                <w:color w:val="auto"/>
                <w:sz w:val="22"/>
                <w:szCs w:val="22"/>
              </w:rPr>
            </w:pPr>
            <w:r>
              <w:t>3</w:t>
            </w:r>
            <w:r>
              <w:rPr>
                <w:rFonts w:asciiTheme="minorHAnsi" w:eastAsiaTheme="minorEastAsia" w:hAnsiTheme="minorHAnsi" w:cstheme="minorBidi"/>
                <w:b w:val="0"/>
                <w:bCs w:val="0"/>
                <w:color w:val="auto"/>
                <w:sz w:val="22"/>
                <w:szCs w:val="22"/>
              </w:rPr>
              <w:tab/>
            </w:r>
            <w:r>
              <w:t>Why Change?</w:t>
            </w:r>
            <w:r>
              <w:tab/>
            </w:r>
            <w:r>
              <w:fldChar w:fldCharType="begin"/>
            </w:r>
            <w:r>
              <w:instrText xml:space="preserve"> PAGEREF _Toc4664538 \h </w:instrText>
            </w:r>
            <w:r>
              <w:fldChar w:fldCharType="separate"/>
            </w:r>
            <w:r w:rsidR="00564A43">
              <w:t>4</w:t>
            </w:r>
            <w:r>
              <w:fldChar w:fldCharType="end"/>
            </w:r>
          </w:p>
          <w:p w14:paraId="5F0E2671" w14:textId="722927F1" w:rsidR="006C57B2" w:rsidRDefault="006C57B2" w:rsidP="006C57B2">
            <w:pPr>
              <w:pStyle w:val="TOC1"/>
              <w:framePr w:wrap="around"/>
              <w:rPr>
                <w:rFonts w:asciiTheme="minorHAnsi" w:eastAsiaTheme="minorEastAsia" w:hAnsiTheme="minorHAnsi" w:cstheme="minorBidi"/>
                <w:b w:val="0"/>
                <w:bCs w:val="0"/>
                <w:color w:val="auto"/>
                <w:sz w:val="22"/>
                <w:szCs w:val="22"/>
              </w:rPr>
            </w:pPr>
            <w:r>
              <w:t>4</w:t>
            </w:r>
            <w:r>
              <w:rPr>
                <w:rFonts w:asciiTheme="minorHAnsi" w:eastAsiaTheme="minorEastAsia" w:hAnsiTheme="minorHAnsi" w:cstheme="minorBidi"/>
                <w:b w:val="0"/>
                <w:bCs w:val="0"/>
                <w:color w:val="auto"/>
                <w:sz w:val="22"/>
                <w:szCs w:val="22"/>
              </w:rPr>
              <w:tab/>
            </w:r>
            <w:r>
              <w:t>Working Group Assessment</w:t>
            </w:r>
            <w:r>
              <w:tab/>
            </w:r>
            <w:r>
              <w:fldChar w:fldCharType="begin"/>
            </w:r>
            <w:r>
              <w:instrText xml:space="preserve"> PAGEREF _Toc4664539 \h </w:instrText>
            </w:r>
            <w:r>
              <w:fldChar w:fldCharType="separate"/>
            </w:r>
            <w:r w:rsidR="00564A43">
              <w:t>4</w:t>
            </w:r>
            <w:r>
              <w:fldChar w:fldCharType="end"/>
            </w:r>
          </w:p>
          <w:p w14:paraId="3CE59C23" w14:textId="6327C8C2" w:rsidR="006C57B2" w:rsidRDefault="006C57B2" w:rsidP="006C57B2">
            <w:pPr>
              <w:pStyle w:val="TOC1"/>
              <w:framePr w:wrap="around"/>
              <w:rPr>
                <w:rFonts w:asciiTheme="minorHAnsi" w:eastAsiaTheme="minorEastAsia" w:hAnsiTheme="minorHAnsi" w:cstheme="minorBidi"/>
                <w:b w:val="0"/>
                <w:bCs w:val="0"/>
                <w:color w:val="auto"/>
                <w:sz w:val="22"/>
                <w:szCs w:val="22"/>
              </w:rPr>
            </w:pPr>
            <w:r>
              <w:t>5</w:t>
            </w:r>
            <w:r>
              <w:rPr>
                <w:rFonts w:asciiTheme="minorHAnsi" w:eastAsiaTheme="minorEastAsia" w:hAnsiTheme="minorHAnsi" w:cstheme="minorBidi"/>
                <w:b w:val="0"/>
                <w:bCs w:val="0"/>
                <w:color w:val="auto"/>
                <w:sz w:val="22"/>
                <w:szCs w:val="22"/>
              </w:rPr>
              <w:tab/>
            </w:r>
            <w:r>
              <w:t>Legal Text</w:t>
            </w:r>
            <w:r>
              <w:tab/>
            </w:r>
            <w:r>
              <w:fldChar w:fldCharType="begin"/>
            </w:r>
            <w:r>
              <w:instrText xml:space="preserve"> PAGEREF _Toc4664540 \h </w:instrText>
            </w:r>
            <w:r>
              <w:fldChar w:fldCharType="separate"/>
            </w:r>
            <w:r w:rsidR="00564A43">
              <w:t>5</w:t>
            </w:r>
            <w:r>
              <w:fldChar w:fldCharType="end"/>
            </w:r>
          </w:p>
          <w:p w14:paraId="4FA3B172" w14:textId="25E33AB5" w:rsidR="006C57B2" w:rsidRDefault="006C57B2" w:rsidP="006C57B2">
            <w:pPr>
              <w:pStyle w:val="TOC1"/>
              <w:framePr w:wrap="around"/>
              <w:rPr>
                <w:rFonts w:asciiTheme="minorHAnsi" w:eastAsiaTheme="minorEastAsia" w:hAnsiTheme="minorHAnsi" w:cstheme="minorBidi"/>
                <w:b w:val="0"/>
                <w:bCs w:val="0"/>
                <w:color w:val="auto"/>
                <w:sz w:val="22"/>
                <w:szCs w:val="22"/>
              </w:rPr>
            </w:pPr>
            <w:r>
              <w:t>6</w:t>
            </w:r>
            <w:r>
              <w:rPr>
                <w:rFonts w:asciiTheme="minorHAnsi" w:eastAsiaTheme="minorEastAsia" w:hAnsiTheme="minorHAnsi" w:cstheme="minorBidi"/>
                <w:b w:val="0"/>
                <w:bCs w:val="0"/>
                <w:color w:val="auto"/>
                <w:sz w:val="22"/>
                <w:szCs w:val="22"/>
              </w:rPr>
              <w:tab/>
            </w:r>
            <w:r>
              <w:t>Relevant Objectives</w:t>
            </w:r>
            <w:r>
              <w:tab/>
            </w:r>
            <w:r>
              <w:fldChar w:fldCharType="begin"/>
            </w:r>
            <w:r>
              <w:instrText xml:space="preserve"> PAGEREF _Toc4664541 \h </w:instrText>
            </w:r>
            <w:r>
              <w:fldChar w:fldCharType="separate"/>
            </w:r>
            <w:r w:rsidR="00564A43">
              <w:t>6</w:t>
            </w:r>
            <w:r>
              <w:fldChar w:fldCharType="end"/>
            </w:r>
          </w:p>
          <w:p w14:paraId="55DB4E3C" w14:textId="2D6108D5" w:rsidR="006C57B2" w:rsidRDefault="006C57B2" w:rsidP="006C57B2">
            <w:pPr>
              <w:pStyle w:val="TOC1"/>
              <w:framePr w:wrap="around"/>
              <w:rPr>
                <w:rFonts w:asciiTheme="minorHAnsi" w:eastAsiaTheme="minorEastAsia" w:hAnsiTheme="minorHAnsi" w:cstheme="minorBidi"/>
                <w:b w:val="0"/>
                <w:bCs w:val="0"/>
                <w:color w:val="auto"/>
                <w:sz w:val="22"/>
                <w:szCs w:val="22"/>
              </w:rPr>
            </w:pPr>
            <w:r>
              <w:t>7</w:t>
            </w:r>
            <w:r>
              <w:rPr>
                <w:rFonts w:asciiTheme="minorHAnsi" w:eastAsiaTheme="minorEastAsia" w:hAnsiTheme="minorHAnsi" w:cstheme="minorBidi"/>
                <w:b w:val="0"/>
                <w:bCs w:val="0"/>
                <w:color w:val="auto"/>
                <w:sz w:val="22"/>
                <w:szCs w:val="22"/>
              </w:rPr>
              <w:tab/>
            </w:r>
            <w:r>
              <w:t>Impacts &amp; Other Considerations</w:t>
            </w:r>
            <w:r>
              <w:tab/>
            </w:r>
            <w:r>
              <w:fldChar w:fldCharType="begin"/>
            </w:r>
            <w:r>
              <w:instrText xml:space="preserve"> PAGEREF _Toc4664542 \h </w:instrText>
            </w:r>
            <w:r>
              <w:fldChar w:fldCharType="separate"/>
            </w:r>
            <w:r w:rsidR="00564A43">
              <w:t>7</w:t>
            </w:r>
            <w:r>
              <w:fldChar w:fldCharType="end"/>
            </w:r>
          </w:p>
          <w:p w14:paraId="59553C3F" w14:textId="5C072B01" w:rsidR="006C57B2" w:rsidRDefault="006C57B2" w:rsidP="006C57B2">
            <w:pPr>
              <w:pStyle w:val="TOC1"/>
              <w:framePr w:wrap="around"/>
              <w:rPr>
                <w:rFonts w:asciiTheme="minorHAnsi" w:eastAsiaTheme="minorEastAsia" w:hAnsiTheme="minorHAnsi" w:cstheme="minorBidi"/>
                <w:b w:val="0"/>
                <w:bCs w:val="0"/>
                <w:color w:val="auto"/>
                <w:sz w:val="22"/>
                <w:szCs w:val="22"/>
              </w:rPr>
            </w:pPr>
            <w:r>
              <w:t>8</w:t>
            </w:r>
            <w:r>
              <w:rPr>
                <w:rFonts w:asciiTheme="minorHAnsi" w:eastAsiaTheme="minorEastAsia" w:hAnsiTheme="minorHAnsi" w:cstheme="minorBidi"/>
                <w:b w:val="0"/>
                <w:bCs w:val="0"/>
                <w:color w:val="auto"/>
                <w:sz w:val="22"/>
                <w:szCs w:val="22"/>
              </w:rPr>
              <w:tab/>
            </w:r>
            <w:r>
              <w:t>Implementation</w:t>
            </w:r>
            <w:r>
              <w:tab/>
            </w:r>
            <w:r>
              <w:fldChar w:fldCharType="begin"/>
            </w:r>
            <w:r>
              <w:instrText xml:space="preserve"> PAGEREF _Toc4664543 \h </w:instrText>
            </w:r>
            <w:r>
              <w:fldChar w:fldCharType="separate"/>
            </w:r>
            <w:r w:rsidR="00564A43">
              <w:t>8</w:t>
            </w:r>
            <w:r>
              <w:fldChar w:fldCharType="end"/>
            </w:r>
          </w:p>
          <w:p w14:paraId="35F51EAB" w14:textId="01F8F3DB" w:rsidR="006C57B2" w:rsidRDefault="006C57B2" w:rsidP="006C57B2">
            <w:pPr>
              <w:pStyle w:val="TOC1"/>
              <w:framePr w:wrap="around"/>
              <w:rPr>
                <w:rFonts w:asciiTheme="minorHAnsi" w:eastAsiaTheme="minorEastAsia" w:hAnsiTheme="minorHAnsi" w:cstheme="minorBidi"/>
                <w:b w:val="0"/>
                <w:bCs w:val="0"/>
                <w:color w:val="auto"/>
                <w:sz w:val="22"/>
                <w:szCs w:val="22"/>
              </w:rPr>
            </w:pPr>
            <w:r>
              <w:t>9</w:t>
            </w:r>
            <w:r>
              <w:rPr>
                <w:rFonts w:asciiTheme="minorHAnsi" w:eastAsiaTheme="minorEastAsia" w:hAnsiTheme="minorHAnsi" w:cstheme="minorBidi"/>
                <w:b w:val="0"/>
                <w:bCs w:val="0"/>
                <w:color w:val="auto"/>
                <w:sz w:val="22"/>
                <w:szCs w:val="22"/>
              </w:rPr>
              <w:tab/>
            </w:r>
            <w:r>
              <w:t>Consultation Questions</w:t>
            </w:r>
            <w:r>
              <w:tab/>
            </w:r>
            <w:r>
              <w:fldChar w:fldCharType="begin"/>
            </w:r>
            <w:r>
              <w:instrText xml:space="preserve"> PAGEREF _Toc4664544 \h </w:instrText>
            </w:r>
            <w:r>
              <w:fldChar w:fldCharType="separate"/>
            </w:r>
            <w:r w:rsidR="00564A43">
              <w:t>8</w:t>
            </w:r>
            <w:r>
              <w:fldChar w:fldCharType="end"/>
            </w:r>
          </w:p>
          <w:p w14:paraId="59F05DBA" w14:textId="6C8311E8" w:rsidR="00E54184" w:rsidRPr="00EB32BB" w:rsidRDefault="00E54184" w:rsidP="00327CE7">
            <w:pPr>
              <w:pStyle w:val="TOCMOD"/>
              <w:framePr w:wrap="around"/>
              <w:tabs>
                <w:tab w:val="clear" w:pos="382"/>
                <w:tab w:val="clear" w:pos="7655"/>
                <w:tab w:val="left" w:pos="5385"/>
              </w:tabs>
              <w:rPr>
                <w:rFonts w:cs="Arial"/>
              </w:rPr>
            </w:pPr>
            <w:r w:rsidRPr="00EB32BB">
              <w:rPr>
                <w:rFonts w:cs="Arial"/>
              </w:rPr>
              <w:fldChar w:fldCharType="end"/>
            </w:r>
          </w:p>
          <w:p w14:paraId="75487D63" w14:textId="77777777" w:rsidR="00E54184" w:rsidRPr="00EB32BB" w:rsidRDefault="00E54184" w:rsidP="00327CE7">
            <w:pPr>
              <w:pStyle w:val="Contents02"/>
              <w:keepNext w:val="0"/>
            </w:pPr>
            <w:r>
              <w:t>Timetable</w:t>
            </w:r>
          </w:p>
          <w:p w14:paraId="70F3BFB7" w14:textId="273CCE40" w:rsidR="00E54184" w:rsidRPr="005D1C6B" w:rsidRDefault="00E54184" w:rsidP="00610F10">
            <w:pPr>
              <w:rPr>
                <w:i/>
                <w:iCs/>
              </w:rPr>
            </w:pPr>
            <w:r w:rsidRPr="00FF0C32">
              <w:rPr>
                <w:szCs w:val="20"/>
                <w:lang w:val="en-US"/>
              </w:rPr>
              <w:t>The timetable for the progression of the CP is as follows:</w:t>
            </w:r>
          </w:p>
          <w:tbl>
            <w:tblPr>
              <w:tblpPr w:leftFromText="180" w:rightFromText="180" w:vertAnchor="text" w:tblpX="-103" w:tblpY="1"/>
              <w:tblOverlap w:val="never"/>
              <w:tblW w:w="7933"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A0" w:firstRow="1" w:lastRow="0" w:firstColumn="1" w:lastColumn="0" w:noHBand="0" w:noVBand="1"/>
            </w:tblPr>
            <w:tblGrid>
              <w:gridCol w:w="5665"/>
              <w:gridCol w:w="2268"/>
            </w:tblGrid>
            <w:tr w:rsidR="00E54184" w:rsidRPr="00EB32BB" w14:paraId="18CFF189" w14:textId="77777777" w:rsidTr="00E81739">
              <w:tc>
                <w:tcPr>
                  <w:tcW w:w="7933" w:type="dxa"/>
                  <w:gridSpan w:val="2"/>
                  <w:shd w:val="clear" w:color="auto" w:fill="auto"/>
                </w:tcPr>
                <w:p w14:paraId="520EB203" w14:textId="77777777" w:rsidR="00E54184" w:rsidRPr="00EB32BB" w:rsidRDefault="00E54184" w:rsidP="00327CE7">
                  <w:pPr>
                    <w:spacing w:before="40" w:after="40"/>
                    <w:rPr>
                      <w:rFonts w:cs="Arial"/>
                      <w:szCs w:val="20"/>
                    </w:rPr>
                  </w:pPr>
                  <w:r>
                    <w:rPr>
                      <w:rFonts w:cs="Arial"/>
                      <w:b/>
                      <w:szCs w:val="20"/>
                    </w:rPr>
                    <w:t>Change Proposal</w:t>
                  </w:r>
                  <w:r w:rsidRPr="00D36FC3">
                    <w:rPr>
                      <w:rFonts w:cs="Arial"/>
                      <w:b/>
                      <w:szCs w:val="20"/>
                    </w:rPr>
                    <w:t xml:space="preserve"> timetable:</w:t>
                  </w:r>
                  <w:r w:rsidRPr="00EB32BB">
                    <w:rPr>
                      <w:rFonts w:cs="Arial"/>
                      <w:i/>
                      <w:szCs w:val="20"/>
                    </w:rPr>
                    <w:t xml:space="preserve"> </w:t>
                  </w:r>
                </w:p>
              </w:tc>
            </w:tr>
            <w:tr w:rsidR="00E54184" w:rsidRPr="00EB32BB" w14:paraId="0BDA6FBA" w14:textId="77777777" w:rsidTr="00F535CA">
              <w:tc>
                <w:tcPr>
                  <w:tcW w:w="5665" w:type="dxa"/>
                  <w:shd w:val="clear" w:color="auto" w:fill="BDD6EE"/>
                </w:tcPr>
                <w:p w14:paraId="7C71E371" w14:textId="77777777" w:rsidR="00E54184" w:rsidRPr="00FF0C32" w:rsidRDefault="00E54184" w:rsidP="00610F10">
                  <w:pPr>
                    <w:pStyle w:val="Heading4"/>
                  </w:pPr>
                  <w:r w:rsidRPr="00FF0C32">
                    <w:t>Activity</w:t>
                  </w:r>
                </w:p>
              </w:tc>
              <w:tc>
                <w:tcPr>
                  <w:tcW w:w="2268" w:type="dxa"/>
                  <w:shd w:val="clear" w:color="auto" w:fill="BDD6EE"/>
                  <w:vAlign w:val="center"/>
                </w:tcPr>
                <w:p w14:paraId="382F5B9D" w14:textId="77777777" w:rsidR="00E54184" w:rsidRPr="007F41DB" w:rsidRDefault="00E54184" w:rsidP="00610F10">
                  <w:pPr>
                    <w:pStyle w:val="Heading4"/>
                  </w:pPr>
                  <w:r w:rsidRPr="007F41DB">
                    <w:t>Date</w:t>
                  </w:r>
                </w:p>
              </w:tc>
            </w:tr>
            <w:tr w:rsidR="00E54184" w:rsidRPr="00EB32BB" w14:paraId="67DFCA91" w14:textId="77777777" w:rsidTr="005D1C6B">
              <w:tc>
                <w:tcPr>
                  <w:tcW w:w="5665" w:type="dxa"/>
                  <w:shd w:val="clear" w:color="auto" w:fill="auto"/>
                </w:tcPr>
                <w:p w14:paraId="55FCF64E" w14:textId="77777777" w:rsidR="00E54184" w:rsidRPr="00EB32BB" w:rsidRDefault="00E54184" w:rsidP="00327CE7">
                  <w:pPr>
                    <w:tabs>
                      <w:tab w:val="left" w:pos="171"/>
                    </w:tabs>
                    <w:spacing w:before="40" w:after="40"/>
                    <w:rPr>
                      <w:rFonts w:cs="Arial"/>
                      <w:szCs w:val="20"/>
                    </w:rPr>
                  </w:pPr>
                  <w:r w:rsidRPr="00EB32BB">
                    <w:rPr>
                      <w:rFonts w:cs="Arial"/>
                      <w:szCs w:val="20"/>
                    </w:rPr>
                    <w:t xml:space="preserve">Initial </w:t>
                  </w:r>
                  <w:r>
                    <w:rPr>
                      <w:rFonts w:cs="Arial"/>
                      <w:szCs w:val="20"/>
                    </w:rPr>
                    <w:t>Assessment Report Approved by Panel</w:t>
                  </w:r>
                </w:p>
              </w:tc>
              <w:tc>
                <w:tcPr>
                  <w:tcW w:w="2268" w:type="dxa"/>
                  <w:shd w:val="clear" w:color="auto" w:fill="auto"/>
                  <w:vAlign w:val="center"/>
                </w:tcPr>
                <w:p w14:paraId="6481EFF7" w14:textId="047655E9" w:rsidR="00E54184" w:rsidRPr="00EB32BB" w:rsidRDefault="00BB724F" w:rsidP="00327CE7">
                  <w:pPr>
                    <w:spacing w:before="40" w:after="40"/>
                    <w:rPr>
                      <w:rFonts w:cs="Arial"/>
                      <w:szCs w:val="20"/>
                    </w:rPr>
                  </w:pPr>
                  <w:r>
                    <w:rPr>
                      <w:rFonts w:cs="Arial"/>
                      <w:szCs w:val="20"/>
                    </w:rPr>
                    <w:t>20 March</w:t>
                  </w:r>
                  <w:r w:rsidR="00AE39CB">
                    <w:rPr>
                      <w:rFonts w:cs="Arial"/>
                      <w:szCs w:val="20"/>
                    </w:rPr>
                    <w:t xml:space="preserve"> 2019</w:t>
                  </w:r>
                </w:p>
              </w:tc>
            </w:tr>
            <w:tr w:rsidR="00E54184" w:rsidRPr="00EB32BB" w14:paraId="784474CF" w14:textId="77777777" w:rsidTr="005D1C6B">
              <w:tc>
                <w:tcPr>
                  <w:tcW w:w="5665" w:type="dxa"/>
                  <w:shd w:val="clear" w:color="auto" w:fill="auto"/>
                </w:tcPr>
                <w:p w14:paraId="0F6B15D7" w14:textId="77777777" w:rsidR="00E54184" w:rsidRPr="00580576" w:rsidRDefault="00E54184" w:rsidP="00327CE7">
                  <w:pPr>
                    <w:tabs>
                      <w:tab w:val="left" w:pos="171"/>
                    </w:tabs>
                    <w:spacing w:before="40" w:after="40"/>
                    <w:rPr>
                      <w:rFonts w:cs="Arial"/>
                      <w:szCs w:val="20"/>
                    </w:rPr>
                  </w:pPr>
                  <w:r w:rsidRPr="00580576">
                    <w:rPr>
                      <w:rFonts w:cs="Arial"/>
                      <w:szCs w:val="20"/>
                    </w:rPr>
                    <w:t>Consultation issued to Parties</w:t>
                  </w:r>
                </w:p>
              </w:tc>
              <w:tc>
                <w:tcPr>
                  <w:tcW w:w="2268" w:type="dxa"/>
                  <w:shd w:val="clear" w:color="auto" w:fill="auto"/>
                  <w:vAlign w:val="center"/>
                </w:tcPr>
                <w:p w14:paraId="1A318192" w14:textId="6D49F070" w:rsidR="00E54184" w:rsidRPr="00580576" w:rsidRDefault="00BB724F" w:rsidP="00327CE7">
                  <w:pPr>
                    <w:spacing w:before="40" w:after="40"/>
                    <w:rPr>
                      <w:rFonts w:cs="Arial"/>
                      <w:szCs w:val="20"/>
                    </w:rPr>
                  </w:pPr>
                  <w:r>
                    <w:rPr>
                      <w:rFonts w:cs="Arial"/>
                      <w:szCs w:val="20"/>
                    </w:rPr>
                    <w:t>XX XXX XX</w:t>
                  </w:r>
                </w:p>
              </w:tc>
            </w:tr>
            <w:tr w:rsidR="00E54184" w:rsidRPr="00EB32BB" w14:paraId="79221BEA" w14:textId="77777777" w:rsidTr="005D1C6B">
              <w:tc>
                <w:tcPr>
                  <w:tcW w:w="5665" w:type="dxa"/>
                  <w:shd w:val="clear" w:color="auto" w:fill="auto"/>
                </w:tcPr>
                <w:p w14:paraId="754220EF" w14:textId="77777777" w:rsidR="00E54184" w:rsidRPr="00EB32BB" w:rsidRDefault="00E54184" w:rsidP="00327CE7">
                  <w:pPr>
                    <w:tabs>
                      <w:tab w:val="left" w:pos="171"/>
                    </w:tabs>
                    <w:spacing w:before="40" w:after="40"/>
                    <w:rPr>
                      <w:rFonts w:cs="Arial"/>
                      <w:szCs w:val="20"/>
                    </w:rPr>
                  </w:pPr>
                  <w:r>
                    <w:rPr>
                      <w:rFonts w:cs="Arial"/>
                      <w:szCs w:val="20"/>
                    </w:rPr>
                    <w:t>Change</w:t>
                  </w:r>
                  <w:r w:rsidRPr="00EB32BB">
                    <w:rPr>
                      <w:rFonts w:cs="Arial"/>
                      <w:szCs w:val="20"/>
                    </w:rPr>
                    <w:t xml:space="preserve"> Report issued </w:t>
                  </w:r>
                  <w:r>
                    <w:rPr>
                      <w:rFonts w:cs="Arial"/>
                      <w:szCs w:val="20"/>
                    </w:rPr>
                    <w:t>to Panel</w:t>
                  </w:r>
                </w:p>
              </w:tc>
              <w:tc>
                <w:tcPr>
                  <w:tcW w:w="2268" w:type="dxa"/>
                  <w:shd w:val="clear" w:color="auto" w:fill="auto"/>
                  <w:vAlign w:val="center"/>
                </w:tcPr>
                <w:p w14:paraId="04F654DC" w14:textId="3B8CECD4" w:rsidR="00E54184" w:rsidRPr="00EB32BB" w:rsidRDefault="00BB724F" w:rsidP="00327CE7">
                  <w:pPr>
                    <w:spacing w:before="40" w:after="40"/>
                    <w:rPr>
                      <w:rFonts w:cs="Arial"/>
                      <w:szCs w:val="20"/>
                    </w:rPr>
                  </w:pPr>
                  <w:r>
                    <w:t>XX XXX XX</w:t>
                  </w:r>
                </w:p>
              </w:tc>
            </w:tr>
            <w:tr w:rsidR="00E54184" w:rsidRPr="00EB32BB" w14:paraId="6876239D" w14:textId="77777777" w:rsidTr="005D1C6B">
              <w:tc>
                <w:tcPr>
                  <w:tcW w:w="5665" w:type="dxa"/>
                  <w:shd w:val="clear" w:color="auto" w:fill="auto"/>
                </w:tcPr>
                <w:p w14:paraId="2C95CF5A" w14:textId="77777777" w:rsidR="00E54184" w:rsidRPr="00EB32BB" w:rsidRDefault="00E54184" w:rsidP="00327CE7">
                  <w:pPr>
                    <w:tabs>
                      <w:tab w:val="left" w:pos="171"/>
                    </w:tabs>
                    <w:spacing w:before="40" w:after="40"/>
                    <w:rPr>
                      <w:rFonts w:cs="Arial"/>
                      <w:szCs w:val="20"/>
                    </w:rPr>
                  </w:pPr>
                  <w:r>
                    <w:rPr>
                      <w:rFonts w:cs="Arial"/>
                      <w:szCs w:val="20"/>
                    </w:rPr>
                    <w:t>Change</w:t>
                  </w:r>
                  <w:r w:rsidRPr="00EB32BB">
                    <w:rPr>
                      <w:rFonts w:cs="Arial"/>
                      <w:szCs w:val="20"/>
                    </w:rPr>
                    <w:t xml:space="preserve"> Report issued </w:t>
                  </w:r>
                  <w:r>
                    <w:rPr>
                      <w:rFonts w:cs="Arial"/>
                      <w:szCs w:val="20"/>
                    </w:rPr>
                    <w:t>for Voting</w:t>
                  </w:r>
                </w:p>
              </w:tc>
              <w:tc>
                <w:tcPr>
                  <w:tcW w:w="2268" w:type="dxa"/>
                  <w:shd w:val="clear" w:color="auto" w:fill="auto"/>
                  <w:vAlign w:val="center"/>
                </w:tcPr>
                <w:p w14:paraId="0A40868A" w14:textId="79951059" w:rsidR="00E54184" w:rsidRPr="00EB32BB" w:rsidRDefault="00BB724F" w:rsidP="00327CE7">
                  <w:pPr>
                    <w:spacing w:before="40" w:after="40"/>
                    <w:rPr>
                      <w:rFonts w:cs="Arial"/>
                      <w:szCs w:val="20"/>
                    </w:rPr>
                  </w:pPr>
                  <w:r>
                    <w:rPr>
                      <w:rFonts w:cs="Arial"/>
                      <w:szCs w:val="20"/>
                    </w:rPr>
                    <w:t>XX XXX XX</w:t>
                  </w:r>
                </w:p>
              </w:tc>
            </w:tr>
            <w:tr w:rsidR="00E54184" w:rsidRPr="00EB32BB" w14:paraId="3AD90FC9" w14:textId="77777777" w:rsidTr="005D1C6B">
              <w:tc>
                <w:tcPr>
                  <w:tcW w:w="5665" w:type="dxa"/>
                  <w:shd w:val="clear" w:color="auto" w:fill="auto"/>
                </w:tcPr>
                <w:p w14:paraId="174122D1" w14:textId="77777777" w:rsidR="00E54184" w:rsidRPr="00EB32BB" w:rsidRDefault="00E54184" w:rsidP="00327CE7">
                  <w:pPr>
                    <w:tabs>
                      <w:tab w:val="left" w:pos="171"/>
                    </w:tabs>
                    <w:spacing w:before="40" w:after="40"/>
                    <w:rPr>
                      <w:rFonts w:cs="Arial"/>
                      <w:szCs w:val="20"/>
                    </w:rPr>
                  </w:pPr>
                  <w:r>
                    <w:rPr>
                      <w:rFonts w:cs="Arial"/>
                      <w:szCs w:val="20"/>
                    </w:rPr>
                    <w:t>Party Voting Ends</w:t>
                  </w:r>
                </w:p>
              </w:tc>
              <w:tc>
                <w:tcPr>
                  <w:tcW w:w="2268" w:type="dxa"/>
                  <w:shd w:val="clear" w:color="auto" w:fill="auto"/>
                  <w:vAlign w:val="center"/>
                </w:tcPr>
                <w:p w14:paraId="38E16B2B" w14:textId="147F53D6" w:rsidR="00E54184" w:rsidRPr="00EB32BB" w:rsidRDefault="00BB724F" w:rsidP="00327CE7">
                  <w:pPr>
                    <w:spacing w:before="40" w:after="40"/>
                    <w:rPr>
                      <w:rFonts w:cs="Arial"/>
                      <w:szCs w:val="20"/>
                    </w:rPr>
                  </w:pPr>
                  <w:r>
                    <w:rPr>
                      <w:rFonts w:cs="Arial"/>
                      <w:szCs w:val="20"/>
                    </w:rPr>
                    <w:t>XX XXX XX</w:t>
                  </w:r>
                </w:p>
              </w:tc>
            </w:tr>
            <w:tr w:rsidR="00E54184" w:rsidRPr="00EB32BB" w14:paraId="16B9B7B9" w14:textId="77777777" w:rsidTr="005D1C6B">
              <w:tc>
                <w:tcPr>
                  <w:tcW w:w="5665" w:type="dxa"/>
                  <w:shd w:val="clear" w:color="auto" w:fill="auto"/>
                </w:tcPr>
                <w:p w14:paraId="343F7095" w14:textId="77777777" w:rsidR="00E54184" w:rsidRPr="00B81F70" w:rsidRDefault="00E54184" w:rsidP="00327CE7">
                  <w:pPr>
                    <w:tabs>
                      <w:tab w:val="left" w:pos="171"/>
                    </w:tabs>
                    <w:spacing w:before="40" w:after="40"/>
                    <w:rPr>
                      <w:rFonts w:cs="Arial"/>
                      <w:szCs w:val="20"/>
                    </w:rPr>
                  </w:pPr>
                  <w:r>
                    <w:rPr>
                      <w:rFonts w:cs="Arial"/>
                      <w:szCs w:val="20"/>
                    </w:rPr>
                    <w:t>Change Declaration Issued to Parties</w:t>
                  </w:r>
                </w:p>
              </w:tc>
              <w:tc>
                <w:tcPr>
                  <w:tcW w:w="2268" w:type="dxa"/>
                  <w:shd w:val="clear" w:color="auto" w:fill="auto"/>
                  <w:vAlign w:val="center"/>
                </w:tcPr>
                <w:p w14:paraId="00CEC073" w14:textId="449484C0" w:rsidR="00E54184" w:rsidRPr="00EB32BB" w:rsidRDefault="00BB724F" w:rsidP="00327CE7">
                  <w:pPr>
                    <w:spacing w:before="40" w:after="40"/>
                    <w:rPr>
                      <w:rFonts w:cs="Arial"/>
                      <w:szCs w:val="20"/>
                    </w:rPr>
                  </w:pPr>
                  <w:r>
                    <w:rPr>
                      <w:rFonts w:cs="Arial"/>
                      <w:szCs w:val="20"/>
                    </w:rPr>
                    <w:t>XX XXX XX</w:t>
                  </w:r>
                </w:p>
              </w:tc>
            </w:tr>
            <w:tr w:rsidR="00BB724F" w:rsidRPr="00EB32BB" w14:paraId="79A5F803" w14:textId="77777777" w:rsidTr="005D1C6B">
              <w:tc>
                <w:tcPr>
                  <w:tcW w:w="5665" w:type="dxa"/>
                  <w:shd w:val="clear" w:color="auto" w:fill="auto"/>
                </w:tcPr>
                <w:p w14:paraId="0BDA59BD" w14:textId="74BD8013" w:rsidR="00BB724F" w:rsidRDefault="00BB724F" w:rsidP="00327CE7">
                  <w:pPr>
                    <w:tabs>
                      <w:tab w:val="left" w:pos="171"/>
                    </w:tabs>
                    <w:spacing w:before="40" w:after="40"/>
                    <w:rPr>
                      <w:rFonts w:cs="Arial"/>
                      <w:szCs w:val="20"/>
                    </w:rPr>
                  </w:pPr>
                  <w:r>
                    <w:rPr>
                      <w:rFonts w:cs="Arial"/>
                      <w:szCs w:val="20"/>
                    </w:rPr>
                    <w:t>Authority Decision</w:t>
                  </w:r>
                </w:p>
              </w:tc>
              <w:tc>
                <w:tcPr>
                  <w:tcW w:w="2268" w:type="dxa"/>
                  <w:shd w:val="clear" w:color="auto" w:fill="auto"/>
                  <w:vAlign w:val="center"/>
                </w:tcPr>
                <w:p w14:paraId="52B15F68" w14:textId="4FF4D033" w:rsidR="00BB724F" w:rsidRDefault="00BB724F" w:rsidP="00327CE7">
                  <w:pPr>
                    <w:spacing w:before="40" w:after="40"/>
                    <w:rPr>
                      <w:rFonts w:cs="Arial"/>
                      <w:szCs w:val="20"/>
                    </w:rPr>
                  </w:pPr>
                  <w:r>
                    <w:rPr>
                      <w:rFonts w:cs="Arial"/>
                      <w:szCs w:val="20"/>
                    </w:rPr>
                    <w:t>XX XXX XX</w:t>
                  </w:r>
                </w:p>
              </w:tc>
            </w:tr>
            <w:tr w:rsidR="00E54184" w:rsidRPr="00EB32BB" w14:paraId="18A57C2F" w14:textId="77777777" w:rsidTr="005D1C6B">
              <w:trPr>
                <w:trHeight w:val="93"/>
              </w:trPr>
              <w:tc>
                <w:tcPr>
                  <w:tcW w:w="5665" w:type="dxa"/>
                  <w:shd w:val="clear" w:color="auto" w:fill="auto"/>
                </w:tcPr>
                <w:p w14:paraId="104888B1" w14:textId="77777777" w:rsidR="00E54184" w:rsidRDefault="00E54184" w:rsidP="00327CE7">
                  <w:pPr>
                    <w:tabs>
                      <w:tab w:val="left" w:pos="171"/>
                    </w:tabs>
                    <w:spacing w:before="40" w:after="40"/>
                    <w:rPr>
                      <w:rFonts w:cs="Arial"/>
                      <w:szCs w:val="20"/>
                    </w:rPr>
                  </w:pPr>
                  <w:r>
                    <w:rPr>
                      <w:rFonts w:cs="Arial"/>
                      <w:szCs w:val="20"/>
                    </w:rPr>
                    <w:t>Implementation</w:t>
                  </w:r>
                </w:p>
              </w:tc>
              <w:tc>
                <w:tcPr>
                  <w:tcW w:w="2268" w:type="dxa"/>
                  <w:shd w:val="clear" w:color="auto" w:fill="auto"/>
                  <w:vAlign w:val="center"/>
                </w:tcPr>
                <w:p w14:paraId="49B0A48C" w14:textId="6A3AA1E5" w:rsidR="00E54184" w:rsidRPr="00EB32BB" w:rsidRDefault="00AE39CB" w:rsidP="00327CE7">
                  <w:pPr>
                    <w:spacing w:before="40" w:after="40"/>
                    <w:rPr>
                      <w:rFonts w:cs="Arial"/>
                      <w:szCs w:val="20"/>
                    </w:rPr>
                  </w:pPr>
                  <w:r>
                    <w:t>First DCUSA Release following</w:t>
                  </w:r>
                  <w:r w:rsidR="00BB724F">
                    <w:t xml:space="preserve"> Authority</w:t>
                  </w:r>
                  <w:r>
                    <w:t xml:space="preserve"> approval</w:t>
                  </w:r>
                </w:p>
              </w:tc>
            </w:tr>
          </w:tbl>
          <w:p w14:paraId="1F99CB14" w14:textId="77777777" w:rsidR="00E54184" w:rsidRPr="00EB32BB" w:rsidRDefault="00E54184" w:rsidP="00327CE7">
            <w:pPr>
              <w:pStyle w:val="BodyTextFirstIndent"/>
              <w:ind w:firstLine="0"/>
              <w:rPr>
                <w:rFonts w:cs="Arial"/>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6A1073FD" w14:textId="77777777" w:rsidR="00E54184" w:rsidRPr="00EB32BB" w:rsidRDefault="00C76604" w:rsidP="00327CE7">
            <w:pPr>
              <w:pStyle w:val="BodyText"/>
              <w:spacing w:before="60" w:after="60" w:line="240" w:lineRule="auto"/>
              <w:rPr>
                <w:rFonts w:cs="Arial"/>
                <w:szCs w:val="20"/>
              </w:rPr>
            </w:pPr>
            <w:r>
              <w:rPr>
                <w:rFonts w:cs="Arial"/>
                <w:noProof/>
                <w:szCs w:val="20"/>
                <w:lang w:val="en-US" w:eastAsia="en-US"/>
              </w:rPr>
              <w:pict w14:anchorId="2C8565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pt;height:22.9pt;visibility:visible">
                  <v:imagedata r:id="rId11" o:title=""/>
                </v:shape>
              </w:pict>
            </w:r>
            <w:r w:rsidR="00E54184" w:rsidRPr="00EB32BB">
              <w:rPr>
                <w:rFonts w:cs="Arial"/>
                <w:b/>
                <w:color w:val="008576"/>
                <w:szCs w:val="20"/>
              </w:rPr>
              <w:t xml:space="preserve"> Any questions?</w:t>
            </w:r>
          </w:p>
        </w:tc>
      </w:tr>
      <w:tr w:rsidR="00E54184" w:rsidRPr="00EB32BB" w14:paraId="2B3CA119"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3FB989C6" w14:textId="77777777" w:rsidR="00E54184" w:rsidRPr="00EB32BB" w:rsidRDefault="00E54184" w:rsidP="00327CE7">
            <w:pPr>
              <w:pStyle w:val="Contents01"/>
              <w:keepNext w:val="0"/>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4BE74A65" w14:textId="77777777" w:rsidR="00E54184" w:rsidRPr="00EB32BB" w:rsidRDefault="00E54184" w:rsidP="00327CE7">
            <w:pPr>
              <w:spacing w:before="60" w:after="60" w:line="240" w:lineRule="auto"/>
              <w:rPr>
                <w:rFonts w:cs="Arial"/>
                <w:color w:val="008576"/>
                <w:szCs w:val="20"/>
              </w:rPr>
            </w:pPr>
            <w:r w:rsidRPr="00EB32BB">
              <w:rPr>
                <w:rFonts w:cs="Arial"/>
                <w:color w:val="008576"/>
                <w:szCs w:val="20"/>
              </w:rPr>
              <w:t>Contact:</w:t>
            </w:r>
          </w:p>
          <w:p w14:paraId="031DD9E4" w14:textId="77777777" w:rsidR="00E54184" w:rsidRPr="00EB32BB" w:rsidRDefault="00E54184" w:rsidP="00327CE7">
            <w:pPr>
              <w:pStyle w:val="BodyText"/>
              <w:spacing w:before="60" w:after="60" w:line="240" w:lineRule="auto"/>
              <w:rPr>
                <w:rFonts w:cs="Arial"/>
                <w:color w:val="008576"/>
                <w:szCs w:val="20"/>
              </w:rPr>
            </w:pPr>
            <w:r w:rsidRPr="00EB32BB">
              <w:rPr>
                <w:rFonts w:cs="Arial"/>
                <w:b/>
                <w:color w:val="008576"/>
                <w:szCs w:val="20"/>
              </w:rPr>
              <w:t>Code Administrator</w:t>
            </w:r>
          </w:p>
        </w:tc>
      </w:tr>
      <w:tr w:rsidR="00E54184" w:rsidRPr="00EB32BB" w14:paraId="6DBE0325"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4FFD0870" w14:textId="77777777" w:rsidR="00E54184" w:rsidRPr="00EB32BB" w:rsidRDefault="00E54184" w:rsidP="00327CE7">
            <w:pPr>
              <w:pStyle w:val="Contents01"/>
              <w:keepNext w:val="0"/>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39397EB0" w14:textId="77777777" w:rsidR="00E54184" w:rsidRPr="00EB32BB" w:rsidRDefault="00C76604" w:rsidP="00327CE7">
            <w:pPr>
              <w:pStyle w:val="BodyText"/>
              <w:spacing w:before="60" w:after="60" w:line="240" w:lineRule="auto"/>
              <w:rPr>
                <w:rFonts w:cs="Arial"/>
                <w:color w:val="008576"/>
                <w:szCs w:val="20"/>
              </w:rPr>
            </w:pPr>
            <w:r>
              <w:rPr>
                <w:rFonts w:cs="Arial"/>
                <w:b/>
                <w:noProof/>
                <w:color w:val="008576"/>
                <w:szCs w:val="20"/>
                <w:lang w:val="en-US" w:eastAsia="en-US"/>
              </w:rPr>
              <w:pict w14:anchorId="14918847">
                <v:shape id="_x0000_i1026" type="#_x0000_t75" alt="Description: Description: email_us_go_online" style="width:22.5pt;height:22.5pt;visibility:visible">
                  <v:imagedata r:id="rId12" o:title=""/>
                </v:shape>
              </w:pict>
            </w:r>
            <w:r w:rsidR="00E54184">
              <w:t xml:space="preserve"> </w:t>
            </w:r>
            <w:r w:rsidR="00E54184" w:rsidRPr="00D62EB8">
              <w:rPr>
                <w:rFonts w:cs="Arial"/>
                <w:b/>
                <w:noProof/>
                <w:color w:val="008576"/>
                <w:szCs w:val="20"/>
                <w:lang w:val="en-US" w:eastAsia="en-US"/>
              </w:rPr>
              <w:t>DCUSA@electralink.co.uk</w:t>
            </w:r>
          </w:p>
        </w:tc>
      </w:tr>
      <w:tr w:rsidR="00E54184" w:rsidRPr="00EB32BB" w14:paraId="2428AB7C"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2D8BA126" w14:textId="77777777" w:rsidR="00E54184" w:rsidRPr="00EB32BB" w:rsidRDefault="00E54184" w:rsidP="00327CE7">
            <w:pPr>
              <w:pStyle w:val="Contents01"/>
              <w:keepNext w:val="0"/>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60B1E846" w14:textId="77777777" w:rsidR="00E54184" w:rsidRPr="00EB32BB" w:rsidRDefault="00C76604" w:rsidP="00327CE7">
            <w:pPr>
              <w:pStyle w:val="BodyText"/>
              <w:spacing w:before="60" w:after="60" w:line="240" w:lineRule="auto"/>
              <w:rPr>
                <w:rFonts w:cs="Arial"/>
                <w:color w:val="008576"/>
                <w:szCs w:val="20"/>
              </w:rPr>
            </w:pPr>
            <w:r>
              <w:rPr>
                <w:rFonts w:cs="Arial"/>
                <w:b/>
                <w:noProof/>
                <w:color w:val="008576"/>
                <w:szCs w:val="20"/>
                <w:lang w:val="en-US" w:eastAsia="en-US"/>
              </w:rPr>
              <w:pict w14:anchorId="2E25D8AC">
                <v:shape id="_x0000_i1027" type="#_x0000_t75" alt="Description: Description: call_us" style="width:22.5pt;height:22.5pt;visibility:visible">
                  <v:imagedata r:id="rId13" o:title=""/>
                </v:shape>
              </w:pict>
            </w:r>
            <w:r w:rsidR="00E54184" w:rsidRPr="00D62EB8">
              <w:rPr>
                <w:rFonts w:cs="Arial"/>
                <w:b/>
                <w:noProof/>
                <w:color w:val="008576"/>
                <w:szCs w:val="20"/>
                <w:lang w:val="en-US" w:eastAsia="en-US"/>
              </w:rPr>
              <w:t>02074323000</w:t>
            </w:r>
          </w:p>
        </w:tc>
      </w:tr>
      <w:tr w:rsidR="00E54184" w:rsidRPr="00EB32BB" w14:paraId="391C3A2D"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474776A8" w14:textId="77777777" w:rsidR="00E54184" w:rsidRPr="00EB32BB" w:rsidRDefault="00E54184" w:rsidP="00327CE7">
            <w:pPr>
              <w:pStyle w:val="Contents01"/>
              <w:keepNext w:val="0"/>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1B9FF73B" w14:textId="77777777" w:rsidR="00E54184" w:rsidRPr="00EB32BB" w:rsidRDefault="00E54184" w:rsidP="00327CE7">
            <w:pPr>
              <w:spacing w:before="60" w:after="60" w:line="240" w:lineRule="auto"/>
              <w:rPr>
                <w:rFonts w:cs="Arial"/>
                <w:color w:val="008576"/>
                <w:szCs w:val="20"/>
              </w:rPr>
            </w:pPr>
            <w:r w:rsidRPr="00EB32BB">
              <w:rPr>
                <w:rFonts w:cs="Arial"/>
                <w:color w:val="008576"/>
                <w:szCs w:val="20"/>
              </w:rPr>
              <w:t>Proposer:</w:t>
            </w:r>
          </w:p>
          <w:p w14:paraId="62DC50FF" w14:textId="1316C7C4" w:rsidR="00E54184" w:rsidRPr="00EB32BB" w:rsidRDefault="00BB724F" w:rsidP="00327CE7">
            <w:pPr>
              <w:spacing w:before="60" w:after="60" w:line="240" w:lineRule="auto"/>
              <w:rPr>
                <w:rFonts w:cs="Arial"/>
                <w:b/>
                <w:color w:val="008576"/>
                <w:szCs w:val="20"/>
              </w:rPr>
            </w:pPr>
            <w:r>
              <w:rPr>
                <w:rFonts w:cs="Arial"/>
                <w:b/>
                <w:color w:val="008576"/>
                <w:szCs w:val="20"/>
              </w:rPr>
              <w:t>Peter Waymont</w:t>
            </w:r>
          </w:p>
        </w:tc>
      </w:tr>
      <w:tr w:rsidR="00E54184" w:rsidRPr="00EB32BB" w14:paraId="54E6A388" w14:textId="77777777" w:rsidTr="00857BF6">
        <w:trPr>
          <w:trHeight w:val="615"/>
        </w:trPr>
        <w:tc>
          <w:tcPr>
            <w:tcW w:w="7939" w:type="dxa"/>
            <w:vMerge/>
            <w:tcBorders>
              <w:left w:val="single" w:sz="4" w:space="0" w:color="4A8958"/>
              <w:bottom w:val="single" w:sz="4" w:space="0" w:color="4A8958"/>
              <w:right w:val="single" w:sz="4" w:space="0" w:color="4A8958"/>
            </w:tcBorders>
            <w:shd w:val="clear" w:color="auto" w:fill="auto"/>
          </w:tcPr>
          <w:p w14:paraId="0AF0ADA3" w14:textId="77777777" w:rsidR="00E54184" w:rsidRPr="00EB32BB" w:rsidRDefault="00E54184" w:rsidP="00327CE7">
            <w:pPr>
              <w:pStyle w:val="Contents01"/>
              <w:keepNext w:val="0"/>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4E41FF29" w14:textId="08C77CE1" w:rsidR="00E54184" w:rsidRPr="00EB32BB" w:rsidRDefault="00C76604" w:rsidP="00327CE7">
            <w:pPr>
              <w:pStyle w:val="BodyText"/>
              <w:spacing w:before="60" w:after="60" w:line="240" w:lineRule="auto"/>
              <w:rPr>
                <w:rFonts w:cs="Arial"/>
                <w:b/>
                <w:color w:val="008576"/>
                <w:szCs w:val="20"/>
              </w:rPr>
            </w:pPr>
            <w:r>
              <w:rPr>
                <w:rFonts w:cs="Arial"/>
                <w:b/>
                <w:noProof/>
                <w:color w:val="008576"/>
                <w:szCs w:val="20"/>
                <w:lang w:val="en-US" w:eastAsia="en-US"/>
              </w:rPr>
              <w:pict w14:anchorId="7CF5FFE5">
                <v:shape id="_x0000_i1028" type="#_x0000_t75" alt="Description: Description: email_us_go_online" style="width:22.5pt;height:22.5pt;visibility:visible">
                  <v:imagedata r:id="rId12" o:title=" email_us_go_online"/>
                </v:shape>
              </w:pict>
            </w:r>
            <w:r w:rsidR="00E54184" w:rsidRPr="00EB32BB">
              <w:rPr>
                <w:rFonts w:cs="Arial"/>
                <w:b/>
                <w:color w:val="008576"/>
                <w:szCs w:val="20"/>
              </w:rPr>
              <w:t xml:space="preserve"> </w:t>
            </w:r>
            <w:r w:rsidR="00BB724F">
              <w:rPr>
                <w:rFonts w:cs="Arial"/>
                <w:b/>
                <w:color w:val="008576"/>
                <w:szCs w:val="20"/>
              </w:rPr>
              <w:t>peter.waymont</w:t>
            </w:r>
            <w:r w:rsidR="00AE39CB">
              <w:rPr>
                <w:rFonts w:cs="Arial"/>
                <w:b/>
                <w:color w:val="008576"/>
                <w:szCs w:val="20"/>
              </w:rPr>
              <w:t>@ukpowernetworks.co.uk</w:t>
            </w:r>
          </w:p>
        </w:tc>
      </w:tr>
      <w:tr w:rsidR="00E54184" w:rsidRPr="00EB32BB" w14:paraId="1A24C924"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2F1C77DE" w14:textId="77777777" w:rsidR="00E54184" w:rsidRPr="00EB32BB" w:rsidRDefault="00E54184" w:rsidP="00327CE7">
            <w:pPr>
              <w:pStyle w:val="Contents01"/>
              <w:keepNext w:val="0"/>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722F42DB" w14:textId="50F9591E" w:rsidR="00E54184" w:rsidRPr="00EB32BB" w:rsidRDefault="00C76604" w:rsidP="00327CE7">
            <w:pPr>
              <w:pStyle w:val="BodyText"/>
              <w:spacing w:before="60" w:after="60" w:line="240" w:lineRule="auto"/>
              <w:rPr>
                <w:rFonts w:cs="Arial"/>
                <w:color w:val="008576"/>
                <w:szCs w:val="20"/>
              </w:rPr>
            </w:pPr>
            <w:r>
              <w:rPr>
                <w:rFonts w:cs="Arial"/>
                <w:b/>
                <w:noProof/>
                <w:color w:val="008576"/>
                <w:szCs w:val="20"/>
                <w:lang w:val="en-US" w:eastAsia="en-US"/>
              </w:rPr>
              <w:pict w14:anchorId="0466E3FD">
                <v:shape id="_x0000_i1029" type="#_x0000_t75" alt="Description: Description: call_us" style="width:22.5pt;height:22.5pt;visibility:visible">
                  <v:imagedata r:id="rId13" o:title=" call_us"/>
                </v:shape>
              </w:pict>
            </w:r>
            <w:r w:rsidR="00E54184">
              <w:rPr>
                <w:rFonts w:cs="Arial"/>
                <w:b/>
                <w:color w:val="008576"/>
                <w:szCs w:val="20"/>
              </w:rPr>
              <w:t xml:space="preserve"> </w:t>
            </w:r>
            <w:r w:rsidR="00BB724F">
              <w:rPr>
                <w:rFonts w:cs="Arial"/>
                <w:b/>
                <w:color w:val="008576"/>
                <w:szCs w:val="20"/>
              </w:rPr>
              <w:t>N/A</w:t>
            </w:r>
          </w:p>
        </w:tc>
      </w:tr>
    </w:tbl>
    <w:p w14:paraId="329EA6CF" w14:textId="77777777" w:rsidR="00A968AB" w:rsidRDefault="00A968AB" w:rsidP="00327CE7">
      <w:pPr>
        <w:rPr>
          <w:rFonts w:cs="Arial"/>
        </w:rPr>
      </w:pPr>
    </w:p>
    <w:p w14:paraId="0B7218E3" w14:textId="002994AA" w:rsidR="00C976B9" w:rsidRDefault="00C976B9">
      <w:pPr>
        <w:spacing w:before="0" w:after="0" w:line="240" w:lineRule="auto"/>
        <w:rPr>
          <w:rFonts w:cs="Arial"/>
        </w:rPr>
      </w:pPr>
      <w:r>
        <w:rPr>
          <w:rFonts w:cs="Arial"/>
        </w:rPr>
        <w:br w:type="page"/>
      </w:r>
    </w:p>
    <w:p w14:paraId="33317B7B" w14:textId="77777777" w:rsidR="00143041" w:rsidRPr="00610F10" w:rsidRDefault="004C6117" w:rsidP="005F7E14">
      <w:pPr>
        <w:pStyle w:val="Heading02"/>
      </w:pPr>
      <w:bookmarkStart w:id="0" w:name="_Toc188527263"/>
      <w:bookmarkStart w:id="1" w:name="_Toc318962133"/>
      <w:bookmarkStart w:id="2" w:name="_Toc453107796"/>
      <w:bookmarkStart w:id="3" w:name="_Toc4664536"/>
      <w:r w:rsidRPr="00610F10">
        <w:lastRenderedPageBreak/>
        <w:t>Summary</w:t>
      </w:r>
      <w:bookmarkEnd w:id="0"/>
      <w:bookmarkEnd w:id="1"/>
      <w:bookmarkEnd w:id="2"/>
      <w:bookmarkEnd w:id="3"/>
    </w:p>
    <w:p w14:paraId="0C5AEE4F" w14:textId="54F22D9B" w:rsidR="0012717A" w:rsidRPr="00610F10" w:rsidRDefault="0012717A" w:rsidP="00610F10">
      <w:pPr>
        <w:pStyle w:val="Heading4"/>
      </w:pPr>
      <w:bookmarkStart w:id="4" w:name="_Toc318962134"/>
      <w:r w:rsidRPr="00610F10">
        <w:t>What</w:t>
      </w:r>
      <w:r w:rsidR="00E26B1D" w:rsidRPr="00610F10">
        <w:t>?</w:t>
      </w:r>
    </w:p>
    <w:p w14:paraId="0123F28A" w14:textId="7455AFC4" w:rsidR="00E25A24" w:rsidRDefault="00BB724F" w:rsidP="006C57B2">
      <w:pPr>
        <w:pStyle w:val="Heading2"/>
        <w:numPr>
          <w:ilvl w:val="1"/>
          <w:numId w:val="16"/>
        </w:numPr>
      </w:pPr>
      <w:r>
        <w:t>Ofgem introduced an initiative (Innovation Link) in 2016 to promote innovation through what is known as a regulatory sandbox</w:t>
      </w:r>
      <w:r>
        <w:rPr>
          <w:rStyle w:val="FootnoteReference"/>
        </w:rPr>
        <w:footnoteReference w:id="2"/>
      </w:r>
      <w:r w:rsidR="002D2C1B" w:rsidRPr="00610F10">
        <w:t>.</w:t>
      </w:r>
      <w:r>
        <w:t xml:space="preserve"> This allows innovators to trial new products, services and business models in a real-world environment without having to comply with all the industry obligations.</w:t>
      </w:r>
    </w:p>
    <w:p w14:paraId="1644F1E2" w14:textId="5D4BAFA8" w:rsidR="00BB724F" w:rsidRDefault="00BB724F" w:rsidP="00BB724F">
      <w:pPr>
        <w:pStyle w:val="Heading2"/>
        <w:numPr>
          <w:ilvl w:val="1"/>
          <w:numId w:val="16"/>
        </w:numPr>
      </w:pPr>
      <w:r>
        <w:t>So far, the regulatory sandbox has covered obligations controlled by Ofgem based on four eligibility criteria:</w:t>
      </w:r>
    </w:p>
    <w:p w14:paraId="55C40DA1" w14:textId="7143CCDA" w:rsidR="00BB724F" w:rsidRDefault="00BB724F" w:rsidP="00BB724F">
      <w:pPr>
        <w:pStyle w:val="ListParagraph"/>
        <w:numPr>
          <w:ilvl w:val="0"/>
          <w:numId w:val="23"/>
        </w:numPr>
      </w:pPr>
      <w:r>
        <w:t>Innovation;</w:t>
      </w:r>
    </w:p>
    <w:p w14:paraId="5116A9E0" w14:textId="0EC2168D" w:rsidR="00BB724F" w:rsidRDefault="00BB724F" w:rsidP="00BB724F">
      <w:pPr>
        <w:pStyle w:val="ListParagraph"/>
        <w:numPr>
          <w:ilvl w:val="0"/>
          <w:numId w:val="23"/>
        </w:numPr>
      </w:pPr>
      <w:r>
        <w:t>Consumer benefit;</w:t>
      </w:r>
    </w:p>
    <w:p w14:paraId="46E7C73C" w14:textId="24F972B7" w:rsidR="00BB724F" w:rsidRDefault="00BB724F" w:rsidP="00BB724F">
      <w:pPr>
        <w:pStyle w:val="ListParagraph"/>
        <w:numPr>
          <w:ilvl w:val="0"/>
          <w:numId w:val="23"/>
        </w:numPr>
      </w:pPr>
      <w:r>
        <w:t>Background research; and</w:t>
      </w:r>
    </w:p>
    <w:p w14:paraId="10B2A04A" w14:textId="1440B0F3" w:rsidR="00BB724F" w:rsidRDefault="00BB724F" w:rsidP="00BB724F">
      <w:pPr>
        <w:pStyle w:val="ListParagraph"/>
        <w:numPr>
          <w:ilvl w:val="0"/>
          <w:numId w:val="23"/>
        </w:numPr>
      </w:pPr>
      <w:r>
        <w:t>The need for support.</w:t>
      </w:r>
    </w:p>
    <w:p w14:paraId="10D125F5" w14:textId="07250A65" w:rsidR="00BB724F" w:rsidRDefault="00BB724F" w:rsidP="00BB724F">
      <w:pPr>
        <w:pStyle w:val="Heading2"/>
        <w:numPr>
          <w:ilvl w:val="1"/>
          <w:numId w:val="16"/>
        </w:numPr>
      </w:pPr>
      <w:r>
        <w:t>If innovators are not licenced and are seeking derogations, then they will need to work with a licenced business for the duration of the sandbox.</w:t>
      </w:r>
    </w:p>
    <w:p w14:paraId="03410155" w14:textId="4EAF8DE3" w:rsidR="0058064E" w:rsidRPr="00BB724F" w:rsidRDefault="00BB724F" w:rsidP="00BB724F">
      <w:pPr>
        <w:pStyle w:val="Heading2"/>
        <w:numPr>
          <w:ilvl w:val="1"/>
          <w:numId w:val="16"/>
        </w:numPr>
      </w:pPr>
      <w:r>
        <w:t xml:space="preserve">Ofgem are not able to offer relief from the detailed codes which underpin the operation of the gas and electricity markets, and which industry maintain. In order to widen the scope of the sandbox, </w:t>
      </w:r>
      <w:r w:rsidR="0058064E">
        <w:t>Ofgem have worked closely with Code Administrators and developed Principle 14 – Code Administrators shall support prospective energy innovators, which now forms part of the Code Administrators Code of Practice (CACoP)</w:t>
      </w:r>
      <w:r w:rsidR="0058064E">
        <w:rPr>
          <w:rStyle w:val="FootnoteReference"/>
        </w:rPr>
        <w:footnoteReference w:id="3"/>
      </w:r>
      <w:r w:rsidR="0058064E">
        <w:t>.</w:t>
      </w:r>
    </w:p>
    <w:p w14:paraId="00560922" w14:textId="1B92BF03" w:rsidR="0012717A" w:rsidRPr="00610F10" w:rsidRDefault="0012717A" w:rsidP="00610F10">
      <w:pPr>
        <w:pStyle w:val="Heading4"/>
      </w:pPr>
      <w:r w:rsidRPr="00610F10">
        <w:t>Why</w:t>
      </w:r>
      <w:r w:rsidR="00E26B1D" w:rsidRPr="00610F10">
        <w:t>?</w:t>
      </w:r>
      <w:r w:rsidR="00CA136E" w:rsidRPr="00610F10">
        <w:t xml:space="preserve"> </w:t>
      </w:r>
    </w:p>
    <w:p w14:paraId="1698998D" w14:textId="7F4DC168" w:rsidR="00FD7FFA" w:rsidRPr="00610F10" w:rsidRDefault="0058064E" w:rsidP="00610F10">
      <w:pPr>
        <w:pStyle w:val="Heading2"/>
      </w:pPr>
      <w:r>
        <w:t>The DCUSA derogation process is not currently flexible enough to cater for sandbox applications and may result in an application being rejected or accepted by the Panel without the Authority position being known after a set period of time has lapsed</w:t>
      </w:r>
      <w:r w:rsidR="00704BD0" w:rsidRPr="00610F10">
        <w:t>.</w:t>
      </w:r>
      <w:r>
        <w:t xml:space="preserve"> This could cause un-necessary frustration and potentially costs to the innovator.</w:t>
      </w:r>
    </w:p>
    <w:p w14:paraId="12483A17" w14:textId="247C3603" w:rsidR="0012717A" w:rsidRPr="00610F10" w:rsidRDefault="0012717A" w:rsidP="00610F10">
      <w:pPr>
        <w:pStyle w:val="Heading4"/>
      </w:pPr>
      <w:r w:rsidRPr="00610F10">
        <w:t>How</w:t>
      </w:r>
      <w:r w:rsidR="00E26B1D" w:rsidRPr="00610F10">
        <w:t>?</w:t>
      </w:r>
    </w:p>
    <w:p w14:paraId="68250DC9" w14:textId="023612EA" w:rsidR="00327CE7" w:rsidRPr="00610F10" w:rsidRDefault="0058064E" w:rsidP="00610F10">
      <w:pPr>
        <w:pStyle w:val="Heading2"/>
      </w:pPr>
      <w:r>
        <w:t>The derogation clause 56 is proposed to be amended to cater for the processing of the sandbox application</w:t>
      </w:r>
      <w:r w:rsidR="00704BD0" w:rsidRPr="00610F10">
        <w:t>.</w:t>
      </w:r>
      <w:r>
        <w:t xml:space="preserve"> The proposed process introduces send back powers to both the Panel and the Authority together with a positive accept or reject of the application by the Authority.</w:t>
      </w:r>
    </w:p>
    <w:p w14:paraId="4BCD187F" w14:textId="7F7F1388" w:rsidR="00E6212D" w:rsidRPr="00610F10" w:rsidRDefault="00E6212D" w:rsidP="005F7E14">
      <w:pPr>
        <w:pStyle w:val="Heading02"/>
      </w:pPr>
      <w:bookmarkStart w:id="5" w:name="_Toc453107797"/>
      <w:bookmarkStart w:id="6" w:name="_Toc4664537"/>
      <w:r w:rsidRPr="00610F10">
        <w:lastRenderedPageBreak/>
        <w:t>Governance</w:t>
      </w:r>
      <w:bookmarkEnd w:id="4"/>
      <w:bookmarkEnd w:id="5"/>
      <w:bookmarkEnd w:id="6"/>
    </w:p>
    <w:p w14:paraId="16319196" w14:textId="27A3447C" w:rsidR="007C7FB5" w:rsidRPr="00610F10" w:rsidRDefault="002D7C43" w:rsidP="00610F10">
      <w:pPr>
        <w:pStyle w:val="Heading4"/>
      </w:pPr>
      <w:r w:rsidRPr="00610F10">
        <w:t>Justification for</w:t>
      </w:r>
      <w:r w:rsidR="00335479" w:rsidRPr="00610F10">
        <w:t xml:space="preserve"> Part </w:t>
      </w:r>
      <w:r w:rsidR="0058064E">
        <w:t>1</w:t>
      </w:r>
      <w:r w:rsidR="00582E0D" w:rsidRPr="00610F10">
        <w:t xml:space="preserve"> Matter</w:t>
      </w:r>
      <w:r w:rsidR="00231812" w:rsidRPr="00610F10">
        <w:t xml:space="preserve"> </w:t>
      </w:r>
    </w:p>
    <w:p w14:paraId="776BF8A3" w14:textId="6E00A559" w:rsidR="00CA2364" w:rsidRPr="00610F10" w:rsidRDefault="00455943" w:rsidP="006C57B2">
      <w:pPr>
        <w:pStyle w:val="Heading2"/>
        <w:numPr>
          <w:ilvl w:val="1"/>
          <w:numId w:val="17"/>
        </w:numPr>
      </w:pPr>
      <w:r w:rsidRPr="00610F10">
        <w:t xml:space="preserve">This </w:t>
      </w:r>
      <w:r w:rsidR="0058064E">
        <w:t>Change Proposal should be classed as a Part 1 Matter since it concerns the governance or the change control arrangements applying to this Agreement</w:t>
      </w:r>
      <w:r w:rsidR="00704BD0" w:rsidRPr="00610F10">
        <w:t xml:space="preserve">. </w:t>
      </w:r>
    </w:p>
    <w:p w14:paraId="5906D612" w14:textId="16192C21" w:rsidR="00A835C8" w:rsidRDefault="00F0352A" w:rsidP="00610F10">
      <w:pPr>
        <w:pStyle w:val="Heading4"/>
        <w:rPr>
          <w:i/>
          <w:iCs/>
        </w:rPr>
      </w:pPr>
      <w:r>
        <w:t>Current</w:t>
      </w:r>
      <w:r w:rsidR="00E50A06">
        <w:t xml:space="preserve"> Next Steps</w:t>
      </w:r>
      <w:bookmarkStart w:id="7" w:name="_Toc318962135"/>
      <w:bookmarkStart w:id="8" w:name="_Toc453107798"/>
    </w:p>
    <w:p w14:paraId="3ED9FC73" w14:textId="15108DA6" w:rsidR="00727E45" w:rsidRDefault="00704BD0" w:rsidP="0058064E">
      <w:pPr>
        <w:pStyle w:val="ListParagraph"/>
        <w:numPr>
          <w:ilvl w:val="1"/>
          <w:numId w:val="14"/>
        </w:numPr>
        <w:jc w:val="both"/>
      </w:pPr>
      <w:r>
        <w:t>The Working Group agree that the next steps are to issue this c</w:t>
      </w:r>
      <w:r w:rsidR="00A835C8">
        <w:t xml:space="preserve">onsultation </w:t>
      </w:r>
      <w:r>
        <w:t>d</w:t>
      </w:r>
      <w:r w:rsidR="00A835C8">
        <w:t>ocument</w:t>
      </w:r>
      <w:r>
        <w:t xml:space="preserve"> to Parties for a period of three weeks.</w:t>
      </w:r>
    </w:p>
    <w:p w14:paraId="2AB00D45" w14:textId="4DA5ED95" w:rsidR="004C6117" w:rsidRPr="00610F10" w:rsidRDefault="004C6117" w:rsidP="005F7E14">
      <w:pPr>
        <w:pStyle w:val="Heading02"/>
      </w:pPr>
      <w:bookmarkStart w:id="9" w:name="_Toc4664538"/>
      <w:r w:rsidRPr="00610F10">
        <w:t>Why Change?</w:t>
      </w:r>
      <w:bookmarkEnd w:id="7"/>
      <w:bookmarkEnd w:id="8"/>
      <w:bookmarkEnd w:id="9"/>
    </w:p>
    <w:p w14:paraId="3EF9D514" w14:textId="43F9391D" w:rsidR="00A13762" w:rsidRDefault="00E563EF" w:rsidP="00610F10">
      <w:pPr>
        <w:pStyle w:val="Heading4"/>
        <w:rPr>
          <w:i/>
          <w:iCs/>
        </w:rPr>
      </w:pPr>
      <w:r>
        <w:t>Background of DCP 3</w:t>
      </w:r>
      <w:r w:rsidR="0058064E">
        <w:t>45</w:t>
      </w:r>
    </w:p>
    <w:p w14:paraId="7803D71F" w14:textId="77777777" w:rsidR="0058064E" w:rsidRDefault="0058064E" w:rsidP="00610F10">
      <w:pPr>
        <w:pStyle w:val="Heading2"/>
      </w:pPr>
      <w:r>
        <w:t>Ofgem have introduced a regulatory sandbox to promote innovation within the energy industry</w:t>
      </w:r>
      <w:r w:rsidR="00704BD0">
        <w:t>.</w:t>
      </w:r>
      <w:r>
        <w:t xml:space="preserve"> It however cannot fully process those initiatives that impact industry codes. In order to progress further and support innovators. Ofgem have introduced principle 14 within CACoP. The principle description being:</w:t>
      </w:r>
    </w:p>
    <w:p w14:paraId="699502A7" w14:textId="6B08BEF8" w:rsidR="00086384" w:rsidRDefault="0058064E" w:rsidP="0058064E">
      <w:pPr>
        <w:pStyle w:val="Heading2"/>
        <w:numPr>
          <w:ilvl w:val="0"/>
          <w:numId w:val="0"/>
        </w:numPr>
        <w:ind w:left="578"/>
        <w:rPr>
          <w:i/>
          <w:iCs w:val="0"/>
        </w:rPr>
      </w:pPr>
      <w:r>
        <w:rPr>
          <w:i/>
          <w:iCs w:val="0"/>
        </w:rPr>
        <w:t>“Code Administrators shall support prospective energy innovators (“applicants”) by providing guidance on their codes to any applicant including those not acceded to said code(s). Ofgem</w:t>
      </w:r>
      <w:r w:rsidR="003F0B7D">
        <w:rPr>
          <w:i/>
          <w:iCs w:val="0"/>
        </w:rPr>
        <w:t xml:space="preserve"> will act as the co-ordinating and externally-facing body and will be responsible for receiving and assessing information from applicants. For applicants seeking to trial an innovative product or service. Code Administrators will assess the appropriateness of the proposed temporary derogation and provide advice to the </w:t>
      </w:r>
      <w:r w:rsidR="003F0B7D">
        <w:rPr>
          <w:b/>
          <w:bCs w:val="0"/>
          <w:i/>
          <w:iCs w:val="0"/>
        </w:rPr>
        <w:t>Code Panel who will provide a recommendation to Ofgem</w:t>
      </w:r>
      <w:r w:rsidR="003F0B7D">
        <w:rPr>
          <w:i/>
          <w:iCs w:val="0"/>
        </w:rPr>
        <w:t>”</w:t>
      </w:r>
    </w:p>
    <w:p w14:paraId="49933085" w14:textId="71FF7F70" w:rsidR="003F0B7D" w:rsidRDefault="003F0B7D" w:rsidP="003F0B7D">
      <w:pPr>
        <w:pStyle w:val="Heading2"/>
      </w:pPr>
      <w:r>
        <w:t>In addition, principle 14 also provides guidance where it makes it clear that it is the Authority who will grant the derogation:</w:t>
      </w:r>
    </w:p>
    <w:p w14:paraId="23C32605" w14:textId="3B49517D" w:rsidR="003F0B7D" w:rsidRDefault="003F0B7D" w:rsidP="003F0B7D">
      <w:pPr>
        <w:ind w:left="578"/>
        <w:rPr>
          <w:i/>
          <w:iCs/>
        </w:rPr>
      </w:pPr>
      <w:r>
        <w:rPr>
          <w:i/>
          <w:iCs/>
        </w:rPr>
        <w:t xml:space="preserve">“Enable applicants to trial innovations, where applicable, </w:t>
      </w:r>
      <w:r>
        <w:rPr>
          <w:b/>
          <w:bCs/>
          <w:i/>
          <w:iCs/>
        </w:rPr>
        <w:t>through time limited derogations granted by the Gas and Electricity Markets Authority</w:t>
      </w:r>
      <w:r>
        <w:rPr>
          <w:i/>
          <w:iCs/>
        </w:rPr>
        <w:t>”.</w:t>
      </w:r>
    </w:p>
    <w:p w14:paraId="06C8027A" w14:textId="19454922" w:rsidR="003F0B7D" w:rsidRDefault="003F0B7D" w:rsidP="003F0B7D">
      <w:pPr>
        <w:pStyle w:val="Heading2"/>
      </w:pPr>
      <w:r>
        <w:t>The current derogation process allows a derogation to any obligation, but this is usually related to newly introduced or amended obligations introduced by the change control process or new entrants:</w:t>
      </w:r>
    </w:p>
    <w:p w14:paraId="03A5FDDB" w14:textId="6AEA847D" w:rsidR="0036481D" w:rsidRDefault="003F0B7D" w:rsidP="0036481D">
      <w:pPr>
        <w:ind w:left="578"/>
        <w:rPr>
          <w:color w:val="FF0000"/>
        </w:rPr>
      </w:pPr>
      <w:r>
        <w:rPr>
          <w:i/>
          <w:iCs/>
        </w:rPr>
        <w:t xml:space="preserve">“The Panel may (subject to Clause 56.3) resolve, on the application of any Party, </w:t>
      </w:r>
      <w:r>
        <w:rPr>
          <w:i/>
          <w:iCs/>
          <w:color w:val="FF0000"/>
        </w:rPr>
        <w:t xml:space="preserve">to grant a derogation to any Party or Parties in relation to any obligation or obligations contained in this Agreement. </w:t>
      </w:r>
      <w:r>
        <w:rPr>
          <w:i/>
          <w:iCs/>
        </w:rPr>
        <w:t xml:space="preserve">In resolving to grant such derogation, the Panel may impose such conditions as it sees fit, and shall specify the term, scope and application </w:t>
      </w:r>
      <w:r w:rsidR="0036481D">
        <w:rPr>
          <w:i/>
          <w:iCs/>
        </w:rPr>
        <w:t xml:space="preserve">of such derogation. </w:t>
      </w:r>
      <w:r w:rsidR="0036481D">
        <w:rPr>
          <w:i/>
          <w:iCs/>
          <w:color w:val="FF0000"/>
        </w:rPr>
        <w:t xml:space="preserve">Derogations will normally only be granted in respect of newly introduced or amended obligations (or obligations due to be implemented in the future). </w:t>
      </w:r>
    </w:p>
    <w:p w14:paraId="41E996E3" w14:textId="3A136811" w:rsidR="0036481D" w:rsidRDefault="0036481D" w:rsidP="0036481D">
      <w:pPr>
        <w:pStyle w:val="Heading2"/>
      </w:pPr>
      <w:r>
        <w:t>The current process also allows for a non-veto by the Authority:</w:t>
      </w:r>
    </w:p>
    <w:p w14:paraId="4EFF7AB6" w14:textId="7DA5A210" w:rsidR="0036481D" w:rsidRDefault="0036481D" w:rsidP="0036481D">
      <w:pPr>
        <w:ind w:left="578"/>
        <w:rPr>
          <w:i/>
          <w:iCs/>
        </w:rPr>
      </w:pPr>
      <w:r>
        <w:rPr>
          <w:i/>
          <w:iCs/>
        </w:rPr>
        <w:lastRenderedPageBreak/>
        <w:t>“</w:t>
      </w:r>
      <w:r>
        <w:rPr>
          <w:i/>
          <w:iCs/>
          <w:color w:val="FF0000"/>
        </w:rPr>
        <w:t>A derogation granted to any Party by the Panel</w:t>
      </w:r>
      <w:r>
        <w:rPr>
          <w:i/>
          <w:iCs/>
        </w:rPr>
        <w:t xml:space="preserve">, or any retraction, amendment or addition under Clause 56.2, </w:t>
      </w:r>
      <w:r>
        <w:rPr>
          <w:i/>
          <w:iCs/>
          <w:color w:val="FF0000"/>
        </w:rPr>
        <w:t>shall, in each case, only be effective if made in conformity with any represent</w:t>
      </w:r>
      <w:r w:rsidR="00B634BD">
        <w:rPr>
          <w:i/>
          <w:iCs/>
          <w:color w:val="FF0000"/>
        </w:rPr>
        <w:t>ations received from the Authority in accordance with Clause 56.5.3 and if not vetoed by the Authority within 10 Working Days of notification of the Panel’s decision and the rationale for it.</w:t>
      </w:r>
      <w:r w:rsidR="00B634BD">
        <w:rPr>
          <w:i/>
          <w:iCs/>
        </w:rPr>
        <w:t>”</w:t>
      </w:r>
    </w:p>
    <w:p w14:paraId="564741AA" w14:textId="17BB6C59" w:rsidR="00B634BD" w:rsidRDefault="00B634BD" w:rsidP="0036481D">
      <w:pPr>
        <w:ind w:left="578"/>
      </w:pPr>
      <w:r>
        <w:t>If the Authority do not reply within the 10 Working Days, it is classed on a non-veto and the Panel recommendation is deemed to be approved.</w:t>
      </w:r>
    </w:p>
    <w:p w14:paraId="4B7B7EE3" w14:textId="72204CCC" w:rsidR="00B634BD" w:rsidRDefault="00B634BD" w:rsidP="00B634BD">
      <w:pPr>
        <w:pStyle w:val="Heading2"/>
      </w:pPr>
      <w:r>
        <w:t>There is a risk that if there is no change to this process and the Authority response to the sandbox application is received sometime later than the 10 Working Days after the Panel has approved the derogation, and the innovator has potentially started their project, that this may result in costs to the innovator should be Authority reject the derogation request. Conversely should the Authority overrule the Panel, the innovator may have been given a rejection notice, which is then followed up with an acceptance, thereby creating further uncertainty and frustration with the process.</w:t>
      </w:r>
    </w:p>
    <w:p w14:paraId="71848B4A" w14:textId="76225598" w:rsidR="00B634BD" w:rsidRPr="00B634BD" w:rsidRDefault="00B634BD" w:rsidP="00B634BD">
      <w:pPr>
        <w:pStyle w:val="Heading2"/>
      </w:pPr>
      <w:r>
        <w:t>In addition, DCUSA is currently silent on whether any rejected requests made by the Panel are subject to a decision by the Authority.</w:t>
      </w:r>
    </w:p>
    <w:tbl>
      <w:tblPr>
        <w:tblStyle w:val="TableList2"/>
        <w:tblW w:w="0" w:type="auto"/>
        <w:tblBorders>
          <w:bottom w:val="single" w:sz="6" w:space="0" w:color="000000"/>
        </w:tblBorders>
        <w:shd w:val="pct75" w:color="008080" w:fill="008000"/>
        <w:tblLook w:val="04A0" w:firstRow="1" w:lastRow="0" w:firstColumn="1" w:lastColumn="0" w:noHBand="0" w:noVBand="1"/>
      </w:tblPr>
      <w:tblGrid>
        <w:gridCol w:w="9346"/>
      </w:tblGrid>
      <w:tr w:rsidR="00E563EF" w:rsidRPr="00B50322" w14:paraId="49C6B720" w14:textId="77777777" w:rsidTr="00057496">
        <w:trPr>
          <w:cnfStyle w:val="100000000000" w:firstRow="1" w:lastRow="0" w:firstColumn="0" w:lastColumn="0" w:oddVBand="0" w:evenVBand="0" w:oddHBand="0" w:evenHBand="0" w:firstRowFirstColumn="0" w:firstRowLastColumn="0" w:lastRowFirstColumn="0" w:lastRowLastColumn="0"/>
        </w:trPr>
        <w:tc>
          <w:tcPr>
            <w:tcW w:w="9346" w:type="dxa"/>
            <w:tcBorders>
              <w:bottom w:val="none" w:sz="0" w:space="0" w:color="auto"/>
            </w:tcBorders>
          </w:tcPr>
          <w:p w14:paraId="012D8151" w14:textId="5A52AA7B" w:rsidR="00E563EF" w:rsidRPr="00B50322" w:rsidRDefault="00E563EF" w:rsidP="00057496">
            <w:pPr>
              <w:jc w:val="both"/>
              <w:rPr>
                <w:szCs w:val="20"/>
              </w:rPr>
            </w:pPr>
            <w:r w:rsidRPr="00B50322">
              <w:rPr>
                <w:szCs w:val="20"/>
              </w:rPr>
              <w:t>Q1: Do you understand the intent of DCP 3</w:t>
            </w:r>
            <w:r w:rsidR="00B634BD">
              <w:rPr>
                <w:szCs w:val="20"/>
              </w:rPr>
              <w:t>45</w:t>
            </w:r>
            <w:r w:rsidRPr="00B50322">
              <w:rPr>
                <w:szCs w:val="20"/>
              </w:rPr>
              <w:t>?</w:t>
            </w:r>
          </w:p>
        </w:tc>
      </w:tr>
    </w:tbl>
    <w:p w14:paraId="3770A38A" w14:textId="7ED4DEDA" w:rsidR="00E563EF" w:rsidRPr="00B50322" w:rsidRDefault="00E563EF" w:rsidP="00610F10">
      <w:pPr>
        <w:pStyle w:val="NoSpacing"/>
      </w:pPr>
    </w:p>
    <w:tbl>
      <w:tblPr>
        <w:tblStyle w:val="TableList2"/>
        <w:tblW w:w="0" w:type="auto"/>
        <w:tblLook w:val="04A0" w:firstRow="1" w:lastRow="0" w:firstColumn="1" w:lastColumn="0" w:noHBand="0" w:noVBand="1"/>
      </w:tblPr>
      <w:tblGrid>
        <w:gridCol w:w="9346"/>
      </w:tblGrid>
      <w:tr w:rsidR="00E563EF" w:rsidRPr="00B50322" w14:paraId="4BC51316" w14:textId="77777777" w:rsidTr="00E563EF">
        <w:trPr>
          <w:cnfStyle w:val="100000000000" w:firstRow="1" w:lastRow="0" w:firstColumn="0" w:lastColumn="0" w:oddVBand="0" w:evenVBand="0" w:oddHBand="0" w:evenHBand="0" w:firstRowFirstColumn="0" w:firstRowLastColumn="0" w:lastRowFirstColumn="0" w:lastRowLastColumn="0"/>
        </w:trPr>
        <w:tc>
          <w:tcPr>
            <w:tcW w:w="9346" w:type="dxa"/>
          </w:tcPr>
          <w:p w14:paraId="77BA93CD" w14:textId="2901B7CC" w:rsidR="00E563EF" w:rsidRPr="00B50322" w:rsidRDefault="00E563EF" w:rsidP="00057496">
            <w:pPr>
              <w:jc w:val="both"/>
              <w:rPr>
                <w:szCs w:val="20"/>
              </w:rPr>
            </w:pPr>
            <w:r w:rsidRPr="00B50322">
              <w:rPr>
                <w:szCs w:val="20"/>
              </w:rPr>
              <w:t>Q2: Are you supportive of the principles of DCP 3</w:t>
            </w:r>
            <w:r w:rsidR="00B634BD">
              <w:rPr>
                <w:szCs w:val="20"/>
              </w:rPr>
              <w:t>45</w:t>
            </w:r>
            <w:r w:rsidRPr="00B50322">
              <w:rPr>
                <w:szCs w:val="20"/>
              </w:rPr>
              <w:t>?</w:t>
            </w:r>
          </w:p>
        </w:tc>
      </w:tr>
    </w:tbl>
    <w:p w14:paraId="1717BA8A" w14:textId="77777777" w:rsidR="00B52063" w:rsidRPr="00610F10" w:rsidRDefault="0007537E" w:rsidP="005F7E14">
      <w:pPr>
        <w:pStyle w:val="Heading02"/>
      </w:pPr>
      <w:bookmarkStart w:id="10" w:name="_Toc4664539"/>
      <w:r w:rsidRPr="00610F10">
        <w:t>Working Group Assessment</w:t>
      </w:r>
      <w:bookmarkEnd w:id="10"/>
      <w:r w:rsidRPr="00610F10">
        <w:t xml:space="preserve"> </w:t>
      </w:r>
    </w:p>
    <w:p w14:paraId="045C030C" w14:textId="1F392675" w:rsidR="0012717A" w:rsidRDefault="00335479" w:rsidP="00610F10">
      <w:pPr>
        <w:pStyle w:val="Heading4"/>
        <w:rPr>
          <w:i/>
          <w:iCs/>
        </w:rPr>
      </w:pPr>
      <w:bookmarkStart w:id="11" w:name="_Toc318962139"/>
      <w:r>
        <w:t xml:space="preserve">DCP </w:t>
      </w:r>
      <w:r w:rsidR="00E96D40">
        <w:t>3</w:t>
      </w:r>
      <w:r w:rsidR="00B634BD">
        <w:t>45</w:t>
      </w:r>
      <w:r w:rsidR="007A1926">
        <w:t xml:space="preserve"> </w:t>
      </w:r>
      <w:r w:rsidR="0012717A">
        <w:t>Working Group Assessment</w:t>
      </w:r>
    </w:p>
    <w:p w14:paraId="2EEE33D6" w14:textId="34ABF8A3" w:rsidR="0037500E" w:rsidRPr="00702777" w:rsidRDefault="0012717A" w:rsidP="00610F10">
      <w:pPr>
        <w:pStyle w:val="Heading2"/>
      </w:pPr>
      <w:r w:rsidRPr="00832598">
        <w:t>The DCUSA Panel established a</w:t>
      </w:r>
      <w:r w:rsidR="00455943">
        <w:t xml:space="preserve"> Working Group to assess DCP </w:t>
      </w:r>
      <w:r w:rsidR="00E563EF">
        <w:t>3</w:t>
      </w:r>
      <w:r w:rsidR="00B634BD">
        <w:t>45</w:t>
      </w:r>
      <w:r w:rsidRPr="00832598">
        <w:t xml:space="preserve">. This Working Group consists </w:t>
      </w:r>
      <w:r w:rsidR="009B449F">
        <w:t>of DNO</w:t>
      </w:r>
      <w:r w:rsidR="00E563EF">
        <w:t>s</w:t>
      </w:r>
      <w:r w:rsidR="00227DA3">
        <w:t xml:space="preserve"> and </w:t>
      </w:r>
      <w:r w:rsidR="00B117D5">
        <w:t>Supplier</w:t>
      </w:r>
      <w:r w:rsidR="009B449F">
        <w:t xml:space="preserve"> representatives</w:t>
      </w:r>
      <w:r w:rsidR="00E563EF">
        <w:t>.</w:t>
      </w:r>
      <w:r>
        <w:t xml:space="preserve"> </w:t>
      </w:r>
      <w:r w:rsidRPr="00832598">
        <w:t xml:space="preserve">Meetings were held in open session and the minutes and papers of each meeting are available on the DCUSA website – </w:t>
      </w:r>
      <w:hyperlink r:id="rId14" w:history="1">
        <w:r w:rsidRPr="00832598">
          <w:t>www.dcusa.co.uk</w:t>
        </w:r>
      </w:hyperlink>
      <w:r w:rsidRPr="00832598">
        <w:t>.</w:t>
      </w:r>
    </w:p>
    <w:p w14:paraId="532854B1" w14:textId="38BFF551" w:rsidR="00DB3E13" w:rsidRDefault="00770866" w:rsidP="00B634BD">
      <w:pPr>
        <w:pStyle w:val="Heading2"/>
      </w:pPr>
      <w:r w:rsidRPr="00610F10">
        <w:t>The</w:t>
      </w:r>
      <w:r w:rsidR="00227DA3" w:rsidRPr="00610F10">
        <w:t xml:space="preserve"> Proposer’s initial solution is to</w:t>
      </w:r>
      <w:r w:rsidR="00B634BD">
        <w:t xml:space="preserve"> amend Clause 56 by ensuring that the process is not completed until the Authority has formally responded to the request for sandbox applications.</w:t>
      </w:r>
    </w:p>
    <w:p w14:paraId="3732EC35" w14:textId="480B9850" w:rsidR="00B634BD" w:rsidRDefault="00B634BD" w:rsidP="00B634BD">
      <w:pPr>
        <w:pStyle w:val="Heading2"/>
      </w:pPr>
      <w:r>
        <w:t>In addition, the process should be enhanced to cater for:</w:t>
      </w:r>
    </w:p>
    <w:p w14:paraId="6A9CD4B1" w14:textId="6832FB05" w:rsidR="00B634BD" w:rsidRDefault="00B634BD" w:rsidP="00B634BD">
      <w:pPr>
        <w:pStyle w:val="ListParagraph"/>
        <w:numPr>
          <w:ilvl w:val="0"/>
          <w:numId w:val="24"/>
        </w:numPr>
      </w:pPr>
      <w:r>
        <w:t>Panel and Authority send back powers similar to that in the change process;</w:t>
      </w:r>
    </w:p>
    <w:p w14:paraId="06D4EA14" w14:textId="629514DF" w:rsidR="00B634BD" w:rsidRDefault="00B634BD" w:rsidP="00B634BD">
      <w:pPr>
        <w:pStyle w:val="ListParagraph"/>
        <w:numPr>
          <w:ilvl w:val="0"/>
          <w:numId w:val="24"/>
        </w:numPr>
      </w:pPr>
      <w:r>
        <w:t>An initial sandbox report to include what the initiative is and what clauses are to be derogated against;</w:t>
      </w:r>
    </w:p>
    <w:p w14:paraId="0C4EA148" w14:textId="5AA04B15" w:rsidR="00B634BD" w:rsidRDefault="00B634BD" w:rsidP="00B634BD">
      <w:pPr>
        <w:pStyle w:val="ListParagraph"/>
        <w:numPr>
          <w:ilvl w:val="0"/>
          <w:numId w:val="24"/>
        </w:numPr>
      </w:pPr>
      <w:r>
        <w:t>Parties to have the ability to comment on the sandbox application;</w:t>
      </w:r>
    </w:p>
    <w:p w14:paraId="526D3A0C" w14:textId="18CE56EC" w:rsidR="00B634BD" w:rsidRDefault="00B634BD" w:rsidP="00B634BD">
      <w:pPr>
        <w:pStyle w:val="ListParagraph"/>
        <w:numPr>
          <w:ilvl w:val="0"/>
          <w:numId w:val="24"/>
        </w:numPr>
      </w:pPr>
      <w:r>
        <w:t>A sandbox report post Party representation; and</w:t>
      </w:r>
    </w:p>
    <w:p w14:paraId="3EE95C2C" w14:textId="49B7B77F" w:rsidR="00B634BD" w:rsidRPr="00B634BD" w:rsidRDefault="00B634BD" w:rsidP="00B634BD">
      <w:pPr>
        <w:pStyle w:val="ListParagraph"/>
        <w:numPr>
          <w:ilvl w:val="0"/>
          <w:numId w:val="24"/>
        </w:numPr>
      </w:pPr>
      <w:r>
        <w:t>A final report to the Authority that contains all of the above together with any conditions placed on the derogation by the Panel (similar to the current process).</w:t>
      </w:r>
    </w:p>
    <w:tbl>
      <w:tblPr>
        <w:tblStyle w:val="TableList2"/>
        <w:tblW w:w="0" w:type="auto"/>
        <w:tblLook w:val="04A0" w:firstRow="1" w:lastRow="0" w:firstColumn="1" w:lastColumn="0" w:noHBand="0" w:noVBand="1"/>
      </w:tblPr>
      <w:tblGrid>
        <w:gridCol w:w="9346"/>
      </w:tblGrid>
      <w:tr w:rsidR="00E40782" w14:paraId="45B4411A" w14:textId="77777777" w:rsidTr="00E40782">
        <w:trPr>
          <w:cnfStyle w:val="100000000000" w:firstRow="1" w:lastRow="0" w:firstColumn="0" w:lastColumn="0" w:oddVBand="0" w:evenVBand="0" w:oddHBand="0" w:evenHBand="0" w:firstRowFirstColumn="0" w:firstRowLastColumn="0" w:lastRowFirstColumn="0" w:lastRowLastColumn="0"/>
        </w:trPr>
        <w:tc>
          <w:tcPr>
            <w:tcW w:w="9346" w:type="dxa"/>
          </w:tcPr>
          <w:p w14:paraId="4F853E4F" w14:textId="36E135F3" w:rsidR="00E40782" w:rsidRDefault="00E40782" w:rsidP="00AC6105">
            <w:pPr>
              <w:spacing w:before="240" w:after="60" w:line="360" w:lineRule="auto"/>
              <w:outlineLvl w:val="1"/>
              <w:rPr>
                <w:szCs w:val="20"/>
              </w:rPr>
            </w:pPr>
            <w:r>
              <w:rPr>
                <w:szCs w:val="20"/>
              </w:rPr>
              <w:lastRenderedPageBreak/>
              <w:t>Q</w:t>
            </w:r>
            <w:r w:rsidR="008F7F65">
              <w:rPr>
                <w:szCs w:val="20"/>
              </w:rPr>
              <w:t>3</w:t>
            </w:r>
            <w:r>
              <w:rPr>
                <w:szCs w:val="20"/>
              </w:rPr>
              <w:t>: Do you agree with the proposed solution for this CP? Please provide your rationale.</w:t>
            </w:r>
          </w:p>
        </w:tc>
      </w:tr>
    </w:tbl>
    <w:p w14:paraId="467C738B" w14:textId="7E447F4A" w:rsidR="00AC6105" w:rsidRDefault="00AC6105" w:rsidP="00610F10">
      <w:pPr>
        <w:pStyle w:val="NoSpacing"/>
      </w:pPr>
    </w:p>
    <w:p w14:paraId="24D43A16" w14:textId="77777777" w:rsidR="00C66CE1" w:rsidRDefault="00C66CE1" w:rsidP="00610F10">
      <w:pPr>
        <w:pStyle w:val="NoSpacing"/>
      </w:pPr>
    </w:p>
    <w:tbl>
      <w:tblPr>
        <w:tblStyle w:val="TableList2"/>
        <w:tblW w:w="0" w:type="auto"/>
        <w:tblLook w:val="04A0" w:firstRow="1" w:lastRow="0" w:firstColumn="1" w:lastColumn="0" w:noHBand="0" w:noVBand="1"/>
      </w:tblPr>
      <w:tblGrid>
        <w:gridCol w:w="9346"/>
      </w:tblGrid>
      <w:tr w:rsidR="00E40782" w14:paraId="4EA1C7E2" w14:textId="77777777" w:rsidTr="00E40782">
        <w:trPr>
          <w:cnfStyle w:val="100000000000" w:firstRow="1" w:lastRow="0" w:firstColumn="0" w:lastColumn="0" w:oddVBand="0" w:evenVBand="0" w:oddHBand="0" w:evenHBand="0" w:firstRowFirstColumn="0" w:firstRowLastColumn="0" w:lastRowFirstColumn="0" w:lastRowLastColumn="0"/>
        </w:trPr>
        <w:tc>
          <w:tcPr>
            <w:tcW w:w="9346" w:type="dxa"/>
          </w:tcPr>
          <w:p w14:paraId="47276D88" w14:textId="4004D7C8" w:rsidR="00E40782" w:rsidRDefault="00E40782" w:rsidP="00AC6105">
            <w:pPr>
              <w:spacing w:before="240" w:after="60" w:line="360" w:lineRule="auto"/>
              <w:outlineLvl w:val="1"/>
              <w:rPr>
                <w:szCs w:val="20"/>
              </w:rPr>
            </w:pPr>
            <w:r>
              <w:rPr>
                <w:szCs w:val="20"/>
              </w:rPr>
              <w:t>Q</w:t>
            </w:r>
            <w:r w:rsidR="00B634BD">
              <w:rPr>
                <w:szCs w:val="20"/>
              </w:rPr>
              <w:t>4</w:t>
            </w:r>
            <w:r>
              <w:rPr>
                <w:szCs w:val="20"/>
              </w:rPr>
              <w:t>: Do you believe the Working Group should consider a different solution? If so, please provide your rationale.</w:t>
            </w:r>
          </w:p>
        </w:tc>
      </w:tr>
    </w:tbl>
    <w:p w14:paraId="6FF1B0CE" w14:textId="2618B4AA" w:rsidR="00C76604" w:rsidRDefault="00C76604" w:rsidP="00C76604">
      <w:pPr>
        <w:pStyle w:val="Heading2"/>
        <w:numPr>
          <w:ilvl w:val="0"/>
          <w:numId w:val="0"/>
        </w:numPr>
        <w:ind w:left="578"/>
      </w:pPr>
      <w:bookmarkStart w:id="12" w:name="_Toc4664540"/>
    </w:p>
    <w:p w14:paraId="1CD7B1E8" w14:textId="65F64C32" w:rsidR="00C76604" w:rsidRPr="00C76604" w:rsidRDefault="00C76604" w:rsidP="00C76604">
      <w:pPr>
        <w:pStyle w:val="Heading4"/>
      </w:pPr>
      <w:r>
        <w:t xml:space="preserve">DCUSA Sandbox Application Guidance Document </w:t>
      </w:r>
    </w:p>
    <w:p w14:paraId="7A02CF86" w14:textId="0DC68DD3" w:rsidR="00C76604" w:rsidRDefault="00C76604" w:rsidP="00C76604">
      <w:pPr>
        <w:pStyle w:val="Heading2"/>
        <w:rPr>
          <w:highlight w:val="yellow"/>
        </w:rPr>
      </w:pPr>
      <w:r w:rsidRPr="00232121">
        <w:rPr>
          <w:highlight w:val="yellow"/>
        </w:rPr>
        <w:t xml:space="preserve">Working Group input required here </w:t>
      </w:r>
    </w:p>
    <w:tbl>
      <w:tblPr>
        <w:tblStyle w:val="TableList2"/>
        <w:tblW w:w="0" w:type="auto"/>
        <w:tblLook w:val="04A0" w:firstRow="1" w:lastRow="0" w:firstColumn="1" w:lastColumn="0" w:noHBand="0" w:noVBand="1"/>
      </w:tblPr>
      <w:tblGrid>
        <w:gridCol w:w="9346"/>
      </w:tblGrid>
      <w:tr w:rsidR="00FE4CC9" w14:paraId="66F91608" w14:textId="77777777" w:rsidTr="00FE4CC9">
        <w:trPr>
          <w:cnfStyle w:val="100000000000" w:firstRow="1" w:lastRow="0" w:firstColumn="0" w:lastColumn="0" w:oddVBand="0" w:evenVBand="0" w:oddHBand="0" w:evenHBand="0" w:firstRowFirstColumn="0" w:firstRowLastColumn="0" w:lastRowFirstColumn="0" w:lastRowLastColumn="0"/>
        </w:trPr>
        <w:tc>
          <w:tcPr>
            <w:tcW w:w="9346" w:type="dxa"/>
          </w:tcPr>
          <w:p w14:paraId="3E51E633" w14:textId="7151CA29" w:rsidR="00FE4CC9" w:rsidRDefault="00FE4CC9" w:rsidP="00FE4CC9">
            <w:pPr>
              <w:rPr>
                <w:highlight w:val="yellow"/>
              </w:rPr>
            </w:pPr>
            <w:r w:rsidRPr="00FE4CC9">
              <w:t xml:space="preserve">Q5: Do Parties have any suggested </w:t>
            </w:r>
            <w:r>
              <w:t>a</w:t>
            </w:r>
            <w:r w:rsidRPr="00FE4CC9">
              <w:t>mendments on the DCUSA Sandbox Application Guidance Document?</w:t>
            </w:r>
          </w:p>
        </w:tc>
      </w:tr>
    </w:tbl>
    <w:p w14:paraId="153B96AC" w14:textId="77777777" w:rsidR="00FE4CC9" w:rsidRPr="00FE4CC9" w:rsidRDefault="00FE4CC9" w:rsidP="00FE4CC9">
      <w:pPr>
        <w:rPr>
          <w:highlight w:val="yellow"/>
        </w:rPr>
      </w:pPr>
    </w:p>
    <w:p w14:paraId="49B7EBA9" w14:textId="03F7DC88" w:rsidR="00F97791" w:rsidRPr="00610F10" w:rsidRDefault="00F97791" w:rsidP="005F7E14">
      <w:pPr>
        <w:pStyle w:val="Heading02"/>
      </w:pPr>
      <w:r w:rsidRPr="00610F10">
        <w:t>Legal Text</w:t>
      </w:r>
      <w:bookmarkEnd w:id="12"/>
      <w:r w:rsidR="005908D1" w:rsidRPr="00610F10">
        <w:t xml:space="preserve"> </w:t>
      </w:r>
    </w:p>
    <w:p w14:paraId="2FD88052" w14:textId="490EA5AE" w:rsidR="00DC3EEC" w:rsidRDefault="00702777" w:rsidP="00610F10">
      <w:pPr>
        <w:pStyle w:val="Heading4"/>
      </w:pPr>
      <w:r>
        <w:t xml:space="preserve">DCP </w:t>
      </w:r>
      <w:r w:rsidR="00DB3E13">
        <w:t>3</w:t>
      </w:r>
      <w:r w:rsidR="00B634BD">
        <w:t>45</w:t>
      </w:r>
      <w:r w:rsidR="00DB3E13">
        <w:t xml:space="preserve"> Proposed Legal Text</w:t>
      </w:r>
    </w:p>
    <w:p w14:paraId="1C662C08" w14:textId="77777777" w:rsidR="00856C43" w:rsidRDefault="00D4139F" w:rsidP="00610F10">
      <w:pPr>
        <w:pStyle w:val="Heading2"/>
      </w:pPr>
      <w:r>
        <w:t xml:space="preserve">The proposed </w:t>
      </w:r>
      <w:r w:rsidR="00856C43">
        <w:t xml:space="preserve">legal text for DCP 345 make the following changes: </w:t>
      </w:r>
    </w:p>
    <w:p w14:paraId="0F736A98" w14:textId="2E7F3A67" w:rsidR="00856C43" w:rsidRDefault="00856C43" w:rsidP="00856C43">
      <w:pPr>
        <w:pStyle w:val="Heading2"/>
        <w:numPr>
          <w:ilvl w:val="0"/>
          <w:numId w:val="25"/>
        </w:numPr>
      </w:pPr>
      <w:r>
        <w:t>The addition of definitions for “Sandbox Application”, “Sandbox Application” and “Sandbox Register”. These will be included in Section 1 – Definitions and Interpretations;</w:t>
      </w:r>
    </w:p>
    <w:p w14:paraId="61F04A2C" w14:textId="5935158E" w:rsidR="00856C43" w:rsidRDefault="009A3A1D" w:rsidP="00856C43">
      <w:pPr>
        <w:pStyle w:val="ListParagraph"/>
        <w:numPr>
          <w:ilvl w:val="0"/>
          <w:numId w:val="25"/>
        </w:numPr>
      </w:pPr>
      <w:r>
        <w:t>The amendment of Clause 56.1 – 56.3 to include the implementation of the Sandbox Application;</w:t>
      </w:r>
    </w:p>
    <w:p w14:paraId="617C7FD6" w14:textId="195A94E1" w:rsidR="00326AD5" w:rsidRPr="00DB3E13" w:rsidRDefault="009A3A1D" w:rsidP="009A3A1D">
      <w:pPr>
        <w:pStyle w:val="ListParagraph"/>
        <w:numPr>
          <w:ilvl w:val="0"/>
          <w:numId w:val="25"/>
        </w:numPr>
      </w:pPr>
      <w:r>
        <w:t>Inclusion of Clauses 56.10 – 56.20 to detail the Sandbox Application Process.</w:t>
      </w:r>
    </w:p>
    <w:p w14:paraId="78252C02" w14:textId="599323D0" w:rsidR="00455943" w:rsidRDefault="009A3A1D" w:rsidP="00610F10">
      <w:pPr>
        <w:pStyle w:val="Heading2"/>
        <w:rPr>
          <w:i/>
        </w:rPr>
      </w:pPr>
      <w:r>
        <w:t>The proposed legal text can be found as attachment 2</w:t>
      </w:r>
      <w:r w:rsidR="005809FC">
        <w:rPr>
          <w:i/>
        </w:rPr>
        <w:t>.</w:t>
      </w:r>
    </w:p>
    <w:tbl>
      <w:tblPr>
        <w:tblStyle w:val="TableList2"/>
        <w:tblW w:w="0" w:type="auto"/>
        <w:tblLook w:val="04A0" w:firstRow="1" w:lastRow="0" w:firstColumn="1" w:lastColumn="0" w:noHBand="0" w:noVBand="1"/>
      </w:tblPr>
      <w:tblGrid>
        <w:gridCol w:w="9346"/>
      </w:tblGrid>
      <w:tr w:rsidR="000A40BF" w14:paraId="03E255F6" w14:textId="77777777" w:rsidTr="000A40BF">
        <w:trPr>
          <w:cnfStyle w:val="100000000000" w:firstRow="1" w:lastRow="0" w:firstColumn="0" w:lastColumn="0" w:oddVBand="0" w:evenVBand="0" w:oddHBand="0" w:evenHBand="0" w:firstRowFirstColumn="0" w:firstRowLastColumn="0" w:lastRowFirstColumn="0" w:lastRowLastColumn="0"/>
        </w:trPr>
        <w:tc>
          <w:tcPr>
            <w:tcW w:w="9346" w:type="dxa"/>
          </w:tcPr>
          <w:p w14:paraId="66B33417" w14:textId="587B0BA9" w:rsidR="000A40BF" w:rsidRDefault="005809FC" w:rsidP="000A40BF">
            <w:r>
              <w:t>Q</w:t>
            </w:r>
            <w:r w:rsidR="00FE4CC9">
              <w:t>6</w:t>
            </w:r>
            <w:r w:rsidR="000A40BF">
              <w:t xml:space="preserve">: Do you have any comments on </w:t>
            </w:r>
            <w:r w:rsidR="00DB3E13">
              <w:t>the proposed legal text for DCP 3</w:t>
            </w:r>
            <w:r w:rsidR="009A3A1D">
              <w:t>45</w:t>
            </w:r>
            <w:r w:rsidR="000A40BF">
              <w:t>?</w:t>
            </w:r>
            <w:r w:rsidR="00DB3E13">
              <w:t xml:space="preserve"> Please provide your rationale.</w:t>
            </w:r>
          </w:p>
        </w:tc>
      </w:tr>
    </w:tbl>
    <w:p w14:paraId="365DCA11" w14:textId="798AA4D5" w:rsidR="00B52063" w:rsidRPr="00EB32BB" w:rsidRDefault="00B52063" w:rsidP="005F7E14">
      <w:pPr>
        <w:pStyle w:val="Heading02"/>
      </w:pPr>
      <w:bookmarkStart w:id="13" w:name="_Toc453107801"/>
      <w:bookmarkStart w:id="14" w:name="_Toc4664541"/>
      <w:r w:rsidRPr="00EB32BB">
        <w:t>Relevant Objectives</w:t>
      </w:r>
      <w:bookmarkEnd w:id="11"/>
      <w:bookmarkEnd w:id="13"/>
      <w:bookmarkEnd w:id="14"/>
    </w:p>
    <w:p w14:paraId="471DCB89" w14:textId="77777777" w:rsidR="002733C1" w:rsidRPr="002733C1" w:rsidRDefault="002733C1" w:rsidP="00610F10">
      <w:pPr>
        <w:pStyle w:val="Heading4"/>
        <w:rPr>
          <w:rFonts w:ascii="Calibri" w:hAnsi="Calibri"/>
          <w:sz w:val="22"/>
        </w:rPr>
      </w:pPr>
      <w:r w:rsidRPr="00F04DA2">
        <w:t>A</w:t>
      </w:r>
      <w:r>
        <w:t>ssessment A</w:t>
      </w:r>
      <w:r w:rsidRPr="00F04DA2">
        <w:t xml:space="preserve">gainst the </w:t>
      </w:r>
      <w:r>
        <w:t>DCUSA O</w:t>
      </w:r>
      <w:r w:rsidRPr="00F04DA2">
        <w:t xml:space="preserve">bjectives </w:t>
      </w:r>
    </w:p>
    <w:p w14:paraId="098A5C12" w14:textId="77777777" w:rsidR="00503AEC" w:rsidRDefault="00586BD1" w:rsidP="00610F10">
      <w:pPr>
        <w:pStyle w:val="Heading2"/>
      </w:pPr>
      <w:r w:rsidRPr="003D5BA8">
        <w:t xml:space="preserve">For a DCUSA Change Proposal to be approved it must be demonstrated that it better meets the DCUSA Objectives. </w:t>
      </w:r>
    </w:p>
    <w:p w14:paraId="02B1F79D" w14:textId="3E84A821" w:rsidR="00503AEC" w:rsidRPr="009A3A1D" w:rsidRDefault="00503AEC" w:rsidP="009A3A1D">
      <w:pPr>
        <w:pStyle w:val="Heading2"/>
      </w:pPr>
      <w:r w:rsidRPr="00DB01C7">
        <w:lastRenderedPageBreak/>
        <w:t xml:space="preserve">The Proposer </w:t>
      </w:r>
      <w:r w:rsidR="00DB3E13" w:rsidRPr="00DB01C7">
        <w:t xml:space="preserve">of DCP </w:t>
      </w:r>
      <w:r w:rsidR="009A3A1D">
        <w:t>345 believes that DCUSA General Objective four will be better facilitated by the implementation of this change as it will provide a more robust and transparent process for handling sandbox applications received from innovators via Ofgem and ensure a positive decision is received from the Authority.</w:t>
      </w:r>
    </w:p>
    <w:tbl>
      <w:tblPr>
        <w:tblW w:w="9639" w:type="dxa"/>
        <w:tblInd w:w="15"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Layout w:type="fixed"/>
        <w:tblCellMar>
          <w:left w:w="0" w:type="dxa"/>
          <w:right w:w="0" w:type="dxa"/>
        </w:tblCellMar>
        <w:tblLook w:val="01E0" w:firstRow="1" w:lastRow="1" w:firstColumn="1" w:lastColumn="1" w:noHBand="0" w:noVBand="0"/>
      </w:tblPr>
      <w:tblGrid>
        <w:gridCol w:w="7908"/>
        <w:gridCol w:w="1731"/>
      </w:tblGrid>
      <w:tr w:rsidR="00455943" w:rsidRPr="00441C23" w14:paraId="544F594F" w14:textId="77777777" w:rsidTr="00610F10">
        <w:trPr>
          <w:cantSplit/>
          <w:trHeight w:val="397"/>
        </w:trPr>
        <w:tc>
          <w:tcPr>
            <w:tcW w:w="7908" w:type="dxa"/>
            <w:vAlign w:val="center"/>
          </w:tcPr>
          <w:p w14:paraId="2453FD36" w14:textId="2E9B4628" w:rsidR="00455943" w:rsidRPr="004603F2" w:rsidRDefault="00455943" w:rsidP="00327CE7">
            <w:pPr>
              <w:pStyle w:val="Tablebodycopy"/>
              <w:ind w:left="0" w:right="238"/>
              <w:jc w:val="center"/>
              <w:rPr>
                <w:rFonts w:cs="Arial"/>
                <w:b/>
                <w:sz w:val="22"/>
                <w:szCs w:val="22"/>
              </w:rPr>
            </w:pPr>
            <w:r>
              <w:rPr>
                <w:rFonts w:cs="Arial"/>
                <w:b/>
                <w:sz w:val="22"/>
                <w:szCs w:val="22"/>
              </w:rPr>
              <w:t xml:space="preserve">DCUSA </w:t>
            </w:r>
            <w:r w:rsidR="00B12A30">
              <w:rPr>
                <w:rFonts w:cs="Arial"/>
                <w:b/>
                <w:sz w:val="22"/>
                <w:szCs w:val="22"/>
              </w:rPr>
              <w:t>General</w:t>
            </w:r>
            <w:r>
              <w:rPr>
                <w:rFonts w:cs="Arial"/>
                <w:b/>
                <w:sz w:val="22"/>
                <w:szCs w:val="22"/>
              </w:rPr>
              <w:t xml:space="preserve"> Objectives</w:t>
            </w:r>
          </w:p>
        </w:tc>
        <w:tc>
          <w:tcPr>
            <w:tcW w:w="1731" w:type="dxa"/>
          </w:tcPr>
          <w:p w14:paraId="4525C04E" w14:textId="77777777" w:rsidR="00455943" w:rsidRPr="0060253F" w:rsidRDefault="00455943" w:rsidP="00327CE7">
            <w:pPr>
              <w:spacing w:before="40" w:after="40"/>
              <w:ind w:left="57" w:right="57"/>
              <w:rPr>
                <w:b/>
                <w:i/>
              </w:rPr>
            </w:pPr>
            <w:r w:rsidRPr="0060253F">
              <w:rPr>
                <w:b/>
              </w:rPr>
              <w:t>Identified impact</w:t>
            </w:r>
          </w:p>
        </w:tc>
      </w:tr>
      <w:tr w:rsidR="00455943" w:rsidRPr="00674659" w14:paraId="46FB1F71" w14:textId="77777777" w:rsidTr="00610F10">
        <w:trPr>
          <w:cantSplit/>
          <w:trHeight w:val="397"/>
        </w:trPr>
        <w:tc>
          <w:tcPr>
            <w:tcW w:w="7908" w:type="dxa"/>
          </w:tcPr>
          <w:p w14:paraId="032217E6" w14:textId="206C983D" w:rsidR="00455943" w:rsidRPr="00EB32BB" w:rsidRDefault="009A3A1D" w:rsidP="00610F10">
            <w:pPr>
              <w:pStyle w:val="BodyText"/>
              <w:ind w:left="603" w:right="57" w:hanging="546"/>
              <w:jc w:val="both"/>
              <w:rPr>
                <w:rFonts w:cs="Arial"/>
                <w:noProof/>
              </w:rPr>
            </w:pPr>
            <w:r>
              <w:rPr>
                <w:rFonts w:cs="Arial"/>
                <w:noProof/>
              </w:rPr>
              <w:fldChar w:fldCharType="begin">
                <w:ffData>
                  <w:name w:val="Check1"/>
                  <w:enabled/>
                  <w:calcOnExit w:val="0"/>
                  <w:checkBox>
                    <w:sizeAuto/>
                    <w:default w:val="0"/>
                  </w:checkBox>
                </w:ffData>
              </w:fldChar>
            </w:r>
            <w:bookmarkStart w:id="15" w:name="Check1"/>
            <w:r>
              <w:rPr>
                <w:rFonts w:cs="Arial"/>
                <w:noProof/>
              </w:rPr>
              <w:instrText xml:space="preserve"> FORMCHECKBOX </w:instrText>
            </w:r>
            <w:r w:rsidR="00FE4CC9">
              <w:rPr>
                <w:rFonts w:cs="Arial"/>
                <w:noProof/>
              </w:rPr>
            </w:r>
            <w:r w:rsidR="00FE4CC9">
              <w:rPr>
                <w:rFonts w:cs="Arial"/>
                <w:noProof/>
              </w:rPr>
              <w:fldChar w:fldCharType="separate"/>
            </w:r>
            <w:r>
              <w:rPr>
                <w:rFonts w:cs="Arial"/>
                <w:noProof/>
              </w:rPr>
              <w:fldChar w:fldCharType="end"/>
            </w:r>
            <w:bookmarkEnd w:id="15"/>
            <w:r w:rsidR="00455943" w:rsidRPr="00441C23">
              <w:rPr>
                <w:rFonts w:cs="Arial"/>
                <w:noProof/>
              </w:rPr>
              <w:t xml:space="preserve"> 1 </w:t>
            </w:r>
            <w:r w:rsidR="00E40782">
              <w:rPr>
                <w:rFonts w:cs="Arial"/>
                <w:noProof/>
              </w:rPr>
              <w:t>The development, maintenance and operation by the DNO Parties and IDNO Parties of efficient, co-ordinated, and economical Distribution Networks.</w:t>
            </w:r>
          </w:p>
        </w:tc>
        <w:tc>
          <w:tcPr>
            <w:tcW w:w="1731" w:type="dxa"/>
          </w:tcPr>
          <w:p w14:paraId="4DFB911F" w14:textId="45C491E2" w:rsidR="00455943" w:rsidRPr="00610F10" w:rsidRDefault="009A3A1D" w:rsidP="00610F10">
            <w:pPr>
              <w:ind w:left="113"/>
              <w:rPr>
                <w:b/>
              </w:rPr>
            </w:pPr>
            <w:r>
              <w:rPr>
                <w:b/>
              </w:rPr>
              <w:t>None</w:t>
            </w:r>
          </w:p>
        </w:tc>
      </w:tr>
      <w:tr w:rsidR="00455943" w:rsidRPr="00674659" w14:paraId="36B7C6D0" w14:textId="77777777" w:rsidTr="00610F10">
        <w:trPr>
          <w:cantSplit/>
          <w:trHeight w:val="397"/>
        </w:trPr>
        <w:tc>
          <w:tcPr>
            <w:tcW w:w="7908" w:type="dxa"/>
          </w:tcPr>
          <w:p w14:paraId="20F5F011" w14:textId="5A0AE393" w:rsidR="00455943" w:rsidRPr="0060253F" w:rsidRDefault="00E40782" w:rsidP="00610F10">
            <w:pPr>
              <w:pStyle w:val="BodyText"/>
              <w:ind w:left="603" w:right="57" w:hanging="546"/>
              <w:jc w:val="both"/>
              <w:rPr>
                <w:rFonts w:cs="Arial"/>
                <w:noProof/>
              </w:rPr>
            </w:pPr>
            <w:r>
              <w:rPr>
                <w:rFonts w:cs="Arial"/>
                <w:noProof/>
              </w:rPr>
              <w:fldChar w:fldCharType="begin">
                <w:ffData>
                  <w:name w:val="Check2"/>
                  <w:enabled/>
                  <w:calcOnExit w:val="0"/>
                  <w:checkBox>
                    <w:sizeAuto/>
                    <w:default w:val="0"/>
                  </w:checkBox>
                </w:ffData>
              </w:fldChar>
            </w:r>
            <w:bookmarkStart w:id="16" w:name="Check2"/>
            <w:r>
              <w:rPr>
                <w:rFonts w:cs="Arial"/>
                <w:noProof/>
              </w:rPr>
              <w:instrText xml:space="preserve"> FORMCHECKBOX </w:instrText>
            </w:r>
            <w:r w:rsidR="00FE4CC9">
              <w:rPr>
                <w:rFonts w:cs="Arial"/>
                <w:noProof/>
              </w:rPr>
            </w:r>
            <w:r w:rsidR="00FE4CC9">
              <w:rPr>
                <w:rFonts w:cs="Arial"/>
                <w:noProof/>
              </w:rPr>
              <w:fldChar w:fldCharType="separate"/>
            </w:r>
            <w:r>
              <w:rPr>
                <w:rFonts w:cs="Arial"/>
                <w:noProof/>
              </w:rPr>
              <w:fldChar w:fldCharType="end"/>
            </w:r>
            <w:bookmarkEnd w:id="16"/>
            <w:r w:rsidR="00455943" w:rsidRPr="00441C23">
              <w:rPr>
                <w:rFonts w:cs="Arial"/>
                <w:noProof/>
              </w:rPr>
              <w:t xml:space="preserve"> 2 </w:t>
            </w:r>
            <w:r>
              <w:rPr>
                <w:rFonts w:cs="Arial"/>
                <w:noProof/>
              </w:rPr>
              <w:t>The facilitation of effective competition in the generation and supply of electricity and (so far is consistent therewith) the promotion of such competition in the sale, distribution and purchase of electricity.</w:t>
            </w:r>
          </w:p>
        </w:tc>
        <w:tc>
          <w:tcPr>
            <w:tcW w:w="1731" w:type="dxa"/>
          </w:tcPr>
          <w:p w14:paraId="16077247" w14:textId="50D4EB46" w:rsidR="00455943" w:rsidRPr="00610F10" w:rsidRDefault="009A3A1D" w:rsidP="00610F10">
            <w:pPr>
              <w:ind w:left="113"/>
              <w:rPr>
                <w:b/>
              </w:rPr>
            </w:pPr>
            <w:r>
              <w:rPr>
                <w:b/>
              </w:rPr>
              <w:t>None</w:t>
            </w:r>
          </w:p>
        </w:tc>
      </w:tr>
      <w:tr w:rsidR="00503AEC" w:rsidRPr="00674659" w14:paraId="7F379745" w14:textId="77777777" w:rsidTr="00610F10">
        <w:trPr>
          <w:cantSplit/>
          <w:trHeight w:val="397"/>
        </w:trPr>
        <w:tc>
          <w:tcPr>
            <w:tcW w:w="7908" w:type="dxa"/>
          </w:tcPr>
          <w:p w14:paraId="43B31148" w14:textId="3BEF808D" w:rsidR="00503AEC" w:rsidRDefault="009A3A1D" w:rsidP="00610F10">
            <w:pPr>
              <w:pStyle w:val="BodyText"/>
              <w:ind w:left="603" w:right="57" w:hanging="546"/>
              <w:jc w:val="both"/>
              <w:rPr>
                <w:rFonts w:cs="Arial"/>
                <w:noProof/>
              </w:rPr>
            </w:pPr>
            <w:r>
              <w:rPr>
                <w:rFonts w:cs="Arial"/>
                <w:noProof/>
              </w:rPr>
              <w:fldChar w:fldCharType="begin">
                <w:ffData>
                  <w:name w:val="Check3"/>
                  <w:enabled/>
                  <w:calcOnExit w:val="0"/>
                  <w:checkBox>
                    <w:sizeAuto/>
                    <w:default w:val="0"/>
                  </w:checkBox>
                </w:ffData>
              </w:fldChar>
            </w:r>
            <w:bookmarkStart w:id="17" w:name="Check3"/>
            <w:r>
              <w:rPr>
                <w:rFonts w:cs="Arial"/>
                <w:noProof/>
              </w:rPr>
              <w:instrText xml:space="preserve"> FORMCHECKBOX </w:instrText>
            </w:r>
            <w:r w:rsidR="00FE4CC9">
              <w:rPr>
                <w:rFonts w:cs="Arial"/>
                <w:noProof/>
              </w:rPr>
            </w:r>
            <w:r w:rsidR="00FE4CC9">
              <w:rPr>
                <w:rFonts w:cs="Arial"/>
                <w:noProof/>
              </w:rPr>
              <w:fldChar w:fldCharType="separate"/>
            </w:r>
            <w:r>
              <w:rPr>
                <w:rFonts w:cs="Arial"/>
                <w:noProof/>
              </w:rPr>
              <w:fldChar w:fldCharType="end"/>
            </w:r>
            <w:bookmarkEnd w:id="17"/>
            <w:r w:rsidR="00503AEC" w:rsidRPr="00E46C74">
              <w:rPr>
                <w:rFonts w:cs="Arial"/>
                <w:noProof/>
              </w:rPr>
              <w:t xml:space="preserve"> 3 </w:t>
            </w:r>
            <w:r w:rsidR="00E40782">
              <w:rPr>
                <w:rFonts w:cs="Arial"/>
                <w:noProof/>
              </w:rPr>
              <w:t>The efficient discharge by the DNO Parties and IDNO Parties of obligations imposed upon them in their Distribution Licences.</w:t>
            </w:r>
          </w:p>
        </w:tc>
        <w:tc>
          <w:tcPr>
            <w:tcW w:w="1731" w:type="dxa"/>
          </w:tcPr>
          <w:p w14:paraId="47AAD198" w14:textId="622D5AA9" w:rsidR="00503AEC" w:rsidRPr="00610F10" w:rsidRDefault="009A3A1D" w:rsidP="00610F10">
            <w:pPr>
              <w:ind w:left="113"/>
              <w:rPr>
                <w:b/>
              </w:rPr>
            </w:pPr>
            <w:r>
              <w:rPr>
                <w:b/>
              </w:rPr>
              <w:t>None</w:t>
            </w:r>
          </w:p>
        </w:tc>
      </w:tr>
      <w:tr w:rsidR="00455943" w:rsidRPr="00674659" w14:paraId="72B018F3" w14:textId="77777777" w:rsidTr="00610F10">
        <w:trPr>
          <w:cantSplit/>
          <w:trHeight w:val="397"/>
        </w:trPr>
        <w:tc>
          <w:tcPr>
            <w:tcW w:w="7908" w:type="dxa"/>
          </w:tcPr>
          <w:p w14:paraId="4352FC2B" w14:textId="5833CF20" w:rsidR="00455943" w:rsidRPr="0060253F" w:rsidRDefault="00E40782" w:rsidP="00610F10">
            <w:pPr>
              <w:pStyle w:val="BodyText"/>
              <w:ind w:left="603" w:right="57" w:hanging="546"/>
              <w:jc w:val="both"/>
              <w:rPr>
                <w:rFonts w:cs="Arial"/>
                <w:noProof/>
              </w:rPr>
            </w:pPr>
            <w:r>
              <w:rPr>
                <w:rFonts w:cs="Arial"/>
                <w:noProof/>
              </w:rPr>
              <w:fldChar w:fldCharType="begin">
                <w:ffData>
                  <w:name w:val="Check4"/>
                  <w:enabled/>
                  <w:calcOnExit w:val="0"/>
                  <w:checkBox>
                    <w:sizeAuto/>
                    <w:default w:val="1"/>
                  </w:checkBox>
                </w:ffData>
              </w:fldChar>
            </w:r>
            <w:bookmarkStart w:id="18" w:name="Check4"/>
            <w:r>
              <w:rPr>
                <w:rFonts w:cs="Arial"/>
                <w:noProof/>
              </w:rPr>
              <w:instrText xml:space="preserve"> FORMCHECKBOX </w:instrText>
            </w:r>
            <w:r w:rsidR="00FE4CC9">
              <w:rPr>
                <w:rFonts w:cs="Arial"/>
                <w:noProof/>
              </w:rPr>
            </w:r>
            <w:r w:rsidR="00FE4CC9">
              <w:rPr>
                <w:rFonts w:cs="Arial"/>
                <w:noProof/>
              </w:rPr>
              <w:fldChar w:fldCharType="separate"/>
            </w:r>
            <w:r>
              <w:rPr>
                <w:rFonts w:cs="Arial"/>
                <w:noProof/>
              </w:rPr>
              <w:fldChar w:fldCharType="end"/>
            </w:r>
            <w:bookmarkEnd w:id="18"/>
            <w:r w:rsidR="00455943" w:rsidRPr="00441C23">
              <w:rPr>
                <w:rFonts w:cs="Arial"/>
                <w:noProof/>
              </w:rPr>
              <w:t xml:space="preserve"> 4 </w:t>
            </w:r>
            <w:r>
              <w:rPr>
                <w:rFonts w:cs="Arial"/>
                <w:noProof/>
              </w:rPr>
              <w:t>The promotion of efficiency in the implementation and administration of the DCUSA.</w:t>
            </w:r>
          </w:p>
        </w:tc>
        <w:tc>
          <w:tcPr>
            <w:tcW w:w="1731" w:type="dxa"/>
          </w:tcPr>
          <w:p w14:paraId="61A0D8F5" w14:textId="77AA86EC" w:rsidR="00455943" w:rsidRPr="00610F10" w:rsidRDefault="00E40782" w:rsidP="00610F10">
            <w:pPr>
              <w:ind w:left="113"/>
              <w:rPr>
                <w:b/>
              </w:rPr>
            </w:pPr>
            <w:r w:rsidRPr="00610F10">
              <w:rPr>
                <w:b/>
              </w:rPr>
              <w:t>Positive</w:t>
            </w:r>
          </w:p>
        </w:tc>
      </w:tr>
      <w:tr w:rsidR="00455943" w:rsidRPr="00674659" w14:paraId="49A86349" w14:textId="77777777" w:rsidTr="00610F10">
        <w:trPr>
          <w:cantSplit/>
          <w:trHeight w:val="1273"/>
        </w:trPr>
        <w:tc>
          <w:tcPr>
            <w:tcW w:w="7908" w:type="dxa"/>
          </w:tcPr>
          <w:p w14:paraId="68BA1C55" w14:textId="65D78DBC" w:rsidR="00455943" w:rsidRPr="0060253F" w:rsidRDefault="00455943" w:rsidP="00610F10">
            <w:pPr>
              <w:pStyle w:val="BodyText"/>
              <w:ind w:left="603" w:right="57" w:hanging="546"/>
              <w:jc w:val="both"/>
              <w:rPr>
                <w:rFonts w:cs="Arial"/>
                <w:noProof/>
              </w:rPr>
            </w:pPr>
            <w:r w:rsidRPr="00441C23">
              <w:rPr>
                <w:rFonts w:cs="Arial"/>
                <w:noProof/>
              </w:rPr>
              <w:fldChar w:fldCharType="begin">
                <w:ffData>
                  <w:name w:val="Check8"/>
                  <w:enabled/>
                  <w:calcOnExit w:val="0"/>
                  <w:checkBox>
                    <w:sizeAuto/>
                    <w:default w:val="0"/>
                  </w:checkBox>
                </w:ffData>
              </w:fldChar>
            </w:r>
            <w:r w:rsidRPr="00441C23">
              <w:rPr>
                <w:rFonts w:cs="Arial"/>
                <w:noProof/>
              </w:rPr>
              <w:instrText xml:space="preserve"> FORMCHECKBOX </w:instrText>
            </w:r>
            <w:r w:rsidR="00FE4CC9">
              <w:rPr>
                <w:rFonts w:cs="Arial"/>
                <w:noProof/>
              </w:rPr>
            </w:r>
            <w:r w:rsidR="00FE4CC9">
              <w:rPr>
                <w:rFonts w:cs="Arial"/>
                <w:noProof/>
              </w:rPr>
              <w:fldChar w:fldCharType="separate"/>
            </w:r>
            <w:r w:rsidRPr="00441C23">
              <w:rPr>
                <w:rFonts w:cs="Arial"/>
                <w:noProof/>
              </w:rPr>
              <w:fldChar w:fldCharType="end"/>
            </w:r>
            <w:r w:rsidRPr="00441C23">
              <w:rPr>
                <w:rFonts w:cs="Arial"/>
                <w:noProof/>
              </w:rPr>
              <w:t xml:space="preserve"> 5 </w:t>
            </w:r>
            <w:r w:rsidR="00E40782">
              <w:rPr>
                <w:rFonts w:cs="Arial"/>
                <w:noProof/>
              </w:rPr>
              <w:t>Compliance with the Regulation on Cross-Border Exchange and Electricity and any relevant legally binding decisions of the European Commission and/or the Agency for the Co-operation of Energy Regulators.</w:t>
            </w:r>
          </w:p>
        </w:tc>
        <w:tc>
          <w:tcPr>
            <w:tcW w:w="1731" w:type="dxa"/>
          </w:tcPr>
          <w:p w14:paraId="46DDE509" w14:textId="0D139B9C" w:rsidR="00455943" w:rsidRPr="00610F10" w:rsidRDefault="00E40782" w:rsidP="00610F10">
            <w:pPr>
              <w:ind w:left="113"/>
              <w:rPr>
                <w:b/>
              </w:rPr>
            </w:pPr>
            <w:r w:rsidRPr="00610F10">
              <w:rPr>
                <w:b/>
              </w:rPr>
              <w:t>None</w:t>
            </w:r>
          </w:p>
        </w:tc>
      </w:tr>
    </w:tbl>
    <w:p w14:paraId="17493A0E" w14:textId="647A6394" w:rsidR="00E96D40" w:rsidRDefault="00E96D40" w:rsidP="00C976B9">
      <w:pPr>
        <w:pStyle w:val="NoSpacing"/>
      </w:pPr>
      <w:bookmarkStart w:id="19" w:name="_Toc318962138"/>
      <w:bookmarkStart w:id="20" w:name="_Toc453107802"/>
    </w:p>
    <w:tbl>
      <w:tblPr>
        <w:tblStyle w:val="TableList2"/>
        <w:tblpPr w:leftFromText="180" w:rightFromText="180" w:vertAnchor="text" w:horzAnchor="margin" w:tblpY="-23"/>
        <w:tblW w:w="0" w:type="auto"/>
        <w:tblLook w:val="04A0" w:firstRow="1" w:lastRow="0" w:firstColumn="1" w:lastColumn="0" w:noHBand="0" w:noVBand="1"/>
      </w:tblPr>
      <w:tblGrid>
        <w:gridCol w:w="9346"/>
      </w:tblGrid>
      <w:tr w:rsidR="00C976B9" w14:paraId="006906E6" w14:textId="77777777" w:rsidTr="00C976B9">
        <w:trPr>
          <w:cnfStyle w:val="100000000000" w:firstRow="1" w:lastRow="0" w:firstColumn="0" w:lastColumn="0" w:oddVBand="0" w:evenVBand="0" w:oddHBand="0" w:evenHBand="0" w:firstRowFirstColumn="0" w:firstRowLastColumn="0" w:lastRowFirstColumn="0" w:lastRowLastColumn="0"/>
        </w:trPr>
        <w:tc>
          <w:tcPr>
            <w:tcW w:w="9346" w:type="dxa"/>
          </w:tcPr>
          <w:p w14:paraId="187FF865" w14:textId="2884DE26" w:rsidR="00C976B9" w:rsidRDefault="00C976B9" w:rsidP="00C976B9">
            <w:r>
              <w:t>Q</w:t>
            </w:r>
            <w:r w:rsidR="00FE4CC9">
              <w:t>7</w:t>
            </w:r>
            <w:r>
              <w:t>: Which of the DCUSA General Objectives does this CP better facilitate? Please provide supporting comments.</w:t>
            </w:r>
          </w:p>
        </w:tc>
      </w:tr>
    </w:tbl>
    <w:p w14:paraId="2589B72C" w14:textId="7D58FE17" w:rsidR="006D75CD" w:rsidRPr="00EB32BB" w:rsidRDefault="006D75CD" w:rsidP="005F7E14">
      <w:pPr>
        <w:pStyle w:val="Heading02"/>
        <w:rPr>
          <w:noProof/>
        </w:rPr>
      </w:pPr>
      <w:bookmarkStart w:id="21" w:name="_Toc4664542"/>
      <w:r w:rsidRPr="00EB32BB">
        <w:rPr>
          <w:noProof/>
        </w:rPr>
        <w:t xml:space="preserve">Impacts </w:t>
      </w:r>
      <w:r w:rsidR="00784486">
        <w:rPr>
          <w:noProof/>
        </w:rPr>
        <w:t>&amp; Other Considerations</w:t>
      </w:r>
      <w:bookmarkEnd w:id="19"/>
      <w:bookmarkEnd w:id="20"/>
      <w:bookmarkEnd w:id="21"/>
    </w:p>
    <w:p w14:paraId="39D80416" w14:textId="5F859014" w:rsidR="009A3A1D" w:rsidRDefault="009A3A1D" w:rsidP="009A3A1D">
      <w:pPr>
        <w:pStyle w:val="Heading2"/>
      </w:pPr>
      <w:r>
        <w:t>There are no cross-code concerns with this Change Proposal other than the obligation under CACoP to liaise with Code Administrators should the sandbox application cut across industry codes.</w:t>
      </w:r>
    </w:p>
    <w:p w14:paraId="037B2C50" w14:textId="090D9923" w:rsidR="009A3A1D" w:rsidRPr="009A3A1D" w:rsidRDefault="009A3A1D" w:rsidP="009A3A1D">
      <w:pPr>
        <w:pStyle w:val="Heading2"/>
      </w:pPr>
      <w:r>
        <w:t>There is already one innovator in discussion with the Secretariat, and that innovator gave a presentation at the DCUSA Panel closed session meeting in January 2019. Since then the Secretariat has received a formal request from Ofgem.</w:t>
      </w:r>
    </w:p>
    <w:p w14:paraId="2F44E9C1" w14:textId="7456AB93" w:rsidR="00586BD1" w:rsidRPr="00EB32BB" w:rsidRDefault="00586BD1" w:rsidP="00610F10">
      <w:pPr>
        <w:pStyle w:val="Heading4"/>
        <w:rPr>
          <w:i/>
          <w:iCs/>
        </w:rPr>
      </w:pPr>
      <w:r w:rsidRPr="00EB32BB">
        <w:t xml:space="preserve">Does this </w:t>
      </w:r>
      <w:r>
        <w:t>Change Proposal</w:t>
      </w:r>
      <w:r w:rsidRPr="00EB32BB">
        <w:t xml:space="preserve"> impact a Significant Code Review (SCR) or other significant industry change projects, if so, how?</w:t>
      </w:r>
    </w:p>
    <w:p w14:paraId="2AC6FA73" w14:textId="0DE737E7" w:rsidR="00016AD2" w:rsidRPr="00E96D40" w:rsidRDefault="003C2413" w:rsidP="00610F10">
      <w:pPr>
        <w:pStyle w:val="Heading2"/>
      </w:pPr>
      <w:r>
        <w:t>This Chan</w:t>
      </w:r>
      <w:r w:rsidR="00E96D40">
        <w:t xml:space="preserve">ge Proposal does not have any impacts on </w:t>
      </w:r>
      <w:r w:rsidR="009A3A1D">
        <w:t>the current SCRs or any other industry change projects</w:t>
      </w:r>
      <w:r w:rsidR="00A41524">
        <w:t>.</w:t>
      </w:r>
    </w:p>
    <w:p w14:paraId="7CF05005" w14:textId="77777777" w:rsidR="00586BD1" w:rsidRPr="00EB32BB" w:rsidRDefault="00455943" w:rsidP="00610F10">
      <w:pPr>
        <w:pStyle w:val="Heading4"/>
        <w:rPr>
          <w:i/>
          <w:iCs/>
        </w:rPr>
      </w:pPr>
      <w:r>
        <w:t>Consumer Impact</w:t>
      </w:r>
    </w:p>
    <w:p w14:paraId="2A3ADB69" w14:textId="79518879" w:rsidR="00455943" w:rsidRDefault="00E40782" w:rsidP="00610F10">
      <w:pPr>
        <w:pStyle w:val="Heading2"/>
      </w:pPr>
      <w:r>
        <w:t>This Change Proposal does not have any impact on customers</w:t>
      </w:r>
      <w:r w:rsidR="00E96D40" w:rsidRPr="00E40782">
        <w:t>.</w:t>
      </w:r>
    </w:p>
    <w:p w14:paraId="2F0024D6" w14:textId="77777777" w:rsidR="00586BD1" w:rsidRPr="00EB32BB" w:rsidRDefault="00586BD1" w:rsidP="00610F10">
      <w:pPr>
        <w:pStyle w:val="Heading4"/>
        <w:rPr>
          <w:i/>
          <w:iCs/>
        </w:rPr>
      </w:pPr>
      <w:r>
        <w:lastRenderedPageBreak/>
        <w:t>Environmental Impacts</w:t>
      </w:r>
    </w:p>
    <w:p w14:paraId="3391E97A" w14:textId="257874C8" w:rsidR="00586BD1" w:rsidRPr="0041741F" w:rsidRDefault="00586BD1" w:rsidP="00610F10">
      <w:pPr>
        <w:pStyle w:val="Heading2"/>
      </w:pPr>
      <w:r w:rsidRPr="0041741F">
        <w:t xml:space="preserve">In accordance with DCUSA Clause 11.14.6, the </w:t>
      </w:r>
      <w:r>
        <w:t xml:space="preserve">proposer </w:t>
      </w:r>
      <w:r w:rsidRPr="0041741F">
        <w:t xml:space="preserve">assessed whether there would be a material impact on greenhouse gas emissions if DCP </w:t>
      </w:r>
      <w:r w:rsidR="00E96D40">
        <w:t>3</w:t>
      </w:r>
      <w:r w:rsidR="009A3A1D">
        <w:t>45</w:t>
      </w:r>
      <w:r w:rsidR="00C80BD9">
        <w:t xml:space="preserve"> </w:t>
      </w:r>
      <w:r w:rsidRPr="0041741F">
        <w:t xml:space="preserve">were implemented. The </w:t>
      </w:r>
      <w:r>
        <w:t>proposer</w:t>
      </w:r>
      <w:r w:rsidRPr="0041741F">
        <w:t xml:space="preserve"> did not identify any material impact on greenhouse gas emissions from the implementation of this C</w:t>
      </w:r>
      <w:r w:rsidR="00E40782">
        <w:t xml:space="preserve">hange </w:t>
      </w:r>
      <w:r w:rsidRPr="0041741F">
        <w:t>P</w:t>
      </w:r>
      <w:r w:rsidR="00E40782">
        <w:t>roposal</w:t>
      </w:r>
      <w:r w:rsidRPr="0041741F">
        <w:t>.</w:t>
      </w:r>
    </w:p>
    <w:p w14:paraId="7FB6CEF3" w14:textId="77777777" w:rsidR="00B52063" w:rsidRPr="00B52063" w:rsidRDefault="00B52063" w:rsidP="00610F10">
      <w:pPr>
        <w:pStyle w:val="Heading4"/>
        <w:rPr>
          <w:i/>
          <w:iCs/>
        </w:rPr>
      </w:pPr>
      <w:r w:rsidRPr="00B52063">
        <w:t>Engagement with the Authority</w:t>
      </w:r>
    </w:p>
    <w:p w14:paraId="16CAA551" w14:textId="77777777" w:rsidR="00F51E8D" w:rsidRDefault="002733C1" w:rsidP="00610F10">
      <w:pPr>
        <w:pStyle w:val="Heading2"/>
      </w:pPr>
      <w:r w:rsidRPr="002733C1">
        <w:t xml:space="preserve">Ofgem </w:t>
      </w:r>
      <w:r w:rsidR="00227DA3">
        <w:t>were invited to join the Working Group but</w:t>
      </w:r>
      <w:r w:rsidR="006E2BF3">
        <w:t xml:space="preserve"> </w:t>
      </w:r>
      <w:r w:rsidR="009A3A1D">
        <w:t xml:space="preserve">did not provide a representative. </w:t>
      </w:r>
    </w:p>
    <w:p w14:paraId="526F0011" w14:textId="77777777" w:rsidR="00F51E8D" w:rsidRDefault="00F51E8D" w:rsidP="00F51E8D">
      <w:pPr>
        <w:pStyle w:val="Heading4"/>
      </w:pPr>
      <w:r>
        <w:t>Code Specific Matters</w:t>
      </w:r>
    </w:p>
    <w:p w14:paraId="24AB3A84" w14:textId="0B8BC4C0" w:rsidR="00F51E8D" w:rsidRPr="00F51E8D" w:rsidRDefault="00F51E8D" w:rsidP="00F51E8D">
      <w:pPr>
        <w:pStyle w:val="Heading2"/>
      </w:pPr>
      <w:r>
        <w:t>The Balancing &amp; Settlement Code has already introduced a sandbox process via BSC Modification P362</w:t>
      </w:r>
      <w:r>
        <w:rPr>
          <w:rStyle w:val="FootnoteReference"/>
        </w:rPr>
        <w:footnoteReference w:id="4"/>
      </w:r>
      <w:r>
        <w:t>.</w:t>
      </w:r>
    </w:p>
    <w:tbl>
      <w:tblPr>
        <w:tblStyle w:val="TableList2"/>
        <w:tblW w:w="0" w:type="auto"/>
        <w:tblLook w:val="04A0" w:firstRow="1" w:lastRow="0" w:firstColumn="1" w:lastColumn="0" w:noHBand="0" w:noVBand="1"/>
      </w:tblPr>
      <w:tblGrid>
        <w:gridCol w:w="9346"/>
      </w:tblGrid>
      <w:tr w:rsidR="00E96D40" w14:paraId="632E29D8" w14:textId="77777777" w:rsidTr="00E96D40">
        <w:trPr>
          <w:cnfStyle w:val="100000000000" w:firstRow="1" w:lastRow="0" w:firstColumn="0" w:lastColumn="0" w:oddVBand="0" w:evenVBand="0" w:oddHBand="0" w:evenHBand="0" w:firstRowFirstColumn="0" w:firstRowLastColumn="0" w:lastRowFirstColumn="0" w:lastRowLastColumn="0"/>
        </w:trPr>
        <w:tc>
          <w:tcPr>
            <w:tcW w:w="9346" w:type="dxa"/>
          </w:tcPr>
          <w:p w14:paraId="694DA7E0" w14:textId="3B4C3DA8" w:rsidR="00E96D40" w:rsidRDefault="00794B03" w:rsidP="004059D4">
            <w:r>
              <w:t>Q</w:t>
            </w:r>
            <w:r w:rsidR="00FE4CC9">
              <w:t>8</w:t>
            </w:r>
            <w:r w:rsidR="00E96D40">
              <w:t>: Are you aware of any wider industry developments that may impact upon or be impacted by this CP?</w:t>
            </w:r>
          </w:p>
        </w:tc>
      </w:tr>
    </w:tbl>
    <w:p w14:paraId="6EE8B635" w14:textId="69B898DF" w:rsidR="00C976B9" w:rsidRDefault="00C976B9">
      <w:pPr>
        <w:spacing w:before="0" w:after="0" w:line="240" w:lineRule="auto"/>
      </w:pPr>
    </w:p>
    <w:p w14:paraId="3E9235D8" w14:textId="41BFD5C7" w:rsidR="00450385" w:rsidRPr="00EB32BB" w:rsidRDefault="00C31A20" w:rsidP="005F7E14">
      <w:pPr>
        <w:pStyle w:val="Heading02"/>
        <w:rPr>
          <w:noProof/>
        </w:rPr>
      </w:pPr>
      <w:bookmarkStart w:id="22" w:name="_Toc318962140"/>
      <w:bookmarkStart w:id="23" w:name="_Toc453107803"/>
      <w:bookmarkStart w:id="24" w:name="_Toc4664543"/>
      <w:r w:rsidRPr="00EB32BB">
        <w:rPr>
          <w:noProof/>
        </w:rPr>
        <w:t>Imple</w:t>
      </w:r>
      <w:r w:rsidR="00461C2F" w:rsidRPr="00EB32BB">
        <w:rPr>
          <w:noProof/>
        </w:rPr>
        <w:t>me</w:t>
      </w:r>
      <w:r w:rsidRPr="00EB32BB">
        <w:rPr>
          <w:noProof/>
        </w:rPr>
        <w:t>ntation</w:t>
      </w:r>
      <w:bookmarkEnd w:id="22"/>
      <w:bookmarkEnd w:id="23"/>
      <w:bookmarkEnd w:id="24"/>
    </w:p>
    <w:p w14:paraId="0A287C3C" w14:textId="0789B4E2" w:rsidR="00B708FB" w:rsidRDefault="00B708FB" w:rsidP="00610F10">
      <w:pPr>
        <w:pStyle w:val="Heading2"/>
      </w:pPr>
      <w:r w:rsidRPr="00C80BD9">
        <w:t xml:space="preserve">The proposed implementation date for DCP </w:t>
      </w:r>
      <w:r w:rsidR="00E96D40">
        <w:t>3</w:t>
      </w:r>
      <w:r w:rsidR="009A3A1D">
        <w:t>45</w:t>
      </w:r>
      <w:r w:rsidR="003C3301" w:rsidRPr="00C80BD9">
        <w:t xml:space="preserve"> is </w:t>
      </w:r>
      <w:r w:rsidR="00227DA3">
        <w:t xml:space="preserve">the first DCUSA Release following </w:t>
      </w:r>
      <w:r w:rsidR="009A3A1D">
        <w:t>Authority</w:t>
      </w:r>
      <w:r w:rsidR="00227DA3">
        <w:t xml:space="preserve"> approval</w:t>
      </w:r>
      <w:r w:rsidR="00E96D40">
        <w:t>.</w:t>
      </w:r>
      <w:r w:rsidR="003C3301" w:rsidRPr="00C80BD9">
        <w:t xml:space="preserve"> </w:t>
      </w:r>
    </w:p>
    <w:tbl>
      <w:tblPr>
        <w:tblStyle w:val="TableList2"/>
        <w:tblW w:w="0" w:type="auto"/>
        <w:tblLook w:val="04A0" w:firstRow="1" w:lastRow="0" w:firstColumn="1" w:lastColumn="0" w:noHBand="0" w:noVBand="1"/>
      </w:tblPr>
      <w:tblGrid>
        <w:gridCol w:w="9346"/>
      </w:tblGrid>
      <w:tr w:rsidR="00E96D40" w14:paraId="2D7844B3" w14:textId="77777777" w:rsidTr="00E96D40">
        <w:trPr>
          <w:cnfStyle w:val="100000000000" w:firstRow="1" w:lastRow="0" w:firstColumn="0" w:lastColumn="0" w:oddVBand="0" w:evenVBand="0" w:oddHBand="0" w:evenHBand="0" w:firstRowFirstColumn="0" w:firstRowLastColumn="0" w:lastRowFirstColumn="0" w:lastRowLastColumn="0"/>
        </w:trPr>
        <w:tc>
          <w:tcPr>
            <w:tcW w:w="9346" w:type="dxa"/>
          </w:tcPr>
          <w:p w14:paraId="7CADAAA4" w14:textId="78CCE3E9" w:rsidR="00E96D40" w:rsidRDefault="00794B03" w:rsidP="00BF16FD">
            <w:r>
              <w:t>Q</w:t>
            </w:r>
            <w:r w:rsidR="00FE4CC9">
              <w:t>9</w:t>
            </w:r>
            <w:r w:rsidR="00E96D40">
              <w:t>: The proposed implementation date for DCP 3</w:t>
            </w:r>
            <w:r w:rsidR="00F51E8D">
              <w:t>45</w:t>
            </w:r>
            <w:r w:rsidR="00E96D40">
              <w:t xml:space="preserve"> is </w:t>
            </w:r>
            <w:r w:rsidR="00227DA3">
              <w:t xml:space="preserve">the first DCUSA Release following </w:t>
            </w:r>
            <w:r w:rsidR="00F51E8D">
              <w:t>Authority</w:t>
            </w:r>
            <w:r w:rsidR="00227DA3">
              <w:t xml:space="preserve"> approval. </w:t>
            </w:r>
            <w:r w:rsidR="00E96D40">
              <w:t>Do you agree with the proposed implementation date?</w:t>
            </w:r>
            <w:r w:rsidR="00227DA3">
              <w:t xml:space="preserve"> Please provide your rationale.</w:t>
            </w:r>
          </w:p>
        </w:tc>
      </w:tr>
    </w:tbl>
    <w:p w14:paraId="4E32B854" w14:textId="62C50882" w:rsidR="00CC0C7A" w:rsidRPr="00EB32BB" w:rsidRDefault="00CC0C7A" w:rsidP="005F7E14">
      <w:pPr>
        <w:pStyle w:val="Heading02"/>
      </w:pPr>
      <w:bookmarkStart w:id="25" w:name="_Toc4664544"/>
      <w:r>
        <w:t>Consultation Questions</w:t>
      </w:r>
      <w:bookmarkEnd w:id="25"/>
    </w:p>
    <w:p w14:paraId="0AD640A4" w14:textId="77777777" w:rsidR="002733C1" w:rsidRDefault="00CC0C7A" w:rsidP="00610F10">
      <w:pPr>
        <w:pStyle w:val="Heading2"/>
      </w:pPr>
      <w:r w:rsidRPr="00CC0C7A">
        <w:t>The Working Group is seeking industry views on the following consultation questions:</w:t>
      </w:r>
    </w:p>
    <w:tbl>
      <w:tblPr>
        <w:tblW w:w="0" w:type="auto"/>
        <w:tblBorders>
          <w:top w:val="single" w:sz="8" w:space="0" w:color="008576"/>
          <w:left w:val="single" w:sz="8" w:space="0" w:color="008576"/>
          <w:bottom w:val="single" w:sz="8" w:space="0" w:color="008576"/>
          <w:right w:val="single" w:sz="8" w:space="0" w:color="008576"/>
          <w:insideH w:val="single" w:sz="8" w:space="0" w:color="008576"/>
          <w:insideV w:val="single" w:sz="8" w:space="0" w:color="008576"/>
        </w:tblBorders>
        <w:tblLook w:val="04A0" w:firstRow="1" w:lastRow="0" w:firstColumn="1" w:lastColumn="0" w:noHBand="0" w:noVBand="1"/>
      </w:tblPr>
      <w:tblGrid>
        <w:gridCol w:w="972"/>
        <w:gridCol w:w="8232"/>
      </w:tblGrid>
      <w:tr w:rsidR="00AD59E1" w:rsidRPr="00AD59E1" w14:paraId="0830787F" w14:textId="77777777" w:rsidTr="00086384">
        <w:tc>
          <w:tcPr>
            <w:tcW w:w="0" w:type="auto"/>
            <w:shd w:val="clear" w:color="auto" w:fill="008576"/>
          </w:tcPr>
          <w:p w14:paraId="587A8A0D" w14:textId="77777777" w:rsidR="00AD59E1" w:rsidRPr="00AD59E1" w:rsidRDefault="00AD59E1" w:rsidP="00327CE7">
            <w:pPr>
              <w:rPr>
                <w:b/>
                <w:color w:val="FFFFFF"/>
              </w:rPr>
            </w:pPr>
            <w:r w:rsidRPr="00AD59E1">
              <w:rPr>
                <w:b/>
                <w:color w:val="FFFFFF"/>
              </w:rPr>
              <w:t>Number</w:t>
            </w:r>
          </w:p>
        </w:tc>
        <w:tc>
          <w:tcPr>
            <w:tcW w:w="8232" w:type="dxa"/>
            <w:shd w:val="clear" w:color="auto" w:fill="008576"/>
          </w:tcPr>
          <w:p w14:paraId="700EF095" w14:textId="77777777" w:rsidR="00AD59E1" w:rsidRPr="00AD59E1" w:rsidRDefault="00AD59E1" w:rsidP="00327CE7">
            <w:pPr>
              <w:rPr>
                <w:b/>
                <w:color w:val="FFFFFF"/>
              </w:rPr>
            </w:pPr>
            <w:r w:rsidRPr="00AD59E1">
              <w:rPr>
                <w:b/>
                <w:color w:val="FFFFFF"/>
              </w:rPr>
              <w:t>Questions</w:t>
            </w:r>
          </w:p>
        </w:tc>
      </w:tr>
      <w:tr w:rsidR="00E54184" w:rsidRPr="00AD59E1" w14:paraId="59BE231D" w14:textId="77777777" w:rsidTr="00086384">
        <w:tc>
          <w:tcPr>
            <w:tcW w:w="0" w:type="auto"/>
            <w:shd w:val="clear" w:color="auto" w:fill="auto"/>
          </w:tcPr>
          <w:p w14:paraId="468B570F" w14:textId="77777777" w:rsidR="00E54184" w:rsidRPr="00AD59E1" w:rsidRDefault="00E54184" w:rsidP="006C57B2">
            <w:pPr>
              <w:numPr>
                <w:ilvl w:val="0"/>
                <w:numId w:val="15"/>
              </w:numPr>
              <w:rPr>
                <w:rFonts w:cs="Arial"/>
                <w:szCs w:val="20"/>
              </w:rPr>
            </w:pPr>
          </w:p>
        </w:tc>
        <w:tc>
          <w:tcPr>
            <w:tcW w:w="8232" w:type="dxa"/>
            <w:shd w:val="clear" w:color="auto" w:fill="auto"/>
            <w:vAlign w:val="center"/>
          </w:tcPr>
          <w:p w14:paraId="6A97B9C1" w14:textId="2F59870A" w:rsidR="00E54184" w:rsidRPr="00475648" w:rsidRDefault="00E54184" w:rsidP="00327CE7">
            <w:pPr>
              <w:spacing w:before="60" w:after="60"/>
              <w:rPr>
                <w:szCs w:val="20"/>
              </w:rPr>
            </w:pPr>
            <w:r w:rsidRPr="00475648">
              <w:rPr>
                <w:szCs w:val="20"/>
              </w:rPr>
              <w:t>Do</w:t>
            </w:r>
            <w:r>
              <w:rPr>
                <w:szCs w:val="20"/>
              </w:rPr>
              <w:t xml:space="preserve"> you </w:t>
            </w:r>
            <w:r w:rsidR="00E563EF">
              <w:rPr>
                <w:szCs w:val="20"/>
              </w:rPr>
              <w:t>understand the intent of DCP 3</w:t>
            </w:r>
            <w:r w:rsidR="00F51E8D">
              <w:rPr>
                <w:szCs w:val="20"/>
              </w:rPr>
              <w:t>45</w:t>
            </w:r>
            <w:r>
              <w:rPr>
                <w:szCs w:val="20"/>
              </w:rPr>
              <w:t>?</w:t>
            </w:r>
          </w:p>
        </w:tc>
      </w:tr>
      <w:tr w:rsidR="00E54184" w:rsidRPr="00AD59E1" w14:paraId="31D5AF20" w14:textId="77777777" w:rsidTr="00086384">
        <w:tc>
          <w:tcPr>
            <w:tcW w:w="0" w:type="auto"/>
            <w:shd w:val="clear" w:color="auto" w:fill="auto"/>
          </w:tcPr>
          <w:p w14:paraId="6E55EEFE" w14:textId="77777777" w:rsidR="00E54184" w:rsidRPr="00AD59E1" w:rsidRDefault="00E54184" w:rsidP="006C57B2">
            <w:pPr>
              <w:numPr>
                <w:ilvl w:val="0"/>
                <w:numId w:val="15"/>
              </w:numPr>
              <w:rPr>
                <w:rFonts w:cs="Arial"/>
                <w:szCs w:val="20"/>
              </w:rPr>
            </w:pPr>
          </w:p>
        </w:tc>
        <w:tc>
          <w:tcPr>
            <w:tcW w:w="8232" w:type="dxa"/>
            <w:shd w:val="clear" w:color="auto" w:fill="auto"/>
            <w:vAlign w:val="center"/>
          </w:tcPr>
          <w:p w14:paraId="71BE6FD8" w14:textId="5759EEA0" w:rsidR="00E54184" w:rsidRPr="00475648" w:rsidRDefault="00E54184" w:rsidP="00327CE7">
            <w:pPr>
              <w:spacing w:before="60" w:after="60"/>
              <w:rPr>
                <w:szCs w:val="20"/>
              </w:rPr>
            </w:pPr>
            <w:r w:rsidRPr="00475648">
              <w:rPr>
                <w:szCs w:val="20"/>
              </w:rPr>
              <w:t>Are you s</w:t>
            </w:r>
            <w:r>
              <w:rPr>
                <w:szCs w:val="20"/>
              </w:rPr>
              <w:t>upport</w:t>
            </w:r>
            <w:r w:rsidR="00E563EF">
              <w:rPr>
                <w:szCs w:val="20"/>
              </w:rPr>
              <w:t>ive of the principles of DCP 3</w:t>
            </w:r>
            <w:r w:rsidR="00F51E8D">
              <w:rPr>
                <w:szCs w:val="20"/>
              </w:rPr>
              <w:t>45</w:t>
            </w:r>
            <w:r w:rsidRPr="00475648">
              <w:rPr>
                <w:szCs w:val="20"/>
              </w:rPr>
              <w:t>?</w:t>
            </w:r>
          </w:p>
        </w:tc>
      </w:tr>
      <w:tr w:rsidR="007917E9" w:rsidRPr="00AD59E1" w14:paraId="79C5ABE8" w14:textId="77777777" w:rsidTr="00086384">
        <w:tc>
          <w:tcPr>
            <w:tcW w:w="0" w:type="auto"/>
            <w:shd w:val="clear" w:color="auto" w:fill="auto"/>
          </w:tcPr>
          <w:p w14:paraId="17B645C8" w14:textId="77777777" w:rsidR="007917E9" w:rsidRPr="00AD59E1" w:rsidRDefault="007917E9" w:rsidP="006C57B2">
            <w:pPr>
              <w:numPr>
                <w:ilvl w:val="0"/>
                <w:numId w:val="15"/>
              </w:numPr>
              <w:rPr>
                <w:rFonts w:cs="Arial"/>
                <w:szCs w:val="20"/>
              </w:rPr>
            </w:pPr>
          </w:p>
        </w:tc>
        <w:tc>
          <w:tcPr>
            <w:tcW w:w="8232" w:type="dxa"/>
            <w:shd w:val="clear" w:color="auto" w:fill="auto"/>
          </w:tcPr>
          <w:p w14:paraId="469FC141" w14:textId="220D48E9" w:rsidR="007917E9" w:rsidRPr="00636DBE" w:rsidRDefault="008F7F65" w:rsidP="005C03FB">
            <w:pPr>
              <w:widowControl w:val="0"/>
              <w:spacing w:line="360" w:lineRule="auto"/>
              <w:jc w:val="both"/>
              <w:outlineLvl w:val="1"/>
              <w:rPr>
                <w:rFonts w:cs="Arial"/>
                <w:bCs/>
                <w:iCs/>
                <w:szCs w:val="20"/>
              </w:rPr>
            </w:pPr>
            <w:r>
              <w:rPr>
                <w:szCs w:val="20"/>
              </w:rPr>
              <w:t>Do you agree with the proposed solution for this CP? Please provide your rationale</w:t>
            </w:r>
          </w:p>
        </w:tc>
      </w:tr>
      <w:tr w:rsidR="00AD59E1" w:rsidRPr="00AD59E1" w14:paraId="4298CC6D" w14:textId="77777777" w:rsidTr="00086384">
        <w:tc>
          <w:tcPr>
            <w:tcW w:w="0" w:type="auto"/>
            <w:shd w:val="clear" w:color="auto" w:fill="auto"/>
          </w:tcPr>
          <w:p w14:paraId="2F60E68F" w14:textId="77777777" w:rsidR="00AD59E1" w:rsidRPr="00AD59E1" w:rsidRDefault="00AD59E1" w:rsidP="006C57B2">
            <w:pPr>
              <w:numPr>
                <w:ilvl w:val="0"/>
                <w:numId w:val="15"/>
              </w:numPr>
              <w:rPr>
                <w:rFonts w:cs="Arial"/>
                <w:szCs w:val="20"/>
              </w:rPr>
            </w:pPr>
          </w:p>
        </w:tc>
        <w:tc>
          <w:tcPr>
            <w:tcW w:w="8232" w:type="dxa"/>
            <w:shd w:val="clear" w:color="auto" w:fill="auto"/>
          </w:tcPr>
          <w:p w14:paraId="3ADCC5B0" w14:textId="3F1C9872" w:rsidR="004059D4" w:rsidRPr="00636DBE" w:rsidRDefault="008F7F65" w:rsidP="00DD1E87">
            <w:pPr>
              <w:spacing w:line="360" w:lineRule="auto"/>
              <w:jc w:val="both"/>
              <w:rPr>
                <w:rFonts w:cs="Arial"/>
                <w:szCs w:val="20"/>
              </w:rPr>
            </w:pPr>
            <w:r>
              <w:rPr>
                <w:szCs w:val="20"/>
              </w:rPr>
              <w:t>Do you believe the Working Group should consider a different solution? If so, please provide your rationale.</w:t>
            </w:r>
          </w:p>
        </w:tc>
      </w:tr>
      <w:tr w:rsidR="00FE4CC9" w:rsidRPr="00AD59E1" w14:paraId="2C5B5ABA" w14:textId="77777777" w:rsidTr="00086384">
        <w:tc>
          <w:tcPr>
            <w:tcW w:w="0" w:type="auto"/>
            <w:shd w:val="clear" w:color="auto" w:fill="auto"/>
          </w:tcPr>
          <w:p w14:paraId="6C59F518" w14:textId="77777777" w:rsidR="00FE4CC9" w:rsidRPr="00AD59E1" w:rsidRDefault="00FE4CC9" w:rsidP="006C57B2">
            <w:pPr>
              <w:numPr>
                <w:ilvl w:val="0"/>
                <w:numId w:val="15"/>
              </w:numPr>
              <w:rPr>
                <w:rFonts w:cs="Arial"/>
                <w:szCs w:val="20"/>
              </w:rPr>
            </w:pPr>
          </w:p>
        </w:tc>
        <w:tc>
          <w:tcPr>
            <w:tcW w:w="8232" w:type="dxa"/>
            <w:shd w:val="clear" w:color="auto" w:fill="auto"/>
          </w:tcPr>
          <w:p w14:paraId="521C8D08" w14:textId="6498EC21" w:rsidR="00FE4CC9" w:rsidRDefault="00FE4CC9" w:rsidP="00DD1E87">
            <w:pPr>
              <w:spacing w:line="360" w:lineRule="auto"/>
              <w:jc w:val="both"/>
              <w:rPr>
                <w:szCs w:val="20"/>
              </w:rPr>
            </w:pPr>
            <w:r>
              <w:rPr>
                <w:szCs w:val="20"/>
              </w:rPr>
              <w:t>Do you have any suggested amendments on the DCUSA Sandbox Application Guidance Document?</w:t>
            </w:r>
            <w:bookmarkStart w:id="26" w:name="_GoBack"/>
            <w:bookmarkEnd w:id="26"/>
          </w:p>
        </w:tc>
      </w:tr>
      <w:tr w:rsidR="00AD59E1" w:rsidRPr="00AD59E1" w14:paraId="40288E06" w14:textId="77777777" w:rsidTr="00086384">
        <w:tc>
          <w:tcPr>
            <w:tcW w:w="0" w:type="auto"/>
            <w:shd w:val="clear" w:color="auto" w:fill="auto"/>
          </w:tcPr>
          <w:p w14:paraId="7AE7431E" w14:textId="77777777" w:rsidR="00AD59E1" w:rsidRPr="00AD59E1" w:rsidRDefault="00AD59E1" w:rsidP="006C57B2">
            <w:pPr>
              <w:numPr>
                <w:ilvl w:val="0"/>
                <w:numId w:val="15"/>
              </w:numPr>
              <w:rPr>
                <w:rFonts w:cs="Arial"/>
                <w:szCs w:val="20"/>
              </w:rPr>
            </w:pPr>
          </w:p>
        </w:tc>
        <w:tc>
          <w:tcPr>
            <w:tcW w:w="8232" w:type="dxa"/>
            <w:shd w:val="clear" w:color="auto" w:fill="auto"/>
          </w:tcPr>
          <w:p w14:paraId="1506C7B8" w14:textId="1BD84B91" w:rsidR="00DC3ADD" w:rsidRPr="00636DBE" w:rsidRDefault="008F7F65" w:rsidP="005C03FB">
            <w:pPr>
              <w:spacing w:line="360" w:lineRule="auto"/>
              <w:jc w:val="both"/>
              <w:rPr>
                <w:rFonts w:cs="Arial"/>
                <w:szCs w:val="20"/>
              </w:rPr>
            </w:pPr>
            <w:r>
              <w:t>Do you have any comments on the proposed legal text for DCP 3</w:t>
            </w:r>
            <w:r w:rsidR="00F51E8D">
              <w:t>45</w:t>
            </w:r>
            <w:r>
              <w:t>? Please provide your rationale.</w:t>
            </w:r>
          </w:p>
        </w:tc>
      </w:tr>
      <w:tr w:rsidR="00E54184" w:rsidRPr="00AD59E1" w14:paraId="55F8595B" w14:textId="77777777" w:rsidTr="00086384">
        <w:tc>
          <w:tcPr>
            <w:tcW w:w="0" w:type="auto"/>
            <w:shd w:val="clear" w:color="auto" w:fill="auto"/>
          </w:tcPr>
          <w:p w14:paraId="6EDD4E26" w14:textId="77777777" w:rsidR="00E54184" w:rsidRPr="00AD59E1" w:rsidRDefault="00E54184" w:rsidP="006C57B2">
            <w:pPr>
              <w:numPr>
                <w:ilvl w:val="0"/>
                <w:numId w:val="15"/>
              </w:numPr>
              <w:rPr>
                <w:rFonts w:cs="Arial"/>
                <w:szCs w:val="20"/>
              </w:rPr>
            </w:pPr>
          </w:p>
        </w:tc>
        <w:tc>
          <w:tcPr>
            <w:tcW w:w="8232" w:type="dxa"/>
            <w:shd w:val="clear" w:color="auto" w:fill="auto"/>
          </w:tcPr>
          <w:p w14:paraId="3B0BFD11" w14:textId="6BF4607E" w:rsidR="00AC6105" w:rsidRPr="00636DBE" w:rsidRDefault="008F7F65" w:rsidP="005C03FB">
            <w:pPr>
              <w:pStyle w:val="ListParagraph"/>
              <w:ind w:left="0"/>
              <w:jc w:val="both"/>
              <w:rPr>
                <w:rFonts w:cs="Arial"/>
                <w:szCs w:val="20"/>
              </w:rPr>
            </w:pPr>
            <w:r>
              <w:t xml:space="preserve">Which of the DCUSA </w:t>
            </w:r>
            <w:r w:rsidR="0050434E">
              <w:t xml:space="preserve">General </w:t>
            </w:r>
            <w:r>
              <w:t>Objective</w:t>
            </w:r>
            <w:r w:rsidR="0050434E">
              <w:t>s</w:t>
            </w:r>
            <w:r>
              <w:t xml:space="preserve"> does this CP better facilitate? Please provide supporting comments.</w:t>
            </w:r>
          </w:p>
        </w:tc>
      </w:tr>
      <w:tr w:rsidR="00E54184" w:rsidRPr="00AD59E1" w14:paraId="193122AA" w14:textId="77777777" w:rsidTr="00086384">
        <w:tc>
          <w:tcPr>
            <w:tcW w:w="0" w:type="auto"/>
            <w:shd w:val="clear" w:color="auto" w:fill="auto"/>
          </w:tcPr>
          <w:p w14:paraId="3388CC47" w14:textId="77777777" w:rsidR="00E54184" w:rsidRPr="00AD59E1" w:rsidRDefault="00E54184" w:rsidP="006C57B2">
            <w:pPr>
              <w:numPr>
                <w:ilvl w:val="0"/>
                <w:numId w:val="15"/>
              </w:numPr>
              <w:rPr>
                <w:rFonts w:cs="Arial"/>
                <w:szCs w:val="20"/>
              </w:rPr>
            </w:pPr>
          </w:p>
        </w:tc>
        <w:tc>
          <w:tcPr>
            <w:tcW w:w="8232" w:type="dxa"/>
            <w:shd w:val="clear" w:color="auto" w:fill="auto"/>
          </w:tcPr>
          <w:p w14:paraId="22119FEE" w14:textId="70B48C6B" w:rsidR="00E54184" w:rsidRPr="00AD59E1" w:rsidRDefault="008F7F65" w:rsidP="005C03FB">
            <w:pPr>
              <w:spacing w:line="360" w:lineRule="auto"/>
              <w:jc w:val="both"/>
              <w:rPr>
                <w:rFonts w:cs="Arial"/>
                <w:szCs w:val="20"/>
              </w:rPr>
            </w:pPr>
            <w:r>
              <w:t>Are you aware of any wider industry developments that may impact upon or be impacted by this CP?</w:t>
            </w:r>
          </w:p>
        </w:tc>
      </w:tr>
      <w:tr w:rsidR="00F51E8D" w:rsidRPr="00AD59E1" w14:paraId="62A93427" w14:textId="77777777" w:rsidTr="00086384">
        <w:tc>
          <w:tcPr>
            <w:tcW w:w="0" w:type="auto"/>
            <w:shd w:val="clear" w:color="auto" w:fill="auto"/>
          </w:tcPr>
          <w:p w14:paraId="69B4C47F" w14:textId="77777777" w:rsidR="00F51E8D" w:rsidRPr="00AD59E1" w:rsidRDefault="00F51E8D" w:rsidP="006C57B2">
            <w:pPr>
              <w:numPr>
                <w:ilvl w:val="0"/>
                <w:numId w:val="15"/>
              </w:numPr>
              <w:rPr>
                <w:rFonts w:cs="Arial"/>
                <w:szCs w:val="20"/>
              </w:rPr>
            </w:pPr>
          </w:p>
        </w:tc>
        <w:tc>
          <w:tcPr>
            <w:tcW w:w="8232" w:type="dxa"/>
            <w:shd w:val="clear" w:color="auto" w:fill="auto"/>
          </w:tcPr>
          <w:p w14:paraId="56E32256" w14:textId="0AAFCCE5" w:rsidR="00F51E8D" w:rsidRDefault="00F51E8D" w:rsidP="005C03FB">
            <w:pPr>
              <w:spacing w:line="360" w:lineRule="auto"/>
              <w:jc w:val="both"/>
            </w:pPr>
            <w:r>
              <w:t>The proposed implementation date for DCP 345 is the first DCUSA Release following Authority approval. Do you agree with the proposed implementation date? Please provide your rationale.</w:t>
            </w:r>
          </w:p>
        </w:tc>
      </w:tr>
    </w:tbl>
    <w:p w14:paraId="14D4E1B6" w14:textId="77777777" w:rsidR="00C976B9" w:rsidRDefault="00C976B9" w:rsidP="00610F10"/>
    <w:p w14:paraId="0D0B85E3" w14:textId="2412893F" w:rsidR="00CC0C7A" w:rsidRPr="00610F10" w:rsidRDefault="00CC0C7A" w:rsidP="00610F10">
      <w:pPr>
        <w:pStyle w:val="Heading2"/>
      </w:pPr>
      <w:r w:rsidRPr="00610F10">
        <w:t xml:space="preserve">Responses should </w:t>
      </w:r>
      <w:r w:rsidR="00F11F92" w:rsidRPr="00610F10">
        <w:t>be submitted using Attachment 1</w:t>
      </w:r>
      <w:r w:rsidRPr="00610F10">
        <w:t xml:space="preserve"> to dcusa@electralink.co.uk no later than, </w:t>
      </w:r>
      <w:r w:rsidR="00F51E8D">
        <w:rPr>
          <w:b/>
        </w:rPr>
        <w:t>XX XXX XX</w:t>
      </w:r>
      <w:r w:rsidR="006C57B2">
        <w:rPr>
          <w:b/>
        </w:rPr>
        <w:t>.</w:t>
      </w:r>
    </w:p>
    <w:p w14:paraId="0E1C1CCD" w14:textId="77777777" w:rsidR="00CC0C7A" w:rsidRPr="00610F10" w:rsidRDefault="00CC0C7A" w:rsidP="00610F10">
      <w:pPr>
        <w:pStyle w:val="Heading2"/>
      </w:pPr>
      <w:r w:rsidRPr="00610F10">
        <w:t>Responses, or any part thereof, can be provided in confidence. Parties are asked to clearly indicate any parts of a response that are to be treated confidentially.</w:t>
      </w:r>
    </w:p>
    <w:p w14:paraId="678994F3" w14:textId="77777777" w:rsidR="002733C1" w:rsidRPr="00D1342E" w:rsidRDefault="002733C1" w:rsidP="00610F10">
      <w:pPr>
        <w:pStyle w:val="Heading4"/>
        <w:rPr>
          <w:i/>
          <w:iCs/>
        </w:rPr>
      </w:pPr>
      <w:r w:rsidRPr="00D1342E">
        <w:t xml:space="preserve">Attachments </w:t>
      </w:r>
    </w:p>
    <w:p w14:paraId="24241C20" w14:textId="69408089" w:rsidR="002733C1" w:rsidRDefault="00335479" w:rsidP="00327CE7">
      <w:pPr>
        <w:pStyle w:val="ListBullet2"/>
      </w:pPr>
      <w:r>
        <w:t xml:space="preserve">Attachment 1 – DCP </w:t>
      </w:r>
      <w:r w:rsidR="00E96D40">
        <w:t>3</w:t>
      </w:r>
      <w:r w:rsidR="00F51E8D">
        <w:t>45</w:t>
      </w:r>
      <w:r w:rsidR="00D1342E">
        <w:t xml:space="preserve"> </w:t>
      </w:r>
      <w:r w:rsidR="002129EC">
        <w:t xml:space="preserve">Consultation </w:t>
      </w:r>
      <w:r w:rsidR="002E224D">
        <w:t xml:space="preserve">Response </w:t>
      </w:r>
      <w:r w:rsidR="00AD59E1">
        <w:t>Form</w:t>
      </w:r>
    </w:p>
    <w:p w14:paraId="37BAC5FA" w14:textId="1B340B01" w:rsidR="008F7F65" w:rsidRDefault="008F7F65" w:rsidP="00327CE7">
      <w:pPr>
        <w:pStyle w:val="ListBullet2"/>
      </w:pPr>
      <w:r>
        <w:t>Attachment 2 – DCP 3</w:t>
      </w:r>
      <w:r w:rsidR="00F51E8D">
        <w:t>45</w:t>
      </w:r>
      <w:r>
        <w:t xml:space="preserve"> Proposed Legal Text</w:t>
      </w:r>
    </w:p>
    <w:p w14:paraId="15343842" w14:textId="54143B36" w:rsidR="008F7F65" w:rsidRDefault="008F7F65" w:rsidP="00327CE7">
      <w:pPr>
        <w:pStyle w:val="ListBullet2"/>
      </w:pPr>
      <w:r>
        <w:t>Attachment 3 – DCP 3</w:t>
      </w:r>
      <w:r w:rsidR="00F51E8D">
        <w:t>45</w:t>
      </w:r>
      <w:r>
        <w:t xml:space="preserve"> Change Proposal Form</w:t>
      </w:r>
    </w:p>
    <w:p w14:paraId="1857B60B" w14:textId="77777777" w:rsidR="00C80BD9" w:rsidRPr="00DF3AFE" w:rsidRDefault="00C80BD9" w:rsidP="00DD1E87">
      <w:pPr>
        <w:pStyle w:val="ListBullet2"/>
        <w:numPr>
          <w:ilvl w:val="0"/>
          <w:numId w:val="0"/>
        </w:numPr>
      </w:pPr>
    </w:p>
    <w:sectPr w:rsidR="00C80BD9" w:rsidRPr="00DF3AFE" w:rsidSect="006F19E3">
      <w:headerReference w:type="default" r:id="rId15"/>
      <w:footerReference w:type="default" r:id="rId16"/>
      <w:type w:val="continuous"/>
      <w:pgSz w:w="11906" w:h="16838"/>
      <w:pgMar w:top="1113" w:right="1416" w:bottom="567" w:left="1134" w:header="142" w:footer="7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6EABF4" w14:textId="77777777" w:rsidR="009A3A1D" w:rsidRDefault="009A3A1D">
      <w:pPr>
        <w:spacing w:line="240" w:lineRule="auto"/>
      </w:pPr>
      <w:r>
        <w:separator/>
      </w:r>
    </w:p>
    <w:p w14:paraId="2DC76CA2" w14:textId="77777777" w:rsidR="009A3A1D" w:rsidRDefault="009A3A1D"/>
  </w:endnote>
  <w:endnote w:type="continuationSeparator" w:id="0">
    <w:p w14:paraId="39DF0D8B" w14:textId="77777777" w:rsidR="009A3A1D" w:rsidRDefault="009A3A1D">
      <w:pPr>
        <w:spacing w:line="240" w:lineRule="auto"/>
      </w:pPr>
      <w:r>
        <w:continuationSeparator/>
      </w:r>
    </w:p>
    <w:p w14:paraId="3D1764F0" w14:textId="77777777" w:rsidR="009A3A1D" w:rsidRDefault="009A3A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204467" w14:textId="3E991B41" w:rsidR="009A3A1D" w:rsidRDefault="009A3A1D" w:rsidP="00EA3F0B">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lang w:val="en-US"/>
      </w:rPr>
    </w:pPr>
    <w:r>
      <w:rPr>
        <w:rFonts w:cs="Arial"/>
        <w:sz w:val="16"/>
        <w:szCs w:val="16"/>
      </w:rPr>
      <w:t>DCP 345</w:t>
    </w: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10</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13</w:t>
    </w:r>
    <w:r w:rsidRPr="000660DF">
      <w:rPr>
        <w:rFonts w:cs="Arial"/>
        <w:sz w:val="16"/>
        <w:szCs w:val="16"/>
        <w:lang w:val="en-US"/>
      </w:rPr>
      <w:fldChar w:fldCharType="end"/>
    </w:r>
    <w:r>
      <w:rPr>
        <w:rFonts w:cs="Arial"/>
        <w:sz w:val="16"/>
        <w:szCs w:val="16"/>
        <w:lang w:val="en-US"/>
      </w:rPr>
      <w:tab/>
      <w:t>Version 1.0</w:t>
    </w:r>
  </w:p>
  <w:p w14:paraId="04ECF23F" w14:textId="43FB32FD" w:rsidR="009A3A1D" w:rsidRDefault="009A3A1D" w:rsidP="00F0352A">
    <w:pPr>
      <w:pStyle w:val="Footer"/>
      <w:pBdr>
        <w:top w:val="single" w:sz="4" w:space="1" w:color="auto"/>
      </w:pBdr>
      <w:tabs>
        <w:tab w:val="clear" w:pos="4320"/>
        <w:tab w:val="clear" w:pos="8640"/>
        <w:tab w:val="center" w:pos="4962"/>
        <w:tab w:val="right" w:pos="9356"/>
      </w:tabs>
      <w:spacing w:before="0" w:after="0" w:line="240" w:lineRule="auto"/>
      <w:jc w:val="center"/>
      <w:rPr>
        <w:rFonts w:cs="Arial"/>
        <w:sz w:val="16"/>
        <w:szCs w:val="16"/>
      </w:rPr>
    </w:pPr>
    <w:r>
      <w:rPr>
        <w:rFonts w:cs="Arial"/>
        <w:sz w:val="16"/>
        <w:szCs w:val="16"/>
        <w:lang w:val="en-US"/>
      </w:rPr>
      <w:t>DCUSA Consultation</w:t>
    </w:r>
    <w:r>
      <w:rPr>
        <w:rFonts w:cs="Arial"/>
        <w:sz w:val="16"/>
        <w:szCs w:val="16"/>
        <w:lang w:val="en-US"/>
      </w:rPr>
      <w:tab/>
    </w:r>
    <w:r w:rsidRPr="000660DF">
      <w:rPr>
        <w:rFonts w:cs="Arial"/>
        <w:sz w:val="16"/>
        <w:szCs w:val="16"/>
      </w:rPr>
      <w:t xml:space="preserve">© </w:t>
    </w:r>
    <w:r>
      <w:rPr>
        <w:rFonts w:cs="Arial"/>
        <w:sz w:val="16"/>
        <w:szCs w:val="16"/>
      </w:rPr>
      <w:t xml:space="preserve">2016 </w:t>
    </w:r>
    <w:r w:rsidRPr="000660DF">
      <w:rPr>
        <w:rFonts w:cs="Arial"/>
        <w:sz w:val="16"/>
        <w:szCs w:val="16"/>
      </w:rPr>
      <w:t>all rights reserved</w:t>
    </w:r>
    <w:r>
      <w:rPr>
        <w:rFonts w:cs="Arial"/>
        <w:sz w:val="16"/>
        <w:szCs w:val="16"/>
      </w:rPr>
      <w:tab/>
      <w:t>XX XXX XX</w:t>
    </w:r>
  </w:p>
  <w:p w14:paraId="64F1C94E" w14:textId="2A3E836F" w:rsidR="009A3A1D" w:rsidRDefault="009A3A1D" w:rsidP="00F0352A">
    <w:pPr>
      <w:pStyle w:val="Footer"/>
      <w:pBdr>
        <w:top w:val="single" w:sz="4" w:space="1" w:color="auto"/>
      </w:pBdr>
      <w:tabs>
        <w:tab w:val="clear" w:pos="4320"/>
        <w:tab w:val="clear" w:pos="8640"/>
        <w:tab w:val="center" w:pos="4962"/>
        <w:tab w:val="right" w:pos="9356"/>
      </w:tabs>
      <w:spacing w:before="0" w:after="0" w:line="240" w:lineRule="auto"/>
      <w:rPr>
        <w:rFonts w:cs="Arial"/>
        <w:sz w:val="16"/>
        <w:szCs w:val="16"/>
      </w:rPr>
    </w:pPr>
  </w:p>
  <w:p w14:paraId="3B451424" w14:textId="05DD3421" w:rsidR="009A3A1D" w:rsidRDefault="009A3A1D" w:rsidP="00F0352A">
    <w:pPr>
      <w:pStyle w:val="Footer"/>
      <w:pBdr>
        <w:top w:val="single" w:sz="4" w:space="1" w:color="auto"/>
      </w:pBdr>
      <w:tabs>
        <w:tab w:val="clear" w:pos="4320"/>
        <w:tab w:val="clear" w:pos="8640"/>
        <w:tab w:val="center" w:pos="4962"/>
        <w:tab w:val="right" w:pos="9356"/>
      </w:tabs>
      <w:spacing w:before="0" w:after="0" w:line="240" w:lineRule="auto"/>
      <w:rPr>
        <w:rFonts w:cs="Arial"/>
        <w:sz w:val="16"/>
        <w:szCs w:val="16"/>
        <w:vertAlign w:val="super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FD9918" w14:textId="77777777" w:rsidR="009A3A1D" w:rsidRDefault="009A3A1D">
      <w:pPr>
        <w:spacing w:line="240" w:lineRule="auto"/>
      </w:pPr>
      <w:r>
        <w:separator/>
      </w:r>
    </w:p>
    <w:p w14:paraId="34E72109" w14:textId="77777777" w:rsidR="009A3A1D" w:rsidRDefault="009A3A1D"/>
  </w:footnote>
  <w:footnote w:type="continuationSeparator" w:id="0">
    <w:p w14:paraId="540691D9" w14:textId="77777777" w:rsidR="009A3A1D" w:rsidRDefault="009A3A1D">
      <w:pPr>
        <w:spacing w:line="240" w:lineRule="auto"/>
      </w:pPr>
      <w:r>
        <w:continuationSeparator/>
      </w:r>
    </w:p>
    <w:p w14:paraId="1B16083A" w14:textId="77777777" w:rsidR="009A3A1D" w:rsidRDefault="009A3A1D"/>
  </w:footnote>
  <w:footnote w:id="1">
    <w:p w14:paraId="5F6C699C" w14:textId="2FBB0635" w:rsidR="009A3A1D" w:rsidRDefault="009A3A1D">
      <w:pPr>
        <w:pStyle w:val="FootnoteText"/>
      </w:pPr>
      <w:r>
        <w:rPr>
          <w:rStyle w:val="FootnoteReference"/>
        </w:rPr>
        <w:footnoteRef/>
      </w:r>
      <w:r>
        <w:t xml:space="preserve"> An application received from an innovator who is looking to run a trial to test new products, services and business models but to do so needs to derogate some of the clauses within a licence or relevant code.</w:t>
      </w:r>
    </w:p>
  </w:footnote>
  <w:footnote w:id="2">
    <w:p w14:paraId="2FE62E30" w14:textId="0080DD2F" w:rsidR="009A3A1D" w:rsidRDefault="009A3A1D">
      <w:pPr>
        <w:pStyle w:val="FootnoteText"/>
      </w:pPr>
      <w:r>
        <w:rPr>
          <w:rStyle w:val="FootnoteReference"/>
        </w:rPr>
        <w:footnoteRef/>
      </w:r>
      <w:r>
        <w:t xml:space="preserve"> </w:t>
      </w:r>
      <w:hyperlink r:id="rId1" w:history="1">
        <w:r w:rsidRPr="00BB724F">
          <w:rPr>
            <w:rStyle w:val="Hyperlink"/>
          </w:rPr>
          <w:t xml:space="preserve">What is a regulatory sandbox? </w:t>
        </w:r>
      </w:hyperlink>
      <w:r>
        <w:t xml:space="preserve"> </w:t>
      </w:r>
    </w:p>
  </w:footnote>
  <w:footnote w:id="3">
    <w:p w14:paraId="6D8593D4" w14:textId="6DD2F629" w:rsidR="009A3A1D" w:rsidRDefault="009A3A1D">
      <w:pPr>
        <w:pStyle w:val="FootnoteText"/>
      </w:pPr>
      <w:r>
        <w:rPr>
          <w:rStyle w:val="FootnoteReference"/>
        </w:rPr>
        <w:footnoteRef/>
      </w:r>
      <w:r>
        <w:t xml:space="preserve"> </w:t>
      </w:r>
      <w:hyperlink r:id="rId2" w:history="1">
        <w:r w:rsidRPr="0058064E">
          <w:rPr>
            <w:rStyle w:val="Hyperlink"/>
          </w:rPr>
          <w:t>Code Administrators Code of Practice</w:t>
        </w:r>
      </w:hyperlink>
    </w:p>
  </w:footnote>
  <w:footnote w:id="4">
    <w:p w14:paraId="08F5D4B5" w14:textId="2F41A8A3" w:rsidR="00F51E8D" w:rsidRDefault="00F51E8D">
      <w:pPr>
        <w:pStyle w:val="FootnoteText"/>
      </w:pPr>
      <w:r>
        <w:rPr>
          <w:rStyle w:val="FootnoteReference"/>
        </w:rPr>
        <w:footnoteRef/>
      </w:r>
      <w:r>
        <w:t xml:space="preserve"> </w:t>
      </w:r>
      <w:hyperlink r:id="rId3" w:history="1">
        <w:r w:rsidRPr="00F51E8D">
          <w:rPr>
            <w:rStyle w:val="Hyperlink"/>
          </w:rPr>
          <w:t>BSC Modification P362</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CC9E81" w14:textId="77777777" w:rsidR="009A3A1D" w:rsidRDefault="009A3A1D">
    <w:pPr>
      <w:pStyle w:val="Header"/>
    </w:pPr>
    <w:r>
      <w:rPr>
        <w:noProof/>
      </w:rPr>
      <w:drawing>
        <wp:anchor distT="0" distB="0" distL="114300" distR="114300" simplePos="0" relativeHeight="251657728" behindDoc="0" locked="0" layoutInCell="1" allowOverlap="1" wp14:anchorId="053DB016" wp14:editId="2A98F457">
          <wp:simplePos x="0" y="0"/>
          <wp:positionH relativeFrom="column">
            <wp:posOffset>4198620</wp:posOffset>
          </wp:positionH>
          <wp:positionV relativeFrom="paragraph">
            <wp:posOffset>-93980</wp:posOffset>
          </wp:positionV>
          <wp:extent cx="2015490" cy="682625"/>
          <wp:effectExtent l="0" t="0" r="3810" b="3175"/>
          <wp:wrapNone/>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5490" cy="68262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75807"/>
    <w:multiLevelType w:val="hybridMultilevel"/>
    <w:tmpl w:val="88D84EF4"/>
    <w:lvl w:ilvl="0" w:tplc="08090001">
      <w:start w:val="1"/>
      <w:numFmt w:val="bullet"/>
      <w:lvlText w:val=""/>
      <w:lvlJc w:val="left"/>
      <w:pPr>
        <w:ind w:left="936" w:hanging="360"/>
      </w:pPr>
      <w:rPr>
        <w:rFonts w:ascii="Symbol" w:hAnsi="Symbol" w:hint="default"/>
      </w:rPr>
    </w:lvl>
    <w:lvl w:ilvl="1" w:tplc="08090003" w:tentative="1">
      <w:start w:val="1"/>
      <w:numFmt w:val="bullet"/>
      <w:lvlText w:val="o"/>
      <w:lvlJc w:val="left"/>
      <w:pPr>
        <w:ind w:left="1656" w:hanging="360"/>
      </w:pPr>
      <w:rPr>
        <w:rFonts w:ascii="Courier New" w:hAnsi="Courier New" w:cs="Courier New" w:hint="default"/>
      </w:rPr>
    </w:lvl>
    <w:lvl w:ilvl="2" w:tplc="08090005" w:tentative="1">
      <w:start w:val="1"/>
      <w:numFmt w:val="bullet"/>
      <w:lvlText w:val=""/>
      <w:lvlJc w:val="left"/>
      <w:pPr>
        <w:ind w:left="2376" w:hanging="360"/>
      </w:pPr>
      <w:rPr>
        <w:rFonts w:ascii="Wingdings" w:hAnsi="Wingdings" w:hint="default"/>
      </w:rPr>
    </w:lvl>
    <w:lvl w:ilvl="3" w:tplc="08090001" w:tentative="1">
      <w:start w:val="1"/>
      <w:numFmt w:val="bullet"/>
      <w:lvlText w:val=""/>
      <w:lvlJc w:val="left"/>
      <w:pPr>
        <w:ind w:left="3096" w:hanging="360"/>
      </w:pPr>
      <w:rPr>
        <w:rFonts w:ascii="Symbol" w:hAnsi="Symbol" w:hint="default"/>
      </w:rPr>
    </w:lvl>
    <w:lvl w:ilvl="4" w:tplc="08090003" w:tentative="1">
      <w:start w:val="1"/>
      <w:numFmt w:val="bullet"/>
      <w:lvlText w:val="o"/>
      <w:lvlJc w:val="left"/>
      <w:pPr>
        <w:ind w:left="3816" w:hanging="360"/>
      </w:pPr>
      <w:rPr>
        <w:rFonts w:ascii="Courier New" w:hAnsi="Courier New" w:cs="Courier New" w:hint="default"/>
      </w:rPr>
    </w:lvl>
    <w:lvl w:ilvl="5" w:tplc="08090005" w:tentative="1">
      <w:start w:val="1"/>
      <w:numFmt w:val="bullet"/>
      <w:lvlText w:val=""/>
      <w:lvlJc w:val="left"/>
      <w:pPr>
        <w:ind w:left="4536" w:hanging="360"/>
      </w:pPr>
      <w:rPr>
        <w:rFonts w:ascii="Wingdings" w:hAnsi="Wingdings" w:hint="default"/>
      </w:rPr>
    </w:lvl>
    <w:lvl w:ilvl="6" w:tplc="08090001" w:tentative="1">
      <w:start w:val="1"/>
      <w:numFmt w:val="bullet"/>
      <w:lvlText w:val=""/>
      <w:lvlJc w:val="left"/>
      <w:pPr>
        <w:ind w:left="5256" w:hanging="360"/>
      </w:pPr>
      <w:rPr>
        <w:rFonts w:ascii="Symbol" w:hAnsi="Symbol" w:hint="default"/>
      </w:rPr>
    </w:lvl>
    <w:lvl w:ilvl="7" w:tplc="08090003" w:tentative="1">
      <w:start w:val="1"/>
      <w:numFmt w:val="bullet"/>
      <w:lvlText w:val="o"/>
      <w:lvlJc w:val="left"/>
      <w:pPr>
        <w:ind w:left="5976" w:hanging="360"/>
      </w:pPr>
      <w:rPr>
        <w:rFonts w:ascii="Courier New" w:hAnsi="Courier New" w:cs="Courier New" w:hint="default"/>
      </w:rPr>
    </w:lvl>
    <w:lvl w:ilvl="8" w:tplc="08090005" w:tentative="1">
      <w:start w:val="1"/>
      <w:numFmt w:val="bullet"/>
      <w:lvlText w:val=""/>
      <w:lvlJc w:val="left"/>
      <w:pPr>
        <w:ind w:left="6696" w:hanging="360"/>
      </w:pPr>
      <w:rPr>
        <w:rFonts w:ascii="Wingdings" w:hAnsi="Wingdings" w:hint="default"/>
      </w:rPr>
    </w:lvl>
  </w:abstractNum>
  <w:abstractNum w:abstractNumId="1" w15:restartNumberingAfterBreak="0">
    <w:nsid w:val="06314909"/>
    <w:multiLevelType w:val="multilevel"/>
    <w:tmpl w:val="0ED8F910"/>
    <w:lvl w:ilvl="0">
      <w:start w:val="1"/>
      <w:numFmt w:val="decimal"/>
      <w:pStyle w:val="Heading02"/>
      <w:lvlText w:val="%1"/>
      <w:lvlJc w:val="left"/>
      <w:pPr>
        <w:ind w:left="432" w:hanging="432"/>
      </w:pPr>
      <w:rPr>
        <w:rFonts w:hint="default"/>
      </w:rPr>
    </w:lvl>
    <w:lvl w:ilvl="1">
      <w:start w:val="1"/>
      <w:numFmt w:val="decimal"/>
      <w:pStyle w:val="Heading2"/>
      <w:lvlText w:val="%1.%2"/>
      <w:lvlJc w:val="left"/>
      <w:pPr>
        <w:ind w:left="576" w:hanging="576"/>
      </w:pPr>
      <w:rPr>
        <w:rFonts w:ascii="Arial" w:hAnsi="Arial" w:cs="Arial" w:hint="default"/>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4"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9E26F5"/>
    <w:multiLevelType w:val="multilevel"/>
    <w:tmpl w:val="8A9AD5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1A82823"/>
    <w:multiLevelType w:val="hybridMultilevel"/>
    <w:tmpl w:val="0696143C"/>
    <w:lvl w:ilvl="0" w:tplc="08090001">
      <w:start w:val="1"/>
      <w:numFmt w:val="bullet"/>
      <w:lvlText w:val=""/>
      <w:lvlJc w:val="left"/>
      <w:pPr>
        <w:ind w:left="1298" w:hanging="360"/>
      </w:pPr>
      <w:rPr>
        <w:rFonts w:ascii="Symbol" w:hAnsi="Symbol" w:hint="default"/>
      </w:rPr>
    </w:lvl>
    <w:lvl w:ilvl="1" w:tplc="08090003" w:tentative="1">
      <w:start w:val="1"/>
      <w:numFmt w:val="bullet"/>
      <w:lvlText w:val="o"/>
      <w:lvlJc w:val="left"/>
      <w:pPr>
        <w:ind w:left="2018" w:hanging="360"/>
      </w:pPr>
      <w:rPr>
        <w:rFonts w:ascii="Courier New" w:hAnsi="Courier New" w:cs="Courier New" w:hint="default"/>
      </w:rPr>
    </w:lvl>
    <w:lvl w:ilvl="2" w:tplc="08090005" w:tentative="1">
      <w:start w:val="1"/>
      <w:numFmt w:val="bullet"/>
      <w:lvlText w:val=""/>
      <w:lvlJc w:val="left"/>
      <w:pPr>
        <w:ind w:left="2738" w:hanging="360"/>
      </w:pPr>
      <w:rPr>
        <w:rFonts w:ascii="Wingdings" w:hAnsi="Wingdings" w:hint="default"/>
      </w:rPr>
    </w:lvl>
    <w:lvl w:ilvl="3" w:tplc="08090001" w:tentative="1">
      <w:start w:val="1"/>
      <w:numFmt w:val="bullet"/>
      <w:lvlText w:val=""/>
      <w:lvlJc w:val="left"/>
      <w:pPr>
        <w:ind w:left="3458" w:hanging="360"/>
      </w:pPr>
      <w:rPr>
        <w:rFonts w:ascii="Symbol" w:hAnsi="Symbol" w:hint="default"/>
      </w:rPr>
    </w:lvl>
    <w:lvl w:ilvl="4" w:tplc="08090003" w:tentative="1">
      <w:start w:val="1"/>
      <w:numFmt w:val="bullet"/>
      <w:lvlText w:val="o"/>
      <w:lvlJc w:val="left"/>
      <w:pPr>
        <w:ind w:left="4178" w:hanging="360"/>
      </w:pPr>
      <w:rPr>
        <w:rFonts w:ascii="Courier New" w:hAnsi="Courier New" w:cs="Courier New" w:hint="default"/>
      </w:rPr>
    </w:lvl>
    <w:lvl w:ilvl="5" w:tplc="08090005" w:tentative="1">
      <w:start w:val="1"/>
      <w:numFmt w:val="bullet"/>
      <w:lvlText w:val=""/>
      <w:lvlJc w:val="left"/>
      <w:pPr>
        <w:ind w:left="4898" w:hanging="360"/>
      </w:pPr>
      <w:rPr>
        <w:rFonts w:ascii="Wingdings" w:hAnsi="Wingdings" w:hint="default"/>
      </w:rPr>
    </w:lvl>
    <w:lvl w:ilvl="6" w:tplc="08090001" w:tentative="1">
      <w:start w:val="1"/>
      <w:numFmt w:val="bullet"/>
      <w:lvlText w:val=""/>
      <w:lvlJc w:val="left"/>
      <w:pPr>
        <w:ind w:left="5618" w:hanging="360"/>
      </w:pPr>
      <w:rPr>
        <w:rFonts w:ascii="Symbol" w:hAnsi="Symbol" w:hint="default"/>
      </w:rPr>
    </w:lvl>
    <w:lvl w:ilvl="7" w:tplc="08090003" w:tentative="1">
      <w:start w:val="1"/>
      <w:numFmt w:val="bullet"/>
      <w:lvlText w:val="o"/>
      <w:lvlJc w:val="left"/>
      <w:pPr>
        <w:ind w:left="6338" w:hanging="360"/>
      </w:pPr>
      <w:rPr>
        <w:rFonts w:ascii="Courier New" w:hAnsi="Courier New" w:cs="Courier New" w:hint="default"/>
      </w:rPr>
    </w:lvl>
    <w:lvl w:ilvl="8" w:tplc="08090005" w:tentative="1">
      <w:start w:val="1"/>
      <w:numFmt w:val="bullet"/>
      <w:lvlText w:val=""/>
      <w:lvlJc w:val="left"/>
      <w:pPr>
        <w:ind w:left="7058" w:hanging="360"/>
      </w:pPr>
      <w:rPr>
        <w:rFonts w:ascii="Wingdings" w:hAnsi="Wingdings" w:hint="default"/>
      </w:rPr>
    </w:lvl>
  </w:abstractNum>
  <w:abstractNum w:abstractNumId="9"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15:restartNumberingAfterBreak="0">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1122076"/>
    <w:multiLevelType w:val="hybridMultilevel"/>
    <w:tmpl w:val="EABCEC46"/>
    <w:lvl w:ilvl="0" w:tplc="BE20507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5961D7F"/>
    <w:multiLevelType w:val="hybridMultilevel"/>
    <w:tmpl w:val="854E78C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59CC28C7"/>
    <w:multiLevelType w:val="hybridMultilevel"/>
    <w:tmpl w:val="B4B2B0E4"/>
    <w:lvl w:ilvl="0" w:tplc="08090001">
      <w:start w:val="1"/>
      <w:numFmt w:val="bullet"/>
      <w:lvlText w:val=""/>
      <w:lvlJc w:val="left"/>
      <w:pPr>
        <w:ind w:left="1298" w:hanging="360"/>
      </w:pPr>
      <w:rPr>
        <w:rFonts w:ascii="Symbol" w:hAnsi="Symbol" w:hint="default"/>
      </w:rPr>
    </w:lvl>
    <w:lvl w:ilvl="1" w:tplc="08090003" w:tentative="1">
      <w:start w:val="1"/>
      <w:numFmt w:val="bullet"/>
      <w:lvlText w:val="o"/>
      <w:lvlJc w:val="left"/>
      <w:pPr>
        <w:ind w:left="2018" w:hanging="360"/>
      </w:pPr>
      <w:rPr>
        <w:rFonts w:ascii="Courier New" w:hAnsi="Courier New" w:cs="Courier New" w:hint="default"/>
      </w:rPr>
    </w:lvl>
    <w:lvl w:ilvl="2" w:tplc="08090005" w:tentative="1">
      <w:start w:val="1"/>
      <w:numFmt w:val="bullet"/>
      <w:lvlText w:val=""/>
      <w:lvlJc w:val="left"/>
      <w:pPr>
        <w:ind w:left="2738" w:hanging="360"/>
      </w:pPr>
      <w:rPr>
        <w:rFonts w:ascii="Wingdings" w:hAnsi="Wingdings" w:hint="default"/>
      </w:rPr>
    </w:lvl>
    <w:lvl w:ilvl="3" w:tplc="08090001" w:tentative="1">
      <w:start w:val="1"/>
      <w:numFmt w:val="bullet"/>
      <w:lvlText w:val=""/>
      <w:lvlJc w:val="left"/>
      <w:pPr>
        <w:ind w:left="3458" w:hanging="360"/>
      </w:pPr>
      <w:rPr>
        <w:rFonts w:ascii="Symbol" w:hAnsi="Symbol" w:hint="default"/>
      </w:rPr>
    </w:lvl>
    <w:lvl w:ilvl="4" w:tplc="08090003" w:tentative="1">
      <w:start w:val="1"/>
      <w:numFmt w:val="bullet"/>
      <w:lvlText w:val="o"/>
      <w:lvlJc w:val="left"/>
      <w:pPr>
        <w:ind w:left="4178" w:hanging="360"/>
      </w:pPr>
      <w:rPr>
        <w:rFonts w:ascii="Courier New" w:hAnsi="Courier New" w:cs="Courier New" w:hint="default"/>
      </w:rPr>
    </w:lvl>
    <w:lvl w:ilvl="5" w:tplc="08090005" w:tentative="1">
      <w:start w:val="1"/>
      <w:numFmt w:val="bullet"/>
      <w:lvlText w:val=""/>
      <w:lvlJc w:val="left"/>
      <w:pPr>
        <w:ind w:left="4898" w:hanging="360"/>
      </w:pPr>
      <w:rPr>
        <w:rFonts w:ascii="Wingdings" w:hAnsi="Wingdings" w:hint="default"/>
      </w:rPr>
    </w:lvl>
    <w:lvl w:ilvl="6" w:tplc="08090001" w:tentative="1">
      <w:start w:val="1"/>
      <w:numFmt w:val="bullet"/>
      <w:lvlText w:val=""/>
      <w:lvlJc w:val="left"/>
      <w:pPr>
        <w:ind w:left="5618" w:hanging="360"/>
      </w:pPr>
      <w:rPr>
        <w:rFonts w:ascii="Symbol" w:hAnsi="Symbol" w:hint="default"/>
      </w:rPr>
    </w:lvl>
    <w:lvl w:ilvl="7" w:tplc="08090003" w:tentative="1">
      <w:start w:val="1"/>
      <w:numFmt w:val="bullet"/>
      <w:lvlText w:val="o"/>
      <w:lvlJc w:val="left"/>
      <w:pPr>
        <w:ind w:left="6338" w:hanging="360"/>
      </w:pPr>
      <w:rPr>
        <w:rFonts w:ascii="Courier New" w:hAnsi="Courier New" w:cs="Courier New" w:hint="default"/>
      </w:rPr>
    </w:lvl>
    <w:lvl w:ilvl="8" w:tplc="08090005" w:tentative="1">
      <w:start w:val="1"/>
      <w:numFmt w:val="bullet"/>
      <w:lvlText w:val=""/>
      <w:lvlJc w:val="left"/>
      <w:pPr>
        <w:ind w:left="7058" w:hanging="360"/>
      </w:pPr>
      <w:rPr>
        <w:rFonts w:ascii="Wingdings" w:hAnsi="Wingdings" w:hint="default"/>
      </w:rPr>
    </w:lvl>
  </w:abstractNum>
  <w:abstractNum w:abstractNumId="14" w15:restartNumberingAfterBreak="0">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15" w15:restartNumberingAfterBreak="0">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6A86190"/>
    <w:multiLevelType w:val="multilevel"/>
    <w:tmpl w:val="28721648"/>
    <w:lvl w:ilvl="0">
      <w:start w:val="1"/>
      <w:numFmt w:val="bullet"/>
      <w:pStyle w:val="ListBullet2"/>
      <w:lvlText w:val=""/>
      <w:lvlJc w:val="left"/>
      <w:pPr>
        <w:tabs>
          <w:tab w:val="num" w:pos="284"/>
        </w:tabs>
        <w:ind w:left="284" w:hanging="284"/>
      </w:pPr>
      <w:rPr>
        <w:rFonts w:ascii="Symbol" w:hAnsi="Symbol" w:hint="default"/>
        <w:b w:val="0"/>
        <w:i w:val="0"/>
        <w:color w:val="auto"/>
        <w:sz w:val="20"/>
      </w:rPr>
    </w:lvl>
    <w:lvl w:ilvl="1">
      <w:start w:val="1"/>
      <w:numFmt w:val="bullet"/>
      <w:pStyle w:val="TableList"/>
      <w:lvlText w:val=""/>
      <w:lvlJc w:val="left"/>
      <w:pPr>
        <w:tabs>
          <w:tab w:val="num" w:pos="454"/>
        </w:tabs>
        <w:ind w:left="454" w:hanging="341"/>
      </w:pPr>
      <w:rPr>
        <w:rFonts w:ascii="Symbol" w:hAnsi="Symbol" w:hint="default"/>
        <w:b w:val="0"/>
        <w:i w:val="0"/>
        <w:color w:val="008DA8"/>
        <w:sz w:val="20"/>
      </w:rPr>
    </w:lvl>
    <w:lvl w:ilvl="2">
      <w:start w:val="1"/>
      <w:numFmt w:val="bullet"/>
      <w:lvlText w:val=""/>
      <w:lvlJc w:val="left"/>
      <w:pPr>
        <w:tabs>
          <w:tab w:val="num" w:pos="737"/>
        </w:tabs>
        <w:ind w:left="737" w:hanging="283"/>
      </w:pPr>
      <w:rPr>
        <w:rFonts w:ascii="Symbol" w:hAnsi="Symbol" w:hint="default"/>
        <w:b w:val="0"/>
        <w:i w:val="0"/>
        <w:color w:val="008DA8"/>
        <w:sz w:val="20"/>
      </w:rPr>
    </w:lvl>
    <w:lvl w:ilvl="3">
      <w:start w:val="1"/>
      <w:numFmt w:val="bullet"/>
      <w:lvlText w:val=""/>
      <w:lvlJc w:val="left"/>
      <w:pPr>
        <w:tabs>
          <w:tab w:val="num" w:pos="1191"/>
        </w:tabs>
        <w:ind w:left="1191" w:hanging="454"/>
      </w:pPr>
      <w:rPr>
        <w:rFonts w:ascii="Symbol" w:hAnsi="Symbol" w:hint="default"/>
        <w:b w:val="0"/>
        <w:i w:val="0"/>
        <w:color w:val="008DA8"/>
        <w:sz w:val="20"/>
      </w:rPr>
    </w:lvl>
    <w:lvl w:ilvl="4">
      <w:start w:val="1"/>
      <w:numFmt w:val="bullet"/>
      <w:lvlText w:val=""/>
      <w:lvlJc w:val="left"/>
      <w:pPr>
        <w:tabs>
          <w:tab w:val="num" w:pos="3119"/>
        </w:tabs>
        <w:ind w:left="3119" w:hanging="964"/>
      </w:pPr>
      <w:rPr>
        <w:rFonts w:ascii="Symbol" w:hAnsi="Symbol" w:hint="default"/>
        <w:b w:val="0"/>
        <w:i w:val="0"/>
        <w:color w:val="008DA8"/>
        <w:sz w:val="20"/>
      </w:rPr>
    </w:lvl>
    <w:lvl w:ilvl="5">
      <w:start w:val="1"/>
      <w:numFmt w:val="bullet"/>
      <w:lvlText w:val=""/>
      <w:lvlJc w:val="left"/>
      <w:pPr>
        <w:tabs>
          <w:tab w:val="num" w:pos="4253"/>
        </w:tabs>
        <w:ind w:left="4253" w:hanging="1134"/>
      </w:pPr>
      <w:rPr>
        <w:rFonts w:ascii="Symbol" w:hAnsi="Symbol" w:hint="default"/>
        <w:b w:val="0"/>
        <w:i w:val="0"/>
        <w:color w:val="008DA8"/>
        <w:sz w:val="20"/>
      </w:rPr>
    </w:lvl>
    <w:lvl w:ilvl="6">
      <w:start w:val="1"/>
      <w:numFmt w:val="bullet"/>
      <w:lvlText w:val=""/>
      <w:lvlJc w:val="left"/>
      <w:pPr>
        <w:tabs>
          <w:tab w:val="num" w:pos="5557"/>
        </w:tabs>
        <w:ind w:left="5557" w:hanging="1304"/>
      </w:pPr>
      <w:rPr>
        <w:rFonts w:ascii="Symbol" w:hAnsi="Symbol" w:hint="default"/>
        <w:b w:val="0"/>
        <w:i w:val="0"/>
        <w:color w:val="008DA8"/>
        <w:sz w:val="20"/>
      </w:rPr>
    </w:lvl>
    <w:lvl w:ilvl="7">
      <w:start w:val="1"/>
      <w:numFmt w:val="bullet"/>
      <w:lvlText w:val=""/>
      <w:lvlJc w:val="left"/>
      <w:pPr>
        <w:tabs>
          <w:tab w:val="num" w:pos="4706"/>
        </w:tabs>
        <w:ind w:left="4706" w:hanging="1077"/>
      </w:pPr>
      <w:rPr>
        <w:rFonts w:ascii="Symbol" w:hAnsi="Symbol" w:hint="default"/>
        <w:b w:val="0"/>
        <w:i w:val="0"/>
        <w:color w:val="008DA8"/>
        <w:sz w:val="20"/>
      </w:rPr>
    </w:lvl>
    <w:lvl w:ilvl="8">
      <w:start w:val="1"/>
      <w:numFmt w:val="bullet"/>
      <w:lvlText w:val=""/>
      <w:lvlJc w:val="left"/>
      <w:pPr>
        <w:tabs>
          <w:tab w:val="num" w:pos="7144"/>
        </w:tabs>
        <w:ind w:left="7144" w:hanging="1587"/>
      </w:pPr>
      <w:rPr>
        <w:rFonts w:ascii="Symbol" w:hAnsi="Symbol" w:hint="default"/>
        <w:b w:val="0"/>
        <w:i w:val="0"/>
        <w:color w:val="008DA8"/>
        <w:sz w:val="20"/>
      </w:rPr>
    </w:lvl>
  </w:abstractNum>
  <w:num w:numId="1">
    <w:abstractNumId w:val="19"/>
  </w:num>
  <w:num w:numId="2">
    <w:abstractNumId w:val="17"/>
  </w:num>
  <w:num w:numId="3">
    <w:abstractNumId w:val="7"/>
  </w:num>
  <w:num w:numId="4">
    <w:abstractNumId w:val="9"/>
  </w:num>
  <w:num w:numId="5">
    <w:abstractNumId w:val="4"/>
  </w:num>
  <w:num w:numId="6">
    <w:abstractNumId w:val="18"/>
  </w:num>
  <w:num w:numId="7">
    <w:abstractNumId w:val="10"/>
  </w:num>
  <w:num w:numId="8">
    <w:abstractNumId w:val="5"/>
  </w:num>
  <w:num w:numId="9">
    <w:abstractNumId w:val="16"/>
  </w:num>
  <w:num w:numId="10">
    <w:abstractNumId w:val="14"/>
  </w:num>
  <w:num w:numId="11">
    <w:abstractNumId w:val="3"/>
  </w:num>
  <w:num w:numId="12">
    <w:abstractNumId w:val="2"/>
  </w:num>
  <w:num w:numId="13">
    <w:abstractNumId w:val="15"/>
  </w:num>
  <w:num w:numId="14">
    <w:abstractNumId w:val="1"/>
  </w:num>
  <w:num w:numId="15">
    <w:abstractNumId w:val="1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8"/>
  </w:num>
  <w:num w:numId="25">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1B99"/>
    <w:rsid w:val="00000007"/>
    <w:rsid w:val="0000002F"/>
    <w:rsid w:val="00003462"/>
    <w:rsid w:val="00004426"/>
    <w:rsid w:val="00004A78"/>
    <w:rsid w:val="00005C2A"/>
    <w:rsid w:val="0001312A"/>
    <w:rsid w:val="000131C0"/>
    <w:rsid w:val="000140D5"/>
    <w:rsid w:val="00014A06"/>
    <w:rsid w:val="00015169"/>
    <w:rsid w:val="00016AD2"/>
    <w:rsid w:val="00021E27"/>
    <w:rsid w:val="0002309B"/>
    <w:rsid w:val="00024E67"/>
    <w:rsid w:val="00026A6A"/>
    <w:rsid w:val="00027B6F"/>
    <w:rsid w:val="000363FA"/>
    <w:rsid w:val="00040622"/>
    <w:rsid w:val="00040F9B"/>
    <w:rsid w:val="00041A17"/>
    <w:rsid w:val="000427B0"/>
    <w:rsid w:val="00043976"/>
    <w:rsid w:val="00046CCC"/>
    <w:rsid w:val="000546C7"/>
    <w:rsid w:val="00055793"/>
    <w:rsid w:val="0005617C"/>
    <w:rsid w:val="000561DC"/>
    <w:rsid w:val="00057496"/>
    <w:rsid w:val="00057C9D"/>
    <w:rsid w:val="00061E2B"/>
    <w:rsid w:val="00062E0D"/>
    <w:rsid w:val="00064FFC"/>
    <w:rsid w:val="00067616"/>
    <w:rsid w:val="00067E74"/>
    <w:rsid w:val="0007537E"/>
    <w:rsid w:val="00076B9B"/>
    <w:rsid w:val="00082674"/>
    <w:rsid w:val="00082F1D"/>
    <w:rsid w:val="00086384"/>
    <w:rsid w:val="00096C4E"/>
    <w:rsid w:val="000A36A8"/>
    <w:rsid w:val="000A40BF"/>
    <w:rsid w:val="000B007D"/>
    <w:rsid w:val="000B2E3D"/>
    <w:rsid w:val="000B3C22"/>
    <w:rsid w:val="000B5D6C"/>
    <w:rsid w:val="000C37E0"/>
    <w:rsid w:val="000C4924"/>
    <w:rsid w:val="000D1ECA"/>
    <w:rsid w:val="000D5720"/>
    <w:rsid w:val="000D66EC"/>
    <w:rsid w:val="000E0100"/>
    <w:rsid w:val="000E034A"/>
    <w:rsid w:val="000E19B4"/>
    <w:rsid w:val="000E2E48"/>
    <w:rsid w:val="000E3F5B"/>
    <w:rsid w:val="000E6568"/>
    <w:rsid w:val="000E76BF"/>
    <w:rsid w:val="0010060E"/>
    <w:rsid w:val="00101817"/>
    <w:rsid w:val="001060C1"/>
    <w:rsid w:val="00111F27"/>
    <w:rsid w:val="00112F45"/>
    <w:rsid w:val="001156D2"/>
    <w:rsid w:val="00116E9B"/>
    <w:rsid w:val="001216C5"/>
    <w:rsid w:val="0012496E"/>
    <w:rsid w:val="00124E8E"/>
    <w:rsid w:val="0012717A"/>
    <w:rsid w:val="001378FB"/>
    <w:rsid w:val="0014046B"/>
    <w:rsid w:val="00143041"/>
    <w:rsid w:val="0014327C"/>
    <w:rsid w:val="001445A0"/>
    <w:rsid w:val="001451F4"/>
    <w:rsid w:val="00146470"/>
    <w:rsid w:val="00150E95"/>
    <w:rsid w:val="00151CCE"/>
    <w:rsid w:val="00153B91"/>
    <w:rsid w:val="00160B8D"/>
    <w:rsid w:val="0016191F"/>
    <w:rsid w:val="00164E30"/>
    <w:rsid w:val="001657CF"/>
    <w:rsid w:val="00166566"/>
    <w:rsid w:val="00174D21"/>
    <w:rsid w:val="001762D1"/>
    <w:rsid w:val="00182A0C"/>
    <w:rsid w:val="001834A2"/>
    <w:rsid w:val="0018581B"/>
    <w:rsid w:val="0018792D"/>
    <w:rsid w:val="00187969"/>
    <w:rsid w:val="00187E2F"/>
    <w:rsid w:val="001937A0"/>
    <w:rsid w:val="00193F47"/>
    <w:rsid w:val="00197A37"/>
    <w:rsid w:val="001A5839"/>
    <w:rsid w:val="001A6F74"/>
    <w:rsid w:val="001B2D7A"/>
    <w:rsid w:val="001C01D5"/>
    <w:rsid w:val="001C0AAE"/>
    <w:rsid w:val="001C0C6E"/>
    <w:rsid w:val="001C207A"/>
    <w:rsid w:val="001C665E"/>
    <w:rsid w:val="001C6A08"/>
    <w:rsid w:val="001D0B92"/>
    <w:rsid w:val="001D12EB"/>
    <w:rsid w:val="001D3EFD"/>
    <w:rsid w:val="001D7EC5"/>
    <w:rsid w:val="001E2563"/>
    <w:rsid w:val="001E32D7"/>
    <w:rsid w:val="001E5D9F"/>
    <w:rsid w:val="001E6DCF"/>
    <w:rsid w:val="001F0E93"/>
    <w:rsid w:val="001F36FC"/>
    <w:rsid w:val="001F3812"/>
    <w:rsid w:val="001F4DA0"/>
    <w:rsid w:val="001F5AAF"/>
    <w:rsid w:val="001F6DA9"/>
    <w:rsid w:val="001F7908"/>
    <w:rsid w:val="001F7D0E"/>
    <w:rsid w:val="002036BB"/>
    <w:rsid w:val="002047E2"/>
    <w:rsid w:val="00205E60"/>
    <w:rsid w:val="00207680"/>
    <w:rsid w:val="002126D4"/>
    <w:rsid w:val="002129EC"/>
    <w:rsid w:val="00212BF5"/>
    <w:rsid w:val="0021418F"/>
    <w:rsid w:val="002148B6"/>
    <w:rsid w:val="00215877"/>
    <w:rsid w:val="00215C1A"/>
    <w:rsid w:val="002161A4"/>
    <w:rsid w:val="00220FD2"/>
    <w:rsid w:val="00222723"/>
    <w:rsid w:val="00225F2B"/>
    <w:rsid w:val="002272EF"/>
    <w:rsid w:val="00227DA3"/>
    <w:rsid w:val="00231812"/>
    <w:rsid w:val="00232121"/>
    <w:rsid w:val="00235524"/>
    <w:rsid w:val="00236CC6"/>
    <w:rsid w:val="00236DCB"/>
    <w:rsid w:val="0024000A"/>
    <w:rsid w:val="00240674"/>
    <w:rsid w:val="002426A7"/>
    <w:rsid w:val="00244589"/>
    <w:rsid w:val="00245D7E"/>
    <w:rsid w:val="00251F86"/>
    <w:rsid w:val="00256075"/>
    <w:rsid w:val="00256566"/>
    <w:rsid w:val="00260BAE"/>
    <w:rsid w:val="00260C2C"/>
    <w:rsid w:val="002612FD"/>
    <w:rsid w:val="00263600"/>
    <w:rsid w:val="002660EC"/>
    <w:rsid w:val="00266BC0"/>
    <w:rsid w:val="00270472"/>
    <w:rsid w:val="00272979"/>
    <w:rsid w:val="002733C1"/>
    <w:rsid w:val="002744D3"/>
    <w:rsid w:val="00275260"/>
    <w:rsid w:val="002758A6"/>
    <w:rsid w:val="00276D11"/>
    <w:rsid w:val="00281CF1"/>
    <w:rsid w:val="00281F45"/>
    <w:rsid w:val="00286CBD"/>
    <w:rsid w:val="00290F86"/>
    <w:rsid w:val="00291083"/>
    <w:rsid w:val="00291586"/>
    <w:rsid w:val="002A0D66"/>
    <w:rsid w:val="002A369F"/>
    <w:rsid w:val="002B385B"/>
    <w:rsid w:val="002B4393"/>
    <w:rsid w:val="002B6671"/>
    <w:rsid w:val="002B68DB"/>
    <w:rsid w:val="002C07B9"/>
    <w:rsid w:val="002C0F95"/>
    <w:rsid w:val="002C1553"/>
    <w:rsid w:val="002C7630"/>
    <w:rsid w:val="002D25F9"/>
    <w:rsid w:val="002D2C1B"/>
    <w:rsid w:val="002D5DFC"/>
    <w:rsid w:val="002D6272"/>
    <w:rsid w:val="002D65AF"/>
    <w:rsid w:val="002D7C43"/>
    <w:rsid w:val="002E224D"/>
    <w:rsid w:val="002E2ECA"/>
    <w:rsid w:val="002F0224"/>
    <w:rsid w:val="002F0E78"/>
    <w:rsid w:val="002F13B8"/>
    <w:rsid w:val="002F357D"/>
    <w:rsid w:val="002F40F9"/>
    <w:rsid w:val="002F6CD0"/>
    <w:rsid w:val="002F7B59"/>
    <w:rsid w:val="00301DAF"/>
    <w:rsid w:val="0030272D"/>
    <w:rsid w:val="00302736"/>
    <w:rsid w:val="00302F67"/>
    <w:rsid w:val="0030347F"/>
    <w:rsid w:val="00303614"/>
    <w:rsid w:val="00305819"/>
    <w:rsid w:val="00305AC5"/>
    <w:rsid w:val="00306BF5"/>
    <w:rsid w:val="00310346"/>
    <w:rsid w:val="00313E9E"/>
    <w:rsid w:val="00313FE4"/>
    <w:rsid w:val="00316676"/>
    <w:rsid w:val="00320457"/>
    <w:rsid w:val="003221E9"/>
    <w:rsid w:val="003233E7"/>
    <w:rsid w:val="00326AD5"/>
    <w:rsid w:val="00327CE7"/>
    <w:rsid w:val="0033097B"/>
    <w:rsid w:val="00331AA6"/>
    <w:rsid w:val="003328B8"/>
    <w:rsid w:val="00332FE3"/>
    <w:rsid w:val="00335479"/>
    <w:rsid w:val="00336821"/>
    <w:rsid w:val="00341CAD"/>
    <w:rsid w:val="00344177"/>
    <w:rsid w:val="00344FDC"/>
    <w:rsid w:val="00345171"/>
    <w:rsid w:val="003456CF"/>
    <w:rsid w:val="0035124B"/>
    <w:rsid w:val="00351769"/>
    <w:rsid w:val="00351960"/>
    <w:rsid w:val="00351B9D"/>
    <w:rsid w:val="00352A27"/>
    <w:rsid w:val="0035487C"/>
    <w:rsid w:val="003557B1"/>
    <w:rsid w:val="00357570"/>
    <w:rsid w:val="00360C37"/>
    <w:rsid w:val="00362030"/>
    <w:rsid w:val="00363FE9"/>
    <w:rsid w:val="0036481D"/>
    <w:rsid w:val="00367F60"/>
    <w:rsid w:val="0037034E"/>
    <w:rsid w:val="00370895"/>
    <w:rsid w:val="00370BD2"/>
    <w:rsid w:val="003711F3"/>
    <w:rsid w:val="00372C0A"/>
    <w:rsid w:val="00374D22"/>
    <w:rsid w:val="0037500E"/>
    <w:rsid w:val="003775D5"/>
    <w:rsid w:val="00377752"/>
    <w:rsid w:val="00380C64"/>
    <w:rsid w:val="00381EB7"/>
    <w:rsid w:val="00382814"/>
    <w:rsid w:val="00386096"/>
    <w:rsid w:val="00390D19"/>
    <w:rsid w:val="003920ED"/>
    <w:rsid w:val="003971AB"/>
    <w:rsid w:val="003A016A"/>
    <w:rsid w:val="003A0827"/>
    <w:rsid w:val="003A0852"/>
    <w:rsid w:val="003A2970"/>
    <w:rsid w:val="003A2AA8"/>
    <w:rsid w:val="003A2BCC"/>
    <w:rsid w:val="003A2BFE"/>
    <w:rsid w:val="003A40AA"/>
    <w:rsid w:val="003A465C"/>
    <w:rsid w:val="003A4FC7"/>
    <w:rsid w:val="003A6CCA"/>
    <w:rsid w:val="003A6D0E"/>
    <w:rsid w:val="003B0780"/>
    <w:rsid w:val="003B0B34"/>
    <w:rsid w:val="003B1A71"/>
    <w:rsid w:val="003B4004"/>
    <w:rsid w:val="003B4359"/>
    <w:rsid w:val="003B44D0"/>
    <w:rsid w:val="003B5816"/>
    <w:rsid w:val="003C1BBC"/>
    <w:rsid w:val="003C1E4D"/>
    <w:rsid w:val="003C22DF"/>
    <w:rsid w:val="003C2413"/>
    <w:rsid w:val="003C3301"/>
    <w:rsid w:val="003C3B5C"/>
    <w:rsid w:val="003C457B"/>
    <w:rsid w:val="003C6AB2"/>
    <w:rsid w:val="003D0281"/>
    <w:rsid w:val="003D41D8"/>
    <w:rsid w:val="003D5877"/>
    <w:rsid w:val="003D6504"/>
    <w:rsid w:val="003E0757"/>
    <w:rsid w:val="003E0B53"/>
    <w:rsid w:val="003E16D8"/>
    <w:rsid w:val="003E1B16"/>
    <w:rsid w:val="003E63E9"/>
    <w:rsid w:val="003F030F"/>
    <w:rsid w:val="003F0B70"/>
    <w:rsid w:val="003F0B7D"/>
    <w:rsid w:val="003F2A86"/>
    <w:rsid w:val="003F4E3C"/>
    <w:rsid w:val="003F7D71"/>
    <w:rsid w:val="004028D5"/>
    <w:rsid w:val="004045E4"/>
    <w:rsid w:val="004059D4"/>
    <w:rsid w:val="00407BD8"/>
    <w:rsid w:val="00413790"/>
    <w:rsid w:val="00413CFB"/>
    <w:rsid w:val="00414DCE"/>
    <w:rsid w:val="00416FC8"/>
    <w:rsid w:val="00420FB8"/>
    <w:rsid w:val="004214E3"/>
    <w:rsid w:val="00421B40"/>
    <w:rsid w:val="00422258"/>
    <w:rsid w:val="0042584E"/>
    <w:rsid w:val="00426FD6"/>
    <w:rsid w:val="00427291"/>
    <w:rsid w:val="00430E90"/>
    <w:rsid w:val="00432081"/>
    <w:rsid w:val="00433909"/>
    <w:rsid w:val="00433CFE"/>
    <w:rsid w:val="00435C42"/>
    <w:rsid w:val="00435CF2"/>
    <w:rsid w:val="00436AEA"/>
    <w:rsid w:val="00440FAE"/>
    <w:rsid w:val="004410C9"/>
    <w:rsid w:val="004412CD"/>
    <w:rsid w:val="0044228E"/>
    <w:rsid w:val="004428DE"/>
    <w:rsid w:val="00445D85"/>
    <w:rsid w:val="00446636"/>
    <w:rsid w:val="00447064"/>
    <w:rsid w:val="00450385"/>
    <w:rsid w:val="004504EA"/>
    <w:rsid w:val="00455943"/>
    <w:rsid w:val="00455E09"/>
    <w:rsid w:val="004570AC"/>
    <w:rsid w:val="0045753B"/>
    <w:rsid w:val="004579CF"/>
    <w:rsid w:val="0046001A"/>
    <w:rsid w:val="00461C2F"/>
    <w:rsid w:val="00463EF6"/>
    <w:rsid w:val="00467CA8"/>
    <w:rsid w:val="00473B9D"/>
    <w:rsid w:val="004845B4"/>
    <w:rsid w:val="0048657A"/>
    <w:rsid w:val="004867CC"/>
    <w:rsid w:val="004958FC"/>
    <w:rsid w:val="004966A7"/>
    <w:rsid w:val="004A105A"/>
    <w:rsid w:val="004A22E8"/>
    <w:rsid w:val="004A3386"/>
    <w:rsid w:val="004A5970"/>
    <w:rsid w:val="004A631D"/>
    <w:rsid w:val="004B0EA7"/>
    <w:rsid w:val="004B1725"/>
    <w:rsid w:val="004B27FB"/>
    <w:rsid w:val="004B376C"/>
    <w:rsid w:val="004B53C8"/>
    <w:rsid w:val="004B7ABF"/>
    <w:rsid w:val="004C2609"/>
    <w:rsid w:val="004C4371"/>
    <w:rsid w:val="004C49C3"/>
    <w:rsid w:val="004C6117"/>
    <w:rsid w:val="004C66D0"/>
    <w:rsid w:val="004C6C14"/>
    <w:rsid w:val="004D09F0"/>
    <w:rsid w:val="004D0D74"/>
    <w:rsid w:val="004D149E"/>
    <w:rsid w:val="004D1CB3"/>
    <w:rsid w:val="004D38F0"/>
    <w:rsid w:val="004D430C"/>
    <w:rsid w:val="004D638C"/>
    <w:rsid w:val="004D6913"/>
    <w:rsid w:val="004E2468"/>
    <w:rsid w:val="004E5E00"/>
    <w:rsid w:val="004F4A12"/>
    <w:rsid w:val="00500707"/>
    <w:rsid w:val="005023B5"/>
    <w:rsid w:val="00503AEC"/>
    <w:rsid w:val="0050434E"/>
    <w:rsid w:val="00504E6C"/>
    <w:rsid w:val="00505792"/>
    <w:rsid w:val="005079E0"/>
    <w:rsid w:val="005101F4"/>
    <w:rsid w:val="00513062"/>
    <w:rsid w:val="00513631"/>
    <w:rsid w:val="0051566C"/>
    <w:rsid w:val="00515C09"/>
    <w:rsid w:val="005177DA"/>
    <w:rsid w:val="00520724"/>
    <w:rsid w:val="005251AD"/>
    <w:rsid w:val="00526695"/>
    <w:rsid w:val="00526D50"/>
    <w:rsid w:val="005310CC"/>
    <w:rsid w:val="00531B35"/>
    <w:rsid w:val="005352A6"/>
    <w:rsid w:val="005357A0"/>
    <w:rsid w:val="00540357"/>
    <w:rsid w:val="00540493"/>
    <w:rsid w:val="00545D78"/>
    <w:rsid w:val="005469C0"/>
    <w:rsid w:val="005475A3"/>
    <w:rsid w:val="005479D6"/>
    <w:rsid w:val="0055068A"/>
    <w:rsid w:val="0055672D"/>
    <w:rsid w:val="00560EF2"/>
    <w:rsid w:val="00561CEC"/>
    <w:rsid w:val="005649CA"/>
    <w:rsid w:val="00564A43"/>
    <w:rsid w:val="00564AD1"/>
    <w:rsid w:val="005703B3"/>
    <w:rsid w:val="005720CF"/>
    <w:rsid w:val="00575D4F"/>
    <w:rsid w:val="00580576"/>
    <w:rsid w:val="0058064E"/>
    <w:rsid w:val="005809FC"/>
    <w:rsid w:val="00582E0D"/>
    <w:rsid w:val="00584C7B"/>
    <w:rsid w:val="00585133"/>
    <w:rsid w:val="00586BD1"/>
    <w:rsid w:val="00587E1E"/>
    <w:rsid w:val="005908D1"/>
    <w:rsid w:val="00597D29"/>
    <w:rsid w:val="005A0143"/>
    <w:rsid w:val="005A1E00"/>
    <w:rsid w:val="005A2A2B"/>
    <w:rsid w:val="005A4046"/>
    <w:rsid w:val="005A4F5D"/>
    <w:rsid w:val="005A6174"/>
    <w:rsid w:val="005A7145"/>
    <w:rsid w:val="005B0B30"/>
    <w:rsid w:val="005B105E"/>
    <w:rsid w:val="005B378E"/>
    <w:rsid w:val="005C03FB"/>
    <w:rsid w:val="005C1952"/>
    <w:rsid w:val="005C2175"/>
    <w:rsid w:val="005C22EF"/>
    <w:rsid w:val="005D1C6B"/>
    <w:rsid w:val="005D4418"/>
    <w:rsid w:val="005D4631"/>
    <w:rsid w:val="005D4958"/>
    <w:rsid w:val="005D4A2B"/>
    <w:rsid w:val="005D5753"/>
    <w:rsid w:val="005D72CA"/>
    <w:rsid w:val="005E103C"/>
    <w:rsid w:val="005E3915"/>
    <w:rsid w:val="005E661A"/>
    <w:rsid w:val="005F3932"/>
    <w:rsid w:val="005F4AE3"/>
    <w:rsid w:val="005F6CFF"/>
    <w:rsid w:val="005F75C4"/>
    <w:rsid w:val="005F7E14"/>
    <w:rsid w:val="00600B78"/>
    <w:rsid w:val="00602C94"/>
    <w:rsid w:val="00610152"/>
    <w:rsid w:val="00610C8D"/>
    <w:rsid w:val="00610F10"/>
    <w:rsid w:val="00613074"/>
    <w:rsid w:val="00616E62"/>
    <w:rsid w:val="0062062A"/>
    <w:rsid w:val="00620A04"/>
    <w:rsid w:val="00622259"/>
    <w:rsid w:val="00622DC8"/>
    <w:rsid w:val="00623022"/>
    <w:rsid w:val="006248E3"/>
    <w:rsid w:val="00624FA6"/>
    <w:rsid w:val="00627983"/>
    <w:rsid w:val="00630F15"/>
    <w:rsid w:val="0063134F"/>
    <w:rsid w:val="00631710"/>
    <w:rsid w:val="0063186C"/>
    <w:rsid w:val="00631EBB"/>
    <w:rsid w:val="00632719"/>
    <w:rsid w:val="006361BA"/>
    <w:rsid w:val="00636DBE"/>
    <w:rsid w:val="0063761E"/>
    <w:rsid w:val="00637680"/>
    <w:rsid w:val="006377B6"/>
    <w:rsid w:val="00637CD6"/>
    <w:rsid w:val="006440DE"/>
    <w:rsid w:val="006446DD"/>
    <w:rsid w:val="00647335"/>
    <w:rsid w:val="00650186"/>
    <w:rsid w:val="006509B3"/>
    <w:rsid w:val="00652D78"/>
    <w:rsid w:val="006533C3"/>
    <w:rsid w:val="006551B8"/>
    <w:rsid w:val="00661EB9"/>
    <w:rsid w:val="00665358"/>
    <w:rsid w:val="006653B5"/>
    <w:rsid w:val="0067097E"/>
    <w:rsid w:val="00670EE8"/>
    <w:rsid w:val="0067184E"/>
    <w:rsid w:val="00672EC1"/>
    <w:rsid w:val="00673F4F"/>
    <w:rsid w:val="0067455A"/>
    <w:rsid w:val="00674659"/>
    <w:rsid w:val="006853CF"/>
    <w:rsid w:val="00685740"/>
    <w:rsid w:val="00686AE9"/>
    <w:rsid w:val="006876B6"/>
    <w:rsid w:val="00691A06"/>
    <w:rsid w:val="00692313"/>
    <w:rsid w:val="00692F3A"/>
    <w:rsid w:val="00694865"/>
    <w:rsid w:val="00697683"/>
    <w:rsid w:val="006A0767"/>
    <w:rsid w:val="006A5279"/>
    <w:rsid w:val="006B68D8"/>
    <w:rsid w:val="006B6D83"/>
    <w:rsid w:val="006C1856"/>
    <w:rsid w:val="006C1C50"/>
    <w:rsid w:val="006C5683"/>
    <w:rsid w:val="006C57B2"/>
    <w:rsid w:val="006D0CC1"/>
    <w:rsid w:val="006D0E98"/>
    <w:rsid w:val="006D0FB6"/>
    <w:rsid w:val="006D1F16"/>
    <w:rsid w:val="006D6DB1"/>
    <w:rsid w:val="006D73EA"/>
    <w:rsid w:val="006D75CD"/>
    <w:rsid w:val="006E2BF3"/>
    <w:rsid w:val="006E7327"/>
    <w:rsid w:val="006E7560"/>
    <w:rsid w:val="006E7A7E"/>
    <w:rsid w:val="006F19E3"/>
    <w:rsid w:val="006F243E"/>
    <w:rsid w:val="006F3C8E"/>
    <w:rsid w:val="006F4689"/>
    <w:rsid w:val="006F4798"/>
    <w:rsid w:val="007015FF"/>
    <w:rsid w:val="00701A3B"/>
    <w:rsid w:val="00701D85"/>
    <w:rsid w:val="00701E18"/>
    <w:rsid w:val="00702777"/>
    <w:rsid w:val="0070415F"/>
    <w:rsid w:val="00704BD0"/>
    <w:rsid w:val="00706916"/>
    <w:rsid w:val="00710C7E"/>
    <w:rsid w:val="00710E92"/>
    <w:rsid w:val="00714E95"/>
    <w:rsid w:val="0071547D"/>
    <w:rsid w:val="00722FCE"/>
    <w:rsid w:val="00723457"/>
    <w:rsid w:val="0072385C"/>
    <w:rsid w:val="00724C0F"/>
    <w:rsid w:val="00726171"/>
    <w:rsid w:val="007264CE"/>
    <w:rsid w:val="00727E45"/>
    <w:rsid w:val="00731B99"/>
    <w:rsid w:val="00733D46"/>
    <w:rsid w:val="00733F4B"/>
    <w:rsid w:val="00734630"/>
    <w:rsid w:val="00736081"/>
    <w:rsid w:val="007374B9"/>
    <w:rsid w:val="00740A8F"/>
    <w:rsid w:val="00742876"/>
    <w:rsid w:val="0074415E"/>
    <w:rsid w:val="0074688C"/>
    <w:rsid w:val="00747A24"/>
    <w:rsid w:val="007554E3"/>
    <w:rsid w:val="00756BAC"/>
    <w:rsid w:val="007607E8"/>
    <w:rsid w:val="007608FF"/>
    <w:rsid w:val="00760BD6"/>
    <w:rsid w:val="007626D9"/>
    <w:rsid w:val="00766874"/>
    <w:rsid w:val="00770866"/>
    <w:rsid w:val="00771ACE"/>
    <w:rsid w:val="00772942"/>
    <w:rsid w:val="00774F15"/>
    <w:rsid w:val="00774FB4"/>
    <w:rsid w:val="00775EF4"/>
    <w:rsid w:val="00780130"/>
    <w:rsid w:val="00784486"/>
    <w:rsid w:val="00787EDB"/>
    <w:rsid w:val="0079113B"/>
    <w:rsid w:val="007917E9"/>
    <w:rsid w:val="00794845"/>
    <w:rsid w:val="00794B03"/>
    <w:rsid w:val="00797AA8"/>
    <w:rsid w:val="007A0FB2"/>
    <w:rsid w:val="007A1926"/>
    <w:rsid w:val="007A4F58"/>
    <w:rsid w:val="007A6725"/>
    <w:rsid w:val="007A7ADD"/>
    <w:rsid w:val="007B002D"/>
    <w:rsid w:val="007B2962"/>
    <w:rsid w:val="007B42B2"/>
    <w:rsid w:val="007B4476"/>
    <w:rsid w:val="007C00DA"/>
    <w:rsid w:val="007C0E16"/>
    <w:rsid w:val="007C39B0"/>
    <w:rsid w:val="007C4E55"/>
    <w:rsid w:val="007C7FB5"/>
    <w:rsid w:val="007D032E"/>
    <w:rsid w:val="007D7C47"/>
    <w:rsid w:val="007E1A43"/>
    <w:rsid w:val="007E3C0E"/>
    <w:rsid w:val="007E572E"/>
    <w:rsid w:val="007E718E"/>
    <w:rsid w:val="008012DF"/>
    <w:rsid w:val="008115C5"/>
    <w:rsid w:val="00812C70"/>
    <w:rsid w:val="0081327E"/>
    <w:rsid w:val="0081418A"/>
    <w:rsid w:val="008149B0"/>
    <w:rsid w:val="008177D7"/>
    <w:rsid w:val="00822D9F"/>
    <w:rsid w:val="00826203"/>
    <w:rsid w:val="008272A5"/>
    <w:rsid w:val="008277A6"/>
    <w:rsid w:val="00832598"/>
    <w:rsid w:val="00833183"/>
    <w:rsid w:val="00833221"/>
    <w:rsid w:val="0084076A"/>
    <w:rsid w:val="008423A3"/>
    <w:rsid w:val="00845557"/>
    <w:rsid w:val="00846D9D"/>
    <w:rsid w:val="00850F86"/>
    <w:rsid w:val="00851017"/>
    <w:rsid w:val="0085211A"/>
    <w:rsid w:val="00856C0B"/>
    <w:rsid w:val="00856C43"/>
    <w:rsid w:val="00857BF6"/>
    <w:rsid w:val="0086142A"/>
    <w:rsid w:val="00861D88"/>
    <w:rsid w:val="00862D16"/>
    <w:rsid w:val="00864823"/>
    <w:rsid w:val="0087362B"/>
    <w:rsid w:val="00876FA4"/>
    <w:rsid w:val="00880168"/>
    <w:rsid w:val="00882D3C"/>
    <w:rsid w:val="008847ED"/>
    <w:rsid w:val="00884F54"/>
    <w:rsid w:val="00887D24"/>
    <w:rsid w:val="00892D3B"/>
    <w:rsid w:val="00894A6B"/>
    <w:rsid w:val="00895154"/>
    <w:rsid w:val="00897EDC"/>
    <w:rsid w:val="008A17EB"/>
    <w:rsid w:val="008A2F12"/>
    <w:rsid w:val="008A5134"/>
    <w:rsid w:val="008A5F56"/>
    <w:rsid w:val="008B303B"/>
    <w:rsid w:val="008B354F"/>
    <w:rsid w:val="008B6CCD"/>
    <w:rsid w:val="008C0C6D"/>
    <w:rsid w:val="008C1351"/>
    <w:rsid w:val="008C5774"/>
    <w:rsid w:val="008C579E"/>
    <w:rsid w:val="008D0FCF"/>
    <w:rsid w:val="008D37F6"/>
    <w:rsid w:val="008D5B54"/>
    <w:rsid w:val="008D6266"/>
    <w:rsid w:val="008D7983"/>
    <w:rsid w:val="008D7BF0"/>
    <w:rsid w:val="008F09A9"/>
    <w:rsid w:val="008F1959"/>
    <w:rsid w:val="008F7F65"/>
    <w:rsid w:val="00900963"/>
    <w:rsid w:val="00904440"/>
    <w:rsid w:val="0090492C"/>
    <w:rsid w:val="009121FF"/>
    <w:rsid w:val="009129DC"/>
    <w:rsid w:val="00913148"/>
    <w:rsid w:val="009208D8"/>
    <w:rsid w:val="00922CD2"/>
    <w:rsid w:val="00922DBD"/>
    <w:rsid w:val="0092387F"/>
    <w:rsid w:val="00925F3A"/>
    <w:rsid w:val="00926505"/>
    <w:rsid w:val="009265C0"/>
    <w:rsid w:val="00926C69"/>
    <w:rsid w:val="00926F0E"/>
    <w:rsid w:val="00935573"/>
    <w:rsid w:val="009356A2"/>
    <w:rsid w:val="00944047"/>
    <w:rsid w:val="009469BE"/>
    <w:rsid w:val="0094797C"/>
    <w:rsid w:val="00947DC2"/>
    <w:rsid w:val="00951FDE"/>
    <w:rsid w:val="00954773"/>
    <w:rsid w:val="00954FC6"/>
    <w:rsid w:val="00957FBC"/>
    <w:rsid w:val="00960420"/>
    <w:rsid w:val="00960714"/>
    <w:rsid w:val="0096255F"/>
    <w:rsid w:val="00967C6A"/>
    <w:rsid w:val="009704FB"/>
    <w:rsid w:val="0097527E"/>
    <w:rsid w:val="00976C3D"/>
    <w:rsid w:val="009832ED"/>
    <w:rsid w:val="00985FC1"/>
    <w:rsid w:val="00986F73"/>
    <w:rsid w:val="00991785"/>
    <w:rsid w:val="00992F3F"/>
    <w:rsid w:val="00993E9F"/>
    <w:rsid w:val="00994B34"/>
    <w:rsid w:val="00994EF3"/>
    <w:rsid w:val="009958EC"/>
    <w:rsid w:val="00997577"/>
    <w:rsid w:val="00997E96"/>
    <w:rsid w:val="009A03A4"/>
    <w:rsid w:val="009A200B"/>
    <w:rsid w:val="009A3A1D"/>
    <w:rsid w:val="009B035B"/>
    <w:rsid w:val="009B119D"/>
    <w:rsid w:val="009B1B76"/>
    <w:rsid w:val="009B356B"/>
    <w:rsid w:val="009B449F"/>
    <w:rsid w:val="009C1C52"/>
    <w:rsid w:val="009C2EA4"/>
    <w:rsid w:val="009C7CDB"/>
    <w:rsid w:val="009D1A9A"/>
    <w:rsid w:val="009D57A2"/>
    <w:rsid w:val="009D7913"/>
    <w:rsid w:val="009D7B56"/>
    <w:rsid w:val="009E1A09"/>
    <w:rsid w:val="009E2351"/>
    <w:rsid w:val="009E318C"/>
    <w:rsid w:val="009E481B"/>
    <w:rsid w:val="009E4D2D"/>
    <w:rsid w:val="009E63A4"/>
    <w:rsid w:val="009E7589"/>
    <w:rsid w:val="009F3981"/>
    <w:rsid w:val="009F4D87"/>
    <w:rsid w:val="009F70E9"/>
    <w:rsid w:val="00A00B4A"/>
    <w:rsid w:val="00A0777B"/>
    <w:rsid w:val="00A10251"/>
    <w:rsid w:val="00A115C6"/>
    <w:rsid w:val="00A13230"/>
    <w:rsid w:val="00A13762"/>
    <w:rsid w:val="00A1395B"/>
    <w:rsid w:val="00A16360"/>
    <w:rsid w:val="00A23C16"/>
    <w:rsid w:val="00A25D84"/>
    <w:rsid w:val="00A26182"/>
    <w:rsid w:val="00A31D12"/>
    <w:rsid w:val="00A340FA"/>
    <w:rsid w:val="00A41524"/>
    <w:rsid w:val="00A4337D"/>
    <w:rsid w:val="00A45D4A"/>
    <w:rsid w:val="00A47036"/>
    <w:rsid w:val="00A50878"/>
    <w:rsid w:val="00A51787"/>
    <w:rsid w:val="00A56ED0"/>
    <w:rsid w:val="00A579D3"/>
    <w:rsid w:val="00A64A9C"/>
    <w:rsid w:val="00A66894"/>
    <w:rsid w:val="00A76E89"/>
    <w:rsid w:val="00A809BC"/>
    <w:rsid w:val="00A80EE0"/>
    <w:rsid w:val="00A81AA5"/>
    <w:rsid w:val="00A835C8"/>
    <w:rsid w:val="00A84AF7"/>
    <w:rsid w:val="00A85694"/>
    <w:rsid w:val="00A860EB"/>
    <w:rsid w:val="00A92D47"/>
    <w:rsid w:val="00A93BF0"/>
    <w:rsid w:val="00A94C94"/>
    <w:rsid w:val="00A96295"/>
    <w:rsid w:val="00A96555"/>
    <w:rsid w:val="00A967DA"/>
    <w:rsid w:val="00A968AB"/>
    <w:rsid w:val="00A97DD5"/>
    <w:rsid w:val="00AA004B"/>
    <w:rsid w:val="00AA463E"/>
    <w:rsid w:val="00AA69EF"/>
    <w:rsid w:val="00AB2DA2"/>
    <w:rsid w:val="00AB3915"/>
    <w:rsid w:val="00AC0309"/>
    <w:rsid w:val="00AC0716"/>
    <w:rsid w:val="00AC5BEF"/>
    <w:rsid w:val="00AC6105"/>
    <w:rsid w:val="00AC68BE"/>
    <w:rsid w:val="00AD0028"/>
    <w:rsid w:val="00AD0DC0"/>
    <w:rsid w:val="00AD0E5F"/>
    <w:rsid w:val="00AD59E1"/>
    <w:rsid w:val="00AD606D"/>
    <w:rsid w:val="00AE33EE"/>
    <w:rsid w:val="00AE39CB"/>
    <w:rsid w:val="00AE4FA9"/>
    <w:rsid w:val="00AE52CF"/>
    <w:rsid w:val="00AE5F4A"/>
    <w:rsid w:val="00AE7C82"/>
    <w:rsid w:val="00AF30A5"/>
    <w:rsid w:val="00AF3186"/>
    <w:rsid w:val="00AF3A76"/>
    <w:rsid w:val="00AF3FDD"/>
    <w:rsid w:val="00AF5B6E"/>
    <w:rsid w:val="00AF7744"/>
    <w:rsid w:val="00B007D6"/>
    <w:rsid w:val="00B057CB"/>
    <w:rsid w:val="00B05E6D"/>
    <w:rsid w:val="00B10136"/>
    <w:rsid w:val="00B117D5"/>
    <w:rsid w:val="00B12A30"/>
    <w:rsid w:val="00B12CBD"/>
    <w:rsid w:val="00B1713F"/>
    <w:rsid w:val="00B320DC"/>
    <w:rsid w:val="00B35A8E"/>
    <w:rsid w:val="00B4014F"/>
    <w:rsid w:val="00B43F40"/>
    <w:rsid w:val="00B45635"/>
    <w:rsid w:val="00B45A79"/>
    <w:rsid w:val="00B50322"/>
    <w:rsid w:val="00B52044"/>
    <w:rsid w:val="00B52063"/>
    <w:rsid w:val="00B53898"/>
    <w:rsid w:val="00B539A1"/>
    <w:rsid w:val="00B53A32"/>
    <w:rsid w:val="00B53C15"/>
    <w:rsid w:val="00B562DD"/>
    <w:rsid w:val="00B5701B"/>
    <w:rsid w:val="00B615CC"/>
    <w:rsid w:val="00B6291B"/>
    <w:rsid w:val="00B634BD"/>
    <w:rsid w:val="00B7023F"/>
    <w:rsid w:val="00B708FB"/>
    <w:rsid w:val="00B7491A"/>
    <w:rsid w:val="00B7630C"/>
    <w:rsid w:val="00B81C73"/>
    <w:rsid w:val="00B81F70"/>
    <w:rsid w:val="00B82B8A"/>
    <w:rsid w:val="00B85DF4"/>
    <w:rsid w:val="00B927C9"/>
    <w:rsid w:val="00B9451F"/>
    <w:rsid w:val="00B96F88"/>
    <w:rsid w:val="00BA67D0"/>
    <w:rsid w:val="00BB32F0"/>
    <w:rsid w:val="00BB3DE9"/>
    <w:rsid w:val="00BB473F"/>
    <w:rsid w:val="00BB724F"/>
    <w:rsid w:val="00BC05A6"/>
    <w:rsid w:val="00BC0C56"/>
    <w:rsid w:val="00BC10C2"/>
    <w:rsid w:val="00BC1CFB"/>
    <w:rsid w:val="00BC6FE3"/>
    <w:rsid w:val="00BD10A6"/>
    <w:rsid w:val="00BD22CE"/>
    <w:rsid w:val="00BD2399"/>
    <w:rsid w:val="00BD2C86"/>
    <w:rsid w:val="00BD3E31"/>
    <w:rsid w:val="00BD500A"/>
    <w:rsid w:val="00BD78DB"/>
    <w:rsid w:val="00BE2587"/>
    <w:rsid w:val="00BE4349"/>
    <w:rsid w:val="00BE50AA"/>
    <w:rsid w:val="00BE56D0"/>
    <w:rsid w:val="00BE7316"/>
    <w:rsid w:val="00BE7C55"/>
    <w:rsid w:val="00BF00E3"/>
    <w:rsid w:val="00BF0C5F"/>
    <w:rsid w:val="00BF15F9"/>
    <w:rsid w:val="00BF16FD"/>
    <w:rsid w:val="00BF4EEF"/>
    <w:rsid w:val="00C07E01"/>
    <w:rsid w:val="00C10827"/>
    <w:rsid w:val="00C11964"/>
    <w:rsid w:val="00C12CB5"/>
    <w:rsid w:val="00C13AFC"/>
    <w:rsid w:val="00C14277"/>
    <w:rsid w:val="00C236F4"/>
    <w:rsid w:val="00C3182A"/>
    <w:rsid w:val="00C31A20"/>
    <w:rsid w:val="00C3321C"/>
    <w:rsid w:val="00C33ED5"/>
    <w:rsid w:val="00C33F33"/>
    <w:rsid w:val="00C356E8"/>
    <w:rsid w:val="00C35A97"/>
    <w:rsid w:val="00C371A0"/>
    <w:rsid w:val="00C40943"/>
    <w:rsid w:val="00C441D8"/>
    <w:rsid w:val="00C4569B"/>
    <w:rsid w:val="00C4600B"/>
    <w:rsid w:val="00C471ED"/>
    <w:rsid w:val="00C5056D"/>
    <w:rsid w:val="00C50F95"/>
    <w:rsid w:val="00C607C9"/>
    <w:rsid w:val="00C62A0C"/>
    <w:rsid w:val="00C64B15"/>
    <w:rsid w:val="00C65823"/>
    <w:rsid w:val="00C66CE1"/>
    <w:rsid w:val="00C66FC4"/>
    <w:rsid w:val="00C67F24"/>
    <w:rsid w:val="00C72782"/>
    <w:rsid w:val="00C730A2"/>
    <w:rsid w:val="00C73E6F"/>
    <w:rsid w:val="00C75154"/>
    <w:rsid w:val="00C76604"/>
    <w:rsid w:val="00C76D9F"/>
    <w:rsid w:val="00C80BD9"/>
    <w:rsid w:val="00C80CAD"/>
    <w:rsid w:val="00C8353B"/>
    <w:rsid w:val="00C83898"/>
    <w:rsid w:val="00C867BC"/>
    <w:rsid w:val="00C924ED"/>
    <w:rsid w:val="00C94E7B"/>
    <w:rsid w:val="00C954D7"/>
    <w:rsid w:val="00C976B9"/>
    <w:rsid w:val="00CA02C6"/>
    <w:rsid w:val="00CA0EB9"/>
    <w:rsid w:val="00CA136E"/>
    <w:rsid w:val="00CA20DE"/>
    <w:rsid w:val="00CA2364"/>
    <w:rsid w:val="00CA292B"/>
    <w:rsid w:val="00CA2BEE"/>
    <w:rsid w:val="00CA3E8B"/>
    <w:rsid w:val="00CA4EA1"/>
    <w:rsid w:val="00CA587F"/>
    <w:rsid w:val="00CA6F12"/>
    <w:rsid w:val="00CA75DC"/>
    <w:rsid w:val="00CA76AD"/>
    <w:rsid w:val="00CA7800"/>
    <w:rsid w:val="00CA7D25"/>
    <w:rsid w:val="00CB2A38"/>
    <w:rsid w:val="00CB5D46"/>
    <w:rsid w:val="00CB5E98"/>
    <w:rsid w:val="00CB6330"/>
    <w:rsid w:val="00CC0C7A"/>
    <w:rsid w:val="00CC39D2"/>
    <w:rsid w:val="00CD4346"/>
    <w:rsid w:val="00CD70EB"/>
    <w:rsid w:val="00CD719F"/>
    <w:rsid w:val="00CE19AC"/>
    <w:rsid w:val="00CE30C5"/>
    <w:rsid w:val="00CE5938"/>
    <w:rsid w:val="00CE6A89"/>
    <w:rsid w:val="00CE7ED8"/>
    <w:rsid w:val="00CE7F33"/>
    <w:rsid w:val="00CF549A"/>
    <w:rsid w:val="00D00AC3"/>
    <w:rsid w:val="00D0327C"/>
    <w:rsid w:val="00D03C41"/>
    <w:rsid w:val="00D057A6"/>
    <w:rsid w:val="00D06875"/>
    <w:rsid w:val="00D07265"/>
    <w:rsid w:val="00D122BE"/>
    <w:rsid w:val="00D1342E"/>
    <w:rsid w:val="00D1530C"/>
    <w:rsid w:val="00D1613E"/>
    <w:rsid w:val="00D20C24"/>
    <w:rsid w:val="00D22230"/>
    <w:rsid w:val="00D22CEB"/>
    <w:rsid w:val="00D253BF"/>
    <w:rsid w:val="00D26944"/>
    <w:rsid w:val="00D3397C"/>
    <w:rsid w:val="00D349D1"/>
    <w:rsid w:val="00D34E70"/>
    <w:rsid w:val="00D35A55"/>
    <w:rsid w:val="00D35D07"/>
    <w:rsid w:val="00D363E8"/>
    <w:rsid w:val="00D36FC3"/>
    <w:rsid w:val="00D4084D"/>
    <w:rsid w:val="00D4139F"/>
    <w:rsid w:val="00D41486"/>
    <w:rsid w:val="00D4173D"/>
    <w:rsid w:val="00D41CB9"/>
    <w:rsid w:val="00D42C20"/>
    <w:rsid w:val="00D42CA7"/>
    <w:rsid w:val="00D46846"/>
    <w:rsid w:val="00D47ED1"/>
    <w:rsid w:val="00D50089"/>
    <w:rsid w:val="00D519F7"/>
    <w:rsid w:val="00D54568"/>
    <w:rsid w:val="00D55589"/>
    <w:rsid w:val="00D620D5"/>
    <w:rsid w:val="00D635CE"/>
    <w:rsid w:val="00D7092D"/>
    <w:rsid w:val="00D726B0"/>
    <w:rsid w:val="00D80A98"/>
    <w:rsid w:val="00D80D32"/>
    <w:rsid w:val="00D850CE"/>
    <w:rsid w:val="00D8769C"/>
    <w:rsid w:val="00D90F5D"/>
    <w:rsid w:val="00D93A95"/>
    <w:rsid w:val="00DA0B1F"/>
    <w:rsid w:val="00DA4B02"/>
    <w:rsid w:val="00DA5F89"/>
    <w:rsid w:val="00DA6586"/>
    <w:rsid w:val="00DA6C89"/>
    <w:rsid w:val="00DB01C7"/>
    <w:rsid w:val="00DB05AE"/>
    <w:rsid w:val="00DB3E13"/>
    <w:rsid w:val="00DB4413"/>
    <w:rsid w:val="00DB5096"/>
    <w:rsid w:val="00DC25CD"/>
    <w:rsid w:val="00DC3562"/>
    <w:rsid w:val="00DC3ADD"/>
    <w:rsid w:val="00DC3EEC"/>
    <w:rsid w:val="00DC418C"/>
    <w:rsid w:val="00DD1E87"/>
    <w:rsid w:val="00DD269D"/>
    <w:rsid w:val="00DD5E1F"/>
    <w:rsid w:val="00DD7C82"/>
    <w:rsid w:val="00DE1518"/>
    <w:rsid w:val="00DE2088"/>
    <w:rsid w:val="00DE6A97"/>
    <w:rsid w:val="00DF184E"/>
    <w:rsid w:val="00DF3AFE"/>
    <w:rsid w:val="00DF53BE"/>
    <w:rsid w:val="00DF6863"/>
    <w:rsid w:val="00E02F60"/>
    <w:rsid w:val="00E068E3"/>
    <w:rsid w:val="00E070F1"/>
    <w:rsid w:val="00E07BA5"/>
    <w:rsid w:val="00E10A8C"/>
    <w:rsid w:val="00E1701D"/>
    <w:rsid w:val="00E174D2"/>
    <w:rsid w:val="00E20E29"/>
    <w:rsid w:val="00E24BDF"/>
    <w:rsid w:val="00E25A24"/>
    <w:rsid w:val="00E25EDC"/>
    <w:rsid w:val="00E26B1D"/>
    <w:rsid w:val="00E270F6"/>
    <w:rsid w:val="00E2789D"/>
    <w:rsid w:val="00E37A5B"/>
    <w:rsid w:val="00E40304"/>
    <w:rsid w:val="00E40782"/>
    <w:rsid w:val="00E4135E"/>
    <w:rsid w:val="00E41BB9"/>
    <w:rsid w:val="00E4348E"/>
    <w:rsid w:val="00E50A06"/>
    <w:rsid w:val="00E510C9"/>
    <w:rsid w:val="00E52449"/>
    <w:rsid w:val="00E54184"/>
    <w:rsid w:val="00E55C4A"/>
    <w:rsid w:val="00E563EF"/>
    <w:rsid w:val="00E56C66"/>
    <w:rsid w:val="00E6212D"/>
    <w:rsid w:val="00E623F6"/>
    <w:rsid w:val="00E666BF"/>
    <w:rsid w:val="00E6754D"/>
    <w:rsid w:val="00E6786D"/>
    <w:rsid w:val="00E70072"/>
    <w:rsid w:val="00E70BE7"/>
    <w:rsid w:val="00E74111"/>
    <w:rsid w:val="00E812FF"/>
    <w:rsid w:val="00E81739"/>
    <w:rsid w:val="00E82BDD"/>
    <w:rsid w:val="00E83EE5"/>
    <w:rsid w:val="00E844CC"/>
    <w:rsid w:val="00E85020"/>
    <w:rsid w:val="00E855A5"/>
    <w:rsid w:val="00E859C5"/>
    <w:rsid w:val="00E91400"/>
    <w:rsid w:val="00E96D40"/>
    <w:rsid w:val="00E97DB3"/>
    <w:rsid w:val="00EA1C2B"/>
    <w:rsid w:val="00EA2475"/>
    <w:rsid w:val="00EA3F0B"/>
    <w:rsid w:val="00EA4674"/>
    <w:rsid w:val="00EA632D"/>
    <w:rsid w:val="00EB1FF2"/>
    <w:rsid w:val="00EB32BB"/>
    <w:rsid w:val="00EB362B"/>
    <w:rsid w:val="00EB5FE7"/>
    <w:rsid w:val="00EC3B74"/>
    <w:rsid w:val="00EC647D"/>
    <w:rsid w:val="00ED0E84"/>
    <w:rsid w:val="00ED6C9B"/>
    <w:rsid w:val="00EE1190"/>
    <w:rsid w:val="00EE2334"/>
    <w:rsid w:val="00EE2569"/>
    <w:rsid w:val="00EE3B48"/>
    <w:rsid w:val="00EE4519"/>
    <w:rsid w:val="00EE5CD9"/>
    <w:rsid w:val="00EE7124"/>
    <w:rsid w:val="00EF0CE5"/>
    <w:rsid w:val="00EF32F2"/>
    <w:rsid w:val="00EF49F2"/>
    <w:rsid w:val="00EF6CC8"/>
    <w:rsid w:val="00EF789C"/>
    <w:rsid w:val="00F007A0"/>
    <w:rsid w:val="00F02373"/>
    <w:rsid w:val="00F0352A"/>
    <w:rsid w:val="00F1043A"/>
    <w:rsid w:val="00F10E14"/>
    <w:rsid w:val="00F1132A"/>
    <w:rsid w:val="00F1175C"/>
    <w:rsid w:val="00F11F92"/>
    <w:rsid w:val="00F12AC7"/>
    <w:rsid w:val="00F14070"/>
    <w:rsid w:val="00F14538"/>
    <w:rsid w:val="00F14A61"/>
    <w:rsid w:val="00F14EC4"/>
    <w:rsid w:val="00F15BB7"/>
    <w:rsid w:val="00F17AE5"/>
    <w:rsid w:val="00F17B9C"/>
    <w:rsid w:val="00F20A95"/>
    <w:rsid w:val="00F20FAB"/>
    <w:rsid w:val="00F212C1"/>
    <w:rsid w:val="00F24225"/>
    <w:rsid w:val="00F306DA"/>
    <w:rsid w:val="00F32D37"/>
    <w:rsid w:val="00F341EF"/>
    <w:rsid w:val="00F35FA1"/>
    <w:rsid w:val="00F42F29"/>
    <w:rsid w:val="00F4356A"/>
    <w:rsid w:val="00F450E7"/>
    <w:rsid w:val="00F47F8E"/>
    <w:rsid w:val="00F504AF"/>
    <w:rsid w:val="00F50C02"/>
    <w:rsid w:val="00F511D1"/>
    <w:rsid w:val="00F51E8D"/>
    <w:rsid w:val="00F51FCB"/>
    <w:rsid w:val="00F535CA"/>
    <w:rsid w:val="00F57A16"/>
    <w:rsid w:val="00F61549"/>
    <w:rsid w:val="00F62E4B"/>
    <w:rsid w:val="00F647E6"/>
    <w:rsid w:val="00F726D8"/>
    <w:rsid w:val="00F73345"/>
    <w:rsid w:val="00F73FD6"/>
    <w:rsid w:val="00F751E8"/>
    <w:rsid w:val="00F770DC"/>
    <w:rsid w:val="00F80207"/>
    <w:rsid w:val="00F80510"/>
    <w:rsid w:val="00F81314"/>
    <w:rsid w:val="00F847DE"/>
    <w:rsid w:val="00F85A04"/>
    <w:rsid w:val="00F93B70"/>
    <w:rsid w:val="00F940B1"/>
    <w:rsid w:val="00F94961"/>
    <w:rsid w:val="00F94F85"/>
    <w:rsid w:val="00F962B5"/>
    <w:rsid w:val="00F97791"/>
    <w:rsid w:val="00FA22E9"/>
    <w:rsid w:val="00FA3A26"/>
    <w:rsid w:val="00FA4B61"/>
    <w:rsid w:val="00FA5738"/>
    <w:rsid w:val="00FB3016"/>
    <w:rsid w:val="00FB3A3F"/>
    <w:rsid w:val="00FB44B2"/>
    <w:rsid w:val="00FB71C1"/>
    <w:rsid w:val="00FC1065"/>
    <w:rsid w:val="00FC7E97"/>
    <w:rsid w:val="00FD0418"/>
    <w:rsid w:val="00FD29A2"/>
    <w:rsid w:val="00FD2BFB"/>
    <w:rsid w:val="00FD321D"/>
    <w:rsid w:val="00FD32A2"/>
    <w:rsid w:val="00FD501C"/>
    <w:rsid w:val="00FD60CA"/>
    <w:rsid w:val="00FD7FFA"/>
    <w:rsid w:val="00FE004A"/>
    <w:rsid w:val="00FE1B05"/>
    <w:rsid w:val="00FE3153"/>
    <w:rsid w:val="00FE3169"/>
    <w:rsid w:val="00FE4A41"/>
    <w:rsid w:val="00FE4CC9"/>
    <w:rsid w:val="00FF252A"/>
    <w:rsid w:val="00FF617A"/>
    <w:rsid w:val="00FF67BD"/>
    <w:rsid w:val="00FF7985"/>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55126AA7"/>
  <w15:docId w15:val="{1291E922-5B6D-4E5E-A3B9-69936B710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4EC4"/>
    <w:pPr>
      <w:spacing w:before="120" w:after="120" w:line="300" w:lineRule="atLeast"/>
    </w:pPr>
    <w:rPr>
      <w:rFonts w:ascii="Arial" w:eastAsia="Times New Roman" w:hAnsi="Arial"/>
      <w:szCs w:val="24"/>
    </w:rPr>
  </w:style>
  <w:style w:type="paragraph" w:styleId="Heading1">
    <w:name w:val="heading 1"/>
    <w:basedOn w:val="Normal"/>
    <w:next w:val="Normal"/>
    <w:link w:val="Heading1Char"/>
    <w:qFormat/>
    <w:rsid w:val="00D06875"/>
    <w:pPr>
      <w:keepNext/>
      <w:pBdr>
        <w:top w:val="single" w:sz="48" w:space="1" w:color="00B274"/>
        <w:left w:val="single" w:sz="48" w:space="4" w:color="00B274"/>
        <w:bottom w:val="single" w:sz="48" w:space="1" w:color="00B274"/>
        <w:right w:val="single" w:sz="48" w:space="4" w:color="00B274"/>
      </w:pBdr>
      <w:shd w:val="clear" w:color="auto" w:fill="00B274"/>
      <w:spacing w:before="360" w:line="336" w:lineRule="atLeast"/>
      <w:ind w:right="57"/>
      <w:outlineLvl w:val="0"/>
    </w:pPr>
    <w:rPr>
      <w:rFonts w:cs="Arial"/>
      <w:b/>
      <w:bCs/>
      <w:iCs/>
      <w:color w:val="FFFFFF"/>
      <w:kern w:val="32"/>
      <w:sz w:val="28"/>
      <w:szCs w:val="32"/>
    </w:rPr>
  </w:style>
  <w:style w:type="paragraph" w:styleId="Heading2">
    <w:name w:val="heading 2"/>
    <w:aliases w:val="level 2,level2"/>
    <w:basedOn w:val="Normal"/>
    <w:next w:val="Normal"/>
    <w:link w:val="Heading2Char"/>
    <w:autoRedefine/>
    <w:qFormat/>
    <w:rsid w:val="002F7B59"/>
    <w:pPr>
      <w:keepLines/>
      <w:numPr>
        <w:ilvl w:val="1"/>
        <w:numId w:val="14"/>
      </w:numPr>
      <w:spacing w:before="0" w:after="200" w:line="360" w:lineRule="auto"/>
      <w:ind w:left="578" w:hanging="578"/>
      <w:jc w:val="both"/>
      <w:outlineLvl w:val="1"/>
    </w:pPr>
    <w:rPr>
      <w:rFonts w:cs="Arial"/>
      <w:bCs/>
      <w:iCs/>
      <w:szCs w:val="20"/>
    </w:rPr>
  </w:style>
  <w:style w:type="paragraph" w:styleId="Heading3">
    <w:name w:val="heading 3"/>
    <w:basedOn w:val="Normal"/>
    <w:next w:val="Normal"/>
    <w:link w:val="Heading3Char"/>
    <w:qFormat/>
    <w:rsid w:val="00313E9E"/>
    <w:pPr>
      <w:keepNext/>
      <w:keepLines/>
      <w:spacing w:before="200"/>
      <w:outlineLvl w:val="2"/>
    </w:pPr>
    <w:rPr>
      <w:rFonts w:ascii="Calibri" w:eastAsia="MS Gothic" w:hAnsi="Calibri"/>
      <w:b/>
      <w:bCs/>
      <w:color w:val="4F81BD"/>
    </w:rPr>
  </w:style>
  <w:style w:type="paragraph" w:styleId="Heading4">
    <w:name w:val="heading 4"/>
    <w:basedOn w:val="Normal"/>
    <w:next w:val="Normal"/>
    <w:link w:val="Heading4Char"/>
    <w:qFormat/>
    <w:rsid w:val="002F7B59"/>
    <w:pPr>
      <w:spacing w:before="240" w:after="240"/>
      <w:outlineLvl w:val="3"/>
    </w:pPr>
    <w:rPr>
      <w:rFonts w:cs="Arial"/>
      <w:b/>
      <w:bCs/>
      <w:color w:val="008576"/>
      <w:sz w:val="24"/>
      <w:szCs w:val="28"/>
    </w:rPr>
  </w:style>
  <w:style w:type="paragraph" w:styleId="Heading5">
    <w:name w:val="heading 5"/>
    <w:basedOn w:val="Normal"/>
    <w:next w:val="Normal"/>
    <w:link w:val="Heading5Char"/>
    <w:qFormat/>
    <w:rsid w:val="00313E9E"/>
    <w:pPr>
      <w:keepNext/>
      <w:keepLines/>
      <w:spacing w:before="200"/>
      <w:outlineLvl w:val="4"/>
    </w:pPr>
    <w:rPr>
      <w:rFonts w:ascii="Calibri" w:eastAsia="MS Gothic" w:hAnsi="Calibri"/>
      <w:color w:val="244061"/>
    </w:rPr>
  </w:style>
  <w:style w:type="paragraph" w:styleId="Heading6">
    <w:name w:val="heading 6"/>
    <w:basedOn w:val="Normal"/>
    <w:next w:val="Normal"/>
    <w:link w:val="Heading6Char"/>
    <w:qFormat/>
    <w:rsid w:val="00313E9E"/>
    <w:pPr>
      <w:keepNext/>
      <w:keepLines/>
      <w:spacing w:before="200"/>
      <w:outlineLvl w:val="5"/>
    </w:pPr>
    <w:rPr>
      <w:rFonts w:ascii="Calibri" w:eastAsia="MS Gothic" w:hAnsi="Calibri"/>
      <w:i/>
      <w:iCs/>
      <w:color w:val="244061"/>
    </w:rPr>
  </w:style>
  <w:style w:type="paragraph" w:styleId="Heading7">
    <w:name w:val="heading 7"/>
    <w:basedOn w:val="Normal"/>
    <w:next w:val="Normal"/>
    <w:link w:val="Heading7Char"/>
    <w:qFormat/>
    <w:rsid w:val="00313E9E"/>
    <w:pPr>
      <w:keepNext/>
      <w:keepLines/>
      <w:spacing w:before="200"/>
      <w:outlineLvl w:val="6"/>
    </w:pPr>
    <w:rPr>
      <w:rFonts w:ascii="Calibri" w:eastAsia="MS Gothic" w:hAnsi="Calibri"/>
      <w:i/>
      <w:iCs/>
      <w:color w:val="404040"/>
    </w:rPr>
  </w:style>
  <w:style w:type="paragraph" w:styleId="Heading8">
    <w:name w:val="heading 8"/>
    <w:basedOn w:val="Normal"/>
    <w:next w:val="Normal"/>
    <w:link w:val="Heading8Char"/>
    <w:qFormat/>
    <w:rsid w:val="00313E9E"/>
    <w:pPr>
      <w:keepNext/>
      <w:keepLines/>
      <w:spacing w:before="200"/>
      <w:outlineLvl w:val="7"/>
    </w:pPr>
    <w:rPr>
      <w:rFonts w:ascii="Calibri" w:eastAsia="MS Gothic" w:hAnsi="Calibri"/>
      <w:color w:val="363636"/>
      <w:szCs w:val="20"/>
    </w:rPr>
  </w:style>
  <w:style w:type="paragraph" w:styleId="Heading9">
    <w:name w:val="heading 9"/>
    <w:basedOn w:val="Normal"/>
    <w:next w:val="Normal"/>
    <w:link w:val="Heading9Char"/>
    <w:qFormat/>
    <w:rsid w:val="00313E9E"/>
    <w:pPr>
      <w:keepNext/>
      <w:keepLines/>
      <w:spacing w:before="200"/>
      <w:outlineLvl w:val="8"/>
    </w:pPr>
    <w:rPr>
      <w:rFonts w:ascii="Calibri" w:eastAsia="MS Gothic" w:hAnsi="Calibri"/>
      <w:i/>
      <w:iCs/>
      <w:color w:val="3636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pPr>
      <w:spacing w:line="240" w:lineRule="auto"/>
    </w:pPr>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nhideWhenUsed/>
    <w:rsid w:val="00731B99"/>
    <w:pPr>
      <w:tabs>
        <w:tab w:val="center" w:pos="4320"/>
        <w:tab w:val="right" w:pos="8640"/>
      </w:tabs>
    </w:pPr>
  </w:style>
  <w:style w:type="character" w:customStyle="1" w:styleId="FooterChar">
    <w:name w:val="Footer Char"/>
    <w:basedOn w:val="DefaultParagraphFont"/>
    <w:link w:val="Footer"/>
    <w:rsid w:val="00731B99"/>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link w:val="Heading1"/>
    <w:rsid w:val="00D06875"/>
    <w:rPr>
      <w:rFonts w:ascii="Arial" w:eastAsia="Times New Roman" w:hAnsi="Arial" w:cs="Arial"/>
      <w:b/>
      <w:bCs/>
      <w:iCs/>
      <w:color w:val="FFFFFF"/>
      <w:kern w:val="32"/>
      <w:sz w:val="28"/>
      <w:szCs w:val="32"/>
      <w:shd w:val="clear" w:color="auto" w:fill="00B274"/>
    </w:rPr>
  </w:style>
  <w:style w:type="character" w:customStyle="1" w:styleId="Heading2Char">
    <w:name w:val="Heading 2 Char"/>
    <w:aliases w:val="level 2 Char,level2 Char"/>
    <w:link w:val="Heading2"/>
    <w:rsid w:val="002F7B59"/>
    <w:rPr>
      <w:rFonts w:ascii="Arial" w:eastAsia="Times New Roman" w:hAnsi="Arial" w:cs="Arial"/>
      <w:bCs/>
      <w:iCs/>
    </w:rPr>
  </w:style>
  <w:style w:type="paragraph" w:styleId="BodyText2">
    <w:name w:val="Body Text 2"/>
    <w:basedOn w:val="Normal"/>
    <w:link w:val="BodyText2Char"/>
    <w:rsid w:val="00731B99"/>
    <w:pPr>
      <w:spacing w:line="360" w:lineRule="atLeast"/>
    </w:pPr>
    <w:rPr>
      <w:sz w:val="28"/>
    </w:rPr>
  </w:style>
  <w:style w:type="character" w:customStyle="1" w:styleId="BodyText2Char">
    <w:name w:val="Body Text 2 Char"/>
    <w:link w:val="BodyText2"/>
    <w:rsid w:val="00731B99"/>
    <w:rPr>
      <w:rFonts w:ascii="Tahoma" w:eastAsia="Times New Roman" w:hAnsi="Tahoma" w:cs="Times New Roman"/>
      <w:sz w:val="28"/>
      <w:lang w:val="en-GB" w:eastAsia="en-GB"/>
    </w:rPr>
  </w:style>
  <w:style w:type="paragraph" w:styleId="BodyText3">
    <w:name w:val="Body Text 3"/>
    <w:basedOn w:val="Normal"/>
    <w:link w:val="BodyText3Char"/>
    <w:rsid w:val="00731B99"/>
    <w:pPr>
      <w:spacing w:line="280" w:lineRule="atLeast"/>
    </w:pPr>
    <w:rPr>
      <w:sz w:val="24"/>
      <w:szCs w:val="16"/>
    </w:rPr>
  </w:style>
  <w:style w:type="character" w:customStyle="1" w:styleId="BodyText3Char">
    <w:name w:val="Body Text 3 Char"/>
    <w:link w:val="BodyText3"/>
    <w:rsid w:val="00731B99"/>
    <w:rPr>
      <w:rFonts w:ascii="Tahoma" w:eastAsia="Times New Roman" w:hAnsi="Tahoma" w:cs="Times New Roman"/>
      <w:szCs w:val="16"/>
      <w:lang w:val="en-GB" w:eastAsia="en-GB"/>
    </w:rPr>
  </w:style>
  <w:style w:type="character" w:customStyle="1" w:styleId="Heading4Char">
    <w:name w:val="Heading 4 Char"/>
    <w:link w:val="Heading4"/>
    <w:rsid w:val="002F7B59"/>
    <w:rPr>
      <w:rFonts w:ascii="Arial" w:eastAsia="Times New Roman" w:hAnsi="Arial" w:cs="Arial"/>
      <w:b/>
      <w:bCs/>
      <w:color w:val="008576"/>
      <w:sz w:val="24"/>
      <w:szCs w:val="28"/>
    </w:rPr>
  </w:style>
  <w:style w:type="character" w:customStyle="1" w:styleId="Heading8Char">
    <w:name w:val="Heading 8 Char"/>
    <w:link w:val="Heading8"/>
    <w:rsid w:val="00313E9E"/>
    <w:rPr>
      <w:rFonts w:ascii="Calibri" w:eastAsia="MS Gothic" w:hAnsi="Calibri"/>
      <w:color w:val="363636"/>
    </w:rPr>
  </w:style>
  <w:style w:type="paragraph" w:styleId="ListNumber">
    <w:name w:val="List Number"/>
    <w:basedOn w:val="Normal"/>
    <w:link w:val="ListNumberChar"/>
    <w:rsid w:val="00313E9E"/>
    <w:pPr>
      <w:numPr>
        <w:numId w:val="3"/>
      </w:numPr>
    </w:pPr>
  </w:style>
  <w:style w:type="paragraph" w:styleId="BodyText">
    <w:name w:val="Body Text"/>
    <w:basedOn w:val="Normal"/>
    <w:link w:val="BodyTextChar"/>
    <w:rsid w:val="00313E9E"/>
  </w:style>
  <w:style w:type="character" w:customStyle="1" w:styleId="BodyTextChar">
    <w:name w:val="Body Text Char"/>
    <w:link w:val="BodyText"/>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Arial" w:eastAsia="Times New Roman" w:hAnsi="Arial"/>
      <w:szCs w:val="24"/>
    </w:rPr>
  </w:style>
  <w:style w:type="character" w:customStyle="1" w:styleId="ListBullet2Char">
    <w:name w:val="List Bullet 2 Char"/>
    <w:link w:val="ListBullet2"/>
    <w:rsid w:val="00313E9E"/>
    <w:rPr>
      <w:rFonts w:ascii="Arial" w:eastAsia="Times New Roman" w:hAnsi="Arial"/>
      <w:szCs w:val="24"/>
    </w:rPr>
  </w:style>
  <w:style w:type="paragraph" w:customStyle="1" w:styleId="TableList">
    <w:name w:val="Table List"/>
    <w:basedOn w:val="ListBullet2"/>
    <w:rsid w:val="00313E9E"/>
    <w:pPr>
      <w:numPr>
        <w:ilvl w:val="1"/>
      </w:numPr>
      <w:tabs>
        <w:tab w:val="clear" w:pos="454"/>
        <w:tab w:val="num" w:pos="360"/>
      </w:tabs>
    </w:pPr>
    <w:rPr>
      <w:color w:val="008576"/>
    </w:rPr>
  </w:style>
  <w:style w:type="character" w:customStyle="1" w:styleId="Heading3Char">
    <w:name w:val="Heading 3 Char"/>
    <w:link w:val="Heading3"/>
    <w:rsid w:val="00313E9E"/>
    <w:rPr>
      <w:rFonts w:ascii="Calibri" w:eastAsia="MS Gothic" w:hAnsi="Calibri"/>
      <w:b/>
      <w:bCs/>
      <w:color w:val="4F81BD"/>
      <w:szCs w:val="24"/>
    </w:rPr>
  </w:style>
  <w:style w:type="character" w:customStyle="1" w:styleId="Heading5Char">
    <w:name w:val="Heading 5 Char"/>
    <w:link w:val="Heading5"/>
    <w:rsid w:val="00313E9E"/>
    <w:rPr>
      <w:rFonts w:ascii="Calibri" w:eastAsia="MS Gothic" w:hAnsi="Calibri"/>
      <w:color w:val="244061"/>
      <w:szCs w:val="24"/>
    </w:rPr>
  </w:style>
  <w:style w:type="character" w:customStyle="1" w:styleId="Heading6Char">
    <w:name w:val="Heading 6 Char"/>
    <w:link w:val="Heading6"/>
    <w:rsid w:val="00313E9E"/>
    <w:rPr>
      <w:rFonts w:ascii="Calibri" w:eastAsia="MS Gothic" w:hAnsi="Calibri"/>
      <w:i/>
      <w:iCs/>
      <w:color w:val="244061"/>
      <w:szCs w:val="24"/>
    </w:rPr>
  </w:style>
  <w:style w:type="character" w:customStyle="1" w:styleId="Heading7Char">
    <w:name w:val="Heading 7 Char"/>
    <w:link w:val="Heading7"/>
    <w:rsid w:val="00313E9E"/>
    <w:rPr>
      <w:rFonts w:ascii="Calibri" w:eastAsia="MS Gothic" w:hAnsi="Calibri"/>
      <w:i/>
      <w:iCs/>
      <w:color w:val="404040"/>
      <w:szCs w:val="24"/>
    </w:rPr>
  </w:style>
  <w:style w:type="character" w:customStyle="1" w:styleId="Heading9Char">
    <w:name w:val="Heading 9 Char"/>
    <w:link w:val="Heading9"/>
    <w:rsid w:val="00313E9E"/>
    <w:rPr>
      <w:rFonts w:ascii="Calibri" w:eastAsia="MS Gothic" w:hAnsi="Calibri"/>
      <w:i/>
      <w:iCs/>
      <w:color w:val="363636"/>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uiPriority w:val="39"/>
    <w:rsid w:val="0055068A"/>
    <w:pPr>
      <w:keepNext w:val="0"/>
      <w:keepLines w:val="0"/>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D06875"/>
    <w:pPr>
      <w:framePr w:wrap="around"/>
    </w:pPr>
  </w:style>
  <w:style w:type="table" w:styleId="TableGrid">
    <w:name w:val="Table Grid"/>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qFormat/>
    <w:rsid w:val="005B378E"/>
    <w:rPr>
      <w:i/>
      <w:iCs/>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i/>
      <w:iCs/>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cs="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rsid w:val="005B378E"/>
    <w:rPr>
      <w:rFonts w:ascii="Times New Roman" w:hAnsi="Times New Roman"/>
      <w:sz w:val="24"/>
    </w:rPr>
  </w:style>
  <w:style w:type="paragraph" w:styleId="NoteHeading">
    <w:name w:val="Note Heading"/>
    <w:basedOn w:val="Normal"/>
    <w:next w:val="Normal"/>
    <w:link w:val="NoteHeadingChar"/>
    <w:rsid w:val="005B378E"/>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rsid w:val="005B378E"/>
    <w:rPr>
      <w:rFonts w:ascii="Courier New" w:hAnsi="Courier New" w:cs="Courier New"/>
      <w:szCs w:val="20"/>
    </w:rPr>
  </w:style>
  <w:style w:type="character" w:customStyle="1" w:styleId="PlainTextChar">
    <w:name w:val="Plain Text Char"/>
    <w:link w:val="PlainText"/>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sz w:val="24"/>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pPr>
    <w:rPr>
      <w:color w:val="00B274"/>
    </w:rPr>
  </w:style>
  <w:style w:type="paragraph" w:styleId="ListBullet3">
    <w:name w:val="List Bullet 3"/>
    <w:basedOn w:val="ListBullet"/>
    <w:link w:val="ListBullet3Char"/>
    <w:rsid w:val="005B378E"/>
    <w:pPr>
      <w:numPr>
        <w:numId w:val="6"/>
      </w:numPr>
    </w:pPr>
    <w:rPr>
      <w:color w:val="auto"/>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Arial" w:eastAsia="Times New Roman" w:hAnsi="Arial"/>
      <w:szCs w:val="24"/>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spacing w:before="0"/>
      <w:ind w:left="400"/>
      <w:outlineLvl w:val="9"/>
    </w:pPr>
    <w:rPr>
      <w:rFonts w:ascii="Cambria" w:hAnsi="Cambria"/>
      <w:b w:val="0"/>
      <w:bCs w:val="0"/>
      <w:i/>
      <w:iCs/>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 w:val="20"/>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Arial" w:eastAsia="Times New Roman" w:hAnsi="Arial"/>
      <w:sz w:val="24"/>
      <w:szCs w:val="24"/>
    </w:rPr>
  </w:style>
  <w:style w:type="character" w:styleId="Hyperlink">
    <w:name w:val="Hyperlink"/>
    <w:rsid w:val="005B378E"/>
    <w:rPr>
      <w:color w:val="0000FF"/>
      <w:u w:val="single"/>
    </w:rPr>
  </w:style>
  <w:style w:type="paragraph" w:styleId="BalloonText">
    <w:name w:val="Balloon Text"/>
    <w:basedOn w:val="Normal"/>
    <w:link w:val="BalloonTextChar"/>
    <w:rsid w:val="005B378E"/>
    <w:rPr>
      <w:rFonts w:cs="Tahoma"/>
      <w:sz w:val="16"/>
      <w:szCs w:val="16"/>
    </w:rPr>
  </w:style>
  <w:style w:type="character" w:customStyle="1" w:styleId="BalloonTextChar">
    <w:name w:val="Balloon Text Char"/>
    <w:link w:val="BalloonText"/>
    <w:rsid w:val="005B378E"/>
    <w:rPr>
      <w:rFonts w:ascii="Tahoma" w:eastAsia="Times New Roman" w:hAnsi="Tahoma" w:cs="Tahoma"/>
      <w:sz w:val="16"/>
      <w:szCs w:val="16"/>
      <w:lang w:val="en-GB" w:eastAsia="en-GB"/>
    </w:rPr>
  </w:style>
  <w:style w:type="paragraph" w:customStyle="1" w:styleId="Question">
    <w:name w:val="Question"/>
    <w:basedOn w:val="TableHeading"/>
    <w:rsid w:val="005B378E"/>
    <w:rPr>
      <w:b/>
      <w:color w:val="FFFFFF"/>
    </w:rPr>
  </w:style>
  <w:style w:type="character" w:styleId="CommentReference">
    <w:name w:val="annotation reference"/>
    <w:rsid w:val="005B378E"/>
    <w:rPr>
      <w:sz w:val="16"/>
      <w:szCs w:val="16"/>
    </w:rPr>
  </w:style>
  <w:style w:type="paragraph" w:styleId="CommentText">
    <w:name w:val="annotation text"/>
    <w:basedOn w:val="Normal"/>
    <w:link w:val="CommentTextChar"/>
    <w:rsid w:val="005B378E"/>
    <w:rPr>
      <w:szCs w:val="20"/>
    </w:rPr>
  </w:style>
  <w:style w:type="character" w:customStyle="1" w:styleId="CommentTextChar">
    <w:name w:val="Comment Text Char"/>
    <w:link w:val="CommentText"/>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rsid w:val="005B378E"/>
    <w:rPr>
      <w:b/>
      <w:bCs/>
    </w:rPr>
  </w:style>
  <w:style w:type="character" w:customStyle="1" w:styleId="CommentSubjectChar">
    <w:name w:val="Comment Subject Char"/>
    <w:link w:val="CommentSubject"/>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character" w:styleId="PageNumber">
    <w:name w:val="page number"/>
    <w:basedOn w:val="DefaultParagraphFont"/>
    <w:rsid w:val="00C954D7"/>
  </w:style>
  <w:style w:type="paragraph" w:customStyle="1" w:styleId="GridTable31">
    <w:name w:val="Grid Table 31"/>
    <w:basedOn w:val="Heading1"/>
    <w:next w:val="Normal"/>
    <w:uiPriority w:val="39"/>
    <w:unhideWhenUsed/>
    <w:qFormat/>
    <w:rsid w:val="00C954D7"/>
    <w:pPr>
      <w:keepLines/>
      <w:pBdr>
        <w:top w:val="none" w:sz="0" w:space="0" w:color="auto"/>
        <w:left w:val="none" w:sz="0" w:space="0" w:color="auto"/>
        <w:bottom w:val="none" w:sz="0" w:space="0" w:color="auto"/>
        <w:right w:val="none" w:sz="0" w:space="0" w:color="auto"/>
      </w:pBdr>
      <w:shd w:val="clear" w:color="auto" w:fill="auto"/>
      <w:spacing w:before="480" w:line="276" w:lineRule="auto"/>
      <w:ind w:right="0"/>
      <w:outlineLvl w:val="9"/>
    </w:pPr>
    <w:rPr>
      <w:rFonts w:ascii="Calibri" w:eastAsia="MS Gothic" w:hAnsi="Calibri" w:cs="Times New Roman"/>
      <w:iCs w:val="0"/>
      <w:color w:val="365F91"/>
      <w:kern w:val="0"/>
      <w:szCs w:val="28"/>
      <w:lang w:val="en-US" w:eastAsia="en-US"/>
    </w:rPr>
  </w:style>
  <w:style w:type="paragraph" w:customStyle="1" w:styleId="ColorfulList-Accent11">
    <w:name w:val="Colorful List - Accent 11"/>
    <w:basedOn w:val="Normal"/>
    <w:rsid w:val="00377752"/>
    <w:pPr>
      <w:ind w:left="720"/>
      <w:contextualSpacing/>
    </w:pPr>
  </w:style>
  <w:style w:type="paragraph" w:styleId="Caption">
    <w:name w:val="caption"/>
    <w:basedOn w:val="Normal"/>
    <w:next w:val="Normal"/>
    <w:qFormat/>
    <w:rsid w:val="00513631"/>
    <w:pPr>
      <w:spacing w:after="200" w:line="240" w:lineRule="auto"/>
    </w:pPr>
    <w:rPr>
      <w:b/>
      <w:bCs/>
      <w:color w:val="4F81BD"/>
      <w:sz w:val="18"/>
      <w:szCs w:val="18"/>
    </w:rPr>
  </w:style>
  <w:style w:type="paragraph" w:customStyle="1" w:styleId="ColorfulShading-Accent11">
    <w:name w:val="Colorful Shading - Accent 11"/>
    <w:hidden/>
    <w:rsid w:val="00FB71C1"/>
    <w:rPr>
      <w:rFonts w:ascii="Tahoma" w:eastAsia="Times New Roman" w:hAnsi="Tahoma"/>
      <w:szCs w:val="24"/>
    </w:rPr>
  </w:style>
  <w:style w:type="paragraph" w:customStyle="1" w:styleId="About02">
    <w:name w:val="About 02"/>
    <w:basedOn w:val="About01"/>
    <w:qFormat/>
    <w:rsid w:val="0086142A"/>
    <w:p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next w:val="Heading2"/>
    <w:autoRedefine/>
    <w:qFormat/>
    <w:rsid w:val="005F7E14"/>
    <w:pPr>
      <w:numPr>
        <w:numId w:val="14"/>
      </w:numPr>
      <w:pBdr>
        <w:top w:val="single" w:sz="48" w:space="1" w:color="0096D7"/>
        <w:left w:val="single" w:sz="48" w:space="4" w:color="0096D7"/>
        <w:bottom w:val="single" w:sz="48" w:space="1" w:color="0096D7"/>
        <w:right w:val="single" w:sz="48" w:space="4" w:color="0096D7"/>
      </w:pBdr>
      <w:shd w:val="clear" w:color="auto" w:fill="0096D7"/>
      <w:spacing w:before="240" w:after="240"/>
      <w:ind w:left="578" w:hanging="578"/>
      <w:outlineLvl w:val="0"/>
    </w:pPr>
    <w:rPr>
      <w:rFonts w:ascii="Arial" w:eastAsia="Times New Roman" w:hAnsi="Arial" w:cs="Arial"/>
      <w:b/>
      <w:bCs/>
      <w:iCs/>
      <w:color w:val="FFFFFF"/>
      <w:sz w:val="28"/>
      <w:szCs w:val="32"/>
    </w:rPr>
  </w:style>
  <w:style w:type="paragraph" w:customStyle="1" w:styleId="Heading03">
    <w:name w:val="Heading 03"/>
    <w:basedOn w:val="Heading01"/>
    <w:next w:val="Normal"/>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uiPriority w:val="99"/>
    <w:rsid w:val="0001312A"/>
    <w:pPr>
      <w:tabs>
        <w:tab w:val="center" w:pos="4320"/>
        <w:tab w:val="right" w:pos="8640"/>
      </w:tabs>
    </w:p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ind w:right="318"/>
    </w:pPr>
    <w:rPr>
      <w:b/>
      <w:bCs/>
      <w:noProof/>
      <w:color w:val="0096D7"/>
      <w:sz w:val="24"/>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Grid21">
    <w:name w:val="Medium Grid 21"/>
    <w:rsid w:val="005C2175"/>
    <w:rPr>
      <w:rFonts w:ascii="Arial" w:eastAsia="Times New Roman" w:hAnsi="Arial"/>
      <w:szCs w:val="24"/>
    </w:rPr>
  </w:style>
  <w:style w:type="paragraph" w:styleId="ListParagraph">
    <w:name w:val="List Paragraph"/>
    <w:basedOn w:val="Normal"/>
    <w:uiPriority w:val="34"/>
    <w:qFormat/>
    <w:rsid w:val="002F7B59"/>
    <w:pPr>
      <w:spacing w:before="0" w:line="360" w:lineRule="auto"/>
      <w:ind w:left="720"/>
    </w:pPr>
  </w:style>
  <w:style w:type="paragraph" w:styleId="Revision">
    <w:name w:val="Revision"/>
    <w:hidden/>
    <w:rsid w:val="00670EE8"/>
    <w:rPr>
      <w:rFonts w:ascii="Arial" w:eastAsia="Times New Roman" w:hAnsi="Arial"/>
      <w:szCs w:val="24"/>
    </w:rPr>
  </w:style>
  <w:style w:type="paragraph" w:customStyle="1" w:styleId="Default">
    <w:name w:val="Default"/>
    <w:rsid w:val="009B449F"/>
    <w:pPr>
      <w:autoSpaceDE w:val="0"/>
      <w:autoSpaceDN w:val="0"/>
      <w:adjustRightInd w:val="0"/>
    </w:pPr>
    <w:rPr>
      <w:rFonts w:ascii="Arial" w:hAnsi="Arial" w:cs="Arial"/>
      <w:color w:val="000000"/>
      <w:sz w:val="24"/>
      <w:szCs w:val="24"/>
    </w:rPr>
  </w:style>
  <w:style w:type="paragraph" w:styleId="FootnoteText">
    <w:name w:val="footnote text"/>
    <w:basedOn w:val="Normal"/>
    <w:link w:val="FootnoteTextChar"/>
    <w:unhideWhenUsed/>
    <w:rsid w:val="00EE7124"/>
    <w:pPr>
      <w:spacing w:before="0" w:after="0" w:line="240" w:lineRule="auto"/>
    </w:pPr>
    <w:rPr>
      <w:szCs w:val="20"/>
    </w:rPr>
  </w:style>
  <w:style w:type="character" w:customStyle="1" w:styleId="FootnoteTextChar">
    <w:name w:val="Footnote Text Char"/>
    <w:basedOn w:val="DefaultParagraphFont"/>
    <w:link w:val="FootnoteText"/>
    <w:rsid w:val="00EE7124"/>
    <w:rPr>
      <w:rFonts w:ascii="Arial" w:eastAsia="Times New Roman" w:hAnsi="Arial"/>
    </w:rPr>
  </w:style>
  <w:style w:type="character" w:styleId="FootnoteReference">
    <w:name w:val="footnote reference"/>
    <w:basedOn w:val="DefaultParagraphFont"/>
    <w:semiHidden/>
    <w:unhideWhenUsed/>
    <w:rsid w:val="00EE7124"/>
    <w:rPr>
      <w:vertAlign w:val="superscript"/>
    </w:rPr>
  </w:style>
  <w:style w:type="character" w:styleId="UnresolvedMention">
    <w:name w:val="Unresolved Mention"/>
    <w:basedOn w:val="DefaultParagraphFont"/>
    <w:uiPriority w:val="99"/>
    <w:semiHidden/>
    <w:unhideWhenUsed/>
    <w:rsid w:val="00245D7E"/>
    <w:rPr>
      <w:color w:val="808080"/>
      <w:shd w:val="clear" w:color="auto" w:fill="E6E6E6"/>
    </w:rPr>
  </w:style>
  <w:style w:type="paragraph" w:styleId="NoSpacing">
    <w:name w:val="No Spacing"/>
    <w:qFormat/>
    <w:rsid w:val="00CA2364"/>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243996242">
      <w:bodyDiv w:val="1"/>
      <w:marLeft w:val="0"/>
      <w:marRight w:val="0"/>
      <w:marTop w:val="0"/>
      <w:marBottom w:val="0"/>
      <w:divBdr>
        <w:top w:val="none" w:sz="0" w:space="0" w:color="auto"/>
        <w:left w:val="none" w:sz="0" w:space="0" w:color="auto"/>
        <w:bottom w:val="none" w:sz="0" w:space="0" w:color="auto"/>
        <w:right w:val="none" w:sz="0" w:space="0" w:color="auto"/>
      </w:divBdr>
    </w:div>
    <w:div w:id="436801418">
      <w:bodyDiv w:val="1"/>
      <w:marLeft w:val="0"/>
      <w:marRight w:val="0"/>
      <w:marTop w:val="0"/>
      <w:marBottom w:val="0"/>
      <w:divBdr>
        <w:top w:val="none" w:sz="0" w:space="0" w:color="auto"/>
        <w:left w:val="none" w:sz="0" w:space="0" w:color="auto"/>
        <w:bottom w:val="none" w:sz="0" w:space="0" w:color="auto"/>
        <w:right w:val="none" w:sz="0" w:space="0" w:color="auto"/>
      </w:divBdr>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dcusa.co.uk"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elexon.co.uk/mod-proposal/p362/" TargetMode="External"/><Relationship Id="rId2" Type="http://schemas.openxmlformats.org/officeDocument/2006/relationships/hyperlink" Target="https://www.ofgem.gov.uk/system/files/docs/2019/01/cacop_v5.0_final.pdf" TargetMode="External"/><Relationship Id="rId1" Type="http://schemas.openxmlformats.org/officeDocument/2006/relationships/hyperlink" Target="https://www.ofgem.gov.uk/system/files/docs/2018/09/what_is_a_regulatory_sandbox.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0889B8-BA32-4F13-ADF2-D0E57DFE7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9</Pages>
  <Words>2101</Words>
  <Characters>11981</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Joint Office of Gas Transporters</Company>
  <LinksUpToDate>false</LinksUpToDate>
  <CharactersWithSpaces>14054</CharactersWithSpaces>
  <SharedDoc>false</SharedDoc>
  <HyperlinkBase/>
  <HLinks>
    <vt:vector size="6" baseType="variant">
      <vt:variant>
        <vt:i4>8192116</vt:i4>
      </vt:variant>
      <vt:variant>
        <vt:i4>33</vt:i4>
      </vt:variant>
      <vt:variant>
        <vt:i4>0</vt:i4>
      </vt:variant>
      <vt:variant>
        <vt:i4>5</vt:i4>
      </vt:variant>
      <vt:variant>
        <vt:lpwstr>http://www.dcusa.co.uk/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Cuin</dc:creator>
  <cp:keywords/>
  <dc:description/>
  <cp:lastModifiedBy>Hollie Nicholls</cp:lastModifiedBy>
  <cp:revision>5</cp:revision>
  <cp:lastPrinted>2019-04-01T10:36:00Z</cp:lastPrinted>
  <dcterms:created xsi:type="dcterms:W3CDTF">2019-06-26T14:44:00Z</dcterms:created>
  <dcterms:modified xsi:type="dcterms:W3CDTF">2019-06-28T10:56:00Z</dcterms:modified>
</cp:coreProperties>
</file>