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lectralinkResponseTable"/>
        <w:tblW w:w="13921" w:type="dxa"/>
        <w:tblInd w:w="108" w:type="dxa"/>
        <w:tblLayout w:type="fixed"/>
        <w:tblLook w:val="04A0" w:firstRow="1" w:lastRow="0" w:firstColumn="1" w:lastColumn="0" w:noHBand="0" w:noVBand="1"/>
      </w:tblPr>
      <w:tblGrid>
        <w:gridCol w:w="1730"/>
        <w:gridCol w:w="1843"/>
        <w:gridCol w:w="10348"/>
      </w:tblGrid>
      <w:tr w:rsidR="009F31B0" w:rsidRPr="009F31B0" w14:paraId="1E00BA78" w14:textId="77777777" w:rsidTr="009F31B0">
        <w:trPr>
          <w:cnfStyle w:val="100000000000" w:firstRow="1" w:lastRow="0" w:firstColumn="0" w:lastColumn="0" w:oddVBand="0" w:evenVBand="0" w:oddHBand="0" w:evenHBand="0" w:firstRowFirstColumn="0" w:firstRowLastColumn="0" w:lastRowFirstColumn="0" w:lastRowLastColumn="0"/>
        </w:trPr>
        <w:tc>
          <w:tcPr>
            <w:tcW w:w="1730" w:type="dxa"/>
          </w:tcPr>
          <w:p w14:paraId="09893C3D" w14:textId="77777777" w:rsidR="009F31B0" w:rsidRPr="009F31B0" w:rsidRDefault="009F31B0" w:rsidP="00131490">
            <w:pPr>
              <w:pStyle w:val="ColumnHeading"/>
              <w:rPr>
                <w:szCs w:val="20"/>
              </w:rPr>
            </w:pPr>
            <w:bookmarkStart w:id="0" w:name="dcusa_response1"/>
            <w:r w:rsidRPr="009F31B0">
              <w:rPr>
                <w:szCs w:val="20"/>
              </w:rPr>
              <w:t>Company</w:t>
            </w:r>
          </w:p>
        </w:tc>
        <w:tc>
          <w:tcPr>
            <w:tcW w:w="1843" w:type="dxa"/>
          </w:tcPr>
          <w:p w14:paraId="70D8AB47" w14:textId="77777777" w:rsidR="009F31B0" w:rsidRPr="009F31B0" w:rsidRDefault="009F31B0" w:rsidP="00131490">
            <w:pPr>
              <w:pStyle w:val="ColumnHeading"/>
              <w:rPr>
                <w:szCs w:val="20"/>
              </w:rPr>
            </w:pPr>
            <w:r w:rsidRPr="009F31B0">
              <w:rPr>
                <w:szCs w:val="20"/>
              </w:rPr>
              <w:t>Confidential/</w:t>
            </w:r>
          </w:p>
          <w:p w14:paraId="432FA8B2" w14:textId="77777777" w:rsidR="009F31B0" w:rsidRPr="009F31B0" w:rsidRDefault="009F31B0" w:rsidP="00131490">
            <w:pPr>
              <w:pStyle w:val="ColumnHeading"/>
              <w:rPr>
                <w:szCs w:val="20"/>
              </w:rPr>
            </w:pPr>
            <w:r w:rsidRPr="009F31B0">
              <w:rPr>
                <w:szCs w:val="20"/>
              </w:rPr>
              <w:t>Anonymous</w:t>
            </w:r>
          </w:p>
        </w:tc>
        <w:tc>
          <w:tcPr>
            <w:tcW w:w="10348" w:type="dxa"/>
          </w:tcPr>
          <w:p w14:paraId="16678FB4" w14:textId="6D0667E5" w:rsidR="009F31B0" w:rsidRPr="009F31B0" w:rsidRDefault="009F31B0" w:rsidP="00131490">
            <w:pPr>
              <w:pStyle w:val="Question"/>
              <w:rPr>
                <w:szCs w:val="20"/>
              </w:rPr>
            </w:pPr>
            <w:r w:rsidRPr="009F31B0">
              <w:rPr>
                <w:szCs w:val="20"/>
                <w:lang w:val="en-GB"/>
              </w:rPr>
              <w:t>Are Parties comfortable with the approach proposed by the Working Group to allocate the Ofgem licence fees to the LV Service Customers rather than allocating them across all voltage levels? If not, provide your rationale.</w:t>
            </w:r>
          </w:p>
        </w:tc>
      </w:tr>
      <w:tr w:rsidR="009F31B0" w:rsidRPr="009F31B0" w14:paraId="7B41845D" w14:textId="77777777" w:rsidTr="009F31B0">
        <w:tc>
          <w:tcPr>
            <w:tcW w:w="1730" w:type="dxa"/>
          </w:tcPr>
          <w:p w14:paraId="0609C552" w14:textId="77777777" w:rsidR="009F31B0" w:rsidRPr="009F31B0" w:rsidRDefault="009F31B0" w:rsidP="00131490">
            <w:pPr>
              <w:pStyle w:val="BodyTextNoSpacing"/>
              <w:rPr>
                <w:szCs w:val="20"/>
              </w:rPr>
            </w:pPr>
            <w:r w:rsidRPr="009F31B0">
              <w:rPr>
                <w:szCs w:val="20"/>
              </w:rPr>
              <w:t>Electricity North West Limited</w:t>
            </w:r>
          </w:p>
        </w:tc>
        <w:tc>
          <w:tcPr>
            <w:tcW w:w="1843" w:type="dxa"/>
          </w:tcPr>
          <w:p w14:paraId="3FE37BC2" w14:textId="77777777" w:rsidR="009F31B0" w:rsidRPr="009F31B0" w:rsidRDefault="009F31B0" w:rsidP="00131490">
            <w:pPr>
              <w:pStyle w:val="BodyTextNoSpacing"/>
              <w:rPr>
                <w:szCs w:val="20"/>
              </w:rPr>
            </w:pPr>
            <w:r w:rsidRPr="009F31B0">
              <w:rPr>
                <w:szCs w:val="20"/>
              </w:rPr>
              <w:t>Non-confidential</w:t>
            </w:r>
          </w:p>
        </w:tc>
        <w:tc>
          <w:tcPr>
            <w:tcW w:w="10348" w:type="dxa"/>
          </w:tcPr>
          <w:p w14:paraId="150F9852"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We do not agree with this approach as it is inaccurate, does not reflect the true driver of Ofgem licence fee costs and could potentially distort the allocation of costs with the PCDM due to ‘cherry-picking’.</w:t>
            </w:r>
          </w:p>
          <w:p w14:paraId="12534946" w14:textId="77777777" w:rsidR="009F31B0" w:rsidRPr="009F31B0" w:rsidRDefault="009F31B0" w:rsidP="009F31B0">
            <w:pPr>
              <w:pStyle w:val="BodyText"/>
              <w:rPr>
                <w:rFonts w:ascii="Verdana" w:hAnsi="Verdana"/>
                <w:b/>
                <w:sz w:val="20"/>
                <w:szCs w:val="20"/>
              </w:rPr>
            </w:pPr>
            <w:r w:rsidRPr="009F31B0">
              <w:rPr>
                <w:rFonts w:ascii="Verdana" w:hAnsi="Verdana"/>
                <w:b/>
                <w:sz w:val="20"/>
                <w:szCs w:val="20"/>
              </w:rPr>
              <w:t>1. Accuracy of the suggested approach</w:t>
            </w:r>
          </w:p>
          <w:p w14:paraId="202EC0D9"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The suggested approach is not consistent with the proposer’s justification for the change that suggests that Ofgem licence fees are driven by customer or MPAN numbers.  As not all customers are LV Service level connected not all Ofgem licence fee costs should be allocated to that level.  If it is decided that MPANs are a driver of licence fees then the costs should be allocated across the voltage levels in proportion to the customer’s connections.</w:t>
            </w:r>
          </w:p>
          <w:p w14:paraId="3CA90412" w14:textId="77777777" w:rsidR="009F31B0" w:rsidRPr="009F31B0" w:rsidRDefault="009F31B0" w:rsidP="009F31B0">
            <w:pPr>
              <w:pStyle w:val="Question"/>
              <w:numPr>
                <w:ilvl w:val="0"/>
                <w:numId w:val="3"/>
              </w:numPr>
              <w:spacing w:after="240"/>
              <w:ind w:left="29" w:firstLine="0"/>
              <w:rPr>
                <w:szCs w:val="20"/>
              </w:rPr>
            </w:pPr>
            <w:r w:rsidRPr="009F31B0">
              <w:rPr>
                <w:szCs w:val="20"/>
              </w:rPr>
              <w:t>Ofgem licence fee cost driver</w:t>
            </w:r>
          </w:p>
          <w:p w14:paraId="3B0E0C11"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Regardless of this concern, we do not believe that Ofgem licence fees are driven by customer or MPAN numbers.  The consultation document suggests that Ofgem charge for licence fees on a £/MPAN basis.  We believe this is a mischaracterisation of the approach Ofgem take to charging for licence fees.</w:t>
            </w:r>
          </w:p>
          <w:p w14:paraId="24F1C6BD"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Ofgem levy licence fees to recover an amount of income equal to the relevant costs.  In doing this across a range of network companies of different scale and operating in different industries they require an allocation driver.  The number of MPANs is a proxy allocation used by Ofgem in the allocation of their total costs to network operators which is intended to represent the relative overall scale and complexity of network companies in a comparable way across both the gas and electricity industries.</w:t>
            </w:r>
          </w:p>
          <w:p w14:paraId="6A61FCFA"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We do not believe that there is a direct relationship between the cost of providing network regulatory services and the number of end customers connected to licensed networks (after all, Transmission companies are charged significant licence fees by Ofgem despite having a relatively small numbers of customers connected to their networks), and can therefore see no justification for allocating Ofgem level fees entirely to LV Service customers within the PCDM.</w:t>
            </w:r>
          </w:p>
          <w:p w14:paraId="4C32E520"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 xml:space="preserve">The distribution of electricity is a regulated licensed activity in Great Britain.  It is our view that this regime of licensing and regulation applies to the entirety of distribution networks and not just to the end point of connection to customers.  The part of a DNO network that delivers energy from a GSP </w:t>
            </w:r>
            <w:r w:rsidRPr="009F31B0">
              <w:rPr>
                <w:rFonts w:ascii="Verdana" w:hAnsi="Verdana"/>
                <w:sz w:val="20"/>
                <w:szCs w:val="20"/>
              </w:rPr>
              <w:lastRenderedPageBreak/>
              <w:t xml:space="preserve">to an LDNO network is subject to regulation and licensing to just the same extent as the LDNO network delivering energy from the point of connection with the DNO to a household.  We therefore believe that not allocating it or using MEAV would probably be a more cost reflective allocation driver than assuming 100% LV Service or MPANs, as not allocating it or using MEAV would better reflect the scale of regulated licensed activity undertaken across all network levels.  </w:t>
            </w:r>
          </w:p>
          <w:p w14:paraId="578CE274"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In this case, not specifically allocating these costs in the PCDM could be considered equivalent to taking a view that the costs support the full scope of the DNO’s activity, and therefore should not influence the overall allocation.  We believe this is probably the appropriate treatment for licence fees (this is as per the current methodology).</w:t>
            </w:r>
          </w:p>
          <w:p w14:paraId="52D85036" w14:textId="77777777" w:rsidR="009F31B0" w:rsidRPr="009F31B0" w:rsidRDefault="009F31B0" w:rsidP="009F31B0">
            <w:pPr>
              <w:pStyle w:val="Question"/>
              <w:numPr>
                <w:ilvl w:val="0"/>
                <w:numId w:val="3"/>
              </w:numPr>
              <w:spacing w:after="240"/>
              <w:ind w:left="29" w:hanging="29"/>
              <w:rPr>
                <w:szCs w:val="20"/>
              </w:rPr>
            </w:pPr>
            <w:r w:rsidRPr="009F31B0">
              <w:rPr>
                <w:szCs w:val="20"/>
              </w:rPr>
              <w:t>Concerns about ‘cherry-picking’</w:t>
            </w:r>
          </w:p>
          <w:p w14:paraId="4F89F9D0" w14:textId="77777777" w:rsidR="009F31B0" w:rsidRPr="009F31B0" w:rsidRDefault="009F31B0" w:rsidP="009F31B0">
            <w:pPr>
              <w:pStyle w:val="BodyTextNoSpacing"/>
              <w:rPr>
                <w:szCs w:val="20"/>
              </w:rPr>
            </w:pPr>
            <w:r w:rsidRPr="009F31B0">
              <w:rPr>
                <w:szCs w:val="20"/>
              </w:rPr>
              <w:t>We accept that the allocations in the PCDM are a high level approximation and are therefore imperfect.  However, we believe that selecting individual cost elements for individual allocation is a potential distortion of the methodology unless all cost elements are subject to an equal level of scrutiny at the same time.  While we believe MEAV, for example, works effectively as a overall cost driver for a wide range of costs in total, if individual cost elements are subject to separate allocations then we believe the effectiveness of MEAV for the remaining cost elements needs to be reviewed as well.</w:t>
            </w:r>
          </w:p>
        </w:tc>
      </w:tr>
      <w:tr w:rsidR="009F31B0" w:rsidRPr="009F31B0" w14:paraId="213EFBC2" w14:textId="77777777" w:rsidTr="009F31B0">
        <w:tc>
          <w:tcPr>
            <w:tcW w:w="1730" w:type="dxa"/>
          </w:tcPr>
          <w:p w14:paraId="1B7FE1E4" w14:textId="77777777" w:rsidR="009F31B0" w:rsidRPr="009F31B0" w:rsidRDefault="009F31B0" w:rsidP="00131490">
            <w:pPr>
              <w:pStyle w:val="BodyTextNoSpacing"/>
              <w:rPr>
                <w:szCs w:val="20"/>
              </w:rPr>
            </w:pPr>
            <w:r w:rsidRPr="009F31B0">
              <w:rPr>
                <w:szCs w:val="20"/>
              </w:rPr>
              <w:lastRenderedPageBreak/>
              <w:t>ESP Electricity (‘ESPE’)</w:t>
            </w:r>
          </w:p>
        </w:tc>
        <w:tc>
          <w:tcPr>
            <w:tcW w:w="1843" w:type="dxa"/>
          </w:tcPr>
          <w:p w14:paraId="1409B648" w14:textId="77777777" w:rsidR="009F31B0" w:rsidRPr="009F31B0" w:rsidRDefault="009F31B0" w:rsidP="00131490">
            <w:pPr>
              <w:pStyle w:val="BodyTextNoSpacing"/>
              <w:rPr>
                <w:szCs w:val="20"/>
              </w:rPr>
            </w:pPr>
            <w:r w:rsidRPr="009F31B0">
              <w:rPr>
                <w:szCs w:val="20"/>
              </w:rPr>
              <w:t>Non-confidential</w:t>
            </w:r>
          </w:p>
        </w:tc>
        <w:tc>
          <w:tcPr>
            <w:tcW w:w="10348" w:type="dxa"/>
          </w:tcPr>
          <w:p w14:paraId="53A2A273"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ESPE agrees with the approach to allocate Ofgem licence fees to the LV Service Customers.</w:t>
            </w:r>
          </w:p>
        </w:tc>
      </w:tr>
      <w:tr w:rsidR="009F31B0" w:rsidRPr="009F31B0" w14:paraId="5BA6CA77" w14:textId="77777777" w:rsidTr="009F31B0">
        <w:tc>
          <w:tcPr>
            <w:tcW w:w="1730" w:type="dxa"/>
          </w:tcPr>
          <w:p w14:paraId="084CFD20" w14:textId="77777777" w:rsidR="009F31B0" w:rsidRPr="009F31B0" w:rsidRDefault="009F31B0" w:rsidP="00131490">
            <w:pPr>
              <w:pStyle w:val="BodyTextNoSpacing"/>
              <w:rPr>
                <w:szCs w:val="20"/>
              </w:rPr>
            </w:pPr>
            <w:r w:rsidRPr="009F31B0">
              <w:rPr>
                <w:szCs w:val="20"/>
              </w:rPr>
              <w:t>Leep Electricity Networks Limited</w:t>
            </w:r>
          </w:p>
        </w:tc>
        <w:tc>
          <w:tcPr>
            <w:tcW w:w="1843" w:type="dxa"/>
          </w:tcPr>
          <w:p w14:paraId="0C975838" w14:textId="77777777" w:rsidR="009F31B0" w:rsidRPr="009F31B0" w:rsidRDefault="009F31B0" w:rsidP="00131490">
            <w:pPr>
              <w:pStyle w:val="BodyTextNoSpacing"/>
              <w:rPr>
                <w:szCs w:val="20"/>
              </w:rPr>
            </w:pPr>
            <w:r w:rsidRPr="009F31B0">
              <w:rPr>
                <w:szCs w:val="20"/>
              </w:rPr>
              <w:t>Non-confidential</w:t>
            </w:r>
          </w:p>
        </w:tc>
        <w:tc>
          <w:tcPr>
            <w:tcW w:w="10348" w:type="dxa"/>
          </w:tcPr>
          <w:p w14:paraId="25201A89"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Yes</w:t>
            </w:r>
          </w:p>
        </w:tc>
      </w:tr>
      <w:tr w:rsidR="009F31B0" w:rsidRPr="009F31B0" w14:paraId="4B84320A" w14:textId="77777777" w:rsidTr="009F31B0">
        <w:tc>
          <w:tcPr>
            <w:tcW w:w="1730" w:type="dxa"/>
          </w:tcPr>
          <w:p w14:paraId="28B22920" w14:textId="77777777" w:rsidR="009F31B0" w:rsidRPr="009F31B0" w:rsidRDefault="009F31B0" w:rsidP="00131490">
            <w:pPr>
              <w:pStyle w:val="BodyTextNoSpacing"/>
              <w:rPr>
                <w:szCs w:val="20"/>
              </w:rPr>
            </w:pPr>
            <w:r w:rsidRPr="009F31B0">
              <w:rPr>
                <w:szCs w:val="20"/>
              </w:rPr>
              <w:t>Northern Powergrid (Northeast) Limited and Northern Powergrid (Yorkshire) plc</w:t>
            </w:r>
          </w:p>
        </w:tc>
        <w:tc>
          <w:tcPr>
            <w:tcW w:w="1843" w:type="dxa"/>
          </w:tcPr>
          <w:p w14:paraId="55E067B2" w14:textId="77777777" w:rsidR="009F31B0" w:rsidRPr="009F31B0" w:rsidRDefault="009F31B0" w:rsidP="00131490">
            <w:pPr>
              <w:pStyle w:val="BodyTextNoSpacing"/>
              <w:rPr>
                <w:szCs w:val="20"/>
              </w:rPr>
            </w:pPr>
            <w:r w:rsidRPr="009F31B0">
              <w:rPr>
                <w:szCs w:val="20"/>
              </w:rPr>
              <w:t>Non-confidential</w:t>
            </w:r>
          </w:p>
        </w:tc>
        <w:tc>
          <w:tcPr>
            <w:tcW w:w="10348" w:type="dxa"/>
          </w:tcPr>
          <w:p w14:paraId="1CF704E9"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Yes.</w:t>
            </w:r>
          </w:p>
        </w:tc>
      </w:tr>
      <w:tr w:rsidR="00D169F1" w:rsidRPr="009F31B0" w14:paraId="44353263" w14:textId="77777777" w:rsidTr="009F31B0">
        <w:tc>
          <w:tcPr>
            <w:tcW w:w="1730" w:type="dxa"/>
          </w:tcPr>
          <w:p w14:paraId="289E3BB4" w14:textId="11915659" w:rsidR="00D169F1" w:rsidRPr="009F31B0" w:rsidRDefault="00D169F1" w:rsidP="00131490">
            <w:pPr>
              <w:pStyle w:val="BodyTextNoSpacing"/>
              <w:rPr>
                <w:szCs w:val="20"/>
              </w:rPr>
            </w:pPr>
            <w:r>
              <w:lastRenderedPageBreak/>
              <w:t>Scottish Hydro Electric Power Distribution plc and Southern Electric Power Distribution plc</w:t>
            </w:r>
          </w:p>
        </w:tc>
        <w:tc>
          <w:tcPr>
            <w:tcW w:w="1843" w:type="dxa"/>
          </w:tcPr>
          <w:p w14:paraId="5965296D" w14:textId="08C6D078" w:rsidR="00D169F1" w:rsidRPr="009F31B0" w:rsidRDefault="00D169F1" w:rsidP="00131490">
            <w:pPr>
              <w:pStyle w:val="BodyTextNoSpacing"/>
              <w:rPr>
                <w:szCs w:val="20"/>
              </w:rPr>
            </w:pPr>
            <w:r w:rsidRPr="009F31B0">
              <w:rPr>
                <w:szCs w:val="20"/>
              </w:rPr>
              <w:t>Non-confidential</w:t>
            </w:r>
          </w:p>
        </w:tc>
        <w:tc>
          <w:tcPr>
            <w:tcW w:w="10348" w:type="dxa"/>
          </w:tcPr>
          <w:p w14:paraId="08137655" w14:textId="77777777" w:rsidR="00D169F1" w:rsidRPr="00D169F1" w:rsidRDefault="00D169F1" w:rsidP="00D169F1">
            <w:pPr>
              <w:pStyle w:val="BodyText"/>
              <w:rPr>
                <w:rFonts w:ascii="Verdana" w:hAnsi="Verdana"/>
                <w:sz w:val="20"/>
                <w:szCs w:val="20"/>
              </w:rPr>
            </w:pPr>
            <w:r w:rsidRPr="00D169F1">
              <w:rPr>
                <w:rFonts w:ascii="Verdana" w:hAnsi="Verdana"/>
                <w:sz w:val="20"/>
                <w:szCs w:val="20"/>
              </w:rPr>
              <w:t xml:space="preserve">Given the result of the customer number split analysis conducted by the Working Group, it seems that the difference to fee allocation between the two approaches is not material (99.8% vs 100% to LV Service Customers). In our view the simplicity of the proposed approach (to LV Service Customers only) outweighs any minimal further cost reflectivity which may be gained by allocating them across all voltage levels. </w:t>
            </w:r>
          </w:p>
          <w:p w14:paraId="6DAF51E0" w14:textId="77777777" w:rsidR="00D169F1" w:rsidRPr="00D169F1" w:rsidRDefault="00D169F1" w:rsidP="00D169F1">
            <w:pPr>
              <w:pStyle w:val="BodyText"/>
              <w:rPr>
                <w:rFonts w:ascii="Verdana" w:hAnsi="Verdana"/>
                <w:sz w:val="20"/>
                <w:szCs w:val="20"/>
              </w:rPr>
            </w:pPr>
            <w:r w:rsidRPr="00D169F1">
              <w:rPr>
                <w:rFonts w:ascii="Verdana" w:hAnsi="Verdana"/>
                <w:sz w:val="20"/>
                <w:szCs w:val="20"/>
              </w:rPr>
              <w:t xml:space="preserve">Based on this, we are comfortable with the proposed approach </w:t>
            </w:r>
            <w:r w:rsidRPr="00D169F1">
              <w:rPr>
                <w:rFonts w:ascii="Verdana" w:hAnsi="Verdana"/>
                <w:b/>
                <w:sz w:val="20"/>
                <w:szCs w:val="20"/>
                <w:u w:val="single"/>
              </w:rPr>
              <w:t>for the time being</w:t>
            </w:r>
            <w:r w:rsidRPr="00D169F1">
              <w:rPr>
                <w:rFonts w:ascii="Verdana" w:hAnsi="Verdana"/>
                <w:sz w:val="20"/>
                <w:szCs w:val="20"/>
              </w:rPr>
              <w:t xml:space="preserve">. </w:t>
            </w:r>
          </w:p>
          <w:p w14:paraId="18F32DEA" w14:textId="79E4E4A6" w:rsidR="00D169F1" w:rsidRPr="00D169F1" w:rsidRDefault="00D169F1" w:rsidP="00D169F1">
            <w:pPr>
              <w:pStyle w:val="BodyText"/>
              <w:rPr>
                <w:rFonts w:ascii="Verdana" w:hAnsi="Verdana"/>
                <w:sz w:val="20"/>
                <w:szCs w:val="20"/>
              </w:rPr>
            </w:pPr>
            <w:r w:rsidRPr="00D169F1">
              <w:rPr>
                <w:rFonts w:ascii="Verdana" w:hAnsi="Verdana"/>
                <w:sz w:val="20"/>
                <w:szCs w:val="20"/>
              </w:rPr>
              <w:t>However, it would be sensible for the Working Group to also investigate whether the same customer number split analysis is likely to give a similar conclusion in the short and medium term future, including identifying potential causes and trends (if any) for it not to maintain this case to a material extent.</w:t>
            </w:r>
          </w:p>
        </w:tc>
      </w:tr>
      <w:tr w:rsidR="009F31B0" w:rsidRPr="009F31B0" w14:paraId="2D77F633" w14:textId="77777777" w:rsidTr="009F31B0">
        <w:tc>
          <w:tcPr>
            <w:tcW w:w="1730" w:type="dxa"/>
          </w:tcPr>
          <w:p w14:paraId="298089D8" w14:textId="77777777" w:rsidR="009F31B0" w:rsidRPr="009F31B0" w:rsidRDefault="009F31B0" w:rsidP="00131490">
            <w:pPr>
              <w:pStyle w:val="BodyTextNoSpacing"/>
              <w:rPr>
                <w:szCs w:val="20"/>
              </w:rPr>
            </w:pPr>
            <w:r w:rsidRPr="009F31B0">
              <w:rPr>
                <w:szCs w:val="20"/>
              </w:rPr>
              <w:t>SP Distribution &amp; SP Manweb</w:t>
            </w:r>
          </w:p>
        </w:tc>
        <w:tc>
          <w:tcPr>
            <w:tcW w:w="1843" w:type="dxa"/>
          </w:tcPr>
          <w:p w14:paraId="4334DFA3" w14:textId="77777777" w:rsidR="009F31B0" w:rsidRPr="009F31B0" w:rsidRDefault="009F31B0" w:rsidP="00131490">
            <w:pPr>
              <w:pStyle w:val="BodyTextNoSpacing"/>
              <w:rPr>
                <w:szCs w:val="20"/>
              </w:rPr>
            </w:pPr>
            <w:r w:rsidRPr="009F31B0">
              <w:rPr>
                <w:szCs w:val="20"/>
              </w:rPr>
              <w:t>Non-confidential</w:t>
            </w:r>
          </w:p>
        </w:tc>
        <w:tc>
          <w:tcPr>
            <w:tcW w:w="10348" w:type="dxa"/>
          </w:tcPr>
          <w:p w14:paraId="5E744495"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 xml:space="preserve">Yes, given the outcome of the RFI confirming that 99.8% of customers are forecasted to be connected at LV, there is an immaterial impact of choosing to exclude higher voltage levels in the allocation of costs. </w:t>
            </w:r>
          </w:p>
        </w:tc>
      </w:tr>
      <w:tr w:rsidR="009F31B0" w:rsidRPr="009F31B0" w14:paraId="73C497AA" w14:textId="77777777" w:rsidTr="009F31B0">
        <w:tc>
          <w:tcPr>
            <w:tcW w:w="1730" w:type="dxa"/>
          </w:tcPr>
          <w:p w14:paraId="6E2CD5D8" w14:textId="77777777" w:rsidR="009F31B0" w:rsidRPr="009F31B0" w:rsidRDefault="009F31B0" w:rsidP="00131490">
            <w:pPr>
              <w:pStyle w:val="BodyTextNoSpacing"/>
              <w:rPr>
                <w:szCs w:val="20"/>
              </w:rPr>
            </w:pPr>
            <w:r w:rsidRPr="009F31B0">
              <w:rPr>
                <w:szCs w:val="20"/>
              </w:rPr>
              <w:t>The Electricity Network Company Ltd</w:t>
            </w:r>
          </w:p>
        </w:tc>
        <w:tc>
          <w:tcPr>
            <w:tcW w:w="1843" w:type="dxa"/>
          </w:tcPr>
          <w:p w14:paraId="4914BF12" w14:textId="77777777" w:rsidR="009F31B0" w:rsidRPr="009F31B0" w:rsidRDefault="009F31B0" w:rsidP="00131490">
            <w:pPr>
              <w:pStyle w:val="BodyTextNoSpacing"/>
              <w:rPr>
                <w:szCs w:val="20"/>
              </w:rPr>
            </w:pPr>
            <w:r w:rsidRPr="009F31B0">
              <w:rPr>
                <w:szCs w:val="20"/>
              </w:rPr>
              <w:t>Non-confidential</w:t>
            </w:r>
          </w:p>
        </w:tc>
        <w:tc>
          <w:tcPr>
            <w:tcW w:w="10348" w:type="dxa"/>
          </w:tcPr>
          <w:p w14:paraId="3BF2FC44" w14:textId="77777777" w:rsidR="009F31B0" w:rsidRPr="009F31B0" w:rsidRDefault="009F31B0" w:rsidP="00131490">
            <w:pPr>
              <w:pStyle w:val="BodyTextNoSpacing"/>
              <w:rPr>
                <w:szCs w:val="20"/>
              </w:rPr>
            </w:pPr>
            <w:r w:rsidRPr="009F31B0">
              <w:rPr>
                <w:szCs w:val="20"/>
              </w:rPr>
              <w:t xml:space="preserve">We agree that there is a benefit in allocating licence fees at the LV Service Level. This is due to its simpler approach and the fact that the DNO data submission shows that 99.8% of customers are forecast to be connected at LV. </w:t>
            </w:r>
          </w:p>
        </w:tc>
      </w:tr>
      <w:tr w:rsidR="009F31B0" w:rsidRPr="009F31B0" w14:paraId="2CF82B9B" w14:textId="77777777" w:rsidTr="009F31B0">
        <w:tc>
          <w:tcPr>
            <w:tcW w:w="1730" w:type="dxa"/>
          </w:tcPr>
          <w:p w14:paraId="57FB423A" w14:textId="77777777" w:rsidR="009F31B0" w:rsidRPr="009F31B0" w:rsidRDefault="009F31B0" w:rsidP="00131490">
            <w:pPr>
              <w:pStyle w:val="BodyTextNoSpacing"/>
              <w:rPr>
                <w:szCs w:val="20"/>
              </w:rPr>
            </w:pPr>
            <w:r w:rsidRPr="009F31B0">
              <w:rPr>
                <w:szCs w:val="20"/>
              </w:rPr>
              <w:t>UK Power Networks</w:t>
            </w:r>
          </w:p>
        </w:tc>
        <w:tc>
          <w:tcPr>
            <w:tcW w:w="1843" w:type="dxa"/>
          </w:tcPr>
          <w:p w14:paraId="5D289372" w14:textId="77777777" w:rsidR="009F31B0" w:rsidRPr="009F31B0" w:rsidRDefault="009F31B0" w:rsidP="00131490">
            <w:pPr>
              <w:pStyle w:val="BodyTextNoSpacing"/>
              <w:rPr>
                <w:szCs w:val="20"/>
              </w:rPr>
            </w:pPr>
            <w:r w:rsidRPr="009F31B0">
              <w:rPr>
                <w:szCs w:val="20"/>
              </w:rPr>
              <w:t>Non-confidential</w:t>
            </w:r>
          </w:p>
        </w:tc>
        <w:tc>
          <w:tcPr>
            <w:tcW w:w="10348" w:type="dxa"/>
          </w:tcPr>
          <w:p w14:paraId="78AD5739"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 xml:space="preserve">Yes, as stated in the consultation the majority of customers (&gt;99%) are connected at LV as a result we believe that this is a pragmatic solution.  </w:t>
            </w:r>
          </w:p>
        </w:tc>
      </w:tr>
      <w:bookmarkEnd w:id="0"/>
    </w:tbl>
    <w:p w14:paraId="38780905" w14:textId="77777777" w:rsidR="009F31B0" w:rsidRPr="009F31B0" w:rsidRDefault="009F31B0">
      <w:pPr>
        <w:rPr>
          <w:rFonts w:ascii="Verdana" w:hAnsi="Verdana"/>
          <w:sz w:val="20"/>
          <w:szCs w:val="20"/>
        </w:rPr>
      </w:pPr>
    </w:p>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9F31B0" w:rsidRPr="009F31B0" w14:paraId="3AE3E19C" w14:textId="77777777" w:rsidTr="009F31B0">
        <w:trPr>
          <w:cnfStyle w:val="100000000000" w:firstRow="1" w:lastRow="0" w:firstColumn="0" w:lastColumn="0" w:oddVBand="0" w:evenVBand="0" w:oddHBand="0" w:evenHBand="0" w:firstRowFirstColumn="0" w:firstRowLastColumn="0" w:lastRowFirstColumn="0" w:lastRowLastColumn="0"/>
        </w:trPr>
        <w:tc>
          <w:tcPr>
            <w:tcW w:w="1701" w:type="dxa"/>
          </w:tcPr>
          <w:p w14:paraId="629F9BE3" w14:textId="77777777" w:rsidR="009F31B0" w:rsidRPr="009F31B0" w:rsidRDefault="009F31B0" w:rsidP="009F31B0">
            <w:pPr>
              <w:pStyle w:val="ColumnHeading"/>
              <w:rPr>
                <w:szCs w:val="20"/>
              </w:rPr>
            </w:pPr>
            <w:bookmarkStart w:id="1" w:name="dcusa_response2"/>
            <w:r w:rsidRPr="009F31B0">
              <w:rPr>
                <w:szCs w:val="20"/>
              </w:rPr>
              <w:t>Company</w:t>
            </w:r>
          </w:p>
        </w:tc>
        <w:tc>
          <w:tcPr>
            <w:tcW w:w="1871" w:type="dxa"/>
          </w:tcPr>
          <w:p w14:paraId="202C3A6B" w14:textId="77777777" w:rsidR="009F31B0" w:rsidRPr="009F31B0" w:rsidRDefault="009F31B0" w:rsidP="009F31B0">
            <w:pPr>
              <w:pStyle w:val="ColumnHeading"/>
              <w:rPr>
                <w:szCs w:val="20"/>
              </w:rPr>
            </w:pPr>
            <w:r w:rsidRPr="009F31B0">
              <w:rPr>
                <w:szCs w:val="20"/>
              </w:rPr>
              <w:t>Confidential/</w:t>
            </w:r>
          </w:p>
          <w:p w14:paraId="5BC9E460" w14:textId="77777777" w:rsidR="009F31B0" w:rsidRPr="009F31B0" w:rsidRDefault="009F31B0" w:rsidP="009F31B0">
            <w:pPr>
              <w:pStyle w:val="ColumnHeading"/>
              <w:rPr>
                <w:szCs w:val="20"/>
              </w:rPr>
            </w:pPr>
            <w:r w:rsidRPr="009F31B0">
              <w:rPr>
                <w:szCs w:val="20"/>
              </w:rPr>
              <w:t>Anonymous</w:t>
            </w:r>
          </w:p>
        </w:tc>
        <w:tc>
          <w:tcPr>
            <w:tcW w:w="10431" w:type="dxa"/>
          </w:tcPr>
          <w:p w14:paraId="6B4B17FB" w14:textId="396DF120" w:rsidR="009F31B0" w:rsidRPr="009F31B0" w:rsidRDefault="009F31B0" w:rsidP="009F31B0">
            <w:pPr>
              <w:pStyle w:val="Question"/>
              <w:numPr>
                <w:ilvl w:val="0"/>
                <w:numId w:val="0"/>
              </w:numPr>
              <w:rPr>
                <w:szCs w:val="20"/>
              </w:rPr>
            </w:pPr>
            <w:r>
              <w:rPr>
                <w:szCs w:val="20"/>
                <w:lang w:val="en-GB"/>
              </w:rPr>
              <w:t xml:space="preserve">2.      </w:t>
            </w:r>
            <w:r w:rsidRPr="009F31B0">
              <w:rPr>
                <w:szCs w:val="20"/>
              </w:rPr>
              <w:t>Do you have any comments on the proposed legal text?</w:t>
            </w:r>
          </w:p>
        </w:tc>
      </w:tr>
      <w:tr w:rsidR="009F31B0" w:rsidRPr="009F31B0" w14:paraId="7479328C" w14:textId="77777777" w:rsidTr="009F31B0">
        <w:tc>
          <w:tcPr>
            <w:tcW w:w="1701" w:type="dxa"/>
          </w:tcPr>
          <w:p w14:paraId="5352E707" w14:textId="77777777" w:rsidR="009F31B0" w:rsidRPr="009F31B0" w:rsidRDefault="009F31B0" w:rsidP="009F31B0">
            <w:pPr>
              <w:pStyle w:val="BodyTextNoSpacing"/>
              <w:rPr>
                <w:szCs w:val="20"/>
              </w:rPr>
            </w:pPr>
            <w:r w:rsidRPr="009F31B0">
              <w:rPr>
                <w:szCs w:val="20"/>
              </w:rPr>
              <w:t>Electricity North West Limited</w:t>
            </w:r>
          </w:p>
        </w:tc>
        <w:tc>
          <w:tcPr>
            <w:tcW w:w="1871" w:type="dxa"/>
          </w:tcPr>
          <w:p w14:paraId="2E75CAB7" w14:textId="77777777" w:rsidR="009F31B0" w:rsidRPr="009F31B0" w:rsidRDefault="009F31B0" w:rsidP="009F31B0">
            <w:pPr>
              <w:pStyle w:val="BodyTextNoSpacing"/>
              <w:rPr>
                <w:szCs w:val="20"/>
              </w:rPr>
            </w:pPr>
            <w:r w:rsidRPr="009F31B0">
              <w:rPr>
                <w:szCs w:val="20"/>
              </w:rPr>
              <w:t>Non-confidential</w:t>
            </w:r>
          </w:p>
        </w:tc>
        <w:tc>
          <w:tcPr>
            <w:tcW w:w="10431" w:type="dxa"/>
          </w:tcPr>
          <w:p w14:paraId="77EE99C8"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We do not believe the legal text as drafted is set out in the clearest possible manner.</w:t>
            </w:r>
          </w:p>
          <w:p w14:paraId="178E7C8E"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The purpose and meaning of 11A b) seems unclear: what other costs are being referred to here?  Should these costs then be indirectly allocated?  What happens to the non-Ofgem licence fee costs?  We believe the intention is that the non-Ofgem licence fee non activity costs and reconciling items should be treated as previously (do not allocate).</w:t>
            </w:r>
          </w:p>
          <w:p w14:paraId="504D0078"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lastRenderedPageBreak/>
              <w:t>Also, the positioning of paragraph 11A makes it somewhat ambiguous whether the steps described in previous paragraphs apply to the Ofgem licence fee costs.  For example, do they form part of the “Expensed proportions”?  We believe the intention is that they should.</w:t>
            </w:r>
          </w:p>
          <w:p w14:paraId="3517CDDE"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We believe it would be a clearer presentation in include the qualifying detail of the new paragraph 11A within the table of Allocation Rules included in paragraph 6.  This might look as below:</w:t>
            </w:r>
          </w:p>
          <w:tbl>
            <w:tblPr>
              <w:tblW w:w="8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3"/>
              <w:gridCol w:w="2213"/>
              <w:gridCol w:w="2214"/>
              <w:gridCol w:w="2214"/>
            </w:tblGrid>
            <w:tr w:rsidR="009F31B0" w:rsidRPr="009F31B0" w14:paraId="3543AB38" w14:textId="77777777" w:rsidTr="00D72618">
              <w:tc>
                <w:tcPr>
                  <w:tcW w:w="2213" w:type="dxa"/>
                  <w:tcBorders>
                    <w:top w:val="nil"/>
                    <w:left w:val="dashed" w:sz="4" w:space="0" w:color="auto"/>
                    <w:right w:val="dashed" w:sz="4" w:space="0" w:color="auto"/>
                  </w:tcBorders>
                </w:tcPr>
                <w:p w14:paraId="6D41820E" w14:textId="77777777" w:rsidR="009F31B0" w:rsidRPr="009F31B0" w:rsidRDefault="009F31B0" w:rsidP="009F31B0">
                  <w:pPr>
                    <w:pStyle w:val="BodyText"/>
                    <w:spacing w:line="240" w:lineRule="auto"/>
                    <w:rPr>
                      <w:rFonts w:ascii="Verdana" w:hAnsi="Verdana"/>
                      <w:sz w:val="20"/>
                      <w:szCs w:val="20"/>
                    </w:rPr>
                  </w:pPr>
                </w:p>
              </w:tc>
              <w:tc>
                <w:tcPr>
                  <w:tcW w:w="2213" w:type="dxa"/>
                  <w:tcBorders>
                    <w:top w:val="nil"/>
                    <w:left w:val="dashed" w:sz="4" w:space="0" w:color="auto"/>
                    <w:right w:val="dashed" w:sz="4" w:space="0" w:color="auto"/>
                  </w:tcBorders>
                </w:tcPr>
                <w:p w14:paraId="05274D13" w14:textId="77777777" w:rsidR="009F31B0" w:rsidRPr="009F31B0" w:rsidRDefault="009F31B0" w:rsidP="009F31B0">
                  <w:pPr>
                    <w:pStyle w:val="BodyText"/>
                    <w:spacing w:line="240" w:lineRule="auto"/>
                    <w:rPr>
                      <w:rFonts w:ascii="Verdana" w:hAnsi="Verdana"/>
                      <w:sz w:val="20"/>
                      <w:szCs w:val="20"/>
                    </w:rPr>
                  </w:pPr>
                </w:p>
              </w:tc>
              <w:tc>
                <w:tcPr>
                  <w:tcW w:w="2214" w:type="dxa"/>
                  <w:tcBorders>
                    <w:top w:val="nil"/>
                    <w:left w:val="dashed" w:sz="4" w:space="0" w:color="auto"/>
                    <w:right w:val="dashed" w:sz="4" w:space="0" w:color="auto"/>
                  </w:tcBorders>
                </w:tcPr>
                <w:p w14:paraId="4FC47A4A" w14:textId="77777777" w:rsidR="009F31B0" w:rsidRPr="009F31B0" w:rsidRDefault="009F31B0" w:rsidP="009F31B0">
                  <w:pPr>
                    <w:pStyle w:val="BodyText"/>
                    <w:spacing w:line="240" w:lineRule="auto"/>
                    <w:rPr>
                      <w:rFonts w:ascii="Verdana" w:hAnsi="Verdana"/>
                      <w:sz w:val="20"/>
                      <w:szCs w:val="20"/>
                    </w:rPr>
                  </w:pPr>
                </w:p>
              </w:tc>
              <w:tc>
                <w:tcPr>
                  <w:tcW w:w="2214" w:type="dxa"/>
                  <w:tcBorders>
                    <w:top w:val="nil"/>
                    <w:left w:val="dashed" w:sz="4" w:space="0" w:color="auto"/>
                    <w:right w:val="dashed" w:sz="4" w:space="0" w:color="auto"/>
                  </w:tcBorders>
                </w:tcPr>
                <w:p w14:paraId="3F943F0D" w14:textId="77777777" w:rsidR="009F31B0" w:rsidRPr="009F31B0" w:rsidRDefault="009F31B0" w:rsidP="009F31B0">
                  <w:pPr>
                    <w:pStyle w:val="BodyText"/>
                    <w:spacing w:line="240" w:lineRule="auto"/>
                    <w:rPr>
                      <w:rFonts w:ascii="Verdana" w:hAnsi="Verdana"/>
                      <w:sz w:val="20"/>
                      <w:szCs w:val="20"/>
                    </w:rPr>
                  </w:pPr>
                </w:p>
              </w:tc>
            </w:tr>
            <w:tr w:rsidR="009F31B0" w:rsidRPr="009F31B0" w14:paraId="60B8FD05" w14:textId="77777777" w:rsidTr="00D72618">
              <w:tc>
                <w:tcPr>
                  <w:tcW w:w="2213" w:type="dxa"/>
                </w:tcPr>
                <w:p w14:paraId="000C407D" w14:textId="77777777" w:rsidR="009F31B0" w:rsidRPr="009F31B0" w:rsidRDefault="009F31B0" w:rsidP="009F31B0">
                  <w:pPr>
                    <w:pStyle w:val="BodyText"/>
                    <w:rPr>
                      <w:rFonts w:ascii="Verdana" w:hAnsi="Verdana"/>
                      <w:b/>
                      <w:color w:val="FF0000"/>
                      <w:sz w:val="20"/>
                      <w:szCs w:val="20"/>
                    </w:rPr>
                  </w:pPr>
                  <w:r w:rsidRPr="009F31B0">
                    <w:rPr>
                      <w:rFonts w:ascii="Verdana" w:hAnsi="Verdana"/>
                      <w:b/>
                      <w:color w:val="FF0000"/>
                      <w:sz w:val="20"/>
                      <w:szCs w:val="20"/>
                    </w:rPr>
                    <w:t>Ofgem Licence Fees (from table 2.6 of the 2007/2008 RRP, described as “Ofgem licence fees”)</w:t>
                  </w:r>
                </w:p>
              </w:tc>
              <w:tc>
                <w:tcPr>
                  <w:tcW w:w="2213" w:type="dxa"/>
                </w:tcPr>
                <w:p w14:paraId="7112B746" w14:textId="77777777" w:rsidR="009F31B0" w:rsidRPr="009F31B0" w:rsidRDefault="009F31B0" w:rsidP="009F31B0">
                  <w:pPr>
                    <w:pStyle w:val="BodyText"/>
                    <w:rPr>
                      <w:rFonts w:ascii="Verdana" w:hAnsi="Verdana"/>
                      <w:b/>
                      <w:color w:val="FF0000"/>
                      <w:sz w:val="20"/>
                      <w:szCs w:val="20"/>
                    </w:rPr>
                  </w:pPr>
                  <w:r w:rsidRPr="009F31B0">
                    <w:rPr>
                      <w:rFonts w:ascii="Verdana" w:hAnsi="Verdana"/>
                      <w:b/>
                      <w:color w:val="FF0000"/>
                      <w:sz w:val="20"/>
                      <w:szCs w:val="20"/>
                    </w:rPr>
                    <w:t>LV Only</w:t>
                  </w:r>
                </w:p>
              </w:tc>
              <w:tc>
                <w:tcPr>
                  <w:tcW w:w="2214" w:type="dxa"/>
                </w:tcPr>
                <w:p w14:paraId="760DFDA7" w14:textId="77777777" w:rsidR="009F31B0" w:rsidRPr="009F31B0" w:rsidRDefault="009F31B0" w:rsidP="009F31B0">
                  <w:pPr>
                    <w:pStyle w:val="BodyText"/>
                    <w:rPr>
                      <w:rFonts w:ascii="Verdana" w:hAnsi="Verdana"/>
                      <w:sz w:val="20"/>
                      <w:szCs w:val="20"/>
                    </w:rPr>
                  </w:pPr>
                </w:p>
              </w:tc>
              <w:tc>
                <w:tcPr>
                  <w:tcW w:w="2214" w:type="dxa"/>
                </w:tcPr>
                <w:p w14:paraId="11C8D5A6" w14:textId="77777777" w:rsidR="009F31B0" w:rsidRPr="009F31B0" w:rsidRDefault="009F31B0" w:rsidP="009F31B0">
                  <w:pPr>
                    <w:pStyle w:val="BodyText"/>
                    <w:rPr>
                      <w:rFonts w:ascii="Verdana" w:hAnsi="Verdana"/>
                      <w:sz w:val="20"/>
                      <w:szCs w:val="20"/>
                    </w:rPr>
                  </w:pPr>
                </w:p>
              </w:tc>
            </w:tr>
            <w:tr w:rsidR="009F31B0" w:rsidRPr="009F31B0" w14:paraId="003A31E0" w14:textId="77777777" w:rsidTr="00D72618">
              <w:tc>
                <w:tcPr>
                  <w:tcW w:w="2213" w:type="dxa"/>
                </w:tcPr>
                <w:p w14:paraId="33CFA01A" w14:textId="77777777" w:rsidR="009F31B0" w:rsidRPr="009F31B0" w:rsidRDefault="009F31B0" w:rsidP="009F31B0">
                  <w:pPr>
                    <w:pStyle w:val="BodyText"/>
                    <w:rPr>
                      <w:rFonts w:ascii="Verdana" w:hAnsi="Verdana"/>
                      <w:b/>
                      <w:color w:val="FF0000"/>
                      <w:sz w:val="20"/>
                      <w:szCs w:val="20"/>
                    </w:rPr>
                  </w:pPr>
                  <w:proofErr w:type="gramStart"/>
                  <w:r w:rsidRPr="009F31B0">
                    <w:rPr>
                      <w:rFonts w:ascii="Verdana" w:hAnsi="Verdana"/>
                      <w:b/>
                      <w:color w:val="FF0000"/>
                      <w:sz w:val="20"/>
                      <w:szCs w:val="20"/>
                    </w:rPr>
                    <w:t>Non activity</w:t>
                  </w:r>
                  <w:proofErr w:type="gramEnd"/>
                  <w:r w:rsidRPr="009F31B0">
                    <w:rPr>
                      <w:rFonts w:ascii="Verdana" w:hAnsi="Verdana"/>
                      <w:b/>
                      <w:color w:val="FF0000"/>
                      <w:sz w:val="20"/>
                      <w:szCs w:val="20"/>
                    </w:rPr>
                    <w:t xml:space="preserve"> costs and reconciling amounts (excluding “Ofgem Licence Fees”)</w:t>
                  </w:r>
                </w:p>
              </w:tc>
              <w:tc>
                <w:tcPr>
                  <w:tcW w:w="2213" w:type="dxa"/>
                </w:tcPr>
                <w:p w14:paraId="3F3DE5E1" w14:textId="77777777" w:rsidR="009F31B0" w:rsidRPr="009F31B0" w:rsidRDefault="009F31B0" w:rsidP="009F31B0">
                  <w:pPr>
                    <w:pStyle w:val="BodyText"/>
                    <w:rPr>
                      <w:rFonts w:ascii="Verdana" w:hAnsi="Verdana"/>
                      <w:b/>
                      <w:color w:val="FF0000"/>
                      <w:sz w:val="20"/>
                      <w:szCs w:val="20"/>
                    </w:rPr>
                  </w:pPr>
                  <w:r w:rsidRPr="009F31B0">
                    <w:rPr>
                      <w:rFonts w:ascii="Verdana" w:hAnsi="Verdana"/>
                      <w:b/>
                      <w:color w:val="FF0000"/>
                      <w:sz w:val="20"/>
                      <w:szCs w:val="20"/>
                    </w:rPr>
                    <w:t>Do not allocate</w:t>
                  </w:r>
                </w:p>
              </w:tc>
              <w:tc>
                <w:tcPr>
                  <w:tcW w:w="2214" w:type="dxa"/>
                </w:tcPr>
                <w:p w14:paraId="44A8B9D0" w14:textId="77777777" w:rsidR="009F31B0" w:rsidRPr="009F31B0" w:rsidRDefault="009F31B0" w:rsidP="009F31B0">
                  <w:pPr>
                    <w:pStyle w:val="BodyText"/>
                    <w:rPr>
                      <w:rFonts w:ascii="Verdana" w:hAnsi="Verdana"/>
                      <w:b/>
                      <w:color w:val="FF0000"/>
                      <w:sz w:val="20"/>
                      <w:szCs w:val="20"/>
                    </w:rPr>
                  </w:pPr>
                </w:p>
              </w:tc>
              <w:tc>
                <w:tcPr>
                  <w:tcW w:w="2214" w:type="dxa"/>
                </w:tcPr>
                <w:p w14:paraId="17ED2892" w14:textId="77777777" w:rsidR="009F31B0" w:rsidRPr="009F31B0" w:rsidRDefault="009F31B0" w:rsidP="009F31B0">
                  <w:pPr>
                    <w:pStyle w:val="BodyText"/>
                    <w:rPr>
                      <w:rFonts w:ascii="Verdana" w:hAnsi="Verdana"/>
                      <w:b/>
                      <w:color w:val="FF0000"/>
                      <w:sz w:val="20"/>
                      <w:szCs w:val="20"/>
                    </w:rPr>
                  </w:pPr>
                  <w:r w:rsidRPr="009F31B0">
                    <w:rPr>
                      <w:rFonts w:ascii="Verdana" w:hAnsi="Verdana"/>
                      <w:b/>
                      <w:color w:val="FF0000"/>
                      <w:sz w:val="20"/>
                      <w:szCs w:val="20"/>
                    </w:rPr>
                    <w:t>1</w:t>
                  </w:r>
                </w:p>
              </w:tc>
            </w:tr>
          </w:tbl>
          <w:p w14:paraId="539800C4" w14:textId="77777777" w:rsidR="009F31B0" w:rsidRPr="009F31B0" w:rsidRDefault="009F31B0" w:rsidP="009F31B0">
            <w:pPr>
              <w:pStyle w:val="BodyText"/>
              <w:rPr>
                <w:rFonts w:ascii="Verdana" w:hAnsi="Verdana"/>
                <w:sz w:val="20"/>
                <w:szCs w:val="20"/>
              </w:rPr>
            </w:pPr>
          </w:p>
          <w:p w14:paraId="0962475C"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The “LV only” allocation key would then need to be described in a paragraph as below.</w:t>
            </w:r>
          </w:p>
          <w:p w14:paraId="1A58425B" w14:textId="77777777" w:rsidR="009F31B0" w:rsidRPr="009F31B0" w:rsidRDefault="009F31B0" w:rsidP="009F31B0">
            <w:pPr>
              <w:pStyle w:val="BodyText"/>
              <w:rPr>
                <w:rFonts w:ascii="Verdana" w:hAnsi="Verdana"/>
                <w:b/>
                <w:color w:val="FF0000"/>
                <w:sz w:val="20"/>
                <w:szCs w:val="20"/>
              </w:rPr>
            </w:pPr>
            <w:r w:rsidRPr="009F31B0">
              <w:rPr>
                <w:rFonts w:ascii="Verdana" w:hAnsi="Verdana"/>
                <w:b/>
                <w:color w:val="FF0000"/>
                <w:sz w:val="20"/>
                <w:szCs w:val="20"/>
              </w:rPr>
              <w:t>New para between 9 &amp; 10: For the categories of expenditure for which the table reports “LV only” under “the column “Allocation key”, the DNO Party allocates 100% of the cost to the LV Services level.</w:t>
            </w:r>
          </w:p>
          <w:p w14:paraId="46F65DCC" w14:textId="77777777" w:rsidR="009F31B0" w:rsidRPr="009F31B0" w:rsidRDefault="009F31B0" w:rsidP="009F31B0">
            <w:pPr>
              <w:pStyle w:val="BodyTextNoSpacing"/>
              <w:rPr>
                <w:szCs w:val="20"/>
              </w:rPr>
            </w:pPr>
            <w:r w:rsidRPr="009F31B0">
              <w:rPr>
                <w:i/>
                <w:szCs w:val="20"/>
              </w:rPr>
              <w:t>Note: I have selected the term “LV Only” as this term is supported by the existing PCDM spreadsheet.  I believe the effect of the “LV Only” allocation key in the spreadsheet is that the costs are allocated 100% to LV Services.</w:t>
            </w:r>
          </w:p>
        </w:tc>
      </w:tr>
      <w:tr w:rsidR="009F31B0" w:rsidRPr="009F31B0" w14:paraId="63E8360E" w14:textId="77777777" w:rsidTr="009F31B0">
        <w:tc>
          <w:tcPr>
            <w:tcW w:w="1701" w:type="dxa"/>
          </w:tcPr>
          <w:p w14:paraId="68952416" w14:textId="77777777" w:rsidR="009F31B0" w:rsidRPr="009F31B0" w:rsidRDefault="009F31B0" w:rsidP="009F31B0">
            <w:pPr>
              <w:pStyle w:val="BodyTextNoSpacing"/>
              <w:rPr>
                <w:szCs w:val="20"/>
              </w:rPr>
            </w:pPr>
            <w:r w:rsidRPr="009F31B0">
              <w:rPr>
                <w:szCs w:val="20"/>
              </w:rPr>
              <w:lastRenderedPageBreak/>
              <w:t>ESP Electricity (‘ESPE’)</w:t>
            </w:r>
          </w:p>
        </w:tc>
        <w:tc>
          <w:tcPr>
            <w:tcW w:w="1871" w:type="dxa"/>
          </w:tcPr>
          <w:p w14:paraId="3C964A51" w14:textId="77777777" w:rsidR="009F31B0" w:rsidRPr="009F31B0" w:rsidRDefault="009F31B0" w:rsidP="009F31B0">
            <w:pPr>
              <w:pStyle w:val="BodyTextNoSpacing"/>
              <w:rPr>
                <w:szCs w:val="20"/>
              </w:rPr>
            </w:pPr>
            <w:r w:rsidRPr="009F31B0">
              <w:rPr>
                <w:szCs w:val="20"/>
              </w:rPr>
              <w:t>Non-confidential</w:t>
            </w:r>
          </w:p>
        </w:tc>
        <w:tc>
          <w:tcPr>
            <w:tcW w:w="10431" w:type="dxa"/>
          </w:tcPr>
          <w:p w14:paraId="6CADD599"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 xml:space="preserve">ESPE agrees in principle with the proposed legal text. However, we would make the recommendation to amend “Ofgem Licence Fees” in the proposed legal text to “Ofgem Licence Fee”, as it appears in table 2.6 of the Regulatory Reporting Pack. </w:t>
            </w:r>
          </w:p>
        </w:tc>
      </w:tr>
      <w:tr w:rsidR="009F31B0" w:rsidRPr="009F31B0" w14:paraId="3646303B" w14:textId="77777777" w:rsidTr="009F31B0">
        <w:tc>
          <w:tcPr>
            <w:tcW w:w="1701" w:type="dxa"/>
          </w:tcPr>
          <w:p w14:paraId="5E6EB171" w14:textId="77777777" w:rsidR="009F31B0" w:rsidRPr="009F31B0" w:rsidRDefault="009F31B0" w:rsidP="009F31B0">
            <w:pPr>
              <w:pStyle w:val="BodyTextNoSpacing"/>
              <w:rPr>
                <w:szCs w:val="20"/>
              </w:rPr>
            </w:pPr>
            <w:r w:rsidRPr="009F31B0">
              <w:rPr>
                <w:szCs w:val="20"/>
              </w:rPr>
              <w:t>Leep Electricity Networks Limited</w:t>
            </w:r>
          </w:p>
        </w:tc>
        <w:tc>
          <w:tcPr>
            <w:tcW w:w="1871" w:type="dxa"/>
          </w:tcPr>
          <w:p w14:paraId="579A2DA4" w14:textId="77777777" w:rsidR="009F31B0" w:rsidRPr="009F31B0" w:rsidRDefault="009F31B0" w:rsidP="009F31B0">
            <w:pPr>
              <w:pStyle w:val="BodyTextNoSpacing"/>
              <w:rPr>
                <w:szCs w:val="20"/>
              </w:rPr>
            </w:pPr>
            <w:r w:rsidRPr="009F31B0">
              <w:rPr>
                <w:szCs w:val="20"/>
              </w:rPr>
              <w:t>Non-confidential</w:t>
            </w:r>
          </w:p>
        </w:tc>
        <w:tc>
          <w:tcPr>
            <w:tcW w:w="10431" w:type="dxa"/>
          </w:tcPr>
          <w:p w14:paraId="50D5D481"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No</w:t>
            </w:r>
          </w:p>
        </w:tc>
      </w:tr>
      <w:tr w:rsidR="009F31B0" w:rsidRPr="009F31B0" w14:paraId="63CE5C79" w14:textId="77777777" w:rsidTr="009F31B0">
        <w:tc>
          <w:tcPr>
            <w:tcW w:w="1701" w:type="dxa"/>
          </w:tcPr>
          <w:p w14:paraId="3DB51955" w14:textId="77777777" w:rsidR="009F31B0" w:rsidRPr="009F31B0" w:rsidRDefault="009F31B0" w:rsidP="009F31B0">
            <w:pPr>
              <w:pStyle w:val="BodyTextNoSpacing"/>
              <w:rPr>
                <w:szCs w:val="20"/>
              </w:rPr>
            </w:pPr>
            <w:r w:rsidRPr="009F31B0">
              <w:rPr>
                <w:szCs w:val="20"/>
              </w:rPr>
              <w:t>Northern Powergrid (Northeast) Limited and Northern Powergrid (Yorkshire) plc</w:t>
            </w:r>
          </w:p>
        </w:tc>
        <w:tc>
          <w:tcPr>
            <w:tcW w:w="1871" w:type="dxa"/>
          </w:tcPr>
          <w:p w14:paraId="679999CF" w14:textId="77777777" w:rsidR="009F31B0" w:rsidRPr="009F31B0" w:rsidRDefault="009F31B0" w:rsidP="009F31B0">
            <w:pPr>
              <w:pStyle w:val="BodyTextNoSpacing"/>
              <w:rPr>
                <w:szCs w:val="20"/>
              </w:rPr>
            </w:pPr>
            <w:r w:rsidRPr="009F31B0">
              <w:rPr>
                <w:szCs w:val="20"/>
              </w:rPr>
              <w:t>Non-confidential</w:t>
            </w:r>
          </w:p>
        </w:tc>
        <w:tc>
          <w:tcPr>
            <w:tcW w:w="10431" w:type="dxa"/>
          </w:tcPr>
          <w:p w14:paraId="0AAE826E"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No.</w:t>
            </w:r>
          </w:p>
        </w:tc>
      </w:tr>
      <w:tr w:rsidR="00D169F1" w:rsidRPr="009F31B0" w14:paraId="016C35E7" w14:textId="77777777" w:rsidTr="009F31B0">
        <w:tc>
          <w:tcPr>
            <w:tcW w:w="1701" w:type="dxa"/>
          </w:tcPr>
          <w:p w14:paraId="197C1359" w14:textId="0F05F152" w:rsidR="00D169F1" w:rsidRPr="009F31B0" w:rsidRDefault="00D169F1" w:rsidP="009F31B0">
            <w:pPr>
              <w:pStyle w:val="BodyTextNoSpacing"/>
              <w:rPr>
                <w:szCs w:val="20"/>
              </w:rPr>
            </w:pPr>
            <w:r>
              <w:t>Scottish Hydro Electric Power Distribution plc and Southern Electric Power Distribution plc</w:t>
            </w:r>
          </w:p>
        </w:tc>
        <w:tc>
          <w:tcPr>
            <w:tcW w:w="1871" w:type="dxa"/>
          </w:tcPr>
          <w:p w14:paraId="47FEEE69" w14:textId="4E384A9C" w:rsidR="00D169F1" w:rsidRPr="009F31B0" w:rsidRDefault="00D169F1" w:rsidP="009F31B0">
            <w:pPr>
              <w:pStyle w:val="BodyTextNoSpacing"/>
              <w:rPr>
                <w:szCs w:val="20"/>
              </w:rPr>
            </w:pPr>
            <w:r w:rsidRPr="009F31B0">
              <w:rPr>
                <w:szCs w:val="20"/>
              </w:rPr>
              <w:t>Non-confidential</w:t>
            </w:r>
          </w:p>
        </w:tc>
        <w:tc>
          <w:tcPr>
            <w:tcW w:w="10431" w:type="dxa"/>
          </w:tcPr>
          <w:p w14:paraId="1A0D0B03" w14:textId="52EF41E7" w:rsidR="00D169F1" w:rsidRPr="00D169F1" w:rsidRDefault="00D169F1" w:rsidP="009F31B0">
            <w:pPr>
              <w:pStyle w:val="BodyText"/>
              <w:rPr>
                <w:rFonts w:ascii="Verdana" w:hAnsi="Verdana"/>
                <w:sz w:val="20"/>
                <w:szCs w:val="20"/>
                <w:lang w:val="en-GB"/>
              </w:rPr>
            </w:pPr>
            <w:r>
              <w:rPr>
                <w:rFonts w:ascii="Verdana" w:hAnsi="Verdana"/>
                <w:sz w:val="20"/>
                <w:szCs w:val="20"/>
                <w:lang w:val="en-GB"/>
              </w:rPr>
              <w:t>No further comment.</w:t>
            </w:r>
          </w:p>
        </w:tc>
      </w:tr>
      <w:tr w:rsidR="009F31B0" w:rsidRPr="009F31B0" w14:paraId="1392E861" w14:textId="77777777" w:rsidTr="009F31B0">
        <w:tc>
          <w:tcPr>
            <w:tcW w:w="1701" w:type="dxa"/>
          </w:tcPr>
          <w:p w14:paraId="7EBE75BB" w14:textId="77777777" w:rsidR="009F31B0" w:rsidRPr="009F31B0" w:rsidRDefault="009F31B0" w:rsidP="009F31B0">
            <w:pPr>
              <w:pStyle w:val="BodyTextNoSpacing"/>
              <w:rPr>
                <w:szCs w:val="20"/>
              </w:rPr>
            </w:pPr>
            <w:r w:rsidRPr="009F31B0">
              <w:rPr>
                <w:szCs w:val="20"/>
              </w:rPr>
              <w:t>SP Distribution &amp; SP Manweb</w:t>
            </w:r>
          </w:p>
        </w:tc>
        <w:tc>
          <w:tcPr>
            <w:tcW w:w="1871" w:type="dxa"/>
          </w:tcPr>
          <w:p w14:paraId="6BB776B9" w14:textId="77777777" w:rsidR="009F31B0" w:rsidRPr="009F31B0" w:rsidRDefault="009F31B0" w:rsidP="009F31B0">
            <w:pPr>
              <w:pStyle w:val="BodyTextNoSpacing"/>
              <w:rPr>
                <w:szCs w:val="20"/>
              </w:rPr>
            </w:pPr>
            <w:r w:rsidRPr="009F31B0">
              <w:rPr>
                <w:szCs w:val="20"/>
              </w:rPr>
              <w:t>Non-confidential</w:t>
            </w:r>
          </w:p>
        </w:tc>
        <w:tc>
          <w:tcPr>
            <w:tcW w:w="10431" w:type="dxa"/>
          </w:tcPr>
          <w:p w14:paraId="785297B5"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No</w:t>
            </w:r>
          </w:p>
        </w:tc>
      </w:tr>
      <w:tr w:rsidR="009F31B0" w:rsidRPr="009F31B0" w14:paraId="26E77069" w14:textId="77777777" w:rsidTr="009F31B0">
        <w:tc>
          <w:tcPr>
            <w:tcW w:w="1701" w:type="dxa"/>
          </w:tcPr>
          <w:p w14:paraId="05E97AD4" w14:textId="77777777" w:rsidR="009F31B0" w:rsidRPr="009F31B0" w:rsidRDefault="009F31B0" w:rsidP="009F31B0">
            <w:pPr>
              <w:pStyle w:val="BodyTextNoSpacing"/>
              <w:rPr>
                <w:szCs w:val="20"/>
              </w:rPr>
            </w:pPr>
            <w:r w:rsidRPr="009F31B0">
              <w:rPr>
                <w:szCs w:val="20"/>
              </w:rPr>
              <w:t>The Electricity Network Company Ltd</w:t>
            </w:r>
          </w:p>
        </w:tc>
        <w:tc>
          <w:tcPr>
            <w:tcW w:w="1871" w:type="dxa"/>
          </w:tcPr>
          <w:p w14:paraId="6919C339" w14:textId="77777777" w:rsidR="009F31B0" w:rsidRPr="009F31B0" w:rsidRDefault="009F31B0" w:rsidP="009F31B0">
            <w:pPr>
              <w:pStyle w:val="BodyTextNoSpacing"/>
              <w:rPr>
                <w:szCs w:val="20"/>
              </w:rPr>
            </w:pPr>
            <w:r w:rsidRPr="009F31B0">
              <w:rPr>
                <w:szCs w:val="20"/>
              </w:rPr>
              <w:t>Non-confidential</w:t>
            </w:r>
          </w:p>
        </w:tc>
        <w:tc>
          <w:tcPr>
            <w:tcW w:w="10431" w:type="dxa"/>
          </w:tcPr>
          <w:p w14:paraId="1C6341FE" w14:textId="77777777" w:rsidR="009F31B0" w:rsidRPr="009F31B0" w:rsidRDefault="009F31B0" w:rsidP="009F31B0">
            <w:pPr>
              <w:pStyle w:val="BodyTextNoSpacing"/>
              <w:rPr>
                <w:szCs w:val="20"/>
              </w:rPr>
            </w:pPr>
            <w:r w:rsidRPr="009F31B0">
              <w:rPr>
                <w:szCs w:val="20"/>
              </w:rPr>
              <w:t>We believe that the legal text meets the intent of DCP 306.</w:t>
            </w:r>
          </w:p>
        </w:tc>
      </w:tr>
      <w:tr w:rsidR="009F31B0" w:rsidRPr="009F31B0" w14:paraId="5C775F91" w14:textId="77777777" w:rsidTr="009F31B0">
        <w:tc>
          <w:tcPr>
            <w:tcW w:w="1701" w:type="dxa"/>
          </w:tcPr>
          <w:p w14:paraId="17D03C65" w14:textId="77777777" w:rsidR="009F31B0" w:rsidRPr="009F31B0" w:rsidRDefault="009F31B0" w:rsidP="009F31B0">
            <w:pPr>
              <w:pStyle w:val="BodyTextNoSpacing"/>
              <w:rPr>
                <w:szCs w:val="20"/>
              </w:rPr>
            </w:pPr>
            <w:r w:rsidRPr="009F31B0">
              <w:rPr>
                <w:szCs w:val="20"/>
              </w:rPr>
              <w:lastRenderedPageBreak/>
              <w:t>UK Power Networks</w:t>
            </w:r>
          </w:p>
        </w:tc>
        <w:tc>
          <w:tcPr>
            <w:tcW w:w="1871" w:type="dxa"/>
          </w:tcPr>
          <w:p w14:paraId="2AA9B6C6" w14:textId="77777777" w:rsidR="009F31B0" w:rsidRPr="009F31B0" w:rsidRDefault="009F31B0" w:rsidP="009F31B0">
            <w:pPr>
              <w:pStyle w:val="BodyTextNoSpacing"/>
              <w:rPr>
                <w:szCs w:val="20"/>
              </w:rPr>
            </w:pPr>
            <w:r w:rsidRPr="009F31B0">
              <w:rPr>
                <w:szCs w:val="20"/>
              </w:rPr>
              <w:t>Non-confidential</w:t>
            </w:r>
          </w:p>
        </w:tc>
        <w:tc>
          <w:tcPr>
            <w:tcW w:w="10431" w:type="dxa"/>
          </w:tcPr>
          <w:p w14:paraId="4BD599BA"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No, we are comfortable with the changes as drafted.</w:t>
            </w:r>
          </w:p>
        </w:tc>
      </w:tr>
      <w:bookmarkEnd w:id="1"/>
    </w:tbl>
    <w:p w14:paraId="4E2A9479" w14:textId="77777777" w:rsidR="009F31B0" w:rsidRPr="009F31B0" w:rsidRDefault="009F31B0">
      <w:pPr>
        <w:rPr>
          <w:rFonts w:ascii="Verdana" w:hAnsi="Verdana"/>
          <w:sz w:val="20"/>
          <w:szCs w:val="20"/>
        </w:rPr>
      </w:pPr>
    </w:p>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9F31B0" w:rsidRPr="009F31B0" w14:paraId="6C7EA82E" w14:textId="77777777" w:rsidTr="009F31B0">
        <w:trPr>
          <w:cnfStyle w:val="100000000000" w:firstRow="1" w:lastRow="0" w:firstColumn="0" w:lastColumn="0" w:oddVBand="0" w:evenVBand="0" w:oddHBand="0" w:evenHBand="0" w:firstRowFirstColumn="0" w:firstRowLastColumn="0" w:lastRowFirstColumn="0" w:lastRowLastColumn="0"/>
        </w:trPr>
        <w:tc>
          <w:tcPr>
            <w:tcW w:w="1701" w:type="dxa"/>
          </w:tcPr>
          <w:p w14:paraId="345FBAC6" w14:textId="77777777" w:rsidR="009F31B0" w:rsidRPr="009F31B0" w:rsidRDefault="009F31B0" w:rsidP="009F31B0">
            <w:pPr>
              <w:pStyle w:val="ColumnHeading"/>
              <w:rPr>
                <w:szCs w:val="20"/>
              </w:rPr>
            </w:pPr>
            <w:bookmarkStart w:id="2" w:name="dcusa_response3"/>
            <w:r w:rsidRPr="009F31B0">
              <w:rPr>
                <w:szCs w:val="20"/>
              </w:rPr>
              <w:t>Company</w:t>
            </w:r>
          </w:p>
        </w:tc>
        <w:tc>
          <w:tcPr>
            <w:tcW w:w="1871" w:type="dxa"/>
          </w:tcPr>
          <w:p w14:paraId="578D0B1B" w14:textId="77777777" w:rsidR="009F31B0" w:rsidRPr="009F31B0" w:rsidRDefault="009F31B0" w:rsidP="009F31B0">
            <w:pPr>
              <w:pStyle w:val="ColumnHeading"/>
              <w:rPr>
                <w:szCs w:val="20"/>
              </w:rPr>
            </w:pPr>
            <w:r w:rsidRPr="009F31B0">
              <w:rPr>
                <w:szCs w:val="20"/>
              </w:rPr>
              <w:t>Confidential/</w:t>
            </w:r>
          </w:p>
          <w:p w14:paraId="58EFE818" w14:textId="77777777" w:rsidR="009F31B0" w:rsidRPr="009F31B0" w:rsidRDefault="009F31B0" w:rsidP="009F31B0">
            <w:pPr>
              <w:pStyle w:val="ColumnHeading"/>
              <w:rPr>
                <w:szCs w:val="20"/>
              </w:rPr>
            </w:pPr>
            <w:r w:rsidRPr="009F31B0">
              <w:rPr>
                <w:szCs w:val="20"/>
              </w:rPr>
              <w:t>Anonymous</w:t>
            </w:r>
          </w:p>
        </w:tc>
        <w:tc>
          <w:tcPr>
            <w:tcW w:w="10431" w:type="dxa"/>
          </w:tcPr>
          <w:p w14:paraId="06A7C008" w14:textId="224AA9AB" w:rsidR="009F31B0" w:rsidRPr="009F31B0" w:rsidRDefault="009F31B0" w:rsidP="009F31B0">
            <w:pPr>
              <w:pStyle w:val="Question"/>
              <w:numPr>
                <w:ilvl w:val="0"/>
                <w:numId w:val="4"/>
              </w:numPr>
              <w:rPr>
                <w:szCs w:val="20"/>
              </w:rPr>
            </w:pPr>
            <w:r w:rsidRPr="009F31B0">
              <w:rPr>
                <w:szCs w:val="20"/>
              </w:rPr>
              <w:t>Which of the DCUSA Charging Objectives are better facilitated by this change? Please provide your rationale.</w:t>
            </w:r>
          </w:p>
        </w:tc>
      </w:tr>
      <w:tr w:rsidR="009F31B0" w:rsidRPr="009F31B0" w14:paraId="518C9758" w14:textId="77777777" w:rsidTr="009F31B0">
        <w:tc>
          <w:tcPr>
            <w:tcW w:w="1701" w:type="dxa"/>
          </w:tcPr>
          <w:p w14:paraId="5206CC2B" w14:textId="77777777" w:rsidR="009F31B0" w:rsidRPr="009F31B0" w:rsidRDefault="009F31B0" w:rsidP="009F31B0">
            <w:pPr>
              <w:pStyle w:val="BodyTextNoSpacing"/>
              <w:rPr>
                <w:szCs w:val="20"/>
              </w:rPr>
            </w:pPr>
            <w:r w:rsidRPr="009F31B0">
              <w:rPr>
                <w:szCs w:val="20"/>
              </w:rPr>
              <w:t>Electricity North West Limited</w:t>
            </w:r>
          </w:p>
        </w:tc>
        <w:tc>
          <w:tcPr>
            <w:tcW w:w="1871" w:type="dxa"/>
          </w:tcPr>
          <w:p w14:paraId="69D37758" w14:textId="77777777" w:rsidR="009F31B0" w:rsidRPr="009F31B0" w:rsidRDefault="009F31B0" w:rsidP="009F31B0">
            <w:pPr>
              <w:pStyle w:val="BodyTextNoSpacing"/>
              <w:rPr>
                <w:szCs w:val="20"/>
              </w:rPr>
            </w:pPr>
            <w:r w:rsidRPr="009F31B0">
              <w:rPr>
                <w:szCs w:val="20"/>
              </w:rPr>
              <w:t>Non-confidential</w:t>
            </w:r>
          </w:p>
        </w:tc>
        <w:tc>
          <w:tcPr>
            <w:tcW w:w="10431" w:type="dxa"/>
          </w:tcPr>
          <w:p w14:paraId="7096501F" w14:textId="77777777" w:rsidR="009F31B0" w:rsidRPr="009F31B0" w:rsidRDefault="009F31B0" w:rsidP="009F31B0">
            <w:pPr>
              <w:pStyle w:val="BodyTextNoSpacing"/>
              <w:rPr>
                <w:szCs w:val="20"/>
              </w:rPr>
            </w:pPr>
            <w:r w:rsidRPr="009F31B0">
              <w:rPr>
                <w:szCs w:val="20"/>
              </w:rPr>
              <w:t>None as currently drafted.</w:t>
            </w:r>
          </w:p>
        </w:tc>
      </w:tr>
      <w:tr w:rsidR="009F31B0" w:rsidRPr="009F31B0" w14:paraId="7E5173B7" w14:textId="77777777" w:rsidTr="009F31B0">
        <w:tc>
          <w:tcPr>
            <w:tcW w:w="1701" w:type="dxa"/>
          </w:tcPr>
          <w:p w14:paraId="1996DBF8" w14:textId="77777777" w:rsidR="009F31B0" w:rsidRPr="009F31B0" w:rsidRDefault="009F31B0" w:rsidP="009F31B0">
            <w:pPr>
              <w:pStyle w:val="BodyTextNoSpacing"/>
              <w:rPr>
                <w:szCs w:val="20"/>
              </w:rPr>
            </w:pPr>
            <w:r w:rsidRPr="009F31B0">
              <w:rPr>
                <w:szCs w:val="20"/>
              </w:rPr>
              <w:t>ESP Electricity (‘ESPE’)</w:t>
            </w:r>
          </w:p>
        </w:tc>
        <w:tc>
          <w:tcPr>
            <w:tcW w:w="1871" w:type="dxa"/>
          </w:tcPr>
          <w:p w14:paraId="4B817A22" w14:textId="77777777" w:rsidR="009F31B0" w:rsidRPr="009F31B0" w:rsidRDefault="009F31B0" w:rsidP="009F31B0">
            <w:pPr>
              <w:pStyle w:val="BodyTextNoSpacing"/>
              <w:rPr>
                <w:szCs w:val="20"/>
              </w:rPr>
            </w:pPr>
            <w:r w:rsidRPr="009F31B0">
              <w:rPr>
                <w:szCs w:val="20"/>
              </w:rPr>
              <w:t>Non-confidential</w:t>
            </w:r>
          </w:p>
        </w:tc>
        <w:tc>
          <w:tcPr>
            <w:tcW w:w="10431" w:type="dxa"/>
          </w:tcPr>
          <w:p w14:paraId="4137374E" w14:textId="77777777" w:rsidR="009F31B0" w:rsidRPr="009F31B0" w:rsidRDefault="009F31B0" w:rsidP="009F31B0">
            <w:pPr>
              <w:pStyle w:val="BodyTextNoSpacing"/>
              <w:rPr>
                <w:szCs w:val="20"/>
              </w:rPr>
            </w:pPr>
            <w:r w:rsidRPr="009F31B0">
              <w:rPr>
                <w:szCs w:val="20"/>
              </w:rPr>
              <w:t xml:space="preserve">ESPE agrees with the proposer that DCUSA Charging Objective 3 is better facilitated by this change proposal. Whilst allocating the licence fees at each voltage level would be most cost reflective, we do not believe the incremental benefit of allocating at each voltage level will outweigh the added complexity given 99.8% of customers were forecasted to be connected at the LV network. The proposed change will improve cost reflectivity, and positively facilitate Charging Objective 3. </w:t>
            </w:r>
          </w:p>
        </w:tc>
      </w:tr>
      <w:tr w:rsidR="009F31B0" w:rsidRPr="009F31B0" w14:paraId="67798859" w14:textId="77777777" w:rsidTr="009F31B0">
        <w:tc>
          <w:tcPr>
            <w:tcW w:w="1701" w:type="dxa"/>
          </w:tcPr>
          <w:p w14:paraId="15D11F28" w14:textId="77777777" w:rsidR="009F31B0" w:rsidRPr="009F31B0" w:rsidRDefault="009F31B0" w:rsidP="009F31B0">
            <w:pPr>
              <w:pStyle w:val="BodyTextNoSpacing"/>
              <w:rPr>
                <w:szCs w:val="20"/>
              </w:rPr>
            </w:pPr>
            <w:r w:rsidRPr="009F31B0">
              <w:rPr>
                <w:szCs w:val="20"/>
              </w:rPr>
              <w:t>Leep Electricity Networks Limited</w:t>
            </w:r>
          </w:p>
        </w:tc>
        <w:tc>
          <w:tcPr>
            <w:tcW w:w="1871" w:type="dxa"/>
          </w:tcPr>
          <w:p w14:paraId="12A4F5C2" w14:textId="77777777" w:rsidR="009F31B0" w:rsidRPr="009F31B0" w:rsidRDefault="009F31B0" w:rsidP="009F31B0">
            <w:pPr>
              <w:pStyle w:val="BodyTextNoSpacing"/>
              <w:rPr>
                <w:szCs w:val="20"/>
              </w:rPr>
            </w:pPr>
            <w:r w:rsidRPr="009F31B0">
              <w:rPr>
                <w:szCs w:val="20"/>
              </w:rPr>
              <w:t>Non-confidential</w:t>
            </w:r>
          </w:p>
        </w:tc>
        <w:tc>
          <w:tcPr>
            <w:tcW w:w="10431" w:type="dxa"/>
          </w:tcPr>
          <w:p w14:paraId="5D74DE1B" w14:textId="77777777" w:rsidR="009F31B0" w:rsidRPr="009F31B0" w:rsidRDefault="009F31B0" w:rsidP="009F31B0">
            <w:pPr>
              <w:pStyle w:val="BodyTextNoSpacing"/>
              <w:rPr>
                <w:szCs w:val="20"/>
              </w:rPr>
            </w:pPr>
            <w:r w:rsidRPr="009F31B0">
              <w:rPr>
                <w:szCs w:val="20"/>
              </w:rPr>
              <w:t>Charging Objectives</w:t>
            </w:r>
          </w:p>
        </w:tc>
      </w:tr>
      <w:tr w:rsidR="009F31B0" w:rsidRPr="009F31B0" w14:paraId="35DA16FD" w14:textId="77777777" w:rsidTr="009F31B0">
        <w:tc>
          <w:tcPr>
            <w:tcW w:w="1701" w:type="dxa"/>
          </w:tcPr>
          <w:p w14:paraId="3C70B6AB" w14:textId="77777777" w:rsidR="009F31B0" w:rsidRPr="009F31B0" w:rsidRDefault="009F31B0" w:rsidP="009F31B0">
            <w:pPr>
              <w:pStyle w:val="BodyTextNoSpacing"/>
              <w:rPr>
                <w:szCs w:val="20"/>
              </w:rPr>
            </w:pPr>
            <w:r w:rsidRPr="009F31B0">
              <w:rPr>
                <w:szCs w:val="20"/>
              </w:rPr>
              <w:t>Northern Powergrid (Northeast) Limited and Northern Powergrid (Yorkshire) plc</w:t>
            </w:r>
          </w:p>
        </w:tc>
        <w:tc>
          <w:tcPr>
            <w:tcW w:w="1871" w:type="dxa"/>
          </w:tcPr>
          <w:p w14:paraId="4B1C8D05" w14:textId="77777777" w:rsidR="009F31B0" w:rsidRPr="009F31B0" w:rsidRDefault="009F31B0" w:rsidP="009F31B0">
            <w:pPr>
              <w:pStyle w:val="BodyTextNoSpacing"/>
              <w:rPr>
                <w:szCs w:val="20"/>
              </w:rPr>
            </w:pPr>
            <w:r w:rsidRPr="009F31B0">
              <w:rPr>
                <w:szCs w:val="20"/>
              </w:rPr>
              <w:t>Non-confidential</w:t>
            </w:r>
          </w:p>
        </w:tc>
        <w:tc>
          <w:tcPr>
            <w:tcW w:w="10431" w:type="dxa"/>
          </w:tcPr>
          <w:p w14:paraId="215ADCEC" w14:textId="77777777" w:rsidR="009F31B0" w:rsidRPr="009F31B0" w:rsidRDefault="009F31B0" w:rsidP="009F31B0">
            <w:pPr>
              <w:pStyle w:val="BodyTextNoSpacing"/>
              <w:rPr>
                <w:szCs w:val="20"/>
              </w:rPr>
            </w:pPr>
            <w:r w:rsidRPr="009F31B0">
              <w:rPr>
                <w:szCs w:val="20"/>
              </w:rPr>
              <w:t>Charging Objective 3, due to the increase in cost reflectivity specific to the recovery of licence fees.</w:t>
            </w:r>
          </w:p>
        </w:tc>
      </w:tr>
      <w:tr w:rsidR="00D169F1" w:rsidRPr="009F31B0" w14:paraId="6EAB985E" w14:textId="77777777" w:rsidTr="009F31B0">
        <w:tc>
          <w:tcPr>
            <w:tcW w:w="1701" w:type="dxa"/>
          </w:tcPr>
          <w:p w14:paraId="559C39A8" w14:textId="212B75EA" w:rsidR="00D169F1" w:rsidRPr="009F31B0" w:rsidRDefault="00D169F1" w:rsidP="009F31B0">
            <w:pPr>
              <w:pStyle w:val="BodyTextNoSpacing"/>
              <w:rPr>
                <w:szCs w:val="20"/>
              </w:rPr>
            </w:pPr>
            <w:r>
              <w:t xml:space="preserve">Scottish Hydro Electric Power Distribution plc and Southern </w:t>
            </w:r>
            <w:r>
              <w:lastRenderedPageBreak/>
              <w:t>Electric Power Distribution plc</w:t>
            </w:r>
          </w:p>
        </w:tc>
        <w:tc>
          <w:tcPr>
            <w:tcW w:w="1871" w:type="dxa"/>
          </w:tcPr>
          <w:p w14:paraId="655CBA38" w14:textId="6093134B" w:rsidR="00D169F1" w:rsidRPr="009F31B0" w:rsidRDefault="00D169F1" w:rsidP="009F31B0">
            <w:pPr>
              <w:pStyle w:val="BodyTextNoSpacing"/>
              <w:rPr>
                <w:szCs w:val="20"/>
              </w:rPr>
            </w:pPr>
            <w:r w:rsidRPr="009F31B0">
              <w:rPr>
                <w:szCs w:val="20"/>
              </w:rPr>
              <w:lastRenderedPageBreak/>
              <w:t>Non-confidential</w:t>
            </w:r>
          </w:p>
        </w:tc>
        <w:tc>
          <w:tcPr>
            <w:tcW w:w="10431" w:type="dxa"/>
          </w:tcPr>
          <w:p w14:paraId="3160EE88" w14:textId="00D2B9AE" w:rsidR="00D169F1" w:rsidRPr="00D169F1" w:rsidRDefault="00D169F1" w:rsidP="009F31B0">
            <w:pPr>
              <w:pStyle w:val="BodyTextNoSpacing"/>
              <w:rPr>
                <w:szCs w:val="20"/>
                <w:lang w:val="en-GB"/>
              </w:rPr>
            </w:pPr>
            <w:r>
              <w:rPr>
                <w:szCs w:val="20"/>
                <w:lang w:val="en-GB"/>
              </w:rPr>
              <w:t>This change is to better facilitate Charging Objective 3 – so that IDNOs charges more closely reflect their cost incurred.</w:t>
            </w:r>
          </w:p>
        </w:tc>
      </w:tr>
      <w:tr w:rsidR="009F31B0" w:rsidRPr="009F31B0" w14:paraId="060E28B9" w14:textId="77777777" w:rsidTr="009F31B0">
        <w:tc>
          <w:tcPr>
            <w:tcW w:w="1701" w:type="dxa"/>
          </w:tcPr>
          <w:p w14:paraId="0AB0A5CE" w14:textId="77777777" w:rsidR="009F31B0" w:rsidRPr="009F31B0" w:rsidRDefault="009F31B0" w:rsidP="009F31B0">
            <w:pPr>
              <w:pStyle w:val="BodyTextNoSpacing"/>
              <w:rPr>
                <w:szCs w:val="20"/>
              </w:rPr>
            </w:pPr>
            <w:r w:rsidRPr="009F31B0">
              <w:rPr>
                <w:szCs w:val="20"/>
              </w:rPr>
              <w:t>SP Distribution &amp; SP Manweb</w:t>
            </w:r>
          </w:p>
        </w:tc>
        <w:tc>
          <w:tcPr>
            <w:tcW w:w="1871" w:type="dxa"/>
          </w:tcPr>
          <w:p w14:paraId="35D584A9" w14:textId="77777777" w:rsidR="009F31B0" w:rsidRPr="009F31B0" w:rsidRDefault="009F31B0" w:rsidP="009F31B0">
            <w:pPr>
              <w:pStyle w:val="BodyTextNoSpacing"/>
              <w:rPr>
                <w:szCs w:val="20"/>
              </w:rPr>
            </w:pPr>
            <w:r w:rsidRPr="009F31B0">
              <w:rPr>
                <w:szCs w:val="20"/>
              </w:rPr>
              <w:t>Non-confidential</w:t>
            </w:r>
          </w:p>
        </w:tc>
        <w:tc>
          <w:tcPr>
            <w:tcW w:w="10431" w:type="dxa"/>
          </w:tcPr>
          <w:p w14:paraId="5B4F2368" w14:textId="77777777" w:rsidR="009F31B0" w:rsidRPr="009F31B0" w:rsidRDefault="009F31B0" w:rsidP="009F31B0">
            <w:pPr>
              <w:pStyle w:val="BodyTextNoSpacing"/>
              <w:rPr>
                <w:szCs w:val="20"/>
              </w:rPr>
            </w:pPr>
            <w:r w:rsidRPr="009F31B0">
              <w:rPr>
                <w:szCs w:val="20"/>
              </w:rPr>
              <w:t>Charging objective 3.</w:t>
            </w:r>
          </w:p>
        </w:tc>
      </w:tr>
      <w:tr w:rsidR="009F31B0" w:rsidRPr="009F31B0" w14:paraId="08635DD8" w14:textId="77777777" w:rsidTr="009F31B0">
        <w:tc>
          <w:tcPr>
            <w:tcW w:w="1701" w:type="dxa"/>
          </w:tcPr>
          <w:p w14:paraId="683CEFCF" w14:textId="77777777" w:rsidR="009F31B0" w:rsidRPr="009F31B0" w:rsidRDefault="009F31B0" w:rsidP="009F31B0">
            <w:pPr>
              <w:pStyle w:val="BodyTextNoSpacing"/>
              <w:rPr>
                <w:szCs w:val="20"/>
              </w:rPr>
            </w:pPr>
            <w:r w:rsidRPr="009F31B0">
              <w:rPr>
                <w:szCs w:val="20"/>
              </w:rPr>
              <w:t>The Electricity Network Company Ltd</w:t>
            </w:r>
          </w:p>
        </w:tc>
        <w:tc>
          <w:tcPr>
            <w:tcW w:w="1871" w:type="dxa"/>
          </w:tcPr>
          <w:p w14:paraId="04C8D7A8" w14:textId="77777777" w:rsidR="009F31B0" w:rsidRPr="009F31B0" w:rsidRDefault="009F31B0" w:rsidP="009F31B0">
            <w:pPr>
              <w:pStyle w:val="BodyTextNoSpacing"/>
              <w:rPr>
                <w:szCs w:val="20"/>
              </w:rPr>
            </w:pPr>
            <w:r w:rsidRPr="009F31B0">
              <w:rPr>
                <w:szCs w:val="20"/>
              </w:rPr>
              <w:t>Non-confidential</w:t>
            </w:r>
          </w:p>
        </w:tc>
        <w:tc>
          <w:tcPr>
            <w:tcW w:w="10431" w:type="dxa"/>
          </w:tcPr>
          <w:p w14:paraId="2805FA63" w14:textId="77777777" w:rsidR="009F31B0" w:rsidRPr="009F31B0" w:rsidRDefault="009F31B0" w:rsidP="009F31B0">
            <w:pPr>
              <w:pStyle w:val="BodyTextNoSpacing"/>
              <w:rPr>
                <w:szCs w:val="20"/>
              </w:rPr>
            </w:pPr>
            <w:r w:rsidRPr="009F31B0">
              <w:rPr>
                <w:szCs w:val="20"/>
              </w:rPr>
              <w:t>We agree that DCUSA Objective Charging Objective 3 is better facilitated by DCP 306 as the solution provides a more cost reflective mechanism for the allocation of the Ofgem licence fee.</w:t>
            </w:r>
          </w:p>
        </w:tc>
      </w:tr>
      <w:tr w:rsidR="009F31B0" w:rsidRPr="009F31B0" w14:paraId="05F758C3" w14:textId="77777777" w:rsidTr="009F31B0">
        <w:tc>
          <w:tcPr>
            <w:tcW w:w="1701" w:type="dxa"/>
          </w:tcPr>
          <w:p w14:paraId="6713CB95" w14:textId="77777777" w:rsidR="009F31B0" w:rsidRPr="009F31B0" w:rsidRDefault="009F31B0" w:rsidP="009F31B0">
            <w:pPr>
              <w:pStyle w:val="BodyTextNoSpacing"/>
              <w:rPr>
                <w:szCs w:val="20"/>
              </w:rPr>
            </w:pPr>
            <w:r w:rsidRPr="009F31B0">
              <w:rPr>
                <w:szCs w:val="20"/>
              </w:rPr>
              <w:t>UK Power Networks</w:t>
            </w:r>
          </w:p>
        </w:tc>
        <w:tc>
          <w:tcPr>
            <w:tcW w:w="1871" w:type="dxa"/>
          </w:tcPr>
          <w:p w14:paraId="7D760218" w14:textId="77777777" w:rsidR="009F31B0" w:rsidRPr="009F31B0" w:rsidRDefault="009F31B0" w:rsidP="009F31B0">
            <w:pPr>
              <w:pStyle w:val="BodyTextNoSpacing"/>
              <w:rPr>
                <w:szCs w:val="20"/>
              </w:rPr>
            </w:pPr>
            <w:r w:rsidRPr="009F31B0">
              <w:rPr>
                <w:szCs w:val="20"/>
              </w:rPr>
              <w:t>Non-confidential</w:t>
            </w:r>
          </w:p>
        </w:tc>
        <w:tc>
          <w:tcPr>
            <w:tcW w:w="10431" w:type="dxa"/>
          </w:tcPr>
          <w:p w14:paraId="333B534C" w14:textId="77777777" w:rsidR="009F31B0" w:rsidRPr="009F31B0" w:rsidRDefault="009F31B0" w:rsidP="009F31B0">
            <w:pPr>
              <w:pStyle w:val="BodyTextNoSpacing"/>
              <w:rPr>
                <w:szCs w:val="20"/>
              </w:rPr>
            </w:pPr>
            <w:r w:rsidRPr="009F31B0">
              <w:rPr>
                <w:szCs w:val="20"/>
              </w:rPr>
              <w:t>We agree with the working group that charging objective three is better facilitated by this change, as the charges will better reflect the costs which are incurred.</w:t>
            </w:r>
          </w:p>
        </w:tc>
      </w:tr>
      <w:bookmarkEnd w:id="2"/>
    </w:tbl>
    <w:p w14:paraId="55C038AD" w14:textId="77777777" w:rsidR="009F31B0" w:rsidRPr="009F31B0" w:rsidRDefault="009F31B0">
      <w:pPr>
        <w:rPr>
          <w:rFonts w:ascii="Verdana" w:hAnsi="Verdana"/>
          <w:sz w:val="20"/>
          <w:szCs w:val="20"/>
        </w:rPr>
      </w:pPr>
    </w:p>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9F31B0" w:rsidRPr="009F31B0" w14:paraId="73C51A69" w14:textId="77777777" w:rsidTr="009F31B0">
        <w:trPr>
          <w:cnfStyle w:val="100000000000" w:firstRow="1" w:lastRow="0" w:firstColumn="0" w:lastColumn="0" w:oddVBand="0" w:evenVBand="0" w:oddHBand="0" w:evenHBand="0" w:firstRowFirstColumn="0" w:firstRowLastColumn="0" w:lastRowFirstColumn="0" w:lastRowLastColumn="0"/>
        </w:trPr>
        <w:tc>
          <w:tcPr>
            <w:tcW w:w="1701" w:type="dxa"/>
          </w:tcPr>
          <w:p w14:paraId="5DE82402" w14:textId="77777777" w:rsidR="009F31B0" w:rsidRPr="009F31B0" w:rsidRDefault="009F31B0" w:rsidP="009F31B0">
            <w:pPr>
              <w:pStyle w:val="ColumnHeading"/>
              <w:rPr>
                <w:szCs w:val="20"/>
              </w:rPr>
            </w:pPr>
            <w:bookmarkStart w:id="3" w:name="dcusa_response4"/>
            <w:r w:rsidRPr="009F31B0">
              <w:rPr>
                <w:szCs w:val="20"/>
              </w:rPr>
              <w:t>Company</w:t>
            </w:r>
          </w:p>
        </w:tc>
        <w:tc>
          <w:tcPr>
            <w:tcW w:w="1871" w:type="dxa"/>
          </w:tcPr>
          <w:p w14:paraId="2DBA5445" w14:textId="77777777" w:rsidR="009F31B0" w:rsidRPr="009F31B0" w:rsidRDefault="009F31B0" w:rsidP="009F31B0">
            <w:pPr>
              <w:pStyle w:val="ColumnHeading"/>
              <w:rPr>
                <w:szCs w:val="20"/>
              </w:rPr>
            </w:pPr>
            <w:r w:rsidRPr="009F31B0">
              <w:rPr>
                <w:szCs w:val="20"/>
              </w:rPr>
              <w:t>Confidential/</w:t>
            </w:r>
          </w:p>
          <w:p w14:paraId="603FA8FD" w14:textId="77777777" w:rsidR="009F31B0" w:rsidRPr="009F31B0" w:rsidRDefault="009F31B0" w:rsidP="009F31B0">
            <w:pPr>
              <w:pStyle w:val="ColumnHeading"/>
              <w:rPr>
                <w:szCs w:val="20"/>
              </w:rPr>
            </w:pPr>
            <w:r w:rsidRPr="009F31B0">
              <w:rPr>
                <w:szCs w:val="20"/>
              </w:rPr>
              <w:t>Anonymous</w:t>
            </w:r>
          </w:p>
        </w:tc>
        <w:tc>
          <w:tcPr>
            <w:tcW w:w="10431" w:type="dxa"/>
          </w:tcPr>
          <w:p w14:paraId="0542EE85" w14:textId="6B730FC4" w:rsidR="009F31B0" w:rsidRPr="009F31B0" w:rsidRDefault="009F31B0" w:rsidP="009F31B0">
            <w:pPr>
              <w:pStyle w:val="BodyTextNoSpacing"/>
              <w:rPr>
                <w:b/>
                <w:szCs w:val="20"/>
              </w:rPr>
            </w:pPr>
            <w:r>
              <w:rPr>
                <w:b/>
                <w:szCs w:val="20"/>
                <w:lang w:val="en-GB"/>
              </w:rPr>
              <w:t xml:space="preserve">4.      </w:t>
            </w:r>
            <w:r w:rsidRPr="009F31B0">
              <w:rPr>
                <w:b/>
                <w:szCs w:val="20"/>
              </w:rPr>
              <w:t xml:space="preserve">Do you agree that the change should continue to be assessed via the DCUSA Change </w:t>
            </w:r>
            <w:r>
              <w:rPr>
                <w:b/>
                <w:szCs w:val="20"/>
                <w:lang w:val="en-GB"/>
              </w:rPr>
              <w:t xml:space="preserve">       </w:t>
            </w:r>
            <w:r w:rsidRPr="009F31B0">
              <w:rPr>
                <w:b/>
                <w:szCs w:val="20"/>
              </w:rPr>
              <w:t>Process and not the SCR, CFF or wider Task Forces?</w:t>
            </w:r>
          </w:p>
        </w:tc>
      </w:tr>
      <w:tr w:rsidR="009F31B0" w:rsidRPr="009F31B0" w14:paraId="2DF6241B" w14:textId="77777777" w:rsidTr="009F31B0">
        <w:tc>
          <w:tcPr>
            <w:tcW w:w="1701" w:type="dxa"/>
          </w:tcPr>
          <w:p w14:paraId="6B9333E4" w14:textId="77777777" w:rsidR="009F31B0" w:rsidRPr="009F31B0" w:rsidRDefault="009F31B0" w:rsidP="009F31B0">
            <w:pPr>
              <w:pStyle w:val="BodyTextNoSpacing"/>
              <w:rPr>
                <w:szCs w:val="20"/>
              </w:rPr>
            </w:pPr>
            <w:r w:rsidRPr="009F31B0">
              <w:rPr>
                <w:szCs w:val="20"/>
              </w:rPr>
              <w:t>Electricity North West Limited</w:t>
            </w:r>
          </w:p>
        </w:tc>
        <w:tc>
          <w:tcPr>
            <w:tcW w:w="1871" w:type="dxa"/>
          </w:tcPr>
          <w:p w14:paraId="093A9483" w14:textId="77777777" w:rsidR="009F31B0" w:rsidRPr="009F31B0" w:rsidRDefault="009F31B0" w:rsidP="009F31B0">
            <w:pPr>
              <w:pStyle w:val="BodyTextNoSpacing"/>
              <w:rPr>
                <w:szCs w:val="20"/>
              </w:rPr>
            </w:pPr>
            <w:r w:rsidRPr="009F31B0">
              <w:rPr>
                <w:szCs w:val="20"/>
              </w:rPr>
              <w:t>Non-confidential</w:t>
            </w:r>
          </w:p>
        </w:tc>
        <w:tc>
          <w:tcPr>
            <w:tcW w:w="10431" w:type="dxa"/>
          </w:tcPr>
          <w:p w14:paraId="2760219C" w14:textId="77777777" w:rsidR="009F31B0" w:rsidRPr="009F31B0" w:rsidRDefault="009F31B0" w:rsidP="009F31B0">
            <w:pPr>
              <w:pStyle w:val="BodyTextNoSpacing"/>
              <w:rPr>
                <w:szCs w:val="20"/>
              </w:rPr>
            </w:pPr>
            <w:r w:rsidRPr="009F31B0">
              <w:rPr>
                <w:szCs w:val="20"/>
              </w:rPr>
              <w:t>The timing of implementing this change and the outcomes of the SCR, CFF and Taskforces overlap to a significant degree.  We believe it would be better to let Ofgem led industry charging methodology review processes finish before reviewing the PCDM because of the high level of uncertainty about the changes that might result and the consequential impacts on the PCDM.  Also, as we have previously expressed we believe a review of all cost allocations in the round would be more likely to result in a more balanced outcome.</w:t>
            </w:r>
          </w:p>
        </w:tc>
      </w:tr>
      <w:tr w:rsidR="009F31B0" w:rsidRPr="009F31B0" w14:paraId="6B097C1B" w14:textId="77777777" w:rsidTr="009F31B0">
        <w:tc>
          <w:tcPr>
            <w:tcW w:w="1701" w:type="dxa"/>
          </w:tcPr>
          <w:p w14:paraId="56D3EFC2" w14:textId="77777777" w:rsidR="009F31B0" w:rsidRPr="009F31B0" w:rsidRDefault="009F31B0" w:rsidP="009F31B0">
            <w:pPr>
              <w:pStyle w:val="BodyTextNoSpacing"/>
              <w:rPr>
                <w:szCs w:val="20"/>
              </w:rPr>
            </w:pPr>
            <w:r w:rsidRPr="009F31B0">
              <w:rPr>
                <w:szCs w:val="20"/>
              </w:rPr>
              <w:t>ESP Electricity (‘ESPE’)</w:t>
            </w:r>
          </w:p>
        </w:tc>
        <w:tc>
          <w:tcPr>
            <w:tcW w:w="1871" w:type="dxa"/>
          </w:tcPr>
          <w:p w14:paraId="1BA1B80D" w14:textId="77777777" w:rsidR="009F31B0" w:rsidRPr="009F31B0" w:rsidRDefault="009F31B0" w:rsidP="009F31B0">
            <w:pPr>
              <w:pStyle w:val="BodyTextNoSpacing"/>
              <w:rPr>
                <w:szCs w:val="20"/>
              </w:rPr>
            </w:pPr>
            <w:r w:rsidRPr="009F31B0">
              <w:rPr>
                <w:szCs w:val="20"/>
              </w:rPr>
              <w:t>Non-confidential</w:t>
            </w:r>
          </w:p>
        </w:tc>
        <w:tc>
          <w:tcPr>
            <w:tcW w:w="10431" w:type="dxa"/>
          </w:tcPr>
          <w:p w14:paraId="261E84A5"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As the Change Proposal is focusing specifically on changes to the PCDM, ESPE agrees that this change should continue under the DCUSA Change Process.</w:t>
            </w:r>
          </w:p>
          <w:p w14:paraId="7BD37113"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Whilst we appreciate there are issues with the age of the data used in the PCDM, and more fundamental changes could be made to improve the methodology, we believe this should not prevent parties seeking to make incremental changes to the charging methodologies so long as they better achieve the DCUSA charging objectives. Particularly as it is not clear whether or not the SCR or CFF work will impact or conflict with this change.</w:t>
            </w:r>
          </w:p>
          <w:p w14:paraId="79A5DC83" w14:textId="77777777" w:rsidR="009F31B0" w:rsidRPr="009F31B0" w:rsidRDefault="009F31B0" w:rsidP="009F31B0">
            <w:pPr>
              <w:pStyle w:val="BodyTextNoSpacing"/>
              <w:rPr>
                <w:szCs w:val="20"/>
              </w:rPr>
            </w:pPr>
            <w:r w:rsidRPr="009F31B0">
              <w:rPr>
                <w:szCs w:val="20"/>
              </w:rPr>
              <w:lastRenderedPageBreak/>
              <w:t xml:space="preserve">The change proposed will improve cost reflectivity in the current charging arrangements without fundamentally changing the PCDM model; as such, we do not believe it will conflict with the work undertaken by the Task Forces, CFF or SCR.   </w:t>
            </w:r>
          </w:p>
        </w:tc>
      </w:tr>
      <w:tr w:rsidR="009F31B0" w:rsidRPr="009F31B0" w14:paraId="5759ED70" w14:textId="77777777" w:rsidTr="009F31B0">
        <w:tc>
          <w:tcPr>
            <w:tcW w:w="1701" w:type="dxa"/>
          </w:tcPr>
          <w:p w14:paraId="65EB1503" w14:textId="77777777" w:rsidR="009F31B0" w:rsidRPr="009F31B0" w:rsidRDefault="009F31B0" w:rsidP="009F31B0">
            <w:pPr>
              <w:pStyle w:val="BodyTextNoSpacing"/>
              <w:rPr>
                <w:szCs w:val="20"/>
              </w:rPr>
            </w:pPr>
            <w:r w:rsidRPr="009F31B0">
              <w:rPr>
                <w:szCs w:val="20"/>
              </w:rPr>
              <w:lastRenderedPageBreak/>
              <w:t>Leep Electricity Networks Limited</w:t>
            </w:r>
          </w:p>
        </w:tc>
        <w:tc>
          <w:tcPr>
            <w:tcW w:w="1871" w:type="dxa"/>
          </w:tcPr>
          <w:p w14:paraId="06920203" w14:textId="77777777" w:rsidR="009F31B0" w:rsidRPr="009F31B0" w:rsidRDefault="009F31B0" w:rsidP="009F31B0">
            <w:pPr>
              <w:pStyle w:val="BodyTextNoSpacing"/>
              <w:rPr>
                <w:szCs w:val="20"/>
              </w:rPr>
            </w:pPr>
            <w:r w:rsidRPr="009F31B0">
              <w:rPr>
                <w:szCs w:val="20"/>
              </w:rPr>
              <w:t>Non-confidential</w:t>
            </w:r>
          </w:p>
        </w:tc>
        <w:tc>
          <w:tcPr>
            <w:tcW w:w="10431" w:type="dxa"/>
          </w:tcPr>
          <w:p w14:paraId="2A63F27A"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Yes</w:t>
            </w:r>
          </w:p>
        </w:tc>
      </w:tr>
      <w:tr w:rsidR="009F31B0" w:rsidRPr="009F31B0" w14:paraId="7FC3CDE1" w14:textId="77777777" w:rsidTr="009F31B0">
        <w:tc>
          <w:tcPr>
            <w:tcW w:w="1701" w:type="dxa"/>
          </w:tcPr>
          <w:p w14:paraId="2FF6C797" w14:textId="77777777" w:rsidR="009F31B0" w:rsidRPr="009F31B0" w:rsidRDefault="009F31B0" w:rsidP="009F31B0">
            <w:pPr>
              <w:pStyle w:val="BodyTextNoSpacing"/>
              <w:rPr>
                <w:szCs w:val="20"/>
              </w:rPr>
            </w:pPr>
            <w:r w:rsidRPr="009F31B0">
              <w:rPr>
                <w:szCs w:val="20"/>
              </w:rPr>
              <w:t>Northern Powergrid (Northeast) Limited and Northern Powergrid (Yorkshire) plc</w:t>
            </w:r>
          </w:p>
        </w:tc>
        <w:tc>
          <w:tcPr>
            <w:tcW w:w="1871" w:type="dxa"/>
          </w:tcPr>
          <w:p w14:paraId="2953C6E5" w14:textId="77777777" w:rsidR="009F31B0" w:rsidRPr="009F31B0" w:rsidRDefault="009F31B0" w:rsidP="009F31B0">
            <w:pPr>
              <w:pStyle w:val="BodyTextNoSpacing"/>
              <w:rPr>
                <w:szCs w:val="20"/>
              </w:rPr>
            </w:pPr>
            <w:r w:rsidRPr="009F31B0">
              <w:rPr>
                <w:szCs w:val="20"/>
              </w:rPr>
              <w:t>Non-confidential</w:t>
            </w:r>
          </w:p>
        </w:tc>
        <w:tc>
          <w:tcPr>
            <w:tcW w:w="10431" w:type="dxa"/>
          </w:tcPr>
          <w:p w14:paraId="0E020D45"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It is accepted that it is at the discretion of the proposer to withdraw this change, and it is understandable why they may not wish to do so.  However, for the principle of this change to be better achieved we retain the view that there is a need for more fundamental reform which is not limited in scope to the PCDM.  The Forward Looking Charges Task Force under Charging Futures would be the appropriate group to address these underlying issues of e.g. cost reflectivity.</w:t>
            </w:r>
          </w:p>
        </w:tc>
      </w:tr>
      <w:tr w:rsidR="00D169F1" w:rsidRPr="009F31B0" w14:paraId="0992F9BE" w14:textId="77777777" w:rsidTr="009F31B0">
        <w:tc>
          <w:tcPr>
            <w:tcW w:w="1701" w:type="dxa"/>
          </w:tcPr>
          <w:p w14:paraId="26BFFE61" w14:textId="543B8699" w:rsidR="00D169F1" w:rsidRPr="009F31B0" w:rsidRDefault="00D169F1" w:rsidP="009F31B0">
            <w:pPr>
              <w:pStyle w:val="BodyTextNoSpacing"/>
              <w:rPr>
                <w:szCs w:val="20"/>
              </w:rPr>
            </w:pPr>
            <w:r>
              <w:t>Scottish Hydro Electric Power Distribution plc and Southern Electric Power Distribution plc</w:t>
            </w:r>
          </w:p>
        </w:tc>
        <w:tc>
          <w:tcPr>
            <w:tcW w:w="1871" w:type="dxa"/>
          </w:tcPr>
          <w:p w14:paraId="2E8EA42C" w14:textId="05580F2C" w:rsidR="00D169F1" w:rsidRPr="009F31B0" w:rsidRDefault="00D169F1" w:rsidP="009F31B0">
            <w:pPr>
              <w:pStyle w:val="BodyTextNoSpacing"/>
              <w:rPr>
                <w:szCs w:val="20"/>
              </w:rPr>
            </w:pPr>
            <w:r w:rsidRPr="009F31B0">
              <w:rPr>
                <w:szCs w:val="20"/>
              </w:rPr>
              <w:t>Non-confidential</w:t>
            </w:r>
          </w:p>
        </w:tc>
        <w:tc>
          <w:tcPr>
            <w:tcW w:w="10431" w:type="dxa"/>
          </w:tcPr>
          <w:p w14:paraId="313CEE69" w14:textId="7FF6AB40" w:rsidR="00D169F1" w:rsidRPr="00D169F1" w:rsidRDefault="00D169F1" w:rsidP="009F31B0">
            <w:pPr>
              <w:pStyle w:val="BodyText"/>
              <w:rPr>
                <w:rFonts w:ascii="Verdana" w:hAnsi="Verdana"/>
                <w:sz w:val="20"/>
                <w:szCs w:val="20"/>
                <w:lang w:val="en-GB"/>
              </w:rPr>
            </w:pPr>
            <w:r>
              <w:rPr>
                <w:rFonts w:ascii="Verdana" w:hAnsi="Verdana"/>
                <w:sz w:val="20"/>
                <w:szCs w:val="20"/>
                <w:lang w:val="en-GB"/>
              </w:rPr>
              <w:t xml:space="preserve">Yes, given that SCR, CFF or wider Task Forces are not specifically looking at PCDM </w:t>
            </w:r>
            <w:proofErr w:type="gramStart"/>
            <w:r>
              <w:rPr>
                <w:rFonts w:ascii="Verdana" w:hAnsi="Verdana"/>
                <w:sz w:val="20"/>
                <w:szCs w:val="20"/>
                <w:lang w:val="en-GB"/>
              </w:rPr>
              <w:t>at the moment</w:t>
            </w:r>
            <w:proofErr w:type="gramEnd"/>
            <w:r>
              <w:rPr>
                <w:rFonts w:ascii="Verdana" w:hAnsi="Verdana"/>
                <w:sz w:val="20"/>
                <w:szCs w:val="20"/>
                <w:lang w:val="en-GB"/>
              </w:rPr>
              <w:t>.</w:t>
            </w:r>
          </w:p>
        </w:tc>
      </w:tr>
      <w:tr w:rsidR="009F31B0" w:rsidRPr="009F31B0" w14:paraId="0467F91B" w14:textId="77777777" w:rsidTr="009F31B0">
        <w:tc>
          <w:tcPr>
            <w:tcW w:w="1701" w:type="dxa"/>
          </w:tcPr>
          <w:p w14:paraId="15BE2B53" w14:textId="77777777" w:rsidR="009F31B0" w:rsidRPr="009F31B0" w:rsidRDefault="009F31B0" w:rsidP="009F31B0">
            <w:pPr>
              <w:pStyle w:val="BodyTextNoSpacing"/>
              <w:rPr>
                <w:szCs w:val="20"/>
              </w:rPr>
            </w:pPr>
            <w:r w:rsidRPr="009F31B0">
              <w:rPr>
                <w:szCs w:val="20"/>
              </w:rPr>
              <w:t>SP Distribution &amp; SP Manweb</w:t>
            </w:r>
          </w:p>
        </w:tc>
        <w:tc>
          <w:tcPr>
            <w:tcW w:w="1871" w:type="dxa"/>
          </w:tcPr>
          <w:p w14:paraId="3B90C8EC" w14:textId="77777777" w:rsidR="009F31B0" w:rsidRPr="009F31B0" w:rsidRDefault="009F31B0" w:rsidP="009F31B0">
            <w:pPr>
              <w:pStyle w:val="BodyTextNoSpacing"/>
              <w:rPr>
                <w:szCs w:val="20"/>
              </w:rPr>
            </w:pPr>
            <w:r w:rsidRPr="009F31B0">
              <w:rPr>
                <w:szCs w:val="20"/>
              </w:rPr>
              <w:t>Non-confidential</w:t>
            </w:r>
          </w:p>
        </w:tc>
        <w:tc>
          <w:tcPr>
            <w:tcW w:w="10431" w:type="dxa"/>
          </w:tcPr>
          <w:p w14:paraId="3C78E14C"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Yes, the intent of the proposal is to update the PDCM not the CDCM or EDCM. The proposal will improve cost reflectivity and as such should progress through the DCUSA Change Process to ensure the benefits are achieved timeously.</w:t>
            </w:r>
          </w:p>
        </w:tc>
      </w:tr>
      <w:tr w:rsidR="009F31B0" w:rsidRPr="009F31B0" w14:paraId="678CE6F1" w14:textId="77777777" w:rsidTr="009F31B0">
        <w:tc>
          <w:tcPr>
            <w:tcW w:w="1701" w:type="dxa"/>
          </w:tcPr>
          <w:p w14:paraId="23CC21C7" w14:textId="77777777" w:rsidR="009F31B0" w:rsidRPr="009F31B0" w:rsidRDefault="009F31B0" w:rsidP="009F31B0">
            <w:pPr>
              <w:pStyle w:val="BodyTextNoSpacing"/>
              <w:rPr>
                <w:szCs w:val="20"/>
              </w:rPr>
            </w:pPr>
            <w:r w:rsidRPr="009F31B0">
              <w:rPr>
                <w:szCs w:val="20"/>
              </w:rPr>
              <w:t>The Electricity Network Company Ltd</w:t>
            </w:r>
          </w:p>
        </w:tc>
        <w:tc>
          <w:tcPr>
            <w:tcW w:w="1871" w:type="dxa"/>
          </w:tcPr>
          <w:p w14:paraId="6938A622" w14:textId="77777777" w:rsidR="009F31B0" w:rsidRPr="009F31B0" w:rsidRDefault="009F31B0" w:rsidP="009F31B0">
            <w:pPr>
              <w:pStyle w:val="BodyTextNoSpacing"/>
              <w:rPr>
                <w:szCs w:val="20"/>
              </w:rPr>
            </w:pPr>
            <w:r w:rsidRPr="009F31B0">
              <w:rPr>
                <w:szCs w:val="20"/>
              </w:rPr>
              <w:t>Non-confidential</w:t>
            </w:r>
          </w:p>
        </w:tc>
        <w:tc>
          <w:tcPr>
            <w:tcW w:w="10431" w:type="dxa"/>
          </w:tcPr>
          <w:p w14:paraId="3D4A5432" w14:textId="77777777" w:rsidR="009F31B0" w:rsidRPr="009F31B0" w:rsidRDefault="009F31B0" w:rsidP="009F31B0">
            <w:pPr>
              <w:pStyle w:val="BodyTextNoSpacing"/>
              <w:rPr>
                <w:szCs w:val="20"/>
              </w:rPr>
            </w:pPr>
            <w:r w:rsidRPr="009F31B0">
              <w:rPr>
                <w:szCs w:val="20"/>
              </w:rPr>
              <w:t xml:space="preserve">Yes, we agree. DCP 306 is limited in scope and has no wider impact on any of the SCR, CFF or other Task Forces. </w:t>
            </w:r>
          </w:p>
        </w:tc>
      </w:tr>
      <w:tr w:rsidR="009F31B0" w:rsidRPr="009F31B0" w14:paraId="37332663" w14:textId="77777777" w:rsidTr="009F31B0">
        <w:tc>
          <w:tcPr>
            <w:tcW w:w="1701" w:type="dxa"/>
          </w:tcPr>
          <w:p w14:paraId="23849128" w14:textId="77777777" w:rsidR="009F31B0" w:rsidRPr="009F31B0" w:rsidRDefault="009F31B0" w:rsidP="009F31B0">
            <w:pPr>
              <w:pStyle w:val="BodyTextNoSpacing"/>
              <w:rPr>
                <w:szCs w:val="20"/>
              </w:rPr>
            </w:pPr>
            <w:r w:rsidRPr="009F31B0">
              <w:rPr>
                <w:szCs w:val="20"/>
              </w:rPr>
              <w:lastRenderedPageBreak/>
              <w:t>UK Power Networks</w:t>
            </w:r>
          </w:p>
        </w:tc>
        <w:tc>
          <w:tcPr>
            <w:tcW w:w="1871" w:type="dxa"/>
          </w:tcPr>
          <w:p w14:paraId="2FC16AB2" w14:textId="77777777" w:rsidR="009F31B0" w:rsidRPr="009F31B0" w:rsidRDefault="009F31B0" w:rsidP="009F31B0">
            <w:pPr>
              <w:pStyle w:val="BodyTextNoSpacing"/>
              <w:rPr>
                <w:szCs w:val="20"/>
              </w:rPr>
            </w:pPr>
            <w:r w:rsidRPr="009F31B0">
              <w:rPr>
                <w:szCs w:val="20"/>
              </w:rPr>
              <w:t>Non-confidential</w:t>
            </w:r>
          </w:p>
        </w:tc>
        <w:tc>
          <w:tcPr>
            <w:tcW w:w="10431" w:type="dxa"/>
          </w:tcPr>
          <w:p w14:paraId="2A270D3A" w14:textId="77777777" w:rsidR="009F31B0" w:rsidRPr="009F31B0" w:rsidRDefault="009F31B0" w:rsidP="009F31B0">
            <w:pPr>
              <w:pStyle w:val="BodyText"/>
              <w:rPr>
                <w:rFonts w:ascii="Verdana" w:hAnsi="Verdana"/>
                <w:sz w:val="20"/>
                <w:szCs w:val="20"/>
              </w:rPr>
            </w:pPr>
            <w:r w:rsidRPr="009F31B0">
              <w:rPr>
                <w:rFonts w:ascii="Verdana" w:hAnsi="Verdana"/>
                <w:sz w:val="20"/>
                <w:szCs w:val="20"/>
              </w:rPr>
              <w:t>Yes, as although the work of the SCR/TCR and CFF could bring about changes to the PCDM and the associated arrangements, the detail, as well as the timescale of any changes as a result of the SCR/TCR and CFF is currently unknown. As a result we believe that DCP306 should progress to change report.</w:t>
            </w:r>
          </w:p>
        </w:tc>
      </w:tr>
      <w:bookmarkEnd w:id="3"/>
    </w:tbl>
    <w:p w14:paraId="423FA528" w14:textId="77777777" w:rsidR="009F31B0" w:rsidRPr="009F31B0" w:rsidRDefault="009F31B0">
      <w:pPr>
        <w:rPr>
          <w:rFonts w:ascii="Verdana" w:hAnsi="Verdana"/>
          <w:sz w:val="20"/>
          <w:szCs w:val="20"/>
        </w:rPr>
      </w:pPr>
    </w:p>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9F31B0" w:rsidRPr="009F31B0" w14:paraId="1EE9D76D" w14:textId="77777777" w:rsidTr="009F31B0">
        <w:trPr>
          <w:cnfStyle w:val="100000000000" w:firstRow="1" w:lastRow="0" w:firstColumn="0" w:lastColumn="0" w:oddVBand="0" w:evenVBand="0" w:oddHBand="0" w:evenHBand="0" w:firstRowFirstColumn="0" w:firstRowLastColumn="0" w:lastRowFirstColumn="0" w:lastRowLastColumn="0"/>
        </w:trPr>
        <w:tc>
          <w:tcPr>
            <w:tcW w:w="1701" w:type="dxa"/>
          </w:tcPr>
          <w:p w14:paraId="66A3C649" w14:textId="77777777" w:rsidR="009F31B0" w:rsidRPr="009F31B0" w:rsidRDefault="009F31B0" w:rsidP="009F31B0">
            <w:pPr>
              <w:pStyle w:val="ColumnHeading"/>
              <w:rPr>
                <w:szCs w:val="20"/>
              </w:rPr>
            </w:pPr>
            <w:bookmarkStart w:id="4" w:name="dcusa_response5"/>
            <w:r w:rsidRPr="009F31B0">
              <w:rPr>
                <w:szCs w:val="20"/>
              </w:rPr>
              <w:t>Company</w:t>
            </w:r>
          </w:p>
        </w:tc>
        <w:tc>
          <w:tcPr>
            <w:tcW w:w="1871" w:type="dxa"/>
          </w:tcPr>
          <w:p w14:paraId="33FAB91C" w14:textId="77777777" w:rsidR="009F31B0" w:rsidRPr="009F31B0" w:rsidRDefault="009F31B0" w:rsidP="009F31B0">
            <w:pPr>
              <w:pStyle w:val="ColumnHeading"/>
              <w:rPr>
                <w:szCs w:val="20"/>
              </w:rPr>
            </w:pPr>
            <w:r w:rsidRPr="009F31B0">
              <w:rPr>
                <w:szCs w:val="20"/>
              </w:rPr>
              <w:t>Confidential/</w:t>
            </w:r>
          </w:p>
          <w:p w14:paraId="349C31CD" w14:textId="77777777" w:rsidR="009F31B0" w:rsidRPr="009F31B0" w:rsidRDefault="009F31B0" w:rsidP="009F31B0">
            <w:pPr>
              <w:pStyle w:val="ColumnHeading"/>
              <w:rPr>
                <w:szCs w:val="20"/>
              </w:rPr>
            </w:pPr>
            <w:r w:rsidRPr="009F31B0">
              <w:rPr>
                <w:szCs w:val="20"/>
              </w:rPr>
              <w:t>Anonymous</w:t>
            </w:r>
          </w:p>
        </w:tc>
        <w:tc>
          <w:tcPr>
            <w:tcW w:w="10431" w:type="dxa"/>
          </w:tcPr>
          <w:p w14:paraId="672F5C03" w14:textId="2F02A8E4" w:rsidR="009F31B0" w:rsidRPr="009F31B0" w:rsidRDefault="009F31B0" w:rsidP="009F31B0">
            <w:pPr>
              <w:pStyle w:val="Question"/>
              <w:numPr>
                <w:ilvl w:val="0"/>
                <w:numId w:val="5"/>
              </w:numPr>
              <w:rPr>
                <w:szCs w:val="20"/>
              </w:rPr>
            </w:pPr>
            <w:r w:rsidRPr="009F31B0">
              <w:rPr>
                <w:szCs w:val="20"/>
              </w:rPr>
              <w:t>Do you have any other comments for the Working Group?</w:t>
            </w:r>
          </w:p>
        </w:tc>
      </w:tr>
      <w:tr w:rsidR="009F31B0" w:rsidRPr="009F31B0" w14:paraId="5502722F" w14:textId="77777777" w:rsidTr="009F31B0">
        <w:tc>
          <w:tcPr>
            <w:tcW w:w="1701" w:type="dxa"/>
          </w:tcPr>
          <w:p w14:paraId="0BFA3F80" w14:textId="77777777" w:rsidR="009F31B0" w:rsidRPr="009F31B0" w:rsidRDefault="009F31B0" w:rsidP="009F31B0">
            <w:pPr>
              <w:pStyle w:val="BodyTextNoSpacing"/>
              <w:rPr>
                <w:szCs w:val="20"/>
              </w:rPr>
            </w:pPr>
            <w:r w:rsidRPr="009F31B0">
              <w:rPr>
                <w:szCs w:val="20"/>
              </w:rPr>
              <w:t>Electricity North West Limited</w:t>
            </w:r>
          </w:p>
        </w:tc>
        <w:tc>
          <w:tcPr>
            <w:tcW w:w="1871" w:type="dxa"/>
          </w:tcPr>
          <w:p w14:paraId="1A62CF3E" w14:textId="77777777" w:rsidR="009F31B0" w:rsidRPr="009F31B0" w:rsidRDefault="009F31B0" w:rsidP="009F31B0">
            <w:pPr>
              <w:pStyle w:val="BodyTextNoSpacing"/>
              <w:rPr>
                <w:szCs w:val="20"/>
              </w:rPr>
            </w:pPr>
            <w:r w:rsidRPr="009F31B0">
              <w:rPr>
                <w:szCs w:val="20"/>
              </w:rPr>
              <w:t>Non-confidential</w:t>
            </w:r>
          </w:p>
        </w:tc>
        <w:tc>
          <w:tcPr>
            <w:tcW w:w="10431" w:type="dxa"/>
          </w:tcPr>
          <w:p w14:paraId="5BB54AC6" w14:textId="77777777" w:rsidR="009F31B0" w:rsidRPr="009F31B0" w:rsidRDefault="009F31B0" w:rsidP="009F31B0">
            <w:pPr>
              <w:pStyle w:val="BodyTextNoSpacing"/>
              <w:rPr>
                <w:szCs w:val="20"/>
              </w:rPr>
            </w:pPr>
            <w:r w:rsidRPr="009F31B0">
              <w:rPr>
                <w:szCs w:val="20"/>
              </w:rPr>
              <w:t>None.</w:t>
            </w:r>
          </w:p>
        </w:tc>
      </w:tr>
      <w:tr w:rsidR="009F31B0" w:rsidRPr="009F31B0" w14:paraId="6B8039D2" w14:textId="77777777" w:rsidTr="009F31B0">
        <w:tc>
          <w:tcPr>
            <w:tcW w:w="1701" w:type="dxa"/>
          </w:tcPr>
          <w:p w14:paraId="59E35043" w14:textId="77777777" w:rsidR="009F31B0" w:rsidRPr="009F31B0" w:rsidRDefault="009F31B0" w:rsidP="009F31B0">
            <w:pPr>
              <w:pStyle w:val="BodyTextNoSpacing"/>
              <w:rPr>
                <w:szCs w:val="20"/>
              </w:rPr>
            </w:pPr>
            <w:r w:rsidRPr="009F31B0">
              <w:rPr>
                <w:szCs w:val="20"/>
              </w:rPr>
              <w:t>ESP Electricity (‘ESPE’)</w:t>
            </w:r>
          </w:p>
        </w:tc>
        <w:tc>
          <w:tcPr>
            <w:tcW w:w="1871" w:type="dxa"/>
          </w:tcPr>
          <w:p w14:paraId="008AF65B" w14:textId="77777777" w:rsidR="009F31B0" w:rsidRPr="009F31B0" w:rsidRDefault="009F31B0" w:rsidP="009F31B0">
            <w:pPr>
              <w:pStyle w:val="BodyTextNoSpacing"/>
              <w:rPr>
                <w:szCs w:val="20"/>
              </w:rPr>
            </w:pPr>
            <w:r w:rsidRPr="009F31B0">
              <w:rPr>
                <w:szCs w:val="20"/>
              </w:rPr>
              <w:t>Non-confidential</w:t>
            </w:r>
          </w:p>
        </w:tc>
        <w:tc>
          <w:tcPr>
            <w:tcW w:w="10431" w:type="dxa"/>
          </w:tcPr>
          <w:p w14:paraId="6E19B6A1" w14:textId="77777777" w:rsidR="009F31B0" w:rsidRPr="009F31B0" w:rsidRDefault="009F31B0" w:rsidP="009F31B0">
            <w:pPr>
              <w:pStyle w:val="BodyTextNoSpacing"/>
              <w:rPr>
                <w:szCs w:val="20"/>
              </w:rPr>
            </w:pPr>
            <w:r w:rsidRPr="009F31B0">
              <w:rPr>
                <w:szCs w:val="20"/>
              </w:rPr>
              <w:t>ESPE has no further comments to add.</w:t>
            </w:r>
          </w:p>
        </w:tc>
      </w:tr>
      <w:tr w:rsidR="009F31B0" w:rsidRPr="009F31B0" w14:paraId="7F38AE55" w14:textId="77777777" w:rsidTr="009F31B0">
        <w:tc>
          <w:tcPr>
            <w:tcW w:w="1701" w:type="dxa"/>
          </w:tcPr>
          <w:p w14:paraId="313711EB" w14:textId="77777777" w:rsidR="009F31B0" w:rsidRPr="009F31B0" w:rsidRDefault="009F31B0" w:rsidP="009F31B0">
            <w:pPr>
              <w:pStyle w:val="BodyTextNoSpacing"/>
              <w:rPr>
                <w:szCs w:val="20"/>
              </w:rPr>
            </w:pPr>
            <w:r w:rsidRPr="009F31B0">
              <w:rPr>
                <w:szCs w:val="20"/>
              </w:rPr>
              <w:t>Leep Electricity Networks Limited</w:t>
            </w:r>
          </w:p>
        </w:tc>
        <w:tc>
          <w:tcPr>
            <w:tcW w:w="1871" w:type="dxa"/>
          </w:tcPr>
          <w:p w14:paraId="28B73C1D" w14:textId="77777777" w:rsidR="009F31B0" w:rsidRPr="009F31B0" w:rsidRDefault="009F31B0" w:rsidP="009F31B0">
            <w:pPr>
              <w:pStyle w:val="BodyTextNoSpacing"/>
              <w:rPr>
                <w:szCs w:val="20"/>
              </w:rPr>
            </w:pPr>
            <w:r w:rsidRPr="009F31B0">
              <w:rPr>
                <w:szCs w:val="20"/>
              </w:rPr>
              <w:t>Non-confidential</w:t>
            </w:r>
          </w:p>
        </w:tc>
        <w:tc>
          <w:tcPr>
            <w:tcW w:w="10431" w:type="dxa"/>
          </w:tcPr>
          <w:p w14:paraId="1889F2EA" w14:textId="77777777" w:rsidR="009F31B0" w:rsidRPr="009F31B0" w:rsidRDefault="009F31B0" w:rsidP="009F31B0">
            <w:pPr>
              <w:pStyle w:val="BodyTextNoSpacing"/>
              <w:rPr>
                <w:szCs w:val="20"/>
              </w:rPr>
            </w:pPr>
            <w:r w:rsidRPr="009F31B0">
              <w:rPr>
                <w:szCs w:val="20"/>
              </w:rPr>
              <w:t>No</w:t>
            </w:r>
          </w:p>
        </w:tc>
      </w:tr>
      <w:tr w:rsidR="009F31B0" w:rsidRPr="009F31B0" w14:paraId="6C0CF731" w14:textId="77777777" w:rsidTr="009F31B0">
        <w:tc>
          <w:tcPr>
            <w:tcW w:w="1701" w:type="dxa"/>
          </w:tcPr>
          <w:p w14:paraId="3C84DCFA" w14:textId="77777777" w:rsidR="009F31B0" w:rsidRPr="009F31B0" w:rsidRDefault="009F31B0" w:rsidP="009F31B0">
            <w:pPr>
              <w:pStyle w:val="BodyTextNoSpacing"/>
              <w:rPr>
                <w:szCs w:val="20"/>
              </w:rPr>
            </w:pPr>
            <w:r w:rsidRPr="009F31B0">
              <w:rPr>
                <w:szCs w:val="20"/>
              </w:rPr>
              <w:t>Northern Powergrid (Northeast) Limited and Northern Powergrid (Yorkshire) plc</w:t>
            </w:r>
          </w:p>
        </w:tc>
        <w:tc>
          <w:tcPr>
            <w:tcW w:w="1871" w:type="dxa"/>
          </w:tcPr>
          <w:p w14:paraId="501E4474" w14:textId="77777777" w:rsidR="009F31B0" w:rsidRPr="009F31B0" w:rsidRDefault="009F31B0" w:rsidP="009F31B0">
            <w:pPr>
              <w:pStyle w:val="BodyTextNoSpacing"/>
              <w:rPr>
                <w:szCs w:val="20"/>
              </w:rPr>
            </w:pPr>
            <w:r w:rsidRPr="009F31B0">
              <w:rPr>
                <w:szCs w:val="20"/>
              </w:rPr>
              <w:t>Non-confidential</w:t>
            </w:r>
          </w:p>
        </w:tc>
        <w:tc>
          <w:tcPr>
            <w:tcW w:w="10431" w:type="dxa"/>
          </w:tcPr>
          <w:p w14:paraId="3434E39E" w14:textId="77777777" w:rsidR="009F31B0" w:rsidRPr="009F31B0" w:rsidRDefault="009F31B0" w:rsidP="009F31B0">
            <w:pPr>
              <w:pStyle w:val="BodyTextNoSpacing"/>
              <w:rPr>
                <w:szCs w:val="20"/>
              </w:rPr>
            </w:pPr>
            <w:r w:rsidRPr="009F31B0">
              <w:rPr>
                <w:szCs w:val="20"/>
              </w:rPr>
              <w:t>No.</w:t>
            </w:r>
          </w:p>
        </w:tc>
      </w:tr>
      <w:tr w:rsidR="00D169F1" w:rsidRPr="009F31B0" w14:paraId="205E7976" w14:textId="77777777" w:rsidTr="009F31B0">
        <w:tc>
          <w:tcPr>
            <w:tcW w:w="1701" w:type="dxa"/>
          </w:tcPr>
          <w:p w14:paraId="2FFA0E66" w14:textId="6C08667E" w:rsidR="00D169F1" w:rsidRPr="009F31B0" w:rsidRDefault="00D169F1" w:rsidP="009F31B0">
            <w:pPr>
              <w:pStyle w:val="BodyTextNoSpacing"/>
              <w:rPr>
                <w:szCs w:val="20"/>
              </w:rPr>
            </w:pPr>
            <w:r>
              <w:t xml:space="preserve">Scottish Hydro Electric Power Distribution plc and Southern Electric Power </w:t>
            </w:r>
            <w:r>
              <w:lastRenderedPageBreak/>
              <w:t>Distribution plc</w:t>
            </w:r>
          </w:p>
        </w:tc>
        <w:tc>
          <w:tcPr>
            <w:tcW w:w="1871" w:type="dxa"/>
          </w:tcPr>
          <w:p w14:paraId="270721BE" w14:textId="1E4AC62E" w:rsidR="00D169F1" w:rsidRPr="009F31B0" w:rsidRDefault="00D169F1" w:rsidP="009F31B0">
            <w:pPr>
              <w:pStyle w:val="BodyTextNoSpacing"/>
              <w:rPr>
                <w:szCs w:val="20"/>
              </w:rPr>
            </w:pPr>
            <w:r w:rsidRPr="009F31B0">
              <w:rPr>
                <w:szCs w:val="20"/>
              </w:rPr>
              <w:lastRenderedPageBreak/>
              <w:t>Non-confidential</w:t>
            </w:r>
          </w:p>
        </w:tc>
        <w:tc>
          <w:tcPr>
            <w:tcW w:w="10431" w:type="dxa"/>
          </w:tcPr>
          <w:p w14:paraId="57A642D3" w14:textId="702DF6DF" w:rsidR="00D169F1" w:rsidRPr="00D169F1" w:rsidRDefault="00D169F1" w:rsidP="009F31B0">
            <w:pPr>
              <w:pStyle w:val="BodyTextNoSpacing"/>
              <w:rPr>
                <w:szCs w:val="20"/>
                <w:lang w:val="en-GB"/>
              </w:rPr>
            </w:pPr>
            <w:r>
              <w:rPr>
                <w:szCs w:val="20"/>
                <w:lang w:val="en-GB"/>
              </w:rPr>
              <w:t>None.</w:t>
            </w:r>
            <w:bookmarkStart w:id="5" w:name="_GoBack"/>
            <w:bookmarkEnd w:id="5"/>
          </w:p>
        </w:tc>
      </w:tr>
      <w:tr w:rsidR="009F31B0" w:rsidRPr="009F31B0" w14:paraId="404B54D0" w14:textId="77777777" w:rsidTr="009F31B0">
        <w:tc>
          <w:tcPr>
            <w:tcW w:w="1701" w:type="dxa"/>
          </w:tcPr>
          <w:p w14:paraId="487407FD" w14:textId="77777777" w:rsidR="009F31B0" w:rsidRPr="009F31B0" w:rsidRDefault="009F31B0" w:rsidP="009F31B0">
            <w:pPr>
              <w:pStyle w:val="BodyTextNoSpacing"/>
              <w:rPr>
                <w:szCs w:val="20"/>
              </w:rPr>
            </w:pPr>
            <w:r w:rsidRPr="009F31B0">
              <w:rPr>
                <w:szCs w:val="20"/>
              </w:rPr>
              <w:t>SP Distribution &amp; SP Manweb</w:t>
            </w:r>
          </w:p>
        </w:tc>
        <w:tc>
          <w:tcPr>
            <w:tcW w:w="1871" w:type="dxa"/>
          </w:tcPr>
          <w:p w14:paraId="2663520C" w14:textId="77777777" w:rsidR="009F31B0" w:rsidRPr="009F31B0" w:rsidRDefault="009F31B0" w:rsidP="009F31B0">
            <w:pPr>
              <w:pStyle w:val="BodyTextNoSpacing"/>
              <w:rPr>
                <w:szCs w:val="20"/>
              </w:rPr>
            </w:pPr>
            <w:r w:rsidRPr="009F31B0">
              <w:rPr>
                <w:szCs w:val="20"/>
              </w:rPr>
              <w:t>Non-confidential</w:t>
            </w:r>
          </w:p>
        </w:tc>
        <w:tc>
          <w:tcPr>
            <w:tcW w:w="10431" w:type="dxa"/>
          </w:tcPr>
          <w:p w14:paraId="4B4F67BB" w14:textId="77777777" w:rsidR="009F31B0" w:rsidRPr="009F31B0" w:rsidRDefault="009F31B0" w:rsidP="009F31B0">
            <w:pPr>
              <w:pStyle w:val="BodyTextNoSpacing"/>
              <w:rPr>
                <w:szCs w:val="20"/>
              </w:rPr>
            </w:pPr>
            <w:r w:rsidRPr="009F31B0">
              <w:rPr>
                <w:szCs w:val="20"/>
              </w:rPr>
              <w:t>No.</w:t>
            </w:r>
          </w:p>
        </w:tc>
      </w:tr>
      <w:tr w:rsidR="009F31B0" w:rsidRPr="009F31B0" w14:paraId="2CD2BFCB" w14:textId="77777777" w:rsidTr="009F31B0">
        <w:tc>
          <w:tcPr>
            <w:tcW w:w="1701" w:type="dxa"/>
          </w:tcPr>
          <w:p w14:paraId="25018E46" w14:textId="77777777" w:rsidR="009F31B0" w:rsidRPr="009F31B0" w:rsidRDefault="009F31B0" w:rsidP="009F31B0">
            <w:pPr>
              <w:pStyle w:val="BodyTextNoSpacing"/>
              <w:rPr>
                <w:szCs w:val="20"/>
              </w:rPr>
            </w:pPr>
            <w:r w:rsidRPr="009F31B0">
              <w:rPr>
                <w:szCs w:val="20"/>
              </w:rPr>
              <w:t>The Electricity Network Company Ltd</w:t>
            </w:r>
          </w:p>
        </w:tc>
        <w:tc>
          <w:tcPr>
            <w:tcW w:w="1871" w:type="dxa"/>
          </w:tcPr>
          <w:p w14:paraId="47BBDDAF" w14:textId="77777777" w:rsidR="009F31B0" w:rsidRPr="009F31B0" w:rsidRDefault="009F31B0" w:rsidP="009F31B0">
            <w:pPr>
              <w:pStyle w:val="BodyTextNoSpacing"/>
              <w:rPr>
                <w:szCs w:val="20"/>
              </w:rPr>
            </w:pPr>
            <w:r w:rsidRPr="009F31B0">
              <w:rPr>
                <w:szCs w:val="20"/>
              </w:rPr>
              <w:t>Non-confidential</w:t>
            </w:r>
          </w:p>
        </w:tc>
        <w:tc>
          <w:tcPr>
            <w:tcW w:w="10431" w:type="dxa"/>
          </w:tcPr>
          <w:p w14:paraId="0D345CA4" w14:textId="77777777" w:rsidR="009F31B0" w:rsidRPr="009F31B0" w:rsidRDefault="009F31B0" w:rsidP="009F31B0">
            <w:pPr>
              <w:pStyle w:val="BodyTextNoSpacing"/>
              <w:rPr>
                <w:szCs w:val="20"/>
              </w:rPr>
            </w:pPr>
            <w:r w:rsidRPr="009F31B0">
              <w:rPr>
                <w:szCs w:val="20"/>
              </w:rPr>
              <w:t>We have no further comments.</w:t>
            </w:r>
          </w:p>
        </w:tc>
      </w:tr>
      <w:tr w:rsidR="009F31B0" w:rsidRPr="009F31B0" w14:paraId="1DF223DC" w14:textId="77777777" w:rsidTr="009F31B0">
        <w:tc>
          <w:tcPr>
            <w:tcW w:w="1701" w:type="dxa"/>
          </w:tcPr>
          <w:p w14:paraId="2C149BC6" w14:textId="77777777" w:rsidR="009F31B0" w:rsidRPr="009F31B0" w:rsidRDefault="009F31B0" w:rsidP="009F31B0">
            <w:pPr>
              <w:pStyle w:val="BodyTextNoSpacing"/>
              <w:rPr>
                <w:szCs w:val="20"/>
              </w:rPr>
            </w:pPr>
            <w:r w:rsidRPr="009F31B0">
              <w:rPr>
                <w:szCs w:val="20"/>
              </w:rPr>
              <w:t>UK Power Networks</w:t>
            </w:r>
          </w:p>
        </w:tc>
        <w:tc>
          <w:tcPr>
            <w:tcW w:w="1871" w:type="dxa"/>
          </w:tcPr>
          <w:p w14:paraId="2DA8CA48" w14:textId="77777777" w:rsidR="009F31B0" w:rsidRPr="009F31B0" w:rsidRDefault="009F31B0" w:rsidP="009F31B0">
            <w:pPr>
              <w:pStyle w:val="BodyTextNoSpacing"/>
              <w:rPr>
                <w:szCs w:val="20"/>
              </w:rPr>
            </w:pPr>
            <w:r w:rsidRPr="009F31B0">
              <w:rPr>
                <w:szCs w:val="20"/>
              </w:rPr>
              <w:t>Non-confidential</w:t>
            </w:r>
          </w:p>
        </w:tc>
        <w:tc>
          <w:tcPr>
            <w:tcW w:w="10431" w:type="dxa"/>
          </w:tcPr>
          <w:p w14:paraId="3F64ED58" w14:textId="77777777" w:rsidR="009F31B0" w:rsidRPr="009F31B0" w:rsidRDefault="009F31B0" w:rsidP="009F31B0">
            <w:pPr>
              <w:pStyle w:val="BodyTextNoSpacing"/>
              <w:rPr>
                <w:szCs w:val="20"/>
              </w:rPr>
            </w:pPr>
            <w:r w:rsidRPr="009F31B0">
              <w:rPr>
                <w:szCs w:val="20"/>
              </w:rPr>
              <w:t>No.</w:t>
            </w:r>
          </w:p>
        </w:tc>
      </w:tr>
      <w:bookmarkEnd w:id="4"/>
    </w:tbl>
    <w:p w14:paraId="51430B3D" w14:textId="4B457253" w:rsidR="00131490" w:rsidRPr="009F31B0" w:rsidRDefault="00131490">
      <w:pPr>
        <w:rPr>
          <w:rFonts w:ascii="Verdana" w:hAnsi="Verdana"/>
          <w:sz w:val="20"/>
          <w:szCs w:val="20"/>
        </w:rPr>
      </w:pPr>
    </w:p>
    <w:sectPr w:rsidR="00131490" w:rsidRPr="009F31B0" w:rsidSect="00131490">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D478B5" w14:textId="77777777" w:rsidR="00A467A4" w:rsidRDefault="00A467A4" w:rsidP="005023A8">
      <w:pPr>
        <w:spacing w:after="0" w:line="240" w:lineRule="auto"/>
      </w:pPr>
      <w:r>
        <w:separator/>
      </w:r>
    </w:p>
  </w:endnote>
  <w:endnote w:type="continuationSeparator" w:id="0">
    <w:p w14:paraId="32DB1C73" w14:textId="77777777" w:rsidR="00A467A4" w:rsidRDefault="00A467A4"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7CE8F" w14:textId="77777777" w:rsidR="00A467A4" w:rsidRDefault="00A467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C28DA" w14:textId="77777777" w:rsidR="00A467A4" w:rsidRDefault="00A467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13413" w14:textId="77777777" w:rsidR="00A467A4" w:rsidRDefault="00A467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5B584B" w14:textId="77777777" w:rsidR="00A467A4" w:rsidRDefault="00A467A4" w:rsidP="005023A8">
      <w:pPr>
        <w:spacing w:after="0" w:line="240" w:lineRule="auto"/>
      </w:pPr>
      <w:r>
        <w:separator/>
      </w:r>
    </w:p>
  </w:footnote>
  <w:footnote w:type="continuationSeparator" w:id="0">
    <w:p w14:paraId="0EAAD0FC" w14:textId="77777777" w:rsidR="00A467A4" w:rsidRDefault="00A467A4"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CB260" w14:textId="77777777" w:rsidR="00A467A4" w:rsidRDefault="00A467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272E5" w14:textId="77777777" w:rsidR="00A467A4" w:rsidRDefault="00A467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E1280" w14:textId="77777777" w:rsidR="00A467A4" w:rsidRDefault="00A467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 w:numId="3">
    <w:abstractNumId w:val="0"/>
    <w:lvlOverride w:ilvl="0">
      <w:lvl w:ilvl="0">
        <w:start w:val="5"/>
        <w:numFmt w:val="decimal"/>
        <w:pStyle w:val="Question"/>
        <w:lvlText w:val="%1."/>
        <w:lvlJc w:val="left"/>
        <w:pPr>
          <w:tabs>
            <w:tab w:val="num" w:pos="567"/>
          </w:tabs>
          <w:ind w:left="567" w:hanging="567"/>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abstractNumId w:val="0"/>
    <w:lvlOverride w:ilvl="0">
      <w:startOverride w:val="3"/>
      <w:lvl w:ilvl="0">
        <w:start w:val="3"/>
        <w:numFmt w:val="decimal"/>
        <w:pStyle w:val="Question"/>
        <w:lvlText w:val="%1."/>
        <w:lvlJc w:val="left"/>
        <w:pPr>
          <w:tabs>
            <w:tab w:val="num" w:pos="567"/>
          </w:tabs>
          <w:ind w:left="567" w:hanging="567"/>
        </w:pPr>
        <w:rPr>
          <w:rFonts w:hint="default"/>
        </w:rPr>
      </w:lvl>
    </w:lvlOverride>
  </w:num>
  <w:num w:numId="5">
    <w:abstractNumId w:val="0"/>
    <w:lvlOverride w:ilvl="0">
      <w:startOverride w:val="5"/>
      <w:lvl w:ilvl="0">
        <w:start w:val="5"/>
        <w:numFmt w:val="decimal"/>
        <w:pStyle w:val="Question"/>
        <w:lvlText w:val="%1."/>
        <w:lvlJc w:val="left"/>
        <w:pPr>
          <w:tabs>
            <w:tab w:val="num" w:pos="567"/>
          </w:tabs>
          <w:ind w:left="567"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490"/>
    <w:rsid w:val="000B34E5"/>
    <w:rsid w:val="000C5CF9"/>
    <w:rsid w:val="00131490"/>
    <w:rsid w:val="001B66BF"/>
    <w:rsid w:val="001C70BC"/>
    <w:rsid w:val="001D1626"/>
    <w:rsid w:val="00340F16"/>
    <w:rsid w:val="00397672"/>
    <w:rsid w:val="003A569C"/>
    <w:rsid w:val="00421520"/>
    <w:rsid w:val="005023A8"/>
    <w:rsid w:val="00586EE9"/>
    <w:rsid w:val="00650712"/>
    <w:rsid w:val="00657FCF"/>
    <w:rsid w:val="006622EE"/>
    <w:rsid w:val="00662929"/>
    <w:rsid w:val="00725D44"/>
    <w:rsid w:val="0083708D"/>
    <w:rsid w:val="008762CD"/>
    <w:rsid w:val="00895AE9"/>
    <w:rsid w:val="008F0738"/>
    <w:rsid w:val="009333C5"/>
    <w:rsid w:val="009606BA"/>
    <w:rsid w:val="009A6675"/>
    <w:rsid w:val="009F31B0"/>
    <w:rsid w:val="00A467A4"/>
    <w:rsid w:val="00A77905"/>
    <w:rsid w:val="00A90D7C"/>
    <w:rsid w:val="00BC556E"/>
    <w:rsid w:val="00C229B5"/>
    <w:rsid w:val="00D169F1"/>
    <w:rsid w:val="00D46C8F"/>
    <w:rsid w:val="00DC78E6"/>
    <w:rsid w:val="00E95710"/>
    <w:rsid w:val="00E97531"/>
    <w:rsid w:val="00FA3E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6161B"/>
  <w15:chartTrackingRefBased/>
  <w15:docId w15:val="{9E55DC00-E6BF-4CEF-85E9-893083FB9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iPriority w:val="99"/>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23A8"/>
  </w:style>
  <w:style w:type="paragraph" w:styleId="Footer">
    <w:name w:val="footer"/>
    <w:basedOn w:val="Normal"/>
    <w:link w:val="FooterChar"/>
    <w:uiPriority w:val="99"/>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36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2124</Words>
  <Characters>12108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3</cp:revision>
  <dcterms:created xsi:type="dcterms:W3CDTF">2018-02-19T17:05:00Z</dcterms:created>
  <dcterms:modified xsi:type="dcterms:W3CDTF">2018-02-21T12:20:00Z</dcterms:modified>
</cp:coreProperties>
</file>