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ElectralinkResponseTable"/>
        <w:tblW w:w="13840" w:type="dxa"/>
        <w:tblInd w:w="108" w:type="dxa"/>
        <w:tblLayout w:type="fixed"/>
        <w:tblLook w:val="04A0" w:firstRow="1" w:lastRow="0" w:firstColumn="1" w:lastColumn="0" w:noHBand="0" w:noVBand="1"/>
      </w:tblPr>
      <w:tblGrid>
        <w:gridCol w:w="1561"/>
        <w:gridCol w:w="1715"/>
        <w:gridCol w:w="6959"/>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561" w:type="dxa"/>
          </w:tcPr>
          <w:p w:rsidR="005023A8" w:rsidRPr="003A569C" w:rsidRDefault="005023A8" w:rsidP="00131490">
            <w:pPr>
              <w:pStyle w:val="ColumnHeading"/>
              <w:rPr>
                <w:szCs w:val="20"/>
              </w:rPr>
            </w:pPr>
            <w:bookmarkStart w:id="0" w:name="dcusa_response1"/>
            <w:r w:rsidRPr="003A569C">
              <w:rPr>
                <w:szCs w:val="20"/>
              </w:rPr>
              <w:t>Company</w:t>
            </w:r>
          </w:p>
        </w:tc>
        <w:tc>
          <w:tcPr>
            <w:tcW w:w="1715"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959" w:type="dxa"/>
          </w:tcPr>
          <w:p w:rsidR="005023A8" w:rsidRPr="003A569C" w:rsidRDefault="005023A8" w:rsidP="00131490">
            <w:pPr>
              <w:pStyle w:val="Question"/>
              <w:rPr>
                <w:szCs w:val="20"/>
              </w:rPr>
            </w:pPr>
            <w:r w:rsidRPr="003A569C">
              <w:rPr>
                <w:szCs w:val="20"/>
              </w:rPr>
              <w:t xml:space="preserve">Do you </w:t>
            </w:r>
            <w:r w:rsidR="009333C5">
              <w:rPr>
                <w:szCs w:val="20"/>
              </w:rPr>
              <w:t xml:space="preserve">understand the intent of DCP </w:t>
            </w:r>
            <w:r w:rsidR="009333C5">
              <w:rPr>
                <w:szCs w:val="20"/>
                <w:lang w:val="en-GB"/>
              </w:rPr>
              <w:t>306</w:t>
            </w:r>
            <w:r w:rsidRPr="003A569C">
              <w:rPr>
                <w:szCs w:val="20"/>
              </w:rPr>
              <w:t>?</w:t>
            </w:r>
          </w:p>
        </w:tc>
        <w:tc>
          <w:tcPr>
            <w:tcW w:w="3605" w:type="dxa"/>
          </w:tcPr>
          <w:p w:rsidR="005023A8" w:rsidRPr="005023A8" w:rsidRDefault="005023A8" w:rsidP="005023A8">
            <w:pPr>
              <w:pStyle w:val="Question"/>
              <w:numPr>
                <w:ilvl w:val="0"/>
                <w:numId w:val="0"/>
              </w:numPr>
              <w:rPr>
                <w:szCs w:val="20"/>
                <w:lang w:val="en-GB"/>
              </w:rPr>
            </w:pPr>
            <w:r>
              <w:rPr>
                <w:szCs w:val="20"/>
                <w:lang w:val="en-GB"/>
              </w:rPr>
              <w:t xml:space="preserve"> Working Group Comments</w:t>
            </w:r>
          </w:p>
        </w:tc>
      </w:tr>
      <w:tr w:rsidR="005023A8" w:rsidRPr="003A569C" w:rsidTr="005023A8">
        <w:tc>
          <w:tcPr>
            <w:tcW w:w="1561" w:type="dxa"/>
          </w:tcPr>
          <w:p w:rsidR="005023A8" w:rsidRPr="009333C5" w:rsidRDefault="009333C5" w:rsidP="00131490">
            <w:pPr>
              <w:pStyle w:val="BodyTextNoSpacing"/>
              <w:rPr>
                <w:szCs w:val="20"/>
                <w:lang w:val="en-GB"/>
              </w:rPr>
            </w:pPr>
            <w:r>
              <w:rPr>
                <w:szCs w:val="20"/>
                <w:lang w:val="en-GB"/>
              </w:rPr>
              <w:t>ESP Electricity (ESPE)</w:t>
            </w:r>
          </w:p>
        </w:tc>
        <w:tc>
          <w:tcPr>
            <w:tcW w:w="1715" w:type="dxa"/>
          </w:tcPr>
          <w:p w:rsidR="005023A8" w:rsidRPr="003A569C" w:rsidRDefault="005023A8" w:rsidP="00131490">
            <w:pPr>
              <w:pStyle w:val="BodyTextNoSpacing"/>
              <w:rPr>
                <w:szCs w:val="20"/>
              </w:rPr>
            </w:pPr>
            <w:r w:rsidRPr="003A569C">
              <w:rPr>
                <w:szCs w:val="20"/>
              </w:rPr>
              <w:t>Non-</w:t>
            </w:r>
            <w:r w:rsidR="00421520">
              <w:rPr>
                <w:szCs w:val="20"/>
                <w:lang w:val="en-GB"/>
              </w:rPr>
              <w:t>c</w:t>
            </w:r>
            <w:r w:rsidRPr="003A569C">
              <w:rPr>
                <w:szCs w:val="20"/>
              </w:rPr>
              <w:t>onfidential</w:t>
            </w:r>
          </w:p>
        </w:tc>
        <w:tc>
          <w:tcPr>
            <w:tcW w:w="6959" w:type="dxa"/>
          </w:tcPr>
          <w:p w:rsidR="005023A8" w:rsidRPr="009333C5" w:rsidRDefault="009333C5" w:rsidP="00131490">
            <w:pPr>
              <w:pStyle w:val="BodyTextNoSpacing"/>
              <w:rPr>
                <w:szCs w:val="20"/>
                <w:lang w:val="en-GB"/>
              </w:rPr>
            </w:pPr>
            <w:r>
              <w:rPr>
                <w:szCs w:val="20"/>
                <w:lang w:val="en-GB"/>
              </w:rPr>
              <w:t>Yes, ESPE understands the intent of DCP 306.</w:t>
            </w:r>
          </w:p>
        </w:tc>
        <w:tc>
          <w:tcPr>
            <w:tcW w:w="3605" w:type="dxa"/>
          </w:tcPr>
          <w:p w:rsidR="005023A8" w:rsidRPr="009606BA" w:rsidRDefault="00542C7A" w:rsidP="00131490">
            <w:pPr>
              <w:pStyle w:val="BodyTextNoSpacing"/>
              <w:rPr>
                <w:szCs w:val="20"/>
                <w:lang w:val="en-GB"/>
              </w:rPr>
            </w:pPr>
            <w:r>
              <w:rPr>
                <w:szCs w:val="20"/>
                <w:lang w:val="en-GB"/>
              </w:rPr>
              <w:t>Noted</w:t>
            </w:r>
          </w:p>
        </w:tc>
      </w:tr>
      <w:tr w:rsidR="005023A8" w:rsidRPr="003A569C" w:rsidTr="005023A8">
        <w:tc>
          <w:tcPr>
            <w:tcW w:w="1561" w:type="dxa"/>
          </w:tcPr>
          <w:p w:rsidR="005023A8" w:rsidRPr="00A90D7C" w:rsidRDefault="00A90D7C" w:rsidP="00131490">
            <w:pPr>
              <w:pStyle w:val="BodyTextNoSpacing"/>
              <w:rPr>
                <w:szCs w:val="20"/>
                <w:lang w:val="en-GB"/>
              </w:rPr>
            </w:pPr>
            <w:r>
              <w:rPr>
                <w:szCs w:val="20"/>
                <w:lang w:val="en-GB"/>
              </w:rPr>
              <w:t>Northern Powergrid</w:t>
            </w:r>
          </w:p>
        </w:tc>
        <w:tc>
          <w:tcPr>
            <w:tcW w:w="1715" w:type="dxa"/>
          </w:tcPr>
          <w:p w:rsidR="005023A8" w:rsidRPr="00A90D7C" w:rsidRDefault="00A90D7C" w:rsidP="00131490">
            <w:pPr>
              <w:pStyle w:val="BodyTextNoSpacing"/>
              <w:rPr>
                <w:szCs w:val="20"/>
                <w:lang w:val="en-GB"/>
              </w:rPr>
            </w:pPr>
            <w:r>
              <w:rPr>
                <w:szCs w:val="20"/>
                <w:lang w:val="en-GB"/>
              </w:rPr>
              <w:t>Non-confidential</w:t>
            </w:r>
          </w:p>
        </w:tc>
        <w:tc>
          <w:tcPr>
            <w:tcW w:w="6959" w:type="dxa"/>
          </w:tcPr>
          <w:p w:rsidR="005023A8" w:rsidRPr="00A90D7C" w:rsidRDefault="00A90D7C" w:rsidP="00131490">
            <w:pPr>
              <w:pStyle w:val="BodyTextNoSpacing"/>
              <w:rPr>
                <w:szCs w:val="20"/>
                <w:lang w:val="en-GB"/>
              </w:rPr>
            </w:pPr>
            <w:r>
              <w:rPr>
                <w:szCs w:val="20"/>
                <w:lang w:val="en-GB"/>
              </w:rPr>
              <w:t>Yes</w:t>
            </w:r>
          </w:p>
        </w:tc>
        <w:tc>
          <w:tcPr>
            <w:tcW w:w="3605" w:type="dxa"/>
          </w:tcPr>
          <w:p w:rsidR="005023A8" w:rsidRPr="009606BA" w:rsidRDefault="00542C7A" w:rsidP="00131490">
            <w:pPr>
              <w:pStyle w:val="BodyTextNoSpacing"/>
              <w:rPr>
                <w:szCs w:val="20"/>
                <w:lang w:val="en-GB"/>
              </w:rPr>
            </w:pPr>
            <w:r>
              <w:rPr>
                <w:szCs w:val="20"/>
                <w:lang w:val="en-GB"/>
              </w:rPr>
              <w:t>Noted</w:t>
            </w:r>
          </w:p>
        </w:tc>
      </w:tr>
      <w:tr w:rsidR="005023A8" w:rsidRPr="003A569C" w:rsidTr="005023A8">
        <w:tc>
          <w:tcPr>
            <w:tcW w:w="1561" w:type="dxa"/>
          </w:tcPr>
          <w:p w:rsidR="005023A8" w:rsidRPr="008762CD" w:rsidRDefault="008762CD" w:rsidP="00131490">
            <w:pPr>
              <w:pStyle w:val="BodyTextNoSpacing"/>
              <w:rPr>
                <w:szCs w:val="20"/>
                <w:lang w:val="en-GB"/>
              </w:rPr>
            </w:pPr>
            <w:r>
              <w:rPr>
                <w:szCs w:val="20"/>
                <w:lang w:val="en-GB"/>
              </w:rPr>
              <w:t>WPD</w:t>
            </w:r>
          </w:p>
        </w:tc>
        <w:tc>
          <w:tcPr>
            <w:tcW w:w="1715" w:type="dxa"/>
          </w:tcPr>
          <w:p w:rsidR="005023A8" w:rsidRPr="008762CD" w:rsidRDefault="008762CD" w:rsidP="00131490">
            <w:pPr>
              <w:pStyle w:val="BodyTextNoSpacing"/>
              <w:rPr>
                <w:szCs w:val="20"/>
                <w:lang w:val="en-GB"/>
              </w:rPr>
            </w:pPr>
            <w:r>
              <w:rPr>
                <w:szCs w:val="20"/>
                <w:lang w:val="en-GB"/>
              </w:rPr>
              <w:t>Non-confidential</w:t>
            </w:r>
          </w:p>
        </w:tc>
        <w:tc>
          <w:tcPr>
            <w:tcW w:w="6959" w:type="dxa"/>
          </w:tcPr>
          <w:p w:rsidR="005023A8" w:rsidRPr="008762CD" w:rsidRDefault="008762CD" w:rsidP="00131490">
            <w:pPr>
              <w:pStyle w:val="BodyTextNoSpacing"/>
              <w:rPr>
                <w:szCs w:val="20"/>
                <w:lang w:val="en-GB"/>
              </w:rPr>
            </w:pPr>
            <w:r>
              <w:rPr>
                <w:szCs w:val="20"/>
                <w:lang w:val="en-GB"/>
              </w:rPr>
              <w:t xml:space="preserve">Yes </w:t>
            </w:r>
          </w:p>
        </w:tc>
        <w:tc>
          <w:tcPr>
            <w:tcW w:w="3605" w:type="dxa"/>
          </w:tcPr>
          <w:p w:rsidR="005023A8" w:rsidRPr="009606BA" w:rsidRDefault="00542C7A" w:rsidP="00131490">
            <w:pPr>
              <w:pStyle w:val="BodyTextNoSpacing"/>
              <w:rPr>
                <w:szCs w:val="20"/>
                <w:lang w:val="en-GB"/>
              </w:rPr>
            </w:pPr>
            <w:r>
              <w:rPr>
                <w:szCs w:val="20"/>
                <w:lang w:val="en-GB"/>
              </w:rPr>
              <w:t>Noted</w:t>
            </w:r>
          </w:p>
        </w:tc>
      </w:tr>
      <w:tr w:rsidR="005023A8" w:rsidRPr="003A569C" w:rsidTr="005023A8">
        <w:tc>
          <w:tcPr>
            <w:tcW w:w="1561" w:type="dxa"/>
          </w:tcPr>
          <w:p w:rsidR="005023A8" w:rsidRPr="00A467A4" w:rsidRDefault="00A467A4" w:rsidP="00131490">
            <w:pPr>
              <w:pStyle w:val="BodyTextNoSpacing"/>
              <w:rPr>
                <w:szCs w:val="20"/>
                <w:lang w:val="en-GB"/>
              </w:rPr>
            </w:pPr>
            <w:r>
              <w:rPr>
                <w:szCs w:val="20"/>
                <w:lang w:val="en-GB"/>
              </w:rPr>
              <w:t>Electricity North West</w:t>
            </w:r>
          </w:p>
        </w:tc>
        <w:tc>
          <w:tcPr>
            <w:tcW w:w="1715" w:type="dxa"/>
          </w:tcPr>
          <w:p w:rsidR="005023A8" w:rsidRPr="00A467A4" w:rsidRDefault="00A467A4" w:rsidP="00131490">
            <w:pPr>
              <w:pStyle w:val="BodyTextNoSpacing"/>
              <w:rPr>
                <w:szCs w:val="20"/>
                <w:lang w:val="en-GB"/>
              </w:rPr>
            </w:pPr>
            <w:r>
              <w:rPr>
                <w:szCs w:val="20"/>
                <w:lang w:val="en-GB"/>
              </w:rPr>
              <w:t xml:space="preserve">Non-confidential </w:t>
            </w:r>
          </w:p>
        </w:tc>
        <w:tc>
          <w:tcPr>
            <w:tcW w:w="6959" w:type="dxa"/>
          </w:tcPr>
          <w:p w:rsidR="005023A8" w:rsidRPr="00A467A4" w:rsidRDefault="00A467A4" w:rsidP="00131490">
            <w:pPr>
              <w:pStyle w:val="BodyTextNoSpacing"/>
              <w:rPr>
                <w:szCs w:val="20"/>
                <w:lang w:val="en-GB"/>
              </w:rPr>
            </w:pPr>
            <w:r>
              <w:rPr>
                <w:szCs w:val="20"/>
                <w:lang w:val="en-GB"/>
              </w:rPr>
              <w:t>Yes, we understand the intent of the proposal.</w:t>
            </w:r>
          </w:p>
        </w:tc>
        <w:tc>
          <w:tcPr>
            <w:tcW w:w="3605" w:type="dxa"/>
          </w:tcPr>
          <w:p w:rsidR="005023A8" w:rsidRPr="009606BA" w:rsidRDefault="00542C7A" w:rsidP="00131490">
            <w:pPr>
              <w:pStyle w:val="BodyTextNoSpacing"/>
              <w:rPr>
                <w:szCs w:val="20"/>
                <w:lang w:val="en-GB"/>
              </w:rPr>
            </w:pPr>
            <w:r>
              <w:rPr>
                <w:szCs w:val="20"/>
                <w:lang w:val="en-GB"/>
              </w:rPr>
              <w:t>Noted</w:t>
            </w:r>
          </w:p>
        </w:tc>
      </w:tr>
      <w:tr w:rsidR="005023A8" w:rsidRPr="003A569C" w:rsidTr="005023A8">
        <w:tc>
          <w:tcPr>
            <w:tcW w:w="1561" w:type="dxa"/>
          </w:tcPr>
          <w:p w:rsidR="005023A8" w:rsidRPr="001C70BC" w:rsidRDefault="001C70BC" w:rsidP="00131490">
            <w:pPr>
              <w:pStyle w:val="BodyTextNoSpacing"/>
              <w:rPr>
                <w:szCs w:val="20"/>
                <w:lang w:val="en-GB"/>
              </w:rPr>
            </w:pPr>
            <w:r>
              <w:rPr>
                <w:szCs w:val="20"/>
                <w:lang w:val="en-GB"/>
              </w:rPr>
              <w:t>UK Power Networks</w:t>
            </w:r>
          </w:p>
        </w:tc>
        <w:tc>
          <w:tcPr>
            <w:tcW w:w="1715" w:type="dxa"/>
          </w:tcPr>
          <w:p w:rsidR="005023A8" w:rsidRPr="001C70BC" w:rsidRDefault="001C70BC" w:rsidP="00131490">
            <w:pPr>
              <w:pStyle w:val="BodyTextNoSpacing"/>
              <w:rPr>
                <w:szCs w:val="20"/>
                <w:lang w:val="en-GB"/>
              </w:rPr>
            </w:pPr>
            <w:r>
              <w:rPr>
                <w:szCs w:val="20"/>
                <w:lang w:val="en-GB"/>
              </w:rPr>
              <w:t>Non-confidential</w:t>
            </w:r>
          </w:p>
        </w:tc>
        <w:tc>
          <w:tcPr>
            <w:tcW w:w="6959" w:type="dxa"/>
          </w:tcPr>
          <w:p w:rsidR="005023A8" w:rsidRPr="001C70BC" w:rsidRDefault="001C70BC" w:rsidP="00131490">
            <w:pPr>
              <w:pStyle w:val="BodyTextNoSpacing"/>
              <w:rPr>
                <w:szCs w:val="20"/>
                <w:lang w:val="en-GB"/>
              </w:rPr>
            </w:pPr>
            <w:r>
              <w:rPr>
                <w:szCs w:val="20"/>
                <w:lang w:val="en-GB"/>
              </w:rPr>
              <w:t>Yes.</w:t>
            </w:r>
          </w:p>
        </w:tc>
        <w:tc>
          <w:tcPr>
            <w:tcW w:w="3605" w:type="dxa"/>
          </w:tcPr>
          <w:p w:rsidR="005023A8" w:rsidRPr="009606BA" w:rsidRDefault="00542C7A" w:rsidP="00131490">
            <w:pPr>
              <w:pStyle w:val="BodyTextNoSpacing"/>
              <w:rPr>
                <w:szCs w:val="20"/>
                <w:lang w:val="en-GB"/>
              </w:rPr>
            </w:pPr>
            <w:r>
              <w:rPr>
                <w:szCs w:val="20"/>
                <w:lang w:val="en-GB"/>
              </w:rPr>
              <w:t>Noted</w:t>
            </w:r>
          </w:p>
        </w:tc>
      </w:tr>
      <w:tr w:rsidR="005023A8" w:rsidRPr="003A569C" w:rsidTr="005023A8">
        <w:tc>
          <w:tcPr>
            <w:tcW w:w="1561" w:type="dxa"/>
          </w:tcPr>
          <w:p w:rsidR="005023A8" w:rsidRPr="00E97531" w:rsidRDefault="00E97531" w:rsidP="00131490">
            <w:pPr>
              <w:pStyle w:val="BodyTextNoSpacing"/>
              <w:rPr>
                <w:szCs w:val="20"/>
                <w:lang w:val="en-GB"/>
              </w:rPr>
            </w:pPr>
            <w:r>
              <w:rPr>
                <w:szCs w:val="20"/>
                <w:lang w:val="en-GB"/>
              </w:rPr>
              <w:t>The Electricity Network Company Ltd</w:t>
            </w:r>
          </w:p>
        </w:tc>
        <w:tc>
          <w:tcPr>
            <w:tcW w:w="1715" w:type="dxa"/>
          </w:tcPr>
          <w:p w:rsidR="005023A8" w:rsidRPr="00E97531" w:rsidRDefault="00E97531" w:rsidP="00131490">
            <w:pPr>
              <w:pStyle w:val="BodyTextNoSpacing"/>
              <w:rPr>
                <w:szCs w:val="20"/>
                <w:lang w:val="en-GB"/>
              </w:rPr>
            </w:pPr>
            <w:r>
              <w:rPr>
                <w:szCs w:val="20"/>
                <w:lang w:val="en-GB"/>
              </w:rPr>
              <w:t>Non-confidential</w:t>
            </w:r>
          </w:p>
        </w:tc>
        <w:tc>
          <w:tcPr>
            <w:tcW w:w="6959" w:type="dxa"/>
          </w:tcPr>
          <w:p w:rsidR="005023A8" w:rsidRPr="00E97531" w:rsidRDefault="00E97531" w:rsidP="00131490">
            <w:pPr>
              <w:pStyle w:val="BodyTextNoSpacing"/>
              <w:rPr>
                <w:szCs w:val="20"/>
                <w:lang w:val="en-GB"/>
              </w:rPr>
            </w:pPr>
            <w:r>
              <w:rPr>
                <w:szCs w:val="20"/>
                <w:lang w:val="en-GB"/>
              </w:rPr>
              <w:t xml:space="preserve">Yes </w:t>
            </w:r>
          </w:p>
        </w:tc>
        <w:tc>
          <w:tcPr>
            <w:tcW w:w="3605" w:type="dxa"/>
          </w:tcPr>
          <w:p w:rsidR="005023A8" w:rsidRPr="009606BA" w:rsidRDefault="00542C7A" w:rsidP="00131490">
            <w:pPr>
              <w:pStyle w:val="BodyTextNoSpacing"/>
              <w:rPr>
                <w:szCs w:val="20"/>
                <w:lang w:val="en-GB"/>
              </w:rPr>
            </w:pPr>
            <w:r>
              <w:rPr>
                <w:szCs w:val="20"/>
                <w:lang w:val="en-GB"/>
              </w:rPr>
              <w:t>Noted</w:t>
            </w:r>
          </w:p>
        </w:tc>
      </w:tr>
      <w:tr w:rsidR="005023A8" w:rsidRPr="003A569C" w:rsidTr="00A467A4">
        <w:tc>
          <w:tcPr>
            <w:tcW w:w="13840" w:type="dxa"/>
            <w:gridSpan w:val="4"/>
          </w:tcPr>
          <w:p w:rsidR="005023A8" w:rsidRPr="00812D03" w:rsidRDefault="00DC78E6" w:rsidP="00131490">
            <w:pPr>
              <w:pStyle w:val="BodyTextNoSpacing"/>
              <w:rPr>
                <w:szCs w:val="20"/>
                <w:lang w:val="en-GB"/>
              </w:rPr>
            </w:pPr>
            <w:r>
              <w:rPr>
                <w:b/>
                <w:szCs w:val="20"/>
                <w:lang w:val="en-GB"/>
              </w:rPr>
              <w:t>Working Group Conclusions:</w:t>
            </w:r>
            <w:r w:rsidR="00812D03">
              <w:rPr>
                <w:b/>
                <w:szCs w:val="20"/>
                <w:lang w:val="en-GB"/>
              </w:rPr>
              <w:t xml:space="preserve"> </w:t>
            </w:r>
            <w:r w:rsidR="00542C7A">
              <w:rPr>
                <w:szCs w:val="20"/>
                <w:lang w:val="en-GB"/>
              </w:rPr>
              <w:t>The Working Group noted all responses and concluded that all respondents understood the intent of DCP 306.</w:t>
            </w:r>
          </w:p>
        </w:tc>
      </w:tr>
      <w:bookmarkEnd w:id="0"/>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88"/>
        <w:gridCol w:w="1701"/>
        <w:gridCol w:w="6946"/>
        <w:gridCol w:w="3605"/>
      </w:tblGrid>
      <w:tr w:rsidR="005023A8" w:rsidRPr="003A569C" w:rsidTr="00421520">
        <w:trPr>
          <w:cnfStyle w:val="100000000000" w:firstRow="1" w:lastRow="0" w:firstColumn="0" w:lastColumn="0" w:oddVBand="0" w:evenVBand="0" w:oddHBand="0" w:evenHBand="0" w:firstRowFirstColumn="0" w:firstRowLastColumn="0" w:lastRowFirstColumn="0" w:lastRowLastColumn="0"/>
        </w:trPr>
        <w:tc>
          <w:tcPr>
            <w:tcW w:w="1588" w:type="dxa"/>
          </w:tcPr>
          <w:p w:rsidR="005023A8" w:rsidRPr="003A569C" w:rsidRDefault="005023A8" w:rsidP="00131490">
            <w:pPr>
              <w:pStyle w:val="ColumnHeading"/>
              <w:rPr>
                <w:szCs w:val="20"/>
              </w:rPr>
            </w:pPr>
            <w:bookmarkStart w:id="1" w:name="dcusa_response2"/>
            <w:r w:rsidRPr="003A569C">
              <w:rPr>
                <w:szCs w:val="20"/>
              </w:rPr>
              <w:t>Company</w:t>
            </w:r>
          </w:p>
        </w:tc>
        <w:tc>
          <w:tcPr>
            <w:tcW w:w="1701"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946" w:type="dxa"/>
          </w:tcPr>
          <w:p w:rsidR="005023A8" w:rsidRPr="003A569C" w:rsidRDefault="009333C5" w:rsidP="00131490">
            <w:pPr>
              <w:pStyle w:val="Question"/>
              <w:rPr>
                <w:szCs w:val="20"/>
              </w:rPr>
            </w:pPr>
            <w:r>
              <w:rPr>
                <w:szCs w:val="20"/>
                <w:lang w:val="en-GB"/>
              </w:rPr>
              <w:t>Do you agree with the principles of DCP 306?</w:t>
            </w:r>
          </w:p>
        </w:tc>
        <w:tc>
          <w:tcPr>
            <w:tcW w:w="3605"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421520">
        <w:tc>
          <w:tcPr>
            <w:tcW w:w="1588" w:type="dxa"/>
          </w:tcPr>
          <w:p w:rsidR="005023A8" w:rsidRPr="00421520" w:rsidRDefault="00421520" w:rsidP="00131490">
            <w:pPr>
              <w:pStyle w:val="BodyTextNoSpacing"/>
              <w:rPr>
                <w:szCs w:val="20"/>
                <w:lang w:val="en-GB"/>
              </w:rPr>
            </w:pPr>
            <w:r>
              <w:rPr>
                <w:szCs w:val="20"/>
                <w:lang w:val="en-GB"/>
              </w:rPr>
              <w:t>ESP Electricity (ESPE)</w:t>
            </w:r>
          </w:p>
        </w:tc>
        <w:tc>
          <w:tcPr>
            <w:tcW w:w="1701" w:type="dxa"/>
          </w:tcPr>
          <w:p w:rsidR="005023A8" w:rsidRPr="00421520" w:rsidRDefault="00421520" w:rsidP="00131490">
            <w:pPr>
              <w:pStyle w:val="BodyTextNoSpacing"/>
              <w:rPr>
                <w:szCs w:val="20"/>
                <w:lang w:val="en-GB"/>
              </w:rPr>
            </w:pPr>
            <w:r>
              <w:rPr>
                <w:szCs w:val="20"/>
                <w:lang w:val="en-GB"/>
              </w:rPr>
              <w:t>Non-confidential</w:t>
            </w:r>
          </w:p>
        </w:tc>
        <w:tc>
          <w:tcPr>
            <w:tcW w:w="6946" w:type="dxa"/>
          </w:tcPr>
          <w:p w:rsidR="005023A8" w:rsidRPr="00421520" w:rsidRDefault="00421520" w:rsidP="00131490">
            <w:pPr>
              <w:pStyle w:val="BodyTextNoSpacing"/>
              <w:rPr>
                <w:szCs w:val="20"/>
                <w:lang w:val="en-GB"/>
              </w:rPr>
            </w:pPr>
            <w:r>
              <w:rPr>
                <w:szCs w:val="20"/>
                <w:lang w:val="en-GB"/>
              </w:rPr>
              <w:t>Yes, ESPE agrees with the principles of DCP 306</w:t>
            </w:r>
          </w:p>
        </w:tc>
        <w:tc>
          <w:tcPr>
            <w:tcW w:w="3605" w:type="dxa"/>
          </w:tcPr>
          <w:p w:rsidR="005023A8" w:rsidRPr="009606BA" w:rsidRDefault="002821A8" w:rsidP="00131490">
            <w:pPr>
              <w:pStyle w:val="BodyTextNoSpacing"/>
              <w:rPr>
                <w:szCs w:val="20"/>
                <w:lang w:val="en-GB"/>
              </w:rPr>
            </w:pPr>
            <w:r>
              <w:rPr>
                <w:szCs w:val="20"/>
                <w:lang w:val="en-GB"/>
              </w:rPr>
              <w:t>Noted</w:t>
            </w:r>
          </w:p>
        </w:tc>
      </w:tr>
      <w:tr w:rsidR="005023A8" w:rsidRPr="003A569C" w:rsidTr="00421520">
        <w:tc>
          <w:tcPr>
            <w:tcW w:w="1588" w:type="dxa"/>
          </w:tcPr>
          <w:p w:rsidR="005023A8" w:rsidRPr="00A90D7C" w:rsidRDefault="00A90D7C" w:rsidP="00131490">
            <w:pPr>
              <w:pStyle w:val="BodyTextNoSpacing"/>
              <w:rPr>
                <w:szCs w:val="20"/>
                <w:lang w:val="en-GB"/>
              </w:rPr>
            </w:pPr>
            <w:r>
              <w:rPr>
                <w:szCs w:val="20"/>
                <w:lang w:val="en-GB"/>
              </w:rPr>
              <w:lastRenderedPageBreak/>
              <w:t>Northern Powergrid</w:t>
            </w:r>
          </w:p>
        </w:tc>
        <w:tc>
          <w:tcPr>
            <w:tcW w:w="1701" w:type="dxa"/>
          </w:tcPr>
          <w:p w:rsidR="005023A8" w:rsidRPr="00A90D7C" w:rsidRDefault="00A90D7C" w:rsidP="00131490">
            <w:pPr>
              <w:pStyle w:val="BodyTextNoSpacing"/>
              <w:rPr>
                <w:szCs w:val="20"/>
                <w:lang w:val="en-GB"/>
              </w:rPr>
            </w:pPr>
            <w:r>
              <w:rPr>
                <w:szCs w:val="20"/>
                <w:lang w:val="en-GB"/>
              </w:rPr>
              <w:t>Non-confidential</w:t>
            </w:r>
          </w:p>
        </w:tc>
        <w:tc>
          <w:tcPr>
            <w:tcW w:w="6946" w:type="dxa"/>
          </w:tcPr>
          <w:p w:rsidR="005023A8" w:rsidRDefault="00A90D7C" w:rsidP="00131490">
            <w:pPr>
              <w:pStyle w:val="BodyTextNoSpacing"/>
              <w:rPr>
                <w:szCs w:val="20"/>
                <w:lang w:val="en-GB"/>
              </w:rPr>
            </w:pPr>
            <w:proofErr w:type="gramStart"/>
            <w:r>
              <w:rPr>
                <w:szCs w:val="20"/>
                <w:lang w:val="en-GB"/>
              </w:rPr>
              <w:t>Yes</w:t>
            </w:r>
            <w:proofErr w:type="gramEnd"/>
            <w:r>
              <w:rPr>
                <w:szCs w:val="20"/>
                <w:lang w:val="en-GB"/>
              </w:rPr>
              <w:t xml:space="preserve"> in principle, but this should be considered as part of the wider review the industry is carrying out. This change is arguably </w:t>
            </w:r>
            <w:proofErr w:type="gramStart"/>
            <w:r>
              <w:rPr>
                <w:szCs w:val="20"/>
                <w:lang w:val="en-GB"/>
              </w:rPr>
              <w:t>serve</w:t>
            </w:r>
            <w:proofErr w:type="gramEnd"/>
            <w:r>
              <w:rPr>
                <w:szCs w:val="20"/>
                <w:lang w:val="en-GB"/>
              </w:rPr>
              <w:t xml:space="preserve"> to increase cost reflectivity for part of the methodology, but it would be more appropriate to seek a resolution within the CDCM as well as the PCDM and therefore not introduce a further element of distortion, between the ‘all the way’ and IDNO charges.</w:t>
            </w:r>
          </w:p>
          <w:p w:rsidR="00A90D7C" w:rsidRDefault="00A90D7C" w:rsidP="00131490">
            <w:pPr>
              <w:pStyle w:val="BodyTextNoSpacing"/>
              <w:rPr>
                <w:szCs w:val="20"/>
                <w:lang w:val="en-GB"/>
              </w:rPr>
            </w:pPr>
          </w:p>
          <w:p w:rsidR="00A90D7C" w:rsidRDefault="00A90D7C" w:rsidP="00131490">
            <w:pPr>
              <w:pStyle w:val="BodyTextNoSpacing"/>
              <w:rPr>
                <w:szCs w:val="20"/>
                <w:lang w:val="en-GB"/>
              </w:rPr>
            </w:pPr>
            <w:r>
              <w:rPr>
                <w:szCs w:val="20"/>
                <w:lang w:val="en-GB"/>
              </w:rPr>
              <w:t xml:space="preserve">In addition, the concept of a cost reflectivity principle being better achieved using data ~10 years old and limited to licence </w:t>
            </w:r>
            <w:r w:rsidR="00D46C8F">
              <w:rPr>
                <w:szCs w:val="20"/>
                <w:lang w:val="en-GB"/>
              </w:rPr>
              <w:t>fees is in part a contradiction. We appreciate the rationale and restrictions that the proposer themselves acknowledges. We consider for the principle driving this change to be truly achieved there is a need for a more fundamental change which is not limited in scope to the PCDM, and this should be achieved via the wider industry review agenda. The resulting impact of this change will be to introduce a different methodology for allocating licence fees for IDNO and ‘all the way’ charges, which we believe should be avoided.</w:t>
            </w:r>
          </w:p>
          <w:p w:rsidR="00D46C8F" w:rsidRDefault="00D46C8F" w:rsidP="00131490">
            <w:pPr>
              <w:pStyle w:val="BodyTextNoSpacing"/>
              <w:rPr>
                <w:szCs w:val="20"/>
                <w:lang w:val="en-GB"/>
              </w:rPr>
            </w:pPr>
          </w:p>
          <w:p w:rsidR="00D46C8F" w:rsidRPr="00A90D7C" w:rsidRDefault="00D46C8F" w:rsidP="00131490">
            <w:pPr>
              <w:pStyle w:val="BodyTextNoSpacing"/>
              <w:rPr>
                <w:szCs w:val="20"/>
                <w:lang w:val="en-GB"/>
              </w:rPr>
            </w:pPr>
            <w:r>
              <w:rPr>
                <w:szCs w:val="20"/>
                <w:lang w:val="en-GB"/>
              </w:rPr>
              <w:t>Further, the issue which the change identifies is wider than simply the licence fee in the PCDM. Historically, overall demand on DNO networks was broadly proportional to customer numbers. Hence costs which are driven by customer numbers (e.g. call centre costs) could reasonably be allocated on either a £/customer or £/kWh basis, because if customer numbers increased demand also increased. With embedded generation and flexibility now prevalent on DNO networks, overall demand is no longer necessarily proportional to customer numbers, and so the assumption that £/customer costs can be allocated on a £/kWh basis is no longer valid. This is the case across both the CDCM and PCDM, and hence we believe this change in isolation will cause a distortion between the CDCM and PCDM.</w:t>
            </w:r>
          </w:p>
        </w:tc>
        <w:tc>
          <w:tcPr>
            <w:tcW w:w="3605" w:type="dxa"/>
          </w:tcPr>
          <w:p w:rsidR="005023A8" w:rsidRDefault="002821A8" w:rsidP="00131490">
            <w:pPr>
              <w:pStyle w:val="BodyTextNoSpacing"/>
              <w:rPr>
                <w:szCs w:val="20"/>
                <w:lang w:val="en-GB"/>
              </w:rPr>
            </w:pPr>
            <w:r>
              <w:rPr>
                <w:szCs w:val="20"/>
                <w:lang w:val="en-GB"/>
              </w:rPr>
              <w:t>The Working Group r</w:t>
            </w:r>
            <w:r w:rsidR="00812D03">
              <w:rPr>
                <w:szCs w:val="20"/>
                <w:lang w:val="en-GB"/>
              </w:rPr>
              <w:t>ecognise</w:t>
            </w:r>
            <w:r>
              <w:rPr>
                <w:szCs w:val="20"/>
                <w:lang w:val="en-GB"/>
              </w:rPr>
              <w:t xml:space="preserve"> </w:t>
            </w:r>
            <w:proofErr w:type="gramStart"/>
            <w:r>
              <w:rPr>
                <w:szCs w:val="20"/>
                <w:lang w:val="en-GB"/>
              </w:rPr>
              <w:t xml:space="preserve">the </w:t>
            </w:r>
            <w:r w:rsidR="00812D03">
              <w:rPr>
                <w:szCs w:val="20"/>
                <w:lang w:val="en-GB"/>
              </w:rPr>
              <w:t xml:space="preserve"> NPG</w:t>
            </w:r>
            <w:proofErr w:type="gramEnd"/>
            <w:r w:rsidR="00812D03">
              <w:rPr>
                <w:szCs w:val="20"/>
                <w:lang w:val="en-GB"/>
              </w:rPr>
              <w:t xml:space="preserve"> response, however, </w:t>
            </w:r>
            <w:r>
              <w:rPr>
                <w:szCs w:val="20"/>
                <w:lang w:val="en-GB"/>
              </w:rPr>
              <w:t xml:space="preserve">the </w:t>
            </w:r>
            <w:r w:rsidR="00812D03">
              <w:rPr>
                <w:szCs w:val="20"/>
                <w:lang w:val="en-GB"/>
              </w:rPr>
              <w:t xml:space="preserve">intent </w:t>
            </w:r>
            <w:r>
              <w:rPr>
                <w:szCs w:val="20"/>
                <w:lang w:val="en-GB"/>
              </w:rPr>
              <w:t xml:space="preserve">of the CP </w:t>
            </w:r>
            <w:r w:rsidR="00812D03">
              <w:rPr>
                <w:szCs w:val="20"/>
                <w:lang w:val="en-GB"/>
              </w:rPr>
              <w:t xml:space="preserve">is clear that </w:t>
            </w:r>
            <w:r>
              <w:rPr>
                <w:szCs w:val="20"/>
                <w:lang w:val="en-GB"/>
              </w:rPr>
              <w:t xml:space="preserve">it will </w:t>
            </w:r>
            <w:r w:rsidR="00812D03">
              <w:rPr>
                <w:szCs w:val="20"/>
                <w:lang w:val="en-GB"/>
              </w:rPr>
              <w:t>only</w:t>
            </w:r>
            <w:r>
              <w:rPr>
                <w:szCs w:val="20"/>
                <w:lang w:val="en-GB"/>
              </w:rPr>
              <w:t xml:space="preserve"> be</w:t>
            </w:r>
            <w:r w:rsidR="00812D03">
              <w:rPr>
                <w:szCs w:val="20"/>
                <w:lang w:val="en-GB"/>
              </w:rPr>
              <w:t xml:space="preserve"> looking at</w:t>
            </w:r>
            <w:r>
              <w:rPr>
                <w:szCs w:val="20"/>
                <w:lang w:val="en-GB"/>
              </w:rPr>
              <w:t xml:space="preserve"> the</w:t>
            </w:r>
            <w:r w:rsidR="00812D03">
              <w:rPr>
                <w:szCs w:val="20"/>
                <w:lang w:val="en-GB"/>
              </w:rPr>
              <w:t xml:space="preserve"> PCDM and so</w:t>
            </w:r>
            <w:r>
              <w:rPr>
                <w:szCs w:val="20"/>
                <w:lang w:val="en-GB"/>
              </w:rPr>
              <w:t xml:space="preserve"> the</w:t>
            </w:r>
            <w:r w:rsidR="00812D03">
              <w:rPr>
                <w:szCs w:val="20"/>
                <w:lang w:val="en-GB"/>
              </w:rPr>
              <w:t xml:space="preserve"> CDCM is out of scope for this change.</w:t>
            </w:r>
          </w:p>
          <w:p w:rsidR="00B67581" w:rsidRDefault="00B67581" w:rsidP="00131490">
            <w:pPr>
              <w:pStyle w:val="BodyTextNoSpacing"/>
              <w:rPr>
                <w:szCs w:val="20"/>
                <w:lang w:val="en-GB"/>
              </w:rPr>
            </w:pPr>
          </w:p>
          <w:p w:rsidR="00B67581" w:rsidRPr="009606BA" w:rsidRDefault="00B67581" w:rsidP="00131490">
            <w:pPr>
              <w:pStyle w:val="BodyTextNoSpacing"/>
              <w:rPr>
                <w:szCs w:val="20"/>
                <w:lang w:val="en-GB"/>
              </w:rPr>
            </w:pPr>
          </w:p>
        </w:tc>
      </w:tr>
      <w:tr w:rsidR="005023A8" w:rsidRPr="003A569C" w:rsidTr="00421520">
        <w:tc>
          <w:tcPr>
            <w:tcW w:w="1588" w:type="dxa"/>
          </w:tcPr>
          <w:p w:rsidR="005023A8" w:rsidRPr="008762CD" w:rsidRDefault="008762CD" w:rsidP="00131490">
            <w:pPr>
              <w:pStyle w:val="BodyTextNoSpacing"/>
              <w:rPr>
                <w:szCs w:val="20"/>
                <w:lang w:val="en-GB"/>
              </w:rPr>
            </w:pPr>
            <w:r>
              <w:rPr>
                <w:szCs w:val="20"/>
                <w:lang w:val="en-GB"/>
              </w:rPr>
              <w:t>WPD</w:t>
            </w:r>
          </w:p>
        </w:tc>
        <w:tc>
          <w:tcPr>
            <w:tcW w:w="1701" w:type="dxa"/>
          </w:tcPr>
          <w:p w:rsidR="005023A8" w:rsidRPr="008762CD" w:rsidRDefault="008762CD" w:rsidP="00131490">
            <w:pPr>
              <w:pStyle w:val="BodyTextNoSpacing"/>
              <w:rPr>
                <w:szCs w:val="20"/>
                <w:lang w:val="en-GB"/>
              </w:rPr>
            </w:pPr>
            <w:r>
              <w:rPr>
                <w:szCs w:val="20"/>
                <w:lang w:val="en-GB"/>
              </w:rPr>
              <w:t xml:space="preserve">Non-confidential </w:t>
            </w:r>
          </w:p>
        </w:tc>
        <w:tc>
          <w:tcPr>
            <w:tcW w:w="6946" w:type="dxa"/>
          </w:tcPr>
          <w:p w:rsidR="005023A8" w:rsidRPr="008762CD" w:rsidRDefault="008762CD" w:rsidP="00131490">
            <w:pPr>
              <w:pStyle w:val="BodyTextNoSpacing"/>
              <w:rPr>
                <w:szCs w:val="20"/>
                <w:lang w:val="en-GB"/>
              </w:rPr>
            </w:pPr>
            <w:r>
              <w:rPr>
                <w:szCs w:val="20"/>
                <w:lang w:val="en-GB"/>
              </w:rPr>
              <w:t xml:space="preserve">Yes </w:t>
            </w:r>
          </w:p>
        </w:tc>
        <w:tc>
          <w:tcPr>
            <w:tcW w:w="3605" w:type="dxa"/>
          </w:tcPr>
          <w:p w:rsidR="005023A8" w:rsidRPr="009606BA" w:rsidRDefault="002821A8" w:rsidP="00131490">
            <w:pPr>
              <w:pStyle w:val="BodyText"/>
              <w:jc w:val="both"/>
              <w:rPr>
                <w:rFonts w:ascii="Verdana" w:hAnsi="Verdana"/>
                <w:sz w:val="20"/>
                <w:szCs w:val="20"/>
                <w:lang w:val="en-GB"/>
              </w:rPr>
            </w:pPr>
            <w:r>
              <w:rPr>
                <w:rFonts w:ascii="Verdana" w:hAnsi="Verdana"/>
                <w:sz w:val="20"/>
                <w:szCs w:val="20"/>
                <w:lang w:val="en-GB"/>
              </w:rPr>
              <w:t>Noted</w:t>
            </w:r>
          </w:p>
        </w:tc>
      </w:tr>
      <w:tr w:rsidR="005023A8" w:rsidRPr="003A569C" w:rsidTr="00421520">
        <w:tc>
          <w:tcPr>
            <w:tcW w:w="1588" w:type="dxa"/>
          </w:tcPr>
          <w:p w:rsidR="005023A8" w:rsidRPr="00A467A4" w:rsidRDefault="00A467A4" w:rsidP="00131490">
            <w:pPr>
              <w:pStyle w:val="BodyTextNoSpacing"/>
              <w:rPr>
                <w:szCs w:val="20"/>
                <w:lang w:val="en-GB"/>
              </w:rPr>
            </w:pPr>
            <w:r>
              <w:rPr>
                <w:szCs w:val="20"/>
                <w:lang w:val="en-GB"/>
              </w:rPr>
              <w:lastRenderedPageBreak/>
              <w:t>Electricity North West</w:t>
            </w:r>
          </w:p>
        </w:tc>
        <w:tc>
          <w:tcPr>
            <w:tcW w:w="1701" w:type="dxa"/>
          </w:tcPr>
          <w:p w:rsidR="005023A8" w:rsidRPr="00A467A4" w:rsidRDefault="00A467A4" w:rsidP="00131490">
            <w:pPr>
              <w:pStyle w:val="BodyTextNoSpacing"/>
              <w:rPr>
                <w:szCs w:val="20"/>
                <w:lang w:val="en-GB"/>
              </w:rPr>
            </w:pPr>
            <w:r>
              <w:rPr>
                <w:szCs w:val="20"/>
                <w:lang w:val="en-GB"/>
              </w:rPr>
              <w:t>Non-confidential</w:t>
            </w:r>
          </w:p>
        </w:tc>
        <w:tc>
          <w:tcPr>
            <w:tcW w:w="6946" w:type="dxa"/>
          </w:tcPr>
          <w:p w:rsidR="005023A8" w:rsidRDefault="00A467A4" w:rsidP="00131490">
            <w:pPr>
              <w:pStyle w:val="BodyTextNoSpacing"/>
              <w:rPr>
                <w:szCs w:val="20"/>
                <w:lang w:val="en-GB"/>
              </w:rPr>
            </w:pPr>
            <w:r>
              <w:rPr>
                <w:szCs w:val="20"/>
                <w:lang w:val="en-GB"/>
              </w:rPr>
              <w:t>No, we are not in agreement with the principles of the change proposal. The proposer suggests that the Ofgem Licence Fees for a DNO are determined by MPANs (customer numbers).</w:t>
            </w:r>
          </w:p>
          <w:p w:rsidR="00A467A4" w:rsidRDefault="00A467A4" w:rsidP="00131490">
            <w:pPr>
              <w:pStyle w:val="BodyTextNoSpacing"/>
              <w:rPr>
                <w:szCs w:val="20"/>
                <w:lang w:val="en-GB"/>
              </w:rPr>
            </w:pPr>
          </w:p>
          <w:p w:rsidR="00A467A4" w:rsidRDefault="00A467A4" w:rsidP="00131490">
            <w:pPr>
              <w:pStyle w:val="BodyTextNoSpacing"/>
              <w:rPr>
                <w:lang w:val="en-GB"/>
              </w:rPr>
            </w:pPr>
            <w:r>
              <w:rPr>
                <w:szCs w:val="20"/>
                <w:lang w:val="en-GB"/>
              </w:rPr>
              <w:t xml:space="preserve">The principles of calculating the Ofgem Licence Fee are set out in Licence Fee Cost Recovery Principles (LFCRP) document issued in April 2016 </w:t>
            </w:r>
            <w:r>
              <w:t>(</w:t>
            </w:r>
            <w:r w:rsidR="00386DB4">
              <w:fldChar w:fldCharType="begin"/>
            </w:r>
            <w:r w:rsidR="00386DB4">
              <w:instrText xml:space="preserve"> HYPERLINK "https://www.ofgem.gov.uk/system/files/docs/2016/11/lfcrp_document_april_2016.pdf" </w:instrText>
            </w:r>
            <w:r w:rsidR="00386DB4">
              <w:fldChar w:fldCharType="separate"/>
            </w:r>
            <w:r w:rsidRPr="00136EBE">
              <w:rPr>
                <w:rStyle w:val="Hyperlink"/>
              </w:rPr>
              <w:t>https://www.ofgem.gov.uk/system/files/docs/2016/11/lfcrp_document_april_2016.pdf</w:t>
            </w:r>
            <w:r w:rsidR="00386DB4">
              <w:rPr>
                <w:rStyle w:val="Hyperlink"/>
              </w:rPr>
              <w:fldChar w:fldCharType="end"/>
            </w:r>
            <w:r>
              <w:t xml:space="preserve">).  </w:t>
            </w:r>
            <w:r>
              <w:rPr>
                <w:lang w:val="en-GB"/>
              </w:rPr>
              <w:t xml:space="preserve">As the LFCRP makes clear the licence fee costs charged to an Electricity Distributor under this methodology can additionally vary by: the number of electricity customers in total, the number of gas customers, an allocation percentage chosen by Ofgem between transmission and distribution (50%); and the total cost base of Ofgem. Given this we do not accept that MPANs are a driver of this cost. We believe it more likely that the key driver of this cost is the resource Ofgem requires (its cost base) to </w:t>
            </w:r>
            <w:proofErr w:type="spellStart"/>
            <w:r>
              <w:rPr>
                <w:lang w:val="en-GB"/>
              </w:rPr>
              <w:t>met</w:t>
            </w:r>
            <w:proofErr w:type="spellEnd"/>
            <w:r>
              <w:rPr>
                <w:lang w:val="en-GB"/>
              </w:rPr>
              <w:t xml:space="preserve"> its needs as a regulator.</w:t>
            </w:r>
          </w:p>
          <w:p w:rsidR="00A467A4" w:rsidRDefault="00A467A4" w:rsidP="00131490">
            <w:pPr>
              <w:pStyle w:val="BodyTextNoSpacing"/>
              <w:rPr>
                <w:lang w:val="en-GB"/>
              </w:rPr>
            </w:pPr>
          </w:p>
          <w:p w:rsidR="00A467A4" w:rsidRDefault="00A467A4" w:rsidP="00131490">
            <w:pPr>
              <w:pStyle w:val="BodyTextNoSpacing"/>
              <w:rPr>
                <w:lang w:val="en-GB"/>
              </w:rPr>
            </w:pPr>
            <w:r>
              <w:rPr>
                <w:lang w:val="en-GB"/>
              </w:rPr>
              <w:t xml:space="preserve">We do not believe that the resource requirements of Ofgem are directly proportionate to the number of Electricity </w:t>
            </w:r>
            <w:r w:rsidR="00586EE9">
              <w:rPr>
                <w:lang w:val="en-GB"/>
              </w:rPr>
              <w:t>customers in the UK or a DNO area, but will be more likely determined by factors such as, for example: the level of change in the industry; the behaviour of industry participants; and legislative requirements.</w:t>
            </w:r>
          </w:p>
          <w:p w:rsidR="00586EE9" w:rsidRDefault="00586EE9" w:rsidP="00131490">
            <w:pPr>
              <w:pStyle w:val="BodyTextNoSpacing"/>
              <w:rPr>
                <w:lang w:val="en-GB"/>
              </w:rPr>
            </w:pPr>
          </w:p>
          <w:p w:rsidR="00586EE9" w:rsidRPr="00A467A4" w:rsidRDefault="00586EE9" w:rsidP="00131490">
            <w:pPr>
              <w:pStyle w:val="BodyTextNoSpacing"/>
              <w:rPr>
                <w:szCs w:val="20"/>
                <w:lang w:val="en-GB"/>
              </w:rPr>
            </w:pPr>
            <w:r>
              <w:rPr>
                <w:lang w:val="en-GB"/>
              </w:rPr>
              <w:t>We believe that MPANs have been chosen by Ofgem as a readily available proxy for the relative size of the entities and industries it is responsible for regulating. It is on this basis that MPAN numbers are used to allocate the total amount to be recovered via the Licence Fee to individual industry parties. We do not believe that the use of MPANs in this calculation dictates that this is the true driver of this cost or that DNOs should allocate this cost to their customers on the same basis.</w:t>
            </w:r>
          </w:p>
        </w:tc>
        <w:tc>
          <w:tcPr>
            <w:tcW w:w="3605" w:type="dxa"/>
          </w:tcPr>
          <w:p w:rsidR="005023A8" w:rsidRPr="009606BA" w:rsidRDefault="002821A8" w:rsidP="00131490">
            <w:pPr>
              <w:pStyle w:val="BodyTextNoSpacing"/>
              <w:rPr>
                <w:szCs w:val="20"/>
                <w:lang w:val="en-GB"/>
              </w:rPr>
            </w:pPr>
            <w:r>
              <w:rPr>
                <w:szCs w:val="20"/>
                <w:lang w:val="en-GB"/>
              </w:rPr>
              <w:t>The Working Group a</w:t>
            </w:r>
            <w:r w:rsidR="00B67581">
              <w:rPr>
                <w:szCs w:val="20"/>
                <w:lang w:val="en-GB"/>
              </w:rPr>
              <w:t>ccept comments made on how the costs are produced by Ofgem</w:t>
            </w:r>
            <w:r>
              <w:rPr>
                <w:szCs w:val="20"/>
                <w:lang w:val="en-GB"/>
              </w:rPr>
              <w:t xml:space="preserve">. This CP is looking at </w:t>
            </w:r>
            <w:r w:rsidR="00B67581">
              <w:rPr>
                <w:szCs w:val="20"/>
                <w:lang w:val="en-GB"/>
              </w:rPr>
              <w:t>allocat</w:t>
            </w:r>
            <w:r>
              <w:rPr>
                <w:szCs w:val="20"/>
                <w:lang w:val="en-GB"/>
              </w:rPr>
              <w:t>ing</w:t>
            </w:r>
            <w:r w:rsidR="00B67581">
              <w:rPr>
                <w:szCs w:val="20"/>
                <w:lang w:val="en-GB"/>
              </w:rPr>
              <w:t xml:space="preserve"> on</w:t>
            </w:r>
            <w:r>
              <w:rPr>
                <w:szCs w:val="20"/>
                <w:lang w:val="en-GB"/>
              </w:rPr>
              <w:t xml:space="preserve"> a</w:t>
            </w:r>
            <w:r w:rsidR="00B67581">
              <w:rPr>
                <w:szCs w:val="20"/>
                <w:lang w:val="en-GB"/>
              </w:rPr>
              <w:t xml:space="preserve"> £/MPAN basis</w:t>
            </w:r>
            <w:r>
              <w:rPr>
                <w:szCs w:val="20"/>
                <w:lang w:val="en-GB"/>
              </w:rPr>
              <w:t xml:space="preserve"> which</w:t>
            </w:r>
            <w:r w:rsidR="00B67581">
              <w:rPr>
                <w:szCs w:val="20"/>
                <w:lang w:val="en-GB"/>
              </w:rPr>
              <w:t xml:space="preserve"> is moving from </w:t>
            </w:r>
            <w:r>
              <w:rPr>
                <w:szCs w:val="20"/>
                <w:lang w:val="en-GB"/>
              </w:rPr>
              <w:t xml:space="preserve">a </w:t>
            </w:r>
            <w:r w:rsidR="00B67581">
              <w:rPr>
                <w:szCs w:val="20"/>
                <w:lang w:val="en-GB"/>
              </w:rPr>
              <w:t>fixed cost to</w:t>
            </w:r>
            <w:r>
              <w:rPr>
                <w:szCs w:val="20"/>
                <w:lang w:val="en-GB"/>
              </w:rPr>
              <w:t xml:space="preserve"> a</w:t>
            </w:r>
            <w:r w:rsidR="00B67581">
              <w:rPr>
                <w:szCs w:val="20"/>
                <w:lang w:val="en-GB"/>
              </w:rPr>
              <w:t xml:space="preserve"> unit cost method and is not a like for like of what happens currently. </w:t>
            </w:r>
          </w:p>
        </w:tc>
      </w:tr>
      <w:tr w:rsidR="005023A8" w:rsidRPr="003A569C" w:rsidTr="00421520">
        <w:tc>
          <w:tcPr>
            <w:tcW w:w="1588" w:type="dxa"/>
          </w:tcPr>
          <w:p w:rsidR="005023A8" w:rsidRPr="001C70BC" w:rsidRDefault="001C70BC" w:rsidP="00131490">
            <w:pPr>
              <w:pStyle w:val="BodyTextNoSpacing"/>
              <w:rPr>
                <w:szCs w:val="20"/>
                <w:lang w:val="en-GB"/>
              </w:rPr>
            </w:pPr>
            <w:r>
              <w:rPr>
                <w:szCs w:val="20"/>
                <w:lang w:val="en-GB"/>
              </w:rPr>
              <w:t>UK Power Networks</w:t>
            </w:r>
          </w:p>
        </w:tc>
        <w:tc>
          <w:tcPr>
            <w:tcW w:w="1701" w:type="dxa"/>
          </w:tcPr>
          <w:p w:rsidR="005023A8" w:rsidRPr="001C70BC" w:rsidRDefault="001C70BC" w:rsidP="00131490">
            <w:pPr>
              <w:pStyle w:val="BodyTextNoSpacing"/>
              <w:rPr>
                <w:szCs w:val="20"/>
                <w:lang w:val="en-GB"/>
              </w:rPr>
            </w:pPr>
            <w:r>
              <w:rPr>
                <w:szCs w:val="20"/>
                <w:lang w:val="en-GB"/>
              </w:rPr>
              <w:t>Non-confidential</w:t>
            </w:r>
          </w:p>
        </w:tc>
        <w:tc>
          <w:tcPr>
            <w:tcW w:w="6946" w:type="dxa"/>
          </w:tcPr>
          <w:p w:rsidR="005023A8" w:rsidRPr="001C70BC" w:rsidRDefault="001C70BC" w:rsidP="00131490">
            <w:pPr>
              <w:pStyle w:val="BodyTextNoSpacing"/>
              <w:rPr>
                <w:szCs w:val="20"/>
                <w:lang w:val="en-GB"/>
              </w:rPr>
            </w:pPr>
            <w:r>
              <w:rPr>
                <w:szCs w:val="20"/>
                <w:lang w:val="en-GB"/>
              </w:rPr>
              <w:t>Yes.</w:t>
            </w:r>
          </w:p>
        </w:tc>
        <w:tc>
          <w:tcPr>
            <w:tcW w:w="3605" w:type="dxa"/>
          </w:tcPr>
          <w:p w:rsidR="005023A8" w:rsidRPr="009606BA" w:rsidRDefault="002821A8" w:rsidP="00131490">
            <w:pPr>
              <w:pStyle w:val="BodyTextNoSpacing"/>
              <w:rPr>
                <w:szCs w:val="20"/>
                <w:lang w:val="en-GB"/>
              </w:rPr>
            </w:pPr>
            <w:r>
              <w:rPr>
                <w:szCs w:val="20"/>
                <w:lang w:val="en-GB"/>
              </w:rPr>
              <w:t>Noted</w:t>
            </w:r>
          </w:p>
        </w:tc>
      </w:tr>
      <w:tr w:rsidR="005023A8" w:rsidRPr="003A569C" w:rsidTr="00421520">
        <w:tc>
          <w:tcPr>
            <w:tcW w:w="1588" w:type="dxa"/>
          </w:tcPr>
          <w:p w:rsidR="005023A8" w:rsidRPr="00E97531" w:rsidRDefault="00E97531" w:rsidP="00131490">
            <w:pPr>
              <w:pStyle w:val="BodyTextNoSpacing"/>
              <w:rPr>
                <w:szCs w:val="20"/>
                <w:lang w:val="en-GB"/>
              </w:rPr>
            </w:pPr>
            <w:r>
              <w:rPr>
                <w:szCs w:val="20"/>
                <w:lang w:val="en-GB"/>
              </w:rPr>
              <w:lastRenderedPageBreak/>
              <w:t>The Electricity Network Company Ltd</w:t>
            </w:r>
          </w:p>
        </w:tc>
        <w:tc>
          <w:tcPr>
            <w:tcW w:w="1701" w:type="dxa"/>
          </w:tcPr>
          <w:p w:rsidR="005023A8" w:rsidRPr="00E97531" w:rsidRDefault="00E97531" w:rsidP="00131490">
            <w:pPr>
              <w:pStyle w:val="BodyTextNoSpacing"/>
              <w:rPr>
                <w:szCs w:val="20"/>
                <w:lang w:val="en-GB"/>
              </w:rPr>
            </w:pPr>
            <w:r>
              <w:rPr>
                <w:szCs w:val="20"/>
                <w:lang w:val="en-GB"/>
              </w:rPr>
              <w:t xml:space="preserve">Non-confidential </w:t>
            </w:r>
          </w:p>
        </w:tc>
        <w:tc>
          <w:tcPr>
            <w:tcW w:w="6946" w:type="dxa"/>
          </w:tcPr>
          <w:p w:rsidR="005023A8" w:rsidRPr="00E97531" w:rsidRDefault="00E97531" w:rsidP="00131490">
            <w:pPr>
              <w:pStyle w:val="BodyText"/>
              <w:jc w:val="both"/>
              <w:rPr>
                <w:rFonts w:ascii="Verdana" w:hAnsi="Verdana"/>
                <w:sz w:val="20"/>
                <w:szCs w:val="20"/>
                <w:lang w:val="en-GB"/>
              </w:rPr>
            </w:pPr>
            <w:r>
              <w:rPr>
                <w:rFonts w:ascii="Verdana" w:hAnsi="Verdana"/>
                <w:sz w:val="20"/>
                <w:szCs w:val="20"/>
                <w:lang w:val="en-GB"/>
              </w:rPr>
              <w:t xml:space="preserve">Yes </w:t>
            </w:r>
          </w:p>
        </w:tc>
        <w:tc>
          <w:tcPr>
            <w:tcW w:w="3605" w:type="dxa"/>
          </w:tcPr>
          <w:p w:rsidR="005023A8" w:rsidRPr="009606BA" w:rsidRDefault="002821A8" w:rsidP="00131490">
            <w:pPr>
              <w:pStyle w:val="BodyText"/>
              <w:jc w:val="both"/>
              <w:rPr>
                <w:rFonts w:ascii="Verdana" w:hAnsi="Verdana"/>
                <w:sz w:val="20"/>
                <w:szCs w:val="20"/>
                <w:lang w:val="en-GB"/>
              </w:rPr>
            </w:pPr>
            <w:r>
              <w:rPr>
                <w:rFonts w:ascii="Verdana" w:hAnsi="Verdana"/>
                <w:sz w:val="20"/>
                <w:szCs w:val="20"/>
                <w:lang w:val="en-GB"/>
              </w:rPr>
              <w:t>Noted</w:t>
            </w:r>
          </w:p>
        </w:tc>
      </w:tr>
      <w:tr w:rsidR="005023A8" w:rsidRPr="003A569C" w:rsidTr="00A467A4">
        <w:tc>
          <w:tcPr>
            <w:tcW w:w="13840" w:type="dxa"/>
            <w:gridSpan w:val="4"/>
          </w:tcPr>
          <w:p w:rsidR="005023A8" w:rsidRPr="00B17376" w:rsidRDefault="00DC78E6" w:rsidP="00131490">
            <w:pPr>
              <w:pStyle w:val="BodyText"/>
              <w:jc w:val="both"/>
              <w:rPr>
                <w:rFonts w:ascii="Verdana" w:hAnsi="Verdana"/>
                <w:sz w:val="20"/>
                <w:szCs w:val="20"/>
                <w:lang w:val="en-GB"/>
              </w:rPr>
            </w:pPr>
            <w:r w:rsidRPr="00DC78E6">
              <w:rPr>
                <w:rFonts w:ascii="Verdana" w:hAnsi="Verdana"/>
                <w:b/>
                <w:sz w:val="20"/>
                <w:szCs w:val="20"/>
                <w:lang w:val="en-GB"/>
              </w:rPr>
              <w:t>Working Group Conclusions:</w:t>
            </w:r>
            <w:r w:rsidR="000B33A4">
              <w:rPr>
                <w:rFonts w:ascii="Verdana" w:hAnsi="Verdana"/>
                <w:b/>
                <w:sz w:val="20"/>
                <w:szCs w:val="20"/>
                <w:lang w:val="en-GB"/>
              </w:rPr>
              <w:t xml:space="preserve"> </w:t>
            </w:r>
            <w:r w:rsidR="002821A8">
              <w:rPr>
                <w:rFonts w:ascii="Verdana" w:hAnsi="Verdana"/>
                <w:sz w:val="20"/>
                <w:szCs w:val="20"/>
                <w:lang w:val="en-GB"/>
              </w:rPr>
              <w:t xml:space="preserve">The Working Group concluded that </w:t>
            </w:r>
            <w:r w:rsidR="00B17376">
              <w:rPr>
                <w:rFonts w:ascii="Verdana" w:hAnsi="Verdana"/>
                <w:sz w:val="20"/>
                <w:szCs w:val="20"/>
                <w:lang w:val="en-GB"/>
              </w:rPr>
              <w:t>5</w:t>
            </w:r>
            <w:r w:rsidR="002821A8">
              <w:rPr>
                <w:rFonts w:ascii="Verdana" w:hAnsi="Verdana"/>
                <w:sz w:val="20"/>
                <w:szCs w:val="20"/>
                <w:lang w:val="en-GB"/>
              </w:rPr>
              <w:t xml:space="preserve"> respondents</w:t>
            </w:r>
            <w:r w:rsidR="00B17376">
              <w:rPr>
                <w:rFonts w:ascii="Verdana" w:hAnsi="Verdana"/>
                <w:sz w:val="20"/>
                <w:szCs w:val="20"/>
                <w:lang w:val="en-GB"/>
              </w:rPr>
              <w:t xml:space="preserve"> agree</w:t>
            </w:r>
            <w:r w:rsidR="002821A8">
              <w:rPr>
                <w:rFonts w:ascii="Verdana" w:hAnsi="Verdana"/>
                <w:sz w:val="20"/>
                <w:szCs w:val="20"/>
                <w:lang w:val="en-GB"/>
              </w:rPr>
              <w:t xml:space="preserve"> with the principles of the change but </w:t>
            </w:r>
            <w:r w:rsidR="00B17376">
              <w:rPr>
                <w:rFonts w:ascii="Verdana" w:hAnsi="Verdana"/>
                <w:sz w:val="20"/>
                <w:szCs w:val="20"/>
                <w:lang w:val="en-GB"/>
              </w:rPr>
              <w:t>1</w:t>
            </w:r>
            <w:r w:rsidR="002821A8">
              <w:rPr>
                <w:rFonts w:ascii="Verdana" w:hAnsi="Verdana"/>
                <w:sz w:val="20"/>
                <w:szCs w:val="20"/>
                <w:lang w:val="en-GB"/>
              </w:rPr>
              <w:t xml:space="preserve"> respondent</w:t>
            </w:r>
            <w:r w:rsidR="00B17376">
              <w:rPr>
                <w:rFonts w:ascii="Verdana" w:hAnsi="Verdana"/>
                <w:sz w:val="20"/>
                <w:szCs w:val="20"/>
                <w:lang w:val="en-GB"/>
              </w:rPr>
              <w:t xml:space="preserve"> disagree</w:t>
            </w:r>
            <w:r w:rsidR="003B4806">
              <w:rPr>
                <w:rFonts w:ascii="Verdana" w:hAnsi="Verdana"/>
                <w:sz w:val="20"/>
                <w:szCs w:val="20"/>
                <w:lang w:val="en-GB"/>
              </w:rPr>
              <w:t>s. The Working Group</w:t>
            </w:r>
            <w:r w:rsidR="00B17376">
              <w:rPr>
                <w:rFonts w:ascii="Verdana" w:hAnsi="Verdana"/>
                <w:sz w:val="20"/>
                <w:szCs w:val="20"/>
                <w:lang w:val="en-GB"/>
              </w:rPr>
              <w:t xml:space="preserve"> </w:t>
            </w:r>
            <w:r w:rsidR="003B4806">
              <w:rPr>
                <w:rFonts w:ascii="Verdana" w:hAnsi="Verdana"/>
                <w:sz w:val="20"/>
                <w:szCs w:val="20"/>
                <w:lang w:val="en-GB"/>
              </w:rPr>
              <w:t>believe that the change will provide better cost reflectivity by continuing with the principles of the change.</w:t>
            </w:r>
            <w:r w:rsidR="00B17376">
              <w:rPr>
                <w:rFonts w:ascii="Verdana" w:hAnsi="Verdana"/>
                <w:sz w:val="20"/>
                <w:szCs w:val="20"/>
                <w:lang w:val="en-GB"/>
              </w:rPr>
              <w:t xml:space="preserve"> </w:t>
            </w:r>
          </w:p>
        </w:tc>
      </w:tr>
      <w:bookmarkEnd w:id="1"/>
    </w:tbl>
    <w:p w:rsidR="00131490" w:rsidRPr="003A569C" w:rsidRDefault="00131490">
      <w:pPr>
        <w:rPr>
          <w:rFonts w:ascii="Verdana" w:hAnsi="Verdana"/>
          <w:sz w:val="20"/>
          <w:szCs w:val="20"/>
        </w:rPr>
      </w:pPr>
    </w:p>
    <w:tbl>
      <w:tblPr>
        <w:tblStyle w:val="ElectralinkResponseTable"/>
        <w:tblW w:w="13779" w:type="dxa"/>
        <w:tblInd w:w="108" w:type="dxa"/>
        <w:tblLayout w:type="fixed"/>
        <w:tblLook w:val="04A0" w:firstRow="1" w:lastRow="0" w:firstColumn="1" w:lastColumn="0" w:noHBand="0" w:noVBand="1"/>
      </w:tblPr>
      <w:tblGrid>
        <w:gridCol w:w="1701"/>
        <w:gridCol w:w="1871"/>
        <w:gridCol w:w="6663"/>
        <w:gridCol w:w="3544"/>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701" w:type="dxa"/>
          </w:tcPr>
          <w:p w:rsidR="005023A8" w:rsidRPr="003A569C" w:rsidRDefault="005023A8" w:rsidP="00131490">
            <w:pPr>
              <w:pStyle w:val="ColumnHeading"/>
              <w:rPr>
                <w:szCs w:val="20"/>
              </w:rPr>
            </w:pPr>
            <w:bookmarkStart w:id="2" w:name="dcusa_response3"/>
            <w:r w:rsidRPr="003A569C">
              <w:rPr>
                <w:szCs w:val="20"/>
              </w:rPr>
              <w:t>Company</w:t>
            </w:r>
          </w:p>
        </w:tc>
        <w:tc>
          <w:tcPr>
            <w:tcW w:w="1871"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663" w:type="dxa"/>
          </w:tcPr>
          <w:p w:rsidR="005023A8" w:rsidRPr="003A569C" w:rsidRDefault="009333C5" w:rsidP="00131490">
            <w:pPr>
              <w:pStyle w:val="Question"/>
              <w:rPr>
                <w:szCs w:val="20"/>
              </w:rPr>
            </w:pPr>
            <w:r>
              <w:rPr>
                <w:szCs w:val="20"/>
                <w:lang w:val="en-GB"/>
              </w:rPr>
              <w:t>Should the Ofgem Licence Fee cost all be allocated within the PCDM at the LV voltage level, or should the cost be allocated at each voltage level based on the numbers of customers connected at each? Please provide your rationale associated with your choice.</w:t>
            </w:r>
          </w:p>
        </w:tc>
        <w:tc>
          <w:tcPr>
            <w:tcW w:w="3544"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701" w:type="dxa"/>
          </w:tcPr>
          <w:p w:rsidR="005023A8" w:rsidRPr="00421520" w:rsidRDefault="00421520" w:rsidP="00131490">
            <w:pPr>
              <w:pStyle w:val="BodyTextNoSpacing"/>
              <w:rPr>
                <w:szCs w:val="20"/>
                <w:lang w:val="en-GB"/>
              </w:rPr>
            </w:pPr>
            <w:r>
              <w:rPr>
                <w:szCs w:val="20"/>
                <w:lang w:val="en-GB"/>
              </w:rPr>
              <w:t>ESP Electricity (ESPE)</w:t>
            </w:r>
          </w:p>
        </w:tc>
        <w:tc>
          <w:tcPr>
            <w:tcW w:w="1871" w:type="dxa"/>
          </w:tcPr>
          <w:p w:rsidR="005023A8" w:rsidRPr="00421520" w:rsidRDefault="00421520" w:rsidP="00131490">
            <w:pPr>
              <w:pStyle w:val="BodyTextNoSpacing"/>
              <w:rPr>
                <w:szCs w:val="20"/>
                <w:lang w:val="en-GB"/>
              </w:rPr>
            </w:pPr>
            <w:r>
              <w:rPr>
                <w:szCs w:val="20"/>
                <w:lang w:val="en-GB"/>
              </w:rPr>
              <w:t>Non-confidential</w:t>
            </w:r>
          </w:p>
        </w:tc>
        <w:tc>
          <w:tcPr>
            <w:tcW w:w="6663" w:type="dxa"/>
          </w:tcPr>
          <w:p w:rsidR="005023A8" w:rsidRDefault="00421520" w:rsidP="00131490">
            <w:pPr>
              <w:pStyle w:val="BodyTextNoSpacing"/>
              <w:rPr>
                <w:szCs w:val="20"/>
                <w:lang w:val="en-GB"/>
              </w:rPr>
            </w:pPr>
            <w:r>
              <w:rPr>
                <w:szCs w:val="20"/>
                <w:lang w:val="en-GB"/>
              </w:rPr>
              <w:t>Allocating the Ofgem Licence Fee cost at each voltage level based on customer numbers would be the most appropriate approach for facilitating DCUSA Charging Objectives and DCUSA General Objectives. However, this information is not currently available in the CDCM, and ESPE understands that this information is deemed to be confidential.</w:t>
            </w:r>
          </w:p>
          <w:p w:rsidR="00421520" w:rsidRDefault="00421520" w:rsidP="00131490">
            <w:pPr>
              <w:pStyle w:val="BodyTextNoSpacing"/>
              <w:rPr>
                <w:szCs w:val="20"/>
                <w:lang w:val="en-GB"/>
              </w:rPr>
            </w:pPr>
          </w:p>
          <w:p w:rsidR="00421520" w:rsidRPr="00421520" w:rsidRDefault="00421520" w:rsidP="00131490">
            <w:pPr>
              <w:pStyle w:val="BodyTextNoSpacing"/>
              <w:rPr>
                <w:szCs w:val="20"/>
                <w:lang w:val="en-GB"/>
              </w:rPr>
            </w:pPr>
            <w:proofErr w:type="gramStart"/>
            <w:r>
              <w:rPr>
                <w:szCs w:val="20"/>
                <w:lang w:val="en-GB"/>
              </w:rPr>
              <w:t>In light of</w:t>
            </w:r>
            <w:proofErr w:type="gramEnd"/>
            <w:r>
              <w:rPr>
                <w:szCs w:val="20"/>
                <w:lang w:val="en-GB"/>
              </w:rPr>
              <w:t xml:space="preserve"> this, ESPE believes the Ofgem Licence Fee cost should be allocated at the LV voltage level (using the information currently available). This solution is practical, and will significantly improve costs reflectivity within the PCDM by more accurately allocating the costs incurred on an LDNO network within the model. </w:t>
            </w:r>
          </w:p>
        </w:tc>
        <w:tc>
          <w:tcPr>
            <w:tcW w:w="3544" w:type="dxa"/>
          </w:tcPr>
          <w:p w:rsidR="005023A8" w:rsidRPr="00CA7D96" w:rsidRDefault="00CA7D96" w:rsidP="00131490">
            <w:pPr>
              <w:pStyle w:val="BodyTextNoSpacing"/>
              <w:rPr>
                <w:szCs w:val="20"/>
                <w:lang w:val="en-GB"/>
              </w:rPr>
            </w:pPr>
            <w:r>
              <w:rPr>
                <w:szCs w:val="20"/>
                <w:lang w:val="en-GB"/>
              </w:rPr>
              <w:t>Noted</w:t>
            </w:r>
          </w:p>
        </w:tc>
      </w:tr>
      <w:tr w:rsidR="005023A8" w:rsidRPr="003A569C" w:rsidTr="005023A8">
        <w:tc>
          <w:tcPr>
            <w:tcW w:w="1701" w:type="dxa"/>
          </w:tcPr>
          <w:p w:rsidR="005023A8" w:rsidRPr="00D46C8F" w:rsidRDefault="00340F16" w:rsidP="00131490">
            <w:pPr>
              <w:pStyle w:val="BodyTextNoSpacing"/>
              <w:rPr>
                <w:szCs w:val="20"/>
                <w:lang w:val="en-GB"/>
              </w:rPr>
            </w:pPr>
            <w:r>
              <w:rPr>
                <w:szCs w:val="20"/>
                <w:lang w:val="en-GB"/>
              </w:rPr>
              <w:t xml:space="preserve">Northern Powergrid </w:t>
            </w:r>
          </w:p>
        </w:tc>
        <w:tc>
          <w:tcPr>
            <w:tcW w:w="1871" w:type="dxa"/>
          </w:tcPr>
          <w:p w:rsidR="005023A8" w:rsidRPr="00D46C8F" w:rsidRDefault="00D46C8F" w:rsidP="00131490">
            <w:pPr>
              <w:pStyle w:val="BodyTextNoSpacing"/>
              <w:rPr>
                <w:szCs w:val="20"/>
                <w:lang w:val="en-GB"/>
              </w:rPr>
            </w:pPr>
            <w:r>
              <w:rPr>
                <w:szCs w:val="20"/>
                <w:lang w:val="en-GB"/>
              </w:rPr>
              <w:t>Non-confidential</w:t>
            </w:r>
          </w:p>
        </w:tc>
        <w:tc>
          <w:tcPr>
            <w:tcW w:w="6663" w:type="dxa"/>
          </w:tcPr>
          <w:p w:rsidR="005023A8" w:rsidRDefault="00D46C8F" w:rsidP="00131490">
            <w:pPr>
              <w:pStyle w:val="BodyTextNoSpacing"/>
              <w:rPr>
                <w:szCs w:val="20"/>
                <w:lang w:val="en-GB"/>
              </w:rPr>
            </w:pPr>
            <w:r>
              <w:rPr>
                <w:szCs w:val="20"/>
                <w:lang w:val="en-GB"/>
              </w:rPr>
              <w:t xml:space="preserve">In the absence of customer numbers by voltage, it would seem reasonable to allocate to LV. However, if this change is to truly improve cost reflectivity it should be allocated to the </w:t>
            </w:r>
            <w:r>
              <w:rPr>
                <w:szCs w:val="20"/>
                <w:lang w:val="en-GB"/>
              </w:rPr>
              <w:lastRenderedPageBreak/>
              <w:t>appropriate voltage regardless of the magnitude – and we do not consider the information at voltage level to be of concern given DNOs publish forecast MPAN count for each tariff in the CDCM and should hold the information.</w:t>
            </w:r>
          </w:p>
          <w:p w:rsidR="00D46C8F" w:rsidRDefault="00D46C8F" w:rsidP="00131490">
            <w:pPr>
              <w:pStyle w:val="BodyTextNoSpacing"/>
              <w:rPr>
                <w:szCs w:val="20"/>
                <w:lang w:val="en-GB"/>
              </w:rPr>
            </w:pPr>
          </w:p>
          <w:p w:rsidR="00D46C8F" w:rsidRDefault="00D46C8F" w:rsidP="00131490">
            <w:pPr>
              <w:pStyle w:val="BodyTextNoSpacing"/>
              <w:rPr>
                <w:szCs w:val="20"/>
                <w:lang w:val="en-GB"/>
              </w:rPr>
            </w:pPr>
            <w:r>
              <w:rPr>
                <w:szCs w:val="20"/>
                <w:lang w:val="en-GB"/>
              </w:rPr>
              <w:t>If cost reflectivity is to remain the driving principle for forward looking charges then this should be allocated to the appropriate voltage level in the same way the per MPAN licence fee costs are derived.</w:t>
            </w:r>
          </w:p>
          <w:p w:rsidR="00D46C8F" w:rsidRDefault="00D46C8F" w:rsidP="00131490">
            <w:pPr>
              <w:pStyle w:val="BodyTextNoSpacing"/>
              <w:rPr>
                <w:szCs w:val="20"/>
                <w:lang w:val="en-GB"/>
              </w:rPr>
            </w:pPr>
          </w:p>
          <w:p w:rsidR="00D46C8F" w:rsidRPr="00D46C8F" w:rsidRDefault="00D46C8F" w:rsidP="00131490">
            <w:pPr>
              <w:pStyle w:val="BodyTextNoSpacing"/>
              <w:rPr>
                <w:szCs w:val="20"/>
                <w:lang w:val="en-GB"/>
              </w:rPr>
            </w:pPr>
            <w:r>
              <w:rPr>
                <w:szCs w:val="20"/>
                <w:lang w:val="en-GB"/>
              </w:rPr>
              <w:t>We would encourage an impact assessment be carried out to draw out the differences in approach, as considered in the round it may prove bene</w:t>
            </w:r>
            <w:r w:rsidR="00340F16">
              <w:rPr>
                <w:szCs w:val="20"/>
                <w:lang w:val="en-GB"/>
              </w:rPr>
              <w:t xml:space="preserve">ficial that the simplicity and transparency achieved from allocating to LV at the expense of an immaterial reduction in cost reflectivity is a more pragmatic approach. </w:t>
            </w:r>
          </w:p>
        </w:tc>
        <w:tc>
          <w:tcPr>
            <w:tcW w:w="3544" w:type="dxa"/>
          </w:tcPr>
          <w:p w:rsidR="005023A8" w:rsidRPr="00CA7D96" w:rsidRDefault="00CA7D96" w:rsidP="00131490">
            <w:pPr>
              <w:pStyle w:val="BodyTextNoSpacing"/>
              <w:rPr>
                <w:szCs w:val="20"/>
                <w:lang w:val="en-GB"/>
              </w:rPr>
            </w:pPr>
            <w:r>
              <w:rPr>
                <w:szCs w:val="20"/>
                <w:lang w:val="en-GB"/>
              </w:rPr>
              <w:lastRenderedPageBreak/>
              <w:t>Noted</w:t>
            </w:r>
          </w:p>
        </w:tc>
      </w:tr>
      <w:tr w:rsidR="005023A8" w:rsidRPr="003A569C" w:rsidTr="005023A8">
        <w:tc>
          <w:tcPr>
            <w:tcW w:w="1701" w:type="dxa"/>
          </w:tcPr>
          <w:p w:rsidR="005023A8" w:rsidRPr="008762CD" w:rsidRDefault="008762CD" w:rsidP="00131490">
            <w:pPr>
              <w:pStyle w:val="BodyTextNoSpacing"/>
              <w:rPr>
                <w:szCs w:val="20"/>
                <w:lang w:val="en-GB"/>
              </w:rPr>
            </w:pPr>
            <w:r>
              <w:rPr>
                <w:szCs w:val="20"/>
                <w:lang w:val="en-GB"/>
              </w:rPr>
              <w:t xml:space="preserve">WPD </w:t>
            </w:r>
          </w:p>
        </w:tc>
        <w:tc>
          <w:tcPr>
            <w:tcW w:w="1871" w:type="dxa"/>
          </w:tcPr>
          <w:p w:rsidR="005023A8" w:rsidRPr="008762CD" w:rsidRDefault="008762CD" w:rsidP="00131490">
            <w:pPr>
              <w:pStyle w:val="BodyTextNoSpacing"/>
              <w:rPr>
                <w:szCs w:val="20"/>
                <w:lang w:val="en-GB"/>
              </w:rPr>
            </w:pPr>
            <w:r>
              <w:rPr>
                <w:szCs w:val="20"/>
                <w:lang w:val="en-GB"/>
              </w:rPr>
              <w:t>Non-confidential</w:t>
            </w:r>
          </w:p>
        </w:tc>
        <w:tc>
          <w:tcPr>
            <w:tcW w:w="6663" w:type="dxa"/>
          </w:tcPr>
          <w:p w:rsidR="005023A8" w:rsidRPr="008762CD" w:rsidRDefault="008762CD" w:rsidP="00131490">
            <w:pPr>
              <w:pStyle w:val="BodyTextNoSpacing"/>
              <w:rPr>
                <w:szCs w:val="20"/>
                <w:lang w:val="en-GB"/>
              </w:rPr>
            </w:pPr>
            <w:r>
              <w:rPr>
                <w:szCs w:val="20"/>
                <w:lang w:val="en-GB"/>
              </w:rPr>
              <w:t>The differences between the two methods is likely to be very little as the number of LV customers for each DNO far outweighs the number of HV and above customers. But we believe that the most cost reflective way would be to allocate the costs at voltage level.</w:t>
            </w:r>
          </w:p>
        </w:tc>
        <w:tc>
          <w:tcPr>
            <w:tcW w:w="3544" w:type="dxa"/>
          </w:tcPr>
          <w:p w:rsidR="005023A8" w:rsidRPr="00CA7D96" w:rsidRDefault="00CA7D96" w:rsidP="00131490">
            <w:pPr>
              <w:pStyle w:val="BodyText"/>
              <w:jc w:val="both"/>
              <w:rPr>
                <w:rFonts w:ascii="Verdana" w:hAnsi="Verdana"/>
                <w:sz w:val="20"/>
                <w:szCs w:val="20"/>
                <w:lang w:val="en-GB"/>
              </w:rPr>
            </w:pPr>
            <w:r>
              <w:rPr>
                <w:rFonts w:ascii="Verdana" w:hAnsi="Verdana"/>
                <w:sz w:val="20"/>
                <w:szCs w:val="20"/>
                <w:lang w:val="en-GB"/>
              </w:rPr>
              <w:t>Noted</w:t>
            </w:r>
          </w:p>
        </w:tc>
      </w:tr>
      <w:tr w:rsidR="005023A8" w:rsidRPr="003A569C" w:rsidTr="005023A8">
        <w:tc>
          <w:tcPr>
            <w:tcW w:w="1701" w:type="dxa"/>
          </w:tcPr>
          <w:p w:rsidR="005023A8" w:rsidRPr="00586EE9" w:rsidRDefault="00586EE9" w:rsidP="00131490">
            <w:pPr>
              <w:pStyle w:val="BodyTextNoSpacing"/>
              <w:rPr>
                <w:szCs w:val="20"/>
                <w:lang w:val="en-GB"/>
              </w:rPr>
            </w:pPr>
            <w:r>
              <w:rPr>
                <w:szCs w:val="20"/>
                <w:lang w:val="en-GB"/>
              </w:rPr>
              <w:t>Electricity North West</w:t>
            </w:r>
          </w:p>
        </w:tc>
        <w:tc>
          <w:tcPr>
            <w:tcW w:w="1871" w:type="dxa"/>
          </w:tcPr>
          <w:p w:rsidR="005023A8" w:rsidRPr="00586EE9" w:rsidRDefault="00586EE9" w:rsidP="00131490">
            <w:pPr>
              <w:pStyle w:val="BodyTextNoSpacing"/>
              <w:rPr>
                <w:szCs w:val="20"/>
                <w:lang w:val="en-GB"/>
              </w:rPr>
            </w:pPr>
            <w:r>
              <w:rPr>
                <w:szCs w:val="20"/>
                <w:lang w:val="en-GB"/>
              </w:rPr>
              <w:t>Non-confidential</w:t>
            </w:r>
          </w:p>
        </w:tc>
        <w:tc>
          <w:tcPr>
            <w:tcW w:w="6663" w:type="dxa"/>
          </w:tcPr>
          <w:p w:rsidR="005023A8" w:rsidRPr="00586EE9" w:rsidRDefault="00586EE9" w:rsidP="00131490">
            <w:pPr>
              <w:pStyle w:val="BodyTextNoSpacing"/>
              <w:rPr>
                <w:szCs w:val="20"/>
                <w:lang w:val="en-GB"/>
              </w:rPr>
            </w:pPr>
            <w:r>
              <w:rPr>
                <w:szCs w:val="20"/>
                <w:lang w:val="en-GB"/>
              </w:rPr>
              <w:t xml:space="preserve">We don’t think Ofgem Licence Fee costs should be allocated to the LV voltage level only. We do not accept the principle behind this proposal, but even if it were accepted that Ofgem Licence Fee costs should be allocated on a per MPAN basis then it would be </w:t>
            </w:r>
            <w:proofErr w:type="gramStart"/>
            <w:r>
              <w:rPr>
                <w:szCs w:val="20"/>
                <w:lang w:val="en-GB"/>
              </w:rPr>
              <w:t>correct</w:t>
            </w:r>
            <w:proofErr w:type="gramEnd"/>
            <w:r>
              <w:rPr>
                <w:szCs w:val="20"/>
                <w:lang w:val="en-GB"/>
              </w:rPr>
              <w:t xml:space="preserve"> to allocate the costs across all MPANs including those connected at higher voltages. The forecast number of MPANs is a current input into the CDCM model so this approach would not impose extra undue burden or costs on the network operator in calculating charges.</w:t>
            </w:r>
          </w:p>
        </w:tc>
        <w:tc>
          <w:tcPr>
            <w:tcW w:w="3544" w:type="dxa"/>
          </w:tcPr>
          <w:p w:rsidR="005023A8" w:rsidRPr="00CA7D96" w:rsidRDefault="00CA7D96" w:rsidP="00131490">
            <w:pPr>
              <w:pStyle w:val="BodyTextNoSpacing"/>
              <w:rPr>
                <w:szCs w:val="20"/>
                <w:lang w:val="en-GB"/>
              </w:rPr>
            </w:pPr>
            <w:r>
              <w:rPr>
                <w:szCs w:val="20"/>
                <w:lang w:val="en-GB"/>
              </w:rPr>
              <w:t>Noted</w:t>
            </w:r>
          </w:p>
        </w:tc>
      </w:tr>
      <w:tr w:rsidR="005023A8" w:rsidRPr="003A569C" w:rsidTr="005023A8">
        <w:tc>
          <w:tcPr>
            <w:tcW w:w="1701" w:type="dxa"/>
          </w:tcPr>
          <w:p w:rsidR="005023A8" w:rsidRPr="001C70BC" w:rsidRDefault="001C70BC" w:rsidP="00131490">
            <w:pPr>
              <w:pStyle w:val="BodyTextNoSpacing"/>
              <w:rPr>
                <w:szCs w:val="20"/>
                <w:lang w:val="en-GB"/>
              </w:rPr>
            </w:pPr>
            <w:r>
              <w:rPr>
                <w:szCs w:val="20"/>
                <w:lang w:val="en-GB"/>
              </w:rPr>
              <w:t>UK Power Networks</w:t>
            </w:r>
          </w:p>
        </w:tc>
        <w:tc>
          <w:tcPr>
            <w:tcW w:w="1871" w:type="dxa"/>
          </w:tcPr>
          <w:p w:rsidR="005023A8" w:rsidRPr="001C70BC" w:rsidRDefault="001C70BC" w:rsidP="00131490">
            <w:pPr>
              <w:pStyle w:val="BodyTextNoSpacing"/>
              <w:rPr>
                <w:szCs w:val="20"/>
                <w:lang w:val="en-GB"/>
              </w:rPr>
            </w:pPr>
            <w:r>
              <w:rPr>
                <w:szCs w:val="20"/>
                <w:lang w:val="en-GB"/>
              </w:rPr>
              <w:t>Non-confidential</w:t>
            </w:r>
          </w:p>
        </w:tc>
        <w:tc>
          <w:tcPr>
            <w:tcW w:w="6663" w:type="dxa"/>
          </w:tcPr>
          <w:p w:rsidR="005023A8" w:rsidRPr="001C70BC" w:rsidRDefault="001C70BC" w:rsidP="00131490">
            <w:pPr>
              <w:pStyle w:val="BodyTextNoSpacing"/>
              <w:rPr>
                <w:szCs w:val="20"/>
                <w:lang w:val="en-GB"/>
              </w:rPr>
            </w:pPr>
            <w:r>
              <w:rPr>
                <w:szCs w:val="20"/>
                <w:lang w:val="en-GB"/>
              </w:rPr>
              <w:t xml:space="preserve">It would seem to be more cost reflective to allocate any charges based upon the number of customers connected at each voltage level rather than all to a single level, as this </w:t>
            </w:r>
            <w:r>
              <w:rPr>
                <w:szCs w:val="20"/>
                <w:lang w:val="en-GB"/>
              </w:rPr>
              <w:lastRenderedPageBreak/>
              <w:t xml:space="preserve">approach would seem to disadvantage a specific group of customers. </w:t>
            </w:r>
          </w:p>
        </w:tc>
        <w:tc>
          <w:tcPr>
            <w:tcW w:w="3544" w:type="dxa"/>
          </w:tcPr>
          <w:p w:rsidR="005023A8" w:rsidRPr="00CA7D96" w:rsidRDefault="00CA7D96" w:rsidP="00131490">
            <w:pPr>
              <w:pStyle w:val="BodyTextNoSpacing"/>
              <w:rPr>
                <w:szCs w:val="20"/>
                <w:lang w:val="en-GB"/>
              </w:rPr>
            </w:pPr>
            <w:r>
              <w:rPr>
                <w:szCs w:val="20"/>
                <w:lang w:val="en-GB"/>
              </w:rPr>
              <w:lastRenderedPageBreak/>
              <w:t>Noted</w:t>
            </w:r>
          </w:p>
        </w:tc>
      </w:tr>
      <w:tr w:rsidR="005023A8" w:rsidRPr="003A569C" w:rsidTr="005023A8">
        <w:tc>
          <w:tcPr>
            <w:tcW w:w="1701" w:type="dxa"/>
          </w:tcPr>
          <w:p w:rsidR="005023A8" w:rsidRPr="003A569C" w:rsidRDefault="00E97531" w:rsidP="00131490">
            <w:pPr>
              <w:pStyle w:val="BodyTextNoSpacing"/>
              <w:rPr>
                <w:szCs w:val="20"/>
              </w:rPr>
            </w:pPr>
            <w:r>
              <w:rPr>
                <w:szCs w:val="20"/>
                <w:lang w:val="en-GB"/>
              </w:rPr>
              <w:t>The Electricity Network Company Ltd</w:t>
            </w:r>
          </w:p>
        </w:tc>
        <w:tc>
          <w:tcPr>
            <w:tcW w:w="1871" w:type="dxa"/>
          </w:tcPr>
          <w:p w:rsidR="005023A8" w:rsidRPr="00E97531" w:rsidRDefault="00E97531" w:rsidP="00131490">
            <w:pPr>
              <w:pStyle w:val="BodyTextNoSpacing"/>
              <w:rPr>
                <w:szCs w:val="20"/>
                <w:lang w:val="en-GB"/>
              </w:rPr>
            </w:pPr>
            <w:r>
              <w:rPr>
                <w:szCs w:val="20"/>
                <w:lang w:val="en-GB"/>
              </w:rPr>
              <w:t xml:space="preserve">Non-confidential </w:t>
            </w:r>
          </w:p>
        </w:tc>
        <w:tc>
          <w:tcPr>
            <w:tcW w:w="6663" w:type="dxa"/>
          </w:tcPr>
          <w:p w:rsidR="005023A8" w:rsidRPr="000B34E5" w:rsidRDefault="000B34E5" w:rsidP="00131490">
            <w:pPr>
              <w:pStyle w:val="BodyText"/>
              <w:jc w:val="both"/>
              <w:rPr>
                <w:rFonts w:ascii="Verdana" w:hAnsi="Verdana"/>
                <w:sz w:val="20"/>
                <w:szCs w:val="20"/>
                <w:lang w:val="en-GB"/>
              </w:rPr>
            </w:pPr>
            <w:r>
              <w:rPr>
                <w:rFonts w:ascii="Verdana" w:hAnsi="Verdana"/>
                <w:sz w:val="20"/>
                <w:szCs w:val="20"/>
                <w:lang w:val="en-GB"/>
              </w:rPr>
              <w:t xml:space="preserve">We do not have a strong preference on this </w:t>
            </w:r>
            <w:proofErr w:type="gramStart"/>
            <w:r>
              <w:rPr>
                <w:rFonts w:ascii="Verdana" w:hAnsi="Verdana"/>
                <w:sz w:val="20"/>
                <w:szCs w:val="20"/>
                <w:lang w:val="en-GB"/>
              </w:rPr>
              <w:t>particular question</w:t>
            </w:r>
            <w:proofErr w:type="gramEnd"/>
            <w:r>
              <w:rPr>
                <w:rFonts w:ascii="Verdana" w:hAnsi="Verdana"/>
                <w:sz w:val="20"/>
                <w:szCs w:val="20"/>
                <w:lang w:val="en-GB"/>
              </w:rPr>
              <w:t xml:space="preserve">. If it is achievable to allocate the costs accurately to the number of customers at each of the voltage tiers then this would be preferable as it is the most cost reflective approach. However, we do believe that the solution proposed, to allocate all the costs to the LV service level, is more cost reflective than the current approach. </w:t>
            </w:r>
          </w:p>
        </w:tc>
        <w:tc>
          <w:tcPr>
            <w:tcW w:w="3544" w:type="dxa"/>
          </w:tcPr>
          <w:p w:rsidR="005023A8" w:rsidRPr="00CA7D96" w:rsidRDefault="00CA7D96" w:rsidP="00131490">
            <w:pPr>
              <w:pStyle w:val="BodyText"/>
              <w:jc w:val="both"/>
              <w:rPr>
                <w:rFonts w:ascii="Verdana" w:hAnsi="Verdana"/>
                <w:sz w:val="20"/>
                <w:szCs w:val="20"/>
                <w:lang w:val="en-GB"/>
              </w:rPr>
            </w:pPr>
            <w:r>
              <w:rPr>
                <w:rFonts w:ascii="Verdana" w:hAnsi="Verdana"/>
                <w:sz w:val="20"/>
                <w:szCs w:val="20"/>
                <w:lang w:val="en-GB"/>
              </w:rPr>
              <w:t>Noted</w:t>
            </w:r>
          </w:p>
        </w:tc>
      </w:tr>
      <w:tr w:rsidR="005023A8" w:rsidRPr="003A569C" w:rsidTr="00A467A4">
        <w:tc>
          <w:tcPr>
            <w:tcW w:w="13779" w:type="dxa"/>
            <w:gridSpan w:val="4"/>
          </w:tcPr>
          <w:p w:rsidR="005023A8" w:rsidRPr="00B17376" w:rsidRDefault="00DC78E6" w:rsidP="00131490">
            <w:pPr>
              <w:pStyle w:val="BodyText"/>
              <w:jc w:val="both"/>
              <w:rPr>
                <w:rFonts w:ascii="Verdana" w:hAnsi="Verdana"/>
                <w:sz w:val="20"/>
                <w:szCs w:val="20"/>
                <w:lang w:val="en-GB"/>
              </w:rPr>
            </w:pPr>
            <w:r w:rsidRPr="00DC78E6">
              <w:rPr>
                <w:rFonts w:ascii="Verdana" w:hAnsi="Verdana"/>
                <w:b/>
                <w:sz w:val="20"/>
                <w:szCs w:val="20"/>
                <w:lang w:val="en-GB"/>
              </w:rPr>
              <w:t>Working Group Conclusions:</w:t>
            </w:r>
            <w:r w:rsidR="00B17376">
              <w:rPr>
                <w:rFonts w:ascii="Verdana" w:hAnsi="Verdana"/>
                <w:b/>
                <w:sz w:val="20"/>
                <w:szCs w:val="20"/>
                <w:lang w:val="en-GB"/>
              </w:rPr>
              <w:t xml:space="preserve"> </w:t>
            </w:r>
            <w:r w:rsidR="002F322D">
              <w:rPr>
                <w:rFonts w:ascii="Verdana" w:hAnsi="Verdana"/>
                <w:sz w:val="20"/>
                <w:szCs w:val="20"/>
                <w:lang w:val="en-GB"/>
              </w:rPr>
              <w:t xml:space="preserve">The Working Group </w:t>
            </w:r>
            <w:r w:rsidR="00B17376">
              <w:rPr>
                <w:rFonts w:ascii="Verdana" w:hAnsi="Verdana"/>
                <w:sz w:val="20"/>
                <w:szCs w:val="20"/>
                <w:lang w:val="en-GB"/>
              </w:rPr>
              <w:t xml:space="preserve">understand </w:t>
            </w:r>
            <w:r w:rsidR="002F322D">
              <w:rPr>
                <w:rFonts w:ascii="Verdana" w:hAnsi="Verdana"/>
                <w:sz w:val="20"/>
                <w:szCs w:val="20"/>
                <w:lang w:val="en-GB"/>
              </w:rPr>
              <w:t xml:space="preserve">that </w:t>
            </w:r>
            <w:r w:rsidR="00B17376">
              <w:rPr>
                <w:rFonts w:ascii="Verdana" w:hAnsi="Verdana"/>
                <w:sz w:val="20"/>
                <w:szCs w:val="20"/>
                <w:lang w:val="en-GB"/>
              </w:rPr>
              <w:t xml:space="preserve">Parties want to allocate </w:t>
            </w:r>
            <w:r w:rsidR="002F322D">
              <w:rPr>
                <w:rFonts w:ascii="Verdana" w:hAnsi="Verdana"/>
                <w:sz w:val="20"/>
                <w:szCs w:val="20"/>
                <w:lang w:val="en-GB"/>
              </w:rPr>
              <w:t xml:space="preserve">the Ofgem Licence Fees </w:t>
            </w:r>
            <w:r w:rsidR="00B17376">
              <w:rPr>
                <w:rFonts w:ascii="Verdana" w:hAnsi="Verdana"/>
                <w:sz w:val="20"/>
                <w:szCs w:val="20"/>
                <w:lang w:val="en-GB"/>
              </w:rPr>
              <w:t xml:space="preserve">at various voltage levels, however, from </w:t>
            </w:r>
            <w:r w:rsidR="002F322D">
              <w:rPr>
                <w:rFonts w:ascii="Verdana" w:hAnsi="Verdana"/>
                <w:sz w:val="20"/>
                <w:szCs w:val="20"/>
                <w:lang w:val="en-GB"/>
              </w:rPr>
              <w:t xml:space="preserve">a </w:t>
            </w:r>
            <w:r w:rsidR="00B17376">
              <w:rPr>
                <w:rFonts w:ascii="Verdana" w:hAnsi="Verdana"/>
                <w:sz w:val="20"/>
                <w:szCs w:val="20"/>
                <w:lang w:val="en-GB"/>
              </w:rPr>
              <w:t xml:space="preserve">pragmatic point of view, </w:t>
            </w:r>
            <w:r w:rsidR="002F322D">
              <w:rPr>
                <w:rFonts w:ascii="Verdana" w:hAnsi="Verdana"/>
                <w:sz w:val="20"/>
                <w:szCs w:val="20"/>
                <w:lang w:val="en-GB"/>
              </w:rPr>
              <w:t xml:space="preserve">the </w:t>
            </w:r>
            <w:r w:rsidR="00B17376">
              <w:rPr>
                <w:rFonts w:ascii="Verdana" w:hAnsi="Verdana"/>
                <w:sz w:val="20"/>
                <w:szCs w:val="20"/>
                <w:lang w:val="en-GB"/>
              </w:rPr>
              <w:t>W</w:t>
            </w:r>
            <w:r w:rsidR="002F322D">
              <w:rPr>
                <w:rFonts w:ascii="Verdana" w:hAnsi="Verdana"/>
                <w:sz w:val="20"/>
                <w:szCs w:val="20"/>
                <w:lang w:val="en-GB"/>
              </w:rPr>
              <w:t xml:space="preserve">orking </w:t>
            </w:r>
            <w:r w:rsidR="00B17376">
              <w:rPr>
                <w:rFonts w:ascii="Verdana" w:hAnsi="Verdana"/>
                <w:sz w:val="20"/>
                <w:szCs w:val="20"/>
                <w:lang w:val="en-GB"/>
              </w:rPr>
              <w:t>G</w:t>
            </w:r>
            <w:r w:rsidR="002F322D">
              <w:rPr>
                <w:rFonts w:ascii="Verdana" w:hAnsi="Verdana"/>
                <w:sz w:val="20"/>
                <w:szCs w:val="20"/>
                <w:lang w:val="en-GB"/>
              </w:rPr>
              <w:t>roup</w:t>
            </w:r>
            <w:r w:rsidR="00B17376">
              <w:rPr>
                <w:rFonts w:ascii="Verdana" w:hAnsi="Verdana"/>
                <w:sz w:val="20"/>
                <w:szCs w:val="20"/>
                <w:lang w:val="en-GB"/>
              </w:rPr>
              <w:t xml:space="preserve"> will look at</w:t>
            </w:r>
            <w:r w:rsidR="002F322D">
              <w:rPr>
                <w:rFonts w:ascii="Verdana" w:hAnsi="Verdana"/>
                <w:sz w:val="20"/>
                <w:szCs w:val="20"/>
                <w:lang w:val="en-GB"/>
              </w:rPr>
              <w:t xml:space="preserve"> their</w:t>
            </w:r>
            <w:r w:rsidR="00B17376">
              <w:rPr>
                <w:rFonts w:ascii="Verdana" w:hAnsi="Verdana"/>
                <w:sz w:val="20"/>
                <w:szCs w:val="20"/>
                <w:lang w:val="en-GB"/>
              </w:rPr>
              <w:t xml:space="preserve"> number of customers to consider if </w:t>
            </w:r>
            <w:r w:rsidR="002F322D">
              <w:rPr>
                <w:rFonts w:ascii="Verdana" w:hAnsi="Verdana"/>
                <w:sz w:val="20"/>
                <w:szCs w:val="20"/>
                <w:lang w:val="en-GB"/>
              </w:rPr>
              <w:t xml:space="preserve">a </w:t>
            </w:r>
            <w:r w:rsidR="00B17376">
              <w:rPr>
                <w:rFonts w:ascii="Verdana" w:hAnsi="Verdana"/>
                <w:sz w:val="20"/>
                <w:szCs w:val="20"/>
                <w:lang w:val="en-GB"/>
              </w:rPr>
              <w:t>modelling change will be needed</w:t>
            </w:r>
            <w:r w:rsidR="002F322D">
              <w:rPr>
                <w:rFonts w:ascii="Verdana" w:hAnsi="Verdana"/>
                <w:sz w:val="20"/>
                <w:szCs w:val="20"/>
                <w:lang w:val="en-GB"/>
              </w:rPr>
              <w:t>. The DNOs believe that it will be</w:t>
            </w:r>
            <w:r w:rsidR="00B17376">
              <w:rPr>
                <w:rFonts w:ascii="Verdana" w:hAnsi="Verdana"/>
                <w:sz w:val="20"/>
                <w:szCs w:val="20"/>
                <w:lang w:val="en-GB"/>
              </w:rPr>
              <w:t xml:space="preserve"> between 0.1-0.2% of customers</w:t>
            </w:r>
            <w:r w:rsidR="002F322D">
              <w:rPr>
                <w:rFonts w:ascii="Verdana" w:hAnsi="Verdana"/>
                <w:sz w:val="20"/>
                <w:szCs w:val="20"/>
                <w:lang w:val="en-GB"/>
              </w:rPr>
              <w:t xml:space="preserve"> that</w:t>
            </w:r>
            <w:r w:rsidR="00B17376">
              <w:rPr>
                <w:rFonts w:ascii="Verdana" w:hAnsi="Verdana"/>
                <w:sz w:val="20"/>
                <w:szCs w:val="20"/>
                <w:lang w:val="en-GB"/>
              </w:rPr>
              <w:t xml:space="preserve"> will be affected and so</w:t>
            </w:r>
            <w:r w:rsidR="002F322D">
              <w:rPr>
                <w:rFonts w:ascii="Verdana" w:hAnsi="Verdana"/>
                <w:sz w:val="20"/>
                <w:szCs w:val="20"/>
                <w:lang w:val="en-GB"/>
              </w:rPr>
              <w:t xml:space="preserve"> the Working Group</w:t>
            </w:r>
            <w:r w:rsidR="00B17376">
              <w:rPr>
                <w:rFonts w:ascii="Verdana" w:hAnsi="Verdana"/>
                <w:sz w:val="20"/>
                <w:szCs w:val="20"/>
                <w:lang w:val="en-GB"/>
              </w:rPr>
              <w:t xml:space="preserve"> will be continuing at allocating at LV service level</w:t>
            </w:r>
            <w:r w:rsidR="002F322D">
              <w:rPr>
                <w:rFonts w:ascii="Verdana" w:hAnsi="Verdana"/>
                <w:sz w:val="20"/>
                <w:szCs w:val="20"/>
                <w:lang w:val="en-GB"/>
              </w:rPr>
              <w:t xml:space="preserve"> to provide a better cost reflective method.</w:t>
            </w:r>
          </w:p>
        </w:tc>
      </w:tr>
      <w:bookmarkEnd w:id="2"/>
    </w:tbl>
    <w:p w:rsidR="00131490" w:rsidRPr="003A569C" w:rsidRDefault="00131490">
      <w:pPr>
        <w:rPr>
          <w:rFonts w:ascii="Verdana" w:hAnsi="Verdana"/>
          <w:sz w:val="20"/>
          <w:szCs w:val="20"/>
        </w:rPr>
      </w:pPr>
    </w:p>
    <w:tbl>
      <w:tblPr>
        <w:tblStyle w:val="ElectralinkResponseTable"/>
        <w:tblW w:w="13779" w:type="dxa"/>
        <w:tblInd w:w="108" w:type="dxa"/>
        <w:tblLayout w:type="fixed"/>
        <w:tblLook w:val="04A0" w:firstRow="1" w:lastRow="0" w:firstColumn="1" w:lastColumn="0" w:noHBand="0" w:noVBand="1"/>
      </w:tblPr>
      <w:tblGrid>
        <w:gridCol w:w="1701"/>
        <w:gridCol w:w="1871"/>
        <w:gridCol w:w="6663"/>
        <w:gridCol w:w="3544"/>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701" w:type="dxa"/>
          </w:tcPr>
          <w:p w:rsidR="005023A8" w:rsidRPr="003A569C" w:rsidRDefault="005023A8" w:rsidP="00131490">
            <w:pPr>
              <w:pStyle w:val="ColumnHeading"/>
              <w:rPr>
                <w:szCs w:val="20"/>
              </w:rPr>
            </w:pPr>
            <w:bookmarkStart w:id="3" w:name="dcusa_response4"/>
            <w:r w:rsidRPr="003A569C">
              <w:rPr>
                <w:szCs w:val="20"/>
              </w:rPr>
              <w:t>Company</w:t>
            </w:r>
          </w:p>
        </w:tc>
        <w:tc>
          <w:tcPr>
            <w:tcW w:w="1871"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663" w:type="dxa"/>
          </w:tcPr>
          <w:p w:rsidR="005023A8" w:rsidRPr="003A569C" w:rsidRDefault="009333C5" w:rsidP="00131490">
            <w:pPr>
              <w:pStyle w:val="Question"/>
              <w:rPr>
                <w:szCs w:val="20"/>
              </w:rPr>
            </w:pPr>
            <w:r>
              <w:rPr>
                <w:szCs w:val="20"/>
                <w:lang w:val="en-GB"/>
              </w:rPr>
              <w:t>Are the number of customers connected at each voltage level easily identified? If so, is there a specific report already available? If not, how can this be achieved?</w:t>
            </w:r>
          </w:p>
        </w:tc>
        <w:tc>
          <w:tcPr>
            <w:tcW w:w="3544"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701" w:type="dxa"/>
          </w:tcPr>
          <w:p w:rsidR="005023A8" w:rsidRPr="00421520" w:rsidRDefault="00421520" w:rsidP="00131490">
            <w:pPr>
              <w:pStyle w:val="BodyTextNoSpacing"/>
              <w:rPr>
                <w:szCs w:val="20"/>
                <w:lang w:val="en-GB"/>
              </w:rPr>
            </w:pPr>
            <w:r>
              <w:rPr>
                <w:szCs w:val="20"/>
                <w:lang w:val="en-GB"/>
              </w:rPr>
              <w:t>ESP Electricity (ESPE)</w:t>
            </w:r>
          </w:p>
        </w:tc>
        <w:tc>
          <w:tcPr>
            <w:tcW w:w="1871" w:type="dxa"/>
          </w:tcPr>
          <w:p w:rsidR="005023A8" w:rsidRPr="00421520" w:rsidRDefault="00421520" w:rsidP="00131490">
            <w:pPr>
              <w:pStyle w:val="BodyTextNoSpacing"/>
              <w:rPr>
                <w:szCs w:val="20"/>
                <w:lang w:val="en-GB"/>
              </w:rPr>
            </w:pPr>
            <w:r>
              <w:rPr>
                <w:szCs w:val="20"/>
                <w:lang w:val="en-GB"/>
              </w:rPr>
              <w:t>Non-confidential</w:t>
            </w:r>
          </w:p>
        </w:tc>
        <w:tc>
          <w:tcPr>
            <w:tcW w:w="6663" w:type="dxa"/>
          </w:tcPr>
          <w:p w:rsidR="005023A8" w:rsidRDefault="00421520" w:rsidP="00131490">
            <w:pPr>
              <w:pStyle w:val="BodyTextNoSpacing"/>
              <w:rPr>
                <w:szCs w:val="20"/>
                <w:lang w:val="en-GB"/>
              </w:rPr>
            </w:pPr>
            <w:r>
              <w:rPr>
                <w:szCs w:val="20"/>
                <w:lang w:val="en-GB"/>
              </w:rPr>
              <w:t xml:space="preserve">ESPE </w:t>
            </w:r>
            <w:proofErr w:type="gramStart"/>
            <w:r>
              <w:rPr>
                <w:szCs w:val="20"/>
                <w:lang w:val="en-GB"/>
              </w:rPr>
              <w:t>is able to</w:t>
            </w:r>
            <w:proofErr w:type="gramEnd"/>
            <w:r>
              <w:rPr>
                <w:szCs w:val="20"/>
                <w:lang w:val="en-GB"/>
              </w:rPr>
              <w:t xml:space="preserve"> produce a report showing the number of customers connected at each voltage level.</w:t>
            </w:r>
          </w:p>
          <w:p w:rsidR="00421520" w:rsidRDefault="00421520" w:rsidP="00131490">
            <w:pPr>
              <w:pStyle w:val="BodyTextNoSpacing"/>
              <w:rPr>
                <w:szCs w:val="20"/>
                <w:lang w:val="en-GB"/>
              </w:rPr>
            </w:pPr>
          </w:p>
          <w:p w:rsidR="00421520" w:rsidRPr="00421520" w:rsidRDefault="00421520" w:rsidP="00131490">
            <w:pPr>
              <w:pStyle w:val="BodyTextNoSpacing"/>
              <w:rPr>
                <w:szCs w:val="20"/>
                <w:lang w:val="en-GB"/>
              </w:rPr>
            </w:pPr>
            <w:r>
              <w:rPr>
                <w:szCs w:val="20"/>
                <w:lang w:val="en-GB"/>
              </w:rPr>
              <w:t>With respect to an industry wide report, it is ESPE’s understanding that this information is not currently available; we cannot comment on the ease of customer number identification for other LDNOs.</w:t>
            </w:r>
          </w:p>
        </w:tc>
        <w:tc>
          <w:tcPr>
            <w:tcW w:w="3544" w:type="dxa"/>
          </w:tcPr>
          <w:p w:rsidR="005023A8" w:rsidRPr="00CA7D96" w:rsidRDefault="00CA7D96" w:rsidP="00131490">
            <w:pPr>
              <w:pStyle w:val="BodyTextNoSpacing"/>
              <w:rPr>
                <w:szCs w:val="20"/>
                <w:lang w:val="en-GB"/>
              </w:rPr>
            </w:pPr>
            <w:r>
              <w:rPr>
                <w:szCs w:val="20"/>
                <w:lang w:val="en-GB"/>
              </w:rPr>
              <w:t>Noted</w:t>
            </w:r>
          </w:p>
        </w:tc>
      </w:tr>
      <w:tr w:rsidR="005023A8" w:rsidRPr="003A569C" w:rsidTr="005023A8">
        <w:tc>
          <w:tcPr>
            <w:tcW w:w="1701" w:type="dxa"/>
          </w:tcPr>
          <w:p w:rsidR="005023A8" w:rsidRPr="00340F16" w:rsidRDefault="00340F16" w:rsidP="00131490">
            <w:pPr>
              <w:pStyle w:val="BodyTextNoSpacing"/>
              <w:rPr>
                <w:szCs w:val="20"/>
                <w:lang w:val="en-GB"/>
              </w:rPr>
            </w:pPr>
            <w:r>
              <w:rPr>
                <w:szCs w:val="20"/>
                <w:lang w:val="en-GB"/>
              </w:rPr>
              <w:t xml:space="preserve">Northern Powergrid </w:t>
            </w:r>
          </w:p>
        </w:tc>
        <w:tc>
          <w:tcPr>
            <w:tcW w:w="1871" w:type="dxa"/>
          </w:tcPr>
          <w:p w:rsidR="005023A8" w:rsidRPr="00340F16" w:rsidRDefault="00340F16" w:rsidP="00131490">
            <w:pPr>
              <w:pStyle w:val="BodyTextNoSpacing"/>
              <w:rPr>
                <w:szCs w:val="20"/>
                <w:lang w:val="en-GB"/>
              </w:rPr>
            </w:pPr>
            <w:r>
              <w:rPr>
                <w:szCs w:val="20"/>
                <w:lang w:val="en-GB"/>
              </w:rPr>
              <w:t xml:space="preserve">Non-confidential </w:t>
            </w:r>
          </w:p>
        </w:tc>
        <w:tc>
          <w:tcPr>
            <w:tcW w:w="6663" w:type="dxa"/>
          </w:tcPr>
          <w:p w:rsidR="005023A8" w:rsidRPr="00340F16" w:rsidRDefault="00340F16" w:rsidP="00131490">
            <w:pPr>
              <w:pStyle w:val="BodyTextNoSpacing"/>
              <w:rPr>
                <w:szCs w:val="20"/>
                <w:lang w:val="en-GB"/>
              </w:rPr>
            </w:pPr>
            <w:r>
              <w:rPr>
                <w:szCs w:val="20"/>
                <w:lang w:val="en-GB"/>
              </w:rPr>
              <w:t xml:space="preserve">Forecast CDCM customer numbers are already published in the CDCM and we do not anticipate their being problems in aggregating information to voltage level for ‘all the way’ </w:t>
            </w:r>
            <w:r>
              <w:rPr>
                <w:szCs w:val="20"/>
                <w:lang w:val="en-GB"/>
              </w:rPr>
              <w:lastRenderedPageBreak/>
              <w:t>customers, potentially using table 2801. Network level of supply by tariff to map customer to voltage levels.</w:t>
            </w:r>
          </w:p>
        </w:tc>
        <w:tc>
          <w:tcPr>
            <w:tcW w:w="3544" w:type="dxa"/>
          </w:tcPr>
          <w:p w:rsidR="005023A8" w:rsidRPr="00CA7D96" w:rsidRDefault="00CA7D96" w:rsidP="00131490">
            <w:pPr>
              <w:pStyle w:val="BodyTextNoSpacing"/>
              <w:rPr>
                <w:szCs w:val="20"/>
                <w:lang w:val="en-GB"/>
              </w:rPr>
            </w:pPr>
            <w:r>
              <w:rPr>
                <w:szCs w:val="20"/>
                <w:lang w:val="en-GB"/>
              </w:rPr>
              <w:lastRenderedPageBreak/>
              <w:t>Noted</w:t>
            </w:r>
          </w:p>
        </w:tc>
      </w:tr>
      <w:tr w:rsidR="005023A8" w:rsidRPr="003A569C" w:rsidTr="005023A8">
        <w:tc>
          <w:tcPr>
            <w:tcW w:w="1701" w:type="dxa"/>
          </w:tcPr>
          <w:p w:rsidR="005023A8" w:rsidRPr="008762CD" w:rsidRDefault="008762CD" w:rsidP="00131490">
            <w:pPr>
              <w:pStyle w:val="BodyTextNoSpacing"/>
              <w:rPr>
                <w:szCs w:val="20"/>
                <w:lang w:val="en-GB"/>
              </w:rPr>
            </w:pPr>
            <w:r>
              <w:rPr>
                <w:szCs w:val="20"/>
                <w:lang w:val="en-GB"/>
              </w:rPr>
              <w:t xml:space="preserve">WPD </w:t>
            </w:r>
          </w:p>
        </w:tc>
        <w:tc>
          <w:tcPr>
            <w:tcW w:w="1871" w:type="dxa"/>
          </w:tcPr>
          <w:p w:rsidR="005023A8" w:rsidRPr="008762CD" w:rsidRDefault="008762CD" w:rsidP="00131490">
            <w:pPr>
              <w:pStyle w:val="BodyTextNoSpacing"/>
              <w:rPr>
                <w:szCs w:val="20"/>
                <w:lang w:val="en-GB"/>
              </w:rPr>
            </w:pPr>
            <w:r>
              <w:rPr>
                <w:szCs w:val="20"/>
                <w:lang w:val="en-GB"/>
              </w:rPr>
              <w:t>Non-confidential</w:t>
            </w:r>
          </w:p>
        </w:tc>
        <w:tc>
          <w:tcPr>
            <w:tcW w:w="6663" w:type="dxa"/>
          </w:tcPr>
          <w:p w:rsidR="005023A8" w:rsidRPr="008762CD" w:rsidRDefault="008762CD" w:rsidP="00131490">
            <w:pPr>
              <w:pStyle w:val="BodyTextNoSpacing"/>
              <w:rPr>
                <w:szCs w:val="20"/>
                <w:lang w:val="en-GB"/>
              </w:rPr>
            </w:pPr>
            <w:r>
              <w:rPr>
                <w:szCs w:val="20"/>
                <w:lang w:val="en-GB"/>
              </w:rPr>
              <w:t>Use the CDCM MPANs from table 1053 and the EDCM model to determine the forecast of customers.</w:t>
            </w:r>
          </w:p>
        </w:tc>
        <w:tc>
          <w:tcPr>
            <w:tcW w:w="3544" w:type="dxa"/>
          </w:tcPr>
          <w:p w:rsidR="005023A8" w:rsidRPr="00CA7D96" w:rsidRDefault="00CA7D96" w:rsidP="00131490">
            <w:pPr>
              <w:pStyle w:val="BodyText"/>
              <w:jc w:val="both"/>
              <w:rPr>
                <w:rFonts w:ascii="Verdana" w:hAnsi="Verdana"/>
                <w:sz w:val="20"/>
                <w:szCs w:val="20"/>
                <w:lang w:val="en-GB"/>
              </w:rPr>
            </w:pPr>
            <w:r>
              <w:rPr>
                <w:rFonts w:ascii="Verdana" w:hAnsi="Verdana"/>
                <w:sz w:val="20"/>
                <w:szCs w:val="20"/>
                <w:lang w:val="en-GB"/>
              </w:rPr>
              <w:t>Noted</w:t>
            </w:r>
          </w:p>
        </w:tc>
      </w:tr>
      <w:tr w:rsidR="005023A8" w:rsidRPr="003A569C" w:rsidTr="005023A8">
        <w:tc>
          <w:tcPr>
            <w:tcW w:w="1701" w:type="dxa"/>
          </w:tcPr>
          <w:p w:rsidR="005023A8" w:rsidRPr="00586EE9" w:rsidRDefault="00586EE9" w:rsidP="00131490">
            <w:pPr>
              <w:pStyle w:val="BodyTextNoSpacing"/>
              <w:rPr>
                <w:szCs w:val="20"/>
                <w:lang w:val="en-GB"/>
              </w:rPr>
            </w:pPr>
            <w:r>
              <w:rPr>
                <w:szCs w:val="20"/>
                <w:lang w:val="en-GB"/>
              </w:rPr>
              <w:t>Electricity North West</w:t>
            </w:r>
          </w:p>
        </w:tc>
        <w:tc>
          <w:tcPr>
            <w:tcW w:w="1871" w:type="dxa"/>
          </w:tcPr>
          <w:p w:rsidR="005023A8" w:rsidRPr="00586EE9" w:rsidRDefault="00586EE9" w:rsidP="00131490">
            <w:pPr>
              <w:pStyle w:val="BodyTextNoSpacing"/>
              <w:rPr>
                <w:szCs w:val="20"/>
                <w:lang w:val="en-GB"/>
              </w:rPr>
            </w:pPr>
            <w:r>
              <w:rPr>
                <w:szCs w:val="20"/>
                <w:lang w:val="en-GB"/>
              </w:rPr>
              <w:t>Non-confidential</w:t>
            </w:r>
          </w:p>
        </w:tc>
        <w:tc>
          <w:tcPr>
            <w:tcW w:w="6663" w:type="dxa"/>
          </w:tcPr>
          <w:p w:rsidR="005023A8" w:rsidRPr="00586EE9" w:rsidRDefault="00586EE9" w:rsidP="00131490">
            <w:pPr>
              <w:pStyle w:val="BodyTextNoSpacing"/>
              <w:rPr>
                <w:szCs w:val="20"/>
                <w:lang w:val="en-GB"/>
              </w:rPr>
            </w:pPr>
            <w:r>
              <w:rPr>
                <w:szCs w:val="20"/>
                <w:lang w:val="en-GB"/>
              </w:rPr>
              <w:t>This information is included in the existing volume forecast in the CDCM inputs.</w:t>
            </w:r>
          </w:p>
        </w:tc>
        <w:tc>
          <w:tcPr>
            <w:tcW w:w="3544" w:type="dxa"/>
          </w:tcPr>
          <w:p w:rsidR="005023A8" w:rsidRPr="00CA7D96" w:rsidRDefault="00CA7D96" w:rsidP="00131490">
            <w:pPr>
              <w:pStyle w:val="BodyTextNoSpacing"/>
              <w:rPr>
                <w:szCs w:val="20"/>
                <w:lang w:val="en-GB"/>
              </w:rPr>
            </w:pPr>
            <w:r>
              <w:rPr>
                <w:szCs w:val="20"/>
                <w:lang w:val="en-GB"/>
              </w:rPr>
              <w:t>Noted</w:t>
            </w:r>
          </w:p>
        </w:tc>
      </w:tr>
      <w:tr w:rsidR="005023A8" w:rsidRPr="003A569C" w:rsidTr="005023A8">
        <w:tc>
          <w:tcPr>
            <w:tcW w:w="1701" w:type="dxa"/>
          </w:tcPr>
          <w:p w:rsidR="005023A8" w:rsidRPr="001C70BC" w:rsidRDefault="001C70BC" w:rsidP="00131490">
            <w:pPr>
              <w:pStyle w:val="BodyTextNoSpacing"/>
              <w:rPr>
                <w:szCs w:val="20"/>
                <w:lang w:val="en-GB"/>
              </w:rPr>
            </w:pPr>
            <w:r>
              <w:rPr>
                <w:szCs w:val="20"/>
                <w:lang w:val="en-GB"/>
              </w:rPr>
              <w:t>UK Power Networks</w:t>
            </w:r>
          </w:p>
        </w:tc>
        <w:tc>
          <w:tcPr>
            <w:tcW w:w="1871" w:type="dxa"/>
          </w:tcPr>
          <w:p w:rsidR="005023A8" w:rsidRPr="001C70BC" w:rsidRDefault="001C70BC" w:rsidP="00131490">
            <w:pPr>
              <w:pStyle w:val="BodyTextNoSpacing"/>
              <w:rPr>
                <w:szCs w:val="20"/>
                <w:lang w:val="en-GB"/>
              </w:rPr>
            </w:pPr>
            <w:r>
              <w:rPr>
                <w:szCs w:val="20"/>
                <w:lang w:val="en-GB"/>
              </w:rPr>
              <w:t xml:space="preserve">Non-confidential </w:t>
            </w:r>
          </w:p>
        </w:tc>
        <w:tc>
          <w:tcPr>
            <w:tcW w:w="6663" w:type="dxa"/>
          </w:tcPr>
          <w:p w:rsidR="005023A8" w:rsidRPr="001C70BC" w:rsidRDefault="001C70BC" w:rsidP="00131490">
            <w:pPr>
              <w:pStyle w:val="BodyTextNoSpacing"/>
              <w:rPr>
                <w:szCs w:val="20"/>
                <w:lang w:val="en-GB"/>
              </w:rPr>
            </w:pPr>
            <w:r>
              <w:rPr>
                <w:szCs w:val="20"/>
                <w:lang w:val="en-GB"/>
              </w:rPr>
              <w:t>Instead of using a specific report, could the forecast volumes in the CDCM (input table 1053) be utilised, as any variance between actual and forecast volumes is likely to be very small.</w:t>
            </w:r>
          </w:p>
        </w:tc>
        <w:tc>
          <w:tcPr>
            <w:tcW w:w="3544" w:type="dxa"/>
          </w:tcPr>
          <w:p w:rsidR="005023A8" w:rsidRPr="00CA7D96" w:rsidRDefault="00CA7D96" w:rsidP="00131490">
            <w:pPr>
              <w:pStyle w:val="BodyTextNoSpacing"/>
              <w:rPr>
                <w:szCs w:val="20"/>
                <w:lang w:val="en-GB"/>
              </w:rPr>
            </w:pPr>
            <w:r>
              <w:rPr>
                <w:szCs w:val="20"/>
                <w:lang w:val="en-GB"/>
              </w:rPr>
              <w:t>Noted</w:t>
            </w:r>
          </w:p>
        </w:tc>
      </w:tr>
      <w:tr w:rsidR="005023A8" w:rsidRPr="003A569C" w:rsidTr="005023A8">
        <w:tc>
          <w:tcPr>
            <w:tcW w:w="1701" w:type="dxa"/>
          </w:tcPr>
          <w:p w:rsidR="005023A8" w:rsidRPr="003A569C" w:rsidRDefault="000B34E5" w:rsidP="00131490">
            <w:pPr>
              <w:pStyle w:val="BodyTextNoSpacing"/>
              <w:rPr>
                <w:szCs w:val="20"/>
              </w:rPr>
            </w:pPr>
            <w:r>
              <w:rPr>
                <w:szCs w:val="20"/>
                <w:lang w:val="en-GB"/>
              </w:rPr>
              <w:t>The Electricity Network Company Ltd</w:t>
            </w:r>
          </w:p>
        </w:tc>
        <w:tc>
          <w:tcPr>
            <w:tcW w:w="1871" w:type="dxa"/>
          </w:tcPr>
          <w:p w:rsidR="005023A8" w:rsidRPr="000B34E5" w:rsidRDefault="000B34E5" w:rsidP="00131490">
            <w:pPr>
              <w:pStyle w:val="BodyTextNoSpacing"/>
              <w:rPr>
                <w:szCs w:val="20"/>
                <w:lang w:val="en-GB"/>
              </w:rPr>
            </w:pPr>
            <w:r>
              <w:rPr>
                <w:szCs w:val="20"/>
                <w:lang w:val="en-GB"/>
              </w:rPr>
              <w:t>Non-confidential</w:t>
            </w:r>
          </w:p>
        </w:tc>
        <w:tc>
          <w:tcPr>
            <w:tcW w:w="6663" w:type="dxa"/>
          </w:tcPr>
          <w:p w:rsidR="005023A8" w:rsidRPr="000B34E5" w:rsidRDefault="000B34E5" w:rsidP="00131490">
            <w:pPr>
              <w:pStyle w:val="BodyText"/>
              <w:jc w:val="both"/>
              <w:rPr>
                <w:rFonts w:ascii="Verdana" w:hAnsi="Verdana"/>
                <w:sz w:val="20"/>
                <w:szCs w:val="20"/>
                <w:lang w:val="en-GB"/>
              </w:rPr>
            </w:pPr>
            <w:r>
              <w:rPr>
                <w:rFonts w:ascii="Verdana" w:hAnsi="Verdana"/>
                <w:sz w:val="20"/>
                <w:szCs w:val="20"/>
                <w:lang w:val="en-GB"/>
              </w:rPr>
              <w:t>This is not a question that is relevant to IDNOs as it will not be an input that IDNOs would need to generate to create the model.</w:t>
            </w:r>
          </w:p>
        </w:tc>
        <w:tc>
          <w:tcPr>
            <w:tcW w:w="3544" w:type="dxa"/>
          </w:tcPr>
          <w:p w:rsidR="005023A8" w:rsidRPr="00CA7D96" w:rsidRDefault="00CA7D96" w:rsidP="00131490">
            <w:pPr>
              <w:pStyle w:val="BodyText"/>
              <w:jc w:val="both"/>
              <w:rPr>
                <w:rFonts w:ascii="Verdana" w:hAnsi="Verdana"/>
                <w:sz w:val="20"/>
                <w:szCs w:val="20"/>
                <w:lang w:val="en-GB"/>
              </w:rPr>
            </w:pPr>
            <w:r>
              <w:rPr>
                <w:rFonts w:ascii="Verdana" w:hAnsi="Verdana"/>
                <w:sz w:val="20"/>
                <w:szCs w:val="20"/>
                <w:lang w:val="en-GB"/>
              </w:rPr>
              <w:t>Noted</w:t>
            </w:r>
          </w:p>
        </w:tc>
      </w:tr>
      <w:tr w:rsidR="005023A8" w:rsidRPr="003A569C" w:rsidTr="00A467A4">
        <w:tc>
          <w:tcPr>
            <w:tcW w:w="13779" w:type="dxa"/>
            <w:gridSpan w:val="4"/>
          </w:tcPr>
          <w:p w:rsidR="005023A8" w:rsidRPr="00453F60" w:rsidRDefault="00DC78E6" w:rsidP="00131490">
            <w:pPr>
              <w:pStyle w:val="BodyText"/>
              <w:jc w:val="both"/>
              <w:rPr>
                <w:rFonts w:ascii="Verdana" w:hAnsi="Verdana"/>
                <w:sz w:val="20"/>
                <w:szCs w:val="20"/>
                <w:lang w:val="en-GB"/>
              </w:rPr>
            </w:pPr>
            <w:r w:rsidRPr="00DC78E6">
              <w:rPr>
                <w:rFonts w:ascii="Verdana" w:hAnsi="Verdana"/>
                <w:b/>
                <w:sz w:val="20"/>
                <w:szCs w:val="20"/>
                <w:lang w:val="en-GB"/>
              </w:rPr>
              <w:t>Working Group Conclusions:</w:t>
            </w:r>
            <w:r w:rsidR="00453F60">
              <w:rPr>
                <w:rFonts w:ascii="Verdana" w:hAnsi="Verdana"/>
                <w:b/>
                <w:sz w:val="20"/>
                <w:szCs w:val="20"/>
                <w:lang w:val="en-GB"/>
              </w:rPr>
              <w:t xml:space="preserve"> </w:t>
            </w:r>
            <w:r w:rsidR="00CA7D96">
              <w:rPr>
                <w:rFonts w:ascii="Verdana" w:hAnsi="Verdana"/>
                <w:sz w:val="20"/>
                <w:szCs w:val="20"/>
                <w:lang w:val="en-GB"/>
              </w:rPr>
              <w:t>The Working Group believe that the relevant information is available by using table 1053 from the PCDM.</w:t>
            </w:r>
            <w:r w:rsidR="00453F60">
              <w:rPr>
                <w:rFonts w:ascii="Verdana" w:hAnsi="Verdana"/>
                <w:sz w:val="20"/>
                <w:szCs w:val="20"/>
                <w:lang w:val="en-GB"/>
              </w:rPr>
              <w:t xml:space="preserve"> </w:t>
            </w:r>
          </w:p>
        </w:tc>
      </w:tr>
      <w:bookmarkEnd w:id="3"/>
    </w:tbl>
    <w:p w:rsidR="00131490" w:rsidRPr="003A569C" w:rsidRDefault="00131490">
      <w:pPr>
        <w:rPr>
          <w:rFonts w:ascii="Verdana" w:hAnsi="Verdana"/>
          <w:sz w:val="20"/>
          <w:szCs w:val="20"/>
        </w:rPr>
      </w:pPr>
    </w:p>
    <w:tbl>
      <w:tblPr>
        <w:tblStyle w:val="ElectralinkResponseTable"/>
        <w:tblW w:w="13921" w:type="dxa"/>
        <w:tblInd w:w="108" w:type="dxa"/>
        <w:tblLayout w:type="fixed"/>
        <w:tblLook w:val="04A0" w:firstRow="1" w:lastRow="0" w:firstColumn="1" w:lastColumn="0" w:noHBand="0" w:noVBand="1"/>
      </w:tblPr>
      <w:tblGrid>
        <w:gridCol w:w="1701"/>
        <w:gridCol w:w="1871"/>
        <w:gridCol w:w="6663"/>
        <w:gridCol w:w="3686"/>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701" w:type="dxa"/>
          </w:tcPr>
          <w:p w:rsidR="005023A8" w:rsidRPr="003A569C" w:rsidRDefault="005023A8" w:rsidP="00131490">
            <w:pPr>
              <w:pStyle w:val="ColumnHeading"/>
              <w:rPr>
                <w:szCs w:val="20"/>
              </w:rPr>
            </w:pPr>
            <w:bookmarkStart w:id="4" w:name="dcusa_response5"/>
            <w:r w:rsidRPr="003A569C">
              <w:rPr>
                <w:szCs w:val="20"/>
              </w:rPr>
              <w:t>Company</w:t>
            </w:r>
          </w:p>
        </w:tc>
        <w:tc>
          <w:tcPr>
            <w:tcW w:w="1871"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663" w:type="dxa"/>
          </w:tcPr>
          <w:p w:rsidR="005023A8" w:rsidRPr="003A569C" w:rsidRDefault="009333C5" w:rsidP="00131490">
            <w:pPr>
              <w:pStyle w:val="Question"/>
              <w:rPr>
                <w:szCs w:val="20"/>
              </w:rPr>
            </w:pPr>
            <w:r>
              <w:rPr>
                <w:szCs w:val="20"/>
                <w:lang w:val="en-GB"/>
              </w:rPr>
              <w:t>Is the 2007/08 data the best data set to use or this there a better data source that could be utilised? Please provide your rationale.</w:t>
            </w:r>
          </w:p>
        </w:tc>
        <w:tc>
          <w:tcPr>
            <w:tcW w:w="3686"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701" w:type="dxa"/>
          </w:tcPr>
          <w:p w:rsidR="005023A8" w:rsidRPr="000C5CF9" w:rsidRDefault="000C5CF9" w:rsidP="00131490">
            <w:pPr>
              <w:pStyle w:val="BodyTextNoSpacing"/>
              <w:rPr>
                <w:szCs w:val="20"/>
                <w:lang w:val="en-GB"/>
              </w:rPr>
            </w:pPr>
            <w:r>
              <w:rPr>
                <w:szCs w:val="20"/>
                <w:lang w:val="en-GB"/>
              </w:rPr>
              <w:t>ESP Electricity (ESPE)</w:t>
            </w:r>
          </w:p>
        </w:tc>
        <w:tc>
          <w:tcPr>
            <w:tcW w:w="1871" w:type="dxa"/>
          </w:tcPr>
          <w:p w:rsidR="005023A8" w:rsidRPr="000C5CF9" w:rsidRDefault="000C5CF9" w:rsidP="00131490">
            <w:pPr>
              <w:pStyle w:val="BodyTextNoSpacing"/>
              <w:rPr>
                <w:szCs w:val="20"/>
                <w:lang w:val="en-GB"/>
              </w:rPr>
            </w:pPr>
            <w:r>
              <w:rPr>
                <w:szCs w:val="20"/>
                <w:lang w:val="en-GB"/>
              </w:rPr>
              <w:t>Non-confidential</w:t>
            </w:r>
          </w:p>
        </w:tc>
        <w:tc>
          <w:tcPr>
            <w:tcW w:w="6663" w:type="dxa"/>
          </w:tcPr>
          <w:p w:rsidR="005023A8" w:rsidRDefault="000C5CF9" w:rsidP="00131490">
            <w:pPr>
              <w:pStyle w:val="BodyTextNoSpacing"/>
              <w:rPr>
                <w:szCs w:val="20"/>
                <w:lang w:val="en-GB"/>
              </w:rPr>
            </w:pPr>
            <w:r>
              <w:rPr>
                <w:szCs w:val="20"/>
                <w:lang w:val="en-GB"/>
              </w:rPr>
              <w:t>Whilst ESPE would prefer more up-to-date Regulatory Report Pack (RRP) data be utilised (as this would better reflect the costs incurred by LDNOs), we understand this information has been deemed confidential.</w:t>
            </w:r>
          </w:p>
          <w:p w:rsidR="000C5CF9" w:rsidRDefault="000C5CF9" w:rsidP="00131490">
            <w:pPr>
              <w:pStyle w:val="BodyTextNoSpacing"/>
              <w:rPr>
                <w:szCs w:val="20"/>
                <w:lang w:val="en-GB"/>
              </w:rPr>
            </w:pPr>
          </w:p>
          <w:p w:rsidR="000C5CF9" w:rsidRDefault="000C5CF9" w:rsidP="00131490">
            <w:pPr>
              <w:pStyle w:val="BodyTextNoSpacing"/>
              <w:rPr>
                <w:szCs w:val="20"/>
                <w:lang w:val="en-GB"/>
              </w:rPr>
            </w:pPr>
            <w:r>
              <w:rPr>
                <w:szCs w:val="20"/>
                <w:lang w:val="en-GB"/>
              </w:rPr>
              <w:t>The feasibility and best method of obtaining this information would need to be resolved.</w:t>
            </w:r>
          </w:p>
          <w:p w:rsidR="000C5CF9" w:rsidRDefault="000C5CF9" w:rsidP="00131490">
            <w:pPr>
              <w:pStyle w:val="BodyTextNoSpacing"/>
              <w:rPr>
                <w:szCs w:val="20"/>
                <w:lang w:val="en-GB"/>
              </w:rPr>
            </w:pPr>
          </w:p>
          <w:p w:rsidR="000C5CF9" w:rsidRPr="000C5CF9" w:rsidRDefault="000C5CF9" w:rsidP="00131490">
            <w:pPr>
              <w:pStyle w:val="BodyTextNoSpacing"/>
              <w:rPr>
                <w:szCs w:val="20"/>
                <w:lang w:val="en-GB"/>
              </w:rPr>
            </w:pPr>
            <w:r>
              <w:rPr>
                <w:szCs w:val="20"/>
                <w:lang w:val="en-GB"/>
              </w:rPr>
              <w:lastRenderedPageBreak/>
              <w:t xml:space="preserve">In the case that recent information cannot be provided due to issues surrounding its confidentiality, the 2007/2008 data </w:t>
            </w:r>
            <w:proofErr w:type="spellStart"/>
            <w:r>
              <w:rPr>
                <w:szCs w:val="20"/>
                <w:lang w:val="en-GB"/>
              </w:rPr>
              <w:t>det</w:t>
            </w:r>
            <w:proofErr w:type="spellEnd"/>
            <w:r>
              <w:rPr>
                <w:szCs w:val="20"/>
                <w:lang w:val="en-GB"/>
              </w:rPr>
              <w:t xml:space="preserve"> would be the most suitable data source to use.</w:t>
            </w:r>
          </w:p>
        </w:tc>
        <w:tc>
          <w:tcPr>
            <w:tcW w:w="3686" w:type="dxa"/>
          </w:tcPr>
          <w:p w:rsidR="005023A8" w:rsidRPr="001D1626" w:rsidRDefault="00CA7D96" w:rsidP="00131490">
            <w:pPr>
              <w:pStyle w:val="BodyText"/>
              <w:rPr>
                <w:rFonts w:ascii="Verdana" w:hAnsi="Verdana"/>
                <w:sz w:val="20"/>
                <w:szCs w:val="20"/>
                <w:lang w:val="en-GB"/>
              </w:rPr>
            </w:pPr>
            <w:r>
              <w:rPr>
                <w:rFonts w:ascii="Verdana" w:hAnsi="Verdana"/>
                <w:sz w:val="20"/>
                <w:szCs w:val="20"/>
                <w:lang w:val="en-GB"/>
              </w:rPr>
              <w:lastRenderedPageBreak/>
              <w:t>Noted</w:t>
            </w:r>
          </w:p>
        </w:tc>
      </w:tr>
      <w:tr w:rsidR="005023A8" w:rsidRPr="003A569C" w:rsidTr="005023A8">
        <w:tc>
          <w:tcPr>
            <w:tcW w:w="1701" w:type="dxa"/>
          </w:tcPr>
          <w:p w:rsidR="005023A8" w:rsidRPr="00340F16" w:rsidRDefault="00340F16" w:rsidP="00131490">
            <w:pPr>
              <w:pStyle w:val="BodyTextNoSpacing"/>
              <w:rPr>
                <w:szCs w:val="20"/>
                <w:lang w:val="en-GB"/>
              </w:rPr>
            </w:pPr>
            <w:r>
              <w:rPr>
                <w:szCs w:val="20"/>
                <w:lang w:val="en-GB"/>
              </w:rPr>
              <w:t>Northern Powergrid</w:t>
            </w:r>
          </w:p>
        </w:tc>
        <w:tc>
          <w:tcPr>
            <w:tcW w:w="1871" w:type="dxa"/>
          </w:tcPr>
          <w:p w:rsidR="005023A8" w:rsidRPr="00340F16" w:rsidRDefault="00340F16" w:rsidP="00131490">
            <w:pPr>
              <w:pStyle w:val="BodyTextNoSpacing"/>
              <w:rPr>
                <w:szCs w:val="20"/>
                <w:lang w:val="en-GB"/>
              </w:rPr>
            </w:pPr>
            <w:r>
              <w:rPr>
                <w:szCs w:val="20"/>
                <w:lang w:val="en-GB"/>
              </w:rPr>
              <w:t>Non-confidential</w:t>
            </w:r>
          </w:p>
        </w:tc>
        <w:tc>
          <w:tcPr>
            <w:tcW w:w="6663" w:type="dxa"/>
          </w:tcPr>
          <w:p w:rsidR="005023A8" w:rsidRDefault="00340F16" w:rsidP="00131490">
            <w:pPr>
              <w:pStyle w:val="BodyText"/>
              <w:rPr>
                <w:rFonts w:ascii="Verdana" w:hAnsi="Verdana"/>
                <w:sz w:val="20"/>
                <w:szCs w:val="20"/>
                <w:lang w:val="en-GB"/>
              </w:rPr>
            </w:pPr>
            <w:r>
              <w:rPr>
                <w:rFonts w:ascii="Verdana" w:hAnsi="Verdana"/>
                <w:sz w:val="20"/>
                <w:szCs w:val="20"/>
                <w:lang w:val="en-GB"/>
              </w:rPr>
              <w:t xml:space="preserve">If this remains the only available data it is arguably the best data set ‘available’, however we believe this should be addressed as part of a more fundamental review as </w:t>
            </w:r>
            <w:proofErr w:type="gramStart"/>
            <w:r>
              <w:rPr>
                <w:rFonts w:ascii="Verdana" w:hAnsi="Verdana"/>
                <w:sz w:val="20"/>
                <w:szCs w:val="20"/>
                <w:lang w:val="en-GB"/>
              </w:rPr>
              <w:t>this impacts</w:t>
            </w:r>
            <w:proofErr w:type="gramEnd"/>
            <w:r>
              <w:rPr>
                <w:rFonts w:ascii="Verdana" w:hAnsi="Verdana"/>
                <w:sz w:val="20"/>
                <w:szCs w:val="20"/>
                <w:lang w:val="en-GB"/>
              </w:rPr>
              <w:t xml:space="preserve"> elsewhere and opens up the possibility of further improving costs reflectivity. </w:t>
            </w:r>
          </w:p>
          <w:p w:rsidR="00340F16" w:rsidRDefault="00340F16" w:rsidP="00131490">
            <w:pPr>
              <w:pStyle w:val="BodyText"/>
              <w:rPr>
                <w:rFonts w:ascii="Verdana" w:hAnsi="Verdana"/>
                <w:sz w:val="20"/>
                <w:szCs w:val="20"/>
                <w:lang w:val="en-GB"/>
              </w:rPr>
            </w:pPr>
          </w:p>
          <w:p w:rsidR="00340F16" w:rsidRPr="00340F16" w:rsidRDefault="00340F16" w:rsidP="00131490">
            <w:pPr>
              <w:pStyle w:val="BodyText"/>
              <w:rPr>
                <w:rFonts w:ascii="Verdana" w:hAnsi="Verdana"/>
                <w:sz w:val="20"/>
                <w:szCs w:val="20"/>
                <w:lang w:val="en-GB"/>
              </w:rPr>
            </w:pPr>
            <w:r>
              <w:rPr>
                <w:rFonts w:ascii="Verdana" w:hAnsi="Verdana"/>
                <w:sz w:val="20"/>
                <w:szCs w:val="20"/>
                <w:lang w:val="en-GB"/>
              </w:rPr>
              <w:t xml:space="preserve">DNOs may need to consult internally to understand what information can be made available, and likewise Ofgem may wish to consider what RRP data could be made </w:t>
            </w:r>
            <w:r w:rsidR="006622EE">
              <w:rPr>
                <w:rFonts w:ascii="Verdana" w:hAnsi="Verdana"/>
                <w:sz w:val="20"/>
                <w:szCs w:val="20"/>
                <w:lang w:val="en-GB"/>
              </w:rPr>
              <w:t xml:space="preserve">publicly available, which may represent extracts of the RIGs submissions to better serve the wider review. </w:t>
            </w:r>
          </w:p>
        </w:tc>
        <w:tc>
          <w:tcPr>
            <w:tcW w:w="3686" w:type="dxa"/>
          </w:tcPr>
          <w:p w:rsidR="005023A8" w:rsidRPr="001D1626" w:rsidRDefault="00CA7D96"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701" w:type="dxa"/>
          </w:tcPr>
          <w:p w:rsidR="005023A8" w:rsidRPr="008762CD" w:rsidRDefault="008762CD" w:rsidP="00131490">
            <w:pPr>
              <w:pStyle w:val="BodyTextNoSpacing"/>
              <w:rPr>
                <w:szCs w:val="20"/>
                <w:lang w:val="en-GB"/>
              </w:rPr>
            </w:pPr>
            <w:r>
              <w:rPr>
                <w:szCs w:val="20"/>
                <w:lang w:val="en-GB"/>
              </w:rPr>
              <w:t>WPD</w:t>
            </w:r>
          </w:p>
        </w:tc>
        <w:tc>
          <w:tcPr>
            <w:tcW w:w="1871" w:type="dxa"/>
          </w:tcPr>
          <w:p w:rsidR="005023A8" w:rsidRPr="008762CD" w:rsidRDefault="008762CD" w:rsidP="00131490">
            <w:pPr>
              <w:pStyle w:val="BodyTextNoSpacing"/>
              <w:rPr>
                <w:szCs w:val="20"/>
                <w:lang w:val="en-GB"/>
              </w:rPr>
            </w:pPr>
            <w:r>
              <w:rPr>
                <w:szCs w:val="20"/>
                <w:lang w:val="en-GB"/>
              </w:rPr>
              <w:t>Non-confidential</w:t>
            </w:r>
          </w:p>
        </w:tc>
        <w:tc>
          <w:tcPr>
            <w:tcW w:w="6663" w:type="dxa"/>
          </w:tcPr>
          <w:p w:rsidR="005023A8" w:rsidRPr="00E95710" w:rsidRDefault="00E95710" w:rsidP="00131490">
            <w:pPr>
              <w:pStyle w:val="BodyText"/>
              <w:rPr>
                <w:rFonts w:ascii="Verdana" w:hAnsi="Verdana"/>
                <w:sz w:val="20"/>
                <w:szCs w:val="20"/>
                <w:lang w:val="en-GB"/>
              </w:rPr>
            </w:pPr>
            <w:r>
              <w:rPr>
                <w:rFonts w:ascii="Verdana" w:hAnsi="Verdana"/>
                <w:sz w:val="20"/>
                <w:szCs w:val="20"/>
                <w:lang w:val="en-GB"/>
              </w:rPr>
              <w:t>This would seem consistent with the rest of the PCDCM</w:t>
            </w:r>
          </w:p>
        </w:tc>
        <w:tc>
          <w:tcPr>
            <w:tcW w:w="3686" w:type="dxa"/>
          </w:tcPr>
          <w:p w:rsidR="005023A8" w:rsidRPr="00725D44" w:rsidRDefault="00CA7D96" w:rsidP="00131490">
            <w:pPr>
              <w:pStyle w:val="BodyText"/>
              <w:jc w:val="both"/>
              <w:rPr>
                <w:rFonts w:ascii="Verdana" w:hAnsi="Verdana"/>
                <w:sz w:val="20"/>
                <w:szCs w:val="20"/>
                <w:lang w:val="en-GB"/>
              </w:rPr>
            </w:pPr>
            <w:r>
              <w:rPr>
                <w:rFonts w:ascii="Verdana" w:hAnsi="Verdana"/>
                <w:sz w:val="20"/>
                <w:szCs w:val="20"/>
                <w:lang w:val="en-GB"/>
              </w:rPr>
              <w:t>Noted</w:t>
            </w:r>
          </w:p>
        </w:tc>
      </w:tr>
      <w:tr w:rsidR="005023A8" w:rsidRPr="003A569C" w:rsidTr="005023A8">
        <w:tc>
          <w:tcPr>
            <w:tcW w:w="1701" w:type="dxa"/>
          </w:tcPr>
          <w:p w:rsidR="005023A8" w:rsidRPr="00586EE9" w:rsidRDefault="00586EE9" w:rsidP="00131490">
            <w:pPr>
              <w:pStyle w:val="BodyTextNoSpacing"/>
              <w:rPr>
                <w:szCs w:val="20"/>
                <w:lang w:val="en-GB"/>
              </w:rPr>
            </w:pPr>
            <w:r>
              <w:rPr>
                <w:szCs w:val="20"/>
                <w:lang w:val="en-GB"/>
              </w:rPr>
              <w:t>Electricity North West</w:t>
            </w:r>
          </w:p>
        </w:tc>
        <w:tc>
          <w:tcPr>
            <w:tcW w:w="1871" w:type="dxa"/>
          </w:tcPr>
          <w:p w:rsidR="005023A8" w:rsidRPr="00586EE9" w:rsidRDefault="00586EE9" w:rsidP="00131490">
            <w:pPr>
              <w:pStyle w:val="BodyTextNoSpacing"/>
              <w:rPr>
                <w:szCs w:val="20"/>
                <w:lang w:val="en-GB"/>
              </w:rPr>
            </w:pPr>
            <w:r>
              <w:rPr>
                <w:szCs w:val="20"/>
                <w:lang w:val="en-GB"/>
              </w:rPr>
              <w:t>Non-confidential</w:t>
            </w:r>
          </w:p>
        </w:tc>
        <w:tc>
          <w:tcPr>
            <w:tcW w:w="6663" w:type="dxa"/>
          </w:tcPr>
          <w:p w:rsidR="005023A8" w:rsidRPr="00586EE9" w:rsidRDefault="00586EE9" w:rsidP="00131490">
            <w:pPr>
              <w:pStyle w:val="BodyTextNoSpacing"/>
              <w:rPr>
                <w:szCs w:val="20"/>
                <w:lang w:val="en-GB"/>
              </w:rPr>
            </w:pPr>
            <w:r>
              <w:rPr>
                <w:szCs w:val="20"/>
                <w:lang w:val="en-GB"/>
              </w:rPr>
              <w:t xml:space="preserve">The 2007/2008 RRP data should be used as this is consistent with the rest of the data in the PCDM. It is the relative level of the Licence Fee compared to other costs, and the allocations applied, that are relevant in determining the LDNO discount percentages. </w:t>
            </w:r>
          </w:p>
        </w:tc>
        <w:tc>
          <w:tcPr>
            <w:tcW w:w="3686" w:type="dxa"/>
          </w:tcPr>
          <w:p w:rsidR="005023A8" w:rsidRPr="00725D44" w:rsidRDefault="00CA7D96" w:rsidP="00131490">
            <w:pPr>
              <w:pStyle w:val="BodyTextNoSpacing"/>
              <w:rPr>
                <w:szCs w:val="20"/>
                <w:lang w:val="en-GB"/>
              </w:rPr>
            </w:pPr>
            <w:r>
              <w:rPr>
                <w:szCs w:val="20"/>
                <w:lang w:val="en-GB"/>
              </w:rPr>
              <w:t>Noted</w:t>
            </w:r>
          </w:p>
        </w:tc>
      </w:tr>
      <w:tr w:rsidR="005023A8" w:rsidRPr="003A569C" w:rsidTr="005023A8">
        <w:tc>
          <w:tcPr>
            <w:tcW w:w="1701" w:type="dxa"/>
          </w:tcPr>
          <w:p w:rsidR="005023A8" w:rsidRPr="001C70BC" w:rsidRDefault="001C70BC" w:rsidP="00131490">
            <w:pPr>
              <w:pStyle w:val="BodyTextNoSpacing"/>
              <w:rPr>
                <w:szCs w:val="20"/>
                <w:lang w:val="en-GB"/>
              </w:rPr>
            </w:pPr>
            <w:r>
              <w:rPr>
                <w:szCs w:val="20"/>
                <w:lang w:val="en-GB"/>
              </w:rPr>
              <w:t>UK Power Networks</w:t>
            </w:r>
          </w:p>
        </w:tc>
        <w:tc>
          <w:tcPr>
            <w:tcW w:w="1871" w:type="dxa"/>
          </w:tcPr>
          <w:p w:rsidR="005023A8" w:rsidRPr="001C70BC" w:rsidRDefault="001C70BC" w:rsidP="00131490">
            <w:pPr>
              <w:pStyle w:val="BodyTextNoSpacing"/>
              <w:rPr>
                <w:szCs w:val="20"/>
                <w:lang w:val="en-GB"/>
              </w:rPr>
            </w:pPr>
            <w:r>
              <w:rPr>
                <w:szCs w:val="20"/>
                <w:lang w:val="en-GB"/>
              </w:rPr>
              <w:t>Non-confidential</w:t>
            </w:r>
          </w:p>
        </w:tc>
        <w:tc>
          <w:tcPr>
            <w:tcW w:w="6663" w:type="dxa"/>
          </w:tcPr>
          <w:p w:rsidR="005023A8" w:rsidRPr="001C70BC" w:rsidRDefault="001C70BC" w:rsidP="00131490">
            <w:pPr>
              <w:pStyle w:val="BodyText"/>
              <w:rPr>
                <w:rFonts w:ascii="Verdana" w:hAnsi="Verdana"/>
                <w:sz w:val="20"/>
                <w:szCs w:val="20"/>
                <w:lang w:val="en-GB"/>
              </w:rPr>
            </w:pPr>
            <w:r>
              <w:rPr>
                <w:rFonts w:ascii="Verdana" w:hAnsi="Verdana"/>
                <w:sz w:val="20"/>
                <w:szCs w:val="20"/>
                <w:lang w:val="en-GB"/>
              </w:rPr>
              <w:t>Using data from 2007/</w:t>
            </w:r>
            <w:r w:rsidR="001B66BF">
              <w:rPr>
                <w:rFonts w:ascii="Verdana" w:hAnsi="Verdana"/>
                <w:sz w:val="20"/>
                <w:szCs w:val="20"/>
                <w:lang w:val="en-GB"/>
              </w:rPr>
              <w:t xml:space="preserve">08 aligns with the existing arrangements in the PCDM, but as stated in the consultation this is now </w:t>
            </w:r>
            <w:proofErr w:type="gramStart"/>
            <w:r w:rsidR="001B66BF">
              <w:rPr>
                <w:rFonts w:ascii="Verdana" w:hAnsi="Verdana"/>
                <w:sz w:val="20"/>
                <w:szCs w:val="20"/>
                <w:lang w:val="en-GB"/>
              </w:rPr>
              <w:t>a number of</w:t>
            </w:r>
            <w:proofErr w:type="gramEnd"/>
            <w:r w:rsidR="001B66BF">
              <w:rPr>
                <w:rFonts w:ascii="Verdana" w:hAnsi="Verdana"/>
                <w:sz w:val="20"/>
                <w:szCs w:val="20"/>
                <w:lang w:val="en-GB"/>
              </w:rPr>
              <w:t xml:space="preserve"> years out of date. </w:t>
            </w:r>
            <w:proofErr w:type="gramStart"/>
            <w:r w:rsidR="001B66BF">
              <w:rPr>
                <w:rFonts w:ascii="Verdana" w:hAnsi="Verdana"/>
                <w:sz w:val="20"/>
                <w:szCs w:val="20"/>
                <w:lang w:val="en-GB"/>
              </w:rPr>
              <w:t>However</w:t>
            </w:r>
            <w:proofErr w:type="gramEnd"/>
            <w:r w:rsidR="001B66BF">
              <w:rPr>
                <w:rFonts w:ascii="Verdana" w:hAnsi="Verdana"/>
                <w:sz w:val="20"/>
                <w:szCs w:val="20"/>
                <w:lang w:val="en-GB"/>
              </w:rPr>
              <w:t xml:space="preserve"> we are not aware of a better source of data and it would need to be carefully considered whether even if a better source exists it would be appropriate to use considering the rest of the data in the PCDM dates back a significant number of years.</w:t>
            </w:r>
          </w:p>
        </w:tc>
        <w:tc>
          <w:tcPr>
            <w:tcW w:w="3686" w:type="dxa"/>
          </w:tcPr>
          <w:p w:rsidR="005023A8" w:rsidRPr="00725D44" w:rsidRDefault="00CA7D96"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701" w:type="dxa"/>
          </w:tcPr>
          <w:p w:rsidR="005023A8" w:rsidRPr="003A569C" w:rsidRDefault="000B34E5" w:rsidP="00131490">
            <w:pPr>
              <w:pStyle w:val="BodyTextNoSpacing"/>
              <w:rPr>
                <w:szCs w:val="20"/>
              </w:rPr>
            </w:pPr>
            <w:r>
              <w:rPr>
                <w:szCs w:val="20"/>
                <w:lang w:val="en-GB"/>
              </w:rPr>
              <w:lastRenderedPageBreak/>
              <w:t>The Electricity Network Company Ltd</w:t>
            </w:r>
          </w:p>
        </w:tc>
        <w:tc>
          <w:tcPr>
            <w:tcW w:w="1871" w:type="dxa"/>
          </w:tcPr>
          <w:p w:rsidR="005023A8" w:rsidRPr="000B34E5" w:rsidRDefault="000B34E5" w:rsidP="00131490">
            <w:pPr>
              <w:pStyle w:val="BodyTextNoSpacing"/>
              <w:rPr>
                <w:szCs w:val="20"/>
                <w:lang w:val="en-GB"/>
              </w:rPr>
            </w:pPr>
            <w:r>
              <w:rPr>
                <w:szCs w:val="20"/>
                <w:lang w:val="en-GB"/>
              </w:rPr>
              <w:t>Non-confidential</w:t>
            </w:r>
          </w:p>
        </w:tc>
        <w:tc>
          <w:tcPr>
            <w:tcW w:w="6663" w:type="dxa"/>
          </w:tcPr>
          <w:p w:rsidR="005023A8" w:rsidRPr="000B34E5" w:rsidRDefault="000B34E5" w:rsidP="00131490">
            <w:pPr>
              <w:pStyle w:val="BodyText"/>
              <w:jc w:val="both"/>
              <w:rPr>
                <w:rFonts w:ascii="Verdana" w:hAnsi="Verdana"/>
                <w:sz w:val="20"/>
                <w:szCs w:val="20"/>
                <w:lang w:val="en-GB"/>
              </w:rPr>
            </w:pPr>
            <w:r>
              <w:rPr>
                <w:rFonts w:ascii="Verdana" w:hAnsi="Verdana"/>
                <w:sz w:val="20"/>
                <w:szCs w:val="20"/>
                <w:lang w:val="en-GB"/>
              </w:rPr>
              <w:t>The 2007/08 data is considerably out of date but unless the entirety of the PCDM data is updated, then it would seem appropriate to continue using 2007/08 data for consistency purposes. We note that although the present solution dictates the use of the 2007/08 data should there be a wholesale change to the cost data that is used for the PCDM then it would merely be a case of updating the reference to use up to date data.</w:t>
            </w:r>
          </w:p>
        </w:tc>
        <w:tc>
          <w:tcPr>
            <w:tcW w:w="3686" w:type="dxa"/>
          </w:tcPr>
          <w:p w:rsidR="005023A8" w:rsidRPr="00725D44" w:rsidRDefault="00CA7D96" w:rsidP="00131490">
            <w:pPr>
              <w:pStyle w:val="BodyText"/>
              <w:jc w:val="both"/>
              <w:rPr>
                <w:rFonts w:ascii="Verdana" w:hAnsi="Verdana"/>
                <w:sz w:val="20"/>
                <w:szCs w:val="20"/>
                <w:lang w:val="en-GB"/>
              </w:rPr>
            </w:pPr>
            <w:r>
              <w:rPr>
                <w:rFonts w:ascii="Verdana" w:hAnsi="Verdana"/>
                <w:sz w:val="20"/>
                <w:szCs w:val="20"/>
                <w:lang w:val="en-GB"/>
              </w:rPr>
              <w:t>Noted</w:t>
            </w:r>
          </w:p>
        </w:tc>
      </w:tr>
      <w:tr w:rsidR="005023A8" w:rsidRPr="003A569C" w:rsidTr="005023A8">
        <w:tc>
          <w:tcPr>
            <w:tcW w:w="13921" w:type="dxa"/>
            <w:gridSpan w:val="4"/>
          </w:tcPr>
          <w:p w:rsidR="005023A8" w:rsidRPr="00453F60" w:rsidRDefault="00DC78E6" w:rsidP="00131490">
            <w:pPr>
              <w:pStyle w:val="BodyText"/>
              <w:jc w:val="both"/>
              <w:rPr>
                <w:rFonts w:ascii="Verdana" w:hAnsi="Verdana"/>
                <w:sz w:val="20"/>
                <w:szCs w:val="20"/>
                <w:lang w:val="en-GB"/>
              </w:rPr>
            </w:pPr>
            <w:r w:rsidRPr="00DC78E6">
              <w:rPr>
                <w:rFonts w:ascii="Verdana" w:hAnsi="Verdana"/>
                <w:b/>
                <w:sz w:val="20"/>
                <w:szCs w:val="20"/>
                <w:lang w:val="en-GB"/>
              </w:rPr>
              <w:t>Working Group Conclusions:</w:t>
            </w:r>
            <w:r w:rsidR="00453F60">
              <w:rPr>
                <w:rFonts w:ascii="Verdana" w:hAnsi="Verdana"/>
                <w:b/>
                <w:sz w:val="20"/>
                <w:szCs w:val="20"/>
                <w:lang w:val="en-GB"/>
              </w:rPr>
              <w:t xml:space="preserve"> </w:t>
            </w:r>
            <w:r w:rsidR="00CA7D96">
              <w:rPr>
                <w:rFonts w:ascii="Verdana" w:hAnsi="Verdana"/>
                <w:sz w:val="20"/>
                <w:szCs w:val="20"/>
                <w:lang w:val="en-GB"/>
              </w:rPr>
              <w:t>The Working Group agreed that for the intent of this change it is better to use the 2007/08 data set to be consistent with the rest of the PCDM. However, the industry might need to consider a wider review in the future.</w:t>
            </w:r>
            <w:r w:rsidR="00453F60">
              <w:rPr>
                <w:rFonts w:ascii="Verdana" w:hAnsi="Verdana"/>
                <w:sz w:val="20"/>
                <w:szCs w:val="20"/>
                <w:lang w:val="en-GB"/>
              </w:rPr>
              <w:t xml:space="preserve"> </w:t>
            </w:r>
          </w:p>
        </w:tc>
      </w:tr>
      <w:bookmarkEnd w:id="4"/>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20"/>
        <w:gridCol w:w="1558"/>
        <w:gridCol w:w="7257"/>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420" w:type="dxa"/>
          </w:tcPr>
          <w:p w:rsidR="005023A8" w:rsidRPr="003A569C" w:rsidRDefault="005023A8" w:rsidP="00131490">
            <w:pPr>
              <w:pStyle w:val="ColumnHeading"/>
              <w:rPr>
                <w:szCs w:val="20"/>
              </w:rPr>
            </w:pPr>
            <w:bookmarkStart w:id="5" w:name="dcusa_response6"/>
            <w:r w:rsidRPr="003A569C">
              <w:rPr>
                <w:szCs w:val="20"/>
              </w:rPr>
              <w:t>Company</w:t>
            </w:r>
          </w:p>
        </w:tc>
        <w:tc>
          <w:tcPr>
            <w:tcW w:w="1558"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7257" w:type="dxa"/>
          </w:tcPr>
          <w:p w:rsidR="005023A8" w:rsidRPr="003A569C" w:rsidRDefault="009333C5" w:rsidP="00131490">
            <w:pPr>
              <w:pStyle w:val="Question"/>
              <w:rPr>
                <w:szCs w:val="20"/>
              </w:rPr>
            </w:pPr>
            <w:r>
              <w:rPr>
                <w:szCs w:val="20"/>
                <w:lang w:val="en-GB"/>
              </w:rPr>
              <w:t xml:space="preserve">Should this Change Proposal be resolved by an alternative approach, i.e. SCR or CDCM review? Please provide your rationale. </w:t>
            </w:r>
          </w:p>
        </w:tc>
        <w:tc>
          <w:tcPr>
            <w:tcW w:w="3605"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420" w:type="dxa"/>
          </w:tcPr>
          <w:p w:rsidR="005023A8" w:rsidRPr="000C5CF9" w:rsidRDefault="000C5CF9" w:rsidP="00131490">
            <w:pPr>
              <w:pStyle w:val="BodyTextNoSpacing"/>
              <w:rPr>
                <w:szCs w:val="20"/>
                <w:lang w:val="en-GB"/>
              </w:rPr>
            </w:pPr>
            <w:r>
              <w:rPr>
                <w:szCs w:val="20"/>
                <w:lang w:val="en-GB"/>
              </w:rPr>
              <w:t>ESP Electricity (ESPE)</w:t>
            </w:r>
          </w:p>
        </w:tc>
        <w:tc>
          <w:tcPr>
            <w:tcW w:w="1558" w:type="dxa"/>
          </w:tcPr>
          <w:p w:rsidR="005023A8" w:rsidRPr="000C5CF9" w:rsidRDefault="000C5CF9" w:rsidP="00131490">
            <w:pPr>
              <w:pStyle w:val="BodyTextNoSpacing"/>
              <w:rPr>
                <w:szCs w:val="20"/>
                <w:lang w:val="en-GB"/>
              </w:rPr>
            </w:pPr>
            <w:r>
              <w:rPr>
                <w:szCs w:val="20"/>
                <w:lang w:val="en-GB"/>
              </w:rPr>
              <w:t>Non-confidential</w:t>
            </w:r>
          </w:p>
        </w:tc>
        <w:tc>
          <w:tcPr>
            <w:tcW w:w="7257" w:type="dxa"/>
          </w:tcPr>
          <w:p w:rsidR="005023A8" w:rsidRPr="000C5CF9" w:rsidRDefault="000C5CF9" w:rsidP="00131490">
            <w:pPr>
              <w:pStyle w:val="BodyTextNoSpacing"/>
              <w:rPr>
                <w:szCs w:val="20"/>
                <w:lang w:val="en-GB"/>
              </w:rPr>
            </w:pPr>
            <w:r>
              <w:rPr>
                <w:szCs w:val="20"/>
                <w:lang w:val="en-GB"/>
              </w:rPr>
              <w:t>The suggested changes within this Change Proposal are specific to the PCDM. There are no interdependencies between this Change Proposal and any other ongoing stream of work relating to electricity distribution charging. As this change will enhance cost reflectivity, and align with Ofgem’s high level charging principles, we do not believe an alternative approach is suitable or required.</w:t>
            </w:r>
          </w:p>
        </w:tc>
        <w:tc>
          <w:tcPr>
            <w:tcW w:w="3605" w:type="dxa"/>
          </w:tcPr>
          <w:p w:rsidR="005023A8" w:rsidRPr="00C55A78" w:rsidRDefault="00C55A78"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420" w:type="dxa"/>
          </w:tcPr>
          <w:p w:rsidR="005023A8" w:rsidRPr="006622EE" w:rsidRDefault="006622EE" w:rsidP="00131490">
            <w:pPr>
              <w:pStyle w:val="BodyTextNoSpacing"/>
              <w:rPr>
                <w:szCs w:val="20"/>
                <w:lang w:val="en-GB"/>
              </w:rPr>
            </w:pPr>
            <w:r>
              <w:rPr>
                <w:szCs w:val="20"/>
                <w:lang w:val="en-GB"/>
              </w:rPr>
              <w:t>Northern Powergrid</w:t>
            </w:r>
          </w:p>
        </w:tc>
        <w:tc>
          <w:tcPr>
            <w:tcW w:w="1558" w:type="dxa"/>
          </w:tcPr>
          <w:p w:rsidR="005023A8" w:rsidRPr="006622EE" w:rsidRDefault="006622EE" w:rsidP="00131490">
            <w:pPr>
              <w:pStyle w:val="BodyTextNoSpacing"/>
              <w:rPr>
                <w:szCs w:val="20"/>
                <w:lang w:val="en-GB"/>
              </w:rPr>
            </w:pPr>
            <w:r>
              <w:rPr>
                <w:szCs w:val="20"/>
                <w:lang w:val="en-GB"/>
              </w:rPr>
              <w:t>Non-confidential</w:t>
            </w:r>
          </w:p>
        </w:tc>
        <w:tc>
          <w:tcPr>
            <w:tcW w:w="7257" w:type="dxa"/>
          </w:tcPr>
          <w:p w:rsidR="005023A8" w:rsidRPr="006622EE" w:rsidRDefault="006622EE" w:rsidP="00131490">
            <w:pPr>
              <w:pStyle w:val="BodyText"/>
              <w:rPr>
                <w:rFonts w:ascii="Verdana" w:hAnsi="Verdana"/>
                <w:sz w:val="20"/>
                <w:szCs w:val="20"/>
                <w:lang w:val="en-GB"/>
              </w:rPr>
            </w:pPr>
            <w:r>
              <w:rPr>
                <w:rFonts w:ascii="Verdana" w:hAnsi="Verdana"/>
                <w:sz w:val="20"/>
                <w:szCs w:val="20"/>
                <w:lang w:val="en-GB"/>
              </w:rPr>
              <w:t>Yes. We consider for the principle driving this change to be truly achieved there is a need for a more fundamental change which is not limited to the scope of the PCDM. The distribution charging methodologies review or potential Ofgem Task Force on forward looking charges under the SCR would better facilitate this.</w:t>
            </w:r>
          </w:p>
        </w:tc>
        <w:tc>
          <w:tcPr>
            <w:tcW w:w="3605" w:type="dxa"/>
          </w:tcPr>
          <w:p w:rsidR="005023A8" w:rsidRPr="00657FCF" w:rsidRDefault="00C55A78"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420" w:type="dxa"/>
          </w:tcPr>
          <w:p w:rsidR="005023A8" w:rsidRPr="00E95710" w:rsidRDefault="00E95710" w:rsidP="00131490">
            <w:pPr>
              <w:pStyle w:val="BodyTextNoSpacing"/>
              <w:rPr>
                <w:szCs w:val="20"/>
                <w:lang w:val="en-GB"/>
              </w:rPr>
            </w:pPr>
            <w:r>
              <w:rPr>
                <w:szCs w:val="20"/>
                <w:lang w:val="en-GB"/>
              </w:rPr>
              <w:t>WPD</w:t>
            </w:r>
          </w:p>
        </w:tc>
        <w:tc>
          <w:tcPr>
            <w:tcW w:w="1558" w:type="dxa"/>
          </w:tcPr>
          <w:p w:rsidR="005023A8" w:rsidRPr="00E95710" w:rsidRDefault="00E95710" w:rsidP="00131490">
            <w:pPr>
              <w:pStyle w:val="BodyTextNoSpacing"/>
              <w:rPr>
                <w:szCs w:val="20"/>
                <w:lang w:val="en-GB"/>
              </w:rPr>
            </w:pPr>
            <w:r>
              <w:rPr>
                <w:szCs w:val="20"/>
                <w:lang w:val="en-GB"/>
              </w:rPr>
              <w:t>Non-confidential</w:t>
            </w:r>
          </w:p>
        </w:tc>
        <w:tc>
          <w:tcPr>
            <w:tcW w:w="7257" w:type="dxa"/>
          </w:tcPr>
          <w:p w:rsidR="005023A8" w:rsidRPr="00E95710" w:rsidRDefault="00E95710" w:rsidP="00131490">
            <w:pPr>
              <w:pStyle w:val="BodyText"/>
              <w:rPr>
                <w:rFonts w:ascii="Verdana" w:hAnsi="Verdana"/>
                <w:sz w:val="20"/>
                <w:szCs w:val="20"/>
                <w:lang w:val="en-GB"/>
              </w:rPr>
            </w:pPr>
            <w:r>
              <w:rPr>
                <w:rFonts w:ascii="Verdana" w:hAnsi="Verdana"/>
                <w:sz w:val="20"/>
                <w:szCs w:val="20"/>
                <w:lang w:val="en-GB"/>
              </w:rPr>
              <w:t>This change proposal could be resolved by the SCR or the CDCM but it also could be resolved by this approach.</w:t>
            </w:r>
          </w:p>
        </w:tc>
        <w:tc>
          <w:tcPr>
            <w:tcW w:w="3605" w:type="dxa"/>
          </w:tcPr>
          <w:p w:rsidR="005023A8" w:rsidRPr="00C55A78" w:rsidRDefault="00C55A78"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420" w:type="dxa"/>
          </w:tcPr>
          <w:p w:rsidR="005023A8" w:rsidRPr="00586EE9" w:rsidRDefault="00586EE9" w:rsidP="00131490">
            <w:pPr>
              <w:pStyle w:val="BodyTextNoSpacing"/>
              <w:rPr>
                <w:szCs w:val="20"/>
                <w:lang w:val="en-GB"/>
              </w:rPr>
            </w:pPr>
            <w:r>
              <w:rPr>
                <w:szCs w:val="20"/>
                <w:lang w:val="en-GB"/>
              </w:rPr>
              <w:lastRenderedPageBreak/>
              <w:t>Electricity North West</w:t>
            </w:r>
          </w:p>
        </w:tc>
        <w:tc>
          <w:tcPr>
            <w:tcW w:w="1558" w:type="dxa"/>
          </w:tcPr>
          <w:p w:rsidR="005023A8" w:rsidRPr="00586EE9" w:rsidRDefault="00586EE9" w:rsidP="00131490">
            <w:pPr>
              <w:pStyle w:val="BodyTextNoSpacing"/>
              <w:rPr>
                <w:szCs w:val="20"/>
                <w:lang w:val="en-GB"/>
              </w:rPr>
            </w:pPr>
            <w:r>
              <w:rPr>
                <w:szCs w:val="20"/>
                <w:lang w:val="en-GB"/>
              </w:rPr>
              <w:t>Non-confidential</w:t>
            </w:r>
          </w:p>
        </w:tc>
        <w:tc>
          <w:tcPr>
            <w:tcW w:w="7257" w:type="dxa"/>
          </w:tcPr>
          <w:p w:rsidR="005023A8" w:rsidRPr="00586EE9" w:rsidRDefault="00586EE9" w:rsidP="00131490">
            <w:pPr>
              <w:pStyle w:val="BodyTextNoSpacing"/>
              <w:rPr>
                <w:szCs w:val="20"/>
                <w:lang w:val="en-GB"/>
              </w:rPr>
            </w:pPr>
            <w:r>
              <w:rPr>
                <w:szCs w:val="20"/>
                <w:lang w:val="en-GB"/>
              </w:rPr>
              <w:t>The calculation of IDNO tariffs is an important area and should be considered by the SCR, CDCM review process. The governance arrangements in place (CFF/CDB) should determine if an alternative approach is required.</w:t>
            </w:r>
          </w:p>
        </w:tc>
        <w:tc>
          <w:tcPr>
            <w:tcW w:w="3605" w:type="dxa"/>
          </w:tcPr>
          <w:p w:rsidR="005023A8" w:rsidRPr="00657FCF" w:rsidRDefault="00C55A78" w:rsidP="00131490">
            <w:pPr>
              <w:pStyle w:val="BodyTextNoSpacing"/>
              <w:rPr>
                <w:szCs w:val="20"/>
                <w:lang w:val="en-GB"/>
              </w:rPr>
            </w:pPr>
            <w:r>
              <w:rPr>
                <w:szCs w:val="20"/>
                <w:lang w:val="en-GB"/>
              </w:rPr>
              <w:t>Noted</w:t>
            </w:r>
          </w:p>
        </w:tc>
      </w:tr>
      <w:tr w:rsidR="005023A8" w:rsidRPr="003A569C" w:rsidTr="005023A8">
        <w:tc>
          <w:tcPr>
            <w:tcW w:w="1420" w:type="dxa"/>
          </w:tcPr>
          <w:p w:rsidR="005023A8" w:rsidRPr="001B66BF" w:rsidRDefault="001B66BF" w:rsidP="00131490">
            <w:pPr>
              <w:pStyle w:val="BodyTextNoSpacing"/>
              <w:rPr>
                <w:szCs w:val="20"/>
                <w:lang w:val="en-GB"/>
              </w:rPr>
            </w:pPr>
            <w:r>
              <w:rPr>
                <w:szCs w:val="20"/>
                <w:lang w:val="en-GB"/>
              </w:rPr>
              <w:t>UK Power Networks</w:t>
            </w:r>
          </w:p>
        </w:tc>
        <w:tc>
          <w:tcPr>
            <w:tcW w:w="1558" w:type="dxa"/>
          </w:tcPr>
          <w:p w:rsidR="005023A8" w:rsidRPr="001B66BF" w:rsidRDefault="001B66BF" w:rsidP="00131490">
            <w:pPr>
              <w:pStyle w:val="BodyTextNoSpacing"/>
              <w:rPr>
                <w:szCs w:val="20"/>
                <w:lang w:val="en-GB"/>
              </w:rPr>
            </w:pPr>
            <w:r>
              <w:rPr>
                <w:szCs w:val="20"/>
                <w:lang w:val="en-GB"/>
              </w:rPr>
              <w:t>Non-confidential</w:t>
            </w:r>
          </w:p>
        </w:tc>
        <w:tc>
          <w:tcPr>
            <w:tcW w:w="7257" w:type="dxa"/>
          </w:tcPr>
          <w:p w:rsidR="005023A8" w:rsidRPr="001B66BF" w:rsidRDefault="001B66BF" w:rsidP="00131490">
            <w:pPr>
              <w:pStyle w:val="BodyText"/>
              <w:rPr>
                <w:rFonts w:ascii="Verdana" w:hAnsi="Verdana"/>
                <w:sz w:val="20"/>
                <w:szCs w:val="20"/>
                <w:lang w:val="en-GB"/>
              </w:rPr>
            </w:pPr>
            <w:r>
              <w:rPr>
                <w:rFonts w:ascii="Verdana" w:hAnsi="Verdana"/>
                <w:sz w:val="20"/>
                <w:szCs w:val="20"/>
                <w:lang w:val="en-GB"/>
              </w:rPr>
              <w:t xml:space="preserve">The CDCM / EDCM review, undertaken by the DCMF MIG considered whether the current LDNO arrangements considered all costs, including licence fees, alongside DCC and other costs. As a </w:t>
            </w:r>
            <w:proofErr w:type="gramStart"/>
            <w:r>
              <w:rPr>
                <w:rFonts w:ascii="Verdana" w:hAnsi="Verdana"/>
                <w:sz w:val="20"/>
                <w:szCs w:val="20"/>
                <w:lang w:val="en-GB"/>
              </w:rPr>
              <w:t>result</w:t>
            </w:r>
            <w:proofErr w:type="gramEnd"/>
            <w:r>
              <w:rPr>
                <w:rFonts w:ascii="Verdana" w:hAnsi="Verdana"/>
                <w:sz w:val="20"/>
                <w:szCs w:val="20"/>
                <w:lang w:val="en-GB"/>
              </w:rPr>
              <w:t xml:space="preserve"> we believe that the work of DCP306 should be part of the review under the CFF arrangements, further to this is licence fees are being considered we believe that it is appropriate that any further costs not currently used in the calculation of the LDNO discounts (such as those of DCC amongst others) should also be considered at the same time.</w:t>
            </w:r>
          </w:p>
        </w:tc>
        <w:tc>
          <w:tcPr>
            <w:tcW w:w="3605" w:type="dxa"/>
          </w:tcPr>
          <w:p w:rsidR="005023A8" w:rsidRPr="00C55A78" w:rsidRDefault="00C55A78"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420" w:type="dxa"/>
          </w:tcPr>
          <w:p w:rsidR="005023A8" w:rsidRPr="003A569C" w:rsidRDefault="000B34E5" w:rsidP="00131490">
            <w:pPr>
              <w:pStyle w:val="BodyTextNoSpacing"/>
              <w:rPr>
                <w:szCs w:val="20"/>
              </w:rPr>
            </w:pPr>
            <w:r>
              <w:rPr>
                <w:szCs w:val="20"/>
                <w:lang w:val="en-GB"/>
              </w:rPr>
              <w:t>The Electricity Network Company Ltd</w:t>
            </w:r>
          </w:p>
        </w:tc>
        <w:tc>
          <w:tcPr>
            <w:tcW w:w="1558" w:type="dxa"/>
          </w:tcPr>
          <w:p w:rsidR="005023A8" w:rsidRPr="000B34E5" w:rsidRDefault="000B34E5" w:rsidP="00131490">
            <w:pPr>
              <w:pStyle w:val="BodyTextNoSpacing"/>
              <w:rPr>
                <w:szCs w:val="20"/>
                <w:lang w:val="en-GB"/>
              </w:rPr>
            </w:pPr>
            <w:r>
              <w:rPr>
                <w:szCs w:val="20"/>
                <w:lang w:val="en-GB"/>
              </w:rPr>
              <w:t>Non-confidential</w:t>
            </w:r>
          </w:p>
        </w:tc>
        <w:tc>
          <w:tcPr>
            <w:tcW w:w="7257" w:type="dxa"/>
          </w:tcPr>
          <w:p w:rsidR="005023A8" w:rsidRPr="000B34E5" w:rsidRDefault="000B34E5" w:rsidP="00131490">
            <w:pPr>
              <w:pStyle w:val="BodyText"/>
              <w:rPr>
                <w:rFonts w:ascii="Verdana" w:hAnsi="Verdana"/>
                <w:sz w:val="20"/>
                <w:szCs w:val="20"/>
                <w:lang w:val="en-GB"/>
              </w:rPr>
            </w:pPr>
            <w:r>
              <w:rPr>
                <w:rFonts w:ascii="Verdana" w:hAnsi="Verdana"/>
                <w:sz w:val="20"/>
                <w:szCs w:val="20"/>
                <w:lang w:val="en-GB"/>
              </w:rPr>
              <w:t>No. We do not believe any of the principles supporting DCP 306, or any of the outcomes it is seeking to create are within scope of the SCR. We consider that this issue a discrete issue which does not impact nor affect the way that the CDCM review, SCR or TCR will be progressed. Notwithstanding that if this issue is resolved fully and immediately by the outputs of the TCR then this change proposal could be withdrawn.</w:t>
            </w:r>
          </w:p>
        </w:tc>
        <w:tc>
          <w:tcPr>
            <w:tcW w:w="3605" w:type="dxa"/>
          </w:tcPr>
          <w:p w:rsidR="005023A8" w:rsidRPr="00657FCF" w:rsidRDefault="00C55A78"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A467A4">
        <w:tc>
          <w:tcPr>
            <w:tcW w:w="13840" w:type="dxa"/>
            <w:gridSpan w:val="4"/>
          </w:tcPr>
          <w:p w:rsidR="005023A8" w:rsidRPr="00453F60" w:rsidRDefault="00DC78E6" w:rsidP="00131490">
            <w:pPr>
              <w:pStyle w:val="BodyText"/>
              <w:rPr>
                <w:rFonts w:ascii="Verdana" w:hAnsi="Verdana"/>
                <w:sz w:val="20"/>
                <w:szCs w:val="20"/>
                <w:lang w:val="en-GB"/>
              </w:rPr>
            </w:pPr>
            <w:r w:rsidRPr="00DC78E6">
              <w:rPr>
                <w:rFonts w:ascii="Verdana" w:hAnsi="Verdana"/>
                <w:b/>
                <w:sz w:val="20"/>
                <w:szCs w:val="20"/>
                <w:lang w:val="en-GB"/>
              </w:rPr>
              <w:t>Working Group Conclusions:</w:t>
            </w:r>
            <w:r w:rsidR="00453F60">
              <w:rPr>
                <w:rFonts w:ascii="Verdana" w:hAnsi="Verdana"/>
                <w:b/>
                <w:sz w:val="20"/>
                <w:szCs w:val="20"/>
                <w:lang w:val="en-GB"/>
              </w:rPr>
              <w:t xml:space="preserve"> </w:t>
            </w:r>
            <w:r w:rsidR="00C55A78">
              <w:rPr>
                <w:rFonts w:ascii="Verdana" w:hAnsi="Verdana"/>
                <w:sz w:val="20"/>
                <w:szCs w:val="20"/>
                <w:lang w:val="en-GB"/>
              </w:rPr>
              <w:t xml:space="preserve">The Working Group </w:t>
            </w:r>
            <w:r w:rsidR="00453F60">
              <w:rPr>
                <w:rFonts w:ascii="Verdana" w:hAnsi="Verdana"/>
                <w:sz w:val="20"/>
                <w:szCs w:val="20"/>
                <w:lang w:val="en-GB"/>
              </w:rPr>
              <w:t>recognise that</w:t>
            </w:r>
            <w:r w:rsidR="00C55A78">
              <w:rPr>
                <w:rFonts w:ascii="Verdana" w:hAnsi="Verdana"/>
                <w:sz w:val="20"/>
                <w:szCs w:val="20"/>
                <w:lang w:val="en-GB"/>
              </w:rPr>
              <w:t xml:space="preserve"> the</w:t>
            </w:r>
            <w:r w:rsidR="00453F60">
              <w:rPr>
                <w:rFonts w:ascii="Verdana" w:hAnsi="Verdana"/>
                <w:sz w:val="20"/>
                <w:szCs w:val="20"/>
                <w:lang w:val="en-GB"/>
              </w:rPr>
              <w:t xml:space="preserve"> change is in the gift of the proposer and considerations</w:t>
            </w:r>
            <w:r w:rsidR="00C55A78">
              <w:rPr>
                <w:rFonts w:ascii="Verdana" w:hAnsi="Verdana"/>
                <w:sz w:val="20"/>
                <w:szCs w:val="20"/>
                <w:lang w:val="en-GB"/>
              </w:rPr>
              <w:t xml:space="preserve"> from respondents</w:t>
            </w:r>
            <w:r w:rsidR="00453F60">
              <w:rPr>
                <w:rFonts w:ascii="Verdana" w:hAnsi="Verdana"/>
                <w:sz w:val="20"/>
                <w:szCs w:val="20"/>
                <w:lang w:val="en-GB"/>
              </w:rPr>
              <w:t xml:space="preserve"> have been </w:t>
            </w:r>
            <w:proofErr w:type="gramStart"/>
            <w:r w:rsidR="00453F60">
              <w:rPr>
                <w:rFonts w:ascii="Verdana" w:hAnsi="Verdana"/>
                <w:sz w:val="20"/>
                <w:szCs w:val="20"/>
                <w:lang w:val="en-GB"/>
              </w:rPr>
              <w:t>taken into account</w:t>
            </w:r>
            <w:proofErr w:type="gramEnd"/>
            <w:r w:rsidR="00C55A78">
              <w:rPr>
                <w:rFonts w:ascii="Verdana" w:hAnsi="Verdana"/>
                <w:sz w:val="20"/>
                <w:szCs w:val="20"/>
                <w:lang w:val="en-GB"/>
              </w:rPr>
              <w:t>. Ofgem will be issuing papers from the CFF in early November and so the Working Group will be convening to review these and agree next steps of this change.</w:t>
            </w:r>
            <w:r w:rsidR="00453F60">
              <w:rPr>
                <w:rFonts w:ascii="Verdana" w:hAnsi="Verdana"/>
                <w:sz w:val="20"/>
                <w:szCs w:val="20"/>
                <w:lang w:val="en-GB"/>
              </w:rPr>
              <w:t xml:space="preserve"> </w:t>
            </w:r>
          </w:p>
        </w:tc>
      </w:tr>
      <w:bookmarkEnd w:id="5"/>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86"/>
        <w:gridCol w:w="1632"/>
        <w:gridCol w:w="7117"/>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486" w:type="dxa"/>
          </w:tcPr>
          <w:p w:rsidR="005023A8" w:rsidRPr="003A569C" w:rsidRDefault="005023A8" w:rsidP="00131490">
            <w:pPr>
              <w:pStyle w:val="ColumnHeading"/>
              <w:rPr>
                <w:szCs w:val="20"/>
              </w:rPr>
            </w:pPr>
            <w:bookmarkStart w:id="6" w:name="dcusa_response7"/>
            <w:r w:rsidRPr="003A569C">
              <w:rPr>
                <w:szCs w:val="20"/>
              </w:rPr>
              <w:t>Company</w:t>
            </w:r>
          </w:p>
        </w:tc>
        <w:tc>
          <w:tcPr>
            <w:tcW w:w="1632"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7117" w:type="dxa"/>
          </w:tcPr>
          <w:p w:rsidR="005023A8" w:rsidRPr="003A569C" w:rsidRDefault="009333C5" w:rsidP="00131490">
            <w:pPr>
              <w:pStyle w:val="Question"/>
              <w:rPr>
                <w:szCs w:val="20"/>
              </w:rPr>
            </w:pPr>
            <w:r>
              <w:rPr>
                <w:szCs w:val="20"/>
                <w:lang w:val="en-GB"/>
              </w:rPr>
              <w:t>Which DCUSA Charging Objectives does the CP better facilitate? Please provide supporting comments.</w:t>
            </w:r>
          </w:p>
        </w:tc>
        <w:tc>
          <w:tcPr>
            <w:tcW w:w="3605" w:type="dxa"/>
          </w:tcPr>
          <w:p w:rsidR="005023A8" w:rsidRPr="005023A8" w:rsidRDefault="005023A8" w:rsidP="005023A8">
            <w:pPr>
              <w:pStyle w:val="Question"/>
              <w:numPr>
                <w:ilvl w:val="0"/>
                <w:numId w:val="0"/>
              </w:numPr>
              <w:rPr>
                <w:szCs w:val="20"/>
                <w:lang w:val="en-GB"/>
              </w:rPr>
            </w:pPr>
            <w:r>
              <w:rPr>
                <w:szCs w:val="20"/>
                <w:lang w:val="en-GB"/>
              </w:rPr>
              <w:t xml:space="preserve">Working Group Comments </w:t>
            </w:r>
          </w:p>
        </w:tc>
      </w:tr>
      <w:tr w:rsidR="005023A8" w:rsidRPr="003A569C" w:rsidTr="005023A8">
        <w:tc>
          <w:tcPr>
            <w:tcW w:w="1486" w:type="dxa"/>
          </w:tcPr>
          <w:p w:rsidR="005023A8" w:rsidRPr="000C5CF9" w:rsidRDefault="000C5CF9" w:rsidP="00131490">
            <w:pPr>
              <w:pStyle w:val="BodyTextNoSpacing"/>
              <w:rPr>
                <w:szCs w:val="20"/>
                <w:lang w:val="en-GB"/>
              </w:rPr>
            </w:pPr>
            <w:r>
              <w:rPr>
                <w:szCs w:val="20"/>
                <w:lang w:val="en-GB"/>
              </w:rPr>
              <w:lastRenderedPageBreak/>
              <w:t>ESP Electricity (ESPE)</w:t>
            </w:r>
          </w:p>
        </w:tc>
        <w:tc>
          <w:tcPr>
            <w:tcW w:w="1632" w:type="dxa"/>
          </w:tcPr>
          <w:p w:rsidR="005023A8" w:rsidRPr="000C5CF9" w:rsidRDefault="000C5CF9" w:rsidP="00131490">
            <w:pPr>
              <w:pStyle w:val="BodyTextNoSpacing"/>
              <w:rPr>
                <w:szCs w:val="20"/>
                <w:lang w:val="en-GB"/>
              </w:rPr>
            </w:pPr>
            <w:r>
              <w:rPr>
                <w:szCs w:val="20"/>
                <w:lang w:val="en-GB"/>
              </w:rPr>
              <w:t>Non-confidential</w:t>
            </w:r>
          </w:p>
        </w:tc>
        <w:tc>
          <w:tcPr>
            <w:tcW w:w="7117" w:type="dxa"/>
          </w:tcPr>
          <w:p w:rsidR="005023A8" w:rsidRDefault="00C229B5" w:rsidP="00131490">
            <w:pPr>
              <w:pStyle w:val="BodyTextNoSpacing"/>
              <w:rPr>
                <w:szCs w:val="20"/>
                <w:lang w:val="en-GB"/>
              </w:rPr>
            </w:pPr>
            <w:r>
              <w:rPr>
                <w:szCs w:val="20"/>
                <w:lang w:val="en-GB"/>
              </w:rPr>
              <w:t>ESPE agrees with the proposer’s view that this change will better facilitate DCUSA Charging Objective 3 and DCUSA General Objective 1. This is because Ofgem Licence Fees are not currently included in the calculation of the operating expenditure cost allocation driver within the PCDM.</w:t>
            </w:r>
          </w:p>
          <w:p w:rsidR="00C229B5" w:rsidRDefault="00C229B5" w:rsidP="00131490">
            <w:pPr>
              <w:pStyle w:val="BodyTextNoSpacing"/>
              <w:rPr>
                <w:szCs w:val="20"/>
                <w:lang w:val="en-GB"/>
              </w:rPr>
            </w:pPr>
          </w:p>
          <w:p w:rsidR="00C229B5" w:rsidRPr="00C229B5" w:rsidRDefault="00C229B5" w:rsidP="00131490">
            <w:pPr>
              <w:pStyle w:val="BodyTextNoSpacing"/>
              <w:rPr>
                <w:szCs w:val="20"/>
                <w:lang w:val="en-GB"/>
              </w:rPr>
            </w:pPr>
            <w:r>
              <w:rPr>
                <w:szCs w:val="20"/>
                <w:lang w:val="en-GB"/>
              </w:rPr>
              <w:t xml:space="preserve">Ofgem Licence Fee costs should be allocated as equally as possible across all customers. Allocating this cost </w:t>
            </w:r>
            <w:proofErr w:type="gramStart"/>
            <w:r>
              <w:rPr>
                <w:szCs w:val="20"/>
                <w:lang w:val="en-GB"/>
              </w:rPr>
              <w:t>directly  to</w:t>
            </w:r>
            <w:proofErr w:type="gramEnd"/>
            <w:r>
              <w:rPr>
                <w:szCs w:val="20"/>
                <w:lang w:val="en-GB"/>
              </w:rPr>
              <w:t xml:space="preserve"> the LV network level would better reflect the costs incurred on an LDNO’s network, better facilitating Objectives 1 and 3.</w:t>
            </w:r>
          </w:p>
        </w:tc>
        <w:tc>
          <w:tcPr>
            <w:tcW w:w="3605" w:type="dxa"/>
          </w:tcPr>
          <w:p w:rsidR="005023A8" w:rsidRPr="00657FCF" w:rsidRDefault="00C55A78"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486" w:type="dxa"/>
          </w:tcPr>
          <w:p w:rsidR="005023A8" w:rsidRPr="006622EE" w:rsidRDefault="006622EE" w:rsidP="00131490">
            <w:pPr>
              <w:pStyle w:val="BodyTextNoSpacing"/>
              <w:rPr>
                <w:szCs w:val="20"/>
                <w:lang w:val="en-GB"/>
              </w:rPr>
            </w:pPr>
            <w:r>
              <w:rPr>
                <w:szCs w:val="20"/>
                <w:lang w:val="en-GB"/>
              </w:rPr>
              <w:t>Northern Powergrid</w:t>
            </w:r>
          </w:p>
        </w:tc>
        <w:tc>
          <w:tcPr>
            <w:tcW w:w="1632" w:type="dxa"/>
          </w:tcPr>
          <w:p w:rsidR="005023A8" w:rsidRPr="006622EE" w:rsidRDefault="006622EE" w:rsidP="00131490">
            <w:pPr>
              <w:pStyle w:val="BodyTextNoSpacing"/>
              <w:rPr>
                <w:szCs w:val="20"/>
                <w:lang w:val="en-GB"/>
              </w:rPr>
            </w:pPr>
            <w:r>
              <w:rPr>
                <w:szCs w:val="20"/>
                <w:lang w:val="en-GB"/>
              </w:rPr>
              <w:t>Non-confidential</w:t>
            </w:r>
          </w:p>
        </w:tc>
        <w:tc>
          <w:tcPr>
            <w:tcW w:w="7117" w:type="dxa"/>
          </w:tcPr>
          <w:p w:rsidR="005023A8" w:rsidRPr="006622EE" w:rsidRDefault="006622EE" w:rsidP="00131490">
            <w:pPr>
              <w:pStyle w:val="BodyText"/>
              <w:rPr>
                <w:rFonts w:ascii="Verdana" w:hAnsi="Verdana"/>
                <w:sz w:val="20"/>
                <w:szCs w:val="20"/>
                <w:lang w:val="en-GB"/>
              </w:rPr>
            </w:pPr>
            <w:r>
              <w:rPr>
                <w:rFonts w:ascii="Verdana" w:hAnsi="Verdana"/>
                <w:sz w:val="20"/>
                <w:szCs w:val="20"/>
                <w:lang w:val="en-GB"/>
              </w:rPr>
              <w:t>We agree with the proposer that the principle of this change better facilitates DCUSA Charging Objective 3.</w:t>
            </w:r>
          </w:p>
        </w:tc>
        <w:tc>
          <w:tcPr>
            <w:tcW w:w="3605" w:type="dxa"/>
          </w:tcPr>
          <w:p w:rsidR="005023A8" w:rsidRPr="00657FCF" w:rsidRDefault="00C55A78"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486" w:type="dxa"/>
          </w:tcPr>
          <w:p w:rsidR="005023A8" w:rsidRPr="00E95710" w:rsidRDefault="00E95710" w:rsidP="00131490">
            <w:pPr>
              <w:pStyle w:val="BodyTextNoSpacing"/>
              <w:rPr>
                <w:szCs w:val="20"/>
                <w:lang w:val="en-GB"/>
              </w:rPr>
            </w:pPr>
            <w:r>
              <w:rPr>
                <w:szCs w:val="20"/>
                <w:lang w:val="en-GB"/>
              </w:rPr>
              <w:t>WPD</w:t>
            </w:r>
          </w:p>
        </w:tc>
        <w:tc>
          <w:tcPr>
            <w:tcW w:w="1632" w:type="dxa"/>
          </w:tcPr>
          <w:p w:rsidR="005023A8" w:rsidRPr="00E95710" w:rsidRDefault="00E95710" w:rsidP="00131490">
            <w:pPr>
              <w:pStyle w:val="BodyTextNoSpacing"/>
              <w:rPr>
                <w:szCs w:val="20"/>
                <w:lang w:val="en-GB"/>
              </w:rPr>
            </w:pPr>
            <w:r>
              <w:rPr>
                <w:szCs w:val="20"/>
                <w:lang w:val="en-GB"/>
              </w:rPr>
              <w:t>Non-confidential</w:t>
            </w:r>
          </w:p>
        </w:tc>
        <w:tc>
          <w:tcPr>
            <w:tcW w:w="7117" w:type="dxa"/>
          </w:tcPr>
          <w:p w:rsidR="005023A8" w:rsidRPr="00E95710" w:rsidRDefault="00E95710" w:rsidP="00131490">
            <w:pPr>
              <w:pStyle w:val="BodyText"/>
              <w:rPr>
                <w:rFonts w:ascii="Verdana" w:hAnsi="Verdana"/>
                <w:sz w:val="20"/>
                <w:szCs w:val="20"/>
                <w:lang w:val="en-GB"/>
              </w:rPr>
            </w:pPr>
            <w:r>
              <w:rPr>
                <w:rFonts w:ascii="Verdana" w:hAnsi="Verdana"/>
                <w:sz w:val="20"/>
                <w:szCs w:val="20"/>
                <w:lang w:val="en-GB"/>
              </w:rPr>
              <w:t>This better facilitated charging objective 3.</w:t>
            </w:r>
          </w:p>
        </w:tc>
        <w:tc>
          <w:tcPr>
            <w:tcW w:w="3605" w:type="dxa"/>
          </w:tcPr>
          <w:p w:rsidR="005023A8" w:rsidRPr="00657FCF" w:rsidRDefault="00C55A78"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486" w:type="dxa"/>
          </w:tcPr>
          <w:p w:rsidR="005023A8" w:rsidRPr="00586EE9" w:rsidRDefault="00586EE9" w:rsidP="00131490">
            <w:pPr>
              <w:pStyle w:val="BodyTextNoSpacing"/>
              <w:rPr>
                <w:szCs w:val="20"/>
                <w:lang w:val="en-GB"/>
              </w:rPr>
            </w:pPr>
            <w:r>
              <w:rPr>
                <w:szCs w:val="20"/>
                <w:lang w:val="en-GB"/>
              </w:rPr>
              <w:t>Electricity North West</w:t>
            </w:r>
          </w:p>
        </w:tc>
        <w:tc>
          <w:tcPr>
            <w:tcW w:w="1632" w:type="dxa"/>
          </w:tcPr>
          <w:p w:rsidR="005023A8" w:rsidRPr="00586EE9" w:rsidRDefault="00586EE9" w:rsidP="00131490">
            <w:pPr>
              <w:pStyle w:val="BodyTextNoSpacing"/>
              <w:rPr>
                <w:szCs w:val="20"/>
                <w:lang w:val="en-GB"/>
              </w:rPr>
            </w:pPr>
            <w:r>
              <w:rPr>
                <w:szCs w:val="20"/>
                <w:lang w:val="en-GB"/>
              </w:rPr>
              <w:t>Non-confidential</w:t>
            </w:r>
          </w:p>
        </w:tc>
        <w:tc>
          <w:tcPr>
            <w:tcW w:w="7117" w:type="dxa"/>
          </w:tcPr>
          <w:p w:rsidR="005023A8" w:rsidRPr="00586EE9" w:rsidRDefault="00586EE9" w:rsidP="00131490">
            <w:pPr>
              <w:pStyle w:val="BodyTextNoSpacing"/>
              <w:rPr>
                <w:szCs w:val="20"/>
                <w:lang w:val="en-GB"/>
              </w:rPr>
            </w:pPr>
            <w:r>
              <w:rPr>
                <w:szCs w:val="20"/>
                <w:lang w:val="en-GB"/>
              </w:rPr>
              <w:t xml:space="preserve">None. We do not believe that this proposal improves cost reflectivity of the model as we do not believe that the number of MPANs is a true driver of DNO Licence Fee costs. </w:t>
            </w:r>
          </w:p>
        </w:tc>
        <w:tc>
          <w:tcPr>
            <w:tcW w:w="3605" w:type="dxa"/>
          </w:tcPr>
          <w:p w:rsidR="005023A8" w:rsidRPr="00657FCF" w:rsidRDefault="00C55A78" w:rsidP="00131490">
            <w:pPr>
              <w:pStyle w:val="BodyTextNoSpacing"/>
              <w:rPr>
                <w:szCs w:val="20"/>
                <w:lang w:val="en-GB"/>
              </w:rPr>
            </w:pPr>
            <w:r>
              <w:rPr>
                <w:szCs w:val="20"/>
                <w:lang w:val="en-GB"/>
              </w:rPr>
              <w:t>Noted</w:t>
            </w:r>
          </w:p>
        </w:tc>
      </w:tr>
      <w:tr w:rsidR="005023A8" w:rsidRPr="003A569C" w:rsidTr="005023A8">
        <w:tc>
          <w:tcPr>
            <w:tcW w:w="1486" w:type="dxa"/>
          </w:tcPr>
          <w:p w:rsidR="005023A8" w:rsidRPr="001B66BF" w:rsidRDefault="001B66BF" w:rsidP="00131490">
            <w:pPr>
              <w:pStyle w:val="BodyTextNoSpacing"/>
              <w:rPr>
                <w:szCs w:val="20"/>
                <w:lang w:val="en-GB"/>
              </w:rPr>
            </w:pPr>
            <w:r>
              <w:rPr>
                <w:szCs w:val="20"/>
                <w:lang w:val="en-GB"/>
              </w:rPr>
              <w:t>UK Power Networks</w:t>
            </w:r>
          </w:p>
        </w:tc>
        <w:tc>
          <w:tcPr>
            <w:tcW w:w="1632" w:type="dxa"/>
          </w:tcPr>
          <w:p w:rsidR="005023A8" w:rsidRPr="001B66BF" w:rsidRDefault="001B66BF" w:rsidP="00131490">
            <w:pPr>
              <w:pStyle w:val="BodyTextNoSpacing"/>
              <w:rPr>
                <w:szCs w:val="20"/>
                <w:lang w:val="en-GB"/>
              </w:rPr>
            </w:pPr>
            <w:r>
              <w:rPr>
                <w:szCs w:val="20"/>
                <w:lang w:val="en-GB"/>
              </w:rPr>
              <w:t>Non-confidential</w:t>
            </w:r>
          </w:p>
        </w:tc>
        <w:tc>
          <w:tcPr>
            <w:tcW w:w="7117" w:type="dxa"/>
          </w:tcPr>
          <w:p w:rsidR="005023A8" w:rsidRPr="001B66BF" w:rsidRDefault="001B66BF" w:rsidP="00131490">
            <w:pPr>
              <w:pStyle w:val="BodyText"/>
              <w:rPr>
                <w:rFonts w:ascii="Verdana" w:hAnsi="Verdana"/>
                <w:sz w:val="20"/>
                <w:szCs w:val="20"/>
                <w:lang w:val="en-GB"/>
              </w:rPr>
            </w:pPr>
            <w:r>
              <w:rPr>
                <w:rFonts w:ascii="Verdana" w:hAnsi="Verdana"/>
                <w:sz w:val="20"/>
                <w:szCs w:val="20"/>
                <w:lang w:val="en-GB"/>
              </w:rPr>
              <w:t xml:space="preserve">We would agree with the proposer that charging objective three is better facilitated by this change as it would better reflect the charges incurred. </w:t>
            </w:r>
            <w:proofErr w:type="gramStart"/>
            <w:r>
              <w:rPr>
                <w:rFonts w:ascii="Verdana" w:hAnsi="Verdana"/>
                <w:sz w:val="20"/>
                <w:szCs w:val="20"/>
                <w:lang w:val="en-GB"/>
              </w:rPr>
              <w:t>However</w:t>
            </w:r>
            <w:proofErr w:type="gramEnd"/>
            <w:r>
              <w:rPr>
                <w:rFonts w:ascii="Verdana" w:hAnsi="Verdana"/>
                <w:sz w:val="20"/>
                <w:szCs w:val="20"/>
                <w:lang w:val="en-GB"/>
              </w:rPr>
              <w:t xml:space="preserve"> we believe that the same charging objective could be further improved by the inclusion of all costs which are considered to not currently be included in the calculation of LDNO charges.</w:t>
            </w:r>
          </w:p>
        </w:tc>
        <w:tc>
          <w:tcPr>
            <w:tcW w:w="3605" w:type="dxa"/>
          </w:tcPr>
          <w:p w:rsidR="005023A8" w:rsidRPr="00657FCF" w:rsidRDefault="00C55A78"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486" w:type="dxa"/>
          </w:tcPr>
          <w:p w:rsidR="005023A8" w:rsidRPr="003A569C" w:rsidRDefault="000B34E5" w:rsidP="00131490">
            <w:pPr>
              <w:pStyle w:val="BodyTextNoSpacing"/>
              <w:rPr>
                <w:szCs w:val="20"/>
              </w:rPr>
            </w:pPr>
            <w:r>
              <w:rPr>
                <w:szCs w:val="20"/>
                <w:lang w:val="en-GB"/>
              </w:rPr>
              <w:t>The Electricity Network Company Ltd</w:t>
            </w:r>
          </w:p>
        </w:tc>
        <w:tc>
          <w:tcPr>
            <w:tcW w:w="1632" w:type="dxa"/>
          </w:tcPr>
          <w:p w:rsidR="005023A8" w:rsidRPr="000B34E5" w:rsidRDefault="000B34E5" w:rsidP="00131490">
            <w:pPr>
              <w:pStyle w:val="BodyTextNoSpacing"/>
              <w:rPr>
                <w:szCs w:val="20"/>
                <w:lang w:val="en-GB"/>
              </w:rPr>
            </w:pPr>
            <w:r>
              <w:rPr>
                <w:szCs w:val="20"/>
                <w:lang w:val="en-GB"/>
              </w:rPr>
              <w:t>Non-confidential</w:t>
            </w:r>
          </w:p>
        </w:tc>
        <w:tc>
          <w:tcPr>
            <w:tcW w:w="7117" w:type="dxa"/>
          </w:tcPr>
          <w:p w:rsidR="005023A8" w:rsidRPr="000B34E5" w:rsidRDefault="000B34E5" w:rsidP="00131490">
            <w:pPr>
              <w:pStyle w:val="BodyText"/>
              <w:rPr>
                <w:rFonts w:ascii="Verdana" w:hAnsi="Verdana"/>
                <w:sz w:val="20"/>
                <w:szCs w:val="20"/>
                <w:lang w:val="en-GB"/>
              </w:rPr>
            </w:pPr>
            <w:r>
              <w:rPr>
                <w:rFonts w:ascii="Verdana" w:hAnsi="Verdana"/>
                <w:sz w:val="20"/>
                <w:szCs w:val="20"/>
                <w:lang w:val="en-GB"/>
              </w:rPr>
              <w:t xml:space="preserve">DCP 306 better facilitates DCUSA Charging Objective </w:t>
            </w:r>
            <w:r w:rsidR="00C55A78">
              <w:rPr>
                <w:rFonts w:ascii="Verdana" w:hAnsi="Verdana"/>
                <w:sz w:val="20"/>
                <w:szCs w:val="20"/>
                <w:lang w:val="en-GB"/>
              </w:rPr>
              <w:t>2</w:t>
            </w:r>
            <w:r>
              <w:rPr>
                <w:rFonts w:ascii="Verdana" w:hAnsi="Verdana"/>
                <w:sz w:val="20"/>
                <w:szCs w:val="20"/>
                <w:lang w:val="en-GB"/>
              </w:rPr>
              <w:t xml:space="preserve"> as the Charging Methodologies would produce charges that better reflect the costs incurred by the DNO Party in its Distribution Business</w:t>
            </w:r>
          </w:p>
        </w:tc>
        <w:tc>
          <w:tcPr>
            <w:tcW w:w="3605" w:type="dxa"/>
          </w:tcPr>
          <w:p w:rsidR="005023A8" w:rsidRPr="00657FCF" w:rsidRDefault="00C55A78" w:rsidP="00131490">
            <w:pPr>
              <w:pStyle w:val="BodyText"/>
              <w:rPr>
                <w:rFonts w:ascii="Verdana" w:hAnsi="Verdana"/>
                <w:sz w:val="20"/>
                <w:szCs w:val="20"/>
                <w:lang w:val="en-GB"/>
              </w:rPr>
            </w:pPr>
            <w:r>
              <w:rPr>
                <w:rFonts w:ascii="Verdana" w:hAnsi="Verdana"/>
                <w:sz w:val="20"/>
                <w:szCs w:val="20"/>
                <w:lang w:val="en-GB"/>
              </w:rPr>
              <w:t>The ENC member of the Working Group explained that there was a typo in their response and they believe that DCUSA Charging Objective 3 is better facilitated.</w:t>
            </w:r>
          </w:p>
        </w:tc>
      </w:tr>
      <w:tr w:rsidR="005023A8" w:rsidRPr="003A569C" w:rsidTr="00A467A4">
        <w:tc>
          <w:tcPr>
            <w:tcW w:w="13840" w:type="dxa"/>
            <w:gridSpan w:val="4"/>
          </w:tcPr>
          <w:p w:rsidR="005023A8" w:rsidRPr="00453F60" w:rsidRDefault="00DC78E6" w:rsidP="00131490">
            <w:pPr>
              <w:pStyle w:val="BodyText"/>
              <w:rPr>
                <w:rFonts w:ascii="Verdana" w:hAnsi="Verdana"/>
                <w:sz w:val="20"/>
                <w:szCs w:val="20"/>
                <w:lang w:val="en-GB"/>
              </w:rPr>
            </w:pPr>
            <w:r w:rsidRPr="00DC78E6">
              <w:rPr>
                <w:rFonts w:ascii="Verdana" w:hAnsi="Verdana"/>
                <w:b/>
                <w:sz w:val="20"/>
                <w:szCs w:val="20"/>
                <w:lang w:val="en-GB"/>
              </w:rPr>
              <w:lastRenderedPageBreak/>
              <w:t>Working Group Conclusions:</w:t>
            </w:r>
            <w:r w:rsidR="00453F60">
              <w:rPr>
                <w:rFonts w:ascii="Verdana" w:hAnsi="Verdana"/>
                <w:b/>
                <w:sz w:val="20"/>
                <w:szCs w:val="20"/>
                <w:lang w:val="en-GB"/>
              </w:rPr>
              <w:t xml:space="preserve"> </w:t>
            </w:r>
            <w:r w:rsidR="00C55A78">
              <w:rPr>
                <w:rFonts w:ascii="Verdana" w:hAnsi="Verdana"/>
                <w:sz w:val="20"/>
                <w:szCs w:val="20"/>
                <w:lang w:val="en-GB"/>
              </w:rPr>
              <w:t>The Working Group concluded that DCUSA Charging O</w:t>
            </w:r>
            <w:r w:rsidR="00453F60">
              <w:rPr>
                <w:rFonts w:ascii="Verdana" w:hAnsi="Verdana"/>
                <w:sz w:val="20"/>
                <w:szCs w:val="20"/>
                <w:lang w:val="en-GB"/>
              </w:rPr>
              <w:t>bjective 3</w:t>
            </w:r>
            <w:r w:rsidR="00C55A78">
              <w:rPr>
                <w:rFonts w:ascii="Verdana" w:hAnsi="Verdana"/>
                <w:sz w:val="20"/>
                <w:szCs w:val="20"/>
                <w:lang w:val="en-GB"/>
              </w:rPr>
              <w:t xml:space="preserve"> is better facilitated and a summary of all responses will be included in the Change Report for the change.</w:t>
            </w:r>
            <w:r w:rsidR="00453F60">
              <w:rPr>
                <w:rFonts w:ascii="Verdana" w:hAnsi="Verdana"/>
                <w:sz w:val="20"/>
                <w:szCs w:val="20"/>
                <w:lang w:val="en-GB"/>
              </w:rPr>
              <w:t xml:space="preserve"> </w:t>
            </w:r>
          </w:p>
        </w:tc>
      </w:tr>
      <w:bookmarkEnd w:id="6"/>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617"/>
        <w:gridCol w:w="1777"/>
        <w:gridCol w:w="6841"/>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617" w:type="dxa"/>
          </w:tcPr>
          <w:p w:rsidR="005023A8" w:rsidRPr="003A569C" w:rsidRDefault="005023A8" w:rsidP="00131490">
            <w:pPr>
              <w:pStyle w:val="ColumnHeading"/>
              <w:rPr>
                <w:szCs w:val="20"/>
              </w:rPr>
            </w:pPr>
            <w:bookmarkStart w:id="7" w:name="dcusa_response8"/>
            <w:r w:rsidRPr="003A569C">
              <w:rPr>
                <w:szCs w:val="20"/>
              </w:rPr>
              <w:t>Company</w:t>
            </w:r>
          </w:p>
        </w:tc>
        <w:tc>
          <w:tcPr>
            <w:tcW w:w="1777"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841" w:type="dxa"/>
          </w:tcPr>
          <w:p w:rsidR="005023A8" w:rsidRPr="003A569C" w:rsidRDefault="009333C5" w:rsidP="00131490">
            <w:pPr>
              <w:pStyle w:val="Question"/>
              <w:rPr>
                <w:szCs w:val="20"/>
              </w:rPr>
            </w:pPr>
            <w:r>
              <w:rPr>
                <w:szCs w:val="20"/>
                <w:lang w:val="en-GB"/>
              </w:rPr>
              <w:t>By progressing this change, can you anticipate any impact on the SCR? If so, what is the impact?</w:t>
            </w:r>
          </w:p>
        </w:tc>
        <w:tc>
          <w:tcPr>
            <w:tcW w:w="3605" w:type="dxa"/>
          </w:tcPr>
          <w:p w:rsidR="005023A8" w:rsidRPr="005023A8" w:rsidRDefault="005023A8" w:rsidP="005023A8">
            <w:pPr>
              <w:pStyle w:val="Question"/>
              <w:numPr>
                <w:ilvl w:val="0"/>
                <w:numId w:val="0"/>
              </w:numPr>
              <w:rPr>
                <w:szCs w:val="20"/>
                <w:lang w:val="en-GB"/>
              </w:rPr>
            </w:pPr>
            <w:r>
              <w:rPr>
                <w:szCs w:val="20"/>
                <w:lang w:val="en-GB"/>
              </w:rPr>
              <w:t xml:space="preserve">Working Group Comments </w:t>
            </w:r>
          </w:p>
        </w:tc>
      </w:tr>
      <w:tr w:rsidR="005023A8" w:rsidRPr="003A569C" w:rsidTr="005023A8">
        <w:tc>
          <w:tcPr>
            <w:tcW w:w="1617" w:type="dxa"/>
          </w:tcPr>
          <w:p w:rsidR="005023A8" w:rsidRPr="00C229B5" w:rsidRDefault="00C229B5" w:rsidP="00131490">
            <w:pPr>
              <w:pStyle w:val="BodyTextNoSpacing"/>
              <w:rPr>
                <w:szCs w:val="20"/>
                <w:lang w:val="en-GB"/>
              </w:rPr>
            </w:pPr>
            <w:r>
              <w:rPr>
                <w:szCs w:val="20"/>
                <w:lang w:val="en-GB"/>
              </w:rPr>
              <w:t>ESP Electricity (ESPE)</w:t>
            </w:r>
          </w:p>
        </w:tc>
        <w:tc>
          <w:tcPr>
            <w:tcW w:w="1777" w:type="dxa"/>
          </w:tcPr>
          <w:p w:rsidR="005023A8" w:rsidRPr="00C229B5" w:rsidRDefault="00C229B5" w:rsidP="00131490">
            <w:pPr>
              <w:pStyle w:val="BodyTextNoSpacing"/>
              <w:rPr>
                <w:szCs w:val="20"/>
                <w:lang w:val="en-GB"/>
              </w:rPr>
            </w:pPr>
            <w:r>
              <w:rPr>
                <w:szCs w:val="20"/>
                <w:lang w:val="en-GB"/>
              </w:rPr>
              <w:t>Non-confidential</w:t>
            </w:r>
          </w:p>
        </w:tc>
        <w:tc>
          <w:tcPr>
            <w:tcW w:w="6841" w:type="dxa"/>
          </w:tcPr>
          <w:p w:rsidR="005023A8" w:rsidRPr="00C229B5" w:rsidRDefault="00C229B5" w:rsidP="00131490">
            <w:pPr>
              <w:pStyle w:val="BodyTextNoSpacing"/>
              <w:rPr>
                <w:szCs w:val="20"/>
                <w:lang w:val="en-GB"/>
              </w:rPr>
            </w:pPr>
            <w:r>
              <w:rPr>
                <w:szCs w:val="20"/>
                <w:lang w:val="en-GB"/>
              </w:rPr>
              <w:t>This Change Proposal seeks to amend the how Ofgem Licence Fees are allocated within the PCDM and, therefore, should not impact on the SCR.</w:t>
            </w:r>
          </w:p>
        </w:tc>
        <w:tc>
          <w:tcPr>
            <w:tcW w:w="3605" w:type="dxa"/>
          </w:tcPr>
          <w:p w:rsidR="005023A8" w:rsidRPr="00657FCF" w:rsidRDefault="007F5C10" w:rsidP="00131490">
            <w:pPr>
              <w:pStyle w:val="BodyTextNoSpacing"/>
              <w:rPr>
                <w:szCs w:val="20"/>
                <w:lang w:val="en-GB"/>
              </w:rPr>
            </w:pPr>
            <w:r>
              <w:rPr>
                <w:szCs w:val="20"/>
                <w:lang w:val="en-GB"/>
              </w:rPr>
              <w:t>Noted</w:t>
            </w:r>
          </w:p>
        </w:tc>
      </w:tr>
      <w:tr w:rsidR="005023A8" w:rsidRPr="003A569C" w:rsidTr="005023A8">
        <w:tc>
          <w:tcPr>
            <w:tcW w:w="1617" w:type="dxa"/>
          </w:tcPr>
          <w:p w:rsidR="005023A8" w:rsidRPr="006622EE" w:rsidRDefault="006622EE" w:rsidP="00131490">
            <w:pPr>
              <w:pStyle w:val="BodyTextNoSpacing"/>
              <w:rPr>
                <w:szCs w:val="20"/>
                <w:lang w:val="en-GB"/>
              </w:rPr>
            </w:pPr>
            <w:r>
              <w:rPr>
                <w:szCs w:val="20"/>
                <w:lang w:val="en-GB"/>
              </w:rPr>
              <w:t>Northern Powergrid</w:t>
            </w:r>
          </w:p>
        </w:tc>
        <w:tc>
          <w:tcPr>
            <w:tcW w:w="1777" w:type="dxa"/>
          </w:tcPr>
          <w:p w:rsidR="005023A8" w:rsidRPr="006622EE" w:rsidRDefault="006622EE" w:rsidP="00131490">
            <w:pPr>
              <w:pStyle w:val="BodyTextNoSpacing"/>
              <w:rPr>
                <w:szCs w:val="20"/>
                <w:lang w:val="en-GB"/>
              </w:rPr>
            </w:pPr>
            <w:r>
              <w:rPr>
                <w:szCs w:val="20"/>
                <w:lang w:val="en-GB"/>
              </w:rPr>
              <w:t>Non-confidential</w:t>
            </w:r>
          </w:p>
        </w:tc>
        <w:tc>
          <w:tcPr>
            <w:tcW w:w="6841" w:type="dxa"/>
          </w:tcPr>
          <w:p w:rsidR="005023A8" w:rsidRPr="006622EE" w:rsidRDefault="006622EE" w:rsidP="00131490">
            <w:pPr>
              <w:pStyle w:val="BodyTextNoSpacing"/>
              <w:rPr>
                <w:szCs w:val="20"/>
                <w:lang w:val="en-GB"/>
              </w:rPr>
            </w:pPr>
            <w:r>
              <w:rPr>
                <w:szCs w:val="20"/>
                <w:lang w:val="en-GB"/>
              </w:rPr>
              <w:t>In the absence of addressing the issue in the CDCM as well as the PCDM this change will indirectly impact the ‘residual’ charges by increasing the value to be recovered, but it will not impact the method of recovery which the SCR seeks to potentially change.</w:t>
            </w:r>
          </w:p>
        </w:tc>
        <w:tc>
          <w:tcPr>
            <w:tcW w:w="3605" w:type="dxa"/>
          </w:tcPr>
          <w:p w:rsidR="005023A8" w:rsidRPr="00657FCF" w:rsidRDefault="007F5C10" w:rsidP="00131490">
            <w:pPr>
              <w:pStyle w:val="BodyTextNoSpacing"/>
              <w:rPr>
                <w:szCs w:val="20"/>
                <w:lang w:val="en-GB"/>
              </w:rPr>
            </w:pPr>
            <w:r>
              <w:rPr>
                <w:szCs w:val="20"/>
                <w:lang w:val="en-GB"/>
              </w:rPr>
              <w:t>Noted</w:t>
            </w:r>
          </w:p>
        </w:tc>
      </w:tr>
      <w:tr w:rsidR="005023A8" w:rsidRPr="003A569C" w:rsidTr="005023A8">
        <w:tc>
          <w:tcPr>
            <w:tcW w:w="1617" w:type="dxa"/>
          </w:tcPr>
          <w:p w:rsidR="005023A8" w:rsidRPr="00E95710" w:rsidRDefault="00E95710" w:rsidP="00131490">
            <w:pPr>
              <w:pStyle w:val="BodyTextNoSpacing"/>
              <w:rPr>
                <w:szCs w:val="20"/>
                <w:lang w:val="en-GB"/>
              </w:rPr>
            </w:pPr>
            <w:r>
              <w:rPr>
                <w:szCs w:val="20"/>
                <w:lang w:val="en-GB"/>
              </w:rPr>
              <w:t>WPD</w:t>
            </w:r>
          </w:p>
        </w:tc>
        <w:tc>
          <w:tcPr>
            <w:tcW w:w="1777" w:type="dxa"/>
          </w:tcPr>
          <w:p w:rsidR="005023A8" w:rsidRPr="00E95710" w:rsidRDefault="00E95710" w:rsidP="00131490">
            <w:pPr>
              <w:pStyle w:val="BodyTextNoSpacing"/>
              <w:rPr>
                <w:szCs w:val="20"/>
                <w:lang w:val="en-GB"/>
              </w:rPr>
            </w:pPr>
            <w:r>
              <w:rPr>
                <w:szCs w:val="20"/>
                <w:lang w:val="en-GB"/>
              </w:rPr>
              <w:t>Non-confidential</w:t>
            </w:r>
          </w:p>
        </w:tc>
        <w:tc>
          <w:tcPr>
            <w:tcW w:w="6841" w:type="dxa"/>
          </w:tcPr>
          <w:p w:rsidR="005023A8" w:rsidRPr="00E95710" w:rsidRDefault="00E95710" w:rsidP="00131490">
            <w:pPr>
              <w:pStyle w:val="BodyText"/>
              <w:rPr>
                <w:rFonts w:ascii="Verdana" w:hAnsi="Verdana"/>
                <w:sz w:val="20"/>
                <w:szCs w:val="20"/>
                <w:lang w:val="en-GB"/>
              </w:rPr>
            </w:pPr>
            <w:r>
              <w:rPr>
                <w:rFonts w:ascii="Verdana" w:hAnsi="Verdana"/>
                <w:sz w:val="20"/>
                <w:szCs w:val="20"/>
                <w:lang w:val="en-GB"/>
              </w:rPr>
              <w:t>The SCR or CDCM review groups should be aware of this change proposal.</w:t>
            </w:r>
          </w:p>
        </w:tc>
        <w:tc>
          <w:tcPr>
            <w:tcW w:w="3605" w:type="dxa"/>
          </w:tcPr>
          <w:p w:rsidR="005023A8" w:rsidRPr="00657FCF" w:rsidRDefault="007F5C10"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617" w:type="dxa"/>
          </w:tcPr>
          <w:p w:rsidR="005023A8" w:rsidRPr="00586EE9" w:rsidRDefault="00586EE9" w:rsidP="00131490">
            <w:pPr>
              <w:pStyle w:val="BodyTextNoSpacing"/>
              <w:rPr>
                <w:szCs w:val="20"/>
                <w:lang w:val="en-GB"/>
              </w:rPr>
            </w:pPr>
            <w:r>
              <w:rPr>
                <w:szCs w:val="20"/>
                <w:lang w:val="en-GB"/>
              </w:rPr>
              <w:t>Electricity North West</w:t>
            </w:r>
          </w:p>
        </w:tc>
        <w:tc>
          <w:tcPr>
            <w:tcW w:w="1777" w:type="dxa"/>
          </w:tcPr>
          <w:p w:rsidR="005023A8" w:rsidRPr="00586EE9" w:rsidRDefault="00586EE9" w:rsidP="00131490">
            <w:pPr>
              <w:pStyle w:val="BodyTextNoSpacing"/>
              <w:rPr>
                <w:szCs w:val="20"/>
                <w:lang w:val="en-GB"/>
              </w:rPr>
            </w:pPr>
            <w:r>
              <w:rPr>
                <w:szCs w:val="20"/>
                <w:lang w:val="en-GB"/>
              </w:rPr>
              <w:t>Non-confidential</w:t>
            </w:r>
          </w:p>
        </w:tc>
        <w:tc>
          <w:tcPr>
            <w:tcW w:w="6841" w:type="dxa"/>
          </w:tcPr>
          <w:p w:rsidR="005023A8" w:rsidRPr="008F0738" w:rsidRDefault="008F0738" w:rsidP="00131490">
            <w:pPr>
              <w:pStyle w:val="BodyTextNoSpacing"/>
              <w:rPr>
                <w:szCs w:val="20"/>
                <w:lang w:val="en-GB"/>
              </w:rPr>
            </w:pPr>
            <w:r>
              <w:rPr>
                <w:szCs w:val="20"/>
                <w:lang w:val="en-GB"/>
              </w:rPr>
              <w:t xml:space="preserve">We believe this change could be progressed in isolation, but this will have the impact of spreading industry resources more thinly (this is just one of </w:t>
            </w:r>
            <w:proofErr w:type="gramStart"/>
            <w:r>
              <w:rPr>
                <w:szCs w:val="20"/>
                <w:lang w:val="en-GB"/>
              </w:rPr>
              <w:t>a number of</w:t>
            </w:r>
            <w:proofErr w:type="gramEnd"/>
            <w:r>
              <w:rPr>
                <w:szCs w:val="20"/>
                <w:lang w:val="en-GB"/>
              </w:rPr>
              <w:t xml:space="preserve"> changes underway in addition to the SCR).</w:t>
            </w:r>
          </w:p>
        </w:tc>
        <w:tc>
          <w:tcPr>
            <w:tcW w:w="3605" w:type="dxa"/>
          </w:tcPr>
          <w:p w:rsidR="005023A8" w:rsidRPr="00657FCF" w:rsidRDefault="007F5C10" w:rsidP="00131490">
            <w:pPr>
              <w:pStyle w:val="BodyTextNoSpacing"/>
              <w:rPr>
                <w:szCs w:val="20"/>
                <w:lang w:val="en-GB"/>
              </w:rPr>
            </w:pPr>
            <w:r>
              <w:rPr>
                <w:szCs w:val="20"/>
                <w:lang w:val="en-GB"/>
              </w:rPr>
              <w:t>Noted</w:t>
            </w:r>
          </w:p>
        </w:tc>
      </w:tr>
      <w:tr w:rsidR="005023A8" w:rsidRPr="003A569C" w:rsidTr="005023A8">
        <w:tc>
          <w:tcPr>
            <w:tcW w:w="1617" w:type="dxa"/>
          </w:tcPr>
          <w:p w:rsidR="005023A8" w:rsidRPr="001B66BF" w:rsidRDefault="001B66BF" w:rsidP="00131490">
            <w:pPr>
              <w:pStyle w:val="BodyTextNoSpacing"/>
              <w:rPr>
                <w:szCs w:val="20"/>
                <w:lang w:val="en-GB"/>
              </w:rPr>
            </w:pPr>
            <w:r>
              <w:rPr>
                <w:szCs w:val="20"/>
                <w:lang w:val="en-GB"/>
              </w:rPr>
              <w:t>UK Power Networks</w:t>
            </w:r>
          </w:p>
        </w:tc>
        <w:tc>
          <w:tcPr>
            <w:tcW w:w="1777" w:type="dxa"/>
          </w:tcPr>
          <w:p w:rsidR="005023A8" w:rsidRPr="001B66BF" w:rsidRDefault="001B66BF" w:rsidP="00131490">
            <w:pPr>
              <w:pStyle w:val="BodyTextNoSpacing"/>
              <w:rPr>
                <w:szCs w:val="20"/>
                <w:lang w:val="en-GB"/>
              </w:rPr>
            </w:pPr>
            <w:r>
              <w:rPr>
                <w:szCs w:val="20"/>
                <w:lang w:val="en-GB"/>
              </w:rPr>
              <w:t>Non-confidential</w:t>
            </w:r>
          </w:p>
        </w:tc>
        <w:tc>
          <w:tcPr>
            <w:tcW w:w="6841" w:type="dxa"/>
          </w:tcPr>
          <w:p w:rsidR="005023A8" w:rsidRPr="001B66BF" w:rsidRDefault="001B66BF" w:rsidP="00131490">
            <w:pPr>
              <w:pStyle w:val="BodyTextNoSpacing"/>
              <w:rPr>
                <w:szCs w:val="20"/>
                <w:lang w:val="en-GB"/>
              </w:rPr>
            </w:pPr>
            <w:r>
              <w:rPr>
                <w:szCs w:val="20"/>
                <w:lang w:val="en-GB"/>
              </w:rPr>
              <w:t>If the work of the SCR or CFF does consider this area of work, then the work undertaken through this change would be duplicated effort, as a result we do not believe that this change should be progressed separately to the work under the SCR.</w:t>
            </w:r>
          </w:p>
        </w:tc>
        <w:tc>
          <w:tcPr>
            <w:tcW w:w="3605" w:type="dxa"/>
          </w:tcPr>
          <w:p w:rsidR="005023A8" w:rsidRPr="00657FCF" w:rsidRDefault="007F5C10"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5023A8">
        <w:tc>
          <w:tcPr>
            <w:tcW w:w="1617" w:type="dxa"/>
          </w:tcPr>
          <w:p w:rsidR="005023A8" w:rsidRPr="003A569C" w:rsidRDefault="000B34E5" w:rsidP="00131490">
            <w:pPr>
              <w:pStyle w:val="BodyTextNoSpacing"/>
              <w:rPr>
                <w:szCs w:val="20"/>
              </w:rPr>
            </w:pPr>
            <w:r>
              <w:rPr>
                <w:szCs w:val="20"/>
                <w:lang w:val="en-GB"/>
              </w:rPr>
              <w:t>The Electricity Network Company Ltd</w:t>
            </w:r>
          </w:p>
        </w:tc>
        <w:tc>
          <w:tcPr>
            <w:tcW w:w="1777" w:type="dxa"/>
          </w:tcPr>
          <w:p w:rsidR="005023A8" w:rsidRPr="000B34E5" w:rsidRDefault="000B34E5" w:rsidP="00131490">
            <w:pPr>
              <w:pStyle w:val="BodyTextNoSpacing"/>
              <w:rPr>
                <w:szCs w:val="20"/>
                <w:lang w:val="en-GB"/>
              </w:rPr>
            </w:pPr>
            <w:r>
              <w:rPr>
                <w:szCs w:val="20"/>
                <w:lang w:val="en-GB"/>
              </w:rPr>
              <w:t>Non-confidential</w:t>
            </w:r>
          </w:p>
        </w:tc>
        <w:tc>
          <w:tcPr>
            <w:tcW w:w="6841" w:type="dxa"/>
          </w:tcPr>
          <w:p w:rsidR="005023A8" w:rsidRPr="000B34E5" w:rsidRDefault="000B34E5" w:rsidP="00131490">
            <w:pPr>
              <w:pStyle w:val="BodyText"/>
              <w:rPr>
                <w:rFonts w:ascii="Verdana" w:hAnsi="Verdana"/>
                <w:sz w:val="20"/>
                <w:szCs w:val="20"/>
                <w:lang w:val="en-GB"/>
              </w:rPr>
            </w:pPr>
            <w:r>
              <w:rPr>
                <w:rFonts w:ascii="Verdana" w:hAnsi="Verdana"/>
                <w:sz w:val="20"/>
                <w:szCs w:val="20"/>
                <w:lang w:val="en-GB"/>
              </w:rPr>
              <w:t xml:space="preserve">There is no foreseen impact on the SCR </w:t>
            </w:r>
            <w:proofErr w:type="gramStart"/>
            <w:r>
              <w:rPr>
                <w:rFonts w:ascii="Verdana" w:hAnsi="Verdana"/>
                <w:sz w:val="20"/>
                <w:szCs w:val="20"/>
                <w:lang w:val="en-GB"/>
              </w:rPr>
              <w:t>as a result of</w:t>
            </w:r>
            <w:proofErr w:type="gramEnd"/>
            <w:r>
              <w:rPr>
                <w:rFonts w:ascii="Verdana" w:hAnsi="Verdana"/>
                <w:sz w:val="20"/>
                <w:szCs w:val="20"/>
                <w:lang w:val="en-GB"/>
              </w:rPr>
              <w:t xml:space="preserve"> DCP 306 progressing. The SCR considers the allocation of residual charges in the CDCM and for Transmission use of system charging. This change proposal only covers the PCDM. </w:t>
            </w:r>
          </w:p>
        </w:tc>
        <w:tc>
          <w:tcPr>
            <w:tcW w:w="3605" w:type="dxa"/>
          </w:tcPr>
          <w:p w:rsidR="005023A8" w:rsidRPr="00657FCF" w:rsidRDefault="007F5C10" w:rsidP="00131490">
            <w:pPr>
              <w:pStyle w:val="BodyText"/>
              <w:rPr>
                <w:rFonts w:ascii="Verdana" w:hAnsi="Verdana"/>
                <w:sz w:val="20"/>
                <w:szCs w:val="20"/>
                <w:lang w:val="en-GB"/>
              </w:rPr>
            </w:pPr>
            <w:r>
              <w:rPr>
                <w:rFonts w:ascii="Verdana" w:hAnsi="Verdana"/>
                <w:sz w:val="20"/>
                <w:szCs w:val="20"/>
                <w:lang w:val="en-GB"/>
              </w:rPr>
              <w:t>Noted</w:t>
            </w:r>
          </w:p>
        </w:tc>
      </w:tr>
      <w:tr w:rsidR="005023A8" w:rsidRPr="003A569C" w:rsidTr="00A467A4">
        <w:tc>
          <w:tcPr>
            <w:tcW w:w="13840" w:type="dxa"/>
            <w:gridSpan w:val="4"/>
          </w:tcPr>
          <w:p w:rsidR="005023A8" w:rsidRPr="00453F60" w:rsidRDefault="00DC78E6" w:rsidP="00131490">
            <w:pPr>
              <w:pStyle w:val="BodyText"/>
              <w:rPr>
                <w:rFonts w:ascii="Verdana" w:hAnsi="Verdana"/>
                <w:sz w:val="20"/>
                <w:szCs w:val="20"/>
                <w:lang w:val="en-GB"/>
              </w:rPr>
            </w:pPr>
            <w:r w:rsidRPr="00DC78E6">
              <w:rPr>
                <w:rFonts w:ascii="Verdana" w:hAnsi="Verdana"/>
                <w:b/>
                <w:sz w:val="20"/>
                <w:szCs w:val="20"/>
                <w:lang w:val="en-GB"/>
              </w:rPr>
              <w:lastRenderedPageBreak/>
              <w:t>Working Group Conclusions:</w:t>
            </w:r>
            <w:r w:rsidR="00453F60">
              <w:rPr>
                <w:rFonts w:ascii="Verdana" w:hAnsi="Verdana"/>
                <w:b/>
                <w:sz w:val="20"/>
                <w:szCs w:val="20"/>
                <w:lang w:val="en-GB"/>
              </w:rPr>
              <w:t xml:space="preserve"> </w:t>
            </w:r>
            <w:r w:rsidR="007F5C10">
              <w:rPr>
                <w:rFonts w:ascii="Verdana" w:hAnsi="Verdana"/>
                <w:sz w:val="20"/>
                <w:szCs w:val="20"/>
                <w:lang w:val="en-GB"/>
              </w:rPr>
              <w:t xml:space="preserve">The Working Group are aware of </w:t>
            </w:r>
            <w:r w:rsidR="00453F60">
              <w:rPr>
                <w:rFonts w:ascii="Verdana" w:hAnsi="Verdana"/>
                <w:sz w:val="20"/>
                <w:szCs w:val="20"/>
                <w:lang w:val="en-GB"/>
              </w:rPr>
              <w:t xml:space="preserve">Ofgem documents </w:t>
            </w:r>
            <w:r w:rsidR="007F5C10">
              <w:rPr>
                <w:rFonts w:ascii="Verdana" w:hAnsi="Verdana"/>
                <w:sz w:val="20"/>
                <w:szCs w:val="20"/>
                <w:lang w:val="en-GB"/>
              </w:rPr>
              <w:t xml:space="preserve">being </w:t>
            </w:r>
            <w:r w:rsidR="00453F60">
              <w:rPr>
                <w:rFonts w:ascii="Verdana" w:hAnsi="Verdana"/>
                <w:sz w:val="20"/>
                <w:szCs w:val="20"/>
                <w:lang w:val="en-GB"/>
              </w:rPr>
              <w:t>released in November</w:t>
            </w:r>
            <w:r w:rsidR="007F5C10">
              <w:rPr>
                <w:rFonts w:ascii="Verdana" w:hAnsi="Verdana"/>
                <w:sz w:val="20"/>
                <w:szCs w:val="20"/>
                <w:lang w:val="en-GB"/>
              </w:rPr>
              <w:t xml:space="preserve">. At the </w:t>
            </w:r>
            <w:proofErr w:type="gramStart"/>
            <w:r w:rsidR="007F5C10">
              <w:rPr>
                <w:rFonts w:ascii="Verdana" w:hAnsi="Verdana"/>
                <w:sz w:val="20"/>
                <w:szCs w:val="20"/>
                <w:lang w:val="en-GB"/>
              </w:rPr>
              <w:t>moment</w:t>
            </w:r>
            <w:proofErr w:type="gramEnd"/>
            <w:r w:rsidR="007F5C10">
              <w:rPr>
                <w:rFonts w:ascii="Verdana" w:hAnsi="Verdana"/>
                <w:sz w:val="20"/>
                <w:szCs w:val="20"/>
                <w:lang w:val="en-GB"/>
              </w:rPr>
              <w:t xml:space="preserve"> the Working Group believe that there will be n</w:t>
            </w:r>
            <w:r w:rsidR="00453F60">
              <w:rPr>
                <w:rFonts w:ascii="Verdana" w:hAnsi="Verdana"/>
                <w:sz w:val="20"/>
                <w:szCs w:val="20"/>
                <w:lang w:val="en-GB"/>
              </w:rPr>
              <w:t>o impact</w:t>
            </w:r>
            <w:r w:rsidR="007F5C10">
              <w:rPr>
                <w:rFonts w:ascii="Verdana" w:hAnsi="Verdana"/>
                <w:sz w:val="20"/>
                <w:szCs w:val="20"/>
                <w:lang w:val="en-GB"/>
              </w:rPr>
              <w:t>s on the wider industry</w:t>
            </w:r>
            <w:r w:rsidR="00453F60">
              <w:rPr>
                <w:rFonts w:ascii="Verdana" w:hAnsi="Verdana"/>
                <w:sz w:val="20"/>
                <w:szCs w:val="20"/>
                <w:lang w:val="en-GB"/>
              </w:rPr>
              <w:t xml:space="preserve"> but </w:t>
            </w:r>
            <w:r w:rsidR="007F5C10">
              <w:rPr>
                <w:rFonts w:ascii="Verdana" w:hAnsi="Verdana"/>
                <w:sz w:val="20"/>
                <w:szCs w:val="20"/>
                <w:lang w:val="en-GB"/>
              </w:rPr>
              <w:t xml:space="preserve">this </w:t>
            </w:r>
            <w:r w:rsidR="00453F60">
              <w:rPr>
                <w:rFonts w:ascii="Verdana" w:hAnsi="Verdana"/>
                <w:sz w:val="20"/>
                <w:szCs w:val="20"/>
                <w:lang w:val="en-GB"/>
              </w:rPr>
              <w:t>will be clarified when</w:t>
            </w:r>
            <w:r w:rsidR="007F5C10">
              <w:rPr>
                <w:rFonts w:ascii="Verdana" w:hAnsi="Verdana"/>
                <w:sz w:val="20"/>
                <w:szCs w:val="20"/>
                <w:lang w:val="en-GB"/>
              </w:rPr>
              <w:t xml:space="preserve"> the</w:t>
            </w:r>
            <w:r w:rsidR="00453F60">
              <w:rPr>
                <w:rFonts w:ascii="Verdana" w:hAnsi="Verdana"/>
                <w:sz w:val="20"/>
                <w:szCs w:val="20"/>
                <w:lang w:val="en-GB"/>
              </w:rPr>
              <w:t xml:space="preserve"> Ofgem Papers are issued for</w:t>
            </w:r>
            <w:r w:rsidR="007F5C10">
              <w:rPr>
                <w:rFonts w:ascii="Verdana" w:hAnsi="Verdana"/>
                <w:sz w:val="20"/>
                <w:szCs w:val="20"/>
                <w:lang w:val="en-GB"/>
              </w:rPr>
              <w:t xml:space="preserve"> the</w:t>
            </w:r>
            <w:r w:rsidR="00453F60">
              <w:rPr>
                <w:rFonts w:ascii="Verdana" w:hAnsi="Verdana"/>
                <w:sz w:val="20"/>
                <w:szCs w:val="20"/>
                <w:lang w:val="en-GB"/>
              </w:rPr>
              <w:t xml:space="preserve"> CFF</w:t>
            </w:r>
            <w:r w:rsidR="007F5C10">
              <w:rPr>
                <w:rFonts w:ascii="Verdana" w:hAnsi="Verdana"/>
                <w:sz w:val="20"/>
                <w:szCs w:val="20"/>
                <w:lang w:val="en-GB"/>
              </w:rPr>
              <w:t>. These will be discussed at the next Working Group meeting.</w:t>
            </w:r>
            <w:r w:rsidR="00453F60">
              <w:rPr>
                <w:rFonts w:ascii="Verdana" w:hAnsi="Verdana"/>
                <w:sz w:val="20"/>
                <w:szCs w:val="20"/>
                <w:lang w:val="en-GB"/>
              </w:rPr>
              <w:t xml:space="preserve"> </w:t>
            </w:r>
          </w:p>
        </w:tc>
      </w:tr>
      <w:bookmarkEnd w:id="7"/>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64"/>
        <w:gridCol w:w="1606"/>
        <w:gridCol w:w="7165"/>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464" w:type="dxa"/>
          </w:tcPr>
          <w:p w:rsidR="005023A8" w:rsidRPr="003A569C" w:rsidRDefault="005023A8" w:rsidP="00131490">
            <w:pPr>
              <w:pStyle w:val="ColumnHeading"/>
              <w:rPr>
                <w:szCs w:val="20"/>
              </w:rPr>
            </w:pPr>
            <w:bookmarkStart w:id="8" w:name="dcusa_response9"/>
            <w:r w:rsidRPr="003A569C">
              <w:rPr>
                <w:szCs w:val="20"/>
              </w:rPr>
              <w:t>Company</w:t>
            </w:r>
          </w:p>
        </w:tc>
        <w:tc>
          <w:tcPr>
            <w:tcW w:w="1606"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7165" w:type="dxa"/>
          </w:tcPr>
          <w:p w:rsidR="005023A8" w:rsidRPr="003A569C" w:rsidRDefault="00421520" w:rsidP="00131490">
            <w:pPr>
              <w:pStyle w:val="Question"/>
              <w:rPr>
                <w:szCs w:val="20"/>
              </w:rPr>
            </w:pPr>
            <w:r>
              <w:rPr>
                <w:szCs w:val="20"/>
                <w:lang w:val="en-GB"/>
              </w:rPr>
              <w:t>Do you foresee any potential alternative to this Change Proposal having an impact on the SCR?</w:t>
            </w:r>
          </w:p>
        </w:tc>
        <w:tc>
          <w:tcPr>
            <w:tcW w:w="3605"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464" w:type="dxa"/>
          </w:tcPr>
          <w:p w:rsidR="005023A8" w:rsidRPr="00C229B5" w:rsidRDefault="00C229B5" w:rsidP="00131490">
            <w:pPr>
              <w:pStyle w:val="BodyTextNoSpacing"/>
              <w:rPr>
                <w:szCs w:val="20"/>
                <w:lang w:val="en-GB"/>
              </w:rPr>
            </w:pPr>
            <w:r>
              <w:rPr>
                <w:szCs w:val="20"/>
                <w:lang w:val="en-GB"/>
              </w:rPr>
              <w:t>ESP Electricity (ESPE)</w:t>
            </w:r>
          </w:p>
        </w:tc>
        <w:tc>
          <w:tcPr>
            <w:tcW w:w="1606" w:type="dxa"/>
          </w:tcPr>
          <w:p w:rsidR="005023A8" w:rsidRPr="00C229B5" w:rsidRDefault="00C229B5" w:rsidP="00131490">
            <w:pPr>
              <w:pStyle w:val="BodyTextNoSpacing"/>
              <w:rPr>
                <w:szCs w:val="20"/>
                <w:lang w:val="en-GB"/>
              </w:rPr>
            </w:pPr>
            <w:r>
              <w:rPr>
                <w:szCs w:val="20"/>
                <w:lang w:val="en-GB"/>
              </w:rPr>
              <w:t>Non-confidential</w:t>
            </w:r>
          </w:p>
        </w:tc>
        <w:tc>
          <w:tcPr>
            <w:tcW w:w="7165" w:type="dxa"/>
          </w:tcPr>
          <w:p w:rsidR="005023A8" w:rsidRPr="00C229B5" w:rsidRDefault="00C229B5" w:rsidP="00131490">
            <w:pPr>
              <w:pStyle w:val="BodyTextNoSpacing"/>
              <w:rPr>
                <w:szCs w:val="20"/>
                <w:lang w:val="en-GB"/>
              </w:rPr>
            </w:pPr>
            <w:r>
              <w:rPr>
                <w:szCs w:val="20"/>
                <w:lang w:val="en-GB"/>
              </w:rPr>
              <w:t>Should the intent of this Change Proposal widen to include the cost allocation within the CDCM/EDCM, this may need to be considered within the SCR.</w:t>
            </w:r>
          </w:p>
        </w:tc>
        <w:tc>
          <w:tcPr>
            <w:tcW w:w="3605" w:type="dxa"/>
          </w:tcPr>
          <w:p w:rsidR="005023A8" w:rsidRPr="00662929" w:rsidRDefault="00035D50" w:rsidP="00131490">
            <w:pPr>
              <w:pStyle w:val="BodyTextNoSpacing"/>
              <w:rPr>
                <w:szCs w:val="20"/>
                <w:lang w:val="en-GB"/>
              </w:rPr>
            </w:pPr>
            <w:r>
              <w:rPr>
                <w:szCs w:val="20"/>
                <w:lang w:val="en-GB"/>
              </w:rPr>
              <w:t>It is n</w:t>
            </w:r>
            <w:r w:rsidR="00453F60">
              <w:rPr>
                <w:szCs w:val="20"/>
                <w:lang w:val="en-GB"/>
              </w:rPr>
              <w:t>ot in</w:t>
            </w:r>
            <w:r>
              <w:rPr>
                <w:szCs w:val="20"/>
                <w:lang w:val="en-GB"/>
              </w:rPr>
              <w:t xml:space="preserve"> the</w:t>
            </w:r>
            <w:r w:rsidR="00453F60">
              <w:rPr>
                <w:szCs w:val="20"/>
                <w:lang w:val="en-GB"/>
              </w:rPr>
              <w:t xml:space="preserve"> W</w:t>
            </w:r>
            <w:r>
              <w:rPr>
                <w:szCs w:val="20"/>
                <w:lang w:val="en-GB"/>
              </w:rPr>
              <w:t xml:space="preserve">orking </w:t>
            </w:r>
            <w:r w:rsidR="00453F60">
              <w:rPr>
                <w:szCs w:val="20"/>
                <w:lang w:val="en-GB"/>
              </w:rPr>
              <w:t>G</w:t>
            </w:r>
            <w:r>
              <w:rPr>
                <w:szCs w:val="20"/>
                <w:lang w:val="en-GB"/>
              </w:rPr>
              <w:t>roup’s</w:t>
            </w:r>
            <w:r w:rsidR="00453F60">
              <w:rPr>
                <w:szCs w:val="20"/>
                <w:lang w:val="en-GB"/>
              </w:rPr>
              <w:t xml:space="preserve"> gift to widen the intent. A new change would need to be raised to do so. </w:t>
            </w:r>
          </w:p>
        </w:tc>
      </w:tr>
      <w:tr w:rsidR="005023A8" w:rsidRPr="003A569C" w:rsidTr="005023A8">
        <w:tc>
          <w:tcPr>
            <w:tcW w:w="1464" w:type="dxa"/>
          </w:tcPr>
          <w:p w:rsidR="005023A8" w:rsidRPr="006622EE" w:rsidRDefault="006622EE" w:rsidP="00131490">
            <w:pPr>
              <w:pStyle w:val="BodyTextNoSpacing"/>
              <w:rPr>
                <w:szCs w:val="20"/>
                <w:lang w:val="en-GB"/>
              </w:rPr>
            </w:pPr>
            <w:r>
              <w:rPr>
                <w:szCs w:val="20"/>
                <w:lang w:val="en-GB"/>
              </w:rPr>
              <w:t>Northern Powergrid</w:t>
            </w:r>
          </w:p>
        </w:tc>
        <w:tc>
          <w:tcPr>
            <w:tcW w:w="1606" w:type="dxa"/>
          </w:tcPr>
          <w:p w:rsidR="005023A8" w:rsidRPr="006622EE" w:rsidRDefault="006622EE" w:rsidP="00131490">
            <w:pPr>
              <w:pStyle w:val="BodyTextNoSpacing"/>
              <w:rPr>
                <w:szCs w:val="20"/>
                <w:lang w:val="en-GB"/>
              </w:rPr>
            </w:pPr>
            <w:r>
              <w:rPr>
                <w:szCs w:val="20"/>
                <w:lang w:val="en-GB"/>
              </w:rPr>
              <w:t>Non-confidential</w:t>
            </w:r>
          </w:p>
        </w:tc>
        <w:tc>
          <w:tcPr>
            <w:tcW w:w="7165" w:type="dxa"/>
          </w:tcPr>
          <w:p w:rsidR="005023A8" w:rsidRPr="006622EE" w:rsidRDefault="006622EE" w:rsidP="00131490">
            <w:pPr>
              <w:pStyle w:val="BodyTextNoSpacing"/>
              <w:rPr>
                <w:szCs w:val="20"/>
                <w:lang w:val="en-GB"/>
              </w:rPr>
            </w:pPr>
            <w:r>
              <w:rPr>
                <w:szCs w:val="20"/>
                <w:lang w:val="en-GB"/>
              </w:rPr>
              <w:t>Every change which impacts the charges will impact upon the value of the ‘residual’ however if the alternative represented amending the CDCM accordingly then we believe the outcome would be the same, so no.</w:t>
            </w:r>
          </w:p>
        </w:tc>
        <w:tc>
          <w:tcPr>
            <w:tcW w:w="3605" w:type="dxa"/>
          </w:tcPr>
          <w:p w:rsidR="005023A8" w:rsidRPr="00662929" w:rsidRDefault="007F5C10" w:rsidP="00131490">
            <w:pPr>
              <w:pStyle w:val="BodyTextNoSpacing"/>
              <w:rPr>
                <w:szCs w:val="20"/>
                <w:lang w:val="en-GB"/>
              </w:rPr>
            </w:pPr>
            <w:r>
              <w:rPr>
                <w:szCs w:val="20"/>
                <w:lang w:val="en-GB"/>
              </w:rPr>
              <w:t>Noted</w:t>
            </w:r>
          </w:p>
        </w:tc>
      </w:tr>
      <w:tr w:rsidR="005023A8" w:rsidRPr="003A569C" w:rsidTr="005023A8">
        <w:tc>
          <w:tcPr>
            <w:tcW w:w="1464" w:type="dxa"/>
          </w:tcPr>
          <w:p w:rsidR="005023A8" w:rsidRPr="00E95710" w:rsidRDefault="00E95710" w:rsidP="00131490">
            <w:pPr>
              <w:pStyle w:val="BodyTextNoSpacing"/>
              <w:rPr>
                <w:szCs w:val="20"/>
                <w:lang w:val="en-GB"/>
              </w:rPr>
            </w:pPr>
            <w:r>
              <w:rPr>
                <w:szCs w:val="20"/>
                <w:lang w:val="en-GB"/>
              </w:rPr>
              <w:t>WPD</w:t>
            </w:r>
          </w:p>
        </w:tc>
        <w:tc>
          <w:tcPr>
            <w:tcW w:w="1606" w:type="dxa"/>
          </w:tcPr>
          <w:p w:rsidR="005023A8" w:rsidRPr="00E95710" w:rsidRDefault="00E95710" w:rsidP="00131490">
            <w:pPr>
              <w:pStyle w:val="BodyTextNoSpacing"/>
              <w:rPr>
                <w:szCs w:val="20"/>
                <w:lang w:val="en-GB"/>
              </w:rPr>
            </w:pPr>
            <w:r>
              <w:rPr>
                <w:szCs w:val="20"/>
                <w:lang w:val="en-GB"/>
              </w:rPr>
              <w:t>Non-confidential</w:t>
            </w:r>
          </w:p>
        </w:tc>
        <w:tc>
          <w:tcPr>
            <w:tcW w:w="7165" w:type="dxa"/>
          </w:tcPr>
          <w:p w:rsidR="005023A8" w:rsidRPr="00E95710" w:rsidRDefault="00E95710" w:rsidP="00131490">
            <w:pPr>
              <w:pStyle w:val="BodyTextNoSpacing"/>
              <w:rPr>
                <w:szCs w:val="20"/>
                <w:lang w:val="en-GB"/>
              </w:rPr>
            </w:pPr>
            <w:r>
              <w:rPr>
                <w:szCs w:val="20"/>
                <w:lang w:val="en-GB"/>
              </w:rPr>
              <w:t xml:space="preserve">No </w:t>
            </w:r>
          </w:p>
        </w:tc>
        <w:tc>
          <w:tcPr>
            <w:tcW w:w="3605" w:type="dxa"/>
          </w:tcPr>
          <w:p w:rsidR="005023A8" w:rsidRPr="00662929" w:rsidRDefault="007F5C10" w:rsidP="00131490">
            <w:pPr>
              <w:pStyle w:val="BodyTextNoSpacing"/>
              <w:rPr>
                <w:szCs w:val="20"/>
                <w:lang w:val="en-GB"/>
              </w:rPr>
            </w:pPr>
            <w:r>
              <w:rPr>
                <w:szCs w:val="20"/>
                <w:lang w:val="en-GB"/>
              </w:rPr>
              <w:t>Noted</w:t>
            </w:r>
          </w:p>
        </w:tc>
      </w:tr>
      <w:tr w:rsidR="005023A8" w:rsidRPr="003A569C" w:rsidTr="005023A8">
        <w:tc>
          <w:tcPr>
            <w:tcW w:w="1464" w:type="dxa"/>
          </w:tcPr>
          <w:p w:rsidR="005023A8" w:rsidRPr="008F0738" w:rsidRDefault="008F0738" w:rsidP="00131490">
            <w:pPr>
              <w:pStyle w:val="BodyTextNoSpacing"/>
              <w:rPr>
                <w:szCs w:val="20"/>
                <w:lang w:val="en-GB"/>
              </w:rPr>
            </w:pPr>
            <w:r>
              <w:rPr>
                <w:szCs w:val="20"/>
                <w:lang w:val="en-GB"/>
              </w:rPr>
              <w:t>Electricity North West</w:t>
            </w:r>
          </w:p>
        </w:tc>
        <w:tc>
          <w:tcPr>
            <w:tcW w:w="1606" w:type="dxa"/>
          </w:tcPr>
          <w:p w:rsidR="005023A8" w:rsidRPr="008F0738" w:rsidRDefault="008F0738" w:rsidP="00131490">
            <w:pPr>
              <w:pStyle w:val="BodyTextNoSpacing"/>
              <w:rPr>
                <w:szCs w:val="20"/>
                <w:lang w:val="en-GB"/>
              </w:rPr>
            </w:pPr>
            <w:r>
              <w:rPr>
                <w:szCs w:val="20"/>
                <w:lang w:val="en-GB"/>
              </w:rPr>
              <w:t>Non-confidential</w:t>
            </w:r>
          </w:p>
        </w:tc>
        <w:tc>
          <w:tcPr>
            <w:tcW w:w="7165" w:type="dxa"/>
          </w:tcPr>
          <w:p w:rsidR="005023A8" w:rsidRPr="008F0738" w:rsidRDefault="008F0738" w:rsidP="00131490">
            <w:pPr>
              <w:pStyle w:val="BodyTextNoSpacing"/>
              <w:rPr>
                <w:szCs w:val="20"/>
                <w:lang w:val="en-GB"/>
              </w:rPr>
            </w:pPr>
            <w:r>
              <w:rPr>
                <w:szCs w:val="20"/>
                <w:lang w:val="en-GB"/>
              </w:rPr>
              <w:t xml:space="preserve">We have not identified any alternative </w:t>
            </w:r>
            <w:proofErr w:type="gramStart"/>
            <w:r>
              <w:rPr>
                <w:szCs w:val="20"/>
                <w:lang w:val="en-GB"/>
              </w:rPr>
              <w:t>at this time</w:t>
            </w:r>
            <w:proofErr w:type="gramEnd"/>
            <w:r>
              <w:rPr>
                <w:szCs w:val="20"/>
                <w:lang w:val="en-GB"/>
              </w:rPr>
              <w:t>.</w:t>
            </w:r>
          </w:p>
        </w:tc>
        <w:tc>
          <w:tcPr>
            <w:tcW w:w="3605" w:type="dxa"/>
          </w:tcPr>
          <w:p w:rsidR="005023A8" w:rsidRPr="00662929" w:rsidRDefault="007F5C10" w:rsidP="00131490">
            <w:pPr>
              <w:pStyle w:val="BodyTextNoSpacing"/>
              <w:rPr>
                <w:szCs w:val="20"/>
                <w:lang w:val="en-GB"/>
              </w:rPr>
            </w:pPr>
            <w:r>
              <w:rPr>
                <w:szCs w:val="20"/>
                <w:lang w:val="en-GB"/>
              </w:rPr>
              <w:t>Noted</w:t>
            </w:r>
          </w:p>
        </w:tc>
      </w:tr>
      <w:tr w:rsidR="005023A8" w:rsidRPr="003A569C" w:rsidTr="005023A8">
        <w:tc>
          <w:tcPr>
            <w:tcW w:w="1464" w:type="dxa"/>
          </w:tcPr>
          <w:p w:rsidR="005023A8" w:rsidRPr="001B66BF" w:rsidRDefault="001B66BF" w:rsidP="00131490">
            <w:pPr>
              <w:pStyle w:val="BodyTextNoSpacing"/>
              <w:rPr>
                <w:szCs w:val="20"/>
                <w:lang w:val="en-GB"/>
              </w:rPr>
            </w:pPr>
            <w:r>
              <w:rPr>
                <w:szCs w:val="20"/>
                <w:lang w:val="en-GB"/>
              </w:rPr>
              <w:t>UK Power Networks</w:t>
            </w:r>
          </w:p>
        </w:tc>
        <w:tc>
          <w:tcPr>
            <w:tcW w:w="1606" w:type="dxa"/>
          </w:tcPr>
          <w:p w:rsidR="005023A8" w:rsidRPr="001B66BF" w:rsidRDefault="001B66BF" w:rsidP="00131490">
            <w:pPr>
              <w:pStyle w:val="BodyTextNoSpacing"/>
              <w:rPr>
                <w:szCs w:val="20"/>
                <w:lang w:val="en-GB"/>
              </w:rPr>
            </w:pPr>
            <w:r>
              <w:rPr>
                <w:szCs w:val="20"/>
                <w:lang w:val="en-GB"/>
              </w:rPr>
              <w:t>Non-confidential</w:t>
            </w:r>
          </w:p>
        </w:tc>
        <w:tc>
          <w:tcPr>
            <w:tcW w:w="7165" w:type="dxa"/>
          </w:tcPr>
          <w:p w:rsidR="005023A8" w:rsidRPr="001B66BF" w:rsidRDefault="001B66BF" w:rsidP="00131490">
            <w:pPr>
              <w:pStyle w:val="BodyTextNoSpacing"/>
              <w:rPr>
                <w:szCs w:val="20"/>
                <w:lang w:val="en-GB"/>
              </w:rPr>
            </w:pPr>
            <w:r>
              <w:rPr>
                <w:szCs w:val="20"/>
                <w:lang w:val="en-GB"/>
              </w:rPr>
              <w:t>The inclusion, or not, of other costs which we believe should also be considered at the same time as Ofgem licence fees would have an impact on any work being considered or undertaken as part of the SCR.</w:t>
            </w:r>
          </w:p>
        </w:tc>
        <w:tc>
          <w:tcPr>
            <w:tcW w:w="3605" w:type="dxa"/>
          </w:tcPr>
          <w:p w:rsidR="005023A8" w:rsidRPr="00662929" w:rsidRDefault="007F5C10" w:rsidP="00131490">
            <w:pPr>
              <w:pStyle w:val="BodyTextNoSpacing"/>
              <w:rPr>
                <w:szCs w:val="20"/>
                <w:lang w:val="en-GB"/>
              </w:rPr>
            </w:pPr>
            <w:r>
              <w:rPr>
                <w:szCs w:val="20"/>
                <w:lang w:val="en-GB"/>
              </w:rPr>
              <w:t>There are n</w:t>
            </w:r>
            <w:r w:rsidR="00453F60">
              <w:rPr>
                <w:szCs w:val="20"/>
                <w:lang w:val="en-GB"/>
              </w:rPr>
              <w:t xml:space="preserve">o fundamental issues with what </w:t>
            </w:r>
            <w:r>
              <w:rPr>
                <w:szCs w:val="20"/>
                <w:lang w:val="en-GB"/>
              </w:rPr>
              <w:t xml:space="preserve">the </w:t>
            </w:r>
            <w:r w:rsidR="00453F60">
              <w:rPr>
                <w:szCs w:val="20"/>
                <w:lang w:val="en-GB"/>
              </w:rPr>
              <w:t>change is trying to do but</w:t>
            </w:r>
            <w:r>
              <w:rPr>
                <w:szCs w:val="20"/>
                <w:lang w:val="en-GB"/>
              </w:rPr>
              <w:t xml:space="preserve"> the Working Group think that there</w:t>
            </w:r>
            <w:r w:rsidR="00453F60">
              <w:rPr>
                <w:szCs w:val="20"/>
                <w:lang w:val="en-GB"/>
              </w:rPr>
              <w:t xml:space="preserve"> should be</w:t>
            </w:r>
            <w:r>
              <w:rPr>
                <w:szCs w:val="20"/>
                <w:lang w:val="en-GB"/>
              </w:rPr>
              <w:t xml:space="preserve"> a</w:t>
            </w:r>
            <w:r w:rsidR="00453F60">
              <w:rPr>
                <w:szCs w:val="20"/>
                <w:lang w:val="en-GB"/>
              </w:rPr>
              <w:t xml:space="preserve"> wider review of PCDM costs in the future. </w:t>
            </w:r>
          </w:p>
        </w:tc>
      </w:tr>
      <w:tr w:rsidR="005023A8" w:rsidRPr="003A569C" w:rsidTr="005023A8">
        <w:tc>
          <w:tcPr>
            <w:tcW w:w="1464" w:type="dxa"/>
          </w:tcPr>
          <w:p w:rsidR="005023A8" w:rsidRPr="003A569C" w:rsidRDefault="000B34E5" w:rsidP="00131490">
            <w:pPr>
              <w:pStyle w:val="BodyTextNoSpacing"/>
              <w:rPr>
                <w:szCs w:val="20"/>
              </w:rPr>
            </w:pPr>
            <w:r>
              <w:rPr>
                <w:szCs w:val="20"/>
                <w:lang w:val="en-GB"/>
              </w:rPr>
              <w:t xml:space="preserve">The Electricity Network </w:t>
            </w:r>
            <w:r>
              <w:rPr>
                <w:szCs w:val="20"/>
                <w:lang w:val="en-GB"/>
              </w:rPr>
              <w:lastRenderedPageBreak/>
              <w:t>Company Ltd</w:t>
            </w:r>
          </w:p>
        </w:tc>
        <w:tc>
          <w:tcPr>
            <w:tcW w:w="1606" w:type="dxa"/>
          </w:tcPr>
          <w:p w:rsidR="005023A8" w:rsidRPr="000B34E5" w:rsidRDefault="000B34E5" w:rsidP="00131490">
            <w:pPr>
              <w:pStyle w:val="BodyTextNoSpacing"/>
              <w:rPr>
                <w:szCs w:val="20"/>
                <w:lang w:val="en-GB"/>
              </w:rPr>
            </w:pPr>
            <w:r>
              <w:rPr>
                <w:szCs w:val="20"/>
                <w:lang w:val="en-GB"/>
              </w:rPr>
              <w:lastRenderedPageBreak/>
              <w:t>Non-confidential</w:t>
            </w:r>
          </w:p>
        </w:tc>
        <w:tc>
          <w:tcPr>
            <w:tcW w:w="7165" w:type="dxa"/>
          </w:tcPr>
          <w:p w:rsidR="005023A8" w:rsidRPr="000B34E5" w:rsidRDefault="000B34E5" w:rsidP="00131490">
            <w:pPr>
              <w:pStyle w:val="BodyTextNoSpacing"/>
              <w:rPr>
                <w:szCs w:val="20"/>
                <w:lang w:val="en-GB"/>
              </w:rPr>
            </w:pPr>
            <w:r>
              <w:rPr>
                <w:szCs w:val="20"/>
                <w:lang w:val="en-GB"/>
              </w:rPr>
              <w:t>No.</w:t>
            </w:r>
          </w:p>
        </w:tc>
        <w:tc>
          <w:tcPr>
            <w:tcW w:w="3605" w:type="dxa"/>
          </w:tcPr>
          <w:p w:rsidR="005023A8" w:rsidRPr="00662929" w:rsidRDefault="007F5C10" w:rsidP="00131490">
            <w:pPr>
              <w:pStyle w:val="BodyTextNoSpacing"/>
              <w:rPr>
                <w:szCs w:val="20"/>
                <w:lang w:val="en-GB"/>
              </w:rPr>
            </w:pPr>
            <w:r>
              <w:rPr>
                <w:szCs w:val="20"/>
                <w:lang w:val="en-GB"/>
              </w:rPr>
              <w:t>Noted</w:t>
            </w:r>
          </w:p>
        </w:tc>
      </w:tr>
      <w:tr w:rsidR="005023A8" w:rsidRPr="003A569C" w:rsidTr="00A467A4">
        <w:tc>
          <w:tcPr>
            <w:tcW w:w="13840" w:type="dxa"/>
            <w:gridSpan w:val="4"/>
          </w:tcPr>
          <w:p w:rsidR="005023A8" w:rsidRPr="00453F60" w:rsidRDefault="00DC78E6" w:rsidP="00131490">
            <w:pPr>
              <w:pStyle w:val="BodyTextNoSpacing"/>
              <w:rPr>
                <w:szCs w:val="20"/>
                <w:lang w:val="en-GB"/>
              </w:rPr>
            </w:pPr>
            <w:r>
              <w:rPr>
                <w:b/>
                <w:szCs w:val="20"/>
                <w:lang w:val="en-GB"/>
              </w:rPr>
              <w:t>Working Group Conclusions:</w:t>
            </w:r>
            <w:r w:rsidR="00453F60">
              <w:rPr>
                <w:b/>
                <w:szCs w:val="20"/>
                <w:lang w:val="en-GB"/>
              </w:rPr>
              <w:t xml:space="preserve"> </w:t>
            </w:r>
            <w:r w:rsidR="00453F60">
              <w:rPr>
                <w:szCs w:val="20"/>
                <w:lang w:val="en-GB"/>
              </w:rPr>
              <w:t xml:space="preserve"> </w:t>
            </w:r>
            <w:r w:rsidR="007F5C10">
              <w:rPr>
                <w:szCs w:val="20"/>
                <w:lang w:val="en-GB"/>
              </w:rPr>
              <w:t xml:space="preserve">The Working Group </w:t>
            </w:r>
            <w:r w:rsidR="00453F60">
              <w:rPr>
                <w:szCs w:val="20"/>
                <w:lang w:val="en-GB"/>
              </w:rPr>
              <w:t xml:space="preserve">agree that </w:t>
            </w:r>
            <w:r w:rsidR="007F5C10">
              <w:rPr>
                <w:szCs w:val="20"/>
                <w:lang w:val="en-GB"/>
              </w:rPr>
              <w:t xml:space="preserve">a </w:t>
            </w:r>
            <w:r w:rsidR="00453F60">
              <w:rPr>
                <w:szCs w:val="20"/>
                <w:lang w:val="en-GB"/>
              </w:rPr>
              <w:t>fundamental review</w:t>
            </w:r>
            <w:r w:rsidR="007F5C10">
              <w:rPr>
                <w:szCs w:val="20"/>
                <w:lang w:val="en-GB"/>
              </w:rPr>
              <w:t xml:space="preserve"> of the PCDM and allocation of costs</w:t>
            </w:r>
            <w:r w:rsidR="00453F60">
              <w:rPr>
                <w:szCs w:val="20"/>
                <w:lang w:val="en-GB"/>
              </w:rPr>
              <w:t xml:space="preserve"> will be needed </w:t>
            </w:r>
            <w:r w:rsidR="007F5C10">
              <w:rPr>
                <w:szCs w:val="20"/>
                <w:lang w:val="en-GB"/>
              </w:rPr>
              <w:t xml:space="preserve">in the future </w:t>
            </w:r>
            <w:r w:rsidR="00453F60">
              <w:rPr>
                <w:szCs w:val="20"/>
                <w:lang w:val="en-GB"/>
              </w:rPr>
              <w:t>but</w:t>
            </w:r>
            <w:r w:rsidR="007F5C10">
              <w:rPr>
                <w:szCs w:val="20"/>
                <w:lang w:val="en-GB"/>
              </w:rPr>
              <w:t xml:space="preserve"> the</w:t>
            </w:r>
            <w:r w:rsidR="00453F60">
              <w:rPr>
                <w:szCs w:val="20"/>
                <w:lang w:val="en-GB"/>
              </w:rPr>
              <w:t xml:space="preserve"> intent of</w:t>
            </w:r>
            <w:r w:rsidR="007F5C10">
              <w:rPr>
                <w:szCs w:val="20"/>
                <w:lang w:val="en-GB"/>
              </w:rPr>
              <w:t xml:space="preserve"> this</w:t>
            </w:r>
            <w:r w:rsidR="00453F60">
              <w:rPr>
                <w:szCs w:val="20"/>
                <w:lang w:val="en-GB"/>
              </w:rPr>
              <w:t xml:space="preserve"> change is </w:t>
            </w:r>
            <w:r w:rsidR="00321A5E">
              <w:rPr>
                <w:szCs w:val="20"/>
                <w:lang w:val="en-GB"/>
              </w:rPr>
              <w:t xml:space="preserve">too </w:t>
            </w:r>
            <w:r w:rsidR="00453F60">
              <w:rPr>
                <w:szCs w:val="20"/>
                <w:lang w:val="en-GB"/>
              </w:rPr>
              <w:t>focussed so</w:t>
            </w:r>
            <w:r w:rsidR="00321A5E">
              <w:rPr>
                <w:szCs w:val="20"/>
                <w:lang w:val="en-GB"/>
              </w:rPr>
              <w:t xml:space="preserve"> the Working Group are</w:t>
            </w:r>
            <w:r w:rsidR="00453F60">
              <w:rPr>
                <w:szCs w:val="20"/>
                <w:lang w:val="en-GB"/>
              </w:rPr>
              <w:t xml:space="preserve"> unable to deviate. </w:t>
            </w:r>
          </w:p>
        </w:tc>
      </w:tr>
      <w:bookmarkEnd w:id="8"/>
    </w:tbl>
    <w:p w:rsidR="00131490" w:rsidRPr="003A569C" w:rsidRDefault="00131490">
      <w:pPr>
        <w:rPr>
          <w:rFonts w:ascii="Verdana" w:hAnsi="Verdana"/>
          <w:sz w:val="20"/>
          <w:szCs w:val="20"/>
        </w:rPr>
      </w:pPr>
    </w:p>
    <w:tbl>
      <w:tblPr>
        <w:tblStyle w:val="ElectralinkResponseTable"/>
        <w:tblW w:w="13921" w:type="dxa"/>
        <w:tblInd w:w="108" w:type="dxa"/>
        <w:tblLayout w:type="fixed"/>
        <w:tblLook w:val="04A0" w:firstRow="1" w:lastRow="0" w:firstColumn="1" w:lastColumn="0" w:noHBand="0" w:noVBand="1"/>
      </w:tblPr>
      <w:tblGrid>
        <w:gridCol w:w="1420"/>
        <w:gridCol w:w="1728"/>
        <w:gridCol w:w="7087"/>
        <w:gridCol w:w="3686"/>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420" w:type="dxa"/>
          </w:tcPr>
          <w:p w:rsidR="005023A8" w:rsidRPr="003A569C" w:rsidRDefault="005023A8" w:rsidP="00131490">
            <w:pPr>
              <w:pStyle w:val="ColumnHeading"/>
              <w:rPr>
                <w:szCs w:val="20"/>
              </w:rPr>
            </w:pPr>
            <w:bookmarkStart w:id="9" w:name="dcusa_response10"/>
            <w:r w:rsidRPr="003A569C">
              <w:rPr>
                <w:szCs w:val="20"/>
              </w:rPr>
              <w:t>Company</w:t>
            </w:r>
          </w:p>
        </w:tc>
        <w:tc>
          <w:tcPr>
            <w:tcW w:w="1728"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7087" w:type="dxa"/>
          </w:tcPr>
          <w:p w:rsidR="005023A8" w:rsidRPr="003A569C" w:rsidRDefault="00421520" w:rsidP="00131490">
            <w:pPr>
              <w:pStyle w:val="Question"/>
              <w:rPr>
                <w:szCs w:val="20"/>
              </w:rPr>
            </w:pPr>
            <w:r>
              <w:rPr>
                <w:szCs w:val="20"/>
                <w:lang w:val="en-GB"/>
              </w:rPr>
              <w:t>Are you aware of any wider industry developments that may impact upon or be impacted by this CP?</w:t>
            </w:r>
          </w:p>
        </w:tc>
        <w:tc>
          <w:tcPr>
            <w:tcW w:w="3686"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420" w:type="dxa"/>
          </w:tcPr>
          <w:p w:rsidR="005023A8" w:rsidRPr="00C229B5" w:rsidRDefault="00C229B5" w:rsidP="00131490">
            <w:pPr>
              <w:pStyle w:val="BodyTextNoSpacing"/>
              <w:rPr>
                <w:szCs w:val="20"/>
                <w:lang w:val="en-GB"/>
              </w:rPr>
            </w:pPr>
            <w:r>
              <w:rPr>
                <w:szCs w:val="20"/>
                <w:lang w:val="en-GB"/>
              </w:rPr>
              <w:t>ESP Electricity (ESPE)</w:t>
            </w:r>
          </w:p>
        </w:tc>
        <w:tc>
          <w:tcPr>
            <w:tcW w:w="1728" w:type="dxa"/>
          </w:tcPr>
          <w:p w:rsidR="005023A8" w:rsidRPr="00C229B5" w:rsidRDefault="00C229B5" w:rsidP="00131490">
            <w:pPr>
              <w:pStyle w:val="BodyTextNoSpacing"/>
              <w:rPr>
                <w:szCs w:val="20"/>
                <w:lang w:val="en-GB"/>
              </w:rPr>
            </w:pPr>
            <w:r>
              <w:rPr>
                <w:szCs w:val="20"/>
                <w:lang w:val="en-GB"/>
              </w:rPr>
              <w:t>Non-confidential</w:t>
            </w:r>
          </w:p>
        </w:tc>
        <w:tc>
          <w:tcPr>
            <w:tcW w:w="7087" w:type="dxa"/>
          </w:tcPr>
          <w:p w:rsidR="005023A8" w:rsidRPr="00C229B5" w:rsidRDefault="00C229B5" w:rsidP="00131490">
            <w:pPr>
              <w:pStyle w:val="BodyTextNoSpacing"/>
              <w:rPr>
                <w:szCs w:val="20"/>
                <w:lang w:val="en-GB"/>
              </w:rPr>
            </w:pPr>
            <w:r>
              <w:rPr>
                <w:szCs w:val="20"/>
                <w:lang w:val="en-GB"/>
              </w:rPr>
              <w:t>No, ESPE is not aware of any wider industry developments that may impact or be impacted by this Change Proposal.</w:t>
            </w:r>
          </w:p>
        </w:tc>
        <w:tc>
          <w:tcPr>
            <w:tcW w:w="3686" w:type="dxa"/>
          </w:tcPr>
          <w:p w:rsidR="005023A8" w:rsidRPr="00BC556E" w:rsidRDefault="00A659D5" w:rsidP="00131490">
            <w:pPr>
              <w:pStyle w:val="BodyTextNoSpacing"/>
              <w:rPr>
                <w:szCs w:val="20"/>
                <w:lang w:val="en-GB"/>
              </w:rPr>
            </w:pPr>
            <w:r>
              <w:rPr>
                <w:szCs w:val="20"/>
                <w:lang w:val="en-GB"/>
              </w:rPr>
              <w:t>Noted</w:t>
            </w:r>
          </w:p>
        </w:tc>
      </w:tr>
      <w:tr w:rsidR="005023A8" w:rsidRPr="003A569C" w:rsidTr="005023A8">
        <w:tc>
          <w:tcPr>
            <w:tcW w:w="1420" w:type="dxa"/>
          </w:tcPr>
          <w:p w:rsidR="005023A8" w:rsidRPr="006622EE" w:rsidRDefault="006622EE" w:rsidP="00131490">
            <w:pPr>
              <w:pStyle w:val="BodyTextNoSpacing"/>
              <w:rPr>
                <w:szCs w:val="20"/>
                <w:lang w:val="en-GB"/>
              </w:rPr>
            </w:pPr>
            <w:r>
              <w:rPr>
                <w:szCs w:val="20"/>
                <w:lang w:val="en-GB"/>
              </w:rPr>
              <w:t>Northern Powergrid</w:t>
            </w:r>
          </w:p>
        </w:tc>
        <w:tc>
          <w:tcPr>
            <w:tcW w:w="1728" w:type="dxa"/>
          </w:tcPr>
          <w:p w:rsidR="005023A8" w:rsidRPr="006622EE" w:rsidRDefault="006622EE" w:rsidP="00131490">
            <w:pPr>
              <w:pStyle w:val="BodyTextNoSpacing"/>
              <w:rPr>
                <w:szCs w:val="20"/>
                <w:lang w:val="en-GB"/>
              </w:rPr>
            </w:pPr>
            <w:r>
              <w:rPr>
                <w:szCs w:val="20"/>
                <w:lang w:val="en-GB"/>
              </w:rPr>
              <w:t>Non-confidential</w:t>
            </w:r>
          </w:p>
        </w:tc>
        <w:tc>
          <w:tcPr>
            <w:tcW w:w="7087" w:type="dxa"/>
          </w:tcPr>
          <w:p w:rsidR="005023A8" w:rsidRPr="006622EE" w:rsidRDefault="006622EE" w:rsidP="00131490">
            <w:pPr>
              <w:pStyle w:val="BodyTextNoSpacing"/>
              <w:rPr>
                <w:szCs w:val="20"/>
                <w:lang w:val="en-GB"/>
              </w:rPr>
            </w:pPr>
            <w:r>
              <w:rPr>
                <w:szCs w:val="20"/>
                <w:lang w:val="en-GB"/>
              </w:rPr>
              <w:t xml:space="preserve">The distribution charging methodologies review has considered what this change proposal seeks to achieve, and still needs to be given further and more detailed attention. There remains plenty of scope within the wider review to incorporate this change, as well as being considered in the context of other changes being proposed and therefore mitigate the risk of implementing changes which may not compliment a solution to the bigger challenge of improving the charging </w:t>
            </w:r>
            <w:proofErr w:type="gramStart"/>
            <w:r>
              <w:rPr>
                <w:szCs w:val="20"/>
                <w:lang w:val="en-GB"/>
              </w:rPr>
              <w:t>methodologies as a whol</w:t>
            </w:r>
            <w:proofErr w:type="gramEnd"/>
            <w:r>
              <w:rPr>
                <w:szCs w:val="20"/>
                <w:lang w:val="en-GB"/>
              </w:rPr>
              <w:t>e (where the principles considered reach beyond cost reflectivity and should be considered in the round).</w:t>
            </w:r>
          </w:p>
        </w:tc>
        <w:tc>
          <w:tcPr>
            <w:tcW w:w="3686" w:type="dxa"/>
          </w:tcPr>
          <w:p w:rsidR="005023A8" w:rsidRPr="00BC556E" w:rsidRDefault="00A659D5" w:rsidP="00131490">
            <w:pPr>
              <w:pStyle w:val="BodyTextNoSpacing"/>
              <w:rPr>
                <w:szCs w:val="20"/>
                <w:lang w:val="en-GB"/>
              </w:rPr>
            </w:pPr>
            <w:r>
              <w:rPr>
                <w:szCs w:val="20"/>
                <w:lang w:val="en-GB"/>
              </w:rPr>
              <w:t>Noted</w:t>
            </w:r>
          </w:p>
        </w:tc>
      </w:tr>
      <w:tr w:rsidR="005023A8" w:rsidRPr="003A569C" w:rsidTr="005023A8">
        <w:tc>
          <w:tcPr>
            <w:tcW w:w="1420" w:type="dxa"/>
          </w:tcPr>
          <w:p w:rsidR="005023A8" w:rsidRPr="00E95710" w:rsidRDefault="00E95710" w:rsidP="00131490">
            <w:pPr>
              <w:pStyle w:val="BodyTextNoSpacing"/>
              <w:rPr>
                <w:szCs w:val="20"/>
                <w:lang w:val="en-GB"/>
              </w:rPr>
            </w:pPr>
            <w:r>
              <w:rPr>
                <w:szCs w:val="20"/>
                <w:lang w:val="en-GB"/>
              </w:rPr>
              <w:t>WPD</w:t>
            </w:r>
          </w:p>
        </w:tc>
        <w:tc>
          <w:tcPr>
            <w:tcW w:w="1728" w:type="dxa"/>
          </w:tcPr>
          <w:p w:rsidR="005023A8" w:rsidRPr="00E95710" w:rsidRDefault="00E95710" w:rsidP="00131490">
            <w:pPr>
              <w:pStyle w:val="BodyTextNoSpacing"/>
              <w:rPr>
                <w:szCs w:val="20"/>
                <w:lang w:val="en-GB"/>
              </w:rPr>
            </w:pPr>
            <w:r>
              <w:rPr>
                <w:szCs w:val="20"/>
                <w:lang w:val="en-GB"/>
              </w:rPr>
              <w:t>Non-confidential</w:t>
            </w:r>
          </w:p>
        </w:tc>
        <w:tc>
          <w:tcPr>
            <w:tcW w:w="7087" w:type="dxa"/>
          </w:tcPr>
          <w:p w:rsidR="005023A8" w:rsidRPr="00E95710" w:rsidRDefault="00E95710" w:rsidP="00131490">
            <w:pPr>
              <w:pStyle w:val="BodyTextNoSpacing"/>
              <w:rPr>
                <w:szCs w:val="20"/>
                <w:lang w:val="en-GB"/>
              </w:rPr>
            </w:pPr>
            <w:r>
              <w:rPr>
                <w:szCs w:val="20"/>
                <w:lang w:val="en-GB"/>
              </w:rPr>
              <w:t>The SCR and CDCM review group could impact this.</w:t>
            </w:r>
          </w:p>
        </w:tc>
        <w:tc>
          <w:tcPr>
            <w:tcW w:w="3686" w:type="dxa"/>
          </w:tcPr>
          <w:p w:rsidR="005023A8" w:rsidRPr="00BC556E" w:rsidRDefault="00A659D5" w:rsidP="00131490">
            <w:pPr>
              <w:pStyle w:val="BodyTextNoSpacing"/>
              <w:rPr>
                <w:szCs w:val="20"/>
                <w:lang w:val="en-GB"/>
              </w:rPr>
            </w:pPr>
            <w:r>
              <w:rPr>
                <w:szCs w:val="20"/>
                <w:lang w:val="en-GB"/>
              </w:rPr>
              <w:t>Noted</w:t>
            </w:r>
          </w:p>
        </w:tc>
      </w:tr>
      <w:tr w:rsidR="005023A8" w:rsidRPr="003A569C" w:rsidTr="005023A8">
        <w:tc>
          <w:tcPr>
            <w:tcW w:w="1420" w:type="dxa"/>
          </w:tcPr>
          <w:p w:rsidR="005023A8" w:rsidRPr="008F0738" w:rsidRDefault="008F0738" w:rsidP="00131490">
            <w:pPr>
              <w:pStyle w:val="BodyTextNoSpacing"/>
              <w:rPr>
                <w:szCs w:val="20"/>
                <w:lang w:val="en-GB"/>
              </w:rPr>
            </w:pPr>
            <w:r>
              <w:rPr>
                <w:szCs w:val="20"/>
                <w:lang w:val="en-GB"/>
              </w:rPr>
              <w:t>Electricity North West</w:t>
            </w:r>
          </w:p>
        </w:tc>
        <w:tc>
          <w:tcPr>
            <w:tcW w:w="1728" w:type="dxa"/>
          </w:tcPr>
          <w:p w:rsidR="005023A8" w:rsidRPr="008F0738" w:rsidRDefault="008F0738" w:rsidP="00131490">
            <w:pPr>
              <w:pStyle w:val="BodyTextNoSpacing"/>
              <w:rPr>
                <w:szCs w:val="20"/>
                <w:lang w:val="en-GB"/>
              </w:rPr>
            </w:pPr>
            <w:r>
              <w:rPr>
                <w:szCs w:val="20"/>
                <w:lang w:val="en-GB"/>
              </w:rPr>
              <w:t>Non-confidential</w:t>
            </w:r>
          </w:p>
        </w:tc>
        <w:tc>
          <w:tcPr>
            <w:tcW w:w="7087" w:type="dxa"/>
          </w:tcPr>
          <w:p w:rsidR="005023A8" w:rsidRPr="008F0738" w:rsidRDefault="008F0738" w:rsidP="00131490">
            <w:pPr>
              <w:pStyle w:val="BodyTextNoSpacing"/>
              <w:rPr>
                <w:szCs w:val="20"/>
                <w:lang w:val="en-GB"/>
              </w:rPr>
            </w:pPr>
            <w:r>
              <w:rPr>
                <w:szCs w:val="20"/>
                <w:lang w:val="en-GB"/>
              </w:rPr>
              <w:t>None beyond those already identified (TCR/SCR).</w:t>
            </w:r>
          </w:p>
        </w:tc>
        <w:tc>
          <w:tcPr>
            <w:tcW w:w="3686" w:type="dxa"/>
          </w:tcPr>
          <w:p w:rsidR="005023A8" w:rsidRPr="00BC556E" w:rsidRDefault="00A659D5" w:rsidP="00131490">
            <w:pPr>
              <w:pStyle w:val="BodyTextNoSpacing"/>
              <w:rPr>
                <w:szCs w:val="20"/>
                <w:lang w:val="en-GB"/>
              </w:rPr>
            </w:pPr>
            <w:r>
              <w:rPr>
                <w:szCs w:val="20"/>
                <w:lang w:val="en-GB"/>
              </w:rPr>
              <w:t>Noted</w:t>
            </w:r>
          </w:p>
        </w:tc>
      </w:tr>
      <w:tr w:rsidR="005023A8" w:rsidRPr="003A569C" w:rsidTr="005023A8">
        <w:tc>
          <w:tcPr>
            <w:tcW w:w="1420" w:type="dxa"/>
          </w:tcPr>
          <w:p w:rsidR="005023A8" w:rsidRPr="001B66BF" w:rsidRDefault="001B66BF" w:rsidP="00131490">
            <w:pPr>
              <w:pStyle w:val="BodyTextNoSpacing"/>
              <w:rPr>
                <w:szCs w:val="20"/>
                <w:lang w:val="en-GB"/>
              </w:rPr>
            </w:pPr>
            <w:r>
              <w:rPr>
                <w:szCs w:val="20"/>
                <w:lang w:val="en-GB"/>
              </w:rPr>
              <w:t>UK Power Networks</w:t>
            </w:r>
          </w:p>
        </w:tc>
        <w:tc>
          <w:tcPr>
            <w:tcW w:w="1728" w:type="dxa"/>
          </w:tcPr>
          <w:p w:rsidR="005023A8" w:rsidRPr="001B66BF" w:rsidRDefault="001B66BF" w:rsidP="00131490">
            <w:pPr>
              <w:pStyle w:val="BodyTextNoSpacing"/>
              <w:rPr>
                <w:szCs w:val="20"/>
                <w:lang w:val="en-GB"/>
              </w:rPr>
            </w:pPr>
            <w:r>
              <w:rPr>
                <w:szCs w:val="20"/>
                <w:lang w:val="en-GB"/>
              </w:rPr>
              <w:t>Non-confidential</w:t>
            </w:r>
          </w:p>
        </w:tc>
        <w:tc>
          <w:tcPr>
            <w:tcW w:w="7087" w:type="dxa"/>
          </w:tcPr>
          <w:p w:rsidR="005023A8" w:rsidRPr="001B66BF" w:rsidRDefault="001B66BF" w:rsidP="00131490">
            <w:pPr>
              <w:pStyle w:val="BodyTextNoSpacing"/>
              <w:rPr>
                <w:szCs w:val="20"/>
                <w:lang w:val="en-GB"/>
              </w:rPr>
            </w:pPr>
            <w:r>
              <w:rPr>
                <w:szCs w:val="20"/>
                <w:lang w:val="en-GB"/>
              </w:rPr>
              <w:t>The potential crossover of work being taken forward under the SCR as mentioned elsewhere in this response.</w:t>
            </w:r>
          </w:p>
        </w:tc>
        <w:tc>
          <w:tcPr>
            <w:tcW w:w="3686" w:type="dxa"/>
          </w:tcPr>
          <w:p w:rsidR="005023A8" w:rsidRPr="00BC556E" w:rsidRDefault="00A659D5" w:rsidP="00131490">
            <w:pPr>
              <w:pStyle w:val="BodyTextNoSpacing"/>
              <w:rPr>
                <w:szCs w:val="20"/>
                <w:lang w:val="en-GB"/>
              </w:rPr>
            </w:pPr>
            <w:r>
              <w:rPr>
                <w:szCs w:val="20"/>
                <w:lang w:val="en-GB"/>
              </w:rPr>
              <w:t>Noted</w:t>
            </w:r>
          </w:p>
        </w:tc>
      </w:tr>
      <w:tr w:rsidR="005023A8" w:rsidRPr="003A569C" w:rsidTr="005023A8">
        <w:tc>
          <w:tcPr>
            <w:tcW w:w="1420" w:type="dxa"/>
          </w:tcPr>
          <w:p w:rsidR="005023A8" w:rsidRPr="003A569C" w:rsidRDefault="000B34E5" w:rsidP="00131490">
            <w:pPr>
              <w:pStyle w:val="BodyTextNoSpacing"/>
              <w:rPr>
                <w:szCs w:val="20"/>
              </w:rPr>
            </w:pPr>
            <w:r>
              <w:rPr>
                <w:szCs w:val="20"/>
                <w:lang w:val="en-GB"/>
              </w:rPr>
              <w:lastRenderedPageBreak/>
              <w:t>The Electricity Network Company Ltd</w:t>
            </w:r>
          </w:p>
        </w:tc>
        <w:tc>
          <w:tcPr>
            <w:tcW w:w="1728" w:type="dxa"/>
          </w:tcPr>
          <w:p w:rsidR="005023A8" w:rsidRPr="000B34E5" w:rsidRDefault="000B34E5" w:rsidP="00131490">
            <w:pPr>
              <w:pStyle w:val="BodyTextNoSpacing"/>
              <w:rPr>
                <w:szCs w:val="20"/>
                <w:lang w:val="en-GB"/>
              </w:rPr>
            </w:pPr>
            <w:r>
              <w:rPr>
                <w:szCs w:val="20"/>
                <w:lang w:val="en-GB"/>
              </w:rPr>
              <w:t>Non-confidential</w:t>
            </w:r>
          </w:p>
        </w:tc>
        <w:tc>
          <w:tcPr>
            <w:tcW w:w="7087" w:type="dxa"/>
          </w:tcPr>
          <w:p w:rsidR="005023A8" w:rsidRPr="000B34E5" w:rsidRDefault="000B34E5" w:rsidP="00131490">
            <w:pPr>
              <w:pStyle w:val="BodyTextNoSpacing"/>
              <w:rPr>
                <w:szCs w:val="20"/>
                <w:lang w:val="en-GB"/>
              </w:rPr>
            </w:pPr>
            <w:r>
              <w:rPr>
                <w:szCs w:val="20"/>
                <w:lang w:val="en-GB"/>
              </w:rPr>
              <w:t>No, although we understand that there may be outputs from the CDCM review or TCR which could, in future, impact on this change proposal.</w:t>
            </w:r>
          </w:p>
        </w:tc>
        <w:tc>
          <w:tcPr>
            <w:tcW w:w="3686" w:type="dxa"/>
          </w:tcPr>
          <w:p w:rsidR="005023A8" w:rsidRPr="00BC556E" w:rsidRDefault="005A2B08" w:rsidP="00131490">
            <w:pPr>
              <w:pStyle w:val="BodyTextNoSpacing"/>
              <w:rPr>
                <w:szCs w:val="20"/>
                <w:lang w:val="en-GB"/>
              </w:rPr>
            </w:pPr>
            <w:r>
              <w:rPr>
                <w:szCs w:val="20"/>
                <w:lang w:val="en-GB"/>
              </w:rPr>
              <w:t>Noted</w:t>
            </w:r>
          </w:p>
        </w:tc>
      </w:tr>
      <w:tr w:rsidR="005023A8" w:rsidRPr="003A569C" w:rsidTr="00A467A4">
        <w:tc>
          <w:tcPr>
            <w:tcW w:w="13921" w:type="dxa"/>
            <w:gridSpan w:val="4"/>
          </w:tcPr>
          <w:p w:rsidR="005023A8" w:rsidRPr="0028568A" w:rsidRDefault="00DC78E6" w:rsidP="00131490">
            <w:pPr>
              <w:pStyle w:val="BodyTextNoSpacing"/>
              <w:rPr>
                <w:szCs w:val="20"/>
                <w:lang w:val="en-GB"/>
              </w:rPr>
            </w:pPr>
            <w:r>
              <w:rPr>
                <w:b/>
                <w:szCs w:val="20"/>
                <w:lang w:val="en-GB"/>
              </w:rPr>
              <w:t>Working Group Conclusions:</w:t>
            </w:r>
            <w:r w:rsidR="0028568A">
              <w:rPr>
                <w:b/>
                <w:szCs w:val="20"/>
                <w:lang w:val="en-GB"/>
              </w:rPr>
              <w:t xml:space="preserve"> </w:t>
            </w:r>
            <w:r w:rsidR="005A2B08">
              <w:rPr>
                <w:szCs w:val="20"/>
                <w:lang w:val="en-GB"/>
              </w:rPr>
              <w:t xml:space="preserve">The Working Group acknowledged all of the </w:t>
            </w:r>
            <w:proofErr w:type="gramStart"/>
            <w:r w:rsidR="005A2B08">
              <w:rPr>
                <w:szCs w:val="20"/>
                <w:lang w:val="en-GB"/>
              </w:rPr>
              <w:t>respondents</w:t>
            </w:r>
            <w:proofErr w:type="gramEnd"/>
            <w:r w:rsidR="005A2B08">
              <w:rPr>
                <w:szCs w:val="20"/>
                <w:lang w:val="en-GB"/>
              </w:rPr>
              <w:t xml:space="preserve"> comments and concluded that the Working Group will review the outcomes of Ofgem’s papers for the CFF to determine if there will be any cross over work with the CFF, SCR or the CDCM/EDCM reviews.</w:t>
            </w:r>
            <w:r w:rsidR="0028568A">
              <w:rPr>
                <w:szCs w:val="20"/>
                <w:lang w:val="en-GB"/>
              </w:rPr>
              <w:t xml:space="preserve"> </w:t>
            </w:r>
          </w:p>
        </w:tc>
      </w:tr>
      <w:bookmarkEnd w:id="9"/>
    </w:tbl>
    <w:p w:rsidR="00131490" w:rsidRPr="003A569C" w:rsidRDefault="00131490">
      <w:pPr>
        <w:rPr>
          <w:rFonts w:ascii="Verdana" w:hAnsi="Verdana"/>
          <w:sz w:val="20"/>
          <w:szCs w:val="20"/>
        </w:rPr>
      </w:pPr>
    </w:p>
    <w:tbl>
      <w:tblPr>
        <w:tblStyle w:val="ElectralinkResponseTable"/>
        <w:tblW w:w="13921" w:type="dxa"/>
        <w:tblInd w:w="108" w:type="dxa"/>
        <w:tblLayout w:type="fixed"/>
        <w:tblLook w:val="04A0" w:firstRow="1" w:lastRow="0" w:firstColumn="1" w:lastColumn="0" w:noHBand="0" w:noVBand="1"/>
      </w:tblPr>
      <w:tblGrid>
        <w:gridCol w:w="1380"/>
        <w:gridCol w:w="1768"/>
        <w:gridCol w:w="6945"/>
        <w:gridCol w:w="3828"/>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380" w:type="dxa"/>
          </w:tcPr>
          <w:p w:rsidR="005023A8" w:rsidRPr="003A569C" w:rsidRDefault="005023A8" w:rsidP="00131490">
            <w:pPr>
              <w:pStyle w:val="ColumnHeading"/>
              <w:rPr>
                <w:szCs w:val="20"/>
              </w:rPr>
            </w:pPr>
            <w:bookmarkStart w:id="10" w:name="dcusa_response11"/>
            <w:r w:rsidRPr="003A569C">
              <w:rPr>
                <w:szCs w:val="20"/>
              </w:rPr>
              <w:t>Company</w:t>
            </w:r>
          </w:p>
        </w:tc>
        <w:tc>
          <w:tcPr>
            <w:tcW w:w="1768"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945" w:type="dxa"/>
          </w:tcPr>
          <w:p w:rsidR="005023A8" w:rsidRPr="003A569C" w:rsidRDefault="00421520" w:rsidP="00131490">
            <w:pPr>
              <w:pStyle w:val="Question"/>
              <w:rPr>
                <w:szCs w:val="20"/>
              </w:rPr>
            </w:pPr>
            <w:r>
              <w:rPr>
                <w:szCs w:val="20"/>
                <w:lang w:val="en-GB"/>
              </w:rPr>
              <w:t>Are there any alternative solutions or unintended consequences that should be considered by the Working Group?</w:t>
            </w:r>
          </w:p>
        </w:tc>
        <w:tc>
          <w:tcPr>
            <w:tcW w:w="3828"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380" w:type="dxa"/>
          </w:tcPr>
          <w:p w:rsidR="005023A8" w:rsidRPr="00C229B5" w:rsidRDefault="00C229B5" w:rsidP="00131490">
            <w:pPr>
              <w:pStyle w:val="BodyTextNoSpacing"/>
              <w:rPr>
                <w:szCs w:val="20"/>
                <w:lang w:val="en-GB"/>
              </w:rPr>
            </w:pPr>
            <w:r>
              <w:rPr>
                <w:szCs w:val="20"/>
                <w:lang w:val="en-GB"/>
              </w:rPr>
              <w:t>ESP Electricity (ESPE)</w:t>
            </w:r>
          </w:p>
        </w:tc>
        <w:tc>
          <w:tcPr>
            <w:tcW w:w="1768" w:type="dxa"/>
          </w:tcPr>
          <w:p w:rsidR="005023A8" w:rsidRPr="00C229B5" w:rsidRDefault="00C229B5" w:rsidP="00131490">
            <w:pPr>
              <w:pStyle w:val="BodyTextNoSpacing"/>
              <w:rPr>
                <w:szCs w:val="20"/>
                <w:lang w:val="en-GB"/>
              </w:rPr>
            </w:pPr>
            <w:r>
              <w:rPr>
                <w:szCs w:val="20"/>
                <w:lang w:val="en-GB"/>
              </w:rPr>
              <w:t>Non-confidential</w:t>
            </w:r>
          </w:p>
        </w:tc>
        <w:tc>
          <w:tcPr>
            <w:tcW w:w="6945" w:type="dxa"/>
          </w:tcPr>
          <w:p w:rsidR="005023A8" w:rsidRPr="00C229B5" w:rsidRDefault="00C229B5" w:rsidP="00131490">
            <w:pPr>
              <w:pStyle w:val="BodyTextNoSpacing"/>
              <w:rPr>
                <w:szCs w:val="20"/>
                <w:lang w:val="en-GB"/>
              </w:rPr>
            </w:pPr>
            <w:r>
              <w:rPr>
                <w:szCs w:val="20"/>
                <w:lang w:val="en-GB"/>
              </w:rPr>
              <w:t>No, ESPE does not believe that there are any alternative solutions or unintended consequences that should be considered.</w:t>
            </w:r>
          </w:p>
        </w:tc>
        <w:tc>
          <w:tcPr>
            <w:tcW w:w="3828" w:type="dxa"/>
          </w:tcPr>
          <w:p w:rsidR="005023A8" w:rsidRPr="005A2B08" w:rsidRDefault="005A2B08" w:rsidP="00131490">
            <w:pPr>
              <w:pStyle w:val="BodyTextNoSpacing"/>
              <w:rPr>
                <w:szCs w:val="20"/>
                <w:lang w:val="en-GB"/>
              </w:rPr>
            </w:pPr>
            <w:r>
              <w:rPr>
                <w:szCs w:val="20"/>
                <w:lang w:val="en-GB"/>
              </w:rPr>
              <w:t>Noted</w:t>
            </w:r>
          </w:p>
        </w:tc>
      </w:tr>
      <w:tr w:rsidR="005023A8" w:rsidRPr="003A569C" w:rsidTr="005023A8">
        <w:tc>
          <w:tcPr>
            <w:tcW w:w="1380" w:type="dxa"/>
          </w:tcPr>
          <w:p w:rsidR="005023A8" w:rsidRPr="006622EE" w:rsidRDefault="006622EE" w:rsidP="00131490">
            <w:pPr>
              <w:pStyle w:val="BodyTextNoSpacing"/>
              <w:rPr>
                <w:szCs w:val="20"/>
                <w:lang w:val="en-GB"/>
              </w:rPr>
            </w:pPr>
            <w:r>
              <w:rPr>
                <w:szCs w:val="20"/>
                <w:lang w:val="en-GB"/>
              </w:rPr>
              <w:t>Northern Powergrid</w:t>
            </w:r>
          </w:p>
        </w:tc>
        <w:tc>
          <w:tcPr>
            <w:tcW w:w="1768" w:type="dxa"/>
          </w:tcPr>
          <w:p w:rsidR="005023A8" w:rsidRPr="006622EE" w:rsidRDefault="006622EE" w:rsidP="00131490">
            <w:pPr>
              <w:pStyle w:val="BodyTextNoSpacing"/>
              <w:rPr>
                <w:szCs w:val="20"/>
                <w:lang w:val="en-GB"/>
              </w:rPr>
            </w:pPr>
            <w:r>
              <w:rPr>
                <w:szCs w:val="20"/>
                <w:lang w:val="en-GB"/>
              </w:rPr>
              <w:t>Non-confidential</w:t>
            </w:r>
          </w:p>
        </w:tc>
        <w:tc>
          <w:tcPr>
            <w:tcW w:w="6945" w:type="dxa"/>
          </w:tcPr>
          <w:p w:rsidR="005023A8" w:rsidRPr="00A77905" w:rsidRDefault="00A77905" w:rsidP="00131490">
            <w:pPr>
              <w:pStyle w:val="BodyTextNoSpacing"/>
              <w:rPr>
                <w:szCs w:val="20"/>
                <w:lang w:val="en-GB"/>
              </w:rPr>
            </w:pPr>
            <w:r>
              <w:rPr>
                <w:szCs w:val="20"/>
                <w:lang w:val="en-GB"/>
              </w:rPr>
              <w:t xml:space="preserve">Nothing that has not been raised in answering the previous questions. </w:t>
            </w:r>
          </w:p>
        </w:tc>
        <w:tc>
          <w:tcPr>
            <w:tcW w:w="3828" w:type="dxa"/>
          </w:tcPr>
          <w:p w:rsidR="005023A8" w:rsidRPr="00657FCF" w:rsidRDefault="005A2B08" w:rsidP="00131490">
            <w:pPr>
              <w:pStyle w:val="BodyTextNoSpacing"/>
              <w:rPr>
                <w:szCs w:val="20"/>
                <w:lang w:val="en-GB"/>
              </w:rPr>
            </w:pPr>
            <w:r>
              <w:rPr>
                <w:szCs w:val="20"/>
                <w:lang w:val="en-GB"/>
              </w:rPr>
              <w:t>Noted</w:t>
            </w:r>
          </w:p>
        </w:tc>
      </w:tr>
      <w:tr w:rsidR="005023A8" w:rsidRPr="003A569C" w:rsidTr="005023A8">
        <w:tc>
          <w:tcPr>
            <w:tcW w:w="1380" w:type="dxa"/>
          </w:tcPr>
          <w:p w:rsidR="005023A8" w:rsidRPr="00E95710" w:rsidRDefault="00E95710" w:rsidP="00131490">
            <w:pPr>
              <w:pStyle w:val="BodyTextNoSpacing"/>
              <w:rPr>
                <w:szCs w:val="20"/>
                <w:lang w:val="en-GB"/>
              </w:rPr>
            </w:pPr>
            <w:r>
              <w:rPr>
                <w:szCs w:val="20"/>
                <w:lang w:val="en-GB"/>
              </w:rPr>
              <w:t xml:space="preserve">WPD </w:t>
            </w:r>
          </w:p>
        </w:tc>
        <w:tc>
          <w:tcPr>
            <w:tcW w:w="1768" w:type="dxa"/>
          </w:tcPr>
          <w:p w:rsidR="005023A8" w:rsidRPr="00E95710" w:rsidRDefault="00E95710" w:rsidP="00131490">
            <w:pPr>
              <w:pStyle w:val="BodyTextNoSpacing"/>
              <w:rPr>
                <w:szCs w:val="20"/>
                <w:lang w:val="en-GB"/>
              </w:rPr>
            </w:pPr>
            <w:r>
              <w:rPr>
                <w:szCs w:val="20"/>
                <w:lang w:val="en-GB"/>
              </w:rPr>
              <w:t xml:space="preserve">Non-confidential </w:t>
            </w:r>
          </w:p>
        </w:tc>
        <w:tc>
          <w:tcPr>
            <w:tcW w:w="6945" w:type="dxa"/>
          </w:tcPr>
          <w:p w:rsidR="005023A8" w:rsidRPr="00E95710" w:rsidRDefault="00E95710" w:rsidP="00131490">
            <w:pPr>
              <w:pStyle w:val="BodyTextNoSpacing"/>
              <w:rPr>
                <w:szCs w:val="20"/>
                <w:lang w:val="en-GB"/>
              </w:rPr>
            </w:pPr>
            <w:r>
              <w:rPr>
                <w:szCs w:val="20"/>
                <w:lang w:val="en-GB"/>
              </w:rPr>
              <w:t>None</w:t>
            </w:r>
          </w:p>
        </w:tc>
        <w:tc>
          <w:tcPr>
            <w:tcW w:w="3828" w:type="dxa"/>
          </w:tcPr>
          <w:p w:rsidR="005023A8" w:rsidRPr="00657FCF" w:rsidRDefault="005A2B08" w:rsidP="00131490">
            <w:pPr>
              <w:pStyle w:val="BodyTextNoSpacing"/>
              <w:rPr>
                <w:szCs w:val="20"/>
                <w:lang w:val="en-GB"/>
              </w:rPr>
            </w:pPr>
            <w:r>
              <w:rPr>
                <w:szCs w:val="20"/>
                <w:lang w:val="en-GB"/>
              </w:rPr>
              <w:t>Noted</w:t>
            </w:r>
          </w:p>
        </w:tc>
      </w:tr>
      <w:tr w:rsidR="005023A8" w:rsidRPr="003A569C" w:rsidTr="005023A8">
        <w:tc>
          <w:tcPr>
            <w:tcW w:w="1380" w:type="dxa"/>
          </w:tcPr>
          <w:p w:rsidR="005023A8" w:rsidRPr="008F0738" w:rsidRDefault="008F0738" w:rsidP="00131490">
            <w:pPr>
              <w:pStyle w:val="BodyTextNoSpacing"/>
              <w:rPr>
                <w:szCs w:val="20"/>
                <w:lang w:val="en-GB"/>
              </w:rPr>
            </w:pPr>
            <w:r>
              <w:rPr>
                <w:szCs w:val="20"/>
                <w:lang w:val="en-GB"/>
              </w:rPr>
              <w:t>Electricity North West</w:t>
            </w:r>
          </w:p>
        </w:tc>
        <w:tc>
          <w:tcPr>
            <w:tcW w:w="1768" w:type="dxa"/>
          </w:tcPr>
          <w:p w:rsidR="005023A8" w:rsidRPr="008F0738" w:rsidRDefault="008F0738" w:rsidP="00131490">
            <w:pPr>
              <w:pStyle w:val="BodyTextNoSpacing"/>
              <w:rPr>
                <w:szCs w:val="20"/>
                <w:lang w:val="en-GB"/>
              </w:rPr>
            </w:pPr>
            <w:r>
              <w:rPr>
                <w:szCs w:val="20"/>
                <w:lang w:val="en-GB"/>
              </w:rPr>
              <w:t>Non-confidential</w:t>
            </w:r>
          </w:p>
        </w:tc>
        <w:tc>
          <w:tcPr>
            <w:tcW w:w="6945" w:type="dxa"/>
          </w:tcPr>
          <w:p w:rsidR="005023A8" w:rsidRPr="008F0738" w:rsidRDefault="008F0738" w:rsidP="00131490">
            <w:pPr>
              <w:pStyle w:val="BodyTextNoSpacing"/>
              <w:rPr>
                <w:szCs w:val="20"/>
                <w:lang w:val="en-GB"/>
              </w:rPr>
            </w:pPr>
            <w:r>
              <w:rPr>
                <w:szCs w:val="20"/>
                <w:lang w:val="en-GB"/>
              </w:rPr>
              <w:t xml:space="preserve">None that we have identified </w:t>
            </w:r>
            <w:proofErr w:type="gramStart"/>
            <w:r>
              <w:rPr>
                <w:szCs w:val="20"/>
                <w:lang w:val="en-GB"/>
              </w:rPr>
              <w:t>at this time</w:t>
            </w:r>
            <w:proofErr w:type="gramEnd"/>
            <w:r>
              <w:rPr>
                <w:szCs w:val="20"/>
                <w:lang w:val="en-GB"/>
              </w:rPr>
              <w:t>.</w:t>
            </w:r>
          </w:p>
        </w:tc>
        <w:tc>
          <w:tcPr>
            <w:tcW w:w="3828" w:type="dxa"/>
          </w:tcPr>
          <w:p w:rsidR="005023A8" w:rsidRPr="005A2B08" w:rsidRDefault="005A2B08" w:rsidP="00131490">
            <w:pPr>
              <w:pStyle w:val="BodyTextNoSpacing"/>
              <w:rPr>
                <w:szCs w:val="20"/>
                <w:lang w:val="en-GB"/>
              </w:rPr>
            </w:pPr>
            <w:r>
              <w:rPr>
                <w:szCs w:val="20"/>
                <w:lang w:val="en-GB"/>
              </w:rPr>
              <w:t>Noted</w:t>
            </w:r>
          </w:p>
        </w:tc>
      </w:tr>
      <w:tr w:rsidR="005023A8" w:rsidRPr="003A569C" w:rsidTr="005023A8">
        <w:tc>
          <w:tcPr>
            <w:tcW w:w="1380" w:type="dxa"/>
          </w:tcPr>
          <w:p w:rsidR="005023A8" w:rsidRPr="001B66BF" w:rsidRDefault="001B66BF" w:rsidP="00131490">
            <w:pPr>
              <w:pStyle w:val="BodyTextNoSpacing"/>
              <w:rPr>
                <w:szCs w:val="20"/>
                <w:lang w:val="en-GB"/>
              </w:rPr>
            </w:pPr>
            <w:r>
              <w:rPr>
                <w:szCs w:val="20"/>
                <w:lang w:val="en-GB"/>
              </w:rPr>
              <w:t>UK Power Networks</w:t>
            </w:r>
          </w:p>
        </w:tc>
        <w:tc>
          <w:tcPr>
            <w:tcW w:w="1768" w:type="dxa"/>
          </w:tcPr>
          <w:p w:rsidR="005023A8" w:rsidRPr="001B66BF" w:rsidRDefault="001B66BF" w:rsidP="00131490">
            <w:pPr>
              <w:pStyle w:val="BodyTextNoSpacing"/>
              <w:rPr>
                <w:szCs w:val="20"/>
                <w:lang w:val="en-GB"/>
              </w:rPr>
            </w:pPr>
            <w:r>
              <w:rPr>
                <w:szCs w:val="20"/>
                <w:lang w:val="en-GB"/>
              </w:rPr>
              <w:t>Non-confidential</w:t>
            </w:r>
          </w:p>
        </w:tc>
        <w:tc>
          <w:tcPr>
            <w:tcW w:w="6945" w:type="dxa"/>
          </w:tcPr>
          <w:p w:rsidR="005023A8" w:rsidRPr="001B66BF" w:rsidRDefault="001B66BF" w:rsidP="00131490">
            <w:pPr>
              <w:pStyle w:val="BodyTextNoSpacing"/>
              <w:rPr>
                <w:szCs w:val="20"/>
                <w:lang w:val="en-GB"/>
              </w:rPr>
            </w:pPr>
            <w:r>
              <w:rPr>
                <w:szCs w:val="20"/>
                <w:lang w:val="en-GB"/>
              </w:rPr>
              <w:t xml:space="preserve">As mentioned in the response to Q6 all costs not currently included such as the costs of DCC etc should be considered </w:t>
            </w:r>
            <w:proofErr w:type="gramStart"/>
            <w:r>
              <w:rPr>
                <w:szCs w:val="20"/>
                <w:lang w:val="en-GB"/>
              </w:rPr>
              <w:t>at this time</w:t>
            </w:r>
            <w:proofErr w:type="gramEnd"/>
            <w:r>
              <w:rPr>
                <w:szCs w:val="20"/>
                <w:lang w:val="en-GB"/>
              </w:rPr>
              <w:t xml:space="preserve"> and dealt with on a consistent basis to the Ofgem Licence fees. We also believe that the working group needs to understand what would be the most cost reflective way of recovering the licence fees? What is the driver for the costs – are they </w:t>
            </w:r>
            <w:proofErr w:type="gramStart"/>
            <w:r>
              <w:rPr>
                <w:szCs w:val="20"/>
                <w:lang w:val="en-GB"/>
              </w:rPr>
              <w:t xml:space="preserve">actually </w:t>
            </w:r>
            <w:r>
              <w:rPr>
                <w:szCs w:val="20"/>
                <w:lang w:val="en-GB"/>
              </w:rPr>
              <w:lastRenderedPageBreak/>
              <w:t>proportional</w:t>
            </w:r>
            <w:proofErr w:type="gramEnd"/>
            <w:r>
              <w:rPr>
                <w:szCs w:val="20"/>
                <w:lang w:val="en-GB"/>
              </w:rPr>
              <w:t xml:space="preserve"> to the number of customers? Once this is known and understood then the correct solution can be determined.</w:t>
            </w:r>
          </w:p>
        </w:tc>
        <w:tc>
          <w:tcPr>
            <w:tcW w:w="3828" w:type="dxa"/>
          </w:tcPr>
          <w:p w:rsidR="005023A8" w:rsidRPr="00657FCF" w:rsidRDefault="005A2B08" w:rsidP="00131490">
            <w:pPr>
              <w:pStyle w:val="BodyTextNoSpacing"/>
              <w:rPr>
                <w:szCs w:val="20"/>
                <w:lang w:val="en-GB"/>
              </w:rPr>
            </w:pPr>
            <w:r>
              <w:rPr>
                <w:szCs w:val="20"/>
                <w:lang w:val="en-GB"/>
              </w:rPr>
              <w:lastRenderedPageBreak/>
              <w:t>Noted</w:t>
            </w:r>
          </w:p>
        </w:tc>
      </w:tr>
      <w:tr w:rsidR="005023A8" w:rsidRPr="003A569C" w:rsidTr="005023A8">
        <w:tc>
          <w:tcPr>
            <w:tcW w:w="1380" w:type="dxa"/>
          </w:tcPr>
          <w:p w:rsidR="005023A8" w:rsidRPr="003A569C" w:rsidRDefault="000B34E5" w:rsidP="00131490">
            <w:pPr>
              <w:pStyle w:val="BodyTextNoSpacing"/>
              <w:rPr>
                <w:szCs w:val="20"/>
              </w:rPr>
            </w:pPr>
            <w:r>
              <w:rPr>
                <w:szCs w:val="20"/>
                <w:lang w:val="en-GB"/>
              </w:rPr>
              <w:t>The Electricity Network Company Ltd</w:t>
            </w:r>
          </w:p>
        </w:tc>
        <w:tc>
          <w:tcPr>
            <w:tcW w:w="1768" w:type="dxa"/>
          </w:tcPr>
          <w:p w:rsidR="005023A8" w:rsidRPr="000B34E5" w:rsidRDefault="000B34E5" w:rsidP="00131490">
            <w:pPr>
              <w:pStyle w:val="BodyTextNoSpacing"/>
              <w:rPr>
                <w:szCs w:val="20"/>
                <w:lang w:val="en-GB"/>
              </w:rPr>
            </w:pPr>
            <w:r>
              <w:rPr>
                <w:szCs w:val="20"/>
                <w:lang w:val="en-GB"/>
              </w:rPr>
              <w:t>Non-confidential</w:t>
            </w:r>
          </w:p>
        </w:tc>
        <w:tc>
          <w:tcPr>
            <w:tcW w:w="6945" w:type="dxa"/>
          </w:tcPr>
          <w:p w:rsidR="005023A8" w:rsidRPr="00DC78E6" w:rsidRDefault="00DC78E6" w:rsidP="00131490">
            <w:pPr>
              <w:pStyle w:val="BodyTextNoSpacing"/>
              <w:rPr>
                <w:szCs w:val="20"/>
                <w:lang w:val="en-GB"/>
              </w:rPr>
            </w:pPr>
            <w:r>
              <w:rPr>
                <w:szCs w:val="20"/>
                <w:lang w:val="en-GB"/>
              </w:rPr>
              <w:t>No</w:t>
            </w:r>
          </w:p>
        </w:tc>
        <w:tc>
          <w:tcPr>
            <w:tcW w:w="3828" w:type="dxa"/>
          </w:tcPr>
          <w:p w:rsidR="005023A8" w:rsidRPr="00657FCF" w:rsidRDefault="005A2B08" w:rsidP="00131490">
            <w:pPr>
              <w:pStyle w:val="BodyTextNoSpacing"/>
              <w:rPr>
                <w:szCs w:val="20"/>
                <w:lang w:val="en-GB"/>
              </w:rPr>
            </w:pPr>
            <w:r>
              <w:rPr>
                <w:szCs w:val="20"/>
                <w:lang w:val="en-GB"/>
              </w:rPr>
              <w:t>Noted</w:t>
            </w:r>
          </w:p>
        </w:tc>
      </w:tr>
      <w:tr w:rsidR="005023A8" w:rsidRPr="003A569C" w:rsidTr="00A467A4">
        <w:tc>
          <w:tcPr>
            <w:tcW w:w="13921" w:type="dxa"/>
            <w:gridSpan w:val="4"/>
          </w:tcPr>
          <w:p w:rsidR="005023A8" w:rsidRPr="0028568A" w:rsidRDefault="00DC78E6" w:rsidP="00131490">
            <w:pPr>
              <w:pStyle w:val="BodyTextNoSpacing"/>
              <w:rPr>
                <w:szCs w:val="20"/>
                <w:lang w:val="en-GB"/>
              </w:rPr>
            </w:pPr>
            <w:r>
              <w:rPr>
                <w:b/>
                <w:szCs w:val="20"/>
                <w:lang w:val="en-GB"/>
              </w:rPr>
              <w:t>Working Group Conclusions:</w:t>
            </w:r>
            <w:r w:rsidR="0028568A">
              <w:rPr>
                <w:b/>
                <w:szCs w:val="20"/>
                <w:lang w:val="en-GB"/>
              </w:rPr>
              <w:t xml:space="preserve"> </w:t>
            </w:r>
            <w:r w:rsidR="005A2B08">
              <w:rPr>
                <w:szCs w:val="20"/>
                <w:lang w:val="en-GB"/>
              </w:rPr>
              <w:t>The Working Group noted that all respondents believe that there are no alternative solutions or unintended consequences.</w:t>
            </w:r>
            <w:r w:rsidR="0028568A">
              <w:rPr>
                <w:szCs w:val="20"/>
                <w:lang w:val="en-GB"/>
              </w:rPr>
              <w:t xml:space="preserve"> </w:t>
            </w:r>
          </w:p>
        </w:tc>
      </w:tr>
      <w:bookmarkEnd w:id="10"/>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11"/>
        <w:gridCol w:w="1778"/>
        <w:gridCol w:w="6804"/>
        <w:gridCol w:w="3747"/>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511" w:type="dxa"/>
          </w:tcPr>
          <w:p w:rsidR="005023A8" w:rsidRPr="003A569C" w:rsidRDefault="005023A8" w:rsidP="00131490">
            <w:pPr>
              <w:pStyle w:val="ColumnHeading"/>
              <w:rPr>
                <w:szCs w:val="20"/>
              </w:rPr>
            </w:pPr>
            <w:bookmarkStart w:id="11" w:name="dcusa_response12"/>
            <w:r w:rsidRPr="003A569C">
              <w:rPr>
                <w:szCs w:val="20"/>
              </w:rPr>
              <w:t>Company</w:t>
            </w:r>
          </w:p>
        </w:tc>
        <w:tc>
          <w:tcPr>
            <w:tcW w:w="1778"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804" w:type="dxa"/>
          </w:tcPr>
          <w:p w:rsidR="005023A8" w:rsidRPr="003A569C" w:rsidRDefault="00421520" w:rsidP="00131490">
            <w:pPr>
              <w:pStyle w:val="Question"/>
              <w:rPr>
                <w:szCs w:val="20"/>
              </w:rPr>
            </w:pPr>
            <w:r>
              <w:rPr>
                <w:szCs w:val="20"/>
                <w:lang w:val="en-GB"/>
              </w:rPr>
              <w:t>The proposed implementation date for DCP 306 is 01 April 2020. Do you agree with the proposed implementation date?</w:t>
            </w:r>
          </w:p>
        </w:tc>
        <w:tc>
          <w:tcPr>
            <w:tcW w:w="3747"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511" w:type="dxa"/>
          </w:tcPr>
          <w:p w:rsidR="005023A8" w:rsidRPr="00C229B5" w:rsidRDefault="00C229B5" w:rsidP="00131490">
            <w:pPr>
              <w:pStyle w:val="BodyTextNoSpacing"/>
              <w:rPr>
                <w:szCs w:val="20"/>
                <w:lang w:val="en-GB"/>
              </w:rPr>
            </w:pPr>
            <w:r>
              <w:rPr>
                <w:szCs w:val="20"/>
                <w:lang w:val="en-GB"/>
              </w:rPr>
              <w:t>ESP Electricity (ESPE)</w:t>
            </w:r>
          </w:p>
        </w:tc>
        <w:tc>
          <w:tcPr>
            <w:tcW w:w="1778" w:type="dxa"/>
          </w:tcPr>
          <w:p w:rsidR="005023A8" w:rsidRPr="00C229B5" w:rsidRDefault="00C229B5" w:rsidP="00131490">
            <w:pPr>
              <w:pStyle w:val="BodyTextNoSpacing"/>
              <w:rPr>
                <w:szCs w:val="20"/>
                <w:lang w:val="en-GB"/>
              </w:rPr>
            </w:pPr>
            <w:r>
              <w:rPr>
                <w:szCs w:val="20"/>
                <w:lang w:val="en-GB"/>
              </w:rPr>
              <w:t>Non-confidential</w:t>
            </w:r>
          </w:p>
        </w:tc>
        <w:tc>
          <w:tcPr>
            <w:tcW w:w="6804" w:type="dxa"/>
          </w:tcPr>
          <w:p w:rsidR="005023A8" w:rsidRPr="00C229B5" w:rsidRDefault="00C229B5" w:rsidP="00131490">
            <w:pPr>
              <w:pStyle w:val="BodyTextNoSpacing"/>
              <w:rPr>
                <w:szCs w:val="20"/>
                <w:lang w:val="en-GB"/>
              </w:rPr>
            </w:pPr>
            <w:r>
              <w:rPr>
                <w:szCs w:val="20"/>
                <w:lang w:val="en-GB"/>
              </w:rPr>
              <w:t>Yes, ESPE agrees with the proposed implementation date.</w:t>
            </w:r>
          </w:p>
        </w:tc>
        <w:tc>
          <w:tcPr>
            <w:tcW w:w="3747" w:type="dxa"/>
          </w:tcPr>
          <w:p w:rsidR="005023A8" w:rsidRPr="005A2B08" w:rsidRDefault="005A2B08" w:rsidP="00131490">
            <w:pPr>
              <w:pStyle w:val="BodyTextNoSpacing"/>
              <w:rPr>
                <w:szCs w:val="20"/>
                <w:lang w:val="en-GB"/>
              </w:rPr>
            </w:pPr>
            <w:r>
              <w:rPr>
                <w:szCs w:val="20"/>
                <w:lang w:val="en-GB"/>
              </w:rPr>
              <w:t>Noted</w:t>
            </w:r>
          </w:p>
        </w:tc>
      </w:tr>
      <w:tr w:rsidR="005023A8" w:rsidRPr="003A569C" w:rsidTr="005023A8">
        <w:tc>
          <w:tcPr>
            <w:tcW w:w="1511" w:type="dxa"/>
          </w:tcPr>
          <w:p w:rsidR="005023A8" w:rsidRPr="00A77905" w:rsidRDefault="00A77905" w:rsidP="00131490">
            <w:pPr>
              <w:pStyle w:val="BodyTextNoSpacing"/>
              <w:rPr>
                <w:szCs w:val="20"/>
                <w:lang w:val="en-GB"/>
              </w:rPr>
            </w:pPr>
            <w:r>
              <w:rPr>
                <w:szCs w:val="20"/>
                <w:lang w:val="en-GB"/>
              </w:rPr>
              <w:t>Northern Powergrid</w:t>
            </w:r>
          </w:p>
        </w:tc>
        <w:tc>
          <w:tcPr>
            <w:tcW w:w="1778" w:type="dxa"/>
          </w:tcPr>
          <w:p w:rsidR="005023A8" w:rsidRPr="00A77905" w:rsidRDefault="00A77905" w:rsidP="00131490">
            <w:pPr>
              <w:pStyle w:val="BodyTextNoSpacing"/>
              <w:rPr>
                <w:szCs w:val="20"/>
                <w:lang w:val="en-GB"/>
              </w:rPr>
            </w:pPr>
            <w:r>
              <w:rPr>
                <w:szCs w:val="20"/>
                <w:lang w:val="en-GB"/>
              </w:rPr>
              <w:t>Non-confidential</w:t>
            </w:r>
          </w:p>
        </w:tc>
        <w:tc>
          <w:tcPr>
            <w:tcW w:w="6804" w:type="dxa"/>
          </w:tcPr>
          <w:p w:rsidR="005023A8" w:rsidRPr="00A77905" w:rsidRDefault="00A77905" w:rsidP="00131490">
            <w:pPr>
              <w:pStyle w:val="BodyTextNoSpacing"/>
              <w:rPr>
                <w:szCs w:val="20"/>
                <w:lang w:val="en-GB"/>
              </w:rPr>
            </w:pPr>
            <w:r>
              <w:rPr>
                <w:szCs w:val="20"/>
                <w:lang w:val="en-GB"/>
              </w:rPr>
              <w:t>In isolation yes, but we retain the view that this change should be considered in a wider review to avoid introducing distortions between the CDCM and PCDM, and acknowledge that an implementation date could therefore be later than 1 April 2020. We feel that the distortions avoided by implementing this change concurrently with other related changes justify the potential later implementation date.</w:t>
            </w:r>
          </w:p>
        </w:tc>
        <w:tc>
          <w:tcPr>
            <w:tcW w:w="3747" w:type="dxa"/>
          </w:tcPr>
          <w:p w:rsidR="005023A8" w:rsidRPr="00657FCF" w:rsidRDefault="005A2B08" w:rsidP="00131490">
            <w:pPr>
              <w:pStyle w:val="BodyTextNoSpacing"/>
              <w:rPr>
                <w:szCs w:val="20"/>
                <w:lang w:val="en-GB"/>
              </w:rPr>
            </w:pPr>
            <w:r>
              <w:rPr>
                <w:szCs w:val="20"/>
                <w:lang w:val="en-GB"/>
              </w:rPr>
              <w:t>The Working Group acknowledged the NPG response.</w:t>
            </w:r>
          </w:p>
        </w:tc>
      </w:tr>
      <w:tr w:rsidR="005023A8" w:rsidRPr="003A569C" w:rsidTr="005023A8">
        <w:tc>
          <w:tcPr>
            <w:tcW w:w="1511" w:type="dxa"/>
          </w:tcPr>
          <w:p w:rsidR="005023A8" w:rsidRPr="00E95710" w:rsidRDefault="00E95710" w:rsidP="00131490">
            <w:pPr>
              <w:pStyle w:val="BodyTextNoSpacing"/>
              <w:rPr>
                <w:szCs w:val="20"/>
                <w:lang w:val="en-GB"/>
              </w:rPr>
            </w:pPr>
            <w:r>
              <w:rPr>
                <w:szCs w:val="20"/>
                <w:lang w:val="en-GB"/>
              </w:rPr>
              <w:t>WPD</w:t>
            </w:r>
          </w:p>
        </w:tc>
        <w:tc>
          <w:tcPr>
            <w:tcW w:w="1778" w:type="dxa"/>
          </w:tcPr>
          <w:p w:rsidR="005023A8" w:rsidRPr="00E95710" w:rsidRDefault="00E95710" w:rsidP="00131490">
            <w:pPr>
              <w:pStyle w:val="BodyTextNoSpacing"/>
              <w:rPr>
                <w:szCs w:val="20"/>
                <w:lang w:val="en-GB"/>
              </w:rPr>
            </w:pPr>
            <w:r>
              <w:rPr>
                <w:szCs w:val="20"/>
                <w:lang w:val="en-GB"/>
              </w:rPr>
              <w:t>Non-confidential</w:t>
            </w:r>
          </w:p>
        </w:tc>
        <w:tc>
          <w:tcPr>
            <w:tcW w:w="6804" w:type="dxa"/>
          </w:tcPr>
          <w:p w:rsidR="005023A8" w:rsidRPr="00E95710" w:rsidRDefault="00E95710" w:rsidP="00131490">
            <w:pPr>
              <w:pStyle w:val="BodyTextNoSpacing"/>
              <w:rPr>
                <w:szCs w:val="20"/>
                <w:lang w:val="en-GB"/>
              </w:rPr>
            </w:pPr>
            <w:r>
              <w:rPr>
                <w:szCs w:val="20"/>
                <w:lang w:val="en-GB"/>
              </w:rPr>
              <w:t xml:space="preserve">Yes </w:t>
            </w:r>
          </w:p>
        </w:tc>
        <w:tc>
          <w:tcPr>
            <w:tcW w:w="3747" w:type="dxa"/>
          </w:tcPr>
          <w:p w:rsidR="005023A8" w:rsidRPr="005A2B08" w:rsidRDefault="005A2B08" w:rsidP="00131490">
            <w:pPr>
              <w:pStyle w:val="BodyTextNoSpacing"/>
              <w:rPr>
                <w:szCs w:val="20"/>
                <w:lang w:val="en-GB"/>
              </w:rPr>
            </w:pPr>
            <w:r>
              <w:rPr>
                <w:szCs w:val="20"/>
                <w:lang w:val="en-GB"/>
              </w:rPr>
              <w:t>Noted</w:t>
            </w:r>
          </w:p>
        </w:tc>
      </w:tr>
      <w:tr w:rsidR="005023A8" w:rsidRPr="003A569C" w:rsidTr="005023A8">
        <w:tc>
          <w:tcPr>
            <w:tcW w:w="1511" w:type="dxa"/>
          </w:tcPr>
          <w:p w:rsidR="005023A8" w:rsidRPr="008F0738" w:rsidRDefault="008F0738" w:rsidP="00131490">
            <w:pPr>
              <w:pStyle w:val="BodyTextNoSpacing"/>
              <w:rPr>
                <w:szCs w:val="20"/>
                <w:lang w:val="en-GB"/>
              </w:rPr>
            </w:pPr>
            <w:r>
              <w:rPr>
                <w:szCs w:val="20"/>
                <w:lang w:val="en-GB"/>
              </w:rPr>
              <w:t>Electricity North West</w:t>
            </w:r>
          </w:p>
        </w:tc>
        <w:tc>
          <w:tcPr>
            <w:tcW w:w="1778" w:type="dxa"/>
          </w:tcPr>
          <w:p w:rsidR="005023A8" w:rsidRPr="008F0738" w:rsidRDefault="008F0738" w:rsidP="00131490">
            <w:pPr>
              <w:pStyle w:val="BodyTextNoSpacing"/>
              <w:rPr>
                <w:szCs w:val="20"/>
                <w:lang w:val="en-GB"/>
              </w:rPr>
            </w:pPr>
            <w:r>
              <w:rPr>
                <w:szCs w:val="20"/>
                <w:lang w:val="en-GB"/>
              </w:rPr>
              <w:t>Non-confidential</w:t>
            </w:r>
          </w:p>
        </w:tc>
        <w:tc>
          <w:tcPr>
            <w:tcW w:w="6804" w:type="dxa"/>
          </w:tcPr>
          <w:p w:rsidR="005023A8" w:rsidRPr="008F0738" w:rsidRDefault="008F0738" w:rsidP="00131490">
            <w:pPr>
              <w:pStyle w:val="BodyTextNoSpacing"/>
              <w:rPr>
                <w:szCs w:val="20"/>
                <w:lang w:val="en-GB"/>
              </w:rPr>
            </w:pPr>
            <w:r>
              <w:rPr>
                <w:szCs w:val="20"/>
                <w:lang w:val="en-GB"/>
              </w:rPr>
              <w:t xml:space="preserve">If the proposal is accepted this date would be acceptable. We anticipate that the changes to the model would be </w:t>
            </w:r>
            <w:r>
              <w:rPr>
                <w:szCs w:val="20"/>
                <w:lang w:val="en-GB"/>
              </w:rPr>
              <w:lastRenderedPageBreak/>
              <w:t>straightforward and not require substantial changes to the model inputs.</w:t>
            </w:r>
          </w:p>
        </w:tc>
        <w:tc>
          <w:tcPr>
            <w:tcW w:w="3747" w:type="dxa"/>
          </w:tcPr>
          <w:p w:rsidR="005023A8" w:rsidRPr="005A2B08" w:rsidRDefault="005A2B08" w:rsidP="00131490">
            <w:pPr>
              <w:pStyle w:val="BodyTextNoSpacing"/>
              <w:rPr>
                <w:szCs w:val="20"/>
                <w:lang w:val="en-GB"/>
              </w:rPr>
            </w:pPr>
            <w:r>
              <w:rPr>
                <w:szCs w:val="20"/>
                <w:lang w:val="en-GB"/>
              </w:rPr>
              <w:lastRenderedPageBreak/>
              <w:t>Noted</w:t>
            </w:r>
          </w:p>
        </w:tc>
      </w:tr>
      <w:tr w:rsidR="005023A8" w:rsidRPr="003A569C" w:rsidTr="005023A8">
        <w:tc>
          <w:tcPr>
            <w:tcW w:w="1511" w:type="dxa"/>
          </w:tcPr>
          <w:p w:rsidR="005023A8" w:rsidRPr="001B66BF" w:rsidRDefault="001B66BF" w:rsidP="00131490">
            <w:pPr>
              <w:pStyle w:val="BodyTextNoSpacing"/>
              <w:rPr>
                <w:szCs w:val="20"/>
                <w:lang w:val="en-GB"/>
              </w:rPr>
            </w:pPr>
            <w:r>
              <w:rPr>
                <w:szCs w:val="20"/>
                <w:lang w:val="en-GB"/>
              </w:rPr>
              <w:t>UK Power Networks</w:t>
            </w:r>
          </w:p>
        </w:tc>
        <w:tc>
          <w:tcPr>
            <w:tcW w:w="1778" w:type="dxa"/>
          </w:tcPr>
          <w:p w:rsidR="005023A8" w:rsidRPr="001B66BF" w:rsidRDefault="001B66BF" w:rsidP="00131490">
            <w:pPr>
              <w:pStyle w:val="BodyTextNoSpacing"/>
              <w:rPr>
                <w:szCs w:val="20"/>
                <w:lang w:val="en-GB"/>
              </w:rPr>
            </w:pPr>
            <w:r>
              <w:rPr>
                <w:szCs w:val="20"/>
                <w:lang w:val="en-GB"/>
              </w:rPr>
              <w:t>Non-confidential</w:t>
            </w:r>
          </w:p>
        </w:tc>
        <w:tc>
          <w:tcPr>
            <w:tcW w:w="6804" w:type="dxa"/>
          </w:tcPr>
          <w:p w:rsidR="005023A8" w:rsidRPr="001B66BF" w:rsidRDefault="001B66BF" w:rsidP="00131490">
            <w:pPr>
              <w:pStyle w:val="BodyTextNoSpacing"/>
              <w:rPr>
                <w:szCs w:val="20"/>
                <w:lang w:val="en-GB"/>
              </w:rPr>
            </w:pPr>
            <w:proofErr w:type="gramStart"/>
            <w:r>
              <w:rPr>
                <w:szCs w:val="20"/>
                <w:lang w:val="en-GB"/>
              </w:rPr>
              <w:t>Yes</w:t>
            </w:r>
            <w:proofErr w:type="gramEnd"/>
            <w:r>
              <w:rPr>
                <w:szCs w:val="20"/>
                <w:lang w:val="en-GB"/>
              </w:rPr>
              <w:t xml:space="preserve"> we agree that</w:t>
            </w:r>
            <w:r w:rsidR="00650712">
              <w:rPr>
                <w:szCs w:val="20"/>
                <w:lang w:val="en-GB"/>
              </w:rPr>
              <w:t xml:space="preserve"> implementation for 1 April 2020 is appropriate for this change if it is progressed through this route, this is the same date as being proposed at the current time for changes brought about under the SCR.</w:t>
            </w:r>
          </w:p>
        </w:tc>
        <w:tc>
          <w:tcPr>
            <w:tcW w:w="3747" w:type="dxa"/>
          </w:tcPr>
          <w:p w:rsidR="005023A8" w:rsidRPr="005A2B08" w:rsidRDefault="005A2B08" w:rsidP="00131490">
            <w:pPr>
              <w:pStyle w:val="BodyTextNoSpacing"/>
              <w:rPr>
                <w:szCs w:val="20"/>
                <w:lang w:val="en-GB"/>
              </w:rPr>
            </w:pPr>
            <w:r>
              <w:rPr>
                <w:szCs w:val="20"/>
                <w:lang w:val="en-GB"/>
              </w:rPr>
              <w:t>Noted</w:t>
            </w:r>
          </w:p>
        </w:tc>
      </w:tr>
      <w:tr w:rsidR="005023A8" w:rsidRPr="003A569C" w:rsidTr="005023A8">
        <w:tc>
          <w:tcPr>
            <w:tcW w:w="1511" w:type="dxa"/>
          </w:tcPr>
          <w:p w:rsidR="005023A8" w:rsidRPr="003A569C" w:rsidRDefault="00DC78E6" w:rsidP="00131490">
            <w:pPr>
              <w:pStyle w:val="BodyTextNoSpacing"/>
              <w:rPr>
                <w:szCs w:val="20"/>
              </w:rPr>
            </w:pPr>
            <w:r>
              <w:rPr>
                <w:szCs w:val="20"/>
                <w:lang w:val="en-GB"/>
              </w:rPr>
              <w:t>The Electricity Network Company Ltd</w:t>
            </w:r>
          </w:p>
        </w:tc>
        <w:tc>
          <w:tcPr>
            <w:tcW w:w="1778" w:type="dxa"/>
          </w:tcPr>
          <w:p w:rsidR="005023A8" w:rsidRPr="00DC78E6" w:rsidRDefault="00DC78E6" w:rsidP="00131490">
            <w:pPr>
              <w:pStyle w:val="BodyTextNoSpacing"/>
              <w:rPr>
                <w:szCs w:val="20"/>
                <w:lang w:val="en-GB"/>
              </w:rPr>
            </w:pPr>
            <w:r>
              <w:rPr>
                <w:szCs w:val="20"/>
                <w:lang w:val="en-GB"/>
              </w:rPr>
              <w:t>Non-confidential</w:t>
            </w:r>
          </w:p>
        </w:tc>
        <w:tc>
          <w:tcPr>
            <w:tcW w:w="6804" w:type="dxa"/>
          </w:tcPr>
          <w:p w:rsidR="005023A8" w:rsidRPr="00DC78E6" w:rsidRDefault="00DC78E6" w:rsidP="00131490">
            <w:pPr>
              <w:pStyle w:val="BodyTextNoSpacing"/>
              <w:rPr>
                <w:szCs w:val="20"/>
                <w:lang w:val="en-GB"/>
              </w:rPr>
            </w:pPr>
            <w:r>
              <w:rPr>
                <w:szCs w:val="20"/>
                <w:lang w:val="en-GB"/>
              </w:rPr>
              <w:t>Yes, we agree with the proposed implementation date for DCP306.</w:t>
            </w:r>
          </w:p>
        </w:tc>
        <w:tc>
          <w:tcPr>
            <w:tcW w:w="3747" w:type="dxa"/>
          </w:tcPr>
          <w:p w:rsidR="005023A8" w:rsidRPr="005A2B08" w:rsidRDefault="005A2B08" w:rsidP="00131490">
            <w:pPr>
              <w:pStyle w:val="BodyTextNoSpacing"/>
              <w:rPr>
                <w:szCs w:val="20"/>
                <w:lang w:val="en-GB"/>
              </w:rPr>
            </w:pPr>
            <w:r>
              <w:rPr>
                <w:szCs w:val="20"/>
                <w:lang w:val="en-GB"/>
              </w:rPr>
              <w:t>Noted</w:t>
            </w:r>
          </w:p>
        </w:tc>
      </w:tr>
      <w:tr w:rsidR="005023A8" w:rsidRPr="003A569C" w:rsidTr="00A467A4">
        <w:tc>
          <w:tcPr>
            <w:tcW w:w="13840" w:type="dxa"/>
            <w:gridSpan w:val="4"/>
          </w:tcPr>
          <w:p w:rsidR="005023A8" w:rsidRPr="0028568A" w:rsidRDefault="00DC78E6" w:rsidP="00131490">
            <w:pPr>
              <w:pStyle w:val="BodyTextNoSpacing"/>
              <w:rPr>
                <w:szCs w:val="20"/>
                <w:lang w:val="en-GB"/>
              </w:rPr>
            </w:pPr>
            <w:r>
              <w:rPr>
                <w:b/>
                <w:szCs w:val="20"/>
                <w:lang w:val="en-GB"/>
              </w:rPr>
              <w:t xml:space="preserve">Working Group Conclusions: </w:t>
            </w:r>
            <w:r w:rsidR="005A2B08">
              <w:rPr>
                <w:szCs w:val="20"/>
                <w:lang w:val="en-GB"/>
              </w:rPr>
              <w:t>The Working Group concluded that all respondents agree with the proposed implementation date of 01 April 2020.</w:t>
            </w:r>
            <w:bookmarkStart w:id="12" w:name="_GoBack"/>
            <w:bookmarkEnd w:id="12"/>
          </w:p>
        </w:tc>
      </w:tr>
      <w:bookmarkEnd w:id="11"/>
    </w:tbl>
    <w:p w:rsidR="00A467A4" w:rsidRPr="003A569C" w:rsidRDefault="00A467A4">
      <w:pPr>
        <w:rPr>
          <w:rFonts w:ascii="Verdana" w:hAnsi="Verdana"/>
          <w:sz w:val="20"/>
          <w:szCs w:val="20"/>
        </w:rPr>
      </w:pPr>
    </w:p>
    <w:sectPr w:rsidR="00A467A4" w:rsidRPr="003A569C" w:rsidSect="00131490">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4DA" w:rsidRDefault="00C964DA" w:rsidP="005023A8">
      <w:pPr>
        <w:spacing w:after="0" w:line="240" w:lineRule="auto"/>
      </w:pPr>
      <w:r>
        <w:separator/>
      </w:r>
    </w:p>
  </w:endnote>
  <w:endnote w:type="continuationSeparator" w:id="0">
    <w:p w:rsidR="00C964DA" w:rsidRDefault="00C964DA"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D50" w:rsidRDefault="00035D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D50" w:rsidRDefault="00035D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D50" w:rsidRDefault="00035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4DA" w:rsidRDefault="00C964DA" w:rsidP="005023A8">
      <w:pPr>
        <w:spacing w:after="0" w:line="240" w:lineRule="auto"/>
      </w:pPr>
      <w:r>
        <w:separator/>
      </w:r>
    </w:p>
  </w:footnote>
  <w:footnote w:type="continuationSeparator" w:id="0">
    <w:p w:rsidR="00C964DA" w:rsidRDefault="00C964DA"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D50" w:rsidRDefault="00035D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D50" w:rsidRDefault="00035D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D50" w:rsidRDefault="00035D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490"/>
    <w:rsid w:val="00035D50"/>
    <w:rsid w:val="000B33A4"/>
    <w:rsid w:val="000B34E5"/>
    <w:rsid w:val="000C5CF9"/>
    <w:rsid w:val="00131490"/>
    <w:rsid w:val="001B66BF"/>
    <w:rsid w:val="001C70BC"/>
    <w:rsid w:val="001D1626"/>
    <w:rsid w:val="002821A8"/>
    <w:rsid w:val="0028568A"/>
    <w:rsid w:val="002F322D"/>
    <w:rsid w:val="00321A5E"/>
    <w:rsid w:val="00340F16"/>
    <w:rsid w:val="00386DB4"/>
    <w:rsid w:val="00397672"/>
    <w:rsid w:val="003A569C"/>
    <w:rsid w:val="003B4806"/>
    <w:rsid w:val="00421520"/>
    <w:rsid w:val="00453F60"/>
    <w:rsid w:val="005023A8"/>
    <w:rsid w:val="00542C7A"/>
    <w:rsid w:val="00586EE9"/>
    <w:rsid w:val="005A2B08"/>
    <w:rsid w:val="00650712"/>
    <w:rsid w:val="00657FCF"/>
    <w:rsid w:val="006622EE"/>
    <w:rsid w:val="00662929"/>
    <w:rsid w:val="00725D44"/>
    <w:rsid w:val="007F5C10"/>
    <w:rsid w:val="00812D03"/>
    <w:rsid w:val="0083708D"/>
    <w:rsid w:val="008762CD"/>
    <w:rsid w:val="00895AE9"/>
    <w:rsid w:val="008F0738"/>
    <w:rsid w:val="009333C5"/>
    <w:rsid w:val="009606BA"/>
    <w:rsid w:val="009A6675"/>
    <w:rsid w:val="00A467A4"/>
    <w:rsid w:val="00A659D5"/>
    <w:rsid w:val="00A77905"/>
    <w:rsid w:val="00A90D7C"/>
    <w:rsid w:val="00B17376"/>
    <w:rsid w:val="00B67581"/>
    <w:rsid w:val="00BC556E"/>
    <w:rsid w:val="00C229B5"/>
    <w:rsid w:val="00C55A78"/>
    <w:rsid w:val="00C964DA"/>
    <w:rsid w:val="00CA7D96"/>
    <w:rsid w:val="00D46C8F"/>
    <w:rsid w:val="00DC78E6"/>
    <w:rsid w:val="00E95710"/>
    <w:rsid w:val="00E97531"/>
    <w:rsid w:val="00F43155"/>
    <w:rsid w:val="00FA3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60AAF"/>
  <w15:chartTrackingRefBased/>
  <w15:docId w15:val="{9E55DC00-E6BF-4CEF-85E9-893083FB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3A8"/>
  </w:style>
  <w:style w:type="paragraph" w:styleId="Footer">
    <w:name w:val="footer"/>
    <w:basedOn w:val="Normal"/>
    <w:link w:val="FooterChar"/>
    <w:uiPriority w:val="99"/>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15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17</Pages>
  <Words>4038</Words>
  <Characters>23021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5</cp:revision>
  <dcterms:created xsi:type="dcterms:W3CDTF">2017-10-20T10:47:00Z</dcterms:created>
  <dcterms:modified xsi:type="dcterms:W3CDTF">2017-10-26T11:30:00Z</dcterms:modified>
</cp:coreProperties>
</file>