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EA90" w14:textId="77777777" w:rsidR="00F85A5C" w:rsidRPr="00847DD2" w:rsidRDefault="00BF3E23" w:rsidP="00595E43">
      <w:pPr>
        <w:pStyle w:val="Heading1"/>
      </w:pPr>
      <w:r>
        <w:t xml:space="preserve">Analysis of the impact of </w:t>
      </w:r>
      <w:r w:rsidRPr="00D44441">
        <w:t>DCP</w:t>
      </w:r>
      <w:r w:rsidRPr="00847DD2">
        <w:t xml:space="preserve"> </w:t>
      </w:r>
      <w:r>
        <w:t>306</w:t>
      </w:r>
    </w:p>
    <w:p w14:paraId="60AC9A8F" w14:textId="688E457A" w:rsidR="00B817A3" w:rsidRDefault="0059008D" w:rsidP="00B522A0">
      <w:pPr>
        <w:pStyle w:val="Caption"/>
      </w:pPr>
      <w:bookmarkStart w:id="0" w:name="_Toc262902365"/>
      <w:r>
        <w:rPr>
          <w:noProof/>
        </w:rPr>
        <w:t>0</w:t>
      </w:r>
      <w:r w:rsidR="001C5086">
        <w:rPr>
          <w:noProof/>
        </w:rPr>
        <w:t>2</w:t>
      </w:r>
      <w:r w:rsidR="006936C8">
        <w:rPr>
          <w:noProof/>
        </w:rPr>
        <w:t xml:space="preserve"> </w:t>
      </w:r>
      <w:r>
        <w:rPr>
          <w:noProof/>
        </w:rPr>
        <w:t>January</w:t>
      </w:r>
      <w:r w:rsidR="006936C8">
        <w:rPr>
          <w:noProof/>
        </w:rPr>
        <w:t xml:space="preserve"> 201</w:t>
      </w:r>
      <w:r>
        <w:rPr>
          <w:noProof/>
        </w:rPr>
        <w:t>8</w:t>
      </w:r>
      <w:r w:rsidR="00E0368F">
        <w:t>, Reckon LLP</w:t>
      </w:r>
    </w:p>
    <w:p w14:paraId="7879FB25" w14:textId="731D147F" w:rsidR="00062AA0" w:rsidRPr="001772A7" w:rsidRDefault="00BF3E23" w:rsidP="001772A7">
      <w:pPr>
        <w:pStyle w:val="Text"/>
      </w:pPr>
      <w:r w:rsidRPr="001772A7">
        <w:t>This document along with appendices</w:t>
      </w:r>
      <w:bookmarkStart w:id="1" w:name="_GoBack"/>
      <w:bookmarkEnd w:id="1"/>
      <w:r w:rsidRPr="001772A7">
        <w:t xml:space="preserve"> presents the results of our analysis of the impact of a</w:t>
      </w:r>
      <w:r w:rsidR="00B83101" w:rsidRPr="001772A7">
        <w:t xml:space="preserve"> modelling change to implement a DCP 306</w:t>
      </w:r>
      <w:r w:rsidRPr="001772A7">
        <w:t xml:space="preserve"> specification. </w:t>
      </w:r>
    </w:p>
    <w:p w14:paraId="4BCF647B" w14:textId="77777777" w:rsidR="00BF3E23" w:rsidRDefault="00BF3E23" w:rsidP="00BF3E23">
      <w:pPr>
        <w:pStyle w:val="Heading2"/>
      </w:pPr>
      <w:r>
        <w:t>Input data</w:t>
      </w:r>
    </w:p>
    <w:p w14:paraId="6E4EA104" w14:textId="12D56509" w:rsidR="00BF3E23" w:rsidRPr="001772A7" w:rsidRDefault="00BF3E23" w:rsidP="001772A7">
      <w:pPr>
        <w:pStyle w:val="Text"/>
      </w:pPr>
      <w:r w:rsidRPr="001772A7">
        <w:t xml:space="preserve">The input data for this impact assessment are mostly based on data drawn from </w:t>
      </w:r>
      <w:proofErr w:type="gramStart"/>
      <w:r w:rsidRPr="001772A7">
        <w:t>companies’</w:t>
      </w:r>
      <w:proofErr w:type="gramEnd"/>
      <w:r w:rsidRPr="001772A7">
        <w:t xml:space="preserve"> published 2018/2019 charging models</w:t>
      </w:r>
      <w:r w:rsidR="0059008D" w:rsidRPr="001772A7">
        <w:t xml:space="preserve"> (except SP Energy Networks)</w:t>
      </w:r>
      <w:r w:rsidRPr="001772A7">
        <w:t>, complemented by:</w:t>
      </w:r>
    </w:p>
    <w:p w14:paraId="59840A97" w14:textId="462F5B77" w:rsidR="00BF3E23" w:rsidRDefault="0059008D" w:rsidP="00BF3E23">
      <w:pPr>
        <w:pStyle w:val="ListBullet"/>
      </w:pPr>
      <w:r>
        <w:t>Populated</w:t>
      </w:r>
      <w:r w:rsidR="00BF3E23">
        <w:t xml:space="preserve"> SP Energy Networks </w:t>
      </w:r>
      <w:r>
        <w:t xml:space="preserve">Method M </w:t>
      </w:r>
      <w:r w:rsidR="00BF3E23">
        <w:t>models</w:t>
      </w:r>
      <w:r>
        <w:t xml:space="preserve"> for 2018/19</w:t>
      </w:r>
      <w:r w:rsidR="00812978">
        <w:t xml:space="preserve"> received </w:t>
      </w:r>
      <w:r w:rsidR="00B77FF5">
        <w:t xml:space="preserve">from </w:t>
      </w:r>
      <w:proofErr w:type="spellStart"/>
      <w:r w:rsidR="00B77FF5">
        <w:t>Electra</w:t>
      </w:r>
      <w:r w:rsidR="001772A7">
        <w:t>L</w:t>
      </w:r>
      <w:r w:rsidR="00B77FF5">
        <w:t>ink</w:t>
      </w:r>
      <w:proofErr w:type="spellEnd"/>
      <w:r w:rsidR="00062AA0">
        <w:t xml:space="preserve"> on 13 December 2017</w:t>
      </w:r>
      <w:r w:rsidR="00BF3E23">
        <w:t>; and</w:t>
      </w:r>
    </w:p>
    <w:p w14:paraId="399731AD" w14:textId="77777777" w:rsidR="00BF3E23" w:rsidRDefault="00BF3E23" w:rsidP="00BF3E23">
      <w:pPr>
        <w:pStyle w:val="ListBullet"/>
      </w:pPr>
      <w:r>
        <w:t>Ofgem licence fees in 2007/2008 extracted from table 2.6 in our archived copies of legacy method M models.</w:t>
      </w:r>
    </w:p>
    <w:p w14:paraId="16696ED1" w14:textId="28CBFBE7" w:rsidR="00B83101" w:rsidRDefault="00B83101" w:rsidP="001772A7">
      <w:pPr>
        <w:pStyle w:val="Text"/>
      </w:pPr>
      <w:r>
        <w:t xml:space="preserve">Table </w:t>
      </w:r>
      <w:r>
        <w:fldChar w:fldCharType="begin"/>
      </w:r>
      <w:r>
        <w:instrText xml:space="preserve"> =1+</w:instrText>
      </w:r>
      <w:r>
        <w:fldChar w:fldCharType="begin"/>
      </w:r>
      <w:r>
        <w:instrText xml:space="preserve"> SEQ \c Table \* ARABIC </w:instrText>
      </w:r>
      <w:r>
        <w:fldChar w:fldCharType="separate"/>
      </w:r>
      <w:r w:rsidR="001772A7">
        <w:rPr>
          <w:noProof/>
        </w:rPr>
        <w:instrText>0</w:instrText>
      </w:r>
      <w:r>
        <w:fldChar w:fldCharType="end"/>
      </w:r>
      <w:r>
        <w:fldChar w:fldCharType="separate"/>
      </w:r>
      <w:r w:rsidR="001772A7">
        <w:rPr>
          <w:noProof/>
        </w:rPr>
        <w:t>1</w:t>
      </w:r>
      <w:r>
        <w:fldChar w:fldCharType="end"/>
      </w:r>
      <w:r>
        <w:t xml:space="preserve"> shows the Ofgem licence fees in 2007/2008 for each DNO area in absolute terms and as a proportion of total allowed revenue in 2007/2008.</w:t>
      </w:r>
    </w:p>
    <w:p w14:paraId="75A47A4F" w14:textId="30112735" w:rsidR="00B83101" w:rsidRDefault="00B83101" w:rsidP="00B83101">
      <w:pPr>
        <w:pStyle w:val="Caption"/>
        <w:numPr>
          <w:ilvl w:val="0"/>
          <w:numId w:val="3"/>
        </w:numPr>
      </w:pPr>
      <w:bookmarkStart w:id="2" w:name="_Toc358183903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ab/>
      </w:r>
      <w:bookmarkEnd w:id="2"/>
      <w:r>
        <w:t>Ofgem licence fees in 2007/2008 according to legacy method M models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0"/>
        <w:gridCol w:w="3003"/>
        <w:gridCol w:w="3007"/>
      </w:tblGrid>
      <w:tr w:rsidR="00B83101" w:rsidRPr="00B83101" w14:paraId="1CF6E748" w14:textId="77777777" w:rsidTr="00F9648A">
        <w:trPr>
          <w:tblHeader/>
        </w:trPr>
        <w:tc>
          <w:tcPr>
            <w:tcW w:w="3078" w:type="dxa"/>
          </w:tcPr>
          <w:p w14:paraId="58DFD207" w14:textId="4713687B" w:rsidR="00B83101" w:rsidRPr="00B83101" w:rsidRDefault="00B83101" w:rsidP="00F9648A">
            <w:pPr>
              <w:pStyle w:val="Table"/>
              <w:jc w:val="left"/>
              <w:rPr>
                <w:b/>
              </w:rPr>
            </w:pPr>
            <w:r w:rsidRPr="00B83101">
              <w:rPr>
                <w:b/>
              </w:rPr>
              <w:t>DNO area</w:t>
            </w:r>
          </w:p>
        </w:tc>
        <w:tc>
          <w:tcPr>
            <w:tcW w:w="3079" w:type="dxa"/>
          </w:tcPr>
          <w:p w14:paraId="1D893A5A" w14:textId="4E9C20C8" w:rsidR="00B83101" w:rsidRPr="00B83101" w:rsidRDefault="00B83101" w:rsidP="00F9648A">
            <w:pPr>
              <w:pStyle w:val="Table"/>
              <w:rPr>
                <w:b/>
              </w:rPr>
            </w:pPr>
            <w:r w:rsidRPr="00B83101">
              <w:rPr>
                <w:b/>
              </w:rPr>
              <w:t xml:space="preserve">Ofgem licence fees £ </w:t>
            </w:r>
          </w:p>
        </w:tc>
        <w:tc>
          <w:tcPr>
            <w:tcW w:w="3079" w:type="dxa"/>
          </w:tcPr>
          <w:p w14:paraId="34904013" w14:textId="7E443A37" w:rsidR="00B83101" w:rsidRPr="00B83101" w:rsidRDefault="00B83101" w:rsidP="00F9648A">
            <w:pPr>
              <w:pStyle w:val="Table"/>
              <w:rPr>
                <w:b/>
              </w:rPr>
            </w:pPr>
            <w:r w:rsidRPr="00B83101">
              <w:rPr>
                <w:b/>
              </w:rPr>
              <w:t>Proportion of allowed revenue</w:t>
            </w:r>
          </w:p>
        </w:tc>
      </w:tr>
      <w:tr w:rsidR="00B83101" w14:paraId="7C94BF37" w14:textId="77777777" w:rsidTr="00B83101">
        <w:tc>
          <w:tcPr>
            <w:tcW w:w="3078" w:type="dxa"/>
          </w:tcPr>
          <w:p w14:paraId="66C85177" w14:textId="7C3CE2CE" w:rsidR="00B83101" w:rsidRDefault="00B83101" w:rsidP="00B83101">
            <w:pPr>
              <w:pStyle w:val="Table"/>
              <w:jc w:val="left"/>
            </w:pPr>
            <w:r w:rsidRPr="001F6C25">
              <w:t>ENWL</w:t>
            </w:r>
          </w:p>
        </w:tc>
        <w:tc>
          <w:tcPr>
            <w:tcW w:w="3079" w:type="dxa"/>
          </w:tcPr>
          <w:p w14:paraId="2DEA29A2" w14:textId="1B3B3550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1,051,200 </w:t>
            </w:r>
          </w:p>
        </w:tc>
        <w:tc>
          <w:tcPr>
            <w:tcW w:w="3079" w:type="dxa"/>
          </w:tcPr>
          <w:p w14:paraId="0B4BF8CE" w14:textId="3FC8AD74" w:rsidR="00B83101" w:rsidRDefault="00B83101" w:rsidP="00B83101">
            <w:pPr>
              <w:pStyle w:val="Table"/>
            </w:pPr>
            <w:r w:rsidRPr="001F6C25">
              <w:t xml:space="preserve">      0.40% </w:t>
            </w:r>
          </w:p>
        </w:tc>
      </w:tr>
      <w:tr w:rsidR="00B83101" w14:paraId="3FCD8BB9" w14:textId="77777777" w:rsidTr="00B83101">
        <w:tc>
          <w:tcPr>
            <w:tcW w:w="3078" w:type="dxa"/>
          </w:tcPr>
          <w:p w14:paraId="71788CA6" w14:textId="3E7E3248" w:rsidR="00B83101" w:rsidRDefault="00B83101" w:rsidP="00B83101">
            <w:pPr>
              <w:pStyle w:val="Table"/>
              <w:jc w:val="left"/>
            </w:pPr>
            <w:r w:rsidRPr="001F6C25">
              <w:t>NPG Northeast</w:t>
            </w:r>
          </w:p>
        </w:tc>
        <w:tc>
          <w:tcPr>
            <w:tcW w:w="3079" w:type="dxa"/>
          </w:tcPr>
          <w:p w14:paraId="38B8BD42" w14:textId="7F819B3A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  900,000 </w:t>
            </w:r>
          </w:p>
        </w:tc>
        <w:tc>
          <w:tcPr>
            <w:tcW w:w="3079" w:type="dxa"/>
          </w:tcPr>
          <w:p w14:paraId="224157AF" w14:textId="1B17331D" w:rsidR="00B83101" w:rsidRDefault="00B83101" w:rsidP="00B83101">
            <w:pPr>
              <w:pStyle w:val="Table"/>
            </w:pPr>
            <w:r w:rsidRPr="001F6C25">
              <w:t xml:space="preserve">      0.48% </w:t>
            </w:r>
          </w:p>
        </w:tc>
      </w:tr>
      <w:tr w:rsidR="00B83101" w14:paraId="6DC6D564" w14:textId="77777777" w:rsidTr="00B83101">
        <w:tc>
          <w:tcPr>
            <w:tcW w:w="3078" w:type="dxa"/>
          </w:tcPr>
          <w:p w14:paraId="4B76060F" w14:textId="6CB936AE" w:rsidR="00B83101" w:rsidRDefault="00B83101" w:rsidP="00B83101">
            <w:pPr>
              <w:pStyle w:val="Table"/>
              <w:jc w:val="left"/>
            </w:pPr>
            <w:r w:rsidRPr="001F6C25">
              <w:t>NPG Yorkshire</w:t>
            </w:r>
          </w:p>
        </w:tc>
        <w:tc>
          <w:tcPr>
            <w:tcW w:w="3079" w:type="dxa"/>
          </w:tcPr>
          <w:p w14:paraId="09D33CBA" w14:textId="266A83B6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1,200,000 </w:t>
            </w:r>
          </w:p>
        </w:tc>
        <w:tc>
          <w:tcPr>
            <w:tcW w:w="3079" w:type="dxa"/>
          </w:tcPr>
          <w:p w14:paraId="07CD65CB" w14:textId="74D0DC87" w:rsidR="00B83101" w:rsidRDefault="00B83101" w:rsidP="00B83101">
            <w:pPr>
              <w:pStyle w:val="Table"/>
            </w:pPr>
            <w:r w:rsidRPr="001F6C25">
              <w:t xml:space="preserve">      0.50% </w:t>
            </w:r>
          </w:p>
        </w:tc>
      </w:tr>
      <w:tr w:rsidR="00B83101" w14:paraId="70AE9287" w14:textId="77777777" w:rsidTr="00B83101">
        <w:tc>
          <w:tcPr>
            <w:tcW w:w="3078" w:type="dxa"/>
          </w:tcPr>
          <w:p w14:paraId="7FF54374" w14:textId="7425441D" w:rsidR="00B83101" w:rsidRDefault="00B83101" w:rsidP="00B83101">
            <w:pPr>
              <w:pStyle w:val="Table"/>
              <w:jc w:val="left"/>
            </w:pPr>
            <w:r w:rsidRPr="001F6C25">
              <w:t>SPEN SPD</w:t>
            </w:r>
          </w:p>
        </w:tc>
        <w:tc>
          <w:tcPr>
            <w:tcW w:w="3079" w:type="dxa"/>
          </w:tcPr>
          <w:p w14:paraId="7F29A928" w14:textId="74D416C8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  888,900 </w:t>
            </w:r>
          </w:p>
        </w:tc>
        <w:tc>
          <w:tcPr>
            <w:tcW w:w="3079" w:type="dxa"/>
          </w:tcPr>
          <w:p w14:paraId="7C4B52A6" w14:textId="0F4F766F" w:rsidR="00B83101" w:rsidRDefault="00B83101" w:rsidP="00B83101">
            <w:pPr>
              <w:pStyle w:val="Table"/>
            </w:pPr>
            <w:r w:rsidRPr="001F6C25">
              <w:t xml:space="preserve">      0.26% </w:t>
            </w:r>
          </w:p>
        </w:tc>
      </w:tr>
      <w:tr w:rsidR="00B83101" w14:paraId="4F5034B7" w14:textId="77777777" w:rsidTr="00B83101">
        <w:tc>
          <w:tcPr>
            <w:tcW w:w="3078" w:type="dxa"/>
          </w:tcPr>
          <w:p w14:paraId="7438385B" w14:textId="09B3A87C" w:rsidR="00B83101" w:rsidRDefault="00B83101" w:rsidP="00B83101">
            <w:pPr>
              <w:pStyle w:val="Table"/>
              <w:jc w:val="left"/>
            </w:pPr>
            <w:r w:rsidRPr="001F6C25">
              <w:t>SPEN SPM</w:t>
            </w:r>
          </w:p>
        </w:tc>
        <w:tc>
          <w:tcPr>
            <w:tcW w:w="3079" w:type="dxa"/>
          </w:tcPr>
          <w:p w14:paraId="2BD6E9E1" w14:textId="32144410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  661,500 </w:t>
            </w:r>
          </w:p>
        </w:tc>
        <w:tc>
          <w:tcPr>
            <w:tcW w:w="3079" w:type="dxa"/>
          </w:tcPr>
          <w:p w14:paraId="6ED72916" w14:textId="338F48BA" w:rsidR="00B83101" w:rsidRDefault="00B83101" w:rsidP="00B83101">
            <w:pPr>
              <w:pStyle w:val="Table"/>
            </w:pPr>
            <w:r w:rsidRPr="001F6C25">
              <w:t xml:space="preserve">      0.32% </w:t>
            </w:r>
          </w:p>
        </w:tc>
      </w:tr>
      <w:tr w:rsidR="00B83101" w14:paraId="51F7C144" w14:textId="77777777" w:rsidTr="00B83101">
        <w:tc>
          <w:tcPr>
            <w:tcW w:w="3078" w:type="dxa"/>
          </w:tcPr>
          <w:p w14:paraId="530336E8" w14:textId="7C5C34F9" w:rsidR="00B83101" w:rsidRDefault="00B83101" w:rsidP="00B83101">
            <w:pPr>
              <w:pStyle w:val="Table"/>
              <w:jc w:val="left"/>
            </w:pPr>
            <w:r w:rsidRPr="001F6C25">
              <w:t>SSEN SEPD</w:t>
            </w:r>
          </w:p>
        </w:tc>
        <w:tc>
          <w:tcPr>
            <w:tcW w:w="3079" w:type="dxa"/>
          </w:tcPr>
          <w:p w14:paraId="3D5E47BC" w14:textId="7721889F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1,300,000 </w:t>
            </w:r>
          </w:p>
        </w:tc>
        <w:tc>
          <w:tcPr>
            <w:tcW w:w="3079" w:type="dxa"/>
          </w:tcPr>
          <w:p w14:paraId="64F2CEE3" w14:textId="3024D58D" w:rsidR="00B83101" w:rsidRDefault="00B83101" w:rsidP="00B83101">
            <w:pPr>
              <w:pStyle w:val="Table"/>
            </w:pPr>
            <w:r w:rsidRPr="001F6C25">
              <w:t xml:space="preserve">      0.31% </w:t>
            </w:r>
          </w:p>
        </w:tc>
      </w:tr>
      <w:tr w:rsidR="00B83101" w14:paraId="308B6F37" w14:textId="77777777" w:rsidTr="00B83101">
        <w:tc>
          <w:tcPr>
            <w:tcW w:w="3078" w:type="dxa"/>
          </w:tcPr>
          <w:p w14:paraId="28BE2FA3" w14:textId="67186E8C" w:rsidR="00B83101" w:rsidRDefault="00B83101" w:rsidP="00B83101">
            <w:pPr>
              <w:pStyle w:val="Table"/>
              <w:jc w:val="left"/>
            </w:pPr>
            <w:r w:rsidRPr="001F6C25">
              <w:t>SSEN SHEPD</w:t>
            </w:r>
          </w:p>
        </w:tc>
        <w:tc>
          <w:tcPr>
            <w:tcW w:w="3079" w:type="dxa"/>
          </w:tcPr>
          <w:p w14:paraId="23364334" w14:textId="0DAC3465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  300,000 </w:t>
            </w:r>
          </w:p>
        </w:tc>
        <w:tc>
          <w:tcPr>
            <w:tcW w:w="3079" w:type="dxa"/>
          </w:tcPr>
          <w:p w14:paraId="73BCE433" w14:textId="41B4E7F9" w:rsidR="00B83101" w:rsidRDefault="00B83101" w:rsidP="00B83101">
            <w:pPr>
              <w:pStyle w:val="Table"/>
            </w:pPr>
            <w:r w:rsidRPr="001F6C25">
              <w:t xml:space="preserve">      0.17% </w:t>
            </w:r>
          </w:p>
        </w:tc>
      </w:tr>
      <w:tr w:rsidR="00B83101" w14:paraId="12E00453" w14:textId="77777777" w:rsidTr="00B83101">
        <w:tc>
          <w:tcPr>
            <w:tcW w:w="3078" w:type="dxa"/>
          </w:tcPr>
          <w:p w14:paraId="70366007" w14:textId="6CB1BB53" w:rsidR="00B83101" w:rsidRDefault="00B83101" w:rsidP="00B83101">
            <w:pPr>
              <w:pStyle w:val="Table"/>
              <w:jc w:val="left"/>
            </w:pPr>
            <w:r w:rsidRPr="001F6C25">
              <w:t>UKPN EPN</w:t>
            </w:r>
          </w:p>
        </w:tc>
        <w:tc>
          <w:tcPr>
            <w:tcW w:w="3079" w:type="dxa"/>
          </w:tcPr>
          <w:p w14:paraId="710EDE95" w14:textId="48D8CE54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1,600,000 </w:t>
            </w:r>
          </w:p>
        </w:tc>
        <w:tc>
          <w:tcPr>
            <w:tcW w:w="3079" w:type="dxa"/>
          </w:tcPr>
          <w:p w14:paraId="627DE5A6" w14:textId="2BDAFEAB" w:rsidR="00B83101" w:rsidRDefault="00B83101" w:rsidP="00B83101">
            <w:pPr>
              <w:pStyle w:val="Table"/>
            </w:pPr>
            <w:r w:rsidRPr="001F6C25">
              <w:t xml:space="preserve">      0.43% </w:t>
            </w:r>
          </w:p>
        </w:tc>
      </w:tr>
      <w:tr w:rsidR="00B83101" w14:paraId="596B02BB" w14:textId="77777777" w:rsidTr="00B83101">
        <w:tc>
          <w:tcPr>
            <w:tcW w:w="3078" w:type="dxa"/>
          </w:tcPr>
          <w:p w14:paraId="7A27B90A" w14:textId="47F30794" w:rsidR="00B83101" w:rsidRDefault="00B83101" w:rsidP="00B83101">
            <w:pPr>
              <w:pStyle w:val="Table"/>
              <w:jc w:val="left"/>
            </w:pPr>
            <w:r w:rsidRPr="001F6C25">
              <w:t>UKPN LPN</w:t>
            </w:r>
          </w:p>
        </w:tc>
        <w:tc>
          <w:tcPr>
            <w:tcW w:w="3079" w:type="dxa"/>
          </w:tcPr>
          <w:p w14:paraId="60F2A9E5" w14:textId="4F897775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1,000,000 </w:t>
            </w:r>
          </w:p>
        </w:tc>
        <w:tc>
          <w:tcPr>
            <w:tcW w:w="3079" w:type="dxa"/>
          </w:tcPr>
          <w:p w14:paraId="586C9A5F" w14:textId="3422207B" w:rsidR="00B83101" w:rsidRDefault="00B83101" w:rsidP="00B83101">
            <w:pPr>
              <w:pStyle w:val="Table"/>
            </w:pPr>
            <w:r w:rsidRPr="001F6C25">
              <w:t xml:space="preserve">      0.36% </w:t>
            </w:r>
          </w:p>
        </w:tc>
      </w:tr>
      <w:tr w:rsidR="00B83101" w14:paraId="5DF5A84B" w14:textId="77777777" w:rsidTr="00B83101">
        <w:tc>
          <w:tcPr>
            <w:tcW w:w="3078" w:type="dxa"/>
          </w:tcPr>
          <w:p w14:paraId="6838FD3D" w14:textId="1A6B306C" w:rsidR="00B83101" w:rsidRDefault="00B83101" w:rsidP="00B83101">
            <w:pPr>
              <w:pStyle w:val="Table"/>
              <w:jc w:val="left"/>
            </w:pPr>
            <w:r w:rsidRPr="001F6C25">
              <w:t>UKPN SPN</w:t>
            </w:r>
          </w:p>
        </w:tc>
        <w:tc>
          <w:tcPr>
            <w:tcW w:w="3079" w:type="dxa"/>
          </w:tcPr>
          <w:p w14:paraId="6D58021F" w14:textId="72DB72F8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1,000,000 </w:t>
            </w:r>
          </w:p>
        </w:tc>
        <w:tc>
          <w:tcPr>
            <w:tcW w:w="3079" w:type="dxa"/>
          </w:tcPr>
          <w:p w14:paraId="64564DDB" w14:textId="2E9972A2" w:rsidR="00B83101" w:rsidRDefault="00B83101" w:rsidP="00B83101">
            <w:pPr>
              <w:pStyle w:val="Table"/>
            </w:pPr>
            <w:r w:rsidRPr="001F6C25">
              <w:t xml:space="preserve">      0.50% </w:t>
            </w:r>
          </w:p>
        </w:tc>
      </w:tr>
      <w:tr w:rsidR="00B83101" w14:paraId="55A85F05" w14:textId="77777777" w:rsidTr="00B83101">
        <w:tc>
          <w:tcPr>
            <w:tcW w:w="3078" w:type="dxa"/>
          </w:tcPr>
          <w:p w14:paraId="53704F29" w14:textId="65A43584" w:rsidR="00B83101" w:rsidRDefault="00B83101" w:rsidP="00B83101">
            <w:pPr>
              <w:pStyle w:val="Table"/>
              <w:jc w:val="left"/>
            </w:pPr>
            <w:r w:rsidRPr="001F6C25">
              <w:t xml:space="preserve">WPD </w:t>
            </w:r>
            <w:proofErr w:type="spellStart"/>
            <w:r w:rsidRPr="001F6C25">
              <w:t>EastM</w:t>
            </w:r>
            <w:proofErr w:type="spellEnd"/>
          </w:p>
        </w:tc>
        <w:tc>
          <w:tcPr>
            <w:tcW w:w="3079" w:type="dxa"/>
          </w:tcPr>
          <w:p w14:paraId="1699BD91" w14:textId="66F97DDE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1,450,093 </w:t>
            </w:r>
          </w:p>
        </w:tc>
        <w:tc>
          <w:tcPr>
            <w:tcW w:w="3079" w:type="dxa"/>
          </w:tcPr>
          <w:p w14:paraId="230A1A86" w14:textId="2291ABCC" w:rsidR="00B83101" w:rsidRDefault="00B83101" w:rsidP="00B83101">
            <w:pPr>
              <w:pStyle w:val="Table"/>
            </w:pPr>
            <w:r w:rsidRPr="001F6C25">
              <w:t xml:space="preserve">      0.49% </w:t>
            </w:r>
          </w:p>
        </w:tc>
      </w:tr>
      <w:tr w:rsidR="00B83101" w14:paraId="08CFA0DC" w14:textId="77777777" w:rsidTr="00B83101">
        <w:tc>
          <w:tcPr>
            <w:tcW w:w="3078" w:type="dxa"/>
          </w:tcPr>
          <w:p w14:paraId="142FCAE7" w14:textId="2F384C4E" w:rsidR="00B83101" w:rsidRDefault="00B83101" w:rsidP="00B83101">
            <w:pPr>
              <w:pStyle w:val="Table"/>
              <w:jc w:val="left"/>
            </w:pPr>
            <w:r w:rsidRPr="001F6C25">
              <w:t xml:space="preserve">WPD </w:t>
            </w:r>
            <w:proofErr w:type="spellStart"/>
            <w:r w:rsidRPr="001F6C25">
              <w:t>SWales</w:t>
            </w:r>
            <w:proofErr w:type="spellEnd"/>
          </w:p>
        </w:tc>
        <w:tc>
          <w:tcPr>
            <w:tcW w:w="3079" w:type="dxa"/>
          </w:tcPr>
          <w:p w14:paraId="0887C202" w14:textId="6E4803D6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  500,000 </w:t>
            </w:r>
          </w:p>
        </w:tc>
        <w:tc>
          <w:tcPr>
            <w:tcW w:w="3079" w:type="dxa"/>
          </w:tcPr>
          <w:p w14:paraId="5B2A8225" w14:textId="27D2095B" w:rsidR="00B83101" w:rsidRDefault="00B83101" w:rsidP="00B83101">
            <w:pPr>
              <w:pStyle w:val="Table"/>
            </w:pPr>
            <w:r w:rsidRPr="001F6C25">
              <w:t xml:space="preserve">      0.29% </w:t>
            </w:r>
          </w:p>
        </w:tc>
      </w:tr>
      <w:tr w:rsidR="00B83101" w14:paraId="7968A5D8" w14:textId="77777777" w:rsidTr="00B83101">
        <w:tc>
          <w:tcPr>
            <w:tcW w:w="3078" w:type="dxa"/>
          </w:tcPr>
          <w:p w14:paraId="331CFB3B" w14:textId="6C6895DF" w:rsidR="00B83101" w:rsidRDefault="00B83101" w:rsidP="00B83101">
            <w:pPr>
              <w:pStyle w:val="Table"/>
              <w:jc w:val="left"/>
            </w:pPr>
            <w:r w:rsidRPr="001F6C25">
              <w:lastRenderedPageBreak/>
              <w:t xml:space="preserve">WPD </w:t>
            </w:r>
            <w:proofErr w:type="spellStart"/>
            <w:r w:rsidRPr="001F6C25">
              <w:t>SWest</w:t>
            </w:r>
            <w:proofErr w:type="spellEnd"/>
          </w:p>
        </w:tc>
        <w:tc>
          <w:tcPr>
            <w:tcW w:w="3079" w:type="dxa"/>
          </w:tcPr>
          <w:p w14:paraId="79DEC7B1" w14:textId="5DDDCC8E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  719,996 </w:t>
            </w:r>
          </w:p>
        </w:tc>
        <w:tc>
          <w:tcPr>
            <w:tcW w:w="3079" w:type="dxa"/>
          </w:tcPr>
          <w:p w14:paraId="729FD985" w14:textId="326BD642" w:rsidR="00B83101" w:rsidRDefault="00B83101" w:rsidP="00B83101">
            <w:pPr>
              <w:pStyle w:val="Table"/>
            </w:pPr>
            <w:r w:rsidRPr="001F6C25">
              <w:t xml:space="preserve">      0.33% </w:t>
            </w:r>
          </w:p>
        </w:tc>
      </w:tr>
      <w:tr w:rsidR="00B83101" w14:paraId="5A99C7D4" w14:textId="77777777" w:rsidTr="00B83101">
        <w:tc>
          <w:tcPr>
            <w:tcW w:w="3078" w:type="dxa"/>
          </w:tcPr>
          <w:p w14:paraId="416C0540" w14:textId="305F5003" w:rsidR="00B83101" w:rsidRDefault="00B83101" w:rsidP="00B83101">
            <w:pPr>
              <w:pStyle w:val="Table"/>
              <w:jc w:val="left"/>
            </w:pPr>
            <w:r w:rsidRPr="001F6C25">
              <w:t xml:space="preserve">WPD </w:t>
            </w:r>
            <w:proofErr w:type="spellStart"/>
            <w:r w:rsidRPr="001F6C25">
              <w:t>WestM</w:t>
            </w:r>
            <w:proofErr w:type="spellEnd"/>
          </w:p>
        </w:tc>
        <w:tc>
          <w:tcPr>
            <w:tcW w:w="3079" w:type="dxa"/>
          </w:tcPr>
          <w:p w14:paraId="68124BC1" w14:textId="704CF27A" w:rsidR="00B83101" w:rsidRDefault="00B83101" w:rsidP="00B83101">
            <w:pPr>
              <w:pStyle w:val="Table"/>
              <w:tabs>
                <w:tab w:val="decimal" w:pos="1962"/>
              </w:tabs>
              <w:jc w:val="left"/>
            </w:pPr>
            <w:r w:rsidRPr="001F6C25">
              <w:t xml:space="preserve">    1,450,093 </w:t>
            </w:r>
          </w:p>
        </w:tc>
        <w:tc>
          <w:tcPr>
            <w:tcW w:w="3079" w:type="dxa"/>
          </w:tcPr>
          <w:p w14:paraId="20F10D59" w14:textId="20DAEC1B" w:rsidR="00B83101" w:rsidRDefault="00B83101" w:rsidP="00B83101">
            <w:pPr>
              <w:pStyle w:val="Table"/>
            </w:pPr>
            <w:r w:rsidRPr="001F6C25">
              <w:t xml:space="preserve">      0.51% </w:t>
            </w:r>
          </w:p>
        </w:tc>
      </w:tr>
    </w:tbl>
    <w:p w14:paraId="19D883C8" w14:textId="77777777" w:rsidR="00B77FF5" w:rsidRDefault="00B77FF5" w:rsidP="00BF3E23">
      <w:pPr>
        <w:pStyle w:val="Heading2"/>
      </w:pPr>
      <w:bookmarkStart w:id="3" w:name="_Toc262902366"/>
    </w:p>
    <w:p w14:paraId="7859861F" w14:textId="3CC983F8" w:rsidR="00BF3E23" w:rsidRDefault="00BF3E23" w:rsidP="00BF3E23">
      <w:pPr>
        <w:pStyle w:val="Heading2"/>
      </w:pPr>
      <w:r>
        <w:t>Presentation of the results</w:t>
      </w:r>
    </w:p>
    <w:p w14:paraId="1D7B5005" w14:textId="0D2CCE1C" w:rsidR="00BF3E23" w:rsidRDefault="00BF3E23" w:rsidP="001772A7">
      <w:pPr>
        <w:pStyle w:val="Text"/>
      </w:pPr>
      <w:r>
        <w:t xml:space="preserve">Our analysis compared LDNO discount percentages before and after DCP </w:t>
      </w:r>
      <w:r w:rsidR="00ED346F">
        <w:t>306</w:t>
      </w:r>
      <w:r>
        <w:t>. We also looked at the impact of changing LDNO discounts on end user tariffs.</w:t>
      </w:r>
    </w:p>
    <w:p w14:paraId="1EB993EE" w14:textId="31339B9F" w:rsidR="00BF3E23" w:rsidRDefault="00BF3E23" w:rsidP="001772A7">
      <w:pPr>
        <w:pStyle w:val="Text"/>
      </w:pPr>
      <w:r>
        <w:t xml:space="preserve">We present the full results of our analysis in </w:t>
      </w:r>
      <w:r w:rsidR="00FB1CD0">
        <w:t xml:space="preserve">Appendix 1, which comprises </w:t>
      </w:r>
      <w:r>
        <w:t>the following sets of documents:</w:t>
      </w:r>
    </w:p>
    <w:p w14:paraId="506CC935" w14:textId="7DCFA62F" w:rsidR="00BF3E23" w:rsidRDefault="00BF3E23" w:rsidP="00BF3E23">
      <w:pPr>
        <w:pStyle w:val="ListBullet"/>
        <w:numPr>
          <w:ilvl w:val="2"/>
          <w:numId w:val="13"/>
        </w:numPr>
      </w:pPr>
      <w:r>
        <w:t xml:space="preserve">The file labelled </w:t>
      </w:r>
      <w:r w:rsidR="00ED346F">
        <w:t>“</w:t>
      </w:r>
      <w:r w:rsidR="00ED346F" w:rsidRPr="00ED346F">
        <w:t>DCP 306 impact on discount percentages (by DNO)</w:t>
      </w:r>
      <w:r w:rsidR="00ED346F">
        <w:t>” shows</w:t>
      </w:r>
      <w:r>
        <w:t xml:space="preserve"> the impact of DCP </w:t>
      </w:r>
      <w:r w:rsidR="00ED346F">
        <w:t>306</w:t>
      </w:r>
      <w:r>
        <w:t xml:space="preserve"> on LDNO discount percentages for all combinations of boundary and end user tariffs. This includes both CDCM (method M) and EDCM (extended method M) discounts.</w:t>
      </w:r>
    </w:p>
    <w:p w14:paraId="5A054CB8" w14:textId="670E0385" w:rsidR="00ED346F" w:rsidRDefault="00ED346F" w:rsidP="00BF3E23">
      <w:pPr>
        <w:pStyle w:val="ListBullet"/>
        <w:numPr>
          <w:ilvl w:val="2"/>
          <w:numId w:val="13"/>
        </w:numPr>
      </w:pPr>
      <w:r>
        <w:t>The file labelled “</w:t>
      </w:r>
      <w:r w:rsidRPr="00ED346F">
        <w:t>DCP 306 impact on end user tariffs (by DNO)</w:t>
      </w:r>
      <w:r>
        <w:t>” shows the impact of DCP 306 on CDCM end user tariffs.  The expected impact of DCP 306 on EDCM site-specific end user tariffs is negligible.</w:t>
      </w:r>
    </w:p>
    <w:p w14:paraId="3589672B" w14:textId="31654EB8" w:rsidR="00ED346F" w:rsidRDefault="00BF3E23" w:rsidP="00BF3E23">
      <w:pPr>
        <w:pStyle w:val="ListBullet"/>
        <w:numPr>
          <w:ilvl w:val="2"/>
          <w:numId w:val="13"/>
        </w:numPr>
      </w:pPr>
      <w:r>
        <w:t xml:space="preserve">The </w:t>
      </w:r>
      <w:r w:rsidR="00ED346F">
        <w:t>file labelled “</w:t>
      </w:r>
      <w:r w:rsidR="00ED346F" w:rsidRPr="00ED346F">
        <w:t>DCP 306 impact on LDNO tariffs (by DNO)</w:t>
      </w:r>
      <w:r w:rsidR="00ED346F">
        <w:t xml:space="preserve">” shows the impact of DCP 306 on CDCM LDNO tariffs and on EDCM LDNO tariffs that are calculated as discounted versions of CDCM end user tariffs. </w:t>
      </w:r>
    </w:p>
    <w:p w14:paraId="2FF66FFF" w14:textId="77777777" w:rsidR="00BF3E23" w:rsidRDefault="00BF3E23" w:rsidP="00BF3E23">
      <w:pPr>
        <w:pStyle w:val="Heading2"/>
      </w:pPr>
      <w:r>
        <w:t>Analysis of the results</w:t>
      </w:r>
    </w:p>
    <w:p w14:paraId="1760C19F" w14:textId="6300DE5D" w:rsidR="00670875" w:rsidRDefault="00670875" w:rsidP="00670875">
      <w:pPr>
        <w:pStyle w:val="Text"/>
      </w:pPr>
      <w:r>
        <w:t xml:space="preserve">DCP 306 would increase discount percentages for LV end-user demand, and reduce </w:t>
      </w:r>
      <w:r w:rsidR="00554EED">
        <w:t xml:space="preserve">(or leave unchanged) </w:t>
      </w:r>
      <w:r>
        <w:t>discount percentages in all other cases.</w:t>
      </w:r>
    </w:p>
    <w:p w14:paraId="4A2E9DEA" w14:textId="691BC268" w:rsidR="00670875" w:rsidRDefault="00670875" w:rsidP="00670875">
      <w:pPr>
        <w:pStyle w:val="Text"/>
      </w:pPr>
      <w:r>
        <w:t>The largest impact is on discount percentages for LV end-user demand with a LV LDNO boundary.  For this configuration, the increase in discount percentages caused by DCP 306 would range from 0.22 percent</w:t>
      </w:r>
      <w:r w:rsidR="00B77FF5">
        <w:t>age points</w:t>
      </w:r>
      <w:r>
        <w:t xml:space="preserve"> to 0.51 percent</w:t>
      </w:r>
      <w:r w:rsidR="00B77FF5">
        <w:t>age points</w:t>
      </w:r>
      <w:r>
        <w:t>.</w:t>
      </w:r>
    </w:p>
    <w:p w14:paraId="796CF1D3" w14:textId="5BE748B3" w:rsidR="00670875" w:rsidRDefault="00670875" w:rsidP="00670875">
      <w:pPr>
        <w:pStyle w:val="Text"/>
      </w:pPr>
      <w:r>
        <w:t xml:space="preserve">For LV end-user demand with a HV or </w:t>
      </w:r>
      <w:proofErr w:type="spellStart"/>
      <w:r>
        <w:t>HVplus</w:t>
      </w:r>
      <w:proofErr w:type="spellEnd"/>
      <w:r>
        <w:t xml:space="preserve"> LDNO boundary, the increase in discount percentages caused by DCP 306 would range from 0.05 percent</w:t>
      </w:r>
      <w:r w:rsidR="00B77FF5">
        <w:t>age points</w:t>
      </w:r>
      <w:r>
        <w:t xml:space="preserve"> to 0.31 percent</w:t>
      </w:r>
      <w:r w:rsidR="00B77FF5">
        <w:t>age points</w:t>
      </w:r>
      <w:r>
        <w:t>.</w:t>
      </w:r>
    </w:p>
    <w:p w14:paraId="2A1A42D9" w14:textId="5F5F97EF" w:rsidR="00670875" w:rsidRDefault="00670875" w:rsidP="00670875">
      <w:pPr>
        <w:pStyle w:val="Text"/>
      </w:pPr>
      <w:r>
        <w:t>The largest reduction in discount percentages caused by DCP 306 is 0.12 percent</w:t>
      </w:r>
      <w:r w:rsidR="00B77FF5">
        <w:t>age points</w:t>
      </w:r>
      <w:r>
        <w:t xml:space="preserve">; this is for HV end user demand with a </w:t>
      </w:r>
      <w:proofErr w:type="spellStart"/>
      <w:r>
        <w:t>HVplus</w:t>
      </w:r>
      <w:proofErr w:type="spellEnd"/>
      <w:r>
        <w:t xml:space="preserve"> LDNO boundary in the Northern </w:t>
      </w:r>
      <w:proofErr w:type="spellStart"/>
      <w:r>
        <w:t>Powergrid</w:t>
      </w:r>
      <w:proofErr w:type="spellEnd"/>
      <w:r>
        <w:t xml:space="preserve"> Northeast area.</w:t>
      </w:r>
    </w:p>
    <w:p w14:paraId="5C80E5F0" w14:textId="1F929D21" w:rsidR="00A1238B" w:rsidRDefault="00A1238B" w:rsidP="00670875">
      <w:pPr>
        <w:pStyle w:val="Text"/>
      </w:pPr>
      <w:r>
        <w:t xml:space="preserve">There are some small increases </w:t>
      </w:r>
      <w:r w:rsidR="00856810">
        <w:t xml:space="preserve">(up to 0.27 per cent) </w:t>
      </w:r>
      <w:r>
        <w:t xml:space="preserve">to </w:t>
      </w:r>
      <w:r w:rsidR="00856810">
        <w:t>CDCM end user tariffs in all DNO areas.</w:t>
      </w:r>
      <w:bookmarkEnd w:id="0"/>
      <w:bookmarkEnd w:id="3"/>
    </w:p>
    <w:sectPr w:rsidR="00A1238B" w:rsidSect="005112C6">
      <w:footerReference w:type="default" r:id="rId8"/>
      <w:pgSz w:w="11900" w:h="16840"/>
      <w:pgMar w:top="1800" w:right="1440" w:bottom="1440" w:left="1440" w:header="1080" w:footer="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53AC7" w14:textId="77777777" w:rsidR="00B86CBE" w:rsidRDefault="00B86CBE" w:rsidP="005112C6">
      <w:pPr>
        <w:spacing w:after="0"/>
      </w:pPr>
      <w:r>
        <w:separator/>
      </w:r>
    </w:p>
  </w:endnote>
  <w:endnote w:type="continuationSeparator" w:id="0">
    <w:p w14:paraId="773FC14B" w14:textId="77777777" w:rsidR="00B86CBE" w:rsidRDefault="00B86CBE" w:rsidP="005112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309DB" w14:textId="003F4369" w:rsidR="007345DC" w:rsidRDefault="007345DC">
    <w:pPr>
      <w:pStyle w:val="Footer"/>
    </w:pPr>
    <w:r w:rsidRPr="008021FC">
      <w:tab/>
    </w:r>
    <w:r>
      <w:fldChar w:fldCharType="begin"/>
    </w:r>
    <w:r>
      <w:instrText xml:space="preserve"> PAGE  \* MERGEFORMAT </w:instrText>
    </w:r>
    <w:r>
      <w:fldChar w:fldCharType="separate"/>
    </w:r>
    <w:r w:rsidR="00FB1CD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E4DCF" w14:textId="77777777" w:rsidR="00B86CBE" w:rsidRDefault="00B86CBE" w:rsidP="005112C6">
      <w:pPr>
        <w:spacing w:after="0"/>
      </w:pPr>
      <w:r>
        <w:separator/>
      </w:r>
    </w:p>
  </w:footnote>
  <w:footnote w:type="continuationSeparator" w:id="0">
    <w:p w14:paraId="426643CD" w14:textId="77777777" w:rsidR="00B86CBE" w:rsidRDefault="00B86CBE" w:rsidP="005112C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3BE4C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B21A3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E12C36"/>
    <w:multiLevelType w:val="multilevel"/>
    <w:tmpl w:val="548E4A2C"/>
    <w:lvl w:ilvl="0">
      <w:start w:val="1"/>
      <w:numFmt w:val="none"/>
      <w:pStyle w:val="Heading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Letter"/>
      <w:pStyle w:val="Default"/>
      <w:lvlText w:val="(%3)"/>
      <w:lvlJc w:val="left"/>
      <w:pPr>
        <w:tabs>
          <w:tab w:val="num" w:pos="1195"/>
        </w:tabs>
        <w:ind w:left="1195" w:hanging="475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685"/>
        </w:tabs>
        <w:ind w:left="1685" w:hanging="490"/>
      </w:pPr>
      <w:rPr>
        <w:rFonts w:cs="Times New Roman" w:hint="default"/>
        <w:color w:val="auto"/>
        <w:sz w:val="24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1FB87DBC"/>
    <w:multiLevelType w:val="multilevel"/>
    <w:tmpl w:val="5E485F6E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Restart w:val="0"/>
      <w:pStyle w:val="Text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ListBullet"/>
      <w:lvlText w:val="(%3)"/>
      <w:lvlJc w:val="left"/>
      <w:pPr>
        <w:tabs>
          <w:tab w:val="num" w:pos="1195"/>
        </w:tabs>
        <w:ind w:left="1195" w:hanging="47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685"/>
        </w:tabs>
        <w:ind w:left="1685" w:hanging="490"/>
      </w:pPr>
      <w:rPr>
        <w:rFonts w:hint="default"/>
        <w:color w:val="auto"/>
        <w:sz w:val="24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"/>
  </w:num>
  <w:num w:numId="5">
    <w:abstractNumId w:val="3"/>
  </w:num>
  <w:num w:numId="6">
    <w:abstractNumId w:val="0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1F"/>
    <w:rsid w:val="00004594"/>
    <w:rsid w:val="00062AA0"/>
    <w:rsid w:val="00072153"/>
    <w:rsid w:val="000940CD"/>
    <w:rsid w:val="00157060"/>
    <w:rsid w:val="001772A7"/>
    <w:rsid w:val="001A232F"/>
    <w:rsid w:val="001A478E"/>
    <w:rsid w:val="001C5086"/>
    <w:rsid w:val="001F5C32"/>
    <w:rsid w:val="00233DF7"/>
    <w:rsid w:val="002B74D4"/>
    <w:rsid w:val="002C0420"/>
    <w:rsid w:val="002E304A"/>
    <w:rsid w:val="00303024"/>
    <w:rsid w:val="00356B9A"/>
    <w:rsid w:val="004005AA"/>
    <w:rsid w:val="00412848"/>
    <w:rsid w:val="00421734"/>
    <w:rsid w:val="00426939"/>
    <w:rsid w:val="00454709"/>
    <w:rsid w:val="004A15C2"/>
    <w:rsid w:val="004B2A3D"/>
    <w:rsid w:val="004B3DD6"/>
    <w:rsid w:val="004D4326"/>
    <w:rsid w:val="004F03A7"/>
    <w:rsid w:val="00506030"/>
    <w:rsid w:val="005076DA"/>
    <w:rsid w:val="005112C6"/>
    <w:rsid w:val="00551FB6"/>
    <w:rsid w:val="00554EED"/>
    <w:rsid w:val="0059008D"/>
    <w:rsid w:val="00595E43"/>
    <w:rsid w:val="005A0D7D"/>
    <w:rsid w:val="005D6BBE"/>
    <w:rsid w:val="00670875"/>
    <w:rsid w:val="00680F1E"/>
    <w:rsid w:val="006936C8"/>
    <w:rsid w:val="006B292B"/>
    <w:rsid w:val="006C1F25"/>
    <w:rsid w:val="006E51EC"/>
    <w:rsid w:val="00727962"/>
    <w:rsid w:val="007345DC"/>
    <w:rsid w:val="00747B12"/>
    <w:rsid w:val="007A796F"/>
    <w:rsid w:val="007F4D6A"/>
    <w:rsid w:val="00812978"/>
    <w:rsid w:val="00835407"/>
    <w:rsid w:val="00847DD2"/>
    <w:rsid w:val="00853C17"/>
    <w:rsid w:val="00856764"/>
    <w:rsid w:val="00856810"/>
    <w:rsid w:val="008620BE"/>
    <w:rsid w:val="00874A96"/>
    <w:rsid w:val="008760A3"/>
    <w:rsid w:val="008844A2"/>
    <w:rsid w:val="0089521F"/>
    <w:rsid w:val="008970E6"/>
    <w:rsid w:val="008C216C"/>
    <w:rsid w:val="008E12E5"/>
    <w:rsid w:val="008F307E"/>
    <w:rsid w:val="0092470F"/>
    <w:rsid w:val="00942404"/>
    <w:rsid w:val="009C0486"/>
    <w:rsid w:val="009E4BC1"/>
    <w:rsid w:val="009F1DB7"/>
    <w:rsid w:val="00A1238B"/>
    <w:rsid w:val="00A2421F"/>
    <w:rsid w:val="00AF3248"/>
    <w:rsid w:val="00B522A0"/>
    <w:rsid w:val="00B77FF5"/>
    <w:rsid w:val="00B817A3"/>
    <w:rsid w:val="00B83101"/>
    <w:rsid w:val="00B86CBE"/>
    <w:rsid w:val="00BA752D"/>
    <w:rsid w:val="00BA7AC9"/>
    <w:rsid w:val="00BF3D0D"/>
    <w:rsid w:val="00BF3E23"/>
    <w:rsid w:val="00BF65E1"/>
    <w:rsid w:val="00C15684"/>
    <w:rsid w:val="00C64536"/>
    <w:rsid w:val="00CB169D"/>
    <w:rsid w:val="00CB467A"/>
    <w:rsid w:val="00CB69F4"/>
    <w:rsid w:val="00CC6C39"/>
    <w:rsid w:val="00CD2ED6"/>
    <w:rsid w:val="00CE74D2"/>
    <w:rsid w:val="00D11407"/>
    <w:rsid w:val="00D21AA4"/>
    <w:rsid w:val="00D774EB"/>
    <w:rsid w:val="00D844C1"/>
    <w:rsid w:val="00E0368F"/>
    <w:rsid w:val="00E10BA7"/>
    <w:rsid w:val="00E156B8"/>
    <w:rsid w:val="00E30555"/>
    <w:rsid w:val="00E51D94"/>
    <w:rsid w:val="00ED346F"/>
    <w:rsid w:val="00F02A8C"/>
    <w:rsid w:val="00F33181"/>
    <w:rsid w:val="00F53B3D"/>
    <w:rsid w:val="00F85A5C"/>
    <w:rsid w:val="00F9648A"/>
    <w:rsid w:val="00FB1CD0"/>
    <w:rsid w:val="00FB754E"/>
    <w:rsid w:val="00FD6EEC"/>
    <w:rsid w:val="00FF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F86F39"/>
  <w14:defaultImageDpi w14:val="300"/>
  <w15:docId w15:val="{0293DC58-BD9C-4AC0-BCF7-7B40C6744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0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470F"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5E43"/>
    <w:pPr>
      <w:keepNext/>
      <w:keepLines/>
      <w:pageBreakBefore/>
      <w:numPr>
        <w:numId w:val="13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link w:val="Heading2Char"/>
    <w:qFormat/>
    <w:rsid w:val="0092470F"/>
    <w:pPr>
      <w:keepNext/>
      <w:jc w:val="left"/>
      <w:outlineLvl w:val="1"/>
    </w:pPr>
    <w:rPr>
      <w:rFonts w:ascii="Arial Black" w:hAnsi="Arial Black"/>
      <w:color w:val="333333"/>
      <w:kern w:val="0"/>
      <w:sz w:val="22"/>
    </w:rPr>
  </w:style>
  <w:style w:type="paragraph" w:styleId="Heading3">
    <w:name w:val="heading 3"/>
    <w:basedOn w:val="Normal"/>
    <w:next w:val="Text"/>
    <w:link w:val="Heading3Char"/>
    <w:qFormat/>
    <w:rsid w:val="0092470F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Text"/>
    <w:link w:val="Heading4Char"/>
    <w:qFormat/>
    <w:rsid w:val="0092470F"/>
    <w:pPr>
      <w:keepNext/>
      <w:jc w:val="left"/>
      <w:outlineLvl w:val="3"/>
    </w:pPr>
    <w:rPr>
      <w:i/>
      <w:shd w:val="clear" w:color="FFFFFF" w:fill="auto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E156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470F"/>
    <w:pPr>
      <w:spacing w:after="0"/>
      <w:jc w:val="left"/>
    </w:pPr>
  </w:style>
  <w:style w:type="paragraph" w:styleId="Caption">
    <w:name w:val="caption"/>
    <w:basedOn w:val="Normal"/>
    <w:next w:val="Table"/>
    <w:qFormat/>
    <w:rsid w:val="0092470F"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sid w:val="0092470F"/>
    <w:rPr>
      <w:rFonts w:ascii="Courier" w:hAnsi="Courier"/>
      <w:sz w:val="16"/>
    </w:rPr>
  </w:style>
  <w:style w:type="paragraph" w:styleId="DocumentMap">
    <w:name w:val="Document Map"/>
    <w:basedOn w:val="Normal"/>
    <w:link w:val="DocumentMapChar"/>
    <w:semiHidden/>
    <w:rsid w:val="0092470F"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sid w:val="0092470F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sid w:val="0092470F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rsid w:val="005112C6"/>
    <w:pPr>
      <w:tabs>
        <w:tab w:val="right" w:pos="8640"/>
      </w:tabs>
      <w:spacing w:after="240"/>
      <w:ind w:left="1080"/>
    </w:pPr>
    <w:rPr>
      <w:noProof/>
    </w:rPr>
  </w:style>
  <w:style w:type="paragraph" w:customStyle="1" w:styleId="Eqwhere">
    <w:name w:val="Eqwhere"/>
    <w:basedOn w:val="BodyText"/>
    <w:rsid w:val="0092470F"/>
    <w:pPr>
      <w:spacing w:after="240"/>
      <w:ind w:left="720"/>
    </w:pPr>
  </w:style>
  <w:style w:type="character" w:styleId="FollowedHyperlink">
    <w:name w:val="FollowedHyperlink"/>
    <w:basedOn w:val="DefaultParagraphFont"/>
    <w:rsid w:val="0092470F"/>
    <w:rPr>
      <w:rFonts w:cs="Times New Roman"/>
      <w:color w:val="auto"/>
      <w:u w:val="none"/>
    </w:rPr>
  </w:style>
  <w:style w:type="paragraph" w:styleId="Header">
    <w:name w:val="header"/>
    <w:basedOn w:val="Normal"/>
    <w:link w:val="HeaderChar"/>
    <w:rsid w:val="0092470F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link w:val="FooterChar"/>
    <w:semiHidden/>
    <w:rsid w:val="0092470F"/>
  </w:style>
  <w:style w:type="character" w:styleId="FootnoteReference">
    <w:name w:val="footnote reference"/>
    <w:basedOn w:val="DefaultParagraphFont"/>
    <w:semiHidden/>
    <w:rsid w:val="0092470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92470F"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character" w:styleId="Hyperlink">
    <w:name w:val="Hyperlink"/>
    <w:basedOn w:val="DefaultParagraphFont"/>
    <w:rsid w:val="0092470F"/>
    <w:rPr>
      <w:rFonts w:cs="Times New Roman"/>
      <w:color w:val="auto"/>
    </w:rPr>
  </w:style>
  <w:style w:type="paragraph" w:styleId="ListBullet">
    <w:name w:val="List Bullet"/>
    <w:basedOn w:val="Normal"/>
    <w:uiPriority w:val="99"/>
    <w:qFormat/>
    <w:rsid w:val="005A0D7D"/>
    <w:pPr>
      <w:numPr>
        <w:ilvl w:val="2"/>
        <w:numId w:val="3"/>
      </w:numPr>
    </w:pPr>
  </w:style>
  <w:style w:type="paragraph" w:styleId="ListBullet2">
    <w:name w:val="List Bullet 2"/>
    <w:basedOn w:val="Normal"/>
    <w:uiPriority w:val="99"/>
    <w:rsid w:val="0092470F"/>
  </w:style>
  <w:style w:type="paragraph" w:customStyle="1" w:styleId="Quotation">
    <w:name w:val="Quotation"/>
    <w:basedOn w:val="BodyText"/>
    <w:rsid w:val="0092470F"/>
    <w:pPr>
      <w:spacing w:after="240"/>
      <w:ind w:left="1080" w:right="360"/>
      <w:jc w:val="both"/>
    </w:pPr>
    <w:rPr>
      <w:kern w:val="20"/>
      <w:szCs w:val="24"/>
    </w:rPr>
  </w:style>
  <w:style w:type="paragraph" w:customStyle="1" w:styleId="Table">
    <w:name w:val="Table"/>
    <w:basedOn w:val="Normal"/>
    <w:link w:val="TableChar"/>
    <w:qFormat/>
    <w:rsid w:val="008760A3"/>
    <w:pPr>
      <w:keepLines/>
      <w:spacing w:before="120" w:after="120"/>
      <w:jc w:val="center"/>
    </w:pPr>
    <w:rPr>
      <w:sz w:val="22"/>
    </w:rPr>
  </w:style>
  <w:style w:type="table" w:styleId="TableGrid">
    <w:name w:val="Table Grid"/>
    <w:basedOn w:val="TableNormal"/>
    <w:rsid w:val="0092470F"/>
    <w:pPr>
      <w:spacing w:after="240"/>
      <w:jc w:val="both"/>
    </w:pPr>
    <w:rPr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rsid w:val="0092470F"/>
    <w:pPr>
      <w:keepNext/>
      <w:keepLines/>
      <w:tabs>
        <w:tab w:val="num" w:pos="720"/>
      </w:tabs>
      <w:spacing w:before="40" w:after="40"/>
    </w:pPr>
    <w:rPr>
      <w:sz w:val="18"/>
    </w:rPr>
  </w:style>
  <w:style w:type="paragraph" w:customStyle="1" w:styleId="Text">
    <w:name w:val="Text"/>
    <w:basedOn w:val="Normal"/>
    <w:uiPriority w:val="99"/>
    <w:qFormat/>
    <w:rsid w:val="005A0D7D"/>
    <w:pPr>
      <w:numPr>
        <w:ilvl w:val="1"/>
        <w:numId w:val="3"/>
      </w:numPr>
    </w:pPr>
  </w:style>
  <w:style w:type="paragraph" w:styleId="TOC1">
    <w:name w:val="toc 1"/>
    <w:basedOn w:val="Normal"/>
    <w:next w:val="Normal"/>
    <w:autoRedefine/>
    <w:semiHidden/>
    <w:rsid w:val="0092470F"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uiPriority w:val="39"/>
    <w:rsid w:val="0092470F"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uiPriority w:val="39"/>
    <w:rsid w:val="0092470F"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rsid w:val="001A232F"/>
    <w:pPr>
      <w:spacing w:before="240"/>
      <w:ind w:right="0"/>
    </w:pPr>
  </w:style>
  <w:style w:type="paragraph" w:customStyle="1" w:styleId="Default">
    <w:name w:val="Default"/>
    <w:rsid w:val="0092470F"/>
    <w:pPr>
      <w:numPr>
        <w:ilvl w:val="2"/>
        <w:numId w:val="13"/>
      </w:num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92470F"/>
    <w:rPr>
      <w:rFonts w:cs="Times New Roman"/>
    </w:rPr>
  </w:style>
  <w:style w:type="character" w:customStyle="1" w:styleId="BodyTextChar">
    <w:name w:val="Body Text Char"/>
    <w:basedOn w:val="DefaultParagraphFont"/>
    <w:link w:val="BodyText"/>
    <w:rsid w:val="0092470F"/>
    <w:rPr>
      <w:kern w:val="14"/>
      <w:sz w:val="24"/>
      <w:lang w:val="en-GB" w:bidi="en-US"/>
    </w:rPr>
  </w:style>
  <w:style w:type="paragraph" w:customStyle="1" w:styleId="DocumentControl">
    <w:name w:val="Document Control"/>
    <w:basedOn w:val="Normal"/>
    <w:rsid w:val="0092470F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92470F"/>
    <w:rPr>
      <w:rFonts w:ascii="Tahoma" w:eastAsia="MS Gothic" w:hAnsi="Tahoma"/>
      <w:kern w:val="14"/>
      <w:sz w:val="18"/>
      <w:shd w:val="clear" w:color="auto" w:fill="000080"/>
      <w:lang w:val="en-GB" w:bidi="en-US"/>
    </w:rPr>
  </w:style>
  <w:style w:type="character" w:customStyle="1" w:styleId="FooterChar">
    <w:name w:val="Footer Char"/>
    <w:basedOn w:val="DefaultParagraphFont"/>
    <w:link w:val="Footer"/>
    <w:semiHidden/>
    <w:rsid w:val="0092470F"/>
    <w:rPr>
      <w:rFonts w:ascii="Arial" w:hAnsi="Arial"/>
      <w:color w:val="0066CC"/>
      <w:kern w:val="18"/>
      <w:sz w:val="18"/>
      <w:lang w:val="en-GB" w:bidi="en-US"/>
    </w:rPr>
  </w:style>
  <w:style w:type="character" w:customStyle="1" w:styleId="FootnoteTextChar">
    <w:name w:val="Footnote Text Char"/>
    <w:basedOn w:val="DefaultParagraphFont"/>
    <w:link w:val="FootnoteText"/>
    <w:semiHidden/>
    <w:rsid w:val="0092470F"/>
    <w:rPr>
      <w:kern w:val="14"/>
      <w:sz w:val="18"/>
      <w:lang w:val="en-GB" w:bidi="en-US"/>
    </w:rPr>
  </w:style>
  <w:style w:type="character" w:customStyle="1" w:styleId="HeaderChar">
    <w:name w:val="Header Char"/>
    <w:basedOn w:val="DefaultParagraphFont"/>
    <w:link w:val="Header"/>
    <w:rsid w:val="0092470F"/>
    <w:rPr>
      <w:rFonts w:ascii="Arial" w:hAnsi="Arial"/>
      <w:color w:val="0066CC"/>
      <w:kern w:val="18"/>
      <w:sz w:val="18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9"/>
    <w:rsid w:val="00595E43"/>
    <w:rPr>
      <w:rFonts w:ascii="Arial Black" w:hAnsi="Arial Black"/>
      <w:color w:val="333333"/>
      <w:sz w:val="28"/>
      <w:lang w:val="en-GB" w:eastAsia="ja-JP" w:bidi="en-US"/>
    </w:rPr>
  </w:style>
  <w:style w:type="character" w:customStyle="1" w:styleId="Heading2Char">
    <w:name w:val="Heading 2 Char"/>
    <w:basedOn w:val="DefaultParagraphFont"/>
    <w:link w:val="Heading2"/>
    <w:rsid w:val="0092470F"/>
    <w:rPr>
      <w:rFonts w:ascii="Arial Black" w:hAnsi="Arial Black"/>
      <w:color w:val="333333"/>
      <w:sz w:val="22"/>
      <w:lang w:val="en-GB" w:bidi="en-US"/>
    </w:rPr>
  </w:style>
  <w:style w:type="character" w:customStyle="1" w:styleId="Heading3Char">
    <w:name w:val="Heading 3 Char"/>
    <w:basedOn w:val="DefaultParagraphFont"/>
    <w:link w:val="Heading3"/>
    <w:rsid w:val="0092470F"/>
    <w:rPr>
      <w:rFonts w:cs="Arial"/>
      <w:b/>
      <w:color w:val="333333"/>
      <w:sz w:val="22"/>
      <w:szCs w:val="18"/>
      <w:lang w:val="en-GB" w:bidi="en-US"/>
    </w:rPr>
  </w:style>
  <w:style w:type="character" w:customStyle="1" w:styleId="Heading4Char">
    <w:name w:val="Heading 4 Char"/>
    <w:basedOn w:val="DefaultParagraphFont"/>
    <w:link w:val="Heading4"/>
    <w:rsid w:val="0092470F"/>
    <w:rPr>
      <w:i/>
      <w:kern w:val="14"/>
      <w:sz w:val="24"/>
      <w:lang w:val="en-GB" w:bidi="en-US"/>
    </w:rPr>
  </w:style>
  <w:style w:type="paragraph" w:customStyle="1" w:styleId="Hidden">
    <w:name w:val="Hidden"/>
    <w:basedOn w:val="DocumentControl"/>
    <w:rsid w:val="0092470F"/>
    <w:rPr>
      <w:vanish/>
      <w:color w:val="FF6633"/>
    </w:rPr>
  </w:style>
  <w:style w:type="paragraph" w:styleId="PlainText">
    <w:name w:val="Plain Text"/>
    <w:basedOn w:val="Normal"/>
    <w:link w:val="PlainTextChar"/>
    <w:rsid w:val="0092470F"/>
    <w:rPr>
      <w:rFonts w:ascii="Courier" w:hAnsi="Courier"/>
      <w:szCs w:val="24"/>
    </w:rPr>
  </w:style>
  <w:style w:type="character" w:customStyle="1" w:styleId="PlainTextChar">
    <w:name w:val="Plain Text Char"/>
    <w:basedOn w:val="DefaultParagraphFont"/>
    <w:link w:val="PlainText"/>
    <w:rsid w:val="0092470F"/>
    <w:rPr>
      <w:rFonts w:ascii="Courier" w:hAnsi="Courier"/>
      <w:kern w:val="14"/>
      <w:sz w:val="24"/>
      <w:szCs w:val="24"/>
      <w:lang w:val="en-GB"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56B8"/>
    <w:rPr>
      <w:rFonts w:asciiTheme="majorHAnsi" w:eastAsiaTheme="majorEastAsia" w:hAnsiTheme="majorHAnsi" w:cstheme="majorBidi"/>
      <w:color w:val="243F60" w:themeColor="accent1" w:themeShade="7F"/>
      <w:kern w:val="14"/>
      <w:sz w:val="24"/>
      <w:lang w:val="en-GB" w:bidi="en-US"/>
    </w:rPr>
  </w:style>
  <w:style w:type="character" w:customStyle="1" w:styleId="TableChar">
    <w:name w:val="Table Char"/>
    <w:link w:val="Table"/>
    <w:locked/>
    <w:rsid w:val="00B817A3"/>
    <w:rPr>
      <w:kern w:val="14"/>
      <w:sz w:val="22"/>
      <w:lang w:val="en-GB" w:bidi="en-US"/>
    </w:rPr>
  </w:style>
  <w:style w:type="paragraph" w:styleId="TableofFigures">
    <w:name w:val="table of figures"/>
    <w:basedOn w:val="Normal"/>
    <w:next w:val="Normal"/>
    <w:uiPriority w:val="99"/>
    <w:unhideWhenUsed/>
    <w:rsid w:val="001A232F"/>
    <w:pPr>
      <w:tabs>
        <w:tab w:val="left" w:pos="950"/>
        <w:tab w:val="right" w:leader="dot" w:pos="9010"/>
      </w:tabs>
      <w:spacing w:before="120" w:after="0"/>
      <w:ind w:left="475" w:hanging="475"/>
    </w:pPr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2F35D-9D5F-4700-A4FE-EF3A9B8D8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524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Latrémolière</dc:creator>
  <cp:keywords/>
  <dc:description/>
  <cp:lastModifiedBy>Shankar</cp:lastModifiedBy>
  <cp:revision>11</cp:revision>
  <cp:lastPrinted>2017-11-12T11:09:00Z</cp:lastPrinted>
  <dcterms:created xsi:type="dcterms:W3CDTF">2017-11-16T11:27:00Z</dcterms:created>
  <dcterms:modified xsi:type="dcterms:W3CDTF">2018-01-02T11:06:00Z</dcterms:modified>
  <cp:category/>
</cp:coreProperties>
</file>