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95224040"/>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223DF1" w:rsidP="00223DF1">
          <w:pPr>
            <w:pStyle w:val="Title"/>
          </w:pPr>
          <w:r>
            <w:t>Title</w:t>
          </w:r>
          <w:r w:rsidR="00E219D8">
            <w:t xml:space="preserve">: </w:t>
          </w:r>
          <w:r w:rsidR="00E219D8" w:rsidRPr="00E219D8">
            <w:t>Introduction of the Electricity Theft Detection Incentive Scheme</w:t>
          </w:r>
        </w:p>
        <w:p w:rsidR="00A828F0" w:rsidRDefault="00251AF3" w:rsidP="00A828F0">
          <w:pPr>
            <w:pStyle w:val="BodyTextNoSpacing"/>
          </w:pPr>
          <w:r>
            <w:t xml:space="preserve">To: </w:t>
          </w:r>
          <w:r w:rsidR="00E219D8">
            <w:t>Fungai Madzivadondo</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E219D8">
            <w:t>10 March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181B0795250457A886FDE89355A6C1C"/>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181B0795250457A886FDE89355A6C1C"/>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BD01F6C8AA63401DACEA5AFA99DAAED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181B0795250457A886FDE89355A6C1C"/>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181B0795250457A886FDE89355A6C1C"/>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BD01F6C8AA63401DACEA5AFA99DAAED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understand the intent of the CP?</w:t>
                </w:r>
              </w:p>
            </w:tc>
          </w:tr>
          <w:tr w:rsidR="00E219D8" w:rsidTr="00E219D8">
            <w:sdt>
              <w:sdtPr>
                <w:tag w:val="dcusa_response1"/>
                <w:id w:val="1025065675"/>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Are you supportive of the principles of the CP?</w:t>
                </w:r>
              </w:p>
            </w:tc>
          </w:tr>
          <w:tr w:rsidR="00E219D8" w:rsidTr="00E219D8">
            <w:sdt>
              <w:sdtPr>
                <w:tag w:val="dcusa_response2"/>
                <w:id w:val="518971346"/>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TIG’s view that Suppliers Theft Targets should be split based on domestic and commercial metering points? If no, please provide your rationale.</w:t>
                </w:r>
              </w:p>
            </w:tc>
          </w:tr>
          <w:tr w:rsidR="00E219D8" w:rsidTr="00E219D8">
            <w:sdt>
              <w:sdtPr>
                <w:tag w:val="dcusa_response3"/>
                <w:id w:val="2088102283"/>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proposed Theft Target spilt of 28,000 for the domestic sector and 4,000 for the commercial sector? If no, please provide your rationale.</w:t>
                </w:r>
              </w:p>
            </w:tc>
          </w:tr>
          <w:tr w:rsidR="00E219D8" w:rsidTr="00E219D8">
            <w:sdt>
              <w:sdtPr>
                <w:tag w:val="dcusa_response4"/>
                <w:id w:val="-773014067"/>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lastRenderedPageBreak/>
                  <w:t>Do you agree with the TIG’s proposal for excluding individual Suppliers whose Theft Target is calculated to be less than 1 Confirmed Theft for each Scheme Year? If no, please provide your rationale.</w:t>
                </w:r>
              </w:p>
            </w:tc>
          </w:tr>
          <w:tr w:rsidR="00E219D8" w:rsidTr="00E219D8">
            <w:sdt>
              <w:sdtPr>
                <w:tag w:val="dcusa_response5"/>
                <w:id w:val="-748725455"/>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TIG’s view that that the size of the pot is reasonable? If no, please provide your rationale.</w:t>
                </w:r>
              </w:p>
            </w:tc>
          </w:tr>
          <w:tr w:rsidR="00E219D8" w:rsidTr="00E219D8">
            <w:sdt>
              <w:sdtPr>
                <w:tag w:val="dcusa_response6"/>
                <w:id w:val="-81925816"/>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TIG’s proposal for self-certification and audit? If no, please provide your rationale.</w:t>
                </w:r>
              </w:p>
            </w:tc>
          </w:tr>
          <w:tr w:rsidR="00E219D8" w:rsidTr="00E219D8">
            <w:sdt>
              <w:sdtPr>
                <w:tag w:val="dcusa_response7"/>
                <w:id w:val="1586577284"/>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TIG’s proposal that there should be not explicit provisions relating to cannabis farms within the electricity Theft Detection Incentive Scheme?  All Confirmed Theft detections will be allocated to the relevant market sector based on whether they relate to a domestic or commercial metering point. In no, please provide rationale.</w:t>
                </w:r>
              </w:p>
            </w:tc>
          </w:tr>
          <w:tr w:rsidR="00E219D8" w:rsidTr="00E219D8">
            <w:sdt>
              <w:sdtPr>
                <w:tag w:val="dcusa_response8"/>
                <w:id w:val="-669262865"/>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agree with the TIG’s proposal to implement the electricity scheme for one short or long year (6 months or 18 months) and then aligned for future years? If no, please provide your rationale.</w:t>
                </w:r>
              </w:p>
            </w:tc>
          </w:tr>
          <w:tr w:rsidR="00E219D8" w:rsidTr="00E219D8">
            <w:sdt>
              <w:sdtPr>
                <w:tag w:val="dcusa_response9"/>
                <w:id w:val="3106422"/>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1E3BC1" w:rsidRDefault="001E3B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consider that the proposal better facilitates the DCUSA objectives? Please give supporting reasons.</w:t>
                </w:r>
              </w:p>
            </w:tc>
          </w:tr>
          <w:tr w:rsidR="00E219D8" w:rsidTr="00E219D8">
            <w:sdt>
              <w:sdtPr>
                <w:tag w:val="dcusa_response10"/>
                <w:id w:val="263658894"/>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1E3BC1" w:rsidRDefault="001E3B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have any comments on the draft legal text?</w:t>
                </w:r>
              </w:p>
            </w:tc>
          </w:tr>
          <w:tr w:rsidR="00E219D8" w:rsidTr="00E219D8">
            <w:sdt>
              <w:sdtPr>
                <w:tag w:val="dcusa_response11"/>
                <w:id w:val="1779521391"/>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3BC1" w:rsidTr="001E3BC1">
            <w:trPr>
              <w:cnfStyle w:val="100000000000" w:firstRow="1" w:lastRow="0" w:firstColumn="0" w:lastColumn="0" w:oddVBand="0" w:evenVBand="0" w:oddHBand="0" w:evenHBand="0" w:firstRowFirstColumn="0" w:firstRowLastColumn="0" w:lastRowFirstColumn="0" w:lastRowLastColumn="0"/>
            </w:trPr>
            <w:tc>
              <w:tcPr>
                <w:tcW w:w="9071" w:type="dxa"/>
              </w:tcPr>
              <w:p w:rsidR="001E3BC1" w:rsidRDefault="001E3BC1" w:rsidP="001E3BC1">
                <w:pPr>
                  <w:pStyle w:val="Question"/>
                </w:pPr>
                <w:r w:rsidRPr="001E3BC1">
                  <w:lastRenderedPageBreak/>
                  <w:t>The legal text refers to domestic and commercial metering points which are not defined within DCUSA.  Do you believe a definition is required as part of this change?</w:t>
                </w:r>
                <w:bookmarkStart w:id="0" w:name="_GoBack"/>
                <w:bookmarkEnd w:id="0"/>
              </w:p>
            </w:tc>
          </w:tr>
          <w:tr w:rsidR="001E3BC1" w:rsidTr="001E3BC1">
            <w:sdt>
              <w:sdtPr>
                <w:tag w:val="dcusa_response16"/>
                <w:id w:val="-1634708456"/>
                <w:placeholder>
                  <w:docPart w:val="DefaultPlaceholder_-1854013440"/>
                </w:placeholder>
                <w:showingPlcHdr/>
              </w:sdtPr>
              <w:sdtContent>
                <w:tc>
                  <w:tcPr>
                    <w:tcW w:w="9071" w:type="dxa"/>
                  </w:tcPr>
                  <w:p w:rsidR="001E3BC1" w:rsidRDefault="001E3BC1" w:rsidP="001E3BC1">
                    <w:pPr>
                      <w:pStyle w:val="BodyText"/>
                    </w:pPr>
                    <w:r w:rsidRPr="007928C6">
                      <w:rPr>
                        <w:rStyle w:val="PlaceholderText"/>
                      </w:rPr>
                      <w:t>Click or tap here to enter text.</w:t>
                    </w:r>
                  </w:p>
                </w:tc>
              </w:sdtContent>
            </w:sdt>
          </w:tr>
        </w:tbl>
        <w:p w:rsidR="001E3BC1" w:rsidRDefault="001E3B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Are there any additional changes you would like to suggest to ensure the effective implementation of the Electricity Theft Detection Incentive Scheme? If yes, please provide your rationale.</w:t>
                </w:r>
              </w:p>
            </w:tc>
          </w:tr>
          <w:tr w:rsidR="00E219D8" w:rsidTr="00E219D8">
            <w:sdt>
              <w:sdtPr>
                <w:tag w:val="dcusa_response12"/>
                <w:id w:val="513428476"/>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Are there any alternative solutions or unintended consequences that should be considered by the Theft Issues Group?</w:t>
                </w:r>
              </w:p>
            </w:tc>
          </w:tr>
          <w:tr w:rsidR="00E219D8" w:rsidTr="00E219D8">
            <w:sdt>
              <w:sdtPr>
                <w:tag w:val="dcusa_response13"/>
                <w:id w:val="-824978535"/>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 xml:space="preserve">Are you aware of any wider industry developments that may impact upon or be impacted by this CP?  </w:t>
                </w:r>
              </w:p>
            </w:tc>
          </w:tr>
          <w:tr w:rsidR="00E219D8" w:rsidTr="00E219D8">
            <w:sdt>
              <w:sdtPr>
                <w:tag w:val="dcusa_response14"/>
                <w:id w:val="-1344479644"/>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Default="00E219D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219D8" w:rsidTr="00E219D8">
            <w:trPr>
              <w:cnfStyle w:val="100000000000" w:firstRow="1" w:lastRow="0" w:firstColumn="0" w:lastColumn="0" w:oddVBand="0" w:evenVBand="0" w:oddHBand="0" w:evenHBand="0" w:firstRowFirstColumn="0" w:firstRowLastColumn="0" w:lastRowFirstColumn="0" w:lastRowLastColumn="0"/>
            </w:trPr>
            <w:tc>
              <w:tcPr>
                <w:tcW w:w="9287" w:type="dxa"/>
              </w:tcPr>
              <w:p w:rsidR="00E219D8" w:rsidRDefault="00E219D8" w:rsidP="00E219D8">
                <w:pPr>
                  <w:pStyle w:val="Question"/>
                </w:pPr>
                <w:r w:rsidRPr="00E219D8">
                  <w:t>Do you have any further comments?</w:t>
                </w:r>
              </w:p>
            </w:tc>
          </w:tr>
          <w:tr w:rsidR="00E219D8" w:rsidTr="00E219D8">
            <w:sdt>
              <w:sdtPr>
                <w:tag w:val="dcusa_response15"/>
                <w:id w:val="1193034830"/>
                <w:placeholder>
                  <w:docPart w:val="DefaultPlaceholder_-1854013440"/>
                </w:placeholder>
                <w:showingPlcHdr/>
              </w:sdtPr>
              <w:sdtEndPr/>
              <w:sdtContent>
                <w:tc>
                  <w:tcPr>
                    <w:tcW w:w="9287" w:type="dxa"/>
                  </w:tcPr>
                  <w:p w:rsidR="00E219D8" w:rsidRDefault="00E219D8" w:rsidP="00E219D8">
                    <w:pPr>
                      <w:pStyle w:val="BodyText"/>
                    </w:pPr>
                    <w:r w:rsidRPr="007928C6">
                      <w:rPr>
                        <w:rStyle w:val="PlaceholderText"/>
                      </w:rPr>
                      <w:t>Click or tap here to enter text.</w:t>
                    </w:r>
                  </w:p>
                </w:tc>
              </w:sdtContent>
            </w:sdt>
          </w:tr>
        </w:tbl>
        <w:p w:rsidR="00E219D8" w:rsidRPr="00223DF1" w:rsidRDefault="001E3BC1" w:rsidP="0023069B">
          <w:pPr>
            <w:pStyle w:val="BodyText"/>
          </w:pPr>
        </w:p>
      </w:sdtContent>
    </w:sdt>
    <w:sectPr w:rsidR="00E219D8"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9D8" w:rsidRDefault="00E219D8" w:rsidP="00FD00A2">
      <w:r>
        <w:separator/>
      </w:r>
    </w:p>
  </w:endnote>
  <w:endnote w:type="continuationSeparator" w:id="0">
    <w:p w:rsidR="00E219D8" w:rsidRDefault="00E219D8"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263852"/>
      <w:lock w:val="contentLocked"/>
      <w:placeholder>
        <w:docPart w:val="DefaultPlaceholder_-1854013440"/>
      </w:placeholder>
      <w:showingPlcHdr/>
      <w:group/>
    </w:sdtPr>
    <w:sdtContent>
      <w:p w:rsidR="00E219D8" w:rsidRDefault="001E3BC1">
        <w:pPr>
          <w:pStyle w:val="Footer"/>
        </w:pPr>
        <w:r w:rsidRPr="007928C6">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240230"/>
      <w:lock w:val="contentLocked"/>
      <w:placeholder>
        <w:docPart w:val="DefaultPlaceholder_-1854013440"/>
      </w:placeholder>
      <w:group/>
    </w:sdtPr>
    <w:sdtContent>
      <w:p w:rsidR="00FD00A2" w:rsidRDefault="00E219D8">
        <w:pPr>
          <w:pStyle w:val="Footer"/>
        </w:pPr>
        <w:r>
          <w:t>17 February 2017</w:t>
        </w:r>
        <w:r w:rsidR="00FD00A2">
          <w:tab/>
          <w:t xml:space="preserve">Page </w:t>
        </w:r>
        <w:r w:rsidR="00FD00A2">
          <w:fldChar w:fldCharType="begin"/>
        </w:r>
        <w:r w:rsidR="00FD00A2">
          <w:instrText xml:space="preserve"> page </w:instrText>
        </w:r>
        <w:r w:rsidR="00FD00A2">
          <w:fldChar w:fldCharType="separate"/>
        </w:r>
        <w:r w:rsidR="001E3BC1">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sidR="001E3BC1">
          <w:rPr>
            <w:noProof/>
          </w:rPr>
          <w:t>3</w:t>
        </w:r>
        <w:r w:rsidR="00FD00A2">
          <w:fldChar w:fldCharType="end"/>
        </w:r>
        <w:r w:rsidR="00FD00A2">
          <w:tab/>
        </w:r>
        <w: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121173"/>
      <w:lock w:val="contentLocked"/>
      <w:placeholder>
        <w:docPart w:val="DefaultPlaceholder_-1854013440"/>
      </w:placeholder>
      <w:showingPlcHdr/>
      <w:group/>
    </w:sdtPr>
    <w:sdtContent>
      <w:p w:rsidR="00E219D8" w:rsidRDefault="001E3BC1">
        <w:pPr>
          <w:pStyle w:val="Footer"/>
        </w:pPr>
        <w:r w:rsidRPr="007928C6">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9D8" w:rsidRDefault="00E219D8" w:rsidP="00FD00A2">
      <w:r>
        <w:separator/>
      </w:r>
    </w:p>
  </w:footnote>
  <w:footnote w:type="continuationSeparator" w:id="0">
    <w:p w:rsidR="00E219D8" w:rsidRDefault="00E219D8"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w:t>
      </w:r>
      <w:r w:rsidR="00E219D8">
        <w:t>ctralink.co.uk or 0207 7432 3008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612870"/>
      <w:lock w:val="contentLocked"/>
      <w:placeholder>
        <w:docPart w:val="DefaultPlaceholder_-1854013440"/>
      </w:placeholder>
      <w:showingPlcHdr/>
      <w:group/>
    </w:sdtPr>
    <w:sdtContent>
      <w:p w:rsidR="00E219D8" w:rsidRDefault="001E3BC1">
        <w:pPr>
          <w:pStyle w:val="Header"/>
        </w:pPr>
        <w:r w:rsidRPr="007928C6">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839822"/>
      <w:lock w:val="contentLocked"/>
      <w:placeholder>
        <w:docPart w:val="DefaultPlaceholder_-1854013440"/>
      </w:placeholder>
      <w:group/>
    </w:sdtPr>
    <w:sdtContent>
      <w:p w:rsidR="00FD00A2" w:rsidRDefault="00251AF3">
        <w:pPr>
          <w:pStyle w:val="Header"/>
        </w:pPr>
        <w:r>
          <w:t xml:space="preserve">DCUSA Consultation </w:t>
        </w:r>
        <w:r w:rsidR="00FD00A2">
          <w:tab/>
        </w:r>
        <w:r w:rsidR="00E219D8">
          <w:t>DCP 288</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908804"/>
      <w:lock w:val="contentLocked"/>
      <w:placeholder>
        <w:docPart w:val="DefaultPlaceholder_-1854013440"/>
      </w:placeholder>
      <w:showingPlcHdr/>
      <w:group/>
    </w:sdtPr>
    <w:sdtContent>
      <w:p w:rsidR="00E219D8" w:rsidRDefault="001E3BC1">
        <w:pPr>
          <w:pStyle w:val="Header"/>
        </w:pPr>
        <w:r w:rsidRPr="007928C6">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9D8"/>
    <w:rsid w:val="00077D80"/>
    <w:rsid w:val="00134AF7"/>
    <w:rsid w:val="001E03C5"/>
    <w:rsid w:val="001E3BC1"/>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219D8"/>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B1F86E"/>
  <w15:docId w15:val="{59B28E9C-1756-4AAB-9889-E696A64E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lectralink.co.uk\Data\Data1\Governance%20Services\DCUSA\A%20-%20Change%20Process\DCP_288\B%20-%20Consultation\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81B0795250457A886FDE89355A6C1C"/>
        <w:category>
          <w:name w:val="General"/>
          <w:gallery w:val="placeholder"/>
        </w:category>
        <w:types>
          <w:type w:val="bbPlcHdr"/>
        </w:types>
        <w:behaviors>
          <w:behavior w:val="content"/>
        </w:behaviors>
        <w:guid w:val="{5D36EDDC-16A0-48B9-B7F9-45D5D95B941C}"/>
      </w:docPartPr>
      <w:docPartBody>
        <w:p w:rsidR="008B3F41" w:rsidRDefault="001D72EC">
          <w:pPr>
            <w:pStyle w:val="7181B0795250457A886FDE89355A6C1C"/>
          </w:pPr>
          <w:r w:rsidRPr="005D19FB">
            <w:rPr>
              <w:rStyle w:val="PlaceholderText"/>
            </w:rPr>
            <w:t>Click here to enter text.</w:t>
          </w:r>
        </w:p>
      </w:docPartBody>
    </w:docPart>
    <w:docPart>
      <w:docPartPr>
        <w:name w:val="BD01F6C8AA63401DACEA5AFA99DAAEDB"/>
        <w:category>
          <w:name w:val="General"/>
          <w:gallery w:val="placeholder"/>
        </w:category>
        <w:types>
          <w:type w:val="bbPlcHdr"/>
        </w:types>
        <w:behaviors>
          <w:behavior w:val="content"/>
        </w:behaviors>
        <w:guid w:val="{C49A7879-6CF0-4FC1-82B3-F9C962C99EB3}"/>
      </w:docPartPr>
      <w:docPartBody>
        <w:p w:rsidR="008B3F41" w:rsidRDefault="001D72EC">
          <w:pPr>
            <w:pStyle w:val="BD01F6C8AA63401DACEA5AFA99DAAED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B3741D04-95D5-4722-8932-F7F9B1372F3E}"/>
      </w:docPartPr>
      <w:docPartBody>
        <w:p w:rsidR="008B3F41" w:rsidRDefault="001D72EC">
          <w:r w:rsidRPr="007928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2EC"/>
    <w:rsid w:val="001D72EC"/>
    <w:rsid w:val="008B3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72EC"/>
    <w:rPr>
      <w:color w:val="808080"/>
    </w:rPr>
  </w:style>
  <w:style w:type="paragraph" w:customStyle="1" w:styleId="7181B0795250457A886FDE89355A6C1C">
    <w:name w:val="7181B0795250457A886FDE89355A6C1C"/>
  </w:style>
  <w:style w:type="paragraph" w:customStyle="1" w:styleId="BD01F6C8AA63401DACEA5AFA99DAAEDB">
    <w:name w:val="BD01F6C8AA63401DACEA5AFA99DAA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7F661-920D-4DF4-9BE1-D789CC32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10</TotalTime>
  <Pages>3</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Consultation Response Form</vt:lpstr>
    </vt:vector>
  </TitlesOfParts>
  <Company>Electralink</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2017-02-17T10:51:00Z</dcterms:created>
  <dcterms:modified xsi:type="dcterms:W3CDTF">2017-02-17T11:14:00Z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