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CAE5A" w14:textId="77777777" w:rsidR="002356F2" w:rsidRDefault="00080330" w:rsidP="00EF4E45">
      <w:pPr>
        <w:pStyle w:val="DCHeading1"/>
        <w:spacing w:after="0"/>
      </w:pPr>
      <w:bookmarkStart w:id="0" w:name="_Toc360027685"/>
      <w:bookmarkStart w:id="1" w:name="_Toc360028039"/>
      <w:bookmarkStart w:id="2" w:name="_Toc391559897"/>
      <w:bookmarkStart w:id="3" w:name="_Toc510303017"/>
      <w:bookmarkStart w:id="4" w:name="_Toc513018429"/>
      <w:r>
        <w:t xml:space="preserve">dcp 287 draft legal text </w:t>
      </w:r>
    </w:p>
    <w:p w14:paraId="58B50298" w14:textId="5200ECE2" w:rsidR="00080330" w:rsidRDefault="00080330" w:rsidP="00080330">
      <w:pPr>
        <w:pStyle w:val="DCHeading1"/>
      </w:pPr>
      <w:r>
        <w:t>(baseline</w:t>
      </w:r>
      <w:r w:rsidR="002356F2">
        <w:t>d against</w:t>
      </w:r>
      <w:r>
        <w:t xml:space="preserve"> dcusa </w:t>
      </w:r>
      <w:r w:rsidR="002356F2">
        <w:t xml:space="preserve">version </w:t>
      </w:r>
      <w:r>
        <w:t>10.3</w:t>
      </w:r>
      <w:r w:rsidR="002356F2">
        <w:t>)</w:t>
      </w:r>
      <w:r w:rsidR="00EF4E45">
        <w:t xml:space="preserve"> + (DCP 311) </w:t>
      </w:r>
    </w:p>
    <w:p w14:paraId="5CD73848" w14:textId="4251747D" w:rsidR="003701BD" w:rsidRPr="003701BD" w:rsidRDefault="003701BD" w:rsidP="003701BD">
      <w:pPr>
        <w:pStyle w:val="DCSubHeading1Level2"/>
        <w:rPr>
          <w:u w:val="none"/>
        </w:rPr>
      </w:pPr>
      <w:r w:rsidRPr="003701BD">
        <w:rPr>
          <w:u w:val="none"/>
        </w:rPr>
        <w:t>SCHEDULE 17</w:t>
      </w:r>
    </w:p>
    <w:p w14:paraId="524CEF58" w14:textId="758A60EB" w:rsidR="00887685" w:rsidRPr="00426623" w:rsidRDefault="00887685" w:rsidP="00887685">
      <w:pPr>
        <w:pStyle w:val="Heading1"/>
      </w:pPr>
      <w:r w:rsidRPr="00426623">
        <w:t>Application of FCP charge 1</w:t>
      </w:r>
      <w:bookmarkEnd w:id="0"/>
      <w:bookmarkEnd w:id="1"/>
      <w:bookmarkEnd w:id="2"/>
      <w:bookmarkEnd w:id="3"/>
      <w:bookmarkEnd w:id="4"/>
    </w:p>
    <w:p w14:paraId="6C86E606" w14:textId="77777777" w:rsidR="00887685" w:rsidRDefault="00887685" w:rsidP="008D55D2">
      <w:pPr>
        <w:pStyle w:val="Heading2"/>
      </w:pPr>
      <w:r w:rsidRPr="00426623">
        <w:t>Each tariff in the model is linked to one FCP location or network group.  Each FCP network group may be linked to a parent FCP network group and a grandparent FCP network group.  Each FCP network group may have a charge 1 in £/kVA/year associated with it.</w:t>
      </w:r>
    </w:p>
    <w:p w14:paraId="0E3352F8" w14:textId="77777777" w:rsidR="00887685" w:rsidRDefault="00887685" w:rsidP="008D55D2">
      <w:pPr>
        <w:pStyle w:val="Heading2"/>
      </w:pPr>
      <w:r>
        <w:t xml:space="preserve">The import charges for the application of charge 1 is given by the formulas: </w:t>
      </w:r>
    </w:p>
    <w:p w14:paraId="62029F07" w14:textId="77777777" w:rsidR="00887685" w:rsidRPr="00887685" w:rsidRDefault="00887685" w:rsidP="00EF4E45">
      <w:pPr>
        <w:ind w:left="720"/>
        <w:jc w:val="both"/>
        <w:rPr>
          <w:rStyle w:val="Strong"/>
          <w:b w:val="0"/>
        </w:rPr>
      </w:pPr>
      <w:r w:rsidRPr="00887685">
        <w:rPr>
          <w:rStyle w:val="Strong"/>
          <w:b w:val="0"/>
        </w:rPr>
        <w:t>For Connectees with zero average kW/kVA:</w:t>
      </w:r>
    </w:p>
    <w:p w14:paraId="199BAC75" w14:textId="77777777" w:rsidR="00887685" w:rsidRPr="00887685" w:rsidRDefault="00887685" w:rsidP="00EF4E45">
      <w:pPr>
        <w:ind w:left="720"/>
        <w:jc w:val="both"/>
        <w:rPr>
          <w:rStyle w:val="Strong"/>
          <w:b w:val="0"/>
        </w:rPr>
      </w:pPr>
      <w:r w:rsidRPr="00887685">
        <w:rPr>
          <w:rStyle w:val="Strong"/>
          <w:b w:val="0"/>
        </w:rPr>
        <w:t>[p/kWh super-red rate] = ([parent charge 1 £/kVA/</w:t>
      </w:r>
      <w:proofErr w:type="spellStart"/>
      <w:r w:rsidRPr="00887685">
        <w:rPr>
          <w:rStyle w:val="Strong"/>
          <w:b w:val="0"/>
        </w:rPr>
        <w:t>yr</w:t>
      </w:r>
      <w:proofErr w:type="spellEnd"/>
      <w:r w:rsidRPr="00887685">
        <w:rPr>
          <w:rStyle w:val="Strong"/>
          <w:b w:val="0"/>
        </w:rPr>
        <w:t>] * (abs[A1] / (</w:t>
      </w:r>
      <w:proofErr w:type="gramStart"/>
      <w:r w:rsidRPr="00887685">
        <w:rPr>
          <w:rStyle w:val="Strong"/>
          <w:b w:val="0"/>
        </w:rPr>
        <w:t>SQRT(</w:t>
      </w:r>
      <w:proofErr w:type="gramEnd"/>
      <w:r w:rsidRPr="00887685">
        <w:rPr>
          <w:rStyle w:val="Strong"/>
          <w:b w:val="0"/>
        </w:rPr>
        <w:t>A1^2 + R1^2)) / [Super-red hours] *100) + ([grandparent charge 1 £/kVA/</w:t>
      </w:r>
      <w:proofErr w:type="spellStart"/>
      <w:r w:rsidRPr="00887685">
        <w:rPr>
          <w:rStyle w:val="Strong"/>
          <w:b w:val="0"/>
        </w:rPr>
        <w:t>yr</w:t>
      </w:r>
      <w:proofErr w:type="spellEnd"/>
      <w:r w:rsidRPr="00887685">
        <w:rPr>
          <w:rStyle w:val="Strong"/>
          <w:b w:val="0"/>
        </w:rPr>
        <w:t>] * (abs[A2] / (SQRT(A2^2 + R2^2)) / [Super-red hours] *100)</w:t>
      </w:r>
    </w:p>
    <w:p w14:paraId="0433C0FA" w14:textId="77777777" w:rsidR="00887685" w:rsidRPr="00887685" w:rsidRDefault="00887685" w:rsidP="00EF4E45">
      <w:pPr>
        <w:ind w:left="720"/>
        <w:jc w:val="both"/>
        <w:rPr>
          <w:rStyle w:val="Strong"/>
          <w:b w:val="0"/>
        </w:rPr>
      </w:pPr>
      <w:r w:rsidRPr="00887685">
        <w:rPr>
          <w:rStyle w:val="Strong"/>
          <w:b w:val="0"/>
        </w:rPr>
        <w:t>[p/kVA/day capacity charge] = ([network charge 1 £/kVA/year] /[days in Charging Year]*100) + ([parent charge 1 £/kVA/</w:t>
      </w:r>
      <w:proofErr w:type="spellStart"/>
      <w:r w:rsidRPr="00887685">
        <w:rPr>
          <w:rStyle w:val="Strong"/>
          <w:b w:val="0"/>
        </w:rPr>
        <w:t>yr</w:t>
      </w:r>
      <w:proofErr w:type="spellEnd"/>
      <w:r w:rsidRPr="00887685">
        <w:rPr>
          <w:rStyle w:val="Strong"/>
          <w:b w:val="0"/>
        </w:rPr>
        <w:t xml:space="preserve">]  * (–R1 * Average </w:t>
      </w:r>
      <w:proofErr w:type="spellStart"/>
      <w:r w:rsidRPr="00887685">
        <w:rPr>
          <w:rStyle w:val="Strong"/>
          <w:b w:val="0"/>
        </w:rPr>
        <w:t>kVAr</w:t>
      </w:r>
      <w:proofErr w:type="spellEnd"/>
      <w:r w:rsidRPr="00887685">
        <w:rPr>
          <w:rStyle w:val="Strong"/>
          <w:b w:val="0"/>
        </w:rPr>
        <w:t>/kVA]) / (SQRT(A1^2 + R1^2)) / [days in Charging Year] *100) + ([grandparent charge 1 £/kVA/</w:t>
      </w:r>
      <w:proofErr w:type="spellStart"/>
      <w:r w:rsidRPr="00887685">
        <w:rPr>
          <w:rStyle w:val="Strong"/>
          <w:b w:val="0"/>
        </w:rPr>
        <w:t>yr</w:t>
      </w:r>
      <w:proofErr w:type="spellEnd"/>
      <w:r w:rsidRPr="00887685">
        <w:rPr>
          <w:rStyle w:val="Strong"/>
          <w:b w:val="0"/>
        </w:rPr>
        <w:t xml:space="preserve">]  * (–R2 * [Average </w:t>
      </w:r>
      <w:proofErr w:type="spellStart"/>
      <w:r w:rsidRPr="00887685">
        <w:rPr>
          <w:rStyle w:val="Strong"/>
          <w:b w:val="0"/>
        </w:rPr>
        <w:t>kVAr</w:t>
      </w:r>
      <w:proofErr w:type="spellEnd"/>
      <w:r w:rsidRPr="00887685">
        <w:rPr>
          <w:rStyle w:val="Strong"/>
          <w:b w:val="0"/>
        </w:rPr>
        <w:t>/kVA]) / (SQRT(A2^2 + R2^2)) / [days in Charging Year] *100)</w:t>
      </w:r>
    </w:p>
    <w:p w14:paraId="507EDA56" w14:textId="77777777" w:rsidR="00887685" w:rsidRPr="00887685" w:rsidRDefault="00887685" w:rsidP="00EF4E45">
      <w:pPr>
        <w:ind w:left="720"/>
        <w:jc w:val="both"/>
        <w:rPr>
          <w:rStyle w:val="Strong"/>
          <w:b w:val="0"/>
        </w:rPr>
      </w:pPr>
      <w:r w:rsidRPr="00887685">
        <w:rPr>
          <w:rStyle w:val="Strong"/>
          <w:b w:val="0"/>
        </w:rPr>
        <w:t xml:space="preserve">For all other Connectees: </w:t>
      </w:r>
    </w:p>
    <w:p w14:paraId="2D8AF2D4" w14:textId="77777777" w:rsidR="00887685" w:rsidRPr="00887685" w:rsidRDefault="00887685" w:rsidP="00EF4E45">
      <w:pPr>
        <w:ind w:left="720"/>
        <w:jc w:val="both"/>
        <w:rPr>
          <w:rStyle w:val="Strong"/>
          <w:b w:val="0"/>
        </w:rPr>
      </w:pPr>
      <w:r w:rsidRPr="00887685">
        <w:rPr>
          <w:rStyle w:val="Strong"/>
          <w:b w:val="0"/>
        </w:rPr>
        <w:t>[p/kWh super-red rate] = [parent charge 1 £/kVA/</w:t>
      </w:r>
      <w:proofErr w:type="spellStart"/>
      <w:r w:rsidRPr="00887685">
        <w:rPr>
          <w:rStyle w:val="Strong"/>
          <w:b w:val="0"/>
        </w:rPr>
        <w:t>yr</w:t>
      </w:r>
      <w:proofErr w:type="spellEnd"/>
      <w:r w:rsidRPr="00887685">
        <w:rPr>
          <w:rStyle w:val="Strong"/>
          <w:b w:val="0"/>
        </w:rPr>
        <w:t xml:space="preserve">] * (abs[A1] – (R1 * ([Average </w:t>
      </w:r>
      <w:proofErr w:type="spellStart"/>
      <w:r w:rsidRPr="00887685">
        <w:rPr>
          <w:rStyle w:val="Strong"/>
          <w:b w:val="0"/>
        </w:rPr>
        <w:t>kVAr</w:t>
      </w:r>
      <w:proofErr w:type="spellEnd"/>
      <w:r w:rsidRPr="00887685">
        <w:rPr>
          <w:rStyle w:val="Strong"/>
          <w:b w:val="0"/>
        </w:rPr>
        <w:t>/kVA] / [Average kW/kVA])) / (SQRT(A1^2 + R1^2)) / [Super-red hours] *100 + ([grandparent charge 1 £/kVA/</w:t>
      </w:r>
      <w:proofErr w:type="spellStart"/>
      <w:r w:rsidRPr="00887685">
        <w:rPr>
          <w:rStyle w:val="Strong"/>
          <w:b w:val="0"/>
        </w:rPr>
        <w:t>yr</w:t>
      </w:r>
      <w:proofErr w:type="spellEnd"/>
      <w:r w:rsidRPr="00887685">
        <w:rPr>
          <w:rStyle w:val="Strong"/>
          <w:b w:val="0"/>
        </w:rPr>
        <w:t xml:space="preserve">] * (abs[A2] – (R2 * ([Average </w:t>
      </w:r>
      <w:proofErr w:type="spellStart"/>
      <w:r w:rsidRPr="00887685">
        <w:rPr>
          <w:rStyle w:val="Strong"/>
          <w:b w:val="0"/>
        </w:rPr>
        <w:t>kVAr</w:t>
      </w:r>
      <w:proofErr w:type="spellEnd"/>
      <w:r w:rsidRPr="00887685">
        <w:rPr>
          <w:rStyle w:val="Strong"/>
          <w:b w:val="0"/>
        </w:rPr>
        <w:t>/kVA] / [Average kW/kVA])) / (SQRT(A2^2 + R2^2)) / [Super-red hours] *100)</w:t>
      </w:r>
    </w:p>
    <w:p w14:paraId="469283D6" w14:textId="77777777" w:rsidR="00887685" w:rsidRPr="00887685" w:rsidRDefault="00887685" w:rsidP="00EF4E45">
      <w:pPr>
        <w:ind w:left="720"/>
        <w:jc w:val="both"/>
        <w:rPr>
          <w:rStyle w:val="Strong"/>
          <w:b w:val="0"/>
        </w:rPr>
      </w:pPr>
      <w:r w:rsidRPr="00887685">
        <w:rPr>
          <w:rStyle w:val="Strong"/>
          <w:b w:val="0"/>
        </w:rPr>
        <w:t xml:space="preserve">[p/kVA/day capacity charge] = [network group charge 1 £/kVA/year] / [days in Charging </w:t>
      </w:r>
      <w:proofErr w:type="gramStart"/>
      <w:r w:rsidRPr="00887685">
        <w:rPr>
          <w:rStyle w:val="Strong"/>
          <w:b w:val="0"/>
        </w:rPr>
        <w:t>Year]*</w:t>
      </w:r>
      <w:proofErr w:type="gramEnd"/>
      <w:r w:rsidRPr="00887685">
        <w:rPr>
          <w:rStyle w:val="Strong"/>
          <w:b w:val="0"/>
        </w:rPr>
        <w:t>100</w:t>
      </w:r>
    </w:p>
    <w:p w14:paraId="7DD873E4" w14:textId="77777777" w:rsidR="00887685" w:rsidRDefault="00887685" w:rsidP="00EF4E45">
      <w:pPr>
        <w:ind w:left="720"/>
        <w:jc w:val="both"/>
      </w:pPr>
      <w:r>
        <w:t>Where:</w:t>
      </w:r>
    </w:p>
    <w:p w14:paraId="73E2F925" w14:textId="77777777" w:rsidR="00887685" w:rsidRDefault="00887685" w:rsidP="00EF4E45">
      <w:pPr>
        <w:ind w:left="720"/>
        <w:jc w:val="both"/>
      </w:pPr>
      <w:r>
        <w:lastRenderedPageBreak/>
        <w:t>A1 and R1 are the values of the active power flow and reactive power flow modelled through the parent network group in the maximum demand scenario.</w:t>
      </w:r>
    </w:p>
    <w:p w14:paraId="657D0271" w14:textId="77777777" w:rsidR="00887685" w:rsidRDefault="00887685" w:rsidP="00EF4E45">
      <w:pPr>
        <w:ind w:left="720"/>
        <w:jc w:val="both"/>
      </w:pPr>
      <w:r>
        <w:t>A2 and R2 are the values of the active power flow and reactive power flow modelled through the grandparent network group in the maximum demand scenario.</w:t>
      </w:r>
    </w:p>
    <w:p w14:paraId="07D38897" w14:textId="77777777" w:rsidR="00887685" w:rsidRDefault="00887685" w:rsidP="00EF4E45">
      <w:pPr>
        <w:ind w:left="720"/>
        <w:jc w:val="both"/>
      </w:pPr>
      <w:r>
        <w:t xml:space="preserve">If both A1 and R1 are equal to zero, in respect of that network level in the formulas above, the term (abs[A1] / (SQRT(A1^2 + R1^2)) is set equal to 1,  (–R1 * Average </w:t>
      </w:r>
      <w:proofErr w:type="spellStart"/>
      <w:r>
        <w:t>kVAr</w:t>
      </w:r>
      <w:proofErr w:type="spellEnd"/>
      <w:r>
        <w:t xml:space="preserve">/kVA]) / (SQRT(A1^2 + R1^2)) is set equal to zero, and ([Average </w:t>
      </w:r>
      <w:proofErr w:type="spellStart"/>
      <w:r>
        <w:t>kVAr</w:t>
      </w:r>
      <w:proofErr w:type="spellEnd"/>
      <w:r>
        <w:t>/kVA] / [Average kW/kVA])) / (SQRT(A1^2 + R1^2)) is also set to zero.</w:t>
      </w:r>
    </w:p>
    <w:p w14:paraId="592BACAC" w14:textId="77777777" w:rsidR="00887685" w:rsidRDefault="00887685" w:rsidP="00EF4E45">
      <w:pPr>
        <w:ind w:left="720"/>
        <w:jc w:val="both"/>
      </w:pPr>
      <w:r>
        <w:t xml:space="preserve">If both A2 and R2 are equal to zero, in respect of that network level in the formulas above, the term (abs[A2] / (SQRT(A2^2 + R2^2)) is set equal to 1,  (–R2 * Average </w:t>
      </w:r>
      <w:proofErr w:type="spellStart"/>
      <w:r>
        <w:t>kVAr</w:t>
      </w:r>
      <w:proofErr w:type="spellEnd"/>
      <w:r>
        <w:t xml:space="preserve">/kVA]) / (SQRT(A2^2 + R2^2)) is set equal to zero, and ([Average </w:t>
      </w:r>
      <w:proofErr w:type="spellStart"/>
      <w:r>
        <w:t>kVAr</w:t>
      </w:r>
      <w:proofErr w:type="spellEnd"/>
      <w:r>
        <w:t>/kVA] / [Average kW/kVA])) / (SQRT(A2^2 + R2^2)) is also set to zero.</w:t>
      </w:r>
    </w:p>
    <w:p w14:paraId="7B8C1594" w14:textId="77777777" w:rsidR="00887685" w:rsidRDefault="00887685" w:rsidP="00EF4E45">
      <w:pPr>
        <w:ind w:left="720"/>
        <w:jc w:val="both"/>
      </w:pPr>
      <w:r>
        <w:t>Any negative contributions to the [p/kVA/day capacity charge] or the [p/kWh super-red rate] from the parent or the grandparent network groups are set to zero.</w:t>
      </w:r>
    </w:p>
    <w:p w14:paraId="4824B977" w14:textId="77777777" w:rsidR="00887685" w:rsidRDefault="00887685" w:rsidP="00EF4E45">
      <w:pPr>
        <w:ind w:left="720"/>
        <w:jc w:val="both"/>
      </w:pPr>
      <w:r>
        <w:t>Super red hours are the number of hours in the DNO Party’s super-red time band.</w:t>
      </w:r>
    </w:p>
    <w:p w14:paraId="43EBD6E2" w14:textId="2D685E44" w:rsidR="00887685" w:rsidRDefault="00887685" w:rsidP="00EF4E45">
      <w:pPr>
        <w:ind w:left="720"/>
        <w:jc w:val="both"/>
        <w:rPr>
          <w:ins w:id="5" w:author="Dylan Townsend" w:date="2018-06-11T21:24:00Z"/>
        </w:rPr>
      </w:pPr>
      <w:r>
        <w:t xml:space="preserve">The average kW/kVA and average </w:t>
      </w:r>
      <w:proofErr w:type="spellStart"/>
      <w:r>
        <w:t>kVAr</w:t>
      </w:r>
      <w:proofErr w:type="spellEnd"/>
      <w:r>
        <w:t xml:space="preserve">/kVA figures are forecasts for the Charging Year, based on data from the most recent regulatory year for which data were available in time for setting charges for the Charging Year. Specifically, active and reactive power consumptions are averaged over a super-red time band, which is a seasonal time of day period determined by the DNO Party to reflect the time of peak, and then divided by the Maximum Import Capacity (averaged over the same financial year).  If the DNO Party considers that the reactive consumption data relates to export rather than import (e.g. the average </w:t>
      </w:r>
      <w:proofErr w:type="spellStart"/>
      <w:r>
        <w:t>kVAr</w:t>
      </w:r>
      <w:proofErr w:type="spellEnd"/>
      <w:r>
        <w:t xml:space="preserve"> figure exceeds half of the Maximum Import Capacity) then the Maximum Import Capacity in the denominator should be replaced by the Maximum Export Capacity of the same Connectee.  The average </w:t>
      </w:r>
      <w:proofErr w:type="spellStart"/>
      <w:r>
        <w:t>kVAr</w:t>
      </w:r>
      <w:proofErr w:type="spellEnd"/>
      <w:r>
        <w:t xml:space="preserve"> divided by kVA is restricted to be such that the combined active and reactive power flows cannot exceed the Maximum Import Capacity.  </w:t>
      </w:r>
    </w:p>
    <w:p w14:paraId="34991311" w14:textId="77777777" w:rsidR="00887685" w:rsidRPr="00426623" w:rsidRDefault="00887685" w:rsidP="00887685">
      <w:pPr>
        <w:pStyle w:val="Heading1"/>
        <w:numPr>
          <w:ilvl w:val="0"/>
          <w:numId w:val="0"/>
        </w:numPr>
        <w:rPr>
          <w:ins w:id="6" w:author="Dylan Townsend" w:date="2018-06-11T21:24:00Z"/>
        </w:rPr>
      </w:pPr>
      <w:ins w:id="7" w:author="Dylan Townsend" w:date="2018-06-11T21:24:00Z">
        <w:r w:rsidRPr="00887685">
          <w:rPr>
            <w:u w:val="none"/>
          </w:rPr>
          <w:lastRenderedPageBreak/>
          <w:t>6B</w:t>
        </w:r>
        <w:r>
          <w:rPr>
            <w:u w:val="none"/>
          </w:rPr>
          <w:t>.</w:t>
        </w:r>
        <w:r w:rsidRPr="00887685">
          <w:rPr>
            <w:u w:val="none"/>
          </w:rPr>
          <w:tab/>
        </w:r>
        <w:r>
          <w:t>Generation credits</w:t>
        </w:r>
      </w:ins>
    </w:p>
    <w:p w14:paraId="6F7D3662" w14:textId="77777777" w:rsidR="00887685" w:rsidRDefault="00887685" w:rsidP="008D55D2">
      <w:pPr>
        <w:pStyle w:val="Heading2"/>
        <w:rPr>
          <w:ins w:id="8" w:author="Dylan Townsend" w:date="2018-06-11T21:24:00Z"/>
        </w:rPr>
      </w:pPr>
      <w:ins w:id="9" w:author="Dylan Townsend" w:date="2018-06-11T21:24:00Z">
        <w:r>
          <w:t>Generation credits are determined as the sum of the individual credits calculated in paragraphs 6.4, 6.5 and 6.6 as follows:</w:t>
        </w:r>
      </w:ins>
    </w:p>
    <w:p w14:paraId="319C4B2F" w14:textId="77777777" w:rsidR="00887685" w:rsidRDefault="00887685" w:rsidP="00EF4E45">
      <w:pPr>
        <w:ind w:left="720"/>
        <w:jc w:val="both"/>
        <w:rPr>
          <w:ins w:id="10" w:author="Dylan Townsend" w:date="2018-06-11T21:24:00Z"/>
        </w:rPr>
      </w:pPr>
      <w:ins w:id="11" w:author="Dylan Townsend" w:date="2018-06-11T21:24:00Z">
        <w:r>
          <w:t>[p/kWh super-red export rate] = ARCC + OEACC + ATECC</w:t>
        </w:r>
      </w:ins>
    </w:p>
    <w:p w14:paraId="53FD0E09" w14:textId="77777777" w:rsidR="00887685" w:rsidRDefault="00887685" w:rsidP="00EF4E45">
      <w:pPr>
        <w:ind w:left="720"/>
        <w:jc w:val="both"/>
        <w:rPr>
          <w:ins w:id="12" w:author="Dylan Townsend" w:date="2018-06-11T21:24:00Z"/>
        </w:rPr>
      </w:pPr>
      <w:ins w:id="13" w:author="Dylan Townsend" w:date="2018-06-11T21:24:00Z">
        <w:r>
          <w:t>Where:</w:t>
        </w:r>
      </w:ins>
    </w:p>
    <w:p w14:paraId="2E103F72" w14:textId="64704BEC" w:rsidR="00887685" w:rsidRDefault="00887685" w:rsidP="00EF4E45">
      <w:pPr>
        <w:ind w:left="720"/>
        <w:jc w:val="both"/>
        <w:rPr>
          <w:ins w:id="14" w:author="Dylan Townsend" w:date="2018-06-11T21:24:00Z"/>
        </w:rPr>
      </w:pPr>
      <w:ins w:id="15" w:author="Dylan Townsend" w:date="2018-06-11T21:24:00Z">
        <w:r>
          <w:t xml:space="preserve">ARCC = Avoided Reinforcement Cost Credit as determined in </w:t>
        </w:r>
      </w:ins>
      <w:ins w:id="16" w:author="Enzor, Andrew" w:date="2018-07-30T17:30:00Z">
        <w:r w:rsidR="00A820BA">
          <w:t xml:space="preserve">clause </w:t>
        </w:r>
      </w:ins>
      <w:ins w:id="17" w:author="Dylan Townsend" w:date="2018-06-11T21:24:00Z">
        <w:r>
          <w:t>6.4</w:t>
        </w:r>
      </w:ins>
      <w:ins w:id="18" w:author="Enzor, Andrew" w:date="2018-07-30T17:30:00Z">
        <w:r w:rsidR="00A820BA">
          <w:t xml:space="preserve"> of this Schedule 17.</w:t>
        </w:r>
      </w:ins>
    </w:p>
    <w:p w14:paraId="405EB987" w14:textId="4B6D0C32" w:rsidR="00887685" w:rsidRDefault="00887685" w:rsidP="00EF4E45">
      <w:pPr>
        <w:ind w:left="720"/>
        <w:jc w:val="both"/>
        <w:rPr>
          <w:ins w:id="19" w:author="Dylan Townsend" w:date="2018-06-11T21:24:00Z"/>
        </w:rPr>
      </w:pPr>
      <w:ins w:id="20" w:author="Dylan Townsend" w:date="2018-06-11T21:24:00Z">
        <w:r>
          <w:t>OEACC = Other Expenditure Avoided Cost Credit as determined in</w:t>
        </w:r>
      </w:ins>
      <w:ins w:id="21" w:author="Enzor, Andrew" w:date="2018-07-30T17:30:00Z">
        <w:r w:rsidR="00A820BA">
          <w:t xml:space="preserve"> clause</w:t>
        </w:r>
      </w:ins>
      <w:ins w:id="22" w:author="Dylan Townsend" w:date="2018-06-11T21:24:00Z">
        <w:r>
          <w:t xml:space="preserve"> 6.5</w:t>
        </w:r>
      </w:ins>
      <w:ins w:id="23" w:author="Enzor, Andrew" w:date="2018-07-30T17:30:00Z">
        <w:r w:rsidR="00A820BA">
          <w:t xml:space="preserve"> of this Schedule 17.</w:t>
        </w:r>
      </w:ins>
    </w:p>
    <w:p w14:paraId="0D0043F7" w14:textId="3179AFE2" w:rsidR="00887685" w:rsidRDefault="00887685" w:rsidP="00EF4E45">
      <w:pPr>
        <w:ind w:left="720"/>
        <w:jc w:val="both"/>
        <w:rPr>
          <w:ins w:id="24" w:author="Dylan Townsend" w:date="2018-06-11T21:24:00Z"/>
        </w:rPr>
      </w:pPr>
      <w:ins w:id="25" w:author="Dylan Townsend" w:date="2018-06-11T21:24:00Z">
        <w:r>
          <w:t xml:space="preserve">ATECC = Avoided Transmission Exit Charge Credit as determined in </w:t>
        </w:r>
      </w:ins>
      <w:ins w:id="26" w:author="Enzor, Andrew" w:date="2018-07-30T17:30:00Z">
        <w:r w:rsidR="00A820BA">
          <w:t xml:space="preserve">clause </w:t>
        </w:r>
      </w:ins>
      <w:ins w:id="27" w:author="Dylan Townsend" w:date="2018-06-11T21:24:00Z">
        <w:r>
          <w:t>6.6</w:t>
        </w:r>
      </w:ins>
      <w:ins w:id="28" w:author="Enzor, Andrew" w:date="2018-07-30T17:30:00Z">
        <w:r w:rsidR="00A820BA">
          <w:t xml:space="preserve"> of this Schedule 17.</w:t>
        </w:r>
      </w:ins>
    </w:p>
    <w:p w14:paraId="499F6EF9" w14:textId="77777777" w:rsidR="00887685" w:rsidRPr="00426623" w:rsidRDefault="00887685" w:rsidP="008D55D2">
      <w:pPr>
        <w:pStyle w:val="Heading2"/>
      </w:pPr>
      <w:r w:rsidRPr="00426623">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04711C41" w14:textId="3E782BA6" w:rsidR="00887685" w:rsidRPr="00426623" w:rsidRDefault="00887685" w:rsidP="00EF4E45">
      <w:pPr>
        <w:pStyle w:val="DCNormParaL3"/>
        <w:ind w:left="720"/>
        <w:jc w:val="both"/>
      </w:pPr>
      <w:del w:id="29" w:author="Dylan Townsend" w:date="2018-06-11T21:24:00Z">
        <w:r w:rsidRPr="00426623" w:rsidDel="00887685">
          <w:delText>[p/kWh super-red export rate]</w:delText>
        </w:r>
      </w:del>
      <w:ins w:id="30" w:author="Dylan Townsend" w:date="2018-06-11T21:24:00Z">
        <w:r>
          <w:t>ARCC</w:t>
        </w:r>
      </w:ins>
      <w:r w:rsidRPr="00426623">
        <w:t xml:space="preserve"> = -100</w:t>
      </w:r>
      <w:ins w:id="31" w:author="Enzor, Andrew" w:date="2018-07-30T17:19:00Z">
        <w:r w:rsidR="001E4FAA">
          <w:t xml:space="preserve"> </w:t>
        </w:r>
      </w:ins>
      <w:r w:rsidRPr="00426623">
        <w:t>*</w:t>
      </w:r>
      <w:ins w:id="32" w:author="Enzor, Andrew" w:date="2018-07-30T17:19:00Z">
        <w:r w:rsidR="001E4FAA">
          <w:t xml:space="preserve"> </w:t>
        </w:r>
      </w:ins>
      <w:r w:rsidRPr="00426623">
        <w:t>[Proportion eligible for charge 1 credits] *</w:t>
      </w:r>
      <w:ins w:id="33" w:author="Dylan Townsend [2]" w:date="2018-07-21T10:40:00Z">
        <w:r w:rsidR="0002122D">
          <w:t xml:space="preserve"> </w:t>
        </w:r>
      </w:ins>
      <w:r w:rsidRPr="00426623">
        <w:t>([network charge 1 £/kVA/year] + [parent charge 1 £/kVA/year] + [grandparent charge 1 £/kVA/year]) * ([Chargeable export capacity]</w:t>
      </w:r>
      <w:ins w:id="34" w:author="Dylan Townsend [2]" w:date="2018-07-21T10:40:00Z">
        <w:r w:rsidR="0002122D">
          <w:t xml:space="preserve"> </w:t>
        </w:r>
      </w:ins>
      <w:r w:rsidRPr="00426623">
        <w:t>/</w:t>
      </w:r>
      <w:ins w:id="35" w:author="Dylan Townsend [2]" w:date="2018-07-21T10:40:00Z">
        <w:r w:rsidR="0002122D">
          <w:t xml:space="preserve"> </w:t>
        </w:r>
      </w:ins>
      <w:r w:rsidRPr="00426623">
        <w:t>[Maximum export capacity]) /</w:t>
      </w:r>
      <w:ins w:id="36" w:author="Dylan Townsend [2]" w:date="2018-07-21T10:41:00Z">
        <w:r w:rsidR="0046507B">
          <w:t xml:space="preserve"> </w:t>
        </w:r>
      </w:ins>
      <w:r w:rsidRPr="00426623">
        <w:t>[number of hours in the super-red time band]</w:t>
      </w:r>
    </w:p>
    <w:p w14:paraId="02559C45" w14:textId="77777777" w:rsidR="00887685" w:rsidRPr="00426623" w:rsidRDefault="00887685" w:rsidP="00EF4E45">
      <w:pPr>
        <w:pStyle w:val="DCNormParaL3"/>
        <w:ind w:left="720"/>
        <w:jc w:val="both"/>
      </w:pPr>
      <w:r w:rsidRPr="00426623">
        <w:t>Where:</w:t>
      </w:r>
    </w:p>
    <w:p w14:paraId="2958AE74" w14:textId="77777777" w:rsidR="00887685" w:rsidRPr="00426623" w:rsidRDefault="00887685" w:rsidP="00EF4E45">
      <w:pPr>
        <w:pStyle w:val="DCNormParaL3"/>
        <w:ind w:left="720"/>
        <w:jc w:val="both"/>
      </w:pPr>
      <w:r w:rsidRPr="00426623">
        <w:t>The proportion eligible for charge 1 credits is zero if the F factor that is assigned to the Connectee as described in the FCP methodology is equal to zero, and 1 otherwise.</w:t>
      </w:r>
    </w:p>
    <w:p w14:paraId="4A295223" w14:textId="16B18502" w:rsidR="00887685" w:rsidRDefault="00887685" w:rsidP="00EF4E45">
      <w:pPr>
        <w:pStyle w:val="DCNormParaL3"/>
        <w:ind w:left="720"/>
        <w:jc w:val="both"/>
        <w:rPr>
          <w:ins w:id="37" w:author="Dylan Townsend" w:date="2018-06-11T21:25:00Z"/>
        </w:rPr>
      </w:pPr>
      <w:r w:rsidRPr="00426623">
        <w:t xml:space="preserve">The super-red generation rate is not applied to Connectees with zero Chargeable Export Capacity.  </w:t>
      </w:r>
    </w:p>
    <w:p w14:paraId="1F7099BA" w14:textId="7256599B" w:rsidR="00917BE6" w:rsidRDefault="00887685" w:rsidP="008D55D2">
      <w:pPr>
        <w:pStyle w:val="Heading2"/>
        <w:rPr>
          <w:ins w:id="38" w:author="Dylan Townsend [2]" w:date="2018-07-21T07:53:00Z"/>
        </w:rPr>
      </w:pPr>
      <w:ins w:id="39" w:author="Dylan Townsend" w:date="2018-06-11T21:26:00Z">
        <w:r>
          <w:t xml:space="preserve">An additional credit is applied to embedded generation reflecting Avoided Other Expenditure for the DNO, which is calculated </w:t>
        </w:r>
      </w:ins>
      <w:commentRangeStart w:id="40"/>
      <w:ins w:id="41" w:author="Enzor, Andrew" w:date="2018-07-30T17:10:00Z">
        <w:r w:rsidR="009D6C0F">
          <w:t>by taking</w:t>
        </w:r>
      </w:ins>
      <w:ins w:id="42" w:author="Dylan Townsend [2]" w:date="2018-07-21T07:53:00Z">
        <w:r w:rsidR="00917BE6">
          <w:t xml:space="preserve"> the lifetime net present value of charge 1</w:t>
        </w:r>
        <w:bookmarkStart w:id="43" w:name="_GoBack"/>
        <w:bookmarkEnd w:id="43"/>
        <w:r w:rsidR="00917BE6">
          <w:t xml:space="preserve"> </w:t>
        </w:r>
      </w:ins>
      <w:ins w:id="44" w:author="Enzor, Andrew" w:date="2018-07-30T17:10:00Z">
        <w:r w:rsidR="009D6C0F">
          <w:t>(</w:t>
        </w:r>
      </w:ins>
      <w:ins w:id="45" w:author="Dylan Townsend [2]" w:date="2018-07-21T07:53:00Z">
        <w:r w:rsidR="00917BE6">
          <w:t xml:space="preserve">i.e. convert £/kVA/year to £/kVA using the DNOs cost of capital and the </w:t>
        </w:r>
        <w:r w:rsidR="00917BE6">
          <w:lastRenderedPageBreak/>
          <w:t>asset life</w:t>
        </w:r>
      </w:ins>
      <w:ins w:id="46" w:author="Enzor, Andrew" w:date="2018-07-30T17:10:00Z">
        <w:r w:rsidR="009D6C0F">
          <w:t xml:space="preserve">); </w:t>
        </w:r>
      </w:ins>
      <w:commentRangeEnd w:id="40"/>
      <w:r w:rsidR="00DB19BF">
        <w:rPr>
          <w:rStyle w:val="CommentReference"/>
          <w:bCs w:val="0"/>
        </w:rPr>
        <w:commentReference w:id="40"/>
      </w:r>
      <w:ins w:id="47" w:author="Enzor, Andrew" w:date="2018-07-30T17:10:00Z">
        <w:r w:rsidR="009D6C0F">
          <w:t>a</w:t>
        </w:r>
      </w:ins>
      <w:ins w:id="48" w:author="Dylan Townsend [2]" w:date="2018-07-21T07:53:00Z">
        <w:r w:rsidR="00917BE6">
          <w:t>pply</w:t>
        </w:r>
      </w:ins>
      <w:ins w:id="49" w:author="Enzor, Andrew" w:date="2018-07-30T17:10:00Z">
        <w:r w:rsidR="009D6C0F">
          <w:t>ing</w:t>
        </w:r>
      </w:ins>
      <w:ins w:id="50" w:author="Dylan Townsend [2]" w:date="2018-07-21T07:53:00Z">
        <w:r w:rsidR="00917BE6">
          <w:t xml:space="preserve"> contribution rates as for demand in respect of direct costs, indirect costs and network rates</w:t>
        </w:r>
      </w:ins>
      <w:ins w:id="51" w:author="Enzor, Andrew" w:date="2018-07-30T17:10:00Z">
        <w:r w:rsidR="009D6C0F">
          <w:t>;</w:t>
        </w:r>
      </w:ins>
      <w:ins w:id="52" w:author="Dylan Townsend [2]" w:date="2018-07-21T07:53:00Z">
        <w:r w:rsidR="00917BE6">
          <w:t xml:space="preserve"> and then convert</w:t>
        </w:r>
      </w:ins>
      <w:ins w:id="53" w:author="Enzor, Andrew" w:date="2018-07-30T17:10:00Z">
        <w:r w:rsidR="009D6C0F">
          <w:t>ing</w:t>
        </w:r>
      </w:ins>
      <w:ins w:id="54" w:author="Dylan Townsend [2]" w:date="2018-07-21T07:53:00Z">
        <w:r w:rsidR="00917BE6">
          <w:t xml:space="preserve"> to p/k</w:t>
        </w:r>
      </w:ins>
      <w:ins w:id="55" w:author="Enzor, Andrew" w:date="2018-07-30T17:10:00Z">
        <w:r w:rsidR="009D6C0F">
          <w:t>W</w:t>
        </w:r>
      </w:ins>
      <w:ins w:id="56" w:author="Dylan Townsend [2]" w:date="2018-07-21T07:53:00Z">
        <w:r w:rsidR="00917BE6">
          <w:t xml:space="preserve">h. </w:t>
        </w:r>
      </w:ins>
      <w:ins w:id="57" w:author="Enzor, Andrew" w:date="2018-07-30T17:11:00Z">
        <w:r w:rsidR="009D6C0F">
          <w:t>This calculation should be carried out using the following formula:</w:t>
        </w:r>
      </w:ins>
    </w:p>
    <w:p w14:paraId="3DC64113" w14:textId="34609469" w:rsidR="00917BE6" w:rsidRDefault="00917BE6" w:rsidP="008D55D2">
      <w:pPr>
        <w:pStyle w:val="Heading2"/>
        <w:numPr>
          <w:ilvl w:val="0"/>
          <w:numId w:val="0"/>
        </w:numPr>
        <w:ind w:left="720"/>
        <w:rPr>
          <w:ins w:id="58" w:author="Dylan Townsend [2]" w:date="2018-07-21T07:53:00Z"/>
        </w:rPr>
      </w:pPr>
      <w:ins w:id="59" w:author="Dylan Townsend [2]" w:date="2018-07-21T07:53:00Z">
        <w:r>
          <w:t>OEACC = -100</w:t>
        </w:r>
      </w:ins>
      <w:ins w:id="60" w:author="Enzor, Andrew" w:date="2018-07-30T17:11:00Z">
        <w:r w:rsidR="009D6C0F">
          <w:t xml:space="preserve"> </w:t>
        </w:r>
      </w:ins>
      <w:ins w:id="61" w:author="Dylan Townsend [2]" w:date="2018-07-21T07:53:00Z">
        <w:r>
          <w:t>*</w:t>
        </w:r>
      </w:ins>
      <w:ins w:id="62" w:author="Enzor, Andrew" w:date="2018-07-30T17:11:00Z">
        <w:r w:rsidR="009D6C0F">
          <w:t xml:space="preserve"> </w:t>
        </w:r>
      </w:ins>
      <w:ins w:id="63" w:author="Dylan Townsend [2]" w:date="2018-07-21T07:53:00Z">
        <w:r>
          <w:t>[Proportion eligible for charge 1 credits] *</w:t>
        </w:r>
      </w:ins>
      <w:ins w:id="64" w:author="Dylan Townsend [2]" w:date="2018-07-21T10:41:00Z">
        <w:r w:rsidR="0046507B">
          <w:t xml:space="preserve"> </w:t>
        </w:r>
      </w:ins>
      <w:ins w:id="65" w:author="Dylan Townsend [2]" w:date="2018-07-21T07:53:00Z">
        <w:r>
          <w:t>([network charge 1 £/kVA/year] + [parent charge 1 £/kVA/year] + [grandparent charge 1 £/kVA/year]) * ([Chargeable export capacity]</w:t>
        </w:r>
      </w:ins>
      <w:ins w:id="66" w:author="Dylan Townsend [2]" w:date="2018-07-21T10:41:00Z">
        <w:r w:rsidR="0046507B">
          <w:t xml:space="preserve"> </w:t>
        </w:r>
      </w:ins>
      <w:ins w:id="67" w:author="Dylan Townsend [2]" w:date="2018-07-21T07:53:00Z">
        <w:r>
          <w:t>/</w:t>
        </w:r>
      </w:ins>
      <w:ins w:id="68" w:author="Dylan Townsend [2]" w:date="2018-07-21T10:41:00Z">
        <w:r w:rsidR="0046507B">
          <w:t xml:space="preserve"> </w:t>
        </w:r>
      </w:ins>
      <w:ins w:id="69" w:author="Dylan Townsend [2]" w:date="2018-07-21T07:53:00Z">
        <w:r>
          <w:t>[Maximum export capacity]) * (DOCR + 0.6 * INCR + NRCR) /</w:t>
        </w:r>
      </w:ins>
      <w:ins w:id="70" w:author="Dylan Townsend [2]" w:date="2018-07-21T10:41:00Z">
        <w:r w:rsidR="0046507B">
          <w:t xml:space="preserve"> </w:t>
        </w:r>
      </w:ins>
      <w:ins w:id="71" w:author="Dylan Townsend [2]" w:date="2018-07-21T07:53:00Z">
        <w:r>
          <w:t>[Annuity Rate]</w:t>
        </w:r>
      </w:ins>
      <w:ins w:id="72" w:author="Dylan Townsend [2]" w:date="2018-07-21T10:41:00Z">
        <w:r w:rsidR="0046507B">
          <w:t xml:space="preserve"> </w:t>
        </w:r>
      </w:ins>
      <w:ins w:id="73" w:author="Dylan Townsend [2]" w:date="2018-07-21T07:53:00Z">
        <w:r>
          <w:t>/</w:t>
        </w:r>
      </w:ins>
      <w:ins w:id="74" w:author="Dylan Townsend [2]" w:date="2018-07-21T10:41:00Z">
        <w:r w:rsidR="0046507B">
          <w:t xml:space="preserve"> </w:t>
        </w:r>
      </w:ins>
      <w:ins w:id="75" w:author="Dylan Townsend [2]" w:date="2018-07-21T07:53:00Z">
        <w:r>
          <w:t>[number of hours in the super-red time band]</w:t>
        </w:r>
      </w:ins>
    </w:p>
    <w:p w14:paraId="79BB3AD5" w14:textId="77777777" w:rsidR="00917BE6" w:rsidRDefault="00917BE6" w:rsidP="008D55D2">
      <w:pPr>
        <w:pStyle w:val="Heading2"/>
        <w:numPr>
          <w:ilvl w:val="0"/>
          <w:numId w:val="0"/>
        </w:numPr>
        <w:ind w:left="720"/>
        <w:rPr>
          <w:ins w:id="76" w:author="Dylan Townsend [2]" w:date="2018-07-21T07:53:00Z"/>
        </w:rPr>
      </w:pPr>
      <w:ins w:id="77" w:author="Dylan Townsend [2]" w:date="2018-07-21T07:53:00Z">
        <w:r>
          <w:t>Where:</w:t>
        </w:r>
      </w:ins>
    </w:p>
    <w:p w14:paraId="47B129EA" w14:textId="69401175" w:rsidR="00917BE6" w:rsidRDefault="00917BE6" w:rsidP="00EF4E45">
      <w:pPr>
        <w:ind w:left="720"/>
        <w:jc w:val="both"/>
        <w:rPr>
          <w:ins w:id="78" w:author="Dylan Townsend [2]" w:date="2018-07-21T07:55:00Z"/>
        </w:rPr>
      </w:pPr>
      <w:ins w:id="79" w:author="Dylan Townsend [2]" w:date="2018-07-21T07:53:00Z">
        <w:r>
          <w:t>Annuity</w:t>
        </w:r>
      </w:ins>
      <w:r w:rsidR="00C87F18">
        <w:t xml:space="preserve"> </w:t>
      </w:r>
      <w:ins w:id="80" w:author="Dylan Townsend [2]" w:date="2018-07-21T07:53:00Z">
        <w:r>
          <w:t>Rate</w:t>
        </w:r>
      </w:ins>
      <w:ins w:id="81" w:author="Dylan Townsend [2]" w:date="2018-07-21T12:17:00Z">
        <w:r w:rsidR="00C87F18">
          <w:t xml:space="preserve"> is </w:t>
        </w:r>
      </w:ins>
      <w:ins w:id="82" w:author="Enzor, Andrew" w:date="2018-07-30T17:26:00Z">
        <w:r w:rsidR="00953925">
          <w:t xml:space="preserve">set equal to the term i </w:t>
        </w:r>
      </w:ins>
      <w:ins w:id="83" w:author="Enzor, Andrew" w:date="2018-07-30T17:12:00Z">
        <w:r w:rsidR="009D6C0F">
          <w:t xml:space="preserve">defined in </w:t>
        </w:r>
        <w:commentRangeStart w:id="84"/>
        <w:r w:rsidR="009D6C0F">
          <w:t xml:space="preserve">clause </w:t>
        </w:r>
      </w:ins>
      <w:ins w:id="85" w:author="Enzor, Andrew" w:date="2018-07-30T17:27:00Z">
        <w:r w:rsidR="00953925">
          <w:t>2.16</w:t>
        </w:r>
        <w:commentRangeEnd w:id="84"/>
        <w:r w:rsidR="00953925">
          <w:rPr>
            <w:rStyle w:val="CommentReference"/>
          </w:rPr>
          <w:commentReference w:id="84"/>
        </w:r>
      </w:ins>
      <w:ins w:id="86" w:author="Enzor, Andrew" w:date="2018-07-30T17:12:00Z">
        <w:r w:rsidR="009D6C0F">
          <w:t xml:space="preserve"> of this Schedule 17.</w:t>
        </w:r>
      </w:ins>
    </w:p>
    <w:p w14:paraId="3759D9C0" w14:textId="21C618C6" w:rsidR="00887685" w:rsidRDefault="00887685" w:rsidP="00EF4E45">
      <w:pPr>
        <w:ind w:left="720"/>
        <w:jc w:val="both"/>
        <w:rPr>
          <w:ins w:id="87" w:author="Dylan Townsend" w:date="2018-06-11T21:26:00Z"/>
        </w:rPr>
      </w:pPr>
      <w:ins w:id="88" w:author="Dylan Townsend" w:date="2018-06-11T21:26:00Z">
        <w:r>
          <w:t xml:space="preserve">DOCR = </w:t>
        </w:r>
        <w:r w:rsidRPr="00590E01">
          <w:t>Direct operating costs contribution rate (per cent)</w:t>
        </w:r>
        <w:r>
          <w:t xml:space="preserve"> as calculated in 16.4</w:t>
        </w:r>
      </w:ins>
    </w:p>
    <w:p w14:paraId="0D037EC8" w14:textId="77777777" w:rsidR="00887685" w:rsidRDefault="00887685" w:rsidP="00EF4E45">
      <w:pPr>
        <w:ind w:left="720"/>
        <w:jc w:val="both"/>
        <w:rPr>
          <w:ins w:id="89" w:author="Dylan Townsend" w:date="2018-06-11T21:26:00Z"/>
        </w:rPr>
      </w:pPr>
      <w:ins w:id="90" w:author="Dylan Townsend" w:date="2018-06-11T21:26:00Z">
        <w:r>
          <w:t xml:space="preserve">INCR = </w:t>
        </w:r>
        <w:r w:rsidRPr="00590E01">
          <w:t>Indirect costs contribution rate (per cent)</w:t>
        </w:r>
        <w:r>
          <w:t xml:space="preserve"> as calculated in 16.5</w:t>
        </w:r>
      </w:ins>
    </w:p>
    <w:p w14:paraId="5A2384F0" w14:textId="77777777" w:rsidR="00887685" w:rsidRDefault="00887685" w:rsidP="00EF4E45">
      <w:pPr>
        <w:ind w:left="720"/>
        <w:jc w:val="both"/>
        <w:rPr>
          <w:ins w:id="91" w:author="Dylan Townsend" w:date="2018-06-11T21:26:00Z"/>
        </w:rPr>
      </w:pPr>
      <w:ins w:id="92" w:author="Dylan Townsend" w:date="2018-06-11T21:26:00Z">
        <w:r>
          <w:t xml:space="preserve">NRCR = </w:t>
        </w:r>
        <w:r w:rsidRPr="006F7572">
          <w:t xml:space="preserve">Network rates contribution rate (per cent) </w:t>
        </w:r>
        <w:r>
          <w:t>as calculated in 16.3</w:t>
        </w:r>
      </w:ins>
    </w:p>
    <w:p w14:paraId="1FAFD391" w14:textId="085E07F2" w:rsidR="00887685" w:rsidRDefault="00887685" w:rsidP="008D55D2">
      <w:pPr>
        <w:pStyle w:val="Heading2"/>
        <w:rPr>
          <w:ins w:id="93" w:author="Dylan Townsend" w:date="2018-06-11T21:26:00Z"/>
        </w:rPr>
      </w:pPr>
      <w:ins w:id="94" w:author="Dylan Townsend" w:date="2018-06-11T21:26:00Z">
        <w:r>
          <w:t>Transmission exit charges are applied to export as a credit. The credit is expressed as a negative charge rate in p/kWh and is calculated as follows:</w:t>
        </w:r>
      </w:ins>
    </w:p>
    <w:p w14:paraId="37541620" w14:textId="7EE50DBE" w:rsidR="00887685" w:rsidRDefault="00887685" w:rsidP="00EF4E45">
      <w:pPr>
        <w:ind w:left="720"/>
        <w:jc w:val="both"/>
        <w:rPr>
          <w:ins w:id="95" w:author="Dylan Townsend [2]" w:date="2018-07-21T07:56:00Z"/>
        </w:rPr>
      </w:pPr>
      <w:ins w:id="96" w:author="Dylan Townsend" w:date="2018-06-11T21:26:00Z">
        <w:r>
          <w:t xml:space="preserve">ATECC = -100 </w:t>
        </w:r>
      </w:ins>
      <w:ins w:id="97" w:author="Dylan Townsend [2]" w:date="2018-07-21T07:55:00Z">
        <w:r w:rsidR="00917BE6" w:rsidRPr="00917BE6">
          <w:t>* [</w:t>
        </w:r>
        <w:bookmarkStart w:id="98" w:name="_Hlk520187659"/>
        <w:r w:rsidR="00917BE6" w:rsidRPr="00917BE6">
          <w:t>Generation Losses Factor</w:t>
        </w:r>
        <w:bookmarkEnd w:id="98"/>
        <w:r w:rsidR="00917BE6" w:rsidRPr="00917BE6">
          <w:t xml:space="preserve">] </w:t>
        </w:r>
      </w:ins>
      <w:ins w:id="99" w:author="Dylan Townsend" w:date="2018-06-11T21:26:00Z">
        <w:r>
          <w:t xml:space="preserve">* [Proportion eligible for charge 1 credits] * </w:t>
        </w:r>
      </w:ins>
      <w:ins w:id="100" w:author="Enzor, Andrew" w:date="2018-07-30T17:19:00Z">
        <w:r w:rsidR="001E4FAA">
          <w:t xml:space="preserve">[Transmission exit charging rate in p/kW] </w:t>
        </w:r>
      </w:ins>
      <w:ins w:id="101" w:author="Dylan Townsend" w:date="2018-06-11T21:26:00Z">
        <w:r w:rsidRPr="00F85C57">
          <w:t>* ([Chargeable export capacity]</w:t>
        </w:r>
        <w:r>
          <w:t xml:space="preserve"> </w:t>
        </w:r>
        <w:r w:rsidRPr="00F85C57">
          <w:t>/</w:t>
        </w:r>
        <w:r>
          <w:t xml:space="preserve"> </w:t>
        </w:r>
        <w:r w:rsidRPr="00F85C57">
          <w:t>[Maximum export capacity]) /</w:t>
        </w:r>
        <w:r>
          <w:t xml:space="preserve"> </w:t>
        </w:r>
        <w:r w:rsidRPr="00F85C57">
          <w:t>[number of hours in the super-red time band]</w:t>
        </w:r>
      </w:ins>
    </w:p>
    <w:p w14:paraId="727053FB" w14:textId="77777777" w:rsidR="001E4FAA" w:rsidRDefault="001E4FAA" w:rsidP="00EF4E45">
      <w:pPr>
        <w:ind w:left="720"/>
        <w:jc w:val="both"/>
        <w:rPr>
          <w:ins w:id="102" w:author="Enzor, Andrew" w:date="2018-07-30T17:20:00Z"/>
        </w:rPr>
      </w:pPr>
      <w:ins w:id="103" w:author="Enzor, Andrew" w:date="2018-07-30T17:20:00Z">
        <w:r>
          <w:t>Where:</w:t>
        </w:r>
      </w:ins>
    </w:p>
    <w:p w14:paraId="4A94E264" w14:textId="5A52A943" w:rsidR="00917BE6" w:rsidRDefault="00917BE6" w:rsidP="00EF4E45">
      <w:pPr>
        <w:ind w:left="720"/>
        <w:jc w:val="both"/>
        <w:rPr>
          <w:ins w:id="104" w:author="Dylan Townsend" w:date="2018-06-11T21:26:00Z"/>
        </w:rPr>
      </w:pPr>
      <w:ins w:id="105" w:author="Dylan Townsend [2]" w:date="2018-07-21T07:56:00Z">
        <w:r w:rsidRPr="00917BE6">
          <w:t>Generation Losses Factor is an uplift factor to reflect avoided losses between the GSP and the Connectee.</w:t>
        </w:r>
      </w:ins>
    </w:p>
    <w:p w14:paraId="64A6EA1D" w14:textId="77777777" w:rsidR="001E4FAA" w:rsidRDefault="001E4FAA" w:rsidP="001E4FAA">
      <w:pPr>
        <w:ind w:left="720"/>
        <w:jc w:val="both"/>
        <w:rPr>
          <w:ins w:id="106" w:author="Enzor, Andrew" w:date="2018-07-30T17:20:00Z"/>
          <w:rFonts w:eastAsiaTheme="majorEastAsia" w:cstheme="majorBidi"/>
          <w:szCs w:val="26"/>
        </w:rPr>
      </w:pPr>
      <w:ins w:id="107" w:author="Enzor, Andrew" w:date="2018-07-30T17:20:00Z">
        <w:r w:rsidRPr="009D6C0F">
          <w:rPr>
            <w:rFonts w:eastAsiaTheme="majorEastAsia" w:cstheme="majorBidi"/>
            <w:szCs w:val="26"/>
          </w:rPr>
          <w:t>Transmission exit charging rate in p/kW</w:t>
        </w:r>
        <w:r>
          <w:rPr>
            <w:rFonts w:eastAsiaTheme="majorEastAsia" w:cstheme="majorBidi"/>
            <w:szCs w:val="26"/>
          </w:rPr>
          <w:t xml:space="preserve"> is as defined in clause 9.2 of this Schedule 18.</w:t>
        </w:r>
      </w:ins>
    </w:p>
    <w:p w14:paraId="095D3000" w14:textId="23FA6B97" w:rsidR="00887685" w:rsidRDefault="00887685" w:rsidP="00EF4E45">
      <w:pPr>
        <w:ind w:left="720"/>
        <w:jc w:val="both"/>
        <w:rPr>
          <w:ins w:id="108" w:author="Dylan Townsend" w:date="2018-06-11T21:26:00Z"/>
        </w:rPr>
      </w:pPr>
      <w:ins w:id="109" w:author="Dylan Townsend" w:date="2018-06-11T21:26:00Z">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ins>
    </w:p>
    <w:p w14:paraId="57073469" w14:textId="77777777" w:rsidR="00887685" w:rsidRDefault="00887685" w:rsidP="00EF4E45">
      <w:pPr>
        <w:ind w:left="720"/>
        <w:jc w:val="both"/>
        <w:rPr>
          <w:ins w:id="110" w:author="Dylan Townsend" w:date="2018-06-11T21:26:00Z"/>
        </w:rPr>
      </w:pPr>
      <w:ins w:id="111" w:author="Dylan Townsend" w:date="2018-06-11T21:26:00Z">
        <w:r>
          <w:lastRenderedPageBreak/>
          <w:t xml:space="preserve">The proportion eligible for charge 1 credits is zero if the F factor that is assigned to the Connectee as described in the FCP methodology is equal to zero, and 1 otherwise. </w:t>
        </w:r>
      </w:ins>
    </w:p>
    <w:p w14:paraId="211D1A99" w14:textId="77777777" w:rsidR="00887685" w:rsidRDefault="00887685" w:rsidP="00D054FC">
      <w:pPr>
        <w:pStyle w:val="Heading1"/>
        <w:numPr>
          <w:ilvl w:val="0"/>
          <w:numId w:val="38"/>
        </w:numPr>
      </w:pPr>
      <w:bookmarkStart w:id="112" w:name="_Toc360027688"/>
      <w:bookmarkStart w:id="113" w:name="_Toc360028042"/>
      <w:bookmarkStart w:id="114" w:name="_Toc391559900"/>
      <w:bookmarkStart w:id="115" w:name="_Toc510303020"/>
      <w:bookmarkStart w:id="116" w:name="_Toc513018432"/>
      <w:r>
        <w:t>Transmission connection (exit) charges for demand</w:t>
      </w:r>
      <w:bookmarkEnd w:id="112"/>
      <w:bookmarkEnd w:id="113"/>
      <w:bookmarkEnd w:id="114"/>
      <w:bookmarkEnd w:id="115"/>
      <w:bookmarkEnd w:id="116"/>
      <w:r>
        <w:t xml:space="preserve"> </w:t>
      </w:r>
    </w:p>
    <w:p w14:paraId="7492221E" w14:textId="17A1E8AF" w:rsidR="00887685" w:rsidRDefault="00887685" w:rsidP="008D55D2">
      <w:pPr>
        <w:pStyle w:val="Heading2"/>
      </w:pPr>
      <w:r>
        <w:t>A separate transmission exit charge is applied to demand tariffs.</w:t>
      </w:r>
      <w:r w:rsidR="00D054FC">
        <w:t xml:space="preserve"> </w:t>
      </w:r>
    </w:p>
    <w:p w14:paraId="2533BE21" w14:textId="35B31873" w:rsidR="00887685" w:rsidRDefault="00887685" w:rsidP="008D55D2">
      <w:pPr>
        <w:pStyle w:val="Heading2"/>
      </w:pPr>
      <w:r>
        <w:t>A single charging rate, in p/kW</w:t>
      </w:r>
      <w:del w:id="117" w:author="Enzor, Andrew" w:date="2018-07-30T17:13:00Z">
        <w:r w:rsidDel="009D6C0F">
          <w:delText>/day</w:delText>
        </w:r>
      </w:del>
      <w:r>
        <w:t xml:space="preserve"> is calculated as follows:</w:t>
      </w:r>
    </w:p>
    <w:p w14:paraId="4D11BAC0" w14:textId="4FC132F7" w:rsidR="00887685" w:rsidRDefault="00887685" w:rsidP="00EF4E45">
      <w:pPr>
        <w:pStyle w:val="DCNormParaL3"/>
        <w:ind w:left="720"/>
        <w:jc w:val="both"/>
      </w:pPr>
      <w:r>
        <w:t>Transmission exit charging rate p/kW</w:t>
      </w:r>
      <w:del w:id="118" w:author="Enzor, Andrew" w:date="2018-07-30T17:23:00Z">
        <w:r w:rsidDel="006A0A9F">
          <w:delText>/day</w:delText>
        </w:r>
      </w:del>
      <w:r>
        <w:t xml:space="preserve"> = 100 </w:t>
      </w:r>
      <w:del w:id="119" w:author="Enzor, Andrew" w:date="2018-07-30T17:13:00Z">
        <w:r w:rsidDel="009D6C0F">
          <w:delText xml:space="preserve">/ DC </w:delText>
        </w:r>
      </w:del>
      <w:r>
        <w:t xml:space="preserve">* NGET charge / (CDCM system maximum load + total EDCM peak time consumption)  </w:t>
      </w:r>
    </w:p>
    <w:p w14:paraId="3C362B85" w14:textId="77777777" w:rsidR="00887685" w:rsidRDefault="00887685" w:rsidP="00EF4E45">
      <w:pPr>
        <w:pStyle w:val="DCNormParaL3"/>
        <w:ind w:left="720"/>
        <w:jc w:val="both"/>
      </w:pPr>
      <w:r>
        <w:t>Where:</w:t>
      </w:r>
    </w:p>
    <w:p w14:paraId="05306A02" w14:textId="09988BE1" w:rsidR="00887685" w:rsidDel="009D6C0F" w:rsidRDefault="00887685" w:rsidP="00EF4E45">
      <w:pPr>
        <w:pStyle w:val="DCNormParaL3"/>
        <w:ind w:left="720"/>
        <w:jc w:val="both"/>
        <w:rPr>
          <w:del w:id="120" w:author="Enzor, Andrew" w:date="2018-07-30T17:13:00Z"/>
        </w:rPr>
      </w:pPr>
      <w:del w:id="121" w:author="Enzor, Andrew" w:date="2018-07-30T17:13:00Z">
        <w:r w:rsidDel="009D6C0F">
          <w:delText>DC is the number of days in the Charging Year.</w:delText>
        </w:r>
      </w:del>
    </w:p>
    <w:p w14:paraId="2D5F764A" w14:textId="77777777" w:rsidR="00887685" w:rsidRDefault="00887685" w:rsidP="00EF4E45">
      <w:pPr>
        <w:pStyle w:val="DCNormParaL3"/>
        <w:ind w:left="720"/>
        <w:jc w:val="both"/>
      </w:pPr>
      <w:r>
        <w:t>NGET charge is the DNO Party’s forecast annual expenditure on transmission connection point charges in £.</w:t>
      </w:r>
    </w:p>
    <w:p w14:paraId="4249CB20" w14:textId="77777777" w:rsidR="00887685" w:rsidRDefault="00887685" w:rsidP="00EF4E45">
      <w:pPr>
        <w:pStyle w:val="DCNormParaL3"/>
        <w:ind w:left="720"/>
        <w:jc w:val="both"/>
      </w:pPr>
      <w:r>
        <w:t>CDCM system maximum load is the forecast system simultaneous maximum load from CDCM Connectees (in kW) from CDCM table 2506.</w:t>
      </w:r>
    </w:p>
    <w:p w14:paraId="24026717" w14:textId="77777777" w:rsidR="00887685" w:rsidRDefault="00887685" w:rsidP="00EF4E45">
      <w:pPr>
        <w:pStyle w:val="DCNormParaL3"/>
        <w:ind w:left="720"/>
        <w:jc w:val="both"/>
      </w:pPr>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14:paraId="0B399661" w14:textId="32BD46B6" w:rsidR="00887685" w:rsidRDefault="00887685" w:rsidP="008D55D2">
      <w:pPr>
        <w:pStyle w:val="Heading2"/>
      </w:pPr>
      <w:r>
        <w:t>The single p/kW</w:t>
      </w:r>
      <w:del w:id="122" w:author="Enzor, Andrew" w:date="2018-07-30T17:13:00Z">
        <w:r w:rsidDel="009D6C0F">
          <w:delText>/day</w:delText>
        </w:r>
      </w:del>
      <w:r>
        <w:t xml:space="preserve"> charging rate is converted into a p/kVA/day import capacity based charge for each EDCM Connectee as follows:</w:t>
      </w:r>
    </w:p>
    <w:p w14:paraId="3B4AC37B" w14:textId="5CCCE4BB" w:rsidR="00887685" w:rsidRDefault="00887685" w:rsidP="00EF4E45">
      <w:pPr>
        <w:pStyle w:val="DCNormParaL3"/>
        <w:ind w:left="720"/>
        <w:jc w:val="both"/>
        <w:rPr>
          <w:ins w:id="123" w:author="Enzor, Andrew" w:date="2018-07-30T17:13:00Z"/>
        </w:rPr>
      </w:pPr>
      <w:r>
        <w:t>Transmission exit charge p/kVA/day = [Transmission exit charging rate in p/kW</w:t>
      </w:r>
      <w:del w:id="124" w:author="Enzor, Andrew" w:date="2018-07-30T17:13:00Z">
        <w:r w:rsidDel="009D6C0F">
          <w:delText>/day</w:delText>
        </w:r>
      </w:del>
      <w:r>
        <w:t>] * [Forecast peak-time kW divided by kVA of that Connectee, adjusted for transmission losses and, if necessary for Connectees connected part of the year]</w:t>
      </w:r>
      <w:ins w:id="125" w:author="Enzor, Andrew" w:date="2018-07-30T17:13:00Z">
        <w:r w:rsidR="009D6C0F">
          <w:t xml:space="preserve"> / DC</w:t>
        </w:r>
      </w:ins>
    </w:p>
    <w:p w14:paraId="33E5A025" w14:textId="77777777" w:rsidR="006A0A9F" w:rsidRDefault="006A0A9F" w:rsidP="006A0A9F">
      <w:pPr>
        <w:ind w:left="720"/>
        <w:jc w:val="both"/>
        <w:rPr>
          <w:ins w:id="126" w:author="Enzor, Andrew" w:date="2018-07-30T17:22:00Z"/>
          <w:szCs w:val="24"/>
        </w:rPr>
      </w:pPr>
      <w:ins w:id="127" w:author="Enzor, Andrew" w:date="2018-07-30T17:22:00Z">
        <w:r>
          <w:rPr>
            <w:szCs w:val="24"/>
          </w:rPr>
          <w:t>Where:</w:t>
        </w:r>
      </w:ins>
    </w:p>
    <w:p w14:paraId="5E6ED421" w14:textId="51AAB2C7" w:rsidR="009D6C0F" w:rsidRPr="006A0A9F" w:rsidRDefault="006A0A9F" w:rsidP="006A0A9F">
      <w:pPr>
        <w:ind w:left="720"/>
        <w:jc w:val="both"/>
        <w:rPr>
          <w:szCs w:val="24"/>
        </w:rPr>
      </w:pPr>
      <w:ins w:id="128" w:author="Enzor, Andrew" w:date="2018-07-30T17:22:00Z">
        <w:r w:rsidRPr="00EF4E45">
          <w:rPr>
            <w:szCs w:val="24"/>
          </w:rPr>
          <w:t>DC is the number of days in the Charging Year.</w:t>
        </w:r>
      </w:ins>
    </w:p>
    <w:p w14:paraId="3E3A2106" w14:textId="77777777" w:rsidR="00887685" w:rsidRPr="00426623" w:rsidRDefault="00887685" w:rsidP="00887685">
      <w:pPr>
        <w:pStyle w:val="Heading1"/>
      </w:pPr>
      <w:bookmarkStart w:id="129" w:name="_Toc289364351"/>
      <w:bookmarkStart w:id="130" w:name="_Toc360027689"/>
      <w:bookmarkStart w:id="131" w:name="_Toc360028043"/>
      <w:bookmarkStart w:id="132" w:name="_Toc391559901"/>
      <w:bookmarkStart w:id="133" w:name="_Toc510303021"/>
      <w:bookmarkStart w:id="134" w:name="_Toc513018433"/>
      <w:bookmarkStart w:id="135" w:name="_Hlk520196324"/>
      <w:r w:rsidRPr="00426623">
        <w:lastRenderedPageBreak/>
        <w:t>Transmission connection (exit) credits for generators</w:t>
      </w:r>
      <w:bookmarkEnd w:id="129"/>
      <w:bookmarkEnd w:id="130"/>
      <w:bookmarkEnd w:id="131"/>
      <w:bookmarkEnd w:id="132"/>
      <w:bookmarkEnd w:id="133"/>
      <w:bookmarkEnd w:id="134"/>
    </w:p>
    <w:bookmarkEnd w:id="135"/>
    <w:p w14:paraId="5711A6C4" w14:textId="51834113" w:rsidR="00887685" w:rsidRPr="00426623" w:rsidRDefault="00887685" w:rsidP="008D55D2">
      <w:pPr>
        <w:pStyle w:val="Heading2"/>
      </w:pPr>
      <w:ins w:id="136" w:author="Dylan Townsend" w:date="2018-06-11T21:29:00Z">
        <w:r>
          <w:t>In addition to</w:t>
        </w:r>
      </w:ins>
      <w:ins w:id="137" w:author="Dylan Townsend" w:date="2018-06-11T21:30:00Z">
        <w:r>
          <w:t xml:space="preserve"> paragraph 6.6, </w:t>
        </w:r>
      </w:ins>
      <w:del w:id="138" w:author="Dylan Townsend" w:date="2018-06-11T21:30:00Z">
        <w:r w:rsidRPr="00426623" w:rsidDel="00887685">
          <w:delText>A</w:delText>
        </w:r>
      </w:del>
      <w:ins w:id="139" w:author="Dylan Townsend" w:date="2018-06-11T21:30:00Z">
        <w:r>
          <w:t>a</w:t>
        </w:r>
      </w:ins>
      <w:r w:rsidRPr="00426623">
        <w:t xml:space="preserve"> capacity-based credit related to transmission exit is applied to generation tariffs. </w:t>
      </w:r>
    </w:p>
    <w:p w14:paraId="5B3780E6" w14:textId="4AB8BB65" w:rsidR="00887685" w:rsidRPr="00426623" w:rsidRDefault="00887685" w:rsidP="008D55D2">
      <w:pPr>
        <w:pStyle w:val="Heading2"/>
      </w:pPr>
      <w:bookmarkStart w:id="140" w:name="_Hlk520196262"/>
      <w:r w:rsidRPr="00426623">
        <w:t xml:space="preserve">Transmission exit credits are </w:t>
      </w:r>
      <w:ins w:id="141" w:author="Dylan Townsend" w:date="2018-06-11T21:30:00Z">
        <w:r>
          <w:t xml:space="preserve">also </w:t>
        </w:r>
      </w:ins>
      <w:r w:rsidRPr="00426623">
        <w:t xml:space="preserve">paid to generators that have an agreement with the DNO, the terms of which require the generator, for the purposes of P2/6 compliance, to export power during </w:t>
      </w:r>
      <w:proofErr w:type="spellStart"/>
      <w:r w:rsidRPr="00426623">
        <w:t>supergrid</w:t>
      </w:r>
      <w:proofErr w:type="spellEnd"/>
      <w:r w:rsidRPr="00426623">
        <w:t xml:space="preserve"> transformer (SGT) outage conditions.</w:t>
      </w:r>
    </w:p>
    <w:bookmarkEnd w:id="140"/>
    <w:p w14:paraId="7B58CD45" w14:textId="77777777" w:rsidR="00887685" w:rsidRPr="00426623" w:rsidRDefault="00887685" w:rsidP="008D55D2">
      <w:pPr>
        <w:pStyle w:val="Heading2"/>
      </w:pPr>
      <w:r w:rsidRPr="00426623">
        <w:t>The rate in p/kVA/day for each generation customer would be calculated as follows:</w:t>
      </w:r>
    </w:p>
    <w:p w14:paraId="18C7C87B" w14:textId="77777777" w:rsidR="00887685" w:rsidRPr="00426623" w:rsidRDefault="00887685" w:rsidP="00EF4E45">
      <w:pPr>
        <w:pStyle w:val="DCNormParaL3"/>
        <w:ind w:left="720"/>
        <w:jc w:val="both"/>
      </w:pPr>
      <w:r w:rsidRPr="00426623">
        <w:t xml:space="preserve">Transmission exit credit p/kVA/day = </w:t>
      </w:r>
      <w:proofErr w:type="gramStart"/>
      <w:r w:rsidRPr="00426623">
        <w:t>-[</w:t>
      </w:r>
      <w:proofErr w:type="gramEnd"/>
      <w:r w:rsidRPr="00426623">
        <w:t xml:space="preserve">Transmission exit charging rate in p/kW/day] * [Capacity eligible for credits in kW] / [Chargeable Export Capacity in kVA of that Connectee]  </w:t>
      </w:r>
    </w:p>
    <w:p w14:paraId="4362C643" w14:textId="77777777" w:rsidR="00887685" w:rsidRPr="00426623" w:rsidRDefault="00887685" w:rsidP="00EF4E45">
      <w:pPr>
        <w:pStyle w:val="DCNormParaL3"/>
        <w:ind w:left="720"/>
        <w:jc w:val="both"/>
      </w:pPr>
      <w:r w:rsidRPr="00426623">
        <w:t>Where:</w:t>
      </w:r>
    </w:p>
    <w:p w14:paraId="3F5CDF4B" w14:textId="77777777" w:rsidR="00887685" w:rsidRPr="00426623" w:rsidRDefault="00887685" w:rsidP="00EF4E45">
      <w:pPr>
        <w:pStyle w:val="DCNormParaL3"/>
        <w:ind w:left="720"/>
        <w:jc w:val="both"/>
      </w:pPr>
      <w:r w:rsidRPr="00426623">
        <w:t>Transmission exit charging rate in p/kW/day is calculated as described for demand tariffs.</w:t>
      </w:r>
    </w:p>
    <w:p w14:paraId="68EF09C0" w14:textId="77777777" w:rsidR="00887685" w:rsidRPr="00426623" w:rsidRDefault="00887685" w:rsidP="00EF4E45">
      <w:pPr>
        <w:pStyle w:val="DCNormParaL3"/>
        <w:ind w:left="720"/>
        <w:jc w:val="both"/>
      </w:pPr>
      <w:r w:rsidRPr="00426623">
        <w:t>Capacity eligible for credits (in kW) is the capacity that is made available by the generator under the agreement with the DNO.</w:t>
      </w:r>
    </w:p>
    <w:p w14:paraId="3555EBDC" w14:textId="77777777" w:rsidR="00887685" w:rsidRPr="00426623" w:rsidRDefault="00887685" w:rsidP="00EF4E45">
      <w:pPr>
        <w:pStyle w:val="DCNormParaL3"/>
        <w:ind w:left="720"/>
        <w:jc w:val="both"/>
      </w:pPr>
      <w:r w:rsidRPr="00426623">
        <w:t>Chargeable Export Capacity (in kVA) is the forecast average value of the maximum export capacity of the generator over the charging year, less any capacity that is exempt from use of system charges in the charging year.</w:t>
      </w:r>
    </w:p>
    <w:p w14:paraId="3C4619FC" w14:textId="77777777" w:rsidR="00887685" w:rsidRPr="00426623" w:rsidRDefault="00887685" w:rsidP="00EF4E45">
      <w:pPr>
        <w:pStyle w:val="DCNormParaL3"/>
        <w:ind w:left="720"/>
        <w:jc w:val="both"/>
      </w:pPr>
      <w:r w:rsidRPr="003F67BD">
        <w:rPr>
          <w:rStyle w:val="DCNormParaL3Char"/>
        </w:rPr>
        <w:t>The generation transmission connection (exit) rate is not calculated for Connectees with zero</w:t>
      </w:r>
      <w:r w:rsidRPr="003F67BD">
        <w:t xml:space="preserve"> Chargeab</w:t>
      </w:r>
      <w:r w:rsidRPr="005D53F5">
        <w:t>le</w:t>
      </w:r>
      <w:r w:rsidRPr="00426623">
        <w:t xml:space="preserve"> Export Capacity.</w:t>
      </w:r>
    </w:p>
    <w:p w14:paraId="671E58E3" w14:textId="58D0C3C5" w:rsidR="00446229" w:rsidRDefault="00887685" w:rsidP="008D55D2">
      <w:pPr>
        <w:pStyle w:val="Heading2"/>
      </w:pPr>
      <w:r w:rsidRPr="00426623">
        <w:t>Transmission connection (exit) credits are applied to the Chargeable Export Capacity (in kVA)</w:t>
      </w:r>
    </w:p>
    <w:p w14:paraId="461C5B26"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123E5A62"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07D8FDE5"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16EEB44B"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26455465" w14:textId="526DA30E" w:rsidR="00DB19BF" w:rsidRDefault="00DB19BF" w:rsidP="00DB19BF">
      <w:pPr>
        <w:ind w:left="720"/>
      </w:pPr>
    </w:p>
    <w:p w14:paraId="531531F1" w14:textId="6F29CCEE" w:rsidR="006C3897" w:rsidRDefault="006C3897" w:rsidP="00DB19BF">
      <w:pPr>
        <w:ind w:left="720"/>
      </w:pPr>
    </w:p>
    <w:p w14:paraId="31A7B342" w14:textId="39AAADB5" w:rsidR="006A0A9F" w:rsidRDefault="006A0A9F">
      <w:pPr>
        <w:spacing w:after="200" w:line="276" w:lineRule="auto"/>
        <w:rPr>
          <w:ins w:id="142" w:author="Enzor, Andrew" w:date="2018-07-30T17:21:00Z"/>
        </w:rPr>
      </w:pPr>
      <w:ins w:id="143" w:author="Enzor, Andrew" w:date="2018-07-30T17:21:00Z">
        <w:r>
          <w:br w:type="page"/>
        </w:r>
      </w:ins>
    </w:p>
    <w:p w14:paraId="286FDFB5" w14:textId="2BF121C9" w:rsidR="003701BD" w:rsidRPr="003701BD" w:rsidRDefault="003701BD" w:rsidP="003701BD">
      <w:pPr>
        <w:pStyle w:val="DCSubHeading1Level2"/>
        <w:rPr>
          <w:u w:val="none"/>
        </w:rPr>
      </w:pPr>
      <w:r w:rsidRPr="003701BD">
        <w:rPr>
          <w:u w:val="none"/>
        </w:rPr>
        <w:lastRenderedPageBreak/>
        <w:t>SCHEDULE 1</w:t>
      </w:r>
      <w:r>
        <w:rPr>
          <w:u w:val="none"/>
        </w:rPr>
        <w:t>8</w:t>
      </w:r>
    </w:p>
    <w:p w14:paraId="0F204D73" w14:textId="77777777" w:rsidR="00446229" w:rsidRPr="00446229" w:rsidRDefault="00446229" w:rsidP="00EF4E45">
      <w:pPr>
        <w:pStyle w:val="Heading1"/>
        <w:numPr>
          <w:ilvl w:val="0"/>
          <w:numId w:val="21"/>
        </w:numPr>
        <w:spacing w:before="0"/>
      </w:pPr>
      <w:bookmarkStart w:id="144" w:name="_Toc360027724"/>
      <w:bookmarkStart w:id="145" w:name="_Toc360028078"/>
      <w:bookmarkStart w:id="146" w:name="_Toc391559937"/>
      <w:bookmarkStart w:id="147" w:name="_Toc510303057"/>
      <w:bookmarkStart w:id="148" w:name="_Toc513018471"/>
      <w:bookmarkStart w:id="149" w:name="_Toc289363387"/>
      <w:bookmarkStart w:id="150" w:name="_Toc320876070"/>
      <w:bookmarkStart w:id="151" w:name="_Toc320876693"/>
      <w:bookmarkStart w:id="152" w:name="_Toc325449907"/>
      <w:bookmarkStart w:id="153" w:name="_Toc339284551"/>
      <w:r w:rsidRPr="00446229">
        <w:t>Application of LRIC charge 1</w:t>
      </w:r>
      <w:bookmarkEnd w:id="144"/>
      <w:bookmarkEnd w:id="145"/>
      <w:bookmarkEnd w:id="146"/>
      <w:bookmarkEnd w:id="147"/>
      <w:bookmarkEnd w:id="148"/>
      <w:r w:rsidRPr="00446229">
        <w:t xml:space="preserve"> </w:t>
      </w:r>
      <w:bookmarkEnd w:id="149"/>
      <w:bookmarkEnd w:id="150"/>
      <w:bookmarkEnd w:id="151"/>
      <w:bookmarkEnd w:id="152"/>
      <w:bookmarkEnd w:id="153"/>
    </w:p>
    <w:p w14:paraId="6547E3FB" w14:textId="6113D2AD" w:rsidR="00446229" w:rsidRPr="00061F2E" w:rsidRDefault="00446229" w:rsidP="008D55D2">
      <w:pPr>
        <w:pStyle w:val="Heading2"/>
      </w:pPr>
      <w:r w:rsidRPr="00061F2E">
        <w:t>Each tariff in the model is linked to one LRIC location or point.  Each LRIC point may have a local and remote charge 1 in £/kVA/year associated with it.</w:t>
      </w:r>
    </w:p>
    <w:p w14:paraId="1201FEA9" w14:textId="62EC214D" w:rsidR="00446229" w:rsidRDefault="00446229" w:rsidP="008D55D2">
      <w:pPr>
        <w:pStyle w:val="Heading2"/>
      </w:pPr>
      <w:r w:rsidRPr="00E803FD">
        <w:t>Some LRIC points might be designated as linked.  Each set of linked points comprises a maximum of eight points.  Where a tariff is associated with a point which is part of a set of linked points, the LRIC charge 1 used for that tariff are determined by calculating the applicable local and remote charge 1 as a weighted average of the local and network charge 1 respectively at each linked point (ignoring negative values) using the kVA modelled flow in the maximum demand run as weights.  If all the weights are zero in any of these calculations then an unweighted average is used instead of the weighted average.</w:t>
      </w:r>
    </w:p>
    <w:p w14:paraId="71935123" w14:textId="77777777" w:rsidR="00446229" w:rsidRPr="00055462" w:rsidRDefault="00446229" w:rsidP="008D55D2">
      <w:pPr>
        <w:pStyle w:val="Heading2"/>
      </w:pPr>
      <w:r w:rsidRPr="00055462">
        <w:t>The import charges for the application of charge 1, is given by the formulas:</w:t>
      </w:r>
    </w:p>
    <w:p w14:paraId="3B9CB150" w14:textId="77777777" w:rsidR="00446229" w:rsidRDefault="00446229" w:rsidP="00EF4E45">
      <w:pPr>
        <w:ind w:left="720"/>
        <w:jc w:val="both"/>
      </w:pPr>
      <w:r>
        <w:t xml:space="preserve"> [p/kWh super-red rate] = (([remote charge 1 £/kVA/year] / PF) / [number of hours in the super-red time band in a year]) * 100 </w:t>
      </w:r>
    </w:p>
    <w:p w14:paraId="054B1ECF" w14:textId="68C700E5" w:rsidR="00446229" w:rsidRDefault="00446229" w:rsidP="00EF4E45">
      <w:pPr>
        <w:ind w:left="720"/>
        <w:jc w:val="both"/>
      </w:pPr>
      <w:r>
        <w:t>[p/kVA/day capacity charge] = ([local charge 1 £/kVA/year] /</w:t>
      </w:r>
      <w:ins w:id="154" w:author="Dylan Townsend [2]" w:date="2018-07-21T10:43:00Z">
        <w:r w:rsidR="0046507B">
          <w:t xml:space="preserve"> </w:t>
        </w:r>
      </w:ins>
      <w:r>
        <w:t>[days in Charging Year])</w:t>
      </w:r>
      <w:ins w:id="155" w:author="Dylan Townsend [2]" w:date="2018-07-21T10:43:00Z">
        <w:r w:rsidR="0046507B">
          <w:t xml:space="preserve"> </w:t>
        </w:r>
      </w:ins>
      <w:r>
        <w:t>*</w:t>
      </w:r>
      <w:ins w:id="156" w:author="Dylan Townsend [2]" w:date="2018-07-21T10:43:00Z">
        <w:r w:rsidR="0046507B">
          <w:t xml:space="preserve"> </w:t>
        </w:r>
      </w:ins>
      <w:r>
        <w:t xml:space="preserve">100 </w:t>
      </w:r>
    </w:p>
    <w:p w14:paraId="2DE9AF63" w14:textId="77777777" w:rsidR="00446229" w:rsidRDefault="00446229" w:rsidP="00EF4E45">
      <w:pPr>
        <w:ind w:left="720"/>
        <w:jc w:val="both"/>
      </w:pPr>
      <w:r>
        <w:t>Where:</w:t>
      </w:r>
    </w:p>
    <w:p w14:paraId="022E1468" w14:textId="77777777" w:rsidR="00446229" w:rsidRDefault="00446229" w:rsidP="00EF4E45">
      <w:pPr>
        <w:ind w:left="720"/>
        <w:jc w:val="both"/>
      </w:pPr>
      <w:r>
        <w:t>PF is the power factor of the flow at the point at which the customer is attached in the maximum demand scenario.  This is calculated as - [Active power flow] / (</w:t>
      </w:r>
      <w:proofErr w:type="gramStart"/>
      <w:r>
        <w:t>SQRT(</w:t>
      </w:r>
      <w:proofErr w:type="gramEnd"/>
      <w:r>
        <w:t>[Active power flow]^2 + [Reactive power flow]^2).   If either the numerator or denominator in calculation of the power factor is zero, the PF is replaced with 1. If the active power flow is generation-dominated, then PF is replaced with 1.</w:t>
      </w:r>
    </w:p>
    <w:p w14:paraId="2FD11953" w14:textId="15AE8278" w:rsidR="00446229" w:rsidRDefault="00446229" w:rsidP="008D55D2">
      <w:pPr>
        <w:pStyle w:val="Heading2"/>
        <w:rPr>
          <w:ins w:id="157" w:author="Dylan Townsend" w:date="2018-06-11T21:45:00Z"/>
        </w:rPr>
      </w:pPr>
      <w:r>
        <w:t>If the Connectee is attached to a cluster of linked locations, the sums of active power flows and reactive power flows at each location are used to calculate PF.</w:t>
      </w:r>
    </w:p>
    <w:p w14:paraId="5DBA02DF" w14:textId="77777777" w:rsidR="00446229" w:rsidRPr="00426623" w:rsidRDefault="00446229" w:rsidP="006A0A9F">
      <w:pPr>
        <w:pStyle w:val="Heading1"/>
        <w:numPr>
          <w:ilvl w:val="0"/>
          <w:numId w:val="0"/>
        </w:numPr>
        <w:ind w:left="709" w:hanging="709"/>
        <w:rPr>
          <w:ins w:id="158" w:author="Dylan Townsend" w:date="2018-06-11T21:45:00Z"/>
        </w:rPr>
      </w:pPr>
      <w:ins w:id="159" w:author="Dylan Townsend" w:date="2018-06-11T21:45:00Z">
        <w:r w:rsidRPr="00887685">
          <w:rPr>
            <w:u w:val="none"/>
          </w:rPr>
          <w:lastRenderedPageBreak/>
          <w:t>6B</w:t>
        </w:r>
        <w:r>
          <w:rPr>
            <w:u w:val="none"/>
          </w:rPr>
          <w:t>.</w:t>
        </w:r>
        <w:r w:rsidRPr="00887685">
          <w:rPr>
            <w:u w:val="none"/>
          </w:rPr>
          <w:tab/>
        </w:r>
        <w:r>
          <w:t>Generation credits</w:t>
        </w:r>
      </w:ins>
    </w:p>
    <w:p w14:paraId="440D1AA6" w14:textId="215D7528" w:rsidR="00446229" w:rsidRDefault="00446229" w:rsidP="008D55D2">
      <w:pPr>
        <w:pStyle w:val="Heading2"/>
        <w:rPr>
          <w:ins w:id="160" w:author="Dylan Townsend" w:date="2018-06-11T21:45:00Z"/>
        </w:rPr>
      </w:pPr>
      <w:ins w:id="161" w:author="Dylan Townsend" w:date="2018-06-11T21:45:00Z">
        <w:r>
          <w:t>Generation credits are determined as the sum of the individual credits calculated in paragraphs 6.</w:t>
        </w:r>
      </w:ins>
      <w:ins w:id="162" w:author="Dylan Townsend" w:date="2018-06-15T12:10:00Z">
        <w:r w:rsidR="00626B68">
          <w:t>6</w:t>
        </w:r>
      </w:ins>
      <w:ins w:id="163" w:author="Dylan Townsend" w:date="2018-06-11T21:45:00Z">
        <w:r>
          <w:t>, 6.</w:t>
        </w:r>
      </w:ins>
      <w:ins w:id="164" w:author="Dylan Townsend" w:date="2018-06-15T12:10:00Z">
        <w:r w:rsidR="00626B68">
          <w:t>7</w:t>
        </w:r>
      </w:ins>
      <w:ins w:id="165" w:author="Dylan Townsend" w:date="2018-06-11T21:45:00Z">
        <w:r>
          <w:t xml:space="preserve"> and 6.</w:t>
        </w:r>
      </w:ins>
      <w:ins w:id="166" w:author="Dylan Townsend" w:date="2018-06-15T12:10:00Z">
        <w:r w:rsidR="00626B68">
          <w:t>8</w:t>
        </w:r>
      </w:ins>
      <w:ins w:id="167" w:author="Dylan Townsend" w:date="2018-06-11T21:45:00Z">
        <w:r>
          <w:t xml:space="preserve"> as follows:</w:t>
        </w:r>
      </w:ins>
    </w:p>
    <w:p w14:paraId="45C432E3" w14:textId="77777777" w:rsidR="00446229" w:rsidRDefault="00446229" w:rsidP="00A103E7">
      <w:pPr>
        <w:ind w:left="720"/>
        <w:jc w:val="both"/>
        <w:rPr>
          <w:ins w:id="168" w:author="Dylan Townsend" w:date="2018-06-11T21:45:00Z"/>
        </w:rPr>
      </w:pPr>
      <w:ins w:id="169" w:author="Dylan Townsend" w:date="2018-06-11T21:45:00Z">
        <w:r>
          <w:t>[p/kWh super-red export rate] = ARCC + OEACC + ATECC</w:t>
        </w:r>
      </w:ins>
    </w:p>
    <w:p w14:paraId="12E10D7A" w14:textId="77777777" w:rsidR="00446229" w:rsidRDefault="00446229" w:rsidP="00A103E7">
      <w:pPr>
        <w:ind w:left="720"/>
        <w:jc w:val="both"/>
        <w:rPr>
          <w:ins w:id="170" w:author="Dylan Townsend" w:date="2018-06-11T21:45:00Z"/>
        </w:rPr>
      </w:pPr>
      <w:ins w:id="171" w:author="Dylan Townsend" w:date="2018-06-11T21:45:00Z">
        <w:r>
          <w:t>Where:</w:t>
        </w:r>
      </w:ins>
    </w:p>
    <w:p w14:paraId="5ECEC115" w14:textId="77777777" w:rsidR="00446229" w:rsidRDefault="00446229" w:rsidP="00D6688E">
      <w:pPr>
        <w:ind w:left="720"/>
        <w:jc w:val="both"/>
        <w:rPr>
          <w:ins w:id="172" w:author="Dylan Townsend" w:date="2018-06-11T21:45:00Z"/>
        </w:rPr>
      </w:pPr>
      <w:ins w:id="173" w:author="Dylan Townsend" w:date="2018-06-11T21:45:00Z">
        <w:r>
          <w:t>ARCC = Avoided Reinforcement Cost Credit as determined in 6.6</w:t>
        </w:r>
      </w:ins>
    </w:p>
    <w:p w14:paraId="3CD23293" w14:textId="77777777" w:rsidR="00446229" w:rsidRDefault="00446229" w:rsidP="00D6688E">
      <w:pPr>
        <w:ind w:left="720"/>
        <w:jc w:val="both"/>
        <w:rPr>
          <w:ins w:id="174" w:author="Dylan Townsend" w:date="2018-06-11T21:45:00Z"/>
        </w:rPr>
      </w:pPr>
      <w:ins w:id="175" w:author="Dylan Townsend" w:date="2018-06-11T21:45:00Z">
        <w:r>
          <w:t>OEACC = Other Expenditure Avoided Cost Credit as determined in 6.7</w:t>
        </w:r>
      </w:ins>
    </w:p>
    <w:p w14:paraId="66EAF31D" w14:textId="77777777" w:rsidR="00446229" w:rsidRDefault="00446229" w:rsidP="00D6688E">
      <w:pPr>
        <w:ind w:left="720"/>
        <w:jc w:val="both"/>
        <w:rPr>
          <w:ins w:id="176" w:author="Dylan Townsend" w:date="2018-06-11T21:45:00Z"/>
        </w:rPr>
      </w:pPr>
      <w:ins w:id="177" w:author="Dylan Townsend" w:date="2018-06-11T21:45:00Z">
        <w:r>
          <w:t>ATECC = Avoided Transmission Exit Charge Credit as determined in 6.8</w:t>
        </w:r>
      </w:ins>
    </w:p>
    <w:p w14:paraId="03C55A33" w14:textId="77777777" w:rsidR="00446229" w:rsidRPr="005469F9" w:rsidRDefault="00446229" w:rsidP="008D55D2">
      <w:pPr>
        <w:pStyle w:val="Heading2"/>
      </w:pPr>
      <w:r w:rsidRPr="005469F9">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45221039" w14:textId="28F757F5" w:rsidR="00446229" w:rsidRDefault="00446229" w:rsidP="00EF4E45">
      <w:pPr>
        <w:ind w:left="720"/>
        <w:jc w:val="both"/>
      </w:pPr>
      <w:del w:id="178" w:author="Dylan Townsend" w:date="2018-06-11T21:45:00Z">
        <w:r w:rsidDel="00446229">
          <w:delText>[p/kWh super-red export rate]</w:delText>
        </w:r>
      </w:del>
      <w:ins w:id="179" w:author="Dylan Townsend" w:date="2018-06-11T21:45:00Z">
        <w:r>
          <w:t>ARCC</w:t>
        </w:r>
      </w:ins>
      <w:r>
        <w:t xml:space="preserve"> = -100*[Proportion eligible for charge 1 credits]</w:t>
      </w:r>
      <w:ins w:id="180" w:author="Dylan Townsend [2]" w:date="2018-07-21T10:43:00Z">
        <w:r w:rsidR="0046507B">
          <w:t xml:space="preserve"> </w:t>
        </w:r>
      </w:ins>
      <w:r>
        <w:t>*</w:t>
      </w:r>
      <w:ins w:id="181" w:author="Dylan Townsend [2]" w:date="2018-07-21T10:43:00Z">
        <w:r w:rsidR="0046507B">
          <w:t xml:space="preserve"> </w:t>
        </w:r>
      </w:ins>
      <w:r>
        <w:t>([local charge 1 £/kVA/year] + [remote charge 1 £/kVA/year]) * ([Chargeable export capacity]</w:t>
      </w:r>
      <w:ins w:id="182" w:author="Dylan Townsend [2]" w:date="2018-07-21T10:43:00Z">
        <w:r w:rsidR="0046507B">
          <w:t xml:space="preserve"> </w:t>
        </w:r>
      </w:ins>
      <w:r>
        <w:t>/</w:t>
      </w:r>
      <w:ins w:id="183" w:author="Dylan Townsend [2]" w:date="2018-07-21T10:43:00Z">
        <w:r w:rsidR="0046507B">
          <w:t xml:space="preserve"> </w:t>
        </w:r>
      </w:ins>
      <w:r>
        <w:t>[Maximum export capacity]) /</w:t>
      </w:r>
      <w:ins w:id="184" w:author="Dylan Townsend [2]" w:date="2018-07-21T10:43:00Z">
        <w:r w:rsidR="0046507B">
          <w:t xml:space="preserve"> </w:t>
        </w:r>
      </w:ins>
      <w:r>
        <w:t>[number of hours in the super-red time band]</w:t>
      </w:r>
    </w:p>
    <w:p w14:paraId="46D52F4D" w14:textId="77777777" w:rsidR="00446229" w:rsidRDefault="00446229" w:rsidP="00EF4E45">
      <w:pPr>
        <w:ind w:left="720"/>
        <w:jc w:val="both"/>
      </w:pPr>
      <w:r>
        <w:t>Where:</w:t>
      </w:r>
    </w:p>
    <w:p w14:paraId="7B847995" w14:textId="77777777" w:rsidR="00446229" w:rsidRDefault="00446229" w:rsidP="00EF4E45">
      <w:pPr>
        <w:ind w:left="720"/>
        <w:jc w:val="both"/>
      </w:pPr>
      <w:r>
        <w:t>The proportion eligible for charge 1 credits is zero if the F factor that is assigned to the Connectee as described in the LRIC methodology is equal to zero, and 1 otherwise.</w:t>
      </w:r>
    </w:p>
    <w:p w14:paraId="24393674" w14:textId="006DF999" w:rsidR="00446229" w:rsidRDefault="00446229" w:rsidP="00EF4E45">
      <w:pPr>
        <w:ind w:left="720"/>
        <w:jc w:val="both"/>
        <w:rPr>
          <w:ins w:id="185" w:author="Dylan Townsend" w:date="2018-06-11T21:40:00Z"/>
        </w:rPr>
      </w:pPr>
      <w:r>
        <w:t>The super-red export rate is not applied to Connectees with zero Chargeable Export Capacity.</w:t>
      </w:r>
    </w:p>
    <w:p w14:paraId="1A84A6E0" w14:textId="26730343" w:rsidR="00917BE6" w:rsidRDefault="00A65234" w:rsidP="008D55D2">
      <w:pPr>
        <w:pStyle w:val="Heading2"/>
        <w:rPr>
          <w:ins w:id="186" w:author="Dylan Townsend [2]" w:date="2018-07-21T08:01:00Z"/>
        </w:rPr>
      </w:pPr>
      <w:ins w:id="187" w:author="Dylan Townsend" w:date="2018-06-11T21:46:00Z">
        <w:r w:rsidRPr="00A65234">
          <w:t xml:space="preserve">An additional credit is applied to embedded generation reflecting Avoided Other Expenditure for the DNO, which is calculated </w:t>
        </w:r>
      </w:ins>
      <w:ins w:id="188" w:author="Enzor, Andrew" w:date="2018-07-30T16:55:00Z">
        <w:r w:rsidR="0008309C">
          <w:t>by taking</w:t>
        </w:r>
      </w:ins>
      <w:ins w:id="189" w:author="Dylan Townsend [2]" w:date="2018-07-21T08:01:00Z">
        <w:r w:rsidR="00917BE6">
          <w:t xml:space="preserve"> the lifetime net present value of charge 1</w:t>
        </w:r>
      </w:ins>
      <w:ins w:id="190" w:author="Enzor, Andrew" w:date="2018-07-30T16:55:00Z">
        <w:r w:rsidR="0008309C">
          <w:t xml:space="preserve"> (</w:t>
        </w:r>
      </w:ins>
      <w:ins w:id="191" w:author="Dylan Townsend [2]" w:date="2018-07-21T08:01:00Z">
        <w:r w:rsidR="00917BE6">
          <w:t>i.e. convert £/kVA/year to £/kVA using the DNO</w:t>
        </w:r>
      </w:ins>
      <w:ins w:id="192" w:author="Enzor, Andrew" w:date="2018-07-30T16:55:00Z">
        <w:r w:rsidR="0008309C">
          <w:t>’</w:t>
        </w:r>
      </w:ins>
      <w:ins w:id="193" w:author="Dylan Townsend [2]" w:date="2018-07-21T08:01:00Z">
        <w:r w:rsidR="00917BE6">
          <w:t>s cost of capital and the asset life</w:t>
        </w:r>
      </w:ins>
      <w:ins w:id="194" w:author="Enzor, Andrew" w:date="2018-07-30T16:55:00Z">
        <w:r w:rsidR="0008309C">
          <w:t>)</w:t>
        </w:r>
      </w:ins>
      <w:ins w:id="195" w:author="Enzor, Andrew" w:date="2018-07-30T16:56:00Z">
        <w:r w:rsidR="0008309C">
          <w:t>;</w:t>
        </w:r>
      </w:ins>
      <w:ins w:id="196" w:author="Enzor, Andrew" w:date="2018-07-30T16:55:00Z">
        <w:r w:rsidR="0008309C">
          <w:t xml:space="preserve"> a</w:t>
        </w:r>
      </w:ins>
      <w:ins w:id="197" w:author="Dylan Townsend [2]" w:date="2018-07-21T08:01:00Z">
        <w:r w:rsidR="00917BE6">
          <w:t>pply</w:t>
        </w:r>
      </w:ins>
      <w:ins w:id="198" w:author="Enzor, Andrew" w:date="2018-07-30T16:55:00Z">
        <w:r w:rsidR="0008309C">
          <w:t>ing the</w:t>
        </w:r>
      </w:ins>
      <w:ins w:id="199" w:author="Dylan Townsend [2]" w:date="2018-07-21T08:01:00Z">
        <w:r w:rsidR="00917BE6">
          <w:t xml:space="preserve"> contribution rates as for demand in respect of direct costs, </w:t>
        </w:r>
        <w:r w:rsidR="00917BE6">
          <w:lastRenderedPageBreak/>
          <w:t>indirect costs and network rates</w:t>
        </w:r>
      </w:ins>
      <w:ins w:id="200" w:author="Enzor, Andrew" w:date="2018-07-30T16:56:00Z">
        <w:r w:rsidR="0008309C">
          <w:t>;</w:t>
        </w:r>
      </w:ins>
      <w:ins w:id="201" w:author="Dylan Townsend [2]" w:date="2018-07-21T08:01:00Z">
        <w:r w:rsidR="00917BE6">
          <w:t xml:space="preserve"> and then convert</w:t>
        </w:r>
      </w:ins>
      <w:ins w:id="202" w:author="Enzor, Andrew" w:date="2018-07-30T16:56:00Z">
        <w:r w:rsidR="0008309C">
          <w:t>ing</w:t>
        </w:r>
      </w:ins>
      <w:ins w:id="203" w:author="Dylan Townsend [2]" w:date="2018-07-21T08:01:00Z">
        <w:r w:rsidR="00917BE6">
          <w:t xml:space="preserve"> to p/k</w:t>
        </w:r>
      </w:ins>
      <w:ins w:id="204" w:author="Enzor, Andrew" w:date="2018-07-30T16:56:00Z">
        <w:r w:rsidR="0008309C">
          <w:t>W</w:t>
        </w:r>
      </w:ins>
      <w:ins w:id="205" w:author="Dylan Townsend [2]" w:date="2018-07-21T08:01:00Z">
        <w:del w:id="206" w:author="Enzor, Andrew" w:date="2018-07-30T16:56:00Z">
          <w:r w:rsidR="00917BE6" w:rsidDel="0008309C">
            <w:delText>w</w:delText>
          </w:r>
        </w:del>
        <w:r w:rsidR="00917BE6">
          <w:t>h</w:t>
        </w:r>
      </w:ins>
      <w:ins w:id="207" w:author="Enzor, Andrew" w:date="2018-07-30T16:56:00Z">
        <w:r w:rsidR="0008309C">
          <w:t>. This calculation should be carried out using the following formula:</w:t>
        </w:r>
      </w:ins>
      <w:ins w:id="208" w:author="Dylan Townsend [2]" w:date="2018-07-21T08:01:00Z">
        <w:r w:rsidR="00917BE6">
          <w:t xml:space="preserve"> </w:t>
        </w:r>
      </w:ins>
    </w:p>
    <w:p w14:paraId="6E029446" w14:textId="5A3FE795" w:rsidR="00917BE6" w:rsidRDefault="00917BE6" w:rsidP="00EF4E45">
      <w:pPr>
        <w:ind w:left="720"/>
        <w:jc w:val="both"/>
        <w:rPr>
          <w:ins w:id="209" w:author="Dylan Townsend [2]" w:date="2018-07-21T08:01:00Z"/>
        </w:rPr>
      </w:pPr>
      <w:ins w:id="210" w:author="Dylan Townsend [2]" w:date="2018-07-21T08:01:00Z">
        <w:r>
          <w:t>OEACC = - 100</w:t>
        </w:r>
      </w:ins>
      <w:ins w:id="211" w:author="Enzor, Andrew" w:date="2018-07-30T16:56:00Z">
        <w:r w:rsidR="0008309C">
          <w:t xml:space="preserve"> </w:t>
        </w:r>
      </w:ins>
      <w:ins w:id="212" w:author="Dylan Townsend [2]" w:date="2018-07-21T08:01:00Z">
        <w:r>
          <w:t>*</w:t>
        </w:r>
      </w:ins>
      <w:ins w:id="213" w:author="Enzor, Andrew" w:date="2018-07-30T16:56:00Z">
        <w:r w:rsidR="0008309C">
          <w:t xml:space="preserve"> </w:t>
        </w:r>
      </w:ins>
      <w:ins w:id="214" w:author="Dylan Townsend [2]" w:date="2018-07-21T08:01:00Z">
        <w:r>
          <w:t>[Proportion eligible for charge 1 credits] *</w:t>
        </w:r>
      </w:ins>
      <w:ins w:id="215" w:author="Dylan Townsend [2]" w:date="2018-07-21T10:44:00Z">
        <w:r w:rsidR="0046507B">
          <w:t xml:space="preserve"> </w:t>
        </w:r>
      </w:ins>
      <w:ins w:id="216" w:author="Dylan Townsend [2]" w:date="2018-07-21T08:01:00Z">
        <w:r>
          <w:t>([</w:t>
        </w:r>
      </w:ins>
      <w:ins w:id="217" w:author="Enzor, Andrew" w:date="2018-07-30T16:56:00Z">
        <w:r w:rsidR="0008309C">
          <w:t>local</w:t>
        </w:r>
      </w:ins>
      <w:ins w:id="218" w:author="Dylan Townsend [2]" w:date="2018-07-21T08:01:00Z">
        <w:r>
          <w:t xml:space="preserve"> charge 1 £/kVA/year] + [</w:t>
        </w:r>
      </w:ins>
      <w:ins w:id="219" w:author="Enzor, Andrew" w:date="2018-07-30T16:56:00Z">
        <w:r w:rsidR="0008309C">
          <w:t>remote</w:t>
        </w:r>
      </w:ins>
      <w:ins w:id="220" w:author="Dylan Townsend [2]" w:date="2018-07-21T08:01:00Z">
        <w:r>
          <w:t xml:space="preserve"> charge 1 £/kVA/year]) * ([Chargeable export capacity]</w:t>
        </w:r>
      </w:ins>
      <w:ins w:id="221" w:author="Dylan Townsend [2]" w:date="2018-07-21T10:44:00Z">
        <w:r w:rsidR="0046507B">
          <w:t xml:space="preserve"> </w:t>
        </w:r>
      </w:ins>
      <w:ins w:id="222" w:author="Dylan Townsend [2]" w:date="2018-07-21T08:01:00Z">
        <w:r>
          <w:t>/</w:t>
        </w:r>
      </w:ins>
      <w:ins w:id="223" w:author="Dylan Townsend [2]" w:date="2018-07-21T10:44:00Z">
        <w:r w:rsidR="0046507B">
          <w:t xml:space="preserve"> </w:t>
        </w:r>
      </w:ins>
      <w:ins w:id="224" w:author="Dylan Townsend [2]" w:date="2018-07-21T08:01:00Z">
        <w:r>
          <w:t>[Maximum export capacity]) * (DOCR + 0.6 * INCR + NRCR) /</w:t>
        </w:r>
      </w:ins>
      <w:ins w:id="225" w:author="Dylan Townsend [2]" w:date="2018-07-21T10:44:00Z">
        <w:r w:rsidR="0046507B">
          <w:t xml:space="preserve"> </w:t>
        </w:r>
      </w:ins>
      <w:ins w:id="226" w:author="Dylan Townsend [2]" w:date="2018-07-21T08:01:00Z">
        <w:r>
          <w:t>[Annuity Rate]</w:t>
        </w:r>
      </w:ins>
      <w:ins w:id="227" w:author="Dylan Townsend [2]" w:date="2018-07-21T10:48:00Z">
        <w:r w:rsidR="0046507B">
          <w:t xml:space="preserve"> </w:t>
        </w:r>
      </w:ins>
      <w:ins w:id="228" w:author="Dylan Townsend [2]" w:date="2018-07-21T08:01:00Z">
        <w:r>
          <w:t>/</w:t>
        </w:r>
      </w:ins>
      <w:ins w:id="229" w:author="Dylan Townsend [2]" w:date="2018-07-21T10:48:00Z">
        <w:r w:rsidR="0046507B">
          <w:t xml:space="preserve"> </w:t>
        </w:r>
      </w:ins>
      <w:ins w:id="230" w:author="Dylan Townsend [2]" w:date="2018-07-21T08:01:00Z">
        <w:r>
          <w:t>[number of hours in the super-red time band]</w:t>
        </w:r>
      </w:ins>
    </w:p>
    <w:p w14:paraId="73FF2468" w14:textId="77777777" w:rsidR="00917BE6" w:rsidRDefault="00917BE6" w:rsidP="00EF4E45">
      <w:pPr>
        <w:ind w:left="720"/>
        <w:jc w:val="both"/>
        <w:rPr>
          <w:ins w:id="231" w:author="Dylan Townsend [2]" w:date="2018-07-21T08:01:00Z"/>
        </w:rPr>
      </w:pPr>
      <w:ins w:id="232" w:author="Dylan Townsend [2]" w:date="2018-07-21T08:01:00Z">
        <w:r>
          <w:t>Where:</w:t>
        </w:r>
      </w:ins>
    </w:p>
    <w:p w14:paraId="40D80D73" w14:textId="41AE6AB2" w:rsidR="00917BE6" w:rsidRDefault="00917BE6" w:rsidP="00EF4E45">
      <w:pPr>
        <w:ind w:left="720"/>
        <w:jc w:val="both"/>
        <w:rPr>
          <w:ins w:id="233" w:author="Dylan Townsend [2]" w:date="2018-07-21T08:01:00Z"/>
        </w:rPr>
      </w:pPr>
      <w:ins w:id="234" w:author="Dylan Townsend [2]" w:date="2018-07-21T08:01:00Z">
        <w:r>
          <w:t>Annuity Rate</w:t>
        </w:r>
      </w:ins>
      <w:ins w:id="235" w:author="Dylan Townsend [2]" w:date="2018-07-21T10:46:00Z">
        <w:r w:rsidR="0046507B">
          <w:t xml:space="preserve"> is </w:t>
        </w:r>
      </w:ins>
      <w:ins w:id="236" w:author="Enzor, Andrew" w:date="2018-07-30T16:57:00Z">
        <w:r w:rsidR="0008309C">
          <w:t>as defined in clause 2.9 of this Schedule</w:t>
        </w:r>
      </w:ins>
      <w:ins w:id="237" w:author="Enzor, Andrew" w:date="2018-07-30T16:58:00Z">
        <w:r w:rsidR="0008309C">
          <w:t xml:space="preserve"> 18</w:t>
        </w:r>
      </w:ins>
      <w:ins w:id="238" w:author="Enzor, Andrew" w:date="2018-07-30T16:57:00Z">
        <w:r w:rsidR="0008309C">
          <w:t>.</w:t>
        </w:r>
      </w:ins>
    </w:p>
    <w:p w14:paraId="49D0D0F1" w14:textId="76958BDB" w:rsidR="00A65234" w:rsidRDefault="00A65234" w:rsidP="00EF4E45">
      <w:pPr>
        <w:ind w:left="720"/>
        <w:jc w:val="both"/>
        <w:rPr>
          <w:ins w:id="239" w:author="Dylan Townsend" w:date="2018-06-11T21:46:00Z"/>
        </w:rPr>
      </w:pPr>
      <w:ins w:id="240" w:author="Dylan Townsend" w:date="2018-06-11T21:46:00Z">
        <w:r>
          <w:t xml:space="preserve">DOCR = </w:t>
        </w:r>
        <w:r w:rsidRPr="00590E01">
          <w:t>Direct operating costs contribution rate (per cent)</w:t>
        </w:r>
        <w:r>
          <w:t xml:space="preserve"> as calculated in </w:t>
        </w:r>
      </w:ins>
      <w:ins w:id="241" w:author="Enzor, Andrew" w:date="2018-07-30T16:58:00Z">
        <w:r w:rsidR="0008309C">
          <w:t xml:space="preserve">clause </w:t>
        </w:r>
      </w:ins>
      <w:ins w:id="242" w:author="Dylan Townsend" w:date="2018-06-11T21:46:00Z">
        <w:r>
          <w:t>16.4</w:t>
        </w:r>
      </w:ins>
      <w:ins w:id="243" w:author="Enzor, Andrew" w:date="2018-07-30T16:58:00Z">
        <w:r w:rsidR="0008309C">
          <w:t xml:space="preserve"> of this Schedule 18.</w:t>
        </w:r>
      </w:ins>
    </w:p>
    <w:p w14:paraId="6AEC812B" w14:textId="7EDB6639" w:rsidR="00A65234" w:rsidRDefault="00A65234" w:rsidP="00EF4E45">
      <w:pPr>
        <w:ind w:left="720"/>
        <w:jc w:val="both"/>
        <w:rPr>
          <w:ins w:id="244" w:author="Dylan Townsend" w:date="2018-06-11T21:46:00Z"/>
        </w:rPr>
      </w:pPr>
      <w:ins w:id="245" w:author="Dylan Townsend" w:date="2018-06-11T21:46:00Z">
        <w:r>
          <w:t xml:space="preserve">INCR = </w:t>
        </w:r>
        <w:r w:rsidRPr="00590E01">
          <w:t>Indirect costs contribution rate (per cent)</w:t>
        </w:r>
        <w:r>
          <w:t xml:space="preserve"> as calculated in </w:t>
        </w:r>
      </w:ins>
      <w:ins w:id="246" w:author="Enzor, Andrew" w:date="2018-07-30T16:58:00Z">
        <w:r w:rsidR="0008309C">
          <w:t xml:space="preserve">clause </w:t>
        </w:r>
      </w:ins>
      <w:ins w:id="247" w:author="Dylan Townsend" w:date="2018-06-11T21:46:00Z">
        <w:r>
          <w:t>16.5</w:t>
        </w:r>
      </w:ins>
      <w:ins w:id="248" w:author="Enzor, Andrew" w:date="2018-07-30T16:59:00Z">
        <w:r w:rsidR="0008309C">
          <w:t xml:space="preserve"> of this Schedule 18.</w:t>
        </w:r>
      </w:ins>
    </w:p>
    <w:p w14:paraId="0E2443BD" w14:textId="7523D732" w:rsidR="00A65234" w:rsidRDefault="00A65234" w:rsidP="00EF4E45">
      <w:pPr>
        <w:ind w:left="720"/>
        <w:jc w:val="both"/>
        <w:rPr>
          <w:ins w:id="249" w:author="Dylan Townsend" w:date="2018-06-11T21:47:00Z"/>
        </w:rPr>
      </w:pPr>
      <w:ins w:id="250" w:author="Dylan Townsend" w:date="2018-06-11T21:46:00Z">
        <w:r>
          <w:t xml:space="preserve">NRCR = </w:t>
        </w:r>
        <w:r w:rsidRPr="006F7572">
          <w:t xml:space="preserve">Network rates contribution rate (per cent) </w:t>
        </w:r>
        <w:r>
          <w:t xml:space="preserve">as calculated in </w:t>
        </w:r>
      </w:ins>
      <w:ins w:id="251" w:author="Enzor, Andrew" w:date="2018-07-30T16:58:00Z">
        <w:r w:rsidR="0008309C">
          <w:t xml:space="preserve">clause </w:t>
        </w:r>
      </w:ins>
      <w:ins w:id="252" w:author="Dylan Townsend" w:date="2018-06-11T21:46:00Z">
        <w:r>
          <w:t>16.3</w:t>
        </w:r>
      </w:ins>
      <w:ins w:id="253" w:author="Enzor, Andrew" w:date="2018-07-30T16:59:00Z">
        <w:r w:rsidR="0008309C">
          <w:t xml:space="preserve"> of this Schedule 18.</w:t>
        </w:r>
      </w:ins>
    </w:p>
    <w:p w14:paraId="0E04B4C7" w14:textId="77C415C6" w:rsidR="00A65234" w:rsidRPr="00A65234" w:rsidRDefault="00A65234" w:rsidP="008D55D2">
      <w:pPr>
        <w:pStyle w:val="Heading2"/>
        <w:rPr>
          <w:ins w:id="254" w:author="Dylan Townsend" w:date="2018-06-11T21:48:00Z"/>
          <w:rFonts w:eastAsiaTheme="majorEastAsia" w:cstheme="majorBidi"/>
        </w:rPr>
      </w:pPr>
      <w:ins w:id="255" w:author="Dylan Townsend" w:date="2018-06-11T21:48:00Z">
        <w:r w:rsidRPr="00493730">
          <w:t>Transmission exit charges are applied to export as a credit. The credit is expressed as    a negative charge rate in p/kWh and is calculated as follows:</w:t>
        </w:r>
      </w:ins>
    </w:p>
    <w:p w14:paraId="4772F8F5" w14:textId="2BB0CA97" w:rsidR="00A65234" w:rsidRDefault="00A65234" w:rsidP="00EF4E45">
      <w:pPr>
        <w:ind w:left="720"/>
        <w:jc w:val="both"/>
        <w:rPr>
          <w:ins w:id="256" w:author="Enzor, Andrew" w:date="2018-07-30T17:02:00Z"/>
          <w:rFonts w:eastAsiaTheme="majorEastAsia" w:cstheme="majorBidi"/>
          <w:szCs w:val="26"/>
        </w:rPr>
      </w:pPr>
      <w:ins w:id="257" w:author="Dylan Townsend" w:date="2018-06-11T21:48:00Z">
        <w:r w:rsidRPr="0047727D">
          <w:rPr>
            <w:rFonts w:eastAsiaTheme="majorEastAsia" w:cstheme="majorBidi"/>
            <w:szCs w:val="26"/>
          </w:rPr>
          <w:t>ATEC</w:t>
        </w:r>
        <w:r>
          <w:rPr>
            <w:rFonts w:eastAsiaTheme="majorEastAsia" w:cstheme="majorBidi"/>
            <w:szCs w:val="26"/>
          </w:rPr>
          <w:t>C</w:t>
        </w:r>
        <w:r w:rsidRPr="0047727D">
          <w:rPr>
            <w:rFonts w:eastAsiaTheme="majorEastAsia" w:cstheme="majorBidi"/>
            <w:szCs w:val="26"/>
          </w:rPr>
          <w:t xml:space="preserve"> = -100 </w:t>
        </w:r>
      </w:ins>
      <w:ins w:id="258" w:author="Dylan Townsend [2]" w:date="2018-07-21T08:02:00Z">
        <w:r w:rsidR="00917BE6" w:rsidRPr="00917BE6">
          <w:rPr>
            <w:rFonts w:eastAsiaTheme="majorEastAsia" w:cstheme="majorBidi"/>
            <w:szCs w:val="26"/>
          </w:rPr>
          <w:t xml:space="preserve">* [Generation Losses Factor] </w:t>
        </w:r>
      </w:ins>
      <w:ins w:id="259" w:author="Dylan Townsend" w:date="2018-06-11T21:48:00Z">
        <w:r w:rsidRPr="0047727D">
          <w:rPr>
            <w:rFonts w:eastAsiaTheme="majorEastAsia" w:cstheme="majorBidi"/>
            <w:szCs w:val="26"/>
          </w:rPr>
          <w:t>*</w:t>
        </w:r>
        <w:r>
          <w:rPr>
            <w:rFonts w:eastAsiaTheme="majorEastAsia" w:cstheme="majorBidi"/>
            <w:szCs w:val="26"/>
          </w:rPr>
          <w:t xml:space="preserve"> </w:t>
        </w:r>
        <w:r w:rsidRPr="0047727D">
          <w:rPr>
            <w:rFonts w:eastAsiaTheme="majorEastAsia" w:cstheme="majorBidi"/>
            <w:szCs w:val="26"/>
          </w:rPr>
          <w:t>[Proportion eligible for charge 1 credits]</w:t>
        </w:r>
        <w:r>
          <w:rPr>
            <w:rFonts w:eastAsiaTheme="majorEastAsia" w:cstheme="majorBidi"/>
            <w:szCs w:val="26"/>
          </w:rPr>
          <w:t xml:space="preserve"> </w:t>
        </w:r>
        <w:r w:rsidRPr="0047727D">
          <w:rPr>
            <w:rFonts w:eastAsiaTheme="majorEastAsia" w:cstheme="majorBidi"/>
            <w:szCs w:val="26"/>
          </w:rPr>
          <w:t xml:space="preserve">* </w:t>
        </w:r>
      </w:ins>
      <w:ins w:id="260" w:author="Enzor, Andrew" w:date="2018-07-30T17:05:00Z">
        <w:r w:rsidR="009D6C0F" w:rsidRPr="00EF4E45">
          <w:rPr>
            <w:szCs w:val="24"/>
          </w:rPr>
          <w:t>[Transmission exit charging rate in p/kW]</w:t>
        </w:r>
      </w:ins>
      <w:ins w:id="261" w:author="Dylan Townsend" w:date="2018-06-11T21:48:00Z">
        <w:r w:rsidRPr="0047727D">
          <w:rPr>
            <w:rFonts w:eastAsiaTheme="majorEastAsia" w:cstheme="majorBidi"/>
            <w:szCs w:val="26"/>
          </w:rPr>
          <w:t xml:space="preserve"> * ([Chargeable export capacity] / [Maximum export capacity]) / [number of hours in the super-red time band]</w:t>
        </w:r>
      </w:ins>
    </w:p>
    <w:p w14:paraId="173D80C5" w14:textId="3C583430" w:rsidR="0008309C" w:rsidRDefault="009D6C0F" w:rsidP="00EF4E45">
      <w:pPr>
        <w:ind w:left="720"/>
        <w:jc w:val="both"/>
        <w:rPr>
          <w:ins w:id="262" w:author="Dylan Townsend [2]" w:date="2018-07-21T08:02:00Z"/>
          <w:rFonts w:eastAsiaTheme="majorEastAsia" w:cstheme="majorBidi"/>
          <w:szCs w:val="26"/>
        </w:rPr>
      </w:pPr>
      <w:ins w:id="263" w:author="Enzor, Andrew" w:date="2018-07-30T17:05:00Z">
        <w:r>
          <w:rPr>
            <w:rFonts w:eastAsiaTheme="majorEastAsia" w:cstheme="majorBidi"/>
            <w:szCs w:val="26"/>
          </w:rPr>
          <w:t>Where:</w:t>
        </w:r>
      </w:ins>
    </w:p>
    <w:p w14:paraId="63F754BF" w14:textId="02590067" w:rsidR="00917BE6" w:rsidRPr="0047727D" w:rsidRDefault="00917BE6" w:rsidP="00EF4E45">
      <w:pPr>
        <w:ind w:left="720"/>
        <w:jc w:val="both"/>
        <w:rPr>
          <w:ins w:id="264" w:author="Dylan Townsend" w:date="2018-06-11T21:48:00Z"/>
          <w:rFonts w:eastAsiaTheme="majorEastAsia" w:cstheme="majorBidi"/>
          <w:szCs w:val="26"/>
        </w:rPr>
      </w:pPr>
      <w:ins w:id="265" w:author="Dylan Townsend [2]" w:date="2018-07-21T08:02:00Z">
        <w:r w:rsidRPr="00917BE6">
          <w:rPr>
            <w:rFonts w:eastAsiaTheme="majorEastAsia" w:cstheme="majorBidi"/>
            <w:szCs w:val="26"/>
          </w:rPr>
          <w:t>Generation Losses Factor is an uplift factor to reflect avoided losses between the GSP and the Connectee.</w:t>
        </w:r>
      </w:ins>
    </w:p>
    <w:p w14:paraId="57C2DD21" w14:textId="466D3B09" w:rsidR="009D6C0F" w:rsidRDefault="009D6C0F" w:rsidP="00EF4E45">
      <w:pPr>
        <w:ind w:left="720"/>
        <w:jc w:val="both"/>
        <w:rPr>
          <w:ins w:id="266" w:author="Enzor, Andrew" w:date="2018-07-30T17:05:00Z"/>
          <w:rFonts w:eastAsiaTheme="majorEastAsia" w:cstheme="majorBidi"/>
          <w:szCs w:val="26"/>
        </w:rPr>
      </w:pPr>
      <w:ins w:id="267" w:author="Enzor, Andrew" w:date="2018-07-30T17:05:00Z">
        <w:r w:rsidRPr="009D6C0F">
          <w:rPr>
            <w:rFonts w:eastAsiaTheme="majorEastAsia" w:cstheme="majorBidi"/>
            <w:szCs w:val="26"/>
          </w:rPr>
          <w:t>Transmission exit charging rate in p/kW</w:t>
        </w:r>
        <w:r>
          <w:rPr>
            <w:rFonts w:eastAsiaTheme="majorEastAsia" w:cstheme="majorBidi"/>
            <w:szCs w:val="26"/>
          </w:rPr>
          <w:t xml:space="preserve"> is as defined in clause 9.2 of this Schedule 18.</w:t>
        </w:r>
      </w:ins>
    </w:p>
    <w:p w14:paraId="76DB0C02" w14:textId="4D2F1BF8" w:rsidR="00A65234" w:rsidRPr="0047727D" w:rsidRDefault="00A65234" w:rsidP="00EF4E45">
      <w:pPr>
        <w:ind w:left="720"/>
        <w:jc w:val="both"/>
        <w:rPr>
          <w:ins w:id="268" w:author="Dylan Townsend" w:date="2018-06-11T21:48:00Z"/>
          <w:rFonts w:eastAsiaTheme="majorEastAsia" w:cstheme="majorBidi"/>
          <w:szCs w:val="26"/>
        </w:rPr>
      </w:pPr>
      <w:ins w:id="269" w:author="Dylan Townsend" w:date="2018-06-11T21:48:00Z">
        <w:r w:rsidRPr="0047727D">
          <w:rPr>
            <w:rFonts w:eastAsiaTheme="majorEastAsia" w:cstheme="majorBidi"/>
            <w:szCs w:val="26"/>
          </w:rPr>
          <w:t xml:space="preserve">Total EDCM peak time consumption (in kW) calculated by multiplying the Maximum Import Capacity of each Connectee by the forecast peak-time kW divided by forecast maximum kVA of that Connectee (adjusted for losses to transmission and, if </w:t>
        </w:r>
        <w:r w:rsidRPr="0047727D">
          <w:rPr>
            <w:rFonts w:eastAsiaTheme="majorEastAsia" w:cstheme="majorBidi"/>
            <w:szCs w:val="26"/>
          </w:rPr>
          <w:lastRenderedPageBreak/>
          <w:t>necessary, for Connectees connected for part of the Charging Year) and aggregating across all EDCM Customer demand.</w:t>
        </w:r>
      </w:ins>
    </w:p>
    <w:p w14:paraId="4C68A9D4" w14:textId="77777777" w:rsidR="00A65234" w:rsidRDefault="00A65234" w:rsidP="00EF4E45">
      <w:pPr>
        <w:ind w:left="720"/>
        <w:jc w:val="both"/>
        <w:rPr>
          <w:ins w:id="270" w:author="Dylan Townsend" w:date="2018-06-11T21:48:00Z"/>
        </w:rPr>
      </w:pPr>
      <w:ins w:id="271" w:author="Dylan Townsend" w:date="2018-06-11T21:48:00Z">
        <w:r>
          <w:t xml:space="preserve">The proportion eligible for charge 1 credits is zero if the F factor that is assigned to the Connectee as described in the FCP methodology is equal to zero, and 1 otherwise. </w:t>
        </w:r>
      </w:ins>
    </w:p>
    <w:p w14:paraId="251C12C1" w14:textId="77777777" w:rsidR="00446229" w:rsidRPr="005469F9" w:rsidRDefault="00446229" w:rsidP="00FB218B">
      <w:pPr>
        <w:pStyle w:val="Heading1"/>
        <w:numPr>
          <w:ilvl w:val="0"/>
          <w:numId w:val="37"/>
        </w:numPr>
      </w:pPr>
      <w:bookmarkStart w:id="272" w:name="_Toc360027727"/>
      <w:bookmarkStart w:id="273" w:name="_Toc360028081"/>
      <w:bookmarkStart w:id="274" w:name="_Toc391559940"/>
      <w:bookmarkStart w:id="275" w:name="_Toc510303060"/>
      <w:bookmarkStart w:id="276" w:name="_Toc513018474"/>
      <w:bookmarkStart w:id="277" w:name="_Toc289363393"/>
      <w:bookmarkStart w:id="278" w:name="_Toc320876074"/>
      <w:bookmarkStart w:id="279" w:name="_Toc320876697"/>
      <w:bookmarkStart w:id="280" w:name="_Toc325449911"/>
      <w:bookmarkStart w:id="281" w:name="_Toc339284555"/>
      <w:r w:rsidRPr="005469F9">
        <w:t>Transmission connection (exit) charges for demand</w:t>
      </w:r>
      <w:bookmarkEnd w:id="272"/>
      <w:bookmarkEnd w:id="273"/>
      <w:bookmarkEnd w:id="274"/>
      <w:bookmarkEnd w:id="275"/>
      <w:bookmarkEnd w:id="276"/>
      <w:r w:rsidRPr="005469F9">
        <w:t xml:space="preserve"> </w:t>
      </w:r>
      <w:bookmarkEnd w:id="277"/>
      <w:bookmarkEnd w:id="278"/>
      <w:bookmarkEnd w:id="279"/>
      <w:bookmarkEnd w:id="280"/>
      <w:bookmarkEnd w:id="281"/>
    </w:p>
    <w:p w14:paraId="4108392D" w14:textId="77777777" w:rsidR="00446229" w:rsidRPr="00EF4E45" w:rsidRDefault="00446229" w:rsidP="008D55D2">
      <w:pPr>
        <w:pStyle w:val="Heading2"/>
      </w:pPr>
      <w:r w:rsidRPr="00EF4E45">
        <w:t xml:space="preserve">A separate transmission exit charge is applied to demand tariffs.  </w:t>
      </w:r>
    </w:p>
    <w:p w14:paraId="73863CA0" w14:textId="77777777" w:rsidR="00446229" w:rsidRPr="00EF4E45" w:rsidRDefault="00446229" w:rsidP="008D55D2">
      <w:pPr>
        <w:pStyle w:val="Heading2"/>
      </w:pPr>
      <w:r w:rsidRPr="00EF4E45">
        <w:t>A single charging rate, in p/kW/day is calculated as follows:</w:t>
      </w:r>
    </w:p>
    <w:p w14:paraId="7FD0B8B0" w14:textId="45EB6363" w:rsidR="00446229" w:rsidRPr="00EF4E45" w:rsidRDefault="00446229" w:rsidP="00EF4E45">
      <w:pPr>
        <w:ind w:left="720"/>
        <w:jc w:val="both"/>
        <w:rPr>
          <w:szCs w:val="24"/>
        </w:rPr>
      </w:pPr>
      <w:r w:rsidRPr="00EF4E45">
        <w:rPr>
          <w:szCs w:val="24"/>
        </w:rPr>
        <w:t>Transmission exit charging rate p/kW</w:t>
      </w:r>
      <w:del w:id="282" w:author="Enzor, Andrew" w:date="2018-07-30T17:03:00Z">
        <w:r w:rsidRPr="00EF4E45" w:rsidDel="0008309C">
          <w:rPr>
            <w:szCs w:val="24"/>
          </w:rPr>
          <w:delText>/day</w:delText>
        </w:r>
      </w:del>
      <w:r w:rsidRPr="00EF4E45">
        <w:rPr>
          <w:szCs w:val="24"/>
        </w:rPr>
        <w:t xml:space="preserve"> = 100 </w:t>
      </w:r>
      <w:del w:id="283" w:author="Enzor, Andrew" w:date="2018-07-30T17:03:00Z">
        <w:r w:rsidRPr="00EF4E45" w:rsidDel="0008309C">
          <w:rPr>
            <w:szCs w:val="24"/>
          </w:rPr>
          <w:delText xml:space="preserve">/ DC </w:delText>
        </w:r>
      </w:del>
      <w:r w:rsidRPr="00EF4E45">
        <w:rPr>
          <w:szCs w:val="24"/>
        </w:rPr>
        <w:t xml:space="preserve">* NGET charge / (CDCM system maximum load + total EDCM peak time consumption)  </w:t>
      </w:r>
    </w:p>
    <w:p w14:paraId="054A2DCE" w14:textId="77777777" w:rsidR="00446229" w:rsidRPr="00EF4E45" w:rsidRDefault="00446229" w:rsidP="00EF4E45">
      <w:pPr>
        <w:ind w:left="720"/>
        <w:jc w:val="both"/>
        <w:rPr>
          <w:szCs w:val="24"/>
        </w:rPr>
      </w:pPr>
      <w:r w:rsidRPr="00EF4E45">
        <w:rPr>
          <w:szCs w:val="24"/>
        </w:rPr>
        <w:t>Where:</w:t>
      </w:r>
    </w:p>
    <w:p w14:paraId="09CBE0AD" w14:textId="0447BA2D" w:rsidR="00446229" w:rsidRPr="00EF4E45" w:rsidDel="009D6C0F" w:rsidRDefault="00446229" w:rsidP="00EF4E45">
      <w:pPr>
        <w:ind w:left="720"/>
        <w:jc w:val="both"/>
        <w:rPr>
          <w:moveFrom w:id="284" w:author="Enzor, Andrew" w:date="2018-07-30T17:04:00Z"/>
          <w:szCs w:val="24"/>
        </w:rPr>
      </w:pPr>
      <w:moveFromRangeStart w:id="285" w:author="Enzor, Andrew" w:date="2018-07-30T17:04:00Z" w:name="move520733593"/>
      <w:moveFrom w:id="286" w:author="Enzor, Andrew" w:date="2018-07-30T17:04:00Z">
        <w:r w:rsidRPr="00EF4E45" w:rsidDel="009D6C0F">
          <w:rPr>
            <w:szCs w:val="24"/>
          </w:rPr>
          <w:t>DC is the number of days in the Charging Year.</w:t>
        </w:r>
      </w:moveFrom>
    </w:p>
    <w:moveFromRangeEnd w:id="285"/>
    <w:p w14:paraId="6D770019" w14:textId="77777777" w:rsidR="00446229" w:rsidRPr="00EF4E45" w:rsidRDefault="00446229" w:rsidP="00EF4E45">
      <w:pPr>
        <w:ind w:left="720"/>
        <w:jc w:val="both"/>
        <w:rPr>
          <w:szCs w:val="24"/>
        </w:rPr>
      </w:pPr>
      <w:r w:rsidRPr="00EF4E45">
        <w:rPr>
          <w:szCs w:val="24"/>
        </w:rPr>
        <w:t>NGET charge is the DNO Party’s forecast annual expenditure on transmission connection point charges in £.</w:t>
      </w:r>
    </w:p>
    <w:p w14:paraId="094BA237" w14:textId="77777777" w:rsidR="00446229" w:rsidRPr="00EF4E45" w:rsidRDefault="00446229" w:rsidP="00EF4E45">
      <w:pPr>
        <w:ind w:left="720"/>
        <w:jc w:val="both"/>
        <w:rPr>
          <w:szCs w:val="24"/>
        </w:rPr>
      </w:pPr>
      <w:r w:rsidRPr="00EF4E45">
        <w:rPr>
          <w:szCs w:val="24"/>
        </w:rPr>
        <w:t>CDCM system maximum load is the forecast system simultaneous maximum load from CDCM Connectees (in kW) from CDCM table 2506.</w:t>
      </w:r>
    </w:p>
    <w:p w14:paraId="359AD772" w14:textId="77777777" w:rsidR="00446229" w:rsidRPr="00EF4E45" w:rsidRDefault="00446229" w:rsidP="00EF4E45">
      <w:pPr>
        <w:ind w:left="720"/>
        <w:jc w:val="both"/>
        <w:rPr>
          <w:szCs w:val="24"/>
        </w:rPr>
      </w:pPr>
      <w:r w:rsidRPr="00EF4E45">
        <w:rPr>
          <w:szCs w:val="24"/>
        </w:rP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14:paraId="1048047D" w14:textId="6BD32051" w:rsidR="00446229" w:rsidRPr="008D55D2" w:rsidRDefault="008D55D2" w:rsidP="008D55D2">
      <w:pPr>
        <w:ind w:left="720" w:hanging="720"/>
      </w:pPr>
      <w:ins w:id="287" w:author="Dylan Townsend [2]" w:date="2018-08-14T07:26:00Z">
        <w:r>
          <w:t>9.3</w:t>
        </w:r>
        <w:r>
          <w:tab/>
        </w:r>
      </w:ins>
      <w:r w:rsidR="00446229" w:rsidRPr="008D55D2">
        <w:t>The single p/kW</w:t>
      </w:r>
      <w:del w:id="288" w:author="Enzor, Andrew" w:date="2018-07-30T17:15:00Z">
        <w:r w:rsidR="00446229" w:rsidRPr="008D55D2" w:rsidDel="001E4FAA">
          <w:delText>/d</w:delText>
        </w:r>
      </w:del>
      <w:del w:id="289" w:author="Enzor, Andrew" w:date="2018-07-30T17:13:00Z">
        <w:r w:rsidR="00446229" w:rsidRPr="008D55D2" w:rsidDel="009D6C0F">
          <w:delText>ay</w:delText>
        </w:r>
      </w:del>
      <w:r w:rsidR="00446229" w:rsidRPr="008D55D2">
        <w:t xml:space="preserve"> charging rate is converted into a p/kVA/day import </w:t>
      </w:r>
      <w:proofErr w:type="gramStart"/>
      <w:r w:rsidR="00446229" w:rsidRPr="008D55D2">
        <w:t>capacity based</w:t>
      </w:r>
      <w:proofErr w:type="gramEnd"/>
      <w:r w:rsidR="00446229" w:rsidRPr="008D55D2">
        <w:t xml:space="preserve"> charge for each EDCM Connectees as follows:</w:t>
      </w:r>
    </w:p>
    <w:p w14:paraId="35E0DB3F" w14:textId="2818DA5F" w:rsidR="00446229" w:rsidRDefault="00446229" w:rsidP="00EF4E45">
      <w:pPr>
        <w:ind w:left="720"/>
        <w:jc w:val="both"/>
        <w:rPr>
          <w:ins w:id="290" w:author="Enzor, Andrew" w:date="2018-07-30T17:04:00Z"/>
          <w:szCs w:val="24"/>
        </w:rPr>
      </w:pPr>
      <w:r w:rsidRPr="00EF4E45">
        <w:rPr>
          <w:szCs w:val="24"/>
        </w:rPr>
        <w:t>Transmission exit charge p/kVA/day = [Transmission exit charging rate in p/kW</w:t>
      </w:r>
      <w:del w:id="291" w:author="Enzor, Andrew" w:date="2018-07-30T17:04:00Z">
        <w:r w:rsidRPr="00EF4E45" w:rsidDel="009D6C0F">
          <w:rPr>
            <w:szCs w:val="24"/>
          </w:rPr>
          <w:delText xml:space="preserve">/day </w:delText>
        </w:r>
      </w:del>
      <w:r w:rsidRPr="00EF4E45">
        <w:rPr>
          <w:szCs w:val="24"/>
        </w:rPr>
        <w:t xml:space="preserve">] * [Forecast peak-time kW divided by kVA of that Connectee, adjusted for transmission losses and, if necessary for Connectees connected part of the </w:t>
      </w:r>
      <w:proofErr w:type="gramStart"/>
      <w:r w:rsidRPr="00EF4E45">
        <w:rPr>
          <w:szCs w:val="24"/>
        </w:rPr>
        <w:t xml:space="preserve">year]  </w:t>
      </w:r>
      <w:ins w:id="292" w:author="Enzor, Andrew" w:date="2018-07-30T17:04:00Z">
        <w:r w:rsidR="009D6C0F">
          <w:rPr>
            <w:szCs w:val="24"/>
          </w:rPr>
          <w:t>/</w:t>
        </w:r>
        <w:proofErr w:type="gramEnd"/>
        <w:r w:rsidR="009D6C0F">
          <w:rPr>
            <w:szCs w:val="24"/>
          </w:rPr>
          <w:t xml:space="preserve"> DC</w:t>
        </w:r>
      </w:ins>
    </w:p>
    <w:p w14:paraId="698BD3FF" w14:textId="3450CB42" w:rsidR="009D6C0F" w:rsidRDefault="009D6C0F" w:rsidP="009D6C0F">
      <w:pPr>
        <w:ind w:left="720"/>
        <w:jc w:val="both"/>
        <w:rPr>
          <w:ins w:id="293" w:author="Enzor, Andrew" w:date="2018-07-30T17:04:00Z"/>
          <w:szCs w:val="24"/>
        </w:rPr>
      </w:pPr>
      <w:ins w:id="294" w:author="Enzor, Andrew" w:date="2018-07-30T17:04:00Z">
        <w:r>
          <w:rPr>
            <w:szCs w:val="24"/>
          </w:rPr>
          <w:lastRenderedPageBreak/>
          <w:t>Where:</w:t>
        </w:r>
      </w:ins>
    </w:p>
    <w:p w14:paraId="4EBDFC7B" w14:textId="77777777" w:rsidR="009D6C0F" w:rsidRPr="00EF4E45" w:rsidRDefault="009D6C0F" w:rsidP="009D6C0F">
      <w:pPr>
        <w:ind w:left="720"/>
        <w:jc w:val="both"/>
        <w:rPr>
          <w:moveTo w:id="295" w:author="Enzor, Andrew" w:date="2018-07-30T17:04:00Z"/>
          <w:szCs w:val="24"/>
        </w:rPr>
      </w:pPr>
      <w:moveToRangeStart w:id="296" w:author="Enzor, Andrew" w:date="2018-07-30T17:04:00Z" w:name="move520733593"/>
      <w:moveTo w:id="297" w:author="Enzor, Andrew" w:date="2018-07-30T17:04:00Z">
        <w:r w:rsidRPr="00EF4E45">
          <w:rPr>
            <w:szCs w:val="24"/>
          </w:rPr>
          <w:t>DC is the number of days in the Charging Year.</w:t>
        </w:r>
      </w:moveTo>
    </w:p>
    <w:moveToRangeEnd w:id="296"/>
    <w:p w14:paraId="454FF939" w14:textId="1A9272DA" w:rsidR="009D6C0F" w:rsidRPr="00EF4E45" w:rsidDel="009D6C0F" w:rsidRDefault="009D6C0F" w:rsidP="00EF4E45">
      <w:pPr>
        <w:ind w:left="720"/>
        <w:jc w:val="both"/>
        <w:rPr>
          <w:del w:id="298" w:author="Enzor, Andrew" w:date="2018-07-30T17:04:00Z"/>
          <w:szCs w:val="24"/>
        </w:rPr>
      </w:pPr>
    </w:p>
    <w:p w14:paraId="0E47BD55" w14:textId="77777777" w:rsidR="00446229" w:rsidRPr="0031140C" w:rsidRDefault="00446229" w:rsidP="00446229">
      <w:pPr>
        <w:pStyle w:val="Heading1"/>
      </w:pPr>
      <w:bookmarkStart w:id="299" w:name="_Toc360027728"/>
      <w:bookmarkStart w:id="300" w:name="_Toc360028082"/>
      <w:bookmarkStart w:id="301" w:name="_Toc391559941"/>
      <w:bookmarkStart w:id="302" w:name="_Toc510303061"/>
      <w:bookmarkStart w:id="303" w:name="_Toc513018475"/>
      <w:r w:rsidRPr="0031140C">
        <w:t>Transmission connection (exit) credits for generators</w:t>
      </w:r>
      <w:bookmarkEnd w:id="299"/>
      <w:bookmarkEnd w:id="300"/>
      <w:bookmarkEnd w:id="301"/>
      <w:bookmarkEnd w:id="302"/>
      <w:bookmarkEnd w:id="303"/>
    </w:p>
    <w:p w14:paraId="71371741" w14:textId="0DD24A07" w:rsidR="00446229" w:rsidRPr="0031140C" w:rsidRDefault="00A65234" w:rsidP="008D55D2">
      <w:pPr>
        <w:pStyle w:val="Heading2"/>
      </w:pPr>
      <w:ins w:id="304" w:author="Dylan Townsend" w:date="2018-06-11T21:52:00Z">
        <w:r>
          <w:t>In addition to paragraph 6.</w:t>
        </w:r>
      </w:ins>
      <w:ins w:id="305" w:author="Dylan Townsend" w:date="2018-06-15T12:12:00Z">
        <w:r w:rsidR="00626B68">
          <w:t>8</w:t>
        </w:r>
      </w:ins>
      <w:ins w:id="306" w:author="Dylan Townsend" w:date="2018-06-11T21:52:00Z">
        <w:r>
          <w:t xml:space="preserve">, </w:t>
        </w:r>
      </w:ins>
      <w:del w:id="307" w:author="Dylan Townsend" w:date="2018-06-11T21:52:00Z">
        <w:r w:rsidR="00446229" w:rsidRPr="0031140C" w:rsidDel="00A65234">
          <w:delText>A</w:delText>
        </w:r>
      </w:del>
      <w:ins w:id="308" w:author="Dylan Townsend" w:date="2018-06-11T21:52:00Z">
        <w:r>
          <w:t>a</w:t>
        </w:r>
      </w:ins>
      <w:r w:rsidR="00446229" w:rsidRPr="0031140C">
        <w:t xml:space="preserve"> capacity-based credit related to transmission exit is applied to generation tariffs. </w:t>
      </w:r>
    </w:p>
    <w:p w14:paraId="69840D59" w14:textId="2A24F4BA" w:rsidR="00446229" w:rsidRPr="0031140C" w:rsidRDefault="00446229" w:rsidP="008D55D2">
      <w:pPr>
        <w:pStyle w:val="Heading2"/>
      </w:pPr>
      <w:r w:rsidRPr="0031140C">
        <w:t>Transmission exit credits are</w:t>
      </w:r>
      <w:ins w:id="309" w:author="Dylan Townsend" w:date="2018-06-11T21:53:00Z">
        <w:r w:rsidR="00A65234">
          <w:t xml:space="preserve"> also</w:t>
        </w:r>
      </w:ins>
      <w:r w:rsidRPr="0031140C">
        <w:t xml:space="preserve"> paid to generators that have an agreement with the DNO, the terms of which require the generator, for the purposes of P2/6 compliance, to export power during </w:t>
      </w:r>
      <w:proofErr w:type="spellStart"/>
      <w:r w:rsidRPr="0031140C">
        <w:t>supergrid</w:t>
      </w:r>
      <w:proofErr w:type="spellEnd"/>
      <w:r w:rsidRPr="0031140C">
        <w:t xml:space="preserve"> transformer (SGT) outage conditions.</w:t>
      </w:r>
    </w:p>
    <w:p w14:paraId="0A010F8A" w14:textId="77777777" w:rsidR="00446229" w:rsidRDefault="00446229" w:rsidP="008D55D2">
      <w:pPr>
        <w:pStyle w:val="Heading2"/>
      </w:pPr>
      <w:r w:rsidRPr="00346DAB">
        <w:t>The rate in p/kVA/day for each generation customer would be calculated as follows:</w:t>
      </w:r>
    </w:p>
    <w:p w14:paraId="65BDCC70" w14:textId="77777777" w:rsidR="00446229" w:rsidRDefault="00446229" w:rsidP="00EF4E45">
      <w:pPr>
        <w:ind w:left="720"/>
        <w:jc w:val="both"/>
      </w:pPr>
      <w:r>
        <w:t xml:space="preserve">Transmission exit credit p/kVA/day = </w:t>
      </w:r>
      <w:proofErr w:type="gramStart"/>
      <w:r>
        <w:t>-[</w:t>
      </w:r>
      <w:proofErr w:type="gramEnd"/>
      <w:r>
        <w:t xml:space="preserve">Transmission exit charging rate in p/kW/day] * [Capacity eligible for credits in kW] / [Chargeable Export Capacity in kVA of that Connectee]  </w:t>
      </w:r>
    </w:p>
    <w:p w14:paraId="3D58E471" w14:textId="77777777" w:rsidR="00446229" w:rsidRDefault="00446229" w:rsidP="00EF4E45">
      <w:pPr>
        <w:ind w:left="720"/>
        <w:jc w:val="both"/>
      </w:pPr>
      <w:r>
        <w:t>Where:</w:t>
      </w:r>
    </w:p>
    <w:p w14:paraId="16409147" w14:textId="77777777" w:rsidR="00446229" w:rsidRDefault="00446229" w:rsidP="00EF4E45">
      <w:pPr>
        <w:ind w:left="720"/>
        <w:jc w:val="both"/>
      </w:pPr>
      <w:r>
        <w:t>Transmission exit charging rate in p/kW/day is calculated as described for demand tariffs.</w:t>
      </w:r>
    </w:p>
    <w:p w14:paraId="46121C8C" w14:textId="77777777" w:rsidR="00446229" w:rsidRDefault="00446229" w:rsidP="00EF4E45">
      <w:pPr>
        <w:ind w:left="720"/>
        <w:jc w:val="both"/>
      </w:pPr>
      <w:r>
        <w:t>Capacity eligible for credits (in kW) is the capacity that is made available by the generator under the agreement with the DNO.</w:t>
      </w:r>
    </w:p>
    <w:p w14:paraId="3FDDF2D6" w14:textId="77777777" w:rsidR="00446229" w:rsidRDefault="00446229" w:rsidP="00EF4E45">
      <w:pPr>
        <w:ind w:left="720"/>
        <w:jc w:val="both"/>
      </w:pPr>
      <w:r>
        <w:t>Chargeable Export Capacity (in kVA) is the forecast average value of the maximum export capacity of the generator over the charging year, less any capacity that is exempt from use of system charges in the charging year.</w:t>
      </w:r>
    </w:p>
    <w:p w14:paraId="40B9DCA0" w14:textId="77777777" w:rsidR="00446229" w:rsidRDefault="00446229" w:rsidP="008D55D2">
      <w:pPr>
        <w:pStyle w:val="Heading2"/>
        <w:numPr>
          <w:ilvl w:val="0"/>
          <w:numId w:val="0"/>
        </w:numPr>
        <w:ind w:left="720"/>
      </w:pPr>
      <w:r>
        <w:t>The generation transmission connection (exit) rate is not calculated for Connectees with zero Chargeable Export Capacity.</w:t>
      </w:r>
    </w:p>
    <w:p w14:paraId="51F8757F" w14:textId="2E82FB07" w:rsidR="00BC3813" w:rsidRDefault="00446229" w:rsidP="008D55D2">
      <w:pPr>
        <w:pStyle w:val="Heading2"/>
      </w:pPr>
      <w:r w:rsidRPr="0031140C">
        <w:t>Transmission connection (exit) credits are applied to the Chargeable Export Capacity (in kVA)</w:t>
      </w:r>
      <w:r w:rsidR="00A65234">
        <w:t>.</w:t>
      </w:r>
    </w:p>
    <w:p w14:paraId="1305AD54"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bookmarkStart w:id="310" w:name="_Toc518333665"/>
      <w:bookmarkStart w:id="311" w:name="_Toc513018480"/>
      <w:bookmarkStart w:id="312" w:name="_Toc510303066"/>
      <w:bookmarkStart w:id="313" w:name="_Toc391559946"/>
      <w:bookmarkStart w:id="314" w:name="_Toc360028087"/>
      <w:bookmarkStart w:id="315" w:name="_Toc360027733"/>
    </w:p>
    <w:p w14:paraId="675ABC76"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66E019BF"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0644D688"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bookmarkEnd w:id="310"/>
    <w:bookmarkEnd w:id="311"/>
    <w:bookmarkEnd w:id="312"/>
    <w:bookmarkEnd w:id="313"/>
    <w:bookmarkEnd w:id="314"/>
    <w:bookmarkEnd w:id="315"/>
    <w:p w14:paraId="77EBA06B" w14:textId="4CB26813" w:rsidR="00A103E7" w:rsidRDefault="00A103E7" w:rsidP="00A103E7"/>
    <w:p w14:paraId="734F84C7" w14:textId="77777777" w:rsidR="006C3897" w:rsidRDefault="006C3897" w:rsidP="00A103E7"/>
    <w:p w14:paraId="7EEE9623" w14:textId="77777777" w:rsidR="00A1005B" w:rsidRDefault="00A1005B" w:rsidP="00A103E7">
      <w:pPr>
        <w:pStyle w:val="DCSubHeading1Level2"/>
      </w:pPr>
      <w:bookmarkStart w:id="316" w:name="_POTENTIALLY_RELEVANT_TEXT"/>
      <w:bookmarkEnd w:id="316"/>
    </w:p>
    <w:sectPr w:rsidR="00A1005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0" w:author="Dylan Townsend [2]" w:date="2018-07-30T17:28:00Z" w:initials="DT">
    <w:p w14:paraId="6D03A3A2" w14:textId="52133C42" w:rsidR="00DB19BF" w:rsidRDefault="00DB19BF">
      <w:pPr>
        <w:pStyle w:val="CommentText"/>
      </w:pPr>
      <w:r>
        <w:rPr>
          <w:rStyle w:val="CommentReference"/>
        </w:rPr>
        <w:annotationRef/>
      </w:r>
      <w:r w:rsidRPr="00DB19BF">
        <w:t>Confirm if applicable for FCP</w:t>
      </w:r>
    </w:p>
  </w:comment>
  <w:comment w:id="84" w:author="Enzor, Andrew" w:date="2018-07-30T17:28:00Z" w:initials="EA">
    <w:p w14:paraId="0F6EC42A" w14:textId="621BF73A" w:rsidR="00953925" w:rsidRDefault="00953925">
      <w:pPr>
        <w:pStyle w:val="CommentText"/>
      </w:pPr>
      <w:r>
        <w:rPr>
          <w:rStyle w:val="CommentReference"/>
        </w:rPr>
        <w:annotationRef/>
      </w:r>
      <w:r>
        <w:t>FCP DNOs to confirm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03A3A2" w15:done="0"/>
  <w15:commentEx w15:paraId="0F6EC42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03A3A2" w16cid:durableId="1EFD6E38"/>
  <w16cid:commentId w16cid:paraId="0F6EC42A" w16cid:durableId="1F1CFF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01F5D9" w14:textId="77777777" w:rsidR="004D3308" w:rsidRDefault="004D3308" w:rsidP="00C87F18">
      <w:pPr>
        <w:spacing w:after="0" w:line="240" w:lineRule="auto"/>
      </w:pPr>
      <w:r>
        <w:separator/>
      </w:r>
    </w:p>
  </w:endnote>
  <w:endnote w:type="continuationSeparator" w:id="0">
    <w:p w14:paraId="680AC116" w14:textId="77777777" w:rsidR="004D3308" w:rsidRDefault="004D3308" w:rsidP="00C87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F3DF1" w14:textId="77777777" w:rsidR="004D3308" w:rsidRDefault="004D3308" w:rsidP="00C87F18">
      <w:pPr>
        <w:spacing w:after="0" w:line="240" w:lineRule="auto"/>
      </w:pPr>
      <w:r>
        <w:separator/>
      </w:r>
    </w:p>
  </w:footnote>
  <w:footnote w:type="continuationSeparator" w:id="0">
    <w:p w14:paraId="1D67ECA8" w14:textId="77777777" w:rsidR="004D3308" w:rsidRDefault="004D3308" w:rsidP="00C87F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2"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15:restartNumberingAfterBreak="0">
    <w:nsid w:val="08A731F4"/>
    <w:multiLevelType w:val="multilevel"/>
    <w:tmpl w:val="C4962232"/>
    <w:lvl w:ilvl="0">
      <w:start w:val="6"/>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4320" w:firstLine="0"/>
      </w:pPr>
      <w:rPr>
        <w:rFonts w:hint="default"/>
        <w:b w:val="0"/>
      </w:rPr>
    </w:lvl>
    <w:lvl w:ilvl="5">
      <w:start w:val="1"/>
      <w:numFmt w:val="lowerRoman"/>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lvlText w:val="%7."/>
      <w:lvlJc w:val="left"/>
      <w:pPr>
        <w:ind w:left="720" w:hanging="72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4"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5"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 w15:restartNumberingAfterBreak="0">
    <w:nsid w:val="2B9E04A0"/>
    <w:multiLevelType w:val="hybridMultilevel"/>
    <w:tmpl w:val="E0C0AE26"/>
    <w:lvl w:ilvl="0" w:tplc="2B5479AC">
      <w:start w:val="1"/>
      <w:numFmt w:val="decimal"/>
      <w:lvlText w:val="%1.1"/>
      <w:lvlJc w:val="left"/>
      <w:pPr>
        <w:ind w:left="3839" w:hanging="360"/>
      </w:pPr>
      <w:rPr>
        <w:rFonts w:ascii="Calibri" w:hAnsi="Calibri" w:hint="default"/>
        <w:b w:val="0"/>
        <w:i w:val="0"/>
        <w:caps w:val="0"/>
        <w:strike w:val="0"/>
        <w:dstrike w:val="0"/>
        <w:vanish w:val="0"/>
        <w:sz w:val="22"/>
        <w:vertAlign w:val="baseline"/>
      </w:rPr>
    </w:lvl>
    <w:lvl w:ilvl="1" w:tplc="08090019" w:tentative="1">
      <w:start w:val="1"/>
      <w:numFmt w:val="lowerLetter"/>
      <w:lvlText w:val="%2."/>
      <w:lvlJc w:val="left"/>
      <w:pPr>
        <w:ind w:left="4559" w:hanging="360"/>
      </w:pPr>
    </w:lvl>
    <w:lvl w:ilvl="2" w:tplc="0809001B" w:tentative="1">
      <w:start w:val="1"/>
      <w:numFmt w:val="lowerRoman"/>
      <w:lvlText w:val="%3."/>
      <w:lvlJc w:val="right"/>
      <w:pPr>
        <w:ind w:left="5279" w:hanging="180"/>
      </w:pPr>
    </w:lvl>
    <w:lvl w:ilvl="3" w:tplc="0809000F">
      <w:start w:val="1"/>
      <w:numFmt w:val="decimal"/>
      <w:pStyle w:val="Heading4"/>
      <w:lvlText w:val="%4."/>
      <w:lvlJc w:val="left"/>
      <w:pPr>
        <w:ind w:left="5999" w:hanging="360"/>
      </w:pPr>
    </w:lvl>
    <w:lvl w:ilvl="4" w:tplc="08090019" w:tentative="1">
      <w:start w:val="1"/>
      <w:numFmt w:val="lowerLetter"/>
      <w:lvlText w:val="%5."/>
      <w:lvlJc w:val="left"/>
      <w:pPr>
        <w:ind w:left="6719" w:hanging="360"/>
      </w:pPr>
    </w:lvl>
    <w:lvl w:ilvl="5" w:tplc="0809001B" w:tentative="1">
      <w:start w:val="1"/>
      <w:numFmt w:val="lowerRoman"/>
      <w:lvlText w:val="%6."/>
      <w:lvlJc w:val="right"/>
      <w:pPr>
        <w:ind w:left="7439" w:hanging="180"/>
      </w:pPr>
    </w:lvl>
    <w:lvl w:ilvl="6" w:tplc="0809000F" w:tentative="1">
      <w:start w:val="1"/>
      <w:numFmt w:val="decimal"/>
      <w:lvlText w:val="%7."/>
      <w:lvlJc w:val="left"/>
      <w:pPr>
        <w:ind w:left="8159" w:hanging="360"/>
      </w:pPr>
    </w:lvl>
    <w:lvl w:ilvl="7" w:tplc="08090019" w:tentative="1">
      <w:start w:val="1"/>
      <w:numFmt w:val="lowerLetter"/>
      <w:lvlText w:val="%8."/>
      <w:lvlJc w:val="left"/>
      <w:pPr>
        <w:ind w:left="8879" w:hanging="360"/>
      </w:pPr>
    </w:lvl>
    <w:lvl w:ilvl="8" w:tplc="0809001B" w:tentative="1">
      <w:start w:val="1"/>
      <w:numFmt w:val="lowerRoman"/>
      <w:lvlText w:val="%9."/>
      <w:lvlJc w:val="right"/>
      <w:pPr>
        <w:ind w:left="9599" w:hanging="180"/>
      </w:pPr>
    </w:lvl>
  </w:abstractNum>
  <w:abstractNum w:abstractNumId="8"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9"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pStyle w:val="GSBodyParawithnumb"/>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12" w15:restartNumberingAfterBreak="0">
    <w:nsid w:val="4BE9644E"/>
    <w:multiLevelType w:val="hybridMultilevel"/>
    <w:tmpl w:val="B2D651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15:restartNumberingAfterBreak="0">
    <w:nsid w:val="7A210585"/>
    <w:multiLevelType w:val="multilevel"/>
    <w:tmpl w:val="FBA8102A"/>
    <w:lvl w:ilvl="0">
      <w:start w:val="1"/>
      <w:numFmt w:val="decimal"/>
      <w:pStyle w:val="GSHeading1withnumb"/>
      <w:lvlText w:val="%1."/>
      <w:lvlJc w:val="left"/>
      <w:pPr>
        <w:tabs>
          <w:tab w:val="num" w:pos="567"/>
        </w:tabs>
        <w:ind w:left="567" w:hanging="567"/>
      </w:pPr>
      <w:rPr>
        <w:rFonts w:hint="default"/>
        <w:sz w:val="24"/>
      </w:rPr>
    </w:lvl>
    <w:lvl w:ilvl="1">
      <w:start w:val="1"/>
      <w:numFmt w:val="decimal"/>
      <w:lvlText w:val="%1.%2"/>
      <w:lvlJc w:val="left"/>
      <w:pPr>
        <w:tabs>
          <w:tab w:val="num" w:pos="567"/>
        </w:tabs>
        <w:ind w:left="567" w:hanging="567"/>
      </w:pPr>
      <w:rPr>
        <w:rFonts w:asciiTheme="minorHAnsi" w:hAnsiTheme="minorHAnsi" w:cstheme="minorHAnsi" w:hint="default"/>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6" w15:restartNumberingAfterBreak="0">
    <w:nsid w:val="7F1C301B"/>
    <w:multiLevelType w:val="multilevel"/>
    <w:tmpl w:val="AB706296"/>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3"/>
  </w:num>
  <w:num w:numId="2">
    <w:abstractNumId w:val="4"/>
  </w:num>
  <w:num w:numId="3">
    <w:abstractNumId w:val="7"/>
  </w:num>
  <w:num w:numId="4">
    <w:abstractNumId w:val="11"/>
  </w:num>
  <w:num w:numId="5">
    <w:abstractNumId w:val="2"/>
  </w:num>
  <w:num w:numId="6">
    <w:abstractNumId w:val="9"/>
  </w:num>
  <w:num w:numId="7">
    <w:abstractNumId w:val="9"/>
  </w:num>
  <w:num w:numId="8">
    <w:abstractNumId w:val="5"/>
  </w:num>
  <w:num w:numId="9">
    <w:abstractNumId w:val="6"/>
  </w:num>
  <w:num w:numId="10">
    <w:abstractNumId w:val="14"/>
  </w:num>
  <w:num w:numId="11">
    <w:abstractNumId w:val="10"/>
  </w:num>
  <w:num w:numId="12">
    <w:abstractNumId w:val="10"/>
  </w:num>
  <w:num w:numId="13">
    <w:abstractNumId w:val="8"/>
  </w:num>
  <w:num w:numId="14">
    <w:abstractNumId w:val="15"/>
  </w:num>
  <w:num w:numId="15">
    <w:abstractNumId w:val="3"/>
  </w:num>
  <w:num w:numId="16">
    <w:abstractNumId w:val="16"/>
  </w:num>
  <w:num w:numId="17">
    <w:abstractNumId w:val="1"/>
  </w:num>
  <w:num w:numId="18">
    <w:abstractNumId w:val="0"/>
  </w:num>
  <w:num w:numId="19">
    <w:abstractNumId w:val="16"/>
  </w:num>
  <w:num w:numId="20">
    <w:abstractNumId w:val="16"/>
  </w:num>
  <w:num w:numId="2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2"/>
  </w:num>
  <w:num w:numId="41">
    <w:abstractNumId w:val="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lan Townsend">
    <w15:presenceInfo w15:providerId="None" w15:userId="Dylan Townsend"/>
  </w15:person>
  <w15:person w15:author="Dylan Townsend [2]">
    <w15:presenceInfo w15:providerId="AD" w15:userId="S-1-5-21-1220945662-1229272821-1417001333-10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7685"/>
    <w:rsid w:val="0000010F"/>
    <w:rsid w:val="00012537"/>
    <w:rsid w:val="0002122D"/>
    <w:rsid w:val="00061F2E"/>
    <w:rsid w:val="00080330"/>
    <w:rsid w:val="0008309C"/>
    <w:rsid w:val="00085396"/>
    <w:rsid w:val="00086E69"/>
    <w:rsid w:val="000F5C1F"/>
    <w:rsid w:val="001E4FAA"/>
    <w:rsid w:val="00234020"/>
    <w:rsid w:val="002356F2"/>
    <w:rsid w:val="00283873"/>
    <w:rsid w:val="002C0F0A"/>
    <w:rsid w:val="002F7180"/>
    <w:rsid w:val="003701BD"/>
    <w:rsid w:val="003D3577"/>
    <w:rsid w:val="003E1D51"/>
    <w:rsid w:val="004443DC"/>
    <w:rsid w:val="00446229"/>
    <w:rsid w:val="0046507B"/>
    <w:rsid w:val="004D3308"/>
    <w:rsid w:val="004F6EEF"/>
    <w:rsid w:val="00606CC1"/>
    <w:rsid w:val="00626B68"/>
    <w:rsid w:val="00697AD5"/>
    <w:rsid w:val="006A0A9F"/>
    <w:rsid w:val="006C3897"/>
    <w:rsid w:val="00746077"/>
    <w:rsid w:val="007607B7"/>
    <w:rsid w:val="007721B2"/>
    <w:rsid w:val="007D7420"/>
    <w:rsid w:val="00866340"/>
    <w:rsid w:val="00887685"/>
    <w:rsid w:val="008C46C8"/>
    <w:rsid w:val="008C775C"/>
    <w:rsid w:val="008D2DF9"/>
    <w:rsid w:val="008D54BD"/>
    <w:rsid w:val="008D55D2"/>
    <w:rsid w:val="008F6B8D"/>
    <w:rsid w:val="00917BE6"/>
    <w:rsid w:val="0092064E"/>
    <w:rsid w:val="00953925"/>
    <w:rsid w:val="009D6C0F"/>
    <w:rsid w:val="00A1005B"/>
    <w:rsid w:val="00A103E7"/>
    <w:rsid w:val="00A32A07"/>
    <w:rsid w:val="00A344E7"/>
    <w:rsid w:val="00A65234"/>
    <w:rsid w:val="00A820BA"/>
    <w:rsid w:val="00AF6755"/>
    <w:rsid w:val="00B77F85"/>
    <w:rsid w:val="00BC3813"/>
    <w:rsid w:val="00BC42DA"/>
    <w:rsid w:val="00C455F6"/>
    <w:rsid w:val="00C62B60"/>
    <w:rsid w:val="00C87F18"/>
    <w:rsid w:val="00CB41DB"/>
    <w:rsid w:val="00CC5D4A"/>
    <w:rsid w:val="00D054FC"/>
    <w:rsid w:val="00D16838"/>
    <w:rsid w:val="00D35074"/>
    <w:rsid w:val="00D6688E"/>
    <w:rsid w:val="00DB19BF"/>
    <w:rsid w:val="00E43205"/>
    <w:rsid w:val="00E712A7"/>
    <w:rsid w:val="00EA6A88"/>
    <w:rsid w:val="00ED4205"/>
    <w:rsid w:val="00EF4E45"/>
    <w:rsid w:val="00F47B13"/>
    <w:rsid w:val="00FB21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F32BB"/>
  <w15:docId w15:val="{F554DDFF-4BD7-4209-AC69-E8683EEE9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7685"/>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7721B2"/>
    <w:pPr>
      <w:keepNext/>
      <w:keepLines/>
      <w:numPr>
        <w:numId w:val="15"/>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Normal"/>
    <w:link w:val="Heading2Char"/>
    <w:uiPriority w:val="99"/>
    <w:unhideWhenUsed/>
    <w:qFormat/>
    <w:rsid w:val="008D55D2"/>
    <w:pPr>
      <w:numPr>
        <w:ilvl w:val="1"/>
        <w:numId w:val="15"/>
      </w:numPr>
      <w:ind w:left="720" w:hanging="720"/>
      <w:jc w:val="both"/>
      <w:outlineLvl w:val="1"/>
    </w:pPr>
    <w:rPr>
      <w:bCs/>
      <w:szCs w:val="26"/>
    </w:rPr>
  </w:style>
  <w:style w:type="paragraph" w:styleId="Heading3">
    <w:name w:val="heading 3"/>
    <w:aliases w:val="DCUSA H3,level 3,level3,Nadpis 3,3,Section,Annotationen,(Alt+3),(Alt+3)1,(Alt+3)2,(Alt+3)3,(Alt+3)4,(Alt+3)5,(Alt+3)6,(Alt+3)11,(Alt+3)21,(Alt+3)31,(Alt+3)41,(Alt+3)7,(Alt+3)12,(Alt+3)22,(Alt+3)32,(Alt+3)42,(Alt+3)8,(Alt+3)9,(Alt+3)10"/>
    <w:basedOn w:val="DCNormParaL3"/>
    <w:link w:val="Heading3Char"/>
    <w:uiPriority w:val="99"/>
    <w:unhideWhenUsed/>
    <w:qFormat/>
    <w:rsid w:val="007721B2"/>
    <w:pPr>
      <w:ind w:left="1080" w:hanging="360"/>
      <w:outlineLvl w:val="2"/>
    </w:pPr>
    <w:rPr>
      <w:rFonts w:cs="Times New Roman"/>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7721B2"/>
    <w:pPr>
      <w:keepNext/>
      <w:keepLines/>
      <w:numPr>
        <w:ilvl w:val="3"/>
        <w:numId w:val="3"/>
      </w:numPr>
      <w:ind w:left="2291" w:hanging="851"/>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DCNormaParaL1"/>
    <w:next w:val="DCNormaParaL1"/>
    <w:link w:val="Heading5Char"/>
    <w:uiPriority w:val="99"/>
    <w:unhideWhenUsed/>
    <w:qFormat/>
    <w:rsid w:val="007721B2"/>
    <w:pPr>
      <w:ind w:left="567" w:hanging="567"/>
      <w:outlineLvl w:val="4"/>
    </w:pPr>
  </w:style>
  <w:style w:type="paragraph" w:styleId="Heading6">
    <w:name w:val="heading 6"/>
    <w:aliases w:val="Heading 6 DCUSA (i),DCSA i),h6,H6,H61,H62,H63,H64,H65,H66,H67,H68,H69,H610,H611,H612,H613,H614,H615,H616,H617,H618,H619,H621,H631,H641,H651,H661,H671,H681,H691,H6101,H6111,H6121,H6131,H6141,H6151,H6161,H6171,H6181,H620,H622,H623,H624,H625,H626"/>
    <w:basedOn w:val="DCNormParaL3"/>
    <w:next w:val="DCNormParaL3"/>
    <w:link w:val="Heading6Char"/>
    <w:uiPriority w:val="99"/>
    <w:unhideWhenUsed/>
    <w:qFormat/>
    <w:rsid w:val="007721B2"/>
    <w:pPr>
      <w:keepNext/>
      <w:keepLines/>
      <w:numPr>
        <w:numId w:val="9"/>
      </w:numPr>
      <w:ind w:left="1287" w:hanging="567"/>
      <w:outlineLvl w:val="5"/>
    </w:pPr>
    <w:rPr>
      <w:rFonts w:eastAsiaTheme="majorEastAsia" w:cstheme="majorBidi"/>
      <w:iCs/>
      <w:color w:val="000000" w:themeColor="text1"/>
    </w:rPr>
  </w:style>
  <w:style w:type="paragraph" w:styleId="Heading7">
    <w:name w:val="heading 7"/>
    <w:aliases w:val="DCUSA numbered,ITT t7,PA Appendix Major,Appendix Major,Lev 7,Heading 7(unused),Legal Level 1.1.,L2 PIP,L7,Numbered - 7,7,subTITLEPAGE,letter list,L1 Heading 7,req3,cnc,Caption number (column-wide),Bulleted list,H7DO NOT USE,level1-noHeading"/>
    <w:next w:val="BodyText"/>
    <w:link w:val="Heading7Char"/>
    <w:uiPriority w:val="99"/>
    <w:unhideWhenUsed/>
    <w:qFormat/>
    <w:rsid w:val="007721B2"/>
    <w:pPr>
      <w:keepNext/>
      <w:keepLines/>
      <w:ind w:left="720" w:hanging="720"/>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7721B2"/>
    <w:pPr>
      <w:keepNext/>
      <w:keepLines/>
      <w:numPr>
        <w:ilvl w:val="7"/>
        <w:numId w:val="15"/>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7721B2"/>
    <w:pPr>
      <w:keepNext/>
      <w:keepLines/>
      <w:numPr>
        <w:ilvl w:val="8"/>
        <w:numId w:val="15"/>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BodyParawithnumb">
    <w:name w:val="GS Body Para with numb"/>
    <w:basedOn w:val="Normal"/>
    <w:link w:val="GSBodyParawithnumbChar"/>
    <w:autoRedefine/>
    <w:qFormat/>
    <w:rsid w:val="00A32A07"/>
    <w:pPr>
      <w:numPr>
        <w:ilvl w:val="1"/>
        <w:numId w:val="6"/>
      </w:numPr>
      <w:tabs>
        <w:tab w:val="num" w:pos="567"/>
      </w:tabs>
      <w:spacing w:before="60" w:after="180" w:line="260" w:lineRule="exact"/>
      <w:ind w:left="567" w:hanging="567"/>
    </w:pPr>
  </w:style>
  <w:style w:type="character" w:customStyle="1" w:styleId="GSBodyParawithnumbChar">
    <w:name w:val="GS Body Para with numb Char"/>
    <w:basedOn w:val="DefaultParagraphFont"/>
    <w:link w:val="GSBodyParawithnumb"/>
    <w:rsid w:val="00A32A07"/>
    <w:rPr>
      <w:rFonts w:cs="Arial"/>
      <w:color w:val="4D4D4D"/>
    </w:rPr>
  </w:style>
  <w:style w:type="paragraph" w:customStyle="1" w:styleId="GSTitle">
    <w:name w:val="GS Title"/>
    <w:basedOn w:val="Title"/>
    <w:link w:val="GSTitleChar"/>
    <w:autoRedefine/>
    <w:qFormat/>
    <w:rsid w:val="00A32A07"/>
  </w:style>
  <w:style w:type="character" w:customStyle="1" w:styleId="GSTitleChar">
    <w:name w:val="GS Title Char"/>
    <w:basedOn w:val="DefaultParagraphFont"/>
    <w:link w:val="GSTitle"/>
    <w:rsid w:val="00A32A07"/>
    <w:rPr>
      <w:rFonts w:eastAsiaTheme="majorEastAsia" w:cstheme="majorBidi"/>
      <w:b/>
      <w:color w:val="398E63"/>
      <w:spacing w:val="-10"/>
      <w:kern w:val="28"/>
      <w:sz w:val="56"/>
      <w:szCs w:val="110"/>
      <w:lang w:eastAsia="en-GB"/>
    </w:rPr>
  </w:style>
  <w:style w:type="paragraph" w:styleId="Title">
    <w:name w:val="Title"/>
    <w:basedOn w:val="Normal"/>
    <w:next w:val="Normal"/>
    <w:link w:val="TitleChar"/>
    <w:qFormat/>
    <w:rsid w:val="00B77F85"/>
    <w:pPr>
      <w:pBdr>
        <w:bottom w:val="single" w:sz="2" w:space="3" w:color="CEE0CC"/>
      </w:pBdr>
      <w:spacing w:before="40" w:after="80" w:line="600" w:lineRule="exact"/>
    </w:pPr>
    <w:rPr>
      <w:rFonts w:eastAsiaTheme="majorEastAsia" w:cstheme="majorBidi"/>
      <w:b/>
      <w:color w:val="398E63"/>
      <w:spacing w:val="-10"/>
      <w:kern w:val="28"/>
      <w:sz w:val="56"/>
      <w:szCs w:val="110"/>
      <w:lang w:eastAsia="en-GB"/>
    </w:rPr>
  </w:style>
  <w:style w:type="character" w:customStyle="1" w:styleId="TitleChar">
    <w:name w:val="Title Char"/>
    <w:basedOn w:val="DefaultParagraphFont"/>
    <w:link w:val="Title"/>
    <w:rsid w:val="00B77F85"/>
    <w:rPr>
      <w:rFonts w:eastAsiaTheme="majorEastAsia" w:cstheme="majorBidi"/>
      <w:b/>
      <w:color w:val="398E63"/>
      <w:spacing w:val="-10"/>
      <w:kern w:val="28"/>
      <w:sz w:val="56"/>
      <w:szCs w:val="110"/>
      <w:lang w:eastAsia="en-GB"/>
    </w:rPr>
  </w:style>
  <w:style w:type="paragraph" w:customStyle="1" w:styleId="GSHeading1">
    <w:name w:val="GS Heading 1"/>
    <w:basedOn w:val="GSHeading1withnumb"/>
    <w:link w:val="GSHeading1Char"/>
    <w:qFormat/>
    <w:rsid w:val="00B77F85"/>
  </w:style>
  <w:style w:type="character" w:customStyle="1" w:styleId="GSHeading1Char">
    <w:name w:val="GS Heading 1 Char"/>
    <w:basedOn w:val="DefaultParagraphFont"/>
    <w:link w:val="GSHeading1"/>
    <w:rsid w:val="00B77F85"/>
    <w:rPr>
      <w:rFonts w:eastAsiaTheme="minorEastAsia" w:cs="Arial"/>
      <w:color w:val="3C9164"/>
      <w:spacing w:val="15"/>
      <w:sz w:val="24"/>
      <w:szCs w:val="40"/>
      <w:lang w:eastAsia="en-GB"/>
    </w:rPr>
  </w:style>
  <w:style w:type="paragraph" w:customStyle="1" w:styleId="GSBodyPara">
    <w:name w:val="GS Body Para"/>
    <w:basedOn w:val="Normal"/>
    <w:link w:val="GSBodyParaChar"/>
    <w:qFormat/>
    <w:rsid w:val="00B77F85"/>
  </w:style>
  <w:style w:type="character" w:customStyle="1" w:styleId="GSBodyParaChar">
    <w:name w:val="GS Body Para Char"/>
    <w:basedOn w:val="DefaultParagraphFont"/>
    <w:link w:val="GSBodyPara"/>
    <w:rsid w:val="00B77F85"/>
    <w:rPr>
      <w:rFonts w:cs="Arial"/>
      <w:color w:val="4D4D4D"/>
    </w:rPr>
  </w:style>
  <w:style w:type="numbering" w:customStyle="1" w:styleId="GSNumList">
    <w:name w:val="GS NumList"/>
    <w:uiPriority w:val="99"/>
    <w:rsid w:val="00B77F85"/>
    <w:pPr>
      <w:numPr>
        <w:numId w:val="2"/>
      </w:numPr>
    </w:pPr>
  </w:style>
  <w:style w:type="paragraph" w:customStyle="1" w:styleId="GSHeading2">
    <w:name w:val="GS Heading 2"/>
    <w:basedOn w:val="GSHeading1"/>
    <w:next w:val="GSBodyPara"/>
    <w:link w:val="GSHeading2Char"/>
    <w:qFormat/>
    <w:rsid w:val="00B77F85"/>
    <w:rPr>
      <w:sz w:val="32"/>
      <w:szCs w:val="32"/>
    </w:rPr>
  </w:style>
  <w:style w:type="character" w:customStyle="1" w:styleId="GSHeading2Char">
    <w:name w:val="GS Heading 2 Char"/>
    <w:basedOn w:val="GSHeading1Char"/>
    <w:link w:val="GSHeading2"/>
    <w:rsid w:val="00B77F85"/>
    <w:rPr>
      <w:rFonts w:eastAsiaTheme="minorEastAsia" w:cs="Arial"/>
      <w:color w:val="3C9164"/>
      <w:spacing w:val="15"/>
      <w:sz w:val="32"/>
      <w:szCs w:val="32"/>
      <w:lang w:eastAsia="en-GB"/>
    </w:rPr>
  </w:style>
  <w:style w:type="table" w:customStyle="1" w:styleId="GSTable">
    <w:name w:val="GS Table"/>
    <w:basedOn w:val="TableNormal"/>
    <w:uiPriority w:val="99"/>
    <w:rsid w:val="00B77F85"/>
    <w:pPr>
      <w:spacing w:before="60" w:after="120" w:line="240" w:lineRule="auto"/>
    </w:pPr>
    <w:rPr>
      <w:rFonts w:ascii="Calibri" w:hAnsi="Calibri"/>
      <w:sz w:val="24"/>
    </w:rPr>
    <w:tblPr/>
    <w:tblStylePr w:type="firstRow">
      <w:tblPr/>
      <w:tcPr>
        <w:tcBorders>
          <w:top w:val="single" w:sz="4" w:space="0" w:color="auto"/>
          <w:left w:val="nil"/>
          <w:bottom w:val="nil"/>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GSHeaderFooter">
    <w:name w:val="GS Header/Footer"/>
    <w:basedOn w:val="Normal"/>
    <w:link w:val="GSHeaderFooterChar"/>
    <w:qFormat/>
    <w:rsid w:val="00B77F8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B77F85"/>
    <w:rPr>
      <w:rFonts w:cs="Arial"/>
      <w:color w:val="4D4D4D"/>
      <w:sz w:val="16"/>
    </w:rPr>
  </w:style>
  <w:style w:type="paragraph" w:customStyle="1" w:styleId="GSTblText1">
    <w:name w:val="GS Tbl Text 1"/>
    <w:basedOn w:val="Normal"/>
    <w:qFormat/>
    <w:rsid w:val="00B77F85"/>
    <w:pPr>
      <w:spacing w:before="60" w:after="120" w:line="240" w:lineRule="auto"/>
    </w:pPr>
  </w:style>
  <w:style w:type="paragraph" w:customStyle="1" w:styleId="GSCommittee">
    <w:name w:val="GS Committee"/>
    <w:basedOn w:val="GSTblText1"/>
    <w:link w:val="GSCommitteeChar"/>
    <w:qFormat/>
    <w:rsid w:val="00B77F85"/>
  </w:style>
  <w:style w:type="character" w:customStyle="1" w:styleId="GSCommitteeChar">
    <w:name w:val="GS Committee Char"/>
    <w:basedOn w:val="DefaultParagraphFont"/>
    <w:link w:val="GSCommittee"/>
    <w:rsid w:val="00B77F85"/>
    <w:rPr>
      <w:rFonts w:cs="Arial"/>
      <w:color w:val="4D4D4D"/>
    </w:rPr>
  </w:style>
  <w:style w:type="paragraph" w:customStyle="1" w:styleId="GSBodyParaBullet">
    <w:name w:val="GS Body Para Bullet"/>
    <w:basedOn w:val="Normal"/>
    <w:link w:val="GSBodyParaBulletChar"/>
    <w:autoRedefine/>
    <w:qFormat/>
    <w:rsid w:val="00B77F85"/>
    <w:pPr>
      <w:numPr>
        <w:ilvl w:val="3"/>
        <w:numId w:val="1"/>
      </w:numPr>
      <w:tabs>
        <w:tab w:val="clear" w:pos="2880"/>
        <w:tab w:val="num" w:pos="851"/>
      </w:tabs>
      <w:spacing w:before="60" w:after="120"/>
      <w:ind w:left="851" w:hanging="284"/>
    </w:pPr>
  </w:style>
  <w:style w:type="character" w:customStyle="1" w:styleId="GSBodyParaBulletChar">
    <w:name w:val="GS Body Para Bullet Char"/>
    <w:basedOn w:val="DefaultParagraphFont"/>
    <w:link w:val="GSBodyParaBullet"/>
    <w:rsid w:val="00B77F85"/>
    <w:rPr>
      <w:rFonts w:cs="Arial"/>
      <w:color w:val="4D4D4D"/>
    </w:rPr>
  </w:style>
  <w:style w:type="paragraph" w:customStyle="1" w:styleId="GSHeaderFooterlandscape">
    <w:name w:val="GS Header/Footer landscape"/>
    <w:basedOn w:val="Normal"/>
    <w:link w:val="GSHeaderFooterlandscapeChar"/>
    <w:qFormat/>
    <w:rsid w:val="00B77F8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B77F85"/>
    <w:rPr>
      <w:rFonts w:cs="Arial"/>
      <w:color w:val="4D4D4D"/>
      <w:sz w:val="16"/>
    </w:rPr>
  </w:style>
  <w:style w:type="paragraph" w:customStyle="1" w:styleId="GSHeading1withnumb">
    <w:name w:val="GS Heading 1 with numb"/>
    <w:basedOn w:val="Subtitle"/>
    <w:link w:val="GSHeading1withnumbChar"/>
    <w:autoRedefine/>
    <w:qFormat/>
    <w:rsid w:val="00A32A07"/>
    <w:pPr>
      <w:numPr>
        <w:ilvl w:val="0"/>
        <w:numId w:val="14"/>
      </w:numPr>
      <w:spacing w:after="80" w:line="280" w:lineRule="exact"/>
    </w:pPr>
    <w:rPr>
      <w:sz w:val="24"/>
    </w:rPr>
  </w:style>
  <w:style w:type="character" w:customStyle="1" w:styleId="GSHeading1withnumbChar">
    <w:name w:val="GS Heading 1 with numb Char"/>
    <w:basedOn w:val="DefaultParagraphFont"/>
    <w:link w:val="GSHeading1withnumb"/>
    <w:rsid w:val="00A32A07"/>
    <w:rPr>
      <w:rFonts w:eastAsiaTheme="minorEastAsia" w:cs="Arial"/>
      <w:color w:val="3C9164"/>
      <w:spacing w:val="15"/>
      <w:sz w:val="24"/>
      <w:szCs w:val="40"/>
      <w:lang w:eastAsia="en-GB"/>
    </w:rPr>
  </w:style>
  <w:style w:type="paragraph" w:styleId="Subtitle">
    <w:name w:val="Subtitle"/>
    <w:basedOn w:val="Normal"/>
    <w:next w:val="Normal"/>
    <w:link w:val="SubtitleChar"/>
    <w:qFormat/>
    <w:rsid w:val="00B77F85"/>
    <w:pPr>
      <w:numPr>
        <w:ilvl w:val="1"/>
      </w:numPr>
      <w:pBdr>
        <w:bottom w:val="single" w:sz="2" w:space="5" w:color="CEE0CC"/>
      </w:pBdr>
      <w:spacing w:before="40" w:after="100" w:line="300" w:lineRule="exact"/>
    </w:pPr>
    <w:rPr>
      <w:rFonts w:eastAsiaTheme="minorEastAsia"/>
      <w:color w:val="3C9164"/>
      <w:spacing w:val="15"/>
      <w:sz w:val="28"/>
      <w:szCs w:val="40"/>
      <w:lang w:eastAsia="en-GB"/>
    </w:rPr>
  </w:style>
  <w:style w:type="character" w:customStyle="1" w:styleId="SubtitleChar">
    <w:name w:val="Subtitle Char"/>
    <w:basedOn w:val="DefaultParagraphFont"/>
    <w:link w:val="Subtitle"/>
    <w:rsid w:val="00B77F85"/>
    <w:rPr>
      <w:rFonts w:eastAsiaTheme="minorEastAsia" w:cs="Arial"/>
      <w:color w:val="3C9164"/>
      <w:spacing w:val="15"/>
      <w:sz w:val="28"/>
      <w:szCs w:val="40"/>
      <w:lang w:eastAsia="en-GB"/>
    </w:rPr>
  </w:style>
  <w:style w:type="paragraph" w:customStyle="1" w:styleId="PageNo">
    <w:name w:val="Page No"/>
    <w:basedOn w:val="Normal"/>
    <w:link w:val="PageNoChar"/>
    <w:qFormat/>
    <w:rsid w:val="00B77F85"/>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B77F85"/>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table" w:customStyle="1" w:styleId="TableGrid1">
    <w:name w:val="Table Grid1"/>
    <w:basedOn w:val="TableNormal"/>
    <w:next w:val="TableGrid"/>
    <w:rsid w:val="00B77F85"/>
    <w:pPr>
      <w:spacing w:after="0" w:line="240" w:lineRule="auto"/>
    </w:pPr>
    <w:rPr>
      <w:rFonts w:eastAsia="Times New Roman" w:cs="Times New Roman"/>
      <w:sz w:val="20"/>
      <w:szCs w:val="20"/>
      <w:lang w:val="en-US"/>
    </w:rPr>
    <w:tblPr>
      <w:tblInd w:w="113" w:type="dxa"/>
      <w:tblBorders>
        <w:top w:val="single" w:sz="2" w:space="0" w:color="398F63"/>
        <w:left w:val="single" w:sz="2" w:space="0" w:color="398F63"/>
        <w:bottom w:val="single" w:sz="2" w:space="0" w:color="398F63"/>
        <w:right w:val="single" w:sz="2" w:space="0" w:color="398F63"/>
        <w:insideH w:val="single" w:sz="2" w:space="0" w:color="398F63"/>
        <w:insideV w:val="single" w:sz="2" w:space="0" w:color="398F63"/>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98E63"/>
      </w:tcPr>
    </w:tblStylePr>
  </w:style>
  <w:style w:type="table" w:styleId="TableGrid">
    <w:name w:val="Table Grid"/>
    <w:basedOn w:val="TableNormal"/>
    <w:uiPriority w:val="59"/>
    <w:rsid w:val="00B77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White">
    <w:name w:val="Table Header White"/>
    <w:basedOn w:val="GSTblText1"/>
    <w:qFormat/>
    <w:rsid w:val="00B77F85"/>
    <w:pPr>
      <w:spacing w:before="20" w:after="40"/>
    </w:pPr>
    <w:rPr>
      <w:rFonts w:eastAsia="Times New Roman"/>
      <w:b/>
      <w:color w:val="FFFFFF" w:themeColor="background1"/>
      <w:sz w:val="20"/>
      <w:szCs w:val="20"/>
      <w:lang w:val="en-US"/>
    </w:rPr>
  </w:style>
  <w:style w:type="paragraph" w:customStyle="1" w:styleId="TableText">
    <w:name w:val="Table Text"/>
    <w:basedOn w:val="GSTblText1"/>
    <w:qFormat/>
    <w:rsid w:val="00B77F85"/>
    <w:pPr>
      <w:spacing w:before="20" w:after="40"/>
    </w:pPr>
    <w:rPr>
      <w:rFonts w:eastAsia="Times New Roman"/>
      <w:sz w:val="20"/>
      <w:szCs w:val="20"/>
      <w:lang w:val="en-US"/>
    </w:rPr>
  </w:style>
  <w:style w:type="paragraph" w:customStyle="1" w:styleId="Default">
    <w:name w:val="Default"/>
    <w:rsid w:val="00B77F85"/>
    <w:pPr>
      <w:autoSpaceDE w:val="0"/>
      <w:autoSpaceDN w:val="0"/>
      <w:adjustRightInd w:val="0"/>
      <w:spacing w:after="0" w:line="240" w:lineRule="auto"/>
    </w:pPr>
    <w:rPr>
      <w:rFonts w:ascii="Calibri" w:hAnsi="Calibri" w:cs="Calibri"/>
      <w:color w:val="000000"/>
      <w:sz w:val="24"/>
      <w:szCs w:val="24"/>
    </w:rPr>
  </w:style>
  <w:style w:type="table" w:customStyle="1" w:styleId="Style1">
    <w:name w:val="Style1"/>
    <w:basedOn w:val="TableGrid10"/>
    <w:uiPriority w:val="99"/>
    <w:rsid w:val="00B77F85"/>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B77F85"/>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ootnoteText">
    <w:name w:val="footnote text"/>
    <w:basedOn w:val="Normal"/>
    <w:link w:val="FootnoteTextChar"/>
    <w:uiPriority w:val="99"/>
    <w:unhideWhenUsed/>
    <w:rsid w:val="00B77F85"/>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rsid w:val="00B77F85"/>
    <w:rPr>
      <w:rFonts w:ascii="Calibri" w:hAnsi="Calibri"/>
      <w:sz w:val="20"/>
      <w:szCs w:val="20"/>
    </w:rPr>
  </w:style>
  <w:style w:type="paragraph" w:styleId="CommentText">
    <w:name w:val="annotation text"/>
    <w:basedOn w:val="Normal"/>
    <w:link w:val="CommentTextChar"/>
    <w:uiPriority w:val="99"/>
    <w:semiHidden/>
    <w:unhideWhenUsed/>
    <w:rsid w:val="00B77F85"/>
    <w:pPr>
      <w:spacing w:line="240" w:lineRule="auto"/>
    </w:pPr>
    <w:rPr>
      <w:sz w:val="20"/>
      <w:szCs w:val="20"/>
    </w:rPr>
  </w:style>
  <w:style w:type="character" w:customStyle="1" w:styleId="CommentTextChar">
    <w:name w:val="Comment Text Char"/>
    <w:basedOn w:val="DefaultParagraphFont"/>
    <w:link w:val="CommentText"/>
    <w:uiPriority w:val="99"/>
    <w:semiHidden/>
    <w:rsid w:val="00B77F85"/>
    <w:rPr>
      <w:rFonts w:cs="Arial"/>
      <w:color w:val="4D4D4D"/>
      <w:sz w:val="20"/>
      <w:szCs w:val="20"/>
    </w:rPr>
  </w:style>
  <w:style w:type="paragraph" w:styleId="Header">
    <w:name w:val="header"/>
    <w:basedOn w:val="Normal"/>
    <w:link w:val="HeaderChar"/>
    <w:uiPriority w:val="99"/>
    <w:unhideWhenUsed/>
    <w:rsid w:val="00B77F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7F85"/>
    <w:rPr>
      <w:rFonts w:cs="Arial"/>
      <w:color w:val="4D4D4D"/>
    </w:rPr>
  </w:style>
  <w:style w:type="paragraph" w:styleId="Footer">
    <w:name w:val="footer"/>
    <w:basedOn w:val="Normal"/>
    <w:link w:val="FooterChar"/>
    <w:uiPriority w:val="99"/>
    <w:unhideWhenUsed/>
    <w:rsid w:val="00B77F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7F85"/>
    <w:rPr>
      <w:rFonts w:cs="Arial"/>
      <w:color w:val="4D4D4D"/>
    </w:rPr>
  </w:style>
  <w:style w:type="character" w:styleId="FootnoteReference">
    <w:name w:val="footnote reference"/>
    <w:basedOn w:val="DefaultParagraphFont"/>
    <w:uiPriority w:val="99"/>
    <w:unhideWhenUsed/>
    <w:rsid w:val="00B77F85"/>
    <w:rPr>
      <w:vertAlign w:val="superscript"/>
    </w:rPr>
  </w:style>
  <w:style w:type="character" w:styleId="CommentReference">
    <w:name w:val="annotation reference"/>
    <w:basedOn w:val="DefaultParagraphFont"/>
    <w:uiPriority w:val="99"/>
    <w:semiHidden/>
    <w:unhideWhenUsed/>
    <w:rsid w:val="00B77F85"/>
    <w:rPr>
      <w:sz w:val="16"/>
      <w:szCs w:val="16"/>
    </w:rPr>
  </w:style>
  <w:style w:type="character" w:styleId="Hyperlink">
    <w:name w:val="Hyperlink"/>
    <w:basedOn w:val="DefaultParagraphFont"/>
    <w:uiPriority w:val="99"/>
    <w:rsid w:val="00B77F85"/>
    <w:rPr>
      <w:color w:val="0000FF"/>
      <w:u w:val="single"/>
    </w:rPr>
  </w:style>
  <w:style w:type="paragraph" w:styleId="CommentSubject">
    <w:name w:val="annotation subject"/>
    <w:basedOn w:val="CommentText"/>
    <w:next w:val="CommentText"/>
    <w:link w:val="CommentSubjectChar"/>
    <w:uiPriority w:val="99"/>
    <w:semiHidden/>
    <w:unhideWhenUsed/>
    <w:rsid w:val="00B77F85"/>
    <w:rPr>
      <w:b/>
      <w:bCs/>
    </w:rPr>
  </w:style>
  <w:style w:type="character" w:customStyle="1" w:styleId="CommentSubjectChar">
    <w:name w:val="Comment Subject Char"/>
    <w:basedOn w:val="CommentTextChar"/>
    <w:link w:val="CommentSubject"/>
    <w:uiPriority w:val="99"/>
    <w:semiHidden/>
    <w:rsid w:val="00B77F85"/>
    <w:rPr>
      <w:rFonts w:cs="Arial"/>
      <w:b/>
      <w:bCs/>
      <w:color w:val="4D4D4D"/>
      <w:sz w:val="20"/>
      <w:szCs w:val="20"/>
    </w:rPr>
  </w:style>
  <w:style w:type="paragraph" w:styleId="BalloonText">
    <w:name w:val="Balloon Text"/>
    <w:basedOn w:val="Normal"/>
    <w:link w:val="BalloonTextChar"/>
    <w:uiPriority w:val="99"/>
    <w:semiHidden/>
    <w:unhideWhenUsed/>
    <w:rsid w:val="00B77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F85"/>
    <w:rPr>
      <w:rFonts w:ascii="Tahoma" w:hAnsi="Tahoma" w:cs="Tahoma"/>
      <w:color w:val="4D4D4D"/>
      <w:sz w:val="16"/>
      <w:szCs w:val="16"/>
    </w:rPr>
  </w:style>
  <w:style w:type="paragraph" w:styleId="NoSpacing">
    <w:name w:val="No Spacing"/>
    <w:uiPriority w:val="1"/>
    <w:qFormat/>
    <w:rsid w:val="00B77F85"/>
    <w:pPr>
      <w:spacing w:after="0" w:line="240" w:lineRule="auto"/>
    </w:pPr>
    <w:rPr>
      <w:rFonts w:ascii="Arial" w:hAnsi="Arial"/>
      <w:sz w:val="20"/>
    </w:rPr>
  </w:style>
  <w:style w:type="paragraph" w:styleId="ListParagraph">
    <w:name w:val="List Paragraph"/>
    <w:basedOn w:val="Normal"/>
    <w:uiPriority w:val="34"/>
    <w:qFormat/>
    <w:rsid w:val="00B77F85"/>
    <w:pPr>
      <w:ind w:left="720"/>
    </w:pPr>
  </w:style>
  <w:style w:type="paragraph" w:customStyle="1" w:styleId="DCAlphaCaps">
    <w:name w:val="DC Alpha Caps"/>
    <w:basedOn w:val="Normal"/>
    <w:link w:val="DCAlphaCapsChar"/>
    <w:qFormat/>
    <w:rsid w:val="00012537"/>
    <w:pPr>
      <w:numPr>
        <w:numId w:val="4"/>
      </w:numPr>
    </w:pPr>
  </w:style>
  <w:style w:type="character" w:customStyle="1" w:styleId="DCAlphaCapsChar">
    <w:name w:val="DC Alpha Caps Char"/>
    <w:basedOn w:val="DefaultParagraphFont"/>
    <w:link w:val="DCAlphaCaps"/>
    <w:rsid w:val="00012537"/>
    <w:rPr>
      <w:rFonts w:ascii="Times New Roman" w:hAnsi="Times New Roman"/>
      <w:sz w:val="24"/>
    </w:rPr>
  </w:style>
  <w:style w:type="paragraph" w:customStyle="1" w:styleId="DCAlphaCaplevel4">
    <w:name w:val="DC Alpha Cap level 4"/>
    <w:basedOn w:val="DCAlphaCaps"/>
    <w:link w:val="DCAlphaCaplevel4Char"/>
    <w:qFormat/>
    <w:rsid w:val="00012537"/>
    <w:pPr>
      <w:ind w:left="2160" w:hanging="720"/>
    </w:pPr>
  </w:style>
  <w:style w:type="character" w:customStyle="1" w:styleId="DCAlphaCaplevel4Char">
    <w:name w:val="DC Alpha Cap level 4 Char"/>
    <w:basedOn w:val="DCAlphaCapsChar"/>
    <w:link w:val="DCAlphaCaplevel4"/>
    <w:rsid w:val="00012537"/>
    <w:rPr>
      <w:rFonts w:ascii="Times New Roman" w:hAnsi="Times New Roman"/>
      <w:sz w:val="24"/>
    </w:rPr>
  </w:style>
  <w:style w:type="numbering" w:customStyle="1" w:styleId="DCAphaCaps1">
    <w:name w:val="DC Apha Caps 1"/>
    <w:uiPriority w:val="99"/>
    <w:rsid w:val="00012537"/>
    <w:pPr>
      <w:numPr>
        <w:numId w:val="5"/>
      </w:numPr>
    </w:pPr>
  </w:style>
  <w:style w:type="paragraph" w:customStyle="1" w:styleId="DCHeading1">
    <w:name w:val="DC Heading 1"/>
    <w:basedOn w:val="Normal"/>
    <w:link w:val="DCHeading1Char"/>
    <w:qFormat/>
    <w:rsid w:val="00012537"/>
    <w:pPr>
      <w:jc w:val="center"/>
    </w:pPr>
    <w:rPr>
      <w:b/>
      <w:caps/>
      <w:sz w:val="28"/>
    </w:rPr>
  </w:style>
  <w:style w:type="character" w:customStyle="1" w:styleId="DCHeading1Char">
    <w:name w:val="DC Heading 1 Char"/>
    <w:basedOn w:val="DefaultParagraphFont"/>
    <w:link w:val="DCHeading1"/>
    <w:rsid w:val="00012537"/>
    <w:rPr>
      <w:rFonts w:ascii="Times New Roman" w:hAnsi="Times New Roman"/>
      <w:b/>
      <w:caps/>
      <w:sz w:val="28"/>
    </w:rPr>
  </w:style>
  <w:style w:type="paragraph" w:customStyle="1" w:styleId="DCHeading2">
    <w:name w:val="DC Heading 2"/>
    <w:basedOn w:val="DCHeading1"/>
    <w:link w:val="DCHeading2Char"/>
    <w:qFormat/>
    <w:rsid w:val="00012537"/>
    <w:pPr>
      <w:jc w:val="left"/>
    </w:pPr>
    <w:rPr>
      <w:b w:val="0"/>
      <w:sz w:val="24"/>
    </w:rPr>
  </w:style>
  <w:style w:type="character" w:customStyle="1" w:styleId="DCHeading2Char">
    <w:name w:val="DC Heading 2 Char"/>
    <w:basedOn w:val="DCHeading1Char"/>
    <w:link w:val="DCHeading2"/>
    <w:rsid w:val="00012537"/>
    <w:rPr>
      <w:rFonts w:ascii="Times New Roman" w:hAnsi="Times New Roman"/>
      <w:b w:val="0"/>
      <w:caps/>
      <w:sz w:val="24"/>
    </w:rPr>
  </w:style>
  <w:style w:type="paragraph" w:customStyle="1" w:styleId="DCHeading3">
    <w:name w:val="DC Heading 3"/>
    <w:basedOn w:val="DCHeading2"/>
    <w:qFormat/>
    <w:rsid w:val="00012537"/>
    <w:pPr>
      <w:jc w:val="center"/>
    </w:pPr>
    <w:rPr>
      <w:rFonts w:ascii="Times New Roman Bold" w:hAnsi="Times New Roman Bold"/>
      <w:b/>
    </w:rPr>
  </w:style>
  <w:style w:type="paragraph" w:customStyle="1" w:styleId="DCHeading4">
    <w:name w:val="DC Heading 4"/>
    <w:basedOn w:val="DCHeading3"/>
    <w:qFormat/>
    <w:rsid w:val="00012537"/>
    <w:pPr>
      <w:numPr>
        <w:numId w:val="9"/>
      </w:numPr>
    </w:pPr>
    <w:rPr>
      <w:b w:val="0"/>
      <w:caps w:val="0"/>
      <w:u w:val="single"/>
    </w:rPr>
  </w:style>
  <w:style w:type="paragraph" w:customStyle="1" w:styleId="DCNormParabulletptL2">
    <w:name w:val="DC Norm Para bullet pt L2"/>
    <w:basedOn w:val="DCHeading4"/>
    <w:link w:val="DCNormParabulletptL2Char"/>
    <w:rsid w:val="00012537"/>
    <w:pPr>
      <w:numPr>
        <w:numId w:val="7"/>
      </w:numPr>
      <w:jc w:val="left"/>
      <w:outlineLvl w:val="1"/>
    </w:pPr>
    <w:rPr>
      <w:rFonts w:ascii="Times New Roman" w:hAnsi="Times New Roman"/>
      <w:u w:val="none"/>
    </w:rPr>
  </w:style>
  <w:style w:type="character" w:customStyle="1" w:styleId="DCNormParabulletptL2Char">
    <w:name w:val="DC Norm Para bullet pt L2 Char"/>
    <w:basedOn w:val="DefaultParagraphFont"/>
    <w:link w:val="DCNormParabulletptL2"/>
    <w:rsid w:val="00012537"/>
    <w:rPr>
      <w:rFonts w:ascii="Times New Roman" w:hAnsi="Times New Roman"/>
      <w:sz w:val="24"/>
    </w:rPr>
  </w:style>
  <w:style w:type="paragraph" w:customStyle="1" w:styleId="DCNormParabulletptL3">
    <w:name w:val="DC Norm Para bullet pt L3"/>
    <w:basedOn w:val="DCNormParabulletptL2"/>
    <w:link w:val="DCNormParabulletptL3Char"/>
    <w:autoRedefine/>
    <w:qFormat/>
    <w:rsid w:val="00012537"/>
    <w:pPr>
      <w:numPr>
        <w:ilvl w:val="2"/>
      </w:numPr>
      <w:outlineLvl w:val="2"/>
    </w:pPr>
  </w:style>
  <w:style w:type="character" w:customStyle="1" w:styleId="DCNormParabulletptL3Char">
    <w:name w:val="DC Norm Para bullet pt L3 Char"/>
    <w:basedOn w:val="DCNormParabulletptL2Char"/>
    <w:link w:val="DCNormParabulletptL3"/>
    <w:rsid w:val="00012537"/>
    <w:rPr>
      <w:rFonts w:ascii="Times New Roman" w:hAnsi="Times New Roman"/>
      <w:sz w:val="24"/>
    </w:rPr>
  </w:style>
  <w:style w:type="character" w:customStyle="1" w:styleId="DCNormParaL2Char">
    <w:name w:val="DC Norm Para L2 Char"/>
    <w:basedOn w:val="DefaultParagraphFont"/>
    <w:uiPriority w:val="99"/>
    <w:rsid w:val="00012537"/>
    <w:rPr>
      <w:rFonts w:ascii="Times New Roman" w:hAnsi="Times New Roman"/>
      <w:b w:val="0"/>
      <w:caps w:val="0"/>
      <w:color w:val="auto"/>
      <w:sz w:val="24"/>
      <w:u w:val="none"/>
    </w:rPr>
  </w:style>
  <w:style w:type="paragraph" w:customStyle="1" w:styleId="DCNormaParaL1">
    <w:name w:val="DC Norma Para L1"/>
    <w:basedOn w:val="DCHeading4"/>
    <w:qFormat/>
    <w:rsid w:val="00012537"/>
    <w:pPr>
      <w:numPr>
        <w:numId w:val="0"/>
      </w:numPr>
      <w:jc w:val="left"/>
    </w:pPr>
    <w:rPr>
      <w:rFonts w:ascii="Times New Roman" w:hAnsi="Times New Roman"/>
      <w:u w:val="none"/>
    </w:rPr>
  </w:style>
  <w:style w:type="paragraph" w:customStyle="1" w:styleId="DCNormParaL3">
    <w:name w:val="DC Norm Para L3"/>
    <w:basedOn w:val="DCNormaParaL1"/>
    <w:link w:val="DCNormParaL3Char"/>
    <w:qFormat/>
    <w:rsid w:val="00012537"/>
    <w:pPr>
      <w:ind w:left="737"/>
    </w:pPr>
  </w:style>
  <w:style w:type="character" w:customStyle="1" w:styleId="DCNormParaL3Char">
    <w:name w:val="DC Norm Para L3 Char"/>
    <w:basedOn w:val="DCNormParaL2Char"/>
    <w:link w:val="DCNormParaL3"/>
    <w:rsid w:val="00012537"/>
    <w:rPr>
      <w:rFonts w:ascii="Times New Roman" w:hAnsi="Times New Roman"/>
      <w:b w:val="0"/>
      <w:caps w:val="0"/>
      <w:color w:val="auto"/>
      <w:sz w:val="24"/>
      <w:u w:val="none"/>
    </w:rPr>
  </w:style>
  <w:style w:type="numbering" w:customStyle="1" w:styleId="DCNormparalink2">
    <w:name w:val="DC Norm para link 2"/>
    <w:uiPriority w:val="99"/>
    <w:rsid w:val="00012537"/>
    <w:pPr>
      <w:numPr>
        <w:numId w:val="8"/>
      </w:numPr>
    </w:pPr>
  </w:style>
  <w:style w:type="numbering" w:customStyle="1" w:styleId="DCParalinknumbers">
    <w:name w:val="DC Para link numbers"/>
    <w:uiPriority w:val="99"/>
    <w:rsid w:val="00012537"/>
    <w:pPr>
      <w:numPr>
        <w:numId w:val="9"/>
      </w:numPr>
    </w:pPr>
  </w:style>
  <w:style w:type="paragraph" w:customStyle="1" w:styleId="DCSideHeadingnumbered">
    <w:name w:val="DC Side Heading numbered"/>
    <w:basedOn w:val="Normal"/>
    <w:qFormat/>
    <w:rsid w:val="00012537"/>
    <w:pPr>
      <w:numPr>
        <w:numId w:val="10"/>
      </w:numPr>
    </w:pPr>
    <w:rPr>
      <w:b/>
    </w:rPr>
  </w:style>
  <w:style w:type="paragraph" w:customStyle="1" w:styleId="DCTOCHeading4">
    <w:name w:val="DC TOC Heading 4"/>
    <w:basedOn w:val="DCHeading1"/>
    <w:link w:val="DCTOCHeading4Char"/>
    <w:qFormat/>
    <w:rsid w:val="00012537"/>
    <w:rPr>
      <w:rFonts w:ascii="Times New Roman Bold" w:hAnsi="Times New Roman Bold"/>
      <w:sz w:val="24"/>
      <w:u w:val="single"/>
    </w:rPr>
  </w:style>
  <w:style w:type="character" w:customStyle="1" w:styleId="DCTOCHeading4Char">
    <w:name w:val="DC TOC Heading 4 Char"/>
    <w:basedOn w:val="DCHeading1Char"/>
    <w:link w:val="DCTOCHeading4"/>
    <w:rsid w:val="00012537"/>
    <w:rPr>
      <w:rFonts w:ascii="Times New Roman Bold" w:hAnsi="Times New Roman Bold"/>
      <w:b/>
      <w:caps/>
      <w:sz w:val="24"/>
      <w:u w:val="single"/>
    </w:rPr>
  </w:style>
  <w:style w:type="paragraph" w:customStyle="1" w:styleId="DCSubHeading1Level2">
    <w:name w:val="DC Sub Heading 1 Level 2"/>
    <w:basedOn w:val="DCTOCHeading4"/>
    <w:link w:val="DCSubHeading1Level2Char"/>
    <w:qFormat/>
    <w:rsid w:val="00012537"/>
    <w:pPr>
      <w:jc w:val="left"/>
    </w:pPr>
    <w:rPr>
      <w:caps w:val="0"/>
    </w:rPr>
  </w:style>
  <w:style w:type="character" w:customStyle="1" w:styleId="DCSubHeading1Level2Char">
    <w:name w:val="DC Sub Heading 1 Level 2 Char"/>
    <w:basedOn w:val="DCTOCHeading4Char"/>
    <w:link w:val="DCSubHeading1Level2"/>
    <w:rsid w:val="00012537"/>
    <w:rPr>
      <w:rFonts w:ascii="Times New Roman Bold" w:hAnsi="Times New Roman Bold"/>
      <w:b/>
      <w:caps w:val="0"/>
      <w:sz w:val="24"/>
      <w:u w:val="single"/>
    </w:rPr>
  </w:style>
  <w:style w:type="paragraph" w:customStyle="1" w:styleId="DCSubHeading2Level2">
    <w:name w:val="DC Sub Heading 2 Level 2"/>
    <w:basedOn w:val="DCSubHeading1Level2"/>
    <w:link w:val="DCSubHeading2Level2Char"/>
    <w:autoRedefine/>
    <w:qFormat/>
    <w:rsid w:val="004443DC"/>
    <w:pPr>
      <w:ind w:left="720"/>
    </w:pPr>
  </w:style>
  <w:style w:type="character" w:customStyle="1" w:styleId="DCSubHeading2Level2Char">
    <w:name w:val="DC Sub Heading 2 Level 2 Char"/>
    <w:basedOn w:val="DCSubHeading1Level2Char"/>
    <w:link w:val="DCSubHeading2Level2"/>
    <w:rsid w:val="004443DC"/>
    <w:rPr>
      <w:rFonts w:ascii="Times New Roman Bold" w:hAnsi="Times New Roman Bold"/>
      <w:b/>
      <w:caps w:val="0"/>
      <w:sz w:val="24"/>
      <w:u w:val="single"/>
    </w:rPr>
  </w:style>
  <w:style w:type="paragraph" w:customStyle="1" w:styleId="DCTOCHeading1">
    <w:name w:val="DC TOC Heading 1"/>
    <w:basedOn w:val="DCHeading2"/>
    <w:link w:val="DCTOCHeading1Char"/>
    <w:qFormat/>
    <w:rsid w:val="00012537"/>
    <w:pPr>
      <w:spacing w:after="0"/>
      <w:jc w:val="center"/>
    </w:pPr>
    <w:rPr>
      <w:rFonts w:ascii="Times New Roman Bold" w:hAnsi="Times New Roman Bold"/>
      <w:u w:val="single"/>
    </w:rPr>
  </w:style>
  <w:style w:type="character" w:customStyle="1" w:styleId="DCTOCHeading1Char">
    <w:name w:val="DC TOC Heading 1 Char"/>
    <w:basedOn w:val="DCHeading2Char"/>
    <w:link w:val="DCTOCHeading1"/>
    <w:rsid w:val="00012537"/>
    <w:rPr>
      <w:rFonts w:ascii="Times New Roman Bold" w:hAnsi="Times New Roman Bold"/>
      <w:b w:val="0"/>
      <w:caps/>
      <w:sz w:val="24"/>
      <w:u w:val="single"/>
    </w:rPr>
  </w:style>
  <w:style w:type="paragraph" w:customStyle="1" w:styleId="DCTOCHeading2">
    <w:name w:val="DC TOC Heading 2"/>
    <w:basedOn w:val="DCTOCHeading1"/>
    <w:qFormat/>
    <w:rsid w:val="00012537"/>
    <w:pPr>
      <w:numPr>
        <w:numId w:val="12"/>
      </w:numPr>
    </w:pPr>
    <w:rPr>
      <w:rFonts w:ascii="Times New Roman" w:hAnsi="Times New Roman"/>
    </w:rPr>
  </w:style>
  <w:style w:type="paragraph" w:customStyle="1" w:styleId="DCTOCSchedule">
    <w:name w:val="DC TOC Schedule"/>
    <w:basedOn w:val="Normal"/>
    <w:qFormat/>
    <w:rsid w:val="00012537"/>
    <w:pPr>
      <w:spacing w:after="0"/>
    </w:pPr>
    <w:rPr>
      <w:caps/>
    </w:rPr>
  </w:style>
  <w:style w:type="numbering" w:customStyle="1" w:styleId="DCTOCWholeNumbers">
    <w:name w:val="DC TOC Whole Numbers"/>
    <w:uiPriority w:val="99"/>
    <w:rsid w:val="00012537"/>
    <w:pPr>
      <w:numPr>
        <w:numId w:val="11"/>
      </w:numPr>
    </w:pPr>
  </w:style>
  <w:style w:type="paragraph" w:customStyle="1" w:styleId="DCUSATableText">
    <w:name w:val="DCUSA Table Text"/>
    <w:basedOn w:val="DCSubHeading1Level2"/>
    <w:link w:val="DCUSATableTextChar"/>
    <w:qFormat/>
    <w:rsid w:val="00012537"/>
    <w:pPr>
      <w:spacing w:before="120" w:after="120" w:line="264" w:lineRule="auto"/>
    </w:pPr>
    <w:rPr>
      <w:rFonts w:ascii="Times New Roman" w:hAnsi="Times New Roman"/>
      <w:b w:val="0"/>
    </w:rPr>
  </w:style>
  <w:style w:type="character" w:customStyle="1" w:styleId="DCUSATableTextChar">
    <w:name w:val="DCUSA Table Text Char"/>
    <w:basedOn w:val="DCSubHeading1Level2Char"/>
    <w:link w:val="DCUSATableText"/>
    <w:rsid w:val="00012537"/>
    <w:rPr>
      <w:rFonts w:ascii="Times New Roman" w:hAnsi="Times New Roman"/>
      <w:b w:val="0"/>
      <w:caps w:val="0"/>
      <w:sz w:val="24"/>
      <w:u w:val="single"/>
    </w:rPr>
  </w:style>
  <w:style w:type="paragraph" w:customStyle="1" w:styleId="DCUSATableTexta">
    <w:name w:val="DCUSA Table Text a)"/>
    <w:basedOn w:val="Normal"/>
    <w:qFormat/>
    <w:rsid w:val="00012537"/>
    <w:pPr>
      <w:numPr>
        <w:numId w:val="13"/>
      </w:numPr>
      <w:spacing w:after="120" w:line="240" w:lineRule="auto"/>
    </w:pPr>
  </w:style>
  <w:style w:type="paragraph" w:customStyle="1" w:styleId="DCUSATableTextbulletpt">
    <w:name w:val="DCUSA Table Text bullet pt"/>
    <w:basedOn w:val="DCUSATableText"/>
    <w:link w:val="DCUSATableTextbulletptChar"/>
    <w:qFormat/>
    <w:rsid w:val="00012537"/>
    <w:pPr>
      <w:numPr>
        <w:ilvl w:val="1"/>
        <w:numId w:val="13"/>
      </w:numPr>
      <w:spacing w:line="360" w:lineRule="auto"/>
    </w:pPr>
  </w:style>
  <w:style w:type="character" w:customStyle="1" w:styleId="DCUSATableTextbulletptChar">
    <w:name w:val="DCUSA Table Text bullet pt Char"/>
    <w:basedOn w:val="DCUSATableTextChar"/>
    <w:link w:val="DCUSATableTextbulletpt"/>
    <w:rsid w:val="00012537"/>
    <w:rPr>
      <w:rFonts w:ascii="Times New Roman" w:hAnsi="Times New Roman"/>
      <w:b w:val="0"/>
      <w:caps w:val="0"/>
      <w:sz w:val="24"/>
      <w:u w:val="single"/>
    </w:rPr>
  </w:style>
  <w:style w:type="paragraph" w:customStyle="1" w:styleId="DCUSATabletextnumbers">
    <w:name w:val="DCUSA Table text numbers"/>
    <w:basedOn w:val="DCUSATableText"/>
    <w:link w:val="DCUSATabletextnumbersChar"/>
    <w:qFormat/>
    <w:rsid w:val="00012537"/>
    <w:pPr>
      <w:spacing w:line="240" w:lineRule="auto"/>
    </w:pPr>
    <w:rPr>
      <w:b/>
    </w:rPr>
  </w:style>
  <w:style w:type="character" w:customStyle="1" w:styleId="DCUSATabletextnumbersChar">
    <w:name w:val="DCUSA Table text numbers Char"/>
    <w:basedOn w:val="DCUSATableTextChar"/>
    <w:link w:val="DCUSATabletextnumbers"/>
    <w:rsid w:val="00012537"/>
    <w:rPr>
      <w:rFonts w:ascii="Times New Roman" w:hAnsi="Times New Roman"/>
      <w:b/>
      <w:caps w:val="0"/>
      <w:sz w:val="24"/>
      <w:u w:val="single"/>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012537"/>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8D55D2"/>
    <w:rPr>
      <w:rFonts w:ascii="Times New Roman" w:hAnsi="Times New Roman"/>
      <w:bCs/>
      <w:sz w:val="24"/>
      <w:szCs w:val="26"/>
    </w:rPr>
  </w:style>
  <w:style w:type="paragraph" w:customStyle="1" w:styleId="Heading2Title">
    <w:name w:val="Heading 2 Title"/>
    <w:basedOn w:val="Normal"/>
    <w:uiPriority w:val="99"/>
    <w:rsid w:val="00012537"/>
    <w:pPr>
      <w:tabs>
        <w:tab w:val="num" w:pos="709"/>
      </w:tabs>
      <w:ind w:left="709" w:hanging="709"/>
      <w:jc w:val="both"/>
    </w:pPr>
    <w:rPr>
      <w:rFonts w:eastAsia="Times New Roman" w:cs="Times New Roman"/>
      <w:szCs w:val="24"/>
      <w:lang w:eastAsia="en-GB"/>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7721B2"/>
    <w:rPr>
      <w:rFonts w:ascii="Times New Roman" w:hAnsi="Times New Roman" w:cs="Times New Roman"/>
      <w:sz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7721B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7721B2"/>
    <w:rPr>
      <w:rFonts w:ascii="Times New Roman" w:hAnsi="Times New Roman"/>
      <w:sz w:val="24"/>
    </w:rPr>
  </w:style>
  <w:style w:type="character" w:customStyle="1" w:styleId="Heading6Char">
    <w:name w:val="Heading 6 Char"/>
    <w:aliases w:val="Heading 6 DCUSA (i) Char,DCSA i) Char,h6 Char,H6 Char,H61 Char,H62 Char,H63 Char,H64 Char,H65 Char,H66 Char,H67 Char,H68 Char,H69 Char,H610 Char,H611 Char,H612 Char,H613 Char,H614 Char,H615 Char,H616 Char,H617 Char,H618 Char,H619 Char"/>
    <w:basedOn w:val="DefaultParagraphFont"/>
    <w:link w:val="Heading6"/>
    <w:uiPriority w:val="1"/>
    <w:rsid w:val="007721B2"/>
    <w:rPr>
      <w:rFonts w:ascii="Times New Roman" w:eastAsiaTheme="majorEastAsia" w:hAnsi="Times New Roman" w:cstheme="majorBidi"/>
      <w:iCs/>
      <w:color w:val="000000" w:themeColor="text1"/>
      <w:sz w:val="24"/>
    </w:rPr>
  </w:style>
  <w:style w:type="character" w:customStyle="1" w:styleId="Heading7Char">
    <w:name w:val="Heading 7 Char"/>
    <w:aliases w:val="DCUSA numbered Char,ITT t7 Char,PA Appendix Major Char,Appendix Major Char,Lev 7 Char,Heading 7(unused) Char,Legal Level 1.1. Char,L2 PIP Char,L7 Char,Numbered - 7 Char,7 Char,subTITLEPAGE Char,letter list Char,L1 Heading 7 Char,req3 Char"/>
    <w:basedOn w:val="DefaultParagraphFont"/>
    <w:link w:val="Heading7"/>
    <w:uiPriority w:val="10"/>
    <w:rsid w:val="007721B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12537"/>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12537"/>
    <w:rPr>
      <w:rFonts w:asciiTheme="majorHAnsi" w:eastAsiaTheme="majorEastAsia" w:hAnsiTheme="majorHAnsi" w:cstheme="majorBidi"/>
      <w:i/>
      <w:iCs/>
      <w:color w:val="404040" w:themeColor="text1" w:themeTint="BF"/>
      <w:sz w:val="20"/>
      <w:szCs w:val="20"/>
    </w:rPr>
  </w:style>
  <w:style w:type="table" w:customStyle="1" w:styleId="Style11">
    <w:name w:val="Style11"/>
    <w:basedOn w:val="TableGrid10"/>
    <w:uiPriority w:val="99"/>
    <w:rsid w:val="008D54BD"/>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rmalWeb">
    <w:name w:val="Normal (Web)"/>
    <w:basedOn w:val="Normal"/>
    <w:uiPriority w:val="99"/>
    <w:semiHidden/>
    <w:unhideWhenUsed/>
    <w:rsid w:val="008C775C"/>
    <w:rPr>
      <w:rFonts w:cs="Times New Roman"/>
      <w:szCs w:val="24"/>
    </w:rPr>
  </w:style>
  <w:style w:type="paragraph" w:styleId="BodyText">
    <w:name w:val="Body Text"/>
    <w:basedOn w:val="Normal"/>
    <w:link w:val="BodyTextChar"/>
    <w:uiPriority w:val="99"/>
    <w:semiHidden/>
    <w:unhideWhenUsed/>
    <w:rsid w:val="007721B2"/>
    <w:pPr>
      <w:spacing w:after="120"/>
    </w:pPr>
  </w:style>
  <w:style w:type="character" w:customStyle="1" w:styleId="BodyTextChar">
    <w:name w:val="Body Text Char"/>
    <w:basedOn w:val="DefaultParagraphFont"/>
    <w:link w:val="BodyText"/>
    <w:uiPriority w:val="99"/>
    <w:semiHidden/>
    <w:rsid w:val="007721B2"/>
    <w:rPr>
      <w:rFonts w:cs="Arial"/>
      <w:color w:val="4D4D4D"/>
    </w:rPr>
  </w:style>
  <w:style w:type="character" w:styleId="Strong">
    <w:name w:val="Strong"/>
    <w:basedOn w:val="DefaultParagraphFont"/>
    <w:uiPriority w:val="22"/>
    <w:qFormat/>
    <w:rsid w:val="00887685"/>
    <w:rPr>
      <w:b/>
      <w:bCs/>
    </w:rPr>
  </w:style>
  <w:style w:type="paragraph" w:styleId="ListNumber3">
    <w:name w:val="List Number 3"/>
    <w:basedOn w:val="Normal"/>
    <w:uiPriority w:val="99"/>
    <w:unhideWhenUsed/>
    <w:rsid w:val="00887685"/>
    <w:pPr>
      <w:numPr>
        <w:numId w:val="17"/>
      </w:numPr>
      <w:contextualSpacing/>
    </w:pPr>
  </w:style>
  <w:style w:type="paragraph" w:styleId="ListNumber4">
    <w:name w:val="List Number 4"/>
    <w:basedOn w:val="Normal"/>
    <w:uiPriority w:val="99"/>
    <w:unhideWhenUsed/>
    <w:rsid w:val="00887685"/>
    <w:pPr>
      <w:numPr>
        <w:numId w:val="18"/>
      </w:numPr>
      <w:contextualSpacing/>
    </w:pPr>
  </w:style>
  <w:style w:type="paragraph" w:styleId="Revision">
    <w:name w:val="Revision"/>
    <w:hidden/>
    <w:uiPriority w:val="99"/>
    <w:semiHidden/>
    <w:rsid w:val="00283873"/>
    <w:pPr>
      <w:spacing w:after="0" w:line="240" w:lineRule="auto"/>
    </w:pPr>
    <w:rPr>
      <w:rFonts w:ascii="Times New Roman" w:hAnsi="Times New Roman"/>
      <w:sz w:val="24"/>
    </w:rPr>
  </w:style>
  <w:style w:type="character" w:customStyle="1" w:styleId="UnresolvedMention1">
    <w:name w:val="Unresolved Mention1"/>
    <w:basedOn w:val="DefaultParagraphFont"/>
    <w:uiPriority w:val="99"/>
    <w:semiHidden/>
    <w:unhideWhenUsed/>
    <w:rsid w:val="00A103E7"/>
    <w:rPr>
      <w:color w:val="605E5C"/>
      <w:shd w:val="clear" w:color="auto" w:fill="E1DFDD"/>
    </w:rPr>
  </w:style>
  <w:style w:type="character" w:styleId="FollowedHyperlink">
    <w:name w:val="FollowedHyperlink"/>
    <w:basedOn w:val="DefaultParagraphFont"/>
    <w:uiPriority w:val="99"/>
    <w:semiHidden/>
    <w:unhideWhenUsed/>
    <w:rsid w:val="00A103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62152">
      <w:bodyDiv w:val="1"/>
      <w:marLeft w:val="0"/>
      <w:marRight w:val="0"/>
      <w:marTop w:val="0"/>
      <w:marBottom w:val="0"/>
      <w:divBdr>
        <w:top w:val="none" w:sz="0" w:space="0" w:color="auto"/>
        <w:left w:val="none" w:sz="0" w:space="0" w:color="auto"/>
        <w:bottom w:val="none" w:sz="0" w:space="0" w:color="auto"/>
        <w:right w:val="none" w:sz="0" w:space="0" w:color="auto"/>
      </w:divBdr>
    </w:div>
    <w:div w:id="94837384">
      <w:bodyDiv w:val="1"/>
      <w:marLeft w:val="0"/>
      <w:marRight w:val="0"/>
      <w:marTop w:val="0"/>
      <w:marBottom w:val="0"/>
      <w:divBdr>
        <w:top w:val="none" w:sz="0" w:space="0" w:color="auto"/>
        <w:left w:val="none" w:sz="0" w:space="0" w:color="auto"/>
        <w:bottom w:val="none" w:sz="0" w:space="0" w:color="auto"/>
        <w:right w:val="none" w:sz="0" w:space="0" w:color="auto"/>
      </w:divBdr>
    </w:div>
    <w:div w:id="238057803">
      <w:bodyDiv w:val="1"/>
      <w:marLeft w:val="0"/>
      <w:marRight w:val="0"/>
      <w:marTop w:val="0"/>
      <w:marBottom w:val="0"/>
      <w:divBdr>
        <w:top w:val="none" w:sz="0" w:space="0" w:color="auto"/>
        <w:left w:val="none" w:sz="0" w:space="0" w:color="auto"/>
        <w:bottom w:val="none" w:sz="0" w:space="0" w:color="auto"/>
        <w:right w:val="none" w:sz="0" w:space="0" w:color="auto"/>
      </w:divBdr>
    </w:div>
    <w:div w:id="257714265">
      <w:bodyDiv w:val="1"/>
      <w:marLeft w:val="0"/>
      <w:marRight w:val="0"/>
      <w:marTop w:val="0"/>
      <w:marBottom w:val="0"/>
      <w:divBdr>
        <w:top w:val="none" w:sz="0" w:space="0" w:color="auto"/>
        <w:left w:val="none" w:sz="0" w:space="0" w:color="auto"/>
        <w:bottom w:val="none" w:sz="0" w:space="0" w:color="auto"/>
        <w:right w:val="none" w:sz="0" w:space="0" w:color="auto"/>
      </w:divBdr>
    </w:div>
    <w:div w:id="292686018">
      <w:bodyDiv w:val="1"/>
      <w:marLeft w:val="0"/>
      <w:marRight w:val="0"/>
      <w:marTop w:val="0"/>
      <w:marBottom w:val="0"/>
      <w:divBdr>
        <w:top w:val="none" w:sz="0" w:space="0" w:color="auto"/>
        <w:left w:val="none" w:sz="0" w:space="0" w:color="auto"/>
        <w:bottom w:val="none" w:sz="0" w:space="0" w:color="auto"/>
        <w:right w:val="none" w:sz="0" w:space="0" w:color="auto"/>
      </w:divBdr>
    </w:div>
    <w:div w:id="384792913">
      <w:bodyDiv w:val="1"/>
      <w:marLeft w:val="0"/>
      <w:marRight w:val="0"/>
      <w:marTop w:val="0"/>
      <w:marBottom w:val="0"/>
      <w:divBdr>
        <w:top w:val="none" w:sz="0" w:space="0" w:color="auto"/>
        <w:left w:val="none" w:sz="0" w:space="0" w:color="auto"/>
        <w:bottom w:val="none" w:sz="0" w:space="0" w:color="auto"/>
        <w:right w:val="none" w:sz="0" w:space="0" w:color="auto"/>
      </w:divBdr>
    </w:div>
    <w:div w:id="462771001">
      <w:bodyDiv w:val="1"/>
      <w:marLeft w:val="0"/>
      <w:marRight w:val="0"/>
      <w:marTop w:val="0"/>
      <w:marBottom w:val="0"/>
      <w:divBdr>
        <w:top w:val="none" w:sz="0" w:space="0" w:color="auto"/>
        <w:left w:val="none" w:sz="0" w:space="0" w:color="auto"/>
        <w:bottom w:val="none" w:sz="0" w:space="0" w:color="auto"/>
        <w:right w:val="none" w:sz="0" w:space="0" w:color="auto"/>
      </w:divBdr>
    </w:div>
    <w:div w:id="627975160">
      <w:bodyDiv w:val="1"/>
      <w:marLeft w:val="0"/>
      <w:marRight w:val="0"/>
      <w:marTop w:val="0"/>
      <w:marBottom w:val="0"/>
      <w:divBdr>
        <w:top w:val="none" w:sz="0" w:space="0" w:color="auto"/>
        <w:left w:val="none" w:sz="0" w:space="0" w:color="auto"/>
        <w:bottom w:val="none" w:sz="0" w:space="0" w:color="auto"/>
        <w:right w:val="none" w:sz="0" w:space="0" w:color="auto"/>
      </w:divBdr>
    </w:div>
    <w:div w:id="785004036">
      <w:bodyDiv w:val="1"/>
      <w:marLeft w:val="0"/>
      <w:marRight w:val="0"/>
      <w:marTop w:val="0"/>
      <w:marBottom w:val="0"/>
      <w:divBdr>
        <w:top w:val="none" w:sz="0" w:space="0" w:color="auto"/>
        <w:left w:val="none" w:sz="0" w:space="0" w:color="auto"/>
        <w:bottom w:val="none" w:sz="0" w:space="0" w:color="auto"/>
        <w:right w:val="none" w:sz="0" w:space="0" w:color="auto"/>
      </w:divBdr>
    </w:div>
    <w:div w:id="824980280">
      <w:bodyDiv w:val="1"/>
      <w:marLeft w:val="0"/>
      <w:marRight w:val="0"/>
      <w:marTop w:val="0"/>
      <w:marBottom w:val="0"/>
      <w:divBdr>
        <w:top w:val="none" w:sz="0" w:space="0" w:color="auto"/>
        <w:left w:val="none" w:sz="0" w:space="0" w:color="auto"/>
        <w:bottom w:val="none" w:sz="0" w:space="0" w:color="auto"/>
        <w:right w:val="none" w:sz="0" w:space="0" w:color="auto"/>
      </w:divBdr>
    </w:div>
    <w:div w:id="1015886367">
      <w:bodyDiv w:val="1"/>
      <w:marLeft w:val="0"/>
      <w:marRight w:val="0"/>
      <w:marTop w:val="0"/>
      <w:marBottom w:val="0"/>
      <w:divBdr>
        <w:top w:val="none" w:sz="0" w:space="0" w:color="auto"/>
        <w:left w:val="none" w:sz="0" w:space="0" w:color="auto"/>
        <w:bottom w:val="none" w:sz="0" w:space="0" w:color="auto"/>
        <w:right w:val="none" w:sz="0" w:space="0" w:color="auto"/>
      </w:divBdr>
    </w:div>
    <w:div w:id="1095441072">
      <w:bodyDiv w:val="1"/>
      <w:marLeft w:val="0"/>
      <w:marRight w:val="0"/>
      <w:marTop w:val="0"/>
      <w:marBottom w:val="0"/>
      <w:divBdr>
        <w:top w:val="none" w:sz="0" w:space="0" w:color="auto"/>
        <w:left w:val="none" w:sz="0" w:space="0" w:color="auto"/>
        <w:bottom w:val="none" w:sz="0" w:space="0" w:color="auto"/>
        <w:right w:val="none" w:sz="0" w:space="0" w:color="auto"/>
      </w:divBdr>
    </w:div>
    <w:div w:id="1384476211">
      <w:bodyDiv w:val="1"/>
      <w:marLeft w:val="0"/>
      <w:marRight w:val="0"/>
      <w:marTop w:val="0"/>
      <w:marBottom w:val="0"/>
      <w:divBdr>
        <w:top w:val="none" w:sz="0" w:space="0" w:color="auto"/>
        <w:left w:val="none" w:sz="0" w:space="0" w:color="auto"/>
        <w:bottom w:val="none" w:sz="0" w:space="0" w:color="auto"/>
        <w:right w:val="none" w:sz="0" w:space="0" w:color="auto"/>
      </w:divBdr>
    </w:div>
    <w:div w:id="1498423430">
      <w:bodyDiv w:val="1"/>
      <w:marLeft w:val="0"/>
      <w:marRight w:val="0"/>
      <w:marTop w:val="0"/>
      <w:marBottom w:val="0"/>
      <w:divBdr>
        <w:top w:val="none" w:sz="0" w:space="0" w:color="auto"/>
        <w:left w:val="none" w:sz="0" w:space="0" w:color="auto"/>
        <w:bottom w:val="none" w:sz="0" w:space="0" w:color="auto"/>
        <w:right w:val="none" w:sz="0" w:space="0" w:color="auto"/>
      </w:divBdr>
    </w:div>
    <w:div w:id="1550217643">
      <w:bodyDiv w:val="1"/>
      <w:marLeft w:val="0"/>
      <w:marRight w:val="0"/>
      <w:marTop w:val="0"/>
      <w:marBottom w:val="0"/>
      <w:divBdr>
        <w:top w:val="none" w:sz="0" w:space="0" w:color="auto"/>
        <w:left w:val="none" w:sz="0" w:space="0" w:color="auto"/>
        <w:bottom w:val="none" w:sz="0" w:space="0" w:color="auto"/>
        <w:right w:val="none" w:sz="0" w:space="0" w:color="auto"/>
      </w:divBdr>
    </w:div>
    <w:div w:id="1786806179">
      <w:bodyDiv w:val="1"/>
      <w:marLeft w:val="0"/>
      <w:marRight w:val="0"/>
      <w:marTop w:val="0"/>
      <w:marBottom w:val="0"/>
      <w:divBdr>
        <w:top w:val="none" w:sz="0" w:space="0" w:color="auto"/>
        <w:left w:val="none" w:sz="0" w:space="0" w:color="auto"/>
        <w:bottom w:val="none" w:sz="0" w:space="0" w:color="auto"/>
        <w:right w:val="none" w:sz="0" w:space="0" w:color="auto"/>
      </w:divBdr>
    </w:div>
    <w:div w:id="1883516547">
      <w:bodyDiv w:val="1"/>
      <w:marLeft w:val="0"/>
      <w:marRight w:val="0"/>
      <w:marTop w:val="0"/>
      <w:marBottom w:val="0"/>
      <w:divBdr>
        <w:top w:val="none" w:sz="0" w:space="0" w:color="auto"/>
        <w:left w:val="none" w:sz="0" w:space="0" w:color="auto"/>
        <w:bottom w:val="none" w:sz="0" w:space="0" w:color="auto"/>
        <w:right w:val="none" w:sz="0" w:space="0" w:color="auto"/>
      </w:divBdr>
    </w:div>
    <w:div w:id="1973704995">
      <w:bodyDiv w:val="1"/>
      <w:marLeft w:val="0"/>
      <w:marRight w:val="0"/>
      <w:marTop w:val="0"/>
      <w:marBottom w:val="0"/>
      <w:divBdr>
        <w:top w:val="none" w:sz="0" w:space="0" w:color="auto"/>
        <w:left w:val="none" w:sz="0" w:space="0" w:color="auto"/>
        <w:bottom w:val="none" w:sz="0" w:space="0" w:color="auto"/>
        <w:right w:val="none" w:sz="0" w:space="0" w:color="auto"/>
      </w:divBdr>
    </w:div>
    <w:div w:id="2011440555">
      <w:bodyDiv w:val="1"/>
      <w:marLeft w:val="0"/>
      <w:marRight w:val="0"/>
      <w:marTop w:val="0"/>
      <w:marBottom w:val="0"/>
      <w:divBdr>
        <w:top w:val="none" w:sz="0" w:space="0" w:color="auto"/>
        <w:left w:val="none" w:sz="0" w:space="0" w:color="auto"/>
        <w:bottom w:val="none" w:sz="0" w:space="0" w:color="auto"/>
        <w:right w:val="none" w:sz="0" w:space="0" w:color="auto"/>
      </w:divBdr>
    </w:div>
    <w:div w:id="2023778051">
      <w:bodyDiv w:val="1"/>
      <w:marLeft w:val="0"/>
      <w:marRight w:val="0"/>
      <w:marTop w:val="0"/>
      <w:marBottom w:val="0"/>
      <w:divBdr>
        <w:top w:val="none" w:sz="0" w:space="0" w:color="auto"/>
        <w:left w:val="none" w:sz="0" w:space="0" w:color="auto"/>
        <w:bottom w:val="none" w:sz="0" w:space="0" w:color="auto"/>
        <w:right w:val="none" w:sz="0" w:space="0" w:color="auto"/>
      </w:divBdr>
    </w:div>
    <w:div w:id="2051756345">
      <w:bodyDiv w:val="1"/>
      <w:marLeft w:val="0"/>
      <w:marRight w:val="0"/>
      <w:marTop w:val="0"/>
      <w:marBottom w:val="0"/>
      <w:divBdr>
        <w:top w:val="none" w:sz="0" w:space="0" w:color="auto"/>
        <w:left w:val="none" w:sz="0" w:space="0" w:color="auto"/>
        <w:bottom w:val="none" w:sz="0" w:space="0" w:color="auto"/>
        <w:right w:val="none" w:sz="0" w:space="0" w:color="auto"/>
      </w:divBdr>
    </w:div>
    <w:div w:id="2121220390">
      <w:bodyDiv w:val="1"/>
      <w:marLeft w:val="0"/>
      <w:marRight w:val="0"/>
      <w:marTop w:val="0"/>
      <w:marBottom w:val="0"/>
      <w:divBdr>
        <w:top w:val="none" w:sz="0" w:space="0" w:color="auto"/>
        <w:left w:val="none" w:sz="0" w:space="0" w:color="auto"/>
        <w:bottom w:val="none" w:sz="0" w:space="0" w:color="auto"/>
        <w:right w:val="none" w:sz="0" w:space="0" w:color="auto"/>
      </w:divBdr>
    </w:div>
    <w:div w:id="214403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4C6A1-D3E1-499A-AB1C-4EF2DE340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2664</Words>
  <Characters>15185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17814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 Townsend</dc:creator>
  <cp:lastModifiedBy>Dylan Townsend</cp:lastModifiedBy>
  <cp:revision>2</cp:revision>
  <dcterms:created xsi:type="dcterms:W3CDTF">2018-08-14T06:40:00Z</dcterms:created>
  <dcterms:modified xsi:type="dcterms:W3CDTF">2018-08-14T06:40:00Z</dcterms:modified>
</cp:coreProperties>
</file>