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2908F3" w:rsidP="00CD1596">
      <w:pPr>
        <w:pStyle w:val="Title"/>
      </w:pPr>
      <w:bookmarkStart w:id="0" w:name="_GoBack"/>
      <w:bookmarkEnd w:id="0"/>
      <w:r>
        <w:t xml:space="preserve">    </w:t>
      </w:r>
      <w:r>
        <w:tab/>
      </w:r>
      <w:r>
        <w:tab/>
      </w:r>
      <w:r>
        <w:tab/>
      </w:r>
      <w:r>
        <w:tab/>
      </w:r>
      <w:r w:rsidR="00E44989">
        <w:t xml:space="preserve">SPAA CPD 16/346 – DCUSA </w:t>
      </w:r>
      <w:r w:rsidR="00E57453">
        <w:t xml:space="preserve">DCP </w:t>
      </w:r>
      <w:r>
        <w:t xml:space="preserve">278 </w:t>
      </w:r>
      <w:r w:rsidR="00E57453">
        <w:t>Consultation responses – collated comments</w:t>
      </w: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1" w:name="dcusa_response1"/>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92691">
              <w:t>Do you understand the intent of the CP?</w:t>
            </w:r>
          </w:p>
        </w:tc>
      </w:tr>
      <w:tr w:rsidR="00886FB2" w:rsidTr="00E44989">
        <w:tc>
          <w:tcPr>
            <w:tcW w:w="1701" w:type="dxa"/>
          </w:tcPr>
          <w:p w:rsidR="00886FB2" w:rsidRDefault="00886FB2" w:rsidP="00886FB2">
            <w:pPr>
              <w:pStyle w:val="BodyTextNoSpacing"/>
            </w:pPr>
            <w:r>
              <w:t>E.ON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Yes – to increase the transparency on the allocation of logins for the ETTOS system. </w:t>
            </w:r>
          </w:p>
        </w:tc>
      </w:tr>
      <w:tr w:rsidR="00886FB2" w:rsidTr="00E44989">
        <w:tc>
          <w:tcPr>
            <w:tcW w:w="1701" w:type="dxa"/>
          </w:tcPr>
          <w:p w:rsidR="00886FB2" w:rsidRDefault="00886FB2" w:rsidP="00886FB2">
            <w:pPr>
              <w:pStyle w:val="BodyTextNoSpacing"/>
            </w:pPr>
            <w:r>
              <w:t>Electricity North West</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We understand the intent of this change proposal.</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r>
              <w:t>Npower understands the intent of the CP is to i</w:t>
            </w:r>
            <w:r w:rsidRPr="002C5F0F">
              <w:t xml:space="preserve">nclude the rules for the allocation of user accounts for the ETTOS secure email service in </w:t>
            </w:r>
            <w:r>
              <w:t xml:space="preserve">the </w:t>
            </w:r>
            <w:r w:rsidRPr="002C5F0F">
              <w:t>DCUSA</w:t>
            </w:r>
            <w:r>
              <w:t xml:space="preserve">. </w:t>
            </w:r>
          </w:p>
          <w:p w:rsidR="00886FB2" w:rsidRDefault="00886FB2" w:rsidP="00886FB2">
            <w:pPr>
              <w:pStyle w:val="BodyText"/>
            </w:pPr>
            <w:r>
              <w:t xml:space="preserve">We understand that this will ensure that additional user permissions to the ETTOS secure email service can be added if required. The proposed change will be to let licences </w:t>
            </w:r>
            <w:r w:rsidRPr="00EB6DDB">
              <w:t>be purchased and therefore charged based on the actual number of users set up on the secure email service, up to the maximum allocation</w:t>
            </w:r>
            <w:r>
              <w:t xml:space="preserve">. </w:t>
            </w:r>
          </w:p>
          <w:p w:rsidR="00886FB2" w:rsidRDefault="00886FB2" w:rsidP="00886FB2">
            <w:pPr>
              <w:pStyle w:val="BodyTextNoSpacing"/>
            </w:pPr>
            <w:r>
              <w:t xml:space="preserve">The allocation for large suppliers, Gas Transporters (GTs) and Distribution Network Operators (DNOs) is five licences, while that for small suppliers, GTs and DNOs is two. We believe this is proportionate and we are therefore supportive of the change that has been proposed. </w:t>
            </w:r>
          </w:p>
        </w:tc>
      </w:tr>
      <w:tr w:rsidR="00886FB2" w:rsidTr="00E44989">
        <w:tc>
          <w:tcPr>
            <w:tcW w:w="1701" w:type="dxa"/>
          </w:tcPr>
          <w:p w:rsidR="00886FB2" w:rsidRDefault="00886FB2" w:rsidP="00886FB2">
            <w:pPr>
              <w:pStyle w:val="BodyTextNoSpacing"/>
            </w:pPr>
            <w:r>
              <w:t xml:space="preserve">SP Distribution and SP </w:t>
            </w:r>
            <w:proofErr w:type="spellStart"/>
            <w:r>
              <w:t>Manweb</w:t>
            </w:r>
            <w:proofErr w:type="spellEnd"/>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Yes, the intent of the CP is fully understood</w:t>
            </w:r>
          </w:p>
        </w:tc>
      </w:tr>
      <w:tr w:rsidR="00886FB2" w:rsidTr="00E44989">
        <w:tc>
          <w:tcPr>
            <w:tcW w:w="1701" w:type="dxa"/>
          </w:tcPr>
          <w:p w:rsidR="00886FB2" w:rsidRDefault="00886FB2" w:rsidP="00886FB2">
            <w:pPr>
              <w:pStyle w:val="BodyTextNoSpacing"/>
            </w:pPr>
            <w:r>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r>
              <w:t>Yes</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NoSpacing"/>
            </w:pPr>
            <w:r>
              <w:t>Yes</w:t>
            </w:r>
          </w:p>
        </w:tc>
      </w:tr>
      <w:bookmarkEnd w:id="1"/>
    </w:tbl>
    <w:p w:rsidR="00886FB2" w:rsidRDefault="00886FB2" w:rsidP="00CD1596"/>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2" w:name="dcusa_response2"/>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92691">
              <w:t>Are you supportive of the principles of the CP?</w:t>
            </w:r>
          </w:p>
        </w:tc>
      </w:tr>
      <w:tr w:rsidR="00886FB2" w:rsidTr="00E44989">
        <w:tc>
          <w:tcPr>
            <w:tcW w:w="1701" w:type="dxa"/>
          </w:tcPr>
          <w:p w:rsidR="00886FB2" w:rsidRDefault="00886FB2" w:rsidP="00886FB2">
            <w:pPr>
              <w:pStyle w:val="BodyTextNoSpacing"/>
            </w:pPr>
            <w:proofErr w:type="gramStart"/>
            <w:r>
              <w:lastRenderedPageBreak/>
              <w:t>E.ON</w:t>
            </w:r>
            <w:proofErr w:type="gramEnd"/>
            <w:r>
              <w:t xml:space="preserve">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Yes.</w:t>
            </w:r>
          </w:p>
        </w:tc>
      </w:tr>
      <w:tr w:rsidR="00886FB2" w:rsidTr="00E44989">
        <w:tc>
          <w:tcPr>
            <w:tcW w:w="1701" w:type="dxa"/>
          </w:tcPr>
          <w:p w:rsidR="00886FB2" w:rsidRDefault="00886FB2" w:rsidP="00886FB2">
            <w:pPr>
              <w:pStyle w:val="BodyTextNoSpacing"/>
            </w:pPr>
            <w:r>
              <w:t>Electricity North West</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We are supportive of the principles of this change proposal.</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Yes, npower is supportive of the principles of the CP. </w:t>
            </w:r>
          </w:p>
        </w:tc>
      </w:tr>
      <w:tr w:rsidR="00886FB2" w:rsidTr="00E44989">
        <w:tc>
          <w:tcPr>
            <w:tcW w:w="1701" w:type="dxa"/>
          </w:tcPr>
          <w:p w:rsidR="00886FB2" w:rsidRDefault="00886FB2" w:rsidP="00886FB2">
            <w:pPr>
              <w:pStyle w:val="BodyTextNoSpacing"/>
            </w:pPr>
            <w:r>
              <w:t xml:space="preserve">SP Distribution and SP </w:t>
            </w:r>
            <w:proofErr w:type="spellStart"/>
            <w:r>
              <w:t>Manweb</w:t>
            </w:r>
            <w:proofErr w:type="spellEnd"/>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Yes, fully supportive </w:t>
            </w:r>
            <w:proofErr w:type="gramStart"/>
            <w:r>
              <w:t>that  if</w:t>
            </w:r>
            <w:proofErr w:type="gramEnd"/>
            <w:r>
              <w:t xml:space="preserve"> additional access is required then an additional fee will be payable for each access</w:t>
            </w:r>
          </w:p>
        </w:tc>
      </w:tr>
      <w:tr w:rsidR="00886FB2" w:rsidTr="00E44989">
        <w:tc>
          <w:tcPr>
            <w:tcW w:w="1701" w:type="dxa"/>
          </w:tcPr>
          <w:p w:rsidR="00886FB2" w:rsidRDefault="00886FB2" w:rsidP="00886FB2">
            <w:pPr>
              <w:pStyle w:val="BodyTextNoSpacing"/>
            </w:pPr>
            <w:r>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Yes</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NoSpacing"/>
            </w:pPr>
            <w:r>
              <w:t>Yes</w:t>
            </w:r>
          </w:p>
        </w:tc>
      </w:tr>
      <w:bookmarkEnd w:id="2"/>
    </w:tbl>
    <w:p w:rsidR="00886FB2" w:rsidRDefault="00886FB2" w:rsidP="00CD1596"/>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3" w:name="dcusa_response3"/>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26266">
              <w:t>Do you have any comments on the draft legal text?</w:t>
            </w:r>
          </w:p>
        </w:tc>
      </w:tr>
      <w:tr w:rsidR="00886FB2" w:rsidTr="00E44989">
        <w:tc>
          <w:tcPr>
            <w:tcW w:w="1701" w:type="dxa"/>
          </w:tcPr>
          <w:p w:rsidR="00886FB2" w:rsidRDefault="00886FB2" w:rsidP="00886FB2">
            <w:pPr>
              <w:pStyle w:val="BodyTextNoSpacing"/>
            </w:pPr>
            <w:proofErr w:type="gramStart"/>
            <w:r>
              <w:t>E.ON</w:t>
            </w:r>
            <w:proofErr w:type="gramEnd"/>
            <w:r>
              <w:t xml:space="preserve">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Yes – there are no references to logins for </w:t>
            </w:r>
            <w:proofErr w:type="spellStart"/>
            <w:r>
              <w:t>iGTs</w:t>
            </w:r>
            <w:proofErr w:type="spellEnd"/>
            <w:r>
              <w:t xml:space="preserve"> (Small Transporters). Post Nexus implementation it is envisaged </w:t>
            </w:r>
            <w:proofErr w:type="spellStart"/>
            <w:r>
              <w:t>iGTs</w:t>
            </w:r>
            <w:proofErr w:type="spellEnd"/>
            <w:r>
              <w:t xml:space="preserve"> will participate in the service so will require logins as well – we assumed these will be included in ‘all other ETTOS Recipients’ but wanted to be sure. </w:t>
            </w:r>
          </w:p>
        </w:tc>
      </w:tr>
      <w:tr w:rsidR="00886FB2" w:rsidTr="00E44989">
        <w:tc>
          <w:tcPr>
            <w:tcW w:w="1701" w:type="dxa"/>
          </w:tcPr>
          <w:p w:rsidR="00886FB2" w:rsidRDefault="00886FB2" w:rsidP="00886FB2">
            <w:pPr>
              <w:pStyle w:val="BodyTextNoSpacing"/>
            </w:pPr>
            <w:r>
              <w:t>Electricity North West</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The draft legal text does appear to deliver the intent of the change.</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No we do not have any further comment on the draft legal text. </w:t>
            </w:r>
          </w:p>
        </w:tc>
      </w:tr>
      <w:tr w:rsidR="00886FB2" w:rsidTr="00E44989">
        <w:tc>
          <w:tcPr>
            <w:tcW w:w="1701" w:type="dxa"/>
          </w:tcPr>
          <w:p w:rsidR="00886FB2" w:rsidRDefault="00886FB2" w:rsidP="00886FB2">
            <w:pPr>
              <w:pStyle w:val="BodyTextNoSpacing"/>
            </w:pPr>
            <w:r>
              <w:t xml:space="preserve">SP Distribution and SP </w:t>
            </w:r>
            <w:proofErr w:type="spellStart"/>
            <w:r>
              <w:t>Manweb</w:t>
            </w:r>
            <w:proofErr w:type="spellEnd"/>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None</w:t>
            </w:r>
          </w:p>
        </w:tc>
      </w:tr>
      <w:tr w:rsidR="00886FB2" w:rsidTr="00E44989">
        <w:tc>
          <w:tcPr>
            <w:tcW w:w="1701" w:type="dxa"/>
          </w:tcPr>
          <w:p w:rsidR="00886FB2" w:rsidRDefault="00886FB2" w:rsidP="00886FB2">
            <w:pPr>
              <w:pStyle w:val="BodyTextNoSpacing"/>
            </w:pPr>
            <w:r>
              <w:lastRenderedPageBreak/>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No</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NoSpacing"/>
            </w:pPr>
            <w:r>
              <w:t>No</w:t>
            </w:r>
          </w:p>
        </w:tc>
      </w:tr>
      <w:bookmarkEnd w:id="3"/>
    </w:tbl>
    <w:p w:rsidR="00886FB2" w:rsidRDefault="00886FB2" w:rsidP="00CD1596"/>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4" w:name="dcusa_response4"/>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26266">
              <w:t>Do you consider that the proposal better facilitates the SPAA</w:t>
            </w:r>
            <w:r w:rsidR="00C92691">
              <w:t>/DCUSA</w:t>
            </w:r>
            <w:r w:rsidRPr="00C26266">
              <w:t xml:space="preserve"> objectives? Please give supporting reasons.</w:t>
            </w:r>
          </w:p>
        </w:tc>
      </w:tr>
      <w:tr w:rsidR="00886FB2" w:rsidTr="00E44989">
        <w:tc>
          <w:tcPr>
            <w:tcW w:w="1701" w:type="dxa"/>
          </w:tcPr>
          <w:p w:rsidR="00886FB2" w:rsidRDefault="00886FB2" w:rsidP="00886FB2">
            <w:pPr>
              <w:pStyle w:val="BodyTextNoSpacing"/>
            </w:pPr>
            <w:proofErr w:type="gramStart"/>
            <w:r>
              <w:t>E.ON</w:t>
            </w:r>
            <w:proofErr w:type="gramEnd"/>
            <w:r>
              <w:t xml:space="preserve">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r>
              <w:t>Objectives C and F (SPAA) and objective 4 (DCUSA) as this change brings code efficiencies with clear rules and information for logins and also goes towards effective delivery of licence condition 12A.</w:t>
            </w:r>
          </w:p>
        </w:tc>
      </w:tr>
      <w:tr w:rsidR="00886FB2" w:rsidTr="00E44989">
        <w:tc>
          <w:tcPr>
            <w:tcW w:w="1701" w:type="dxa"/>
          </w:tcPr>
          <w:p w:rsidR="00886FB2" w:rsidRDefault="00886FB2" w:rsidP="00886FB2">
            <w:pPr>
              <w:pStyle w:val="BodyTextNoSpacing"/>
            </w:pPr>
            <w:r>
              <w:t>Electricity North West</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r>
              <w:t xml:space="preserve">We agree with the findings of the Working Group that General Objective 1 and General Objective 3 will be better facilitated by this proposal. </w:t>
            </w:r>
          </w:p>
          <w:p w:rsidR="00886FB2" w:rsidRDefault="00886FB2" w:rsidP="00886FB2">
            <w:pPr>
              <w:pStyle w:val="BodyText"/>
            </w:pPr>
            <w:r>
              <w:t>General Objective 1 will be better facilitated as a reduction in theft enables DNOs to manage their network in a more economic and efficient manner.</w:t>
            </w:r>
          </w:p>
          <w:p w:rsidR="00886FB2" w:rsidRDefault="00886FB2" w:rsidP="00886FB2">
            <w:pPr>
              <w:pStyle w:val="BodyText"/>
            </w:pPr>
            <w:r>
              <w:t>General Objective 3 will be better facilitated as the information provided to DNOs may result in the further detection of theft in conveyance (Standard Licence Condition 27).</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r>
              <w:t xml:space="preserve">Yes, npower considers that the proposals facilitate the following DCUSA objectives for the reasons below: </w:t>
            </w:r>
          </w:p>
          <w:p w:rsidR="00886FB2" w:rsidRDefault="00886FB2" w:rsidP="00886FB2">
            <w:pPr>
              <w:pStyle w:val="BodyText"/>
              <w:numPr>
                <w:ilvl w:val="0"/>
                <w:numId w:val="24"/>
              </w:numPr>
              <w:rPr>
                <w:b/>
                <w:bCs/>
              </w:rPr>
            </w:pPr>
            <w:r w:rsidRPr="002C5F0F">
              <w:rPr>
                <w:b/>
                <w:bCs/>
              </w:rPr>
              <w:t>General Objective One - The development, maintenance and operation by the DNO Parties and IDNO Parties of efficient, co-ordinated, and economical Distribution Networks</w:t>
            </w:r>
          </w:p>
          <w:p w:rsidR="00886FB2" w:rsidRPr="002C5F0F" w:rsidRDefault="00886FB2" w:rsidP="00886FB2">
            <w:pPr>
              <w:pStyle w:val="BodyText"/>
              <w:ind w:left="720"/>
              <w:rPr>
                <w:bCs/>
              </w:rPr>
            </w:pPr>
            <w:r>
              <w:rPr>
                <w:bCs/>
              </w:rPr>
              <w:t xml:space="preserve">This change will help in reduced theft and more accurate data, it will help with the efficient and co-ordinated operation of suppliers, DNOs and </w:t>
            </w:r>
            <w:proofErr w:type="spellStart"/>
            <w:r>
              <w:rPr>
                <w:bCs/>
              </w:rPr>
              <w:t>iDNOs</w:t>
            </w:r>
            <w:proofErr w:type="spellEnd"/>
            <w:r>
              <w:rPr>
                <w:bCs/>
              </w:rPr>
              <w:t xml:space="preserve">. </w:t>
            </w:r>
          </w:p>
          <w:p w:rsidR="00886FB2" w:rsidRPr="002C5F0F" w:rsidRDefault="00886FB2" w:rsidP="00886FB2">
            <w:pPr>
              <w:pStyle w:val="BodyText"/>
              <w:numPr>
                <w:ilvl w:val="0"/>
                <w:numId w:val="24"/>
              </w:numPr>
            </w:pPr>
            <w:r w:rsidRPr="002C5F0F">
              <w:rPr>
                <w:b/>
                <w:bCs/>
              </w:rPr>
              <w:lastRenderedPageBreak/>
              <w:t>General Objective Three - The efficient discharge by the DNO Parties and IDNO Parties of obligations imposed upon them in their Distribution Licences</w:t>
            </w:r>
          </w:p>
          <w:p w:rsidR="00886FB2" w:rsidRDefault="00886FB2" w:rsidP="00886FB2">
            <w:pPr>
              <w:pStyle w:val="BodyText"/>
            </w:pPr>
            <w:r>
              <w:t xml:space="preserve">This change will better facilitate the detection of theft for all distributors and meet their requirements under Standard Licence Condition 27. </w:t>
            </w:r>
          </w:p>
        </w:tc>
      </w:tr>
      <w:tr w:rsidR="00886FB2" w:rsidTr="00E44989">
        <w:tc>
          <w:tcPr>
            <w:tcW w:w="1701" w:type="dxa"/>
          </w:tcPr>
          <w:p w:rsidR="00886FB2" w:rsidRDefault="00886FB2" w:rsidP="00886FB2">
            <w:pPr>
              <w:pStyle w:val="BodyTextNoSpacing"/>
            </w:pPr>
            <w:r>
              <w:lastRenderedPageBreak/>
              <w:t xml:space="preserve">SP Distribution and SP </w:t>
            </w:r>
            <w:proofErr w:type="spellStart"/>
            <w:r>
              <w:t>Manweb</w:t>
            </w:r>
            <w:proofErr w:type="spellEnd"/>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r>
              <w:t>Yes, we agree with the comments made by the working group in relation to DCUSA objectives 1 and 3</w:t>
            </w:r>
          </w:p>
        </w:tc>
      </w:tr>
      <w:tr w:rsidR="00886FB2" w:rsidTr="00E44989">
        <w:tc>
          <w:tcPr>
            <w:tcW w:w="1701" w:type="dxa"/>
          </w:tcPr>
          <w:p w:rsidR="00886FB2" w:rsidRDefault="00886FB2" w:rsidP="00886FB2">
            <w:pPr>
              <w:pStyle w:val="BodyTextNoSpacing"/>
            </w:pPr>
            <w:r>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
            </w:pPr>
            <w:proofErr w:type="gramStart"/>
            <w:r>
              <w:t>Yes</w:t>
            </w:r>
            <w:proofErr w:type="gramEnd"/>
            <w:r>
              <w:t xml:space="preserve"> we agree with the reasons set out in the change proposal</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
            </w:pPr>
            <w:r>
              <w:t xml:space="preserve">Yes. </w:t>
            </w:r>
          </w:p>
          <w:p w:rsidR="00E44989" w:rsidRDefault="00E44989" w:rsidP="00E44989">
            <w:pPr>
              <w:pStyle w:val="BodyTextNoSpacing"/>
            </w:pPr>
            <w:r>
              <w:t xml:space="preserve"> It introduces standard approach for Suppliers to follow when requesting additional user permissions for ETTOS </w:t>
            </w:r>
            <w:r w:rsidRPr="002D0C8F">
              <w:t>Secure Email Service</w:t>
            </w:r>
            <w:r>
              <w:t xml:space="preserve">. As a result, it gives Suppliers the opportunity to deal with tip offs received in a </w:t>
            </w:r>
            <w:proofErr w:type="gramStart"/>
            <w:r>
              <w:t>more timely</w:t>
            </w:r>
            <w:proofErr w:type="gramEnd"/>
            <w:r>
              <w:t xml:space="preserve"> manner and tackle the theft of gas more effectively. </w:t>
            </w:r>
          </w:p>
        </w:tc>
      </w:tr>
      <w:bookmarkEnd w:id="4"/>
    </w:tbl>
    <w:p w:rsidR="00886FB2" w:rsidRDefault="00886FB2" w:rsidP="00CD1596"/>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5" w:name="dcusa_response5"/>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26266">
              <w:t>Are you supportive of the proposed implementation date of 23 February 2016?</w:t>
            </w:r>
          </w:p>
        </w:tc>
      </w:tr>
      <w:tr w:rsidR="00886FB2" w:rsidTr="00E44989">
        <w:tc>
          <w:tcPr>
            <w:tcW w:w="1701" w:type="dxa"/>
          </w:tcPr>
          <w:p w:rsidR="00886FB2" w:rsidRDefault="00886FB2" w:rsidP="00886FB2">
            <w:pPr>
              <w:pStyle w:val="BodyTextNoSpacing"/>
            </w:pPr>
            <w:proofErr w:type="gramStart"/>
            <w:r>
              <w:t>E.ON</w:t>
            </w:r>
            <w:proofErr w:type="gramEnd"/>
            <w:r>
              <w:t xml:space="preserve">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We would be happy with a November 2016 delivery; </w:t>
            </w:r>
            <w:proofErr w:type="gramStart"/>
            <w:r>
              <w:t>alternatively</w:t>
            </w:r>
            <w:proofErr w:type="gramEnd"/>
            <w:r>
              <w:t xml:space="preserve"> we would be happy for February 2017 (think the question means 2017). </w:t>
            </w:r>
          </w:p>
        </w:tc>
      </w:tr>
      <w:tr w:rsidR="00886FB2" w:rsidTr="00E44989">
        <w:tc>
          <w:tcPr>
            <w:tcW w:w="1701" w:type="dxa"/>
          </w:tcPr>
          <w:p w:rsidR="00886FB2" w:rsidRDefault="00886FB2" w:rsidP="00886FB2">
            <w:pPr>
              <w:pStyle w:val="BodyTextNoSpacing"/>
            </w:pPr>
            <w:r>
              <w:t>Electricity North West</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No we are not supportive of the implementation date of </w:t>
            </w:r>
            <w:r w:rsidRPr="007C0825">
              <w:rPr>
                <w:b/>
              </w:rPr>
              <w:t>23 February 2016</w:t>
            </w:r>
            <w:r>
              <w:t>, as we believe that this date is a mistake</w:t>
            </w:r>
            <w:r w:rsidRPr="007C0825">
              <w:t xml:space="preserve"> in the consultation form.</w:t>
            </w:r>
            <w:r>
              <w:rPr>
                <w:b/>
              </w:rPr>
              <w:t xml:space="preserve"> </w:t>
            </w:r>
            <w:r>
              <w:t xml:space="preserve">The proposed implementation date of </w:t>
            </w:r>
            <w:r w:rsidRPr="007C0825">
              <w:rPr>
                <w:b/>
              </w:rPr>
              <w:t xml:space="preserve">23 February 2017 </w:t>
            </w:r>
            <w:r>
              <w:t>does seem a reasonable timescale.</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Yes, npower is supportive of the implementation date being 23</w:t>
            </w:r>
            <w:r w:rsidRPr="002C5F0F">
              <w:rPr>
                <w:vertAlign w:val="superscript"/>
              </w:rPr>
              <w:t>rd</w:t>
            </w:r>
            <w:r>
              <w:t xml:space="preserve"> February 2017. </w:t>
            </w:r>
          </w:p>
        </w:tc>
      </w:tr>
      <w:tr w:rsidR="00886FB2" w:rsidTr="00E44989">
        <w:tc>
          <w:tcPr>
            <w:tcW w:w="1701" w:type="dxa"/>
          </w:tcPr>
          <w:p w:rsidR="00886FB2" w:rsidRDefault="00886FB2" w:rsidP="00886FB2">
            <w:pPr>
              <w:pStyle w:val="BodyTextNoSpacing"/>
            </w:pPr>
            <w:r>
              <w:t xml:space="preserve">SP Distribution </w:t>
            </w:r>
            <w:r>
              <w:lastRenderedPageBreak/>
              <w:t xml:space="preserve">and SP </w:t>
            </w:r>
            <w:proofErr w:type="spellStart"/>
            <w:r>
              <w:t>Manweb</w:t>
            </w:r>
            <w:proofErr w:type="spellEnd"/>
          </w:p>
        </w:tc>
        <w:tc>
          <w:tcPr>
            <w:tcW w:w="1871" w:type="dxa"/>
          </w:tcPr>
          <w:p w:rsidR="00886FB2" w:rsidRDefault="00886FB2" w:rsidP="00886FB2">
            <w:pPr>
              <w:pStyle w:val="BodyTextNoSpacing"/>
            </w:pPr>
            <w:r>
              <w:lastRenderedPageBreak/>
              <w:t>Non-confidential</w:t>
            </w:r>
          </w:p>
        </w:tc>
        <w:tc>
          <w:tcPr>
            <w:tcW w:w="10431" w:type="dxa"/>
          </w:tcPr>
          <w:p w:rsidR="00886FB2" w:rsidRDefault="00886FB2" w:rsidP="00886FB2">
            <w:pPr>
              <w:pStyle w:val="BodyTextNoSpacing"/>
            </w:pPr>
            <w:r>
              <w:t>Yes</w:t>
            </w:r>
          </w:p>
        </w:tc>
      </w:tr>
      <w:tr w:rsidR="00886FB2" w:rsidTr="00E44989">
        <w:tc>
          <w:tcPr>
            <w:tcW w:w="1701" w:type="dxa"/>
          </w:tcPr>
          <w:p w:rsidR="00886FB2" w:rsidRDefault="00886FB2" w:rsidP="00886FB2">
            <w:pPr>
              <w:pStyle w:val="BodyTextNoSpacing"/>
            </w:pPr>
            <w:r>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Yes</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NoSpacing"/>
            </w:pPr>
            <w:r>
              <w:t>Yes</w:t>
            </w:r>
          </w:p>
        </w:tc>
      </w:tr>
      <w:bookmarkEnd w:id="5"/>
    </w:tbl>
    <w:p w:rsidR="00886FB2" w:rsidRDefault="00886FB2" w:rsidP="00CD1596"/>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6" w:name="dcusa_response6"/>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26266">
              <w:t xml:space="preserve">Do you have any other comments on the </w:t>
            </w:r>
            <w:r w:rsidR="00C92691">
              <w:t>DCP 278-</w:t>
            </w:r>
            <w:r w:rsidRPr="00C26266">
              <w:t>CPD 16/346?</w:t>
            </w:r>
          </w:p>
        </w:tc>
      </w:tr>
      <w:tr w:rsidR="00886FB2" w:rsidTr="00E44989">
        <w:tc>
          <w:tcPr>
            <w:tcW w:w="1701" w:type="dxa"/>
          </w:tcPr>
          <w:p w:rsidR="00886FB2" w:rsidRDefault="00886FB2" w:rsidP="00886FB2">
            <w:pPr>
              <w:pStyle w:val="BodyTextNoSpacing"/>
            </w:pPr>
            <w:proofErr w:type="gramStart"/>
            <w:r>
              <w:t>E.ON</w:t>
            </w:r>
            <w:proofErr w:type="gramEnd"/>
            <w:r>
              <w:t xml:space="preserve">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NA</w:t>
            </w:r>
          </w:p>
        </w:tc>
      </w:tr>
      <w:tr w:rsidR="00886FB2" w:rsidTr="00E44989">
        <w:tc>
          <w:tcPr>
            <w:tcW w:w="1701" w:type="dxa"/>
          </w:tcPr>
          <w:p w:rsidR="00886FB2" w:rsidRDefault="00886FB2" w:rsidP="00886FB2">
            <w:pPr>
              <w:pStyle w:val="BodyTextNoSpacing"/>
            </w:pPr>
            <w:r>
              <w:t>Electricity North West</w:t>
            </w:r>
          </w:p>
        </w:tc>
        <w:tc>
          <w:tcPr>
            <w:tcW w:w="1871" w:type="dxa"/>
          </w:tcPr>
          <w:p w:rsidR="00886FB2" w:rsidRDefault="00886FB2" w:rsidP="00886FB2">
            <w:pPr>
              <w:pStyle w:val="BodyTextNoSpacing"/>
            </w:pPr>
            <w:r>
              <w:t>Non-confidential</w:t>
            </w:r>
          </w:p>
        </w:tc>
        <w:tc>
          <w:tcPr>
            <w:tcW w:w="10431" w:type="dxa"/>
          </w:tcPr>
          <w:p w:rsidR="00886FB2" w:rsidRDefault="002908F3" w:rsidP="00886FB2">
            <w:pPr>
              <w:pStyle w:val="BodyTextNoSpacing"/>
            </w:pPr>
            <w:r>
              <w:t>n/a</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No, we do not have any further comments on this CP at this time. </w:t>
            </w:r>
          </w:p>
        </w:tc>
      </w:tr>
      <w:tr w:rsidR="00886FB2" w:rsidTr="00E44989">
        <w:tc>
          <w:tcPr>
            <w:tcW w:w="1701" w:type="dxa"/>
          </w:tcPr>
          <w:p w:rsidR="00886FB2" w:rsidRDefault="00886FB2" w:rsidP="00886FB2">
            <w:pPr>
              <w:pStyle w:val="BodyTextNoSpacing"/>
            </w:pPr>
            <w:r>
              <w:t xml:space="preserve">SP Distribution and SP </w:t>
            </w:r>
            <w:proofErr w:type="spellStart"/>
            <w:r>
              <w:t>Manweb</w:t>
            </w:r>
            <w:proofErr w:type="spellEnd"/>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No</w:t>
            </w:r>
          </w:p>
        </w:tc>
      </w:tr>
      <w:tr w:rsidR="00886FB2" w:rsidTr="00E44989">
        <w:tc>
          <w:tcPr>
            <w:tcW w:w="1701" w:type="dxa"/>
          </w:tcPr>
          <w:p w:rsidR="00886FB2" w:rsidRDefault="00886FB2" w:rsidP="00886FB2">
            <w:pPr>
              <w:pStyle w:val="BodyTextNoSpacing"/>
            </w:pPr>
            <w:r>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No</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NoSpacing"/>
            </w:pPr>
            <w:r>
              <w:t>No</w:t>
            </w:r>
          </w:p>
        </w:tc>
      </w:tr>
      <w:bookmarkEnd w:id="6"/>
    </w:tbl>
    <w:p w:rsidR="00886FB2" w:rsidRDefault="00886FB2" w:rsidP="00CD1596"/>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86FB2" w:rsidTr="00E44989">
        <w:trPr>
          <w:cnfStyle w:val="100000000000" w:firstRow="1" w:lastRow="0" w:firstColumn="0" w:lastColumn="0" w:oddVBand="0" w:evenVBand="0" w:oddHBand="0" w:evenHBand="0" w:firstRowFirstColumn="0" w:firstRowLastColumn="0" w:lastRowFirstColumn="0" w:lastRowLastColumn="0"/>
        </w:trPr>
        <w:tc>
          <w:tcPr>
            <w:tcW w:w="1701" w:type="dxa"/>
          </w:tcPr>
          <w:p w:rsidR="00886FB2" w:rsidRDefault="00886FB2" w:rsidP="00886FB2">
            <w:pPr>
              <w:pStyle w:val="ColumnHeading"/>
            </w:pPr>
            <w:bookmarkStart w:id="7" w:name="dcusa_response7"/>
            <w:r>
              <w:t>Company</w:t>
            </w:r>
          </w:p>
        </w:tc>
        <w:tc>
          <w:tcPr>
            <w:tcW w:w="1871" w:type="dxa"/>
          </w:tcPr>
          <w:p w:rsidR="00886FB2" w:rsidRDefault="00886FB2" w:rsidP="00886FB2">
            <w:pPr>
              <w:pStyle w:val="ColumnHeading"/>
            </w:pPr>
            <w:r>
              <w:t>Confidential/</w:t>
            </w:r>
          </w:p>
          <w:p w:rsidR="00886FB2" w:rsidRDefault="00886FB2" w:rsidP="00886FB2">
            <w:pPr>
              <w:pStyle w:val="ColumnHeading"/>
            </w:pPr>
            <w:r>
              <w:t>Anonymous</w:t>
            </w:r>
          </w:p>
        </w:tc>
        <w:tc>
          <w:tcPr>
            <w:tcW w:w="10431" w:type="dxa"/>
          </w:tcPr>
          <w:p w:rsidR="00886FB2" w:rsidRDefault="00886FB2" w:rsidP="00886FB2">
            <w:pPr>
              <w:pStyle w:val="Question"/>
              <w:numPr>
                <w:ilvl w:val="0"/>
                <w:numId w:val="16"/>
              </w:numPr>
            </w:pPr>
            <w:r w:rsidRPr="00C26266">
              <w:t xml:space="preserve">Are you aware of any wider industry developments that may impact upon or be impacted by this CP?  </w:t>
            </w:r>
          </w:p>
        </w:tc>
      </w:tr>
      <w:tr w:rsidR="00886FB2" w:rsidTr="00E44989">
        <w:tc>
          <w:tcPr>
            <w:tcW w:w="1701" w:type="dxa"/>
          </w:tcPr>
          <w:p w:rsidR="00886FB2" w:rsidRDefault="00886FB2" w:rsidP="00886FB2">
            <w:pPr>
              <w:pStyle w:val="BodyTextNoSpacing"/>
            </w:pPr>
            <w:proofErr w:type="gramStart"/>
            <w:r>
              <w:t>E.ON</w:t>
            </w:r>
            <w:proofErr w:type="gramEnd"/>
            <w:r>
              <w:t xml:space="preserve"> UK</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NA</w:t>
            </w:r>
          </w:p>
        </w:tc>
      </w:tr>
      <w:tr w:rsidR="00886FB2" w:rsidTr="00E44989">
        <w:tc>
          <w:tcPr>
            <w:tcW w:w="1701" w:type="dxa"/>
          </w:tcPr>
          <w:p w:rsidR="00886FB2" w:rsidRDefault="00886FB2" w:rsidP="00886FB2">
            <w:pPr>
              <w:pStyle w:val="BodyTextNoSpacing"/>
            </w:pPr>
            <w:r>
              <w:lastRenderedPageBreak/>
              <w:t>Electricity North West</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We are not aware of any at this time.</w:t>
            </w:r>
          </w:p>
        </w:tc>
      </w:tr>
      <w:tr w:rsidR="00886FB2" w:rsidTr="00E44989">
        <w:tc>
          <w:tcPr>
            <w:tcW w:w="1701" w:type="dxa"/>
          </w:tcPr>
          <w:p w:rsidR="00886FB2" w:rsidRDefault="00886FB2" w:rsidP="00886FB2">
            <w:pPr>
              <w:pStyle w:val="BodyTextNoSpacing"/>
            </w:pPr>
            <w:r>
              <w:t>Npower Group</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 xml:space="preserve">No, we are not aware of any wider industry developments that may impact on this CP at this time. </w:t>
            </w:r>
          </w:p>
        </w:tc>
      </w:tr>
      <w:tr w:rsidR="00886FB2" w:rsidTr="00E44989">
        <w:tc>
          <w:tcPr>
            <w:tcW w:w="1701" w:type="dxa"/>
          </w:tcPr>
          <w:p w:rsidR="00886FB2" w:rsidRDefault="00886FB2" w:rsidP="00886FB2">
            <w:pPr>
              <w:pStyle w:val="BodyTextNoSpacing"/>
            </w:pPr>
            <w:r>
              <w:t xml:space="preserve">SP Distribution and SP </w:t>
            </w:r>
            <w:proofErr w:type="spellStart"/>
            <w:r>
              <w:t>Manweb</w:t>
            </w:r>
            <w:proofErr w:type="spellEnd"/>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No</w:t>
            </w:r>
          </w:p>
        </w:tc>
      </w:tr>
      <w:tr w:rsidR="00886FB2" w:rsidTr="00E44989">
        <w:tc>
          <w:tcPr>
            <w:tcW w:w="1701" w:type="dxa"/>
          </w:tcPr>
          <w:p w:rsidR="00886FB2" w:rsidRDefault="00886FB2" w:rsidP="00886FB2">
            <w:pPr>
              <w:pStyle w:val="BodyTextNoSpacing"/>
            </w:pPr>
            <w:r>
              <w:t>Western Power Distribution</w:t>
            </w:r>
          </w:p>
        </w:tc>
        <w:tc>
          <w:tcPr>
            <w:tcW w:w="1871" w:type="dxa"/>
          </w:tcPr>
          <w:p w:rsidR="00886FB2" w:rsidRDefault="00886FB2" w:rsidP="00886FB2">
            <w:pPr>
              <w:pStyle w:val="BodyTextNoSpacing"/>
            </w:pPr>
            <w:r>
              <w:t>Non-confidential</w:t>
            </w:r>
          </w:p>
        </w:tc>
        <w:tc>
          <w:tcPr>
            <w:tcW w:w="10431" w:type="dxa"/>
          </w:tcPr>
          <w:p w:rsidR="00886FB2" w:rsidRDefault="00886FB2" w:rsidP="00886FB2">
            <w:pPr>
              <w:pStyle w:val="BodyTextNoSpacing"/>
            </w:pPr>
            <w:r>
              <w:t>No</w:t>
            </w:r>
          </w:p>
        </w:tc>
      </w:tr>
      <w:tr w:rsidR="00E44989" w:rsidTr="00E44989">
        <w:tc>
          <w:tcPr>
            <w:tcW w:w="1701" w:type="dxa"/>
          </w:tcPr>
          <w:p w:rsidR="00E44989" w:rsidRDefault="00E44989" w:rsidP="00E44989">
            <w:pPr>
              <w:pStyle w:val="BodyTextNoSpacing"/>
            </w:pPr>
            <w:r>
              <w:t>Supplier 1</w:t>
            </w:r>
          </w:p>
        </w:tc>
        <w:tc>
          <w:tcPr>
            <w:tcW w:w="1871" w:type="dxa"/>
          </w:tcPr>
          <w:p w:rsidR="00E44989" w:rsidRDefault="00E44989" w:rsidP="00E44989">
            <w:pPr>
              <w:pStyle w:val="BodyTextNoSpacing"/>
            </w:pPr>
            <w:r>
              <w:t>Anonymous</w:t>
            </w:r>
          </w:p>
        </w:tc>
        <w:tc>
          <w:tcPr>
            <w:tcW w:w="10431" w:type="dxa"/>
          </w:tcPr>
          <w:p w:rsidR="00E44989" w:rsidRDefault="00E44989" w:rsidP="00E44989">
            <w:pPr>
              <w:pStyle w:val="BodyTextNoSpacing"/>
            </w:pPr>
            <w:r>
              <w:t>No</w:t>
            </w:r>
          </w:p>
        </w:tc>
      </w:tr>
      <w:bookmarkEnd w:id="7"/>
    </w:tbl>
    <w:p w:rsidR="00CD1596" w:rsidRPr="00CD1596" w:rsidRDefault="00CD1596" w:rsidP="00CD1596"/>
    <w:sectPr w:rsidR="00CD1596" w:rsidRPr="00CD1596" w:rsidSect="00802E3D">
      <w:headerReference w:type="default" r:id="rId8"/>
      <w:footerReference w:type="default" r:id="rId9"/>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FB2" w:rsidRDefault="00886FB2" w:rsidP="00802E3D">
      <w:r>
        <w:separator/>
      </w:r>
    </w:p>
  </w:endnote>
  <w:endnote w:type="continuationSeparator" w:id="0">
    <w:p w:rsidR="00886FB2" w:rsidRDefault="00886FB2"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3D" w:rsidRDefault="002908F3" w:rsidP="00802E3D">
    <w:pPr>
      <w:pStyle w:val="Footer"/>
    </w:pPr>
    <w:r>
      <w:t>06 September 2016</w:t>
    </w:r>
    <w:r w:rsidR="00802E3D">
      <w:tab/>
      <w:t xml:space="preserve">Page </w:t>
    </w:r>
    <w:r w:rsidR="00802E3D">
      <w:fldChar w:fldCharType="begin"/>
    </w:r>
    <w:r w:rsidR="00802E3D">
      <w:instrText xml:space="preserve"> page </w:instrText>
    </w:r>
    <w:r w:rsidR="00802E3D">
      <w:fldChar w:fldCharType="separate"/>
    </w:r>
    <w:r w:rsidR="00D77488">
      <w:rPr>
        <w:noProof/>
      </w:rPr>
      <w:t>6</w:t>
    </w:r>
    <w:r w:rsidR="00802E3D">
      <w:fldChar w:fldCharType="end"/>
    </w:r>
    <w:r w:rsidR="00802E3D">
      <w:t xml:space="preserve"> of </w:t>
    </w:r>
    <w:r w:rsidR="00802E3D">
      <w:fldChar w:fldCharType="begin"/>
    </w:r>
    <w:r w:rsidR="00802E3D">
      <w:instrText xml:space="preserve"> numpages </w:instrText>
    </w:r>
    <w:r w:rsidR="00802E3D">
      <w:fldChar w:fldCharType="separate"/>
    </w:r>
    <w:r w:rsidR="00D77488">
      <w:rPr>
        <w:noProof/>
      </w:rPr>
      <w:t>6</w:t>
    </w:r>
    <w:r w:rsidR="00802E3D">
      <w:fldChar w:fldCharType="end"/>
    </w:r>
    <w:r w:rsidR="00802E3D">
      <w:tab/>
    </w:r>
    <w:r>
      <w:t>v0.1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FB2" w:rsidRDefault="00886FB2" w:rsidP="00802E3D">
      <w:r>
        <w:separator/>
      </w:r>
    </w:p>
  </w:footnote>
  <w:footnote w:type="continuationSeparator" w:id="0">
    <w:p w:rsidR="00886FB2" w:rsidRDefault="00886FB2"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E3D" w:rsidRDefault="00E44989">
    <w:pPr>
      <w:pStyle w:val="Header"/>
    </w:pPr>
    <w:r>
      <w:t xml:space="preserve">SPAA and </w:t>
    </w:r>
    <w:r w:rsidR="00E57453">
      <w:t>DCUSA Consultation</w:t>
    </w:r>
    <w:r w:rsidR="00802E3D">
      <w:tab/>
    </w:r>
    <w:r w:rsidR="00EB590D">
      <w:t xml:space="preserve">DCP </w:t>
    </w:r>
    <w:r w:rsidR="002908F3">
      <w:t>278</w:t>
    </w:r>
    <w:r>
      <w:t>-CPD 16/346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125386B"/>
    <w:multiLevelType w:val="hybridMultilevel"/>
    <w:tmpl w:val="51243DA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9"/>
  </w:num>
  <w:num w:numId="15">
    <w:abstractNumId w:val="10"/>
  </w:num>
  <w:num w:numId="16">
    <w:abstractNumId w:val="6"/>
  </w:num>
  <w:num w:numId="17">
    <w:abstractNumId w:val="10"/>
  </w:num>
  <w:num w:numId="18">
    <w:abstractNumId w:val="10"/>
  </w:num>
  <w:num w:numId="19">
    <w:abstractNumId w:val="9"/>
  </w:num>
  <w:num w:numId="20">
    <w:abstractNumId w:val="9"/>
  </w:num>
  <w:num w:numId="21">
    <w:abstractNumId w:val="9"/>
  </w:num>
  <w:num w:numId="22">
    <w:abstractNumId w:val="9"/>
  </w:num>
  <w:num w:numId="23">
    <w:abstractNumId w:val="6"/>
  </w:num>
  <w:num w:numId="24">
    <w:abstractNumId w:val="8"/>
  </w:num>
  <w:num w:numId="25">
    <w:abstractNumId w:val="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B2"/>
    <w:rsid w:val="00077D80"/>
    <w:rsid w:val="000D101E"/>
    <w:rsid w:val="001369E9"/>
    <w:rsid w:val="001E03C5"/>
    <w:rsid w:val="002908F3"/>
    <w:rsid w:val="00554409"/>
    <w:rsid w:val="00711B18"/>
    <w:rsid w:val="00713332"/>
    <w:rsid w:val="00802E3D"/>
    <w:rsid w:val="00812259"/>
    <w:rsid w:val="00884177"/>
    <w:rsid w:val="00886FB2"/>
    <w:rsid w:val="008F22A5"/>
    <w:rsid w:val="009A3EA3"/>
    <w:rsid w:val="009F1AFC"/>
    <w:rsid w:val="00A817E9"/>
    <w:rsid w:val="00B767ED"/>
    <w:rsid w:val="00C01797"/>
    <w:rsid w:val="00C92691"/>
    <w:rsid w:val="00CD1596"/>
    <w:rsid w:val="00D3542C"/>
    <w:rsid w:val="00D77488"/>
    <w:rsid w:val="00E44989"/>
    <w:rsid w:val="00E57453"/>
    <w:rsid w:val="00EB590D"/>
    <w:rsid w:val="00FC27A8"/>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D20FD-17E2-400F-BBE9-80CB3A28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78\Consultation\DCUSA%20Collated%20Respons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83DE9-3DE7-4B05-A6CC-6762DCE1B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Collated Responses Template</Template>
  <TotalTime>41</TotalTime>
  <Pages>6</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6</cp:revision>
  <cp:lastPrinted>2016-09-06T11:33:00Z</cp:lastPrinted>
  <dcterms:created xsi:type="dcterms:W3CDTF">2016-09-02T10:07:00Z</dcterms:created>
  <dcterms:modified xsi:type="dcterms:W3CDTF">2016-09-06T11:34:00Z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