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8821D4" w14:textId="16B550CA" w:rsidR="007C27D2" w:rsidRDefault="00F74284" w:rsidP="00BA343A">
      <w:pPr>
        <w:pStyle w:val="Heading"/>
        <w:pBdr>
          <w:top w:val="none" w:sz="0" w:space="0" w:color="auto"/>
          <w:left w:val="none" w:sz="0" w:space="0" w:color="auto"/>
          <w:bottom w:val="none" w:sz="0" w:space="0" w:color="auto"/>
          <w:right w:val="none" w:sz="0" w:space="0" w:color="auto"/>
          <w:bar w:val="none" w:sz="0" w:color="auto"/>
        </w:pBdr>
        <w:rPr>
          <w:lang w:val="en-GB"/>
        </w:rPr>
      </w:pPr>
      <w:r>
        <w:rPr>
          <w:lang w:val="en-GB"/>
        </w:rPr>
        <w:t xml:space="preserve">Analysis of the impact of </w:t>
      </w:r>
      <w:r w:rsidR="007C27D2" w:rsidRPr="00D44441">
        <w:rPr>
          <w:lang w:val="en-GB"/>
        </w:rPr>
        <w:t xml:space="preserve">DCP </w:t>
      </w:r>
      <w:r w:rsidR="00031160">
        <w:rPr>
          <w:lang w:val="en-GB"/>
        </w:rPr>
        <w:t>27</w:t>
      </w:r>
      <w:r>
        <w:rPr>
          <w:lang w:val="en-GB"/>
        </w:rPr>
        <w:t>0</w:t>
      </w:r>
    </w:p>
    <w:p w14:paraId="44E921F6" w14:textId="043B2549" w:rsidR="00587533" w:rsidRPr="00587533" w:rsidRDefault="00587533" w:rsidP="00587533">
      <w:pPr>
        <w:pStyle w:val="Byline"/>
        <w:numPr>
          <w:ilvl w:val="0"/>
          <w:numId w:val="10"/>
        </w:numPr>
      </w:pPr>
      <w:r>
        <w:rPr>
          <w:noProof/>
          <w:lang w:bidi="en-US"/>
        </w:rPr>
        <w:t>31</w:t>
      </w:r>
      <w:r>
        <w:rPr>
          <w:noProof/>
        </w:rPr>
        <w:t xml:space="preserve"> August 2016, Reckon LLP</w:t>
      </w:r>
      <w:bookmarkStart w:id="0" w:name="_GoBack"/>
      <w:bookmarkEnd w:id="0"/>
    </w:p>
    <w:p w14:paraId="61C4C010" w14:textId="6DBB731F" w:rsidR="00F74284" w:rsidRDefault="00F87336" w:rsidP="00971920">
      <w:pPr>
        <w:pStyle w:val="Text"/>
      </w:pPr>
      <w:r>
        <w:t>This document presents the results of our analysis of</w:t>
      </w:r>
      <w:r w:rsidR="00BA1867">
        <w:t xml:space="preserve"> </w:t>
      </w:r>
      <w:r w:rsidR="00F74284">
        <w:t xml:space="preserve">the impact of a modelling change to implement a specification issued by the DCP </w:t>
      </w:r>
      <w:r w:rsidR="00031160">
        <w:t>270</w:t>
      </w:r>
      <w:r w:rsidR="00F74284">
        <w:t xml:space="preserve"> working group in J</w:t>
      </w:r>
      <w:r w:rsidR="00031160">
        <w:t>uly</w:t>
      </w:r>
      <w:r w:rsidR="00F74284">
        <w:t xml:space="preserve"> 2016. </w:t>
      </w:r>
    </w:p>
    <w:p w14:paraId="21C8A339" w14:textId="11CBE1B8" w:rsidR="00941464" w:rsidRDefault="007C27D2" w:rsidP="00941464">
      <w:pPr>
        <w:pStyle w:val="Text"/>
      </w:pPr>
      <w:r>
        <w:t xml:space="preserve">The reference version is </w:t>
      </w:r>
      <w:r w:rsidR="00007C67">
        <w:t>the</w:t>
      </w:r>
      <w:r w:rsidR="00CC4E9C">
        <w:t xml:space="preserve"> </w:t>
      </w:r>
      <w:r w:rsidR="00007C67">
        <w:t xml:space="preserve">CDCM April 2017 pre-release </w:t>
      </w:r>
      <w:r w:rsidR="00CC4E9C">
        <w:t xml:space="preserve">model </w:t>
      </w:r>
      <w:r w:rsidR="00007C67">
        <w:t xml:space="preserve">published on the </w:t>
      </w:r>
      <w:r w:rsidR="00F74284">
        <w:t xml:space="preserve">DCUSA </w:t>
      </w:r>
      <w:r w:rsidR="00007C67">
        <w:t>website</w:t>
      </w:r>
      <w:r w:rsidR="00F74284">
        <w:t xml:space="preserve"> in November 2015 that </w:t>
      </w:r>
      <w:r w:rsidR="00CC4E9C">
        <w:t>includ</w:t>
      </w:r>
      <w:r w:rsidR="00F74284">
        <w:t>es</w:t>
      </w:r>
      <w:r w:rsidR="00CC4E9C">
        <w:t xml:space="preserve"> DCP </w:t>
      </w:r>
      <w:r w:rsidR="00F74284">
        <w:t>227</w:t>
      </w:r>
      <w:bookmarkStart w:id="1" w:name="_Toc260037360"/>
      <w:r w:rsidR="00F74284">
        <w:t>.</w:t>
      </w:r>
    </w:p>
    <w:p w14:paraId="7D5A655F" w14:textId="1D50EC7D" w:rsidR="00007C67" w:rsidRDefault="00007C67" w:rsidP="00007C67">
      <w:pPr>
        <w:pStyle w:val="Heading2"/>
      </w:pPr>
      <w:r>
        <w:t>Input data and assumptions</w:t>
      </w:r>
    </w:p>
    <w:p w14:paraId="448D36F3" w14:textId="13B52F1F" w:rsidR="00007C67" w:rsidRDefault="00205A14" w:rsidP="00941464">
      <w:pPr>
        <w:pStyle w:val="Text"/>
      </w:pPr>
      <w:r>
        <w:t xml:space="preserve">The CDCM input data for this impact assessment are based on data drawn from companies published 2017/2018 charging models. </w:t>
      </w:r>
    </w:p>
    <w:p w14:paraId="7CA9309E" w14:textId="1A693761" w:rsidR="00205A14" w:rsidRDefault="00205A14" w:rsidP="00990B89">
      <w:pPr>
        <w:pStyle w:val="Text"/>
      </w:pPr>
      <w:r>
        <w:t>We were asked to assess the impact of removing three CDCM tariffs (LV Medium, LV Sub Medium and HV Medium) as part of DCP 270. If this change were to be implemented, customers who are c</w:t>
      </w:r>
      <w:r w:rsidR="00014318">
        <w:t xml:space="preserve">urrently on these tariffs may </w:t>
      </w:r>
      <w:r>
        <w:t xml:space="preserve">be migrated to half hourly settled tariffs. </w:t>
      </w:r>
      <w:r w:rsidR="00014318">
        <w:t>We have assumed that</w:t>
      </w:r>
      <w:r>
        <w:t>:</w:t>
      </w:r>
    </w:p>
    <w:p w14:paraId="6D3BA2BE" w14:textId="77777777" w:rsidR="00205A14" w:rsidRDefault="00205A14" w:rsidP="00205A14">
      <w:pPr>
        <w:pStyle w:val="ListBullet"/>
      </w:pPr>
      <w:r>
        <w:t>Customers on the LV Medium tariff would be moved either to the LV Non-Domestic Non-CT tariff or the LV HH Metered tariff.</w:t>
      </w:r>
    </w:p>
    <w:p w14:paraId="36FD7123" w14:textId="77777777" w:rsidR="00205A14" w:rsidRDefault="00205A14" w:rsidP="00205A14">
      <w:pPr>
        <w:pStyle w:val="ListBullet"/>
      </w:pPr>
      <w:r>
        <w:t>Customers on the LV Sub Medium tariff would be moved to the LV Sub HH Metered tariff.</w:t>
      </w:r>
    </w:p>
    <w:p w14:paraId="2985AA25" w14:textId="77777777" w:rsidR="00205A14" w:rsidRDefault="00205A14" w:rsidP="00205A14">
      <w:pPr>
        <w:pStyle w:val="ListBullet"/>
      </w:pPr>
      <w:r>
        <w:t>Customers on the HV Medium tariff would be moved to the HV HH Metered tariff.</w:t>
      </w:r>
    </w:p>
    <w:p w14:paraId="16236376" w14:textId="3596137E" w:rsidR="00780453" w:rsidRDefault="00014318" w:rsidP="00205A14">
      <w:pPr>
        <w:pStyle w:val="Text"/>
      </w:pPr>
      <w:r>
        <w:t xml:space="preserve">The removal of the three NHH tariffs and the migration of customers to HH tariffs is likely to </w:t>
      </w:r>
      <w:r w:rsidR="00780453">
        <w:t xml:space="preserve">have a consequential impact on </w:t>
      </w:r>
      <w:r>
        <w:t>a number of CDCM input data items</w:t>
      </w:r>
      <w:r w:rsidR="00990B89">
        <w:t>, which in turn c</w:t>
      </w:r>
      <w:r w:rsidR="00780453">
        <w:t>ould affect the surviving tariffs</w:t>
      </w:r>
      <w:r>
        <w:t xml:space="preserve">. As part of this impact assessment, we have tried to </w:t>
      </w:r>
      <w:r w:rsidR="00780453">
        <w:t>take account of</w:t>
      </w:r>
      <w:r>
        <w:t xml:space="preserve"> </w:t>
      </w:r>
      <w:r w:rsidR="00780453">
        <w:t xml:space="preserve">these second order impacts by estimating how </w:t>
      </w:r>
      <w:r>
        <w:t>these</w:t>
      </w:r>
      <w:r w:rsidR="00780453">
        <w:t xml:space="preserve"> input data items would change.</w:t>
      </w:r>
      <w:r w:rsidR="00990B89">
        <w:t xml:space="preserve"> Our source data for these estimates come from published DNO models for 2017/2018.</w:t>
      </w:r>
    </w:p>
    <w:p w14:paraId="2E0F61AC" w14:textId="77777777" w:rsidR="00990B89" w:rsidRDefault="00990B89" w:rsidP="00205A14">
      <w:pPr>
        <w:pStyle w:val="Text"/>
      </w:pPr>
      <w:r>
        <w:t>Table 1053 of the CDCM contains forecasts of consumption volumes, capacities and reactive power aggregated for each tariff.</w:t>
      </w:r>
    </w:p>
    <w:p w14:paraId="2BD49132" w14:textId="5D2AFD62" w:rsidR="00990B89" w:rsidRDefault="00990B89" w:rsidP="00990B89">
      <w:pPr>
        <w:pStyle w:val="ListBullet"/>
      </w:pPr>
      <w:r>
        <w:t>We have assumed that the active power volumes for the LV Medium, LV Sub Medium and HV Medium tariffs would be moved to the relevant HH settled tariffs (as set out above). We have apportioned single and two-rate units to the red, amber and green time bands using the proportions set out in tables 1061 and 1062.</w:t>
      </w:r>
      <w:r w:rsidR="00955213">
        <w:t xml:space="preserve"> We </w:t>
      </w:r>
      <w:r w:rsidR="00093B10">
        <w:t xml:space="preserve">have </w:t>
      </w:r>
      <w:r w:rsidR="00955213">
        <w:t>split the volumes for the LV Medium customers between LV Non-Domestic Non-CT and LV HH Metered customers using the DNO estimates presented as part the DCP 179 Change Report.</w:t>
      </w:r>
    </w:p>
    <w:p w14:paraId="674EA0CC" w14:textId="7A823E1F" w:rsidR="00955213" w:rsidRDefault="00990B89" w:rsidP="00990B89">
      <w:pPr>
        <w:pStyle w:val="ListBullet"/>
      </w:pPr>
      <w:r>
        <w:t>We have estimated the impact of th</w:t>
      </w:r>
      <w:r w:rsidR="00F87336">
        <w:t>e</w:t>
      </w:r>
      <w:r>
        <w:t xml:space="preserve"> migration on forecast capacity using the ratio of aggregate maximum demand to aggregate capacity. For instance, we </w:t>
      </w:r>
      <w:r w:rsidR="00C4643D">
        <w:lastRenderedPageBreak/>
        <w:t>have</w:t>
      </w:r>
      <w:r>
        <w:t xml:space="preserve"> estimate</w:t>
      </w:r>
      <w:r w:rsidR="00C4643D">
        <w:t>d</w:t>
      </w:r>
      <w:r>
        <w:t xml:space="preserve"> the aggregate capacity associated with HV Medium customers by assuming that these customers would have the same ratio of aggregate maximum demand to aggregate capacity as the existing HV HH metered customers. </w:t>
      </w:r>
      <w:r w:rsidR="00014318">
        <w:t xml:space="preserve"> </w:t>
      </w:r>
      <w:r w:rsidR="00C4643D">
        <w:t>We have</w:t>
      </w:r>
      <w:r w:rsidR="00955213">
        <w:t xml:space="preserve"> added this estimated capacity to the existing aggregate capacity of the HV HH tariff customers.</w:t>
      </w:r>
    </w:p>
    <w:p w14:paraId="2E25E73D" w14:textId="2DDB6B2A" w:rsidR="00014318" w:rsidRDefault="00955213" w:rsidP="00990B89">
      <w:pPr>
        <w:pStyle w:val="ListBullet"/>
      </w:pPr>
      <w:r>
        <w:t xml:space="preserve">We </w:t>
      </w:r>
      <w:r w:rsidR="00C4643D">
        <w:t xml:space="preserve">have </w:t>
      </w:r>
      <w:r>
        <w:t xml:space="preserve">estimated the impact of this migration on reactive power volumes in a similar manner. For instance, we </w:t>
      </w:r>
      <w:r w:rsidR="00C4643D">
        <w:t xml:space="preserve">have </w:t>
      </w:r>
      <w:r>
        <w:t>assume</w:t>
      </w:r>
      <w:r w:rsidR="00C4643D">
        <w:t>d</w:t>
      </w:r>
      <w:r>
        <w:t xml:space="preserve"> that the ratio of active power to reactive power for the HV Medium customers would be the same as that for HV HH metered customers.</w:t>
      </w:r>
      <w:r w:rsidR="00014318">
        <w:t xml:space="preserve"> </w:t>
      </w:r>
    </w:p>
    <w:p w14:paraId="04BC0566" w14:textId="681CE9A0" w:rsidR="00955213" w:rsidRDefault="00955213" w:rsidP="00205A14">
      <w:pPr>
        <w:pStyle w:val="Text"/>
      </w:pPr>
      <w:r>
        <w:t xml:space="preserve">We </w:t>
      </w:r>
      <w:r w:rsidR="00C4643D">
        <w:t xml:space="preserve">have </w:t>
      </w:r>
      <w:r>
        <w:t xml:space="preserve">estimated new coincidence factors and load factors (table 1041) for the four HH settled tariffs into which customers are likely to be migrated to. Our estimates were derived from existing load factor and coincidence factor data in published DNO models for 2017/2018. There is some uncertainty in these estimates, </w:t>
      </w:r>
      <w:r w:rsidR="00F87336">
        <w:t>mainly due to difficulties in estimating t</w:t>
      </w:r>
      <w:r>
        <w:t xml:space="preserve">he impact of the migration on </w:t>
      </w:r>
      <w:r w:rsidR="00F87336">
        <w:t xml:space="preserve">maximum </w:t>
      </w:r>
      <w:r>
        <w:t xml:space="preserve">demand </w:t>
      </w:r>
      <w:r w:rsidR="00F87336">
        <w:t>of</w:t>
      </w:r>
      <w:r>
        <w:t xml:space="preserve"> the surviving tariffs. To resolve this, we produced two estimates</w:t>
      </w:r>
      <w:r w:rsidR="00F87336">
        <w:t xml:space="preserve"> for the maximum demand</w:t>
      </w:r>
      <w:r>
        <w:t>, representing an upper and l</w:t>
      </w:r>
      <w:r w:rsidR="00194CA6">
        <w:t xml:space="preserve">ower bound. Our subsequent analysis </w:t>
      </w:r>
      <w:r w:rsidR="00F87336">
        <w:t xml:space="preserve">revealed </w:t>
      </w:r>
      <w:r w:rsidR="00194CA6">
        <w:t>that the difference in the tariff impact between the upper or lower bound is insignificant.</w:t>
      </w:r>
      <w:r>
        <w:t xml:space="preserve"> </w:t>
      </w:r>
    </w:p>
    <w:p w14:paraId="028F6D05" w14:textId="23C195C2" w:rsidR="00007C67" w:rsidRDefault="00194CA6" w:rsidP="00194CA6">
      <w:pPr>
        <w:pStyle w:val="Heading2"/>
      </w:pPr>
      <w:r>
        <w:t>Approach to the impact assessment</w:t>
      </w:r>
    </w:p>
    <w:p w14:paraId="5184FB7A" w14:textId="7AE85FDC" w:rsidR="00194CA6" w:rsidRDefault="00194CA6" w:rsidP="00194CA6">
      <w:pPr>
        <w:pStyle w:val="Text"/>
      </w:pPr>
      <w:r>
        <w:t>Our impact assessment considers the impact of DCP 270 along two dimensions.</w:t>
      </w:r>
    </w:p>
    <w:p w14:paraId="6A4706C2" w14:textId="77777777" w:rsidR="00194CA6" w:rsidRDefault="00194CA6" w:rsidP="00194CA6">
      <w:pPr>
        <w:pStyle w:val="ListBullet"/>
      </w:pPr>
      <w:r>
        <w:t xml:space="preserve">We look at the impact </w:t>
      </w:r>
      <w:r w:rsidRPr="00194CA6">
        <w:rPr>
          <w:i/>
        </w:rPr>
        <w:t>on each tariff</w:t>
      </w:r>
      <w:r>
        <w:t xml:space="preserve"> of the removal of the three NHH tariffs and the migration of the relevant volumes to HH tariffs.</w:t>
      </w:r>
    </w:p>
    <w:p w14:paraId="0DEDFF2B" w14:textId="504313BA" w:rsidR="00194CA6" w:rsidRPr="00194CA6" w:rsidRDefault="00194CA6" w:rsidP="00194CA6">
      <w:pPr>
        <w:pStyle w:val="ListBullet"/>
      </w:pPr>
      <w:r>
        <w:t xml:space="preserve">We then </w:t>
      </w:r>
      <w:r w:rsidR="00522151">
        <w:t>considered</w:t>
      </w:r>
      <w:r>
        <w:t xml:space="preserve"> the </w:t>
      </w:r>
      <w:r w:rsidR="00522151">
        <w:t xml:space="preserve">potential </w:t>
      </w:r>
      <w:r>
        <w:t xml:space="preserve">impact of the change </w:t>
      </w:r>
      <w:r w:rsidRPr="00522151">
        <w:rPr>
          <w:i/>
        </w:rPr>
        <w:t>on customers that may be migrated from NHH tariffs to HH tariffs</w:t>
      </w:r>
      <w:r>
        <w:t xml:space="preserve"> as a consequence of this change. To help us do this, we constructed seven illustrative customers with particular consumption patterns. </w:t>
      </w:r>
    </w:p>
    <w:p w14:paraId="00C86850" w14:textId="49233062" w:rsidR="00B13281" w:rsidRDefault="00B13281" w:rsidP="00353561">
      <w:pPr>
        <w:pStyle w:val="Text"/>
      </w:pPr>
      <w:r>
        <w:t>The impact of the change on surviving tariffs small.</w:t>
      </w:r>
    </w:p>
    <w:p w14:paraId="0039D91C" w14:textId="4B61C4D1" w:rsidR="003E3C94" w:rsidRDefault="00194CA6" w:rsidP="00353561">
      <w:pPr>
        <w:pStyle w:val="Text"/>
      </w:pPr>
      <w:r>
        <w:t>The imp</w:t>
      </w:r>
      <w:r w:rsidR="00522151">
        <w:t xml:space="preserve">act </w:t>
      </w:r>
      <w:r w:rsidR="00F87336">
        <w:t xml:space="preserve">of moving from a NHH settled tariff to a HH settled tariff </w:t>
      </w:r>
      <w:r w:rsidR="00522151">
        <w:t>on individual customers can be</w:t>
      </w:r>
      <w:r>
        <w:t xml:space="preserve"> case-specific and depends on their consumption patterns. We have tried to illustrate </w:t>
      </w:r>
      <w:r w:rsidR="00E44266">
        <w:t>this</w:t>
      </w:r>
      <w:r w:rsidR="003E3C94">
        <w:t xml:space="preserve"> impact</w:t>
      </w:r>
      <w:r>
        <w:t xml:space="preserve"> by defining customers that cover a range of maximum demand and consumption patterns</w:t>
      </w:r>
      <w:r w:rsidR="00F87336">
        <w:t xml:space="preserve"> and calculating the impact of moving each of these from an NHH tariff to a HH settled one</w:t>
      </w:r>
      <w:r w:rsidR="00E44266">
        <w:t xml:space="preserve">. </w:t>
      </w:r>
      <w:r w:rsidR="00F87336">
        <w:t>We should point out that</w:t>
      </w:r>
      <w:r w:rsidR="00E44266">
        <w:t xml:space="preserve"> these illustrative customers are</w:t>
      </w:r>
      <w:r>
        <w:t xml:space="preserve"> not necessarily representative of actual</w:t>
      </w:r>
      <w:r w:rsidR="00F87336">
        <w:t xml:space="preserve"> customers who may be affected.</w:t>
      </w:r>
    </w:p>
    <w:p w14:paraId="445ABCC7" w14:textId="51817E94" w:rsidR="00C71537" w:rsidRDefault="00C71537" w:rsidP="00C71537">
      <w:pPr>
        <w:pStyle w:val="Text"/>
      </w:pPr>
      <w:r>
        <w:t xml:space="preserve">Table </w:t>
      </w:r>
      <w:r>
        <w:fldChar w:fldCharType="begin"/>
      </w:r>
      <w:r>
        <w:instrText xml:space="preserve"> =1+</w:instrText>
      </w:r>
      <w:r>
        <w:fldChar w:fldCharType="begin"/>
      </w:r>
      <w:r>
        <w:instrText xml:space="preserve"> SEQ \c Table \* ARABIC </w:instrText>
      </w:r>
      <w:r>
        <w:fldChar w:fldCharType="separate"/>
      </w:r>
      <w:r>
        <w:rPr>
          <w:noProof/>
        </w:rPr>
        <w:instrText>0</w:instrText>
      </w:r>
      <w:r>
        <w:fldChar w:fldCharType="end"/>
      </w:r>
      <w:r>
        <w:fldChar w:fldCharType="separate"/>
      </w:r>
      <w:r>
        <w:rPr>
          <w:noProof/>
        </w:rPr>
        <w:t>1</w:t>
      </w:r>
      <w:r>
        <w:fldChar w:fldCharType="end"/>
      </w:r>
      <w:r>
        <w:t xml:space="preserve"> sets out the assumed characteristics of the illustrative customers used in our analysis. Please see Appendix 1 for the further details about these illustrative customers.</w:t>
      </w:r>
    </w:p>
    <w:p w14:paraId="6808ECD1" w14:textId="2CDC11C7" w:rsidR="00C71537" w:rsidRDefault="00C71537" w:rsidP="00CD178F">
      <w:pPr>
        <w:pStyle w:val="Caption"/>
      </w:pPr>
      <w:r>
        <w:lastRenderedPageBreak/>
        <w:t xml:space="preserve">Table </w:t>
      </w:r>
      <w:r>
        <w:fldChar w:fldCharType="begin"/>
      </w:r>
      <w:r>
        <w:instrText xml:space="preserve"> SEQ Table \* ARABIC </w:instrText>
      </w:r>
      <w:r>
        <w:fldChar w:fldCharType="separate"/>
      </w:r>
      <w:r>
        <w:rPr>
          <w:noProof/>
        </w:rPr>
        <w:t>1</w:t>
      </w:r>
      <w:r>
        <w:fldChar w:fldCharType="end"/>
      </w:r>
      <w:r>
        <w:tab/>
        <w:t>Illustrative customers used in our analysis</w:t>
      </w:r>
    </w:p>
    <w:tbl>
      <w:tblPr>
        <w:tblStyle w:val="TableGrid"/>
        <w:tblW w:w="0" w:type="auto"/>
        <w:tblInd w:w="1080" w:type="dxa"/>
        <w:tblLook w:val="04A0" w:firstRow="1" w:lastRow="0" w:firstColumn="1" w:lastColumn="0" w:noHBand="0" w:noVBand="1"/>
      </w:tblPr>
      <w:tblGrid>
        <w:gridCol w:w="2289"/>
        <w:gridCol w:w="4536"/>
        <w:gridCol w:w="1275"/>
      </w:tblGrid>
      <w:tr w:rsidR="00C71537" w14:paraId="640006CE" w14:textId="77777777" w:rsidTr="00290283">
        <w:trPr>
          <w:tblHeader/>
        </w:trPr>
        <w:tc>
          <w:tcPr>
            <w:tcW w:w="2289" w:type="dxa"/>
          </w:tcPr>
          <w:p w14:paraId="3971F58D" w14:textId="10C20416" w:rsidR="00C71537" w:rsidRPr="003637AA" w:rsidRDefault="00C71537" w:rsidP="00CD178F">
            <w:pPr>
              <w:pStyle w:val="Table"/>
              <w:keepNext/>
              <w:keepLines/>
              <w:rPr>
                <w:b/>
              </w:rPr>
            </w:pPr>
          </w:p>
        </w:tc>
        <w:tc>
          <w:tcPr>
            <w:tcW w:w="4536" w:type="dxa"/>
          </w:tcPr>
          <w:p w14:paraId="0A3755A6" w14:textId="1F2D4045" w:rsidR="00C71537" w:rsidRPr="003637AA" w:rsidRDefault="00C71537" w:rsidP="00CD178F">
            <w:pPr>
              <w:pStyle w:val="Table"/>
              <w:keepNext/>
              <w:keepLines/>
              <w:jc w:val="center"/>
              <w:rPr>
                <w:b/>
              </w:rPr>
            </w:pPr>
            <w:r>
              <w:rPr>
                <w:b/>
              </w:rPr>
              <w:t>Consumption pattern</w:t>
            </w:r>
            <w:r w:rsidR="00C4643D">
              <w:rPr>
                <w:b/>
              </w:rPr>
              <w:t xml:space="preserve"> (UK</w:t>
            </w:r>
            <w:r w:rsidR="00093B10">
              <w:rPr>
                <w:b/>
              </w:rPr>
              <w:t xml:space="preserve"> clock time)</w:t>
            </w:r>
          </w:p>
        </w:tc>
        <w:tc>
          <w:tcPr>
            <w:tcW w:w="1275" w:type="dxa"/>
          </w:tcPr>
          <w:p w14:paraId="06BB8C3F" w14:textId="3034BE09" w:rsidR="00C71537" w:rsidRPr="003637AA" w:rsidRDefault="00C71537" w:rsidP="00CD178F">
            <w:pPr>
              <w:pStyle w:val="Table"/>
              <w:keepNext/>
              <w:keepLines/>
              <w:jc w:val="center"/>
              <w:rPr>
                <w:b/>
              </w:rPr>
            </w:pPr>
            <w:r>
              <w:rPr>
                <w:b/>
              </w:rPr>
              <w:t>Capacity</w:t>
            </w:r>
          </w:p>
        </w:tc>
      </w:tr>
      <w:tr w:rsidR="00C71537" w14:paraId="0E7A5AD2" w14:textId="77777777" w:rsidTr="00290283">
        <w:tc>
          <w:tcPr>
            <w:tcW w:w="2289" w:type="dxa"/>
            <w:vAlign w:val="center"/>
          </w:tcPr>
          <w:p w14:paraId="7011F655" w14:textId="52DFBCB6" w:rsidR="00C71537" w:rsidRPr="00732812" w:rsidRDefault="00C71537" w:rsidP="00CD178F">
            <w:pPr>
              <w:pStyle w:val="Table"/>
              <w:keepNext/>
              <w:keepLines/>
            </w:pPr>
            <w:r>
              <w:t>Illustrative customer 1</w:t>
            </w:r>
          </w:p>
        </w:tc>
        <w:tc>
          <w:tcPr>
            <w:tcW w:w="4536" w:type="dxa"/>
          </w:tcPr>
          <w:p w14:paraId="7C24117D" w14:textId="2030E41E" w:rsidR="006779E7" w:rsidRPr="00732812" w:rsidRDefault="006779E7" w:rsidP="00CD178F">
            <w:pPr>
              <w:pStyle w:val="Table"/>
              <w:keepNext/>
              <w:keepLines/>
              <w:jc w:val="center"/>
            </w:pPr>
            <w:r>
              <w:t>Continuous load</w:t>
            </w:r>
            <w:r w:rsidR="006F0AAC">
              <w:t xml:space="preserve"> of 48kW </w:t>
            </w:r>
            <w:r>
              <w:t>at all times</w:t>
            </w:r>
          </w:p>
        </w:tc>
        <w:tc>
          <w:tcPr>
            <w:tcW w:w="1275" w:type="dxa"/>
          </w:tcPr>
          <w:p w14:paraId="70A53F4D" w14:textId="6C31DC64" w:rsidR="00C71537" w:rsidRPr="006779E7" w:rsidRDefault="006779E7" w:rsidP="00CD178F">
            <w:pPr>
              <w:pStyle w:val="Table"/>
              <w:keepNext/>
              <w:keepLines/>
              <w:jc w:val="center"/>
            </w:pPr>
            <w:r w:rsidRPr="006779E7">
              <w:t>60kVA</w:t>
            </w:r>
          </w:p>
        </w:tc>
      </w:tr>
      <w:tr w:rsidR="00C71537" w14:paraId="11D9BA54" w14:textId="77777777" w:rsidTr="00290283">
        <w:tc>
          <w:tcPr>
            <w:tcW w:w="2289" w:type="dxa"/>
            <w:vAlign w:val="center"/>
          </w:tcPr>
          <w:p w14:paraId="06FAE8DC" w14:textId="29E05E5C" w:rsidR="00C71537" w:rsidRPr="00732812" w:rsidRDefault="006779E7" w:rsidP="00CD178F">
            <w:pPr>
              <w:pStyle w:val="Table"/>
              <w:keepNext/>
              <w:keepLines/>
            </w:pPr>
            <w:r>
              <w:t>Illustrative customer 2</w:t>
            </w:r>
          </w:p>
        </w:tc>
        <w:tc>
          <w:tcPr>
            <w:tcW w:w="4536" w:type="dxa"/>
          </w:tcPr>
          <w:p w14:paraId="0595C869" w14:textId="112ADC74" w:rsidR="006779E7" w:rsidRDefault="00B106E7" w:rsidP="00CD178F">
            <w:pPr>
              <w:pStyle w:val="Table"/>
              <w:keepNext/>
              <w:keepLines/>
              <w:jc w:val="center"/>
            </w:pPr>
            <w:r>
              <w:t>Continuous load of 48kW</w:t>
            </w:r>
            <w:r w:rsidR="006779E7">
              <w:t xml:space="preserve"> between 08:00-23:00 weekdays and weekends</w:t>
            </w:r>
          </w:p>
          <w:p w14:paraId="62C3E6BC" w14:textId="042F49CF" w:rsidR="006779E7" w:rsidRPr="00732812" w:rsidRDefault="00B106E7" w:rsidP="00CD178F">
            <w:pPr>
              <w:pStyle w:val="Table"/>
              <w:keepNext/>
              <w:keepLines/>
              <w:jc w:val="center"/>
            </w:pPr>
            <w:r>
              <w:t>Continuous load of 12kW</w:t>
            </w:r>
            <w:r w:rsidR="006779E7">
              <w:t xml:space="preserve"> at all other times</w:t>
            </w:r>
          </w:p>
        </w:tc>
        <w:tc>
          <w:tcPr>
            <w:tcW w:w="1275" w:type="dxa"/>
          </w:tcPr>
          <w:p w14:paraId="56FF0E70" w14:textId="1483529A" w:rsidR="00C71537" w:rsidRPr="006779E7" w:rsidRDefault="006779E7" w:rsidP="00CD178F">
            <w:pPr>
              <w:pStyle w:val="Table"/>
              <w:keepNext/>
              <w:keepLines/>
              <w:jc w:val="center"/>
            </w:pPr>
            <w:r w:rsidRPr="006779E7">
              <w:t>60kVA</w:t>
            </w:r>
          </w:p>
        </w:tc>
      </w:tr>
      <w:tr w:rsidR="00C71537" w14:paraId="43C733BE" w14:textId="77777777" w:rsidTr="00290283">
        <w:tc>
          <w:tcPr>
            <w:tcW w:w="2289" w:type="dxa"/>
            <w:vAlign w:val="center"/>
          </w:tcPr>
          <w:p w14:paraId="68CDE19C" w14:textId="606200D0" w:rsidR="00C71537" w:rsidRPr="00732812" w:rsidRDefault="006779E7" w:rsidP="00CD178F">
            <w:pPr>
              <w:pStyle w:val="Table"/>
              <w:keepNext/>
              <w:keepLines/>
            </w:pPr>
            <w:r>
              <w:t>Illustrative customer 3</w:t>
            </w:r>
          </w:p>
        </w:tc>
        <w:tc>
          <w:tcPr>
            <w:tcW w:w="4536" w:type="dxa"/>
          </w:tcPr>
          <w:p w14:paraId="3D55073F" w14:textId="49C68BD2" w:rsidR="00C71537" w:rsidRPr="00732812" w:rsidRDefault="00CD178F" w:rsidP="00CD178F">
            <w:pPr>
              <w:pStyle w:val="Table"/>
              <w:keepNext/>
              <w:keepLines/>
              <w:jc w:val="center"/>
            </w:pPr>
            <w:r>
              <w:t>Continuous load of</w:t>
            </w:r>
            <w:r w:rsidR="006779E7">
              <w:t xml:space="preserve"> </w:t>
            </w:r>
            <w:r w:rsidR="00B106E7">
              <w:t>24kW at all times</w:t>
            </w:r>
          </w:p>
        </w:tc>
        <w:tc>
          <w:tcPr>
            <w:tcW w:w="1275" w:type="dxa"/>
          </w:tcPr>
          <w:p w14:paraId="67C676C4" w14:textId="4D862FC1" w:rsidR="00C71537" w:rsidRPr="006779E7" w:rsidRDefault="006779E7" w:rsidP="00CD178F">
            <w:pPr>
              <w:pStyle w:val="Table"/>
              <w:keepNext/>
              <w:keepLines/>
              <w:jc w:val="center"/>
            </w:pPr>
            <w:r w:rsidRPr="006779E7">
              <w:t>60kVA</w:t>
            </w:r>
          </w:p>
        </w:tc>
      </w:tr>
      <w:tr w:rsidR="00C71537" w14:paraId="25721956" w14:textId="77777777" w:rsidTr="00290283">
        <w:tc>
          <w:tcPr>
            <w:tcW w:w="2289" w:type="dxa"/>
            <w:vAlign w:val="center"/>
          </w:tcPr>
          <w:p w14:paraId="4C57BCBB" w14:textId="2A6240B8" w:rsidR="00C71537" w:rsidRPr="00732812" w:rsidRDefault="006779E7" w:rsidP="00CD178F">
            <w:pPr>
              <w:pStyle w:val="Table"/>
              <w:keepNext/>
              <w:keepLines/>
              <w:rPr>
                <w:bCs/>
                <w:color w:val="000000"/>
                <w:szCs w:val="22"/>
              </w:rPr>
            </w:pPr>
            <w:r>
              <w:t>Illustrative customer 4</w:t>
            </w:r>
          </w:p>
        </w:tc>
        <w:tc>
          <w:tcPr>
            <w:tcW w:w="4536" w:type="dxa"/>
          </w:tcPr>
          <w:p w14:paraId="20A1A365" w14:textId="18D5EEDA" w:rsidR="006779E7" w:rsidRDefault="00B106E7" w:rsidP="00CD178F">
            <w:pPr>
              <w:pStyle w:val="Table"/>
              <w:keepNext/>
              <w:keepLines/>
              <w:jc w:val="center"/>
            </w:pPr>
            <w:r>
              <w:t xml:space="preserve">Continuous load of 48kW </w:t>
            </w:r>
            <w:r w:rsidR="006779E7">
              <w:t>between 08:00-18:00 weekdays only</w:t>
            </w:r>
          </w:p>
          <w:p w14:paraId="5CF02BC5" w14:textId="797BC7D3" w:rsidR="00C71537" w:rsidRPr="00A81E35" w:rsidRDefault="00B106E7" w:rsidP="00CD178F">
            <w:pPr>
              <w:pStyle w:val="Table"/>
              <w:keepNext/>
              <w:keepLines/>
              <w:jc w:val="center"/>
            </w:pPr>
            <w:r>
              <w:t xml:space="preserve">Continuous load of 12kW </w:t>
            </w:r>
            <w:r w:rsidR="006779E7">
              <w:t>at all other times</w:t>
            </w:r>
          </w:p>
        </w:tc>
        <w:tc>
          <w:tcPr>
            <w:tcW w:w="1275" w:type="dxa"/>
          </w:tcPr>
          <w:p w14:paraId="04CC1C9B" w14:textId="5C54BFC9" w:rsidR="00C71537" w:rsidRPr="006779E7" w:rsidRDefault="006779E7" w:rsidP="00CD178F">
            <w:pPr>
              <w:pStyle w:val="Table"/>
              <w:keepNext/>
              <w:keepLines/>
              <w:jc w:val="center"/>
            </w:pPr>
            <w:r w:rsidRPr="006779E7">
              <w:t>60kVA</w:t>
            </w:r>
          </w:p>
        </w:tc>
      </w:tr>
      <w:tr w:rsidR="00C71537" w14:paraId="694D0D39" w14:textId="77777777" w:rsidTr="00290283">
        <w:tc>
          <w:tcPr>
            <w:tcW w:w="2289" w:type="dxa"/>
            <w:vAlign w:val="center"/>
          </w:tcPr>
          <w:p w14:paraId="550E48B1" w14:textId="4F4817ED" w:rsidR="00C71537" w:rsidRPr="00732812" w:rsidRDefault="006779E7" w:rsidP="00CD178F">
            <w:pPr>
              <w:pStyle w:val="Table"/>
              <w:keepNext/>
              <w:keepLines/>
              <w:rPr>
                <w:bCs/>
                <w:color w:val="000000"/>
                <w:szCs w:val="22"/>
              </w:rPr>
            </w:pPr>
            <w:r>
              <w:t>Illustrative customer 5</w:t>
            </w:r>
          </w:p>
        </w:tc>
        <w:tc>
          <w:tcPr>
            <w:tcW w:w="4536" w:type="dxa"/>
          </w:tcPr>
          <w:p w14:paraId="0C75F0AB" w14:textId="5F9C3F3D" w:rsidR="006779E7" w:rsidRDefault="00B106E7" w:rsidP="00CD178F">
            <w:pPr>
              <w:pStyle w:val="Table"/>
              <w:keepNext/>
              <w:keepLines/>
              <w:jc w:val="center"/>
            </w:pPr>
            <w:r>
              <w:t xml:space="preserve">Continuous load of 48kW </w:t>
            </w:r>
            <w:r w:rsidR="006779E7">
              <w:t>between 00:00-07:00 weekdays and weekends</w:t>
            </w:r>
          </w:p>
          <w:p w14:paraId="200799E6" w14:textId="751BF833" w:rsidR="00C71537" w:rsidRPr="00A81E35" w:rsidRDefault="00CD178F" w:rsidP="00CD178F">
            <w:pPr>
              <w:pStyle w:val="Table"/>
              <w:keepNext/>
              <w:keepLines/>
              <w:jc w:val="center"/>
            </w:pPr>
            <w:r>
              <w:t>Continuous load of 12kW</w:t>
            </w:r>
            <w:r w:rsidR="006779E7">
              <w:t xml:space="preserve"> at all other times</w:t>
            </w:r>
          </w:p>
        </w:tc>
        <w:tc>
          <w:tcPr>
            <w:tcW w:w="1275" w:type="dxa"/>
          </w:tcPr>
          <w:p w14:paraId="5EA7E019" w14:textId="21A841E2" w:rsidR="00C71537" w:rsidRPr="006779E7" w:rsidRDefault="006779E7" w:rsidP="00CD178F">
            <w:pPr>
              <w:pStyle w:val="Table"/>
              <w:keepNext/>
              <w:keepLines/>
              <w:jc w:val="center"/>
            </w:pPr>
            <w:r w:rsidRPr="006779E7">
              <w:t>60kVA</w:t>
            </w:r>
          </w:p>
        </w:tc>
      </w:tr>
      <w:tr w:rsidR="00C71537" w14:paraId="469EF121" w14:textId="77777777" w:rsidTr="00290283">
        <w:tc>
          <w:tcPr>
            <w:tcW w:w="2289" w:type="dxa"/>
            <w:vAlign w:val="center"/>
          </w:tcPr>
          <w:p w14:paraId="128E996A" w14:textId="1160177E" w:rsidR="00C71537" w:rsidRPr="00732812" w:rsidRDefault="006779E7" w:rsidP="00CD178F">
            <w:pPr>
              <w:pStyle w:val="Table"/>
              <w:keepNext/>
              <w:keepLines/>
              <w:rPr>
                <w:bCs/>
                <w:color w:val="000000"/>
                <w:szCs w:val="22"/>
              </w:rPr>
            </w:pPr>
            <w:r>
              <w:t>Illustrative customer 6</w:t>
            </w:r>
          </w:p>
        </w:tc>
        <w:tc>
          <w:tcPr>
            <w:tcW w:w="4536" w:type="dxa"/>
          </w:tcPr>
          <w:p w14:paraId="61363587" w14:textId="3A1FC97F" w:rsidR="00C71537" w:rsidRDefault="00B106E7" w:rsidP="00CD178F">
            <w:pPr>
              <w:pStyle w:val="Table"/>
              <w:keepNext/>
              <w:keepLines/>
              <w:jc w:val="center"/>
            </w:pPr>
            <w:r>
              <w:t xml:space="preserve">Continuous load of 6kW </w:t>
            </w:r>
            <w:r w:rsidR="006779E7">
              <w:t>between 08:00-20:00 weekdays and weekends</w:t>
            </w:r>
          </w:p>
          <w:p w14:paraId="03A0370D" w14:textId="3D2449E1" w:rsidR="006779E7" w:rsidRPr="00A81E35" w:rsidRDefault="00B106E7" w:rsidP="00CD178F">
            <w:pPr>
              <w:pStyle w:val="Table"/>
              <w:keepNext/>
              <w:keepLines/>
              <w:jc w:val="center"/>
            </w:pPr>
            <w:r>
              <w:t>Continuous load of 3kW</w:t>
            </w:r>
            <w:r w:rsidR="006779E7">
              <w:t xml:space="preserve"> at all other times</w:t>
            </w:r>
          </w:p>
        </w:tc>
        <w:tc>
          <w:tcPr>
            <w:tcW w:w="1275" w:type="dxa"/>
          </w:tcPr>
          <w:p w14:paraId="346CA266" w14:textId="51D8ABAE" w:rsidR="00C71537" w:rsidRPr="006779E7" w:rsidRDefault="006779E7" w:rsidP="00CD178F">
            <w:pPr>
              <w:pStyle w:val="Table"/>
              <w:keepNext/>
              <w:keepLines/>
              <w:jc w:val="center"/>
            </w:pPr>
            <w:r>
              <w:t>9kVA</w:t>
            </w:r>
          </w:p>
        </w:tc>
      </w:tr>
      <w:tr w:rsidR="00C71537" w14:paraId="6698AE5F" w14:textId="77777777" w:rsidTr="00290283">
        <w:tc>
          <w:tcPr>
            <w:tcW w:w="2289" w:type="dxa"/>
            <w:vAlign w:val="center"/>
          </w:tcPr>
          <w:p w14:paraId="33768F1A" w14:textId="6233E7DE" w:rsidR="00C71537" w:rsidRPr="00732812" w:rsidRDefault="006779E7" w:rsidP="00CD178F">
            <w:pPr>
              <w:pStyle w:val="Table"/>
              <w:keepNext/>
              <w:keepLines/>
              <w:rPr>
                <w:bCs/>
                <w:color w:val="000000"/>
                <w:szCs w:val="22"/>
              </w:rPr>
            </w:pPr>
            <w:r>
              <w:t>Illustrative customer 7</w:t>
            </w:r>
          </w:p>
        </w:tc>
        <w:tc>
          <w:tcPr>
            <w:tcW w:w="4536" w:type="dxa"/>
          </w:tcPr>
          <w:p w14:paraId="1525DB1C" w14:textId="1B813C18" w:rsidR="00C71537" w:rsidRDefault="00B106E7" w:rsidP="00CD178F">
            <w:pPr>
              <w:pStyle w:val="Table"/>
              <w:keepNext/>
              <w:keepLines/>
              <w:jc w:val="center"/>
            </w:pPr>
            <w:r>
              <w:t xml:space="preserve">Continuous load of 6kW </w:t>
            </w:r>
            <w:r w:rsidR="006779E7">
              <w:t>between 09:00-18:00 weekdays</w:t>
            </w:r>
          </w:p>
          <w:p w14:paraId="665CABFD" w14:textId="26FB3C06" w:rsidR="006779E7" w:rsidRPr="00A81E35" w:rsidRDefault="006779E7" w:rsidP="00CD178F">
            <w:pPr>
              <w:pStyle w:val="Table"/>
              <w:keepNext/>
              <w:keepLines/>
              <w:jc w:val="center"/>
            </w:pPr>
            <w:r>
              <w:t>No consumption at other times</w:t>
            </w:r>
          </w:p>
        </w:tc>
        <w:tc>
          <w:tcPr>
            <w:tcW w:w="1275" w:type="dxa"/>
          </w:tcPr>
          <w:p w14:paraId="0C3EF70F" w14:textId="055ABB83" w:rsidR="00C71537" w:rsidRPr="006779E7" w:rsidRDefault="006779E7" w:rsidP="00CD178F">
            <w:pPr>
              <w:pStyle w:val="Table"/>
              <w:keepNext/>
              <w:keepLines/>
              <w:jc w:val="center"/>
            </w:pPr>
            <w:r>
              <w:t>9kVA</w:t>
            </w:r>
          </w:p>
        </w:tc>
      </w:tr>
    </w:tbl>
    <w:p w14:paraId="04CB99D9" w14:textId="77777777" w:rsidR="00C71537" w:rsidRDefault="00C71537" w:rsidP="00522151">
      <w:pPr>
        <w:pStyle w:val="Heading2"/>
      </w:pPr>
    </w:p>
    <w:p w14:paraId="37306591" w14:textId="60D5CAA2" w:rsidR="003E3C94" w:rsidRDefault="00522151" w:rsidP="00522151">
      <w:pPr>
        <w:pStyle w:val="Heading2"/>
      </w:pPr>
      <w:r>
        <w:t>Results of our analysis</w:t>
      </w:r>
    </w:p>
    <w:p w14:paraId="367A690B" w14:textId="0C541700" w:rsidR="00522151" w:rsidRDefault="00522151" w:rsidP="00941464">
      <w:pPr>
        <w:pStyle w:val="Text"/>
      </w:pPr>
      <w:r>
        <w:t>We present the results of our analysis in two ways:</w:t>
      </w:r>
    </w:p>
    <w:p w14:paraId="1D6CD260" w14:textId="77777777" w:rsidR="00522151" w:rsidRDefault="00522151" w:rsidP="00522151">
      <w:pPr>
        <w:pStyle w:val="ListBullet"/>
      </w:pPr>
      <w:r>
        <w:t>The files in Appendix 2 sets out the impact of DCP 270 on individual tariffs. This covers the impact on tariff components (unit rates, fixed charges, capacity charges etc).</w:t>
      </w:r>
    </w:p>
    <w:p w14:paraId="11031EAA" w14:textId="706895C2" w:rsidR="00522151" w:rsidRDefault="00522151" w:rsidP="00522151">
      <w:pPr>
        <w:pStyle w:val="ListBullet"/>
      </w:pPr>
      <w:r>
        <w:t>The files in Appendix 3 sets out the impact of DCP 270 on illustrative customers. This is presented as a set of charts and table</w:t>
      </w:r>
      <w:r w:rsidR="00593A3D">
        <w:t>s, and shows the impact of moving these illustrative customers from a NHH settled tariff to a HH settled tariff.</w:t>
      </w:r>
      <w:r>
        <w:t xml:space="preserve"> </w:t>
      </w:r>
    </w:p>
    <w:p w14:paraId="62B11AAF" w14:textId="1C06F497" w:rsidR="00CB4649" w:rsidRDefault="00CB4649" w:rsidP="00941464">
      <w:pPr>
        <w:pStyle w:val="Text"/>
      </w:pPr>
      <w:r w:rsidRPr="00CF669C">
        <w:t>The impact of DCP 270 on individual tariff elements is small.</w:t>
      </w:r>
      <w:r>
        <w:t xml:space="preserve"> There is no change in tariffs in a number of DNO areas, and a small (less than 1 per cent) change in others.</w:t>
      </w:r>
      <w:r w:rsidR="00935BD0">
        <w:t xml:space="preserve"> Further details are available in Appendix 2.</w:t>
      </w:r>
    </w:p>
    <w:p w14:paraId="0D43D605" w14:textId="0C21B985" w:rsidR="00025F34" w:rsidRDefault="00935BD0" w:rsidP="001D6895">
      <w:pPr>
        <w:pStyle w:val="Text"/>
      </w:pPr>
      <w:r w:rsidRPr="00CF669C">
        <w:t>T</w:t>
      </w:r>
      <w:r w:rsidR="00E44266" w:rsidRPr="00CF669C">
        <w:t xml:space="preserve">he impact on the illustrative customers of migrating to HH tariffs </w:t>
      </w:r>
      <w:r w:rsidR="00CB4649" w:rsidRPr="00CF669C">
        <w:t>is large.</w:t>
      </w:r>
      <w:r w:rsidR="00CB4649">
        <w:t xml:space="preserve"> </w:t>
      </w:r>
      <w:r>
        <w:t xml:space="preserve">Although these illustrative customers are </w:t>
      </w:r>
      <w:r w:rsidR="00E9634C">
        <w:t>not designed</w:t>
      </w:r>
      <w:r>
        <w:t xml:space="preserve"> to be representative, our analysis points to a risk that in practice, </w:t>
      </w:r>
      <w:r w:rsidR="00E9634C">
        <w:t>some customers could</w:t>
      </w:r>
      <w:r>
        <w:t xml:space="preserve"> see a significant increase to their charges as a result of the removal of the three NHH settled tariffs.</w:t>
      </w:r>
      <w:r w:rsidR="00025F34">
        <w:t xml:space="preserve"> </w:t>
      </w:r>
      <w:r w:rsidR="00E44266">
        <w:t xml:space="preserve">Whilst significant </w:t>
      </w:r>
      <w:r w:rsidR="00E44266">
        <w:lastRenderedPageBreak/>
        <w:t xml:space="preserve">increases are observed in all DNO areas, the largest increases are in the three UKPN areas (LPN in particular), WPD East </w:t>
      </w:r>
      <w:r w:rsidR="003B5825">
        <w:t>Midlands and</w:t>
      </w:r>
      <w:r w:rsidR="00E44266">
        <w:t xml:space="preserve"> West Midlands</w:t>
      </w:r>
      <w:r w:rsidR="003B5825">
        <w:t>,</w:t>
      </w:r>
      <w:r w:rsidR="00E44266">
        <w:t xml:space="preserve"> and SPEN SPD.</w:t>
      </w:r>
    </w:p>
    <w:bookmarkEnd w:id="1"/>
    <w:sectPr w:rsidR="00025F34" w:rsidSect="00964778">
      <w:footerReference w:type="default" r:id="rId8"/>
      <w:pgSz w:w="11900" w:h="16840"/>
      <w:pgMar w:top="1800" w:right="1440" w:bottom="1440" w:left="1440" w:header="1080" w:footer="83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41E902" w14:textId="77777777" w:rsidR="00990B89" w:rsidRDefault="00990B89" w:rsidP="00964778">
      <w:pPr>
        <w:spacing w:after="0"/>
      </w:pPr>
      <w:r>
        <w:separator/>
      </w:r>
    </w:p>
  </w:endnote>
  <w:endnote w:type="continuationSeparator" w:id="0">
    <w:p w14:paraId="20D8E2BE" w14:textId="77777777" w:rsidR="00990B89" w:rsidRDefault="00990B89" w:rsidP="0096477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4D"/>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DFE Meta-Normal Roman">
    <w:altName w:val="Century Gothic"/>
    <w:charset w:val="00"/>
    <w:family w:val="swiss"/>
    <w:pitch w:val="variable"/>
    <w:sig w:usb0="8000002F" w:usb1="40000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BDD1A" w14:textId="52E46ED3" w:rsidR="00990B89" w:rsidRDefault="00990B89">
    <w:pPr>
      <w:pStyle w:val="Footer"/>
    </w:pPr>
    <w:r w:rsidRPr="008021FC">
      <w:tab/>
    </w:r>
    <w:r>
      <w:fldChar w:fldCharType="begin"/>
    </w:r>
    <w:r>
      <w:instrText xml:space="preserve"> PAGE  \* MERGEFORMAT </w:instrText>
    </w:r>
    <w:r>
      <w:fldChar w:fldCharType="separate"/>
    </w:r>
    <w:r w:rsidR="00587533">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B743C0" w14:textId="77777777" w:rsidR="00990B89" w:rsidRDefault="00990B89" w:rsidP="00964778">
      <w:pPr>
        <w:spacing w:after="0"/>
      </w:pPr>
      <w:r>
        <w:separator/>
      </w:r>
    </w:p>
  </w:footnote>
  <w:footnote w:type="continuationSeparator" w:id="0">
    <w:p w14:paraId="2D760DAF" w14:textId="77777777" w:rsidR="00990B89" w:rsidRDefault="00990B89" w:rsidP="0096477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A9248A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8C23F8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F78F57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DC65E76"/>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4F01F4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FC0A9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BC01F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D06C5178"/>
    <w:lvl w:ilvl="0">
      <w:start w:val="1"/>
      <w:numFmt w:val="decimal"/>
      <w:lvlText w:val="%1."/>
      <w:lvlJc w:val="left"/>
      <w:pPr>
        <w:tabs>
          <w:tab w:val="num" w:pos="360"/>
        </w:tabs>
        <w:ind w:left="360" w:hanging="360"/>
      </w:pPr>
      <w:rPr>
        <w:rFonts w:cs="Times New Roman"/>
      </w:rPr>
    </w:lvl>
  </w:abstractNum>
  <w:abstractNum w:abstractNumId="8" w15:restartNumberingAfterBreak="0">
    <w:nsid w:val="FFFFFF89"/>
    <w:multiLevelType w:val="singleLevel"/>
    <w:tmpl w:val="A412BD9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51E0634"/>
    <w:multiLevelType w:val="multilevel"/>
    <w:tmpl w:val="548E4A2C"/>
    <w:lvl w:ilvl="0">
      <w:start w:val="1"/>
      <w:numFmt w:val="none"/>
      <w:suff w:val="nothing"/>
      <w:lvlText w:val=""/>
      <w:lvlJc w:val="left"/>
      <w:rPr>
        <w:rFonts w:cs="Times New Roman" w:hint="default"/>
      </w:rPr>
    </w:lvl>
    <w:lvl w:ilvl="1">
      <w:start w:val="1"/>
      <w:numFmt w:val="decimal"/>
      <w:lvlRestart w:val="0"/>
      <w:lvlText w:val="%2."/>
      <w:lvlJc w:val="left"/>
      <w:pPr>
        <w:tabs>
          <w:tab w:val="num" w:pos="720"/>
        </w:tabs>
        <w:ind w:left="720" w:hanging="720"/>
      </w:pPr>
      <w:rPr>
        <w:rFonts w:cs="Times New Roman" w:hint="default"/>
      </w:rPr>
    </w:lvl>
    <w:lvl w:ilvl="2">
      <w:start w:val="1"/>
      <w:numFmt w:val="lowerLetter"/>
      <w:lvlText w:val="(%3)"/>
      <w:lvlJc w:val="left"/>
      <w:pPr>
        <w:tabs>
          <w:tab w:val="num" w:pos="1195"/>
        </w:tabs>
        <w:ind w:left="1195" w:hanging="475"/>
      </w:pPr>
      <w:rPr>
        <w:rFonts w:cs="Times New Roman" w:hint="default"/>
      </w:rPr>
    </w:lvl>
    <w:lvl w:ilvl="3">
      <w:start w:val="1"/>
      <w:numFmt w:val="lowerRoman"/>
      <w:lvlText w:val="(%4)"/>
      <w:lvlJc w:val="left"/>
      <w:pPr>
        <w:tabs>
          <w:tab w:val="num" w:pos="1685"/>
        </w:tabs>
        <w:ind w:left="1685" w:hanging="490"/>
      </w:pPr>
      <w:rPr>
        <w:rFonts w:cs="Times New Roman"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abstractNum w:abstractNumId="10" w15:restartNumberingAfterBreak="0">
    <w:nsid w:val="0E1602E8"/>
    <w:multiLevelType w:val="multilevel"/>
    <w:tmpl w:val="97F40312"/>
    <w:lvl w:ilvl="0">
      <w:numFmt w:val="none"/>
      <w:lvlText w:val=""/>
      <w:lvlJc w:val="left"/>
      <w:pPr>
        <w:tabs>
          <w:tab w:val="num" w:pos="360"/>
        </w:tabs>
      </w:pPr>
      <w:rPr>
        <w:rFonts w:cs="Times New Roman"/>
      </w:rPr>
    </w:lvl>
    <w:lvl w:ilvl="1">
      <w:start w:val="1"/>
      <w:numFmt w:val="decimal"/>
      <w:pStyle w:val="T2"/>
      <w:lvlText w:val="%2."/>
      <w:lvlJc w:val="left"/>
      <w:rPr>
        <w:rFonts w:cs="Times New Roman"/>
        <w:position w:val="0"/>
      </w:rPr>
    </w:lvl>
    <w:lvl w:ilvl="2">
      <w:start w:val="1"/>
      <w:numFmt w:val="lowerLetter"/>
      <w:lvlText w:val="(%3)"/>
      <w:lvlJc w:val="left"/>
      <w:rPr>
        <w:rFonts w:cs="Times New Roman"/>
        <w:position w:val="0"/>
      </w:rPr>
    </w:lvl>
    <w:lvl w:ilvl="3">
      <w:start w:val="1"/>
      <w:numFmt w:val="lowerRoman"/>
      <w:lvlText w:val="(%4)"/>
      <w:lvlJc w:val="left"/>
      <w:rPr>
        <w:rFonts w:cs="Times New Roman"/>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11" w15:restartNumberingAfterBreak="0">
    <w:nsid w:val="18E12C36"/>
    <w:multiLevelType w:val="multilevel"/>
    <w:tmpl w:val="548E4A2C"/>
    <w:lvl w:ilvl="0">
      <w:start w:val="1"/>
      <w:numFmt w:val="none"/>
      <w:pStyle w:val="Heading1"/>
      <w:suff w:val="nothing"/>
      <w:lvlText w:val=""/>
      <w:lvlJc w:val="left"/>
      <w:rPr>
        <w:rFonts w:cs="Times New Roman" w:hint="default"/>
      </w:rPr>
    </w:lvl>
    <w:lvl w:ilvl="1">
      <w:start w:val="1"/>
      <w:numFmt w:val="decimal"/>
      <w:lvlRestart w:val="0"/>
      <w:pStyle w:val="Text"/>
      <w:lvlText w:val="%2."/>
      <w:lvlJc w:val="left"/>
      <w:pPr>
        <w:tabs>
          <w:tab w:val="num" w:pos="720"/>
        </w:tabs>
        <w:ind w:left="720" w:hanging="720"/>
      </w:pPr>
      <w:rPr>
        <w:rFonts w:cs="Times New Roman" w:hint="default"/>
      </w:rPr>
    </w:lvl>
    <w:lvl w:ilvl="2">
      <w:start w:val="1"/>
      <w:numFmt w:val="lowerLetter"/>
      <w:pStyle w:val="ListBullet"/>
      <w:lvlText w:val="(%3)"/>
      <w:lvlJc w:val="left"/>
      <w:pPr>
        <w:tabs>
          <w:tab w:val="num" w:pos="1195"/>
        </w:tabs>
        <w:ind w:left="1195" w:hanging="475"/>
      </w:pPr>
      <w:rPr>
        <w:rFonts w:cs="Times New Roman" w:hint="default"/>
      </w:rPr>
    </w:lvl>
    <w:lvl w:ilvl="3">
      <w:start w:val="1"/>
      <w:numFmt w:val="lowerRoman"/>
      <w:pStyle w:val="ListBullet2"/>
      <w:lvlText w:val="(%4)"/>
      <w:lvlJc w:val="left"/>
      <w:pPr>
        <w:tabs>
          <w:tab w:val="num" w:pos="1685"/>
        </w:tabs>
        <w:ind w:left="1685" w:hanging="490"/>
      </w:pPr>
      <w:rPr>
        <w:rFonts w:cs="Times New Roman"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abstractNum w:abstractNumId="12" w15:restartNumberingAfterBreak="0">
    <w:nsid w:val="1FB87DBC"/>
    <w:multiLevelType w:val="multilevel"/>
    <w:tmpl w:val="9CB42DB0"/>
    <w:lvl w:ilvl="0">
      <w:start w:val="1"/>
      <w:numFmt w:val="none"/>
      <w:suff w:val="nothing"/>
      <w:lvlText w:val=""/>
      <w:lvlJc w:val="left"/>
      <w:rPr>
        <w:rFonts w:cs="Times New Roman" w:hint="default"/>
      </w:rPr>
    </w:lvl>
    <w:lvl w:ilvl="1">
      <w:start w:val="1"/>
      <w:numFmt w:val="decimal"/>
      <w:lvlRestart w:val="0"/>
      <w:lvlText w:val="%2."/>
      <w:lvlJc w:val="left"/>
      <w:pPr>
        <w:tabs>
          <w:tab w:val="num" w:pos="720"/>
        </w:tabs>
        <w:ind w:left="720" w:hanging="720"/>
      </w:pPr>
      <w:rPr>
        <w:rFonts w:cs="Times New Roman" w:hint="default"/>
      </w:rPr>
    </w:lvl>
    <w:lvl w:ilvl="2">
      <w:start w:val="1"/>
      <w:numFmt w:val="lowerLetter"/>
      <w:lvlText w:val="(%3)"/>
      <w:lvlJc w:val="left"/>
      <w:pPr>
        <w:tabs>
          <w:tab w:val="num" w:pos="1195"/>
        </w:tabs>
        <w:ind w:left="1195" w:hanging="475"/>
      </w:pPr>
      <w:rPr>
        <w:rFonts w:cs="Times New Roman" w:hint="default"/>
      </w:rPr>
    </w:lvl>
    <w:lvl w:ilvl="3">
      <w:start w:val="1"/>
      <w:numFmt w:val="lowerRoman"/>
      <w:lvlText w:val="(%4)"/>
      <w:lvlJc w:val="left"/>
      <w:pPr>
        <w:tabs>
          <w:tab w:val="num" w:pos="1685"/>
        </w:tabs>
        <w:ind w:left="1685" w:hanging="490"/>
      </w:pPr>
      <w:rPr>
        <w:rFonts w:cs="Times New Roman"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abstractNum w:abstractNumId="13" w15:restartNumberingAfterBreak="0">
    <w:nsid w:val="45F57804"/>
    <w:multiLevelType w:val="hybridMultilevel"/>
    <w:tmpl w:val="246C9FBE"/>
    <w:lvl w:ilvl="0" w:tplc="754A087C">
      <w:start w:val="1"/>
      <w:numFmt w:val="bullet"/>
      <w:lvlText w:val=""/>
      <w:lvlJc w:val="left"/>
      <w:pPr>
        <w:ind w:left="360" w:hanging="360"/>
      </w:pPr>
      <w:rPr>
        <w:rFonts w:ascii="Symbol" w:hAnsi="Symbol" w:hint="default"/>
      </w:rPr>
    </w:lvl>
    <w:lvl w:ilvl="1" w:tplc="BDA27C2E">
      <w:start w:val="1"/>
      <w:numFmt w:val="bullet"/>
      <w:lvlText w:val="o"/>
      <w:lvlJc w:val="left"/>
      <w:pPr>
        <w:ind w:left="1080" w:hanging="360"/>
      </w:pPr>
      <w:rPr>
        <w:rFonts w:ascii="Courier New" w:hAnsi="Courier New" w:hint="default"/>
      </w:rPr>
    </w:lvl>
    <w:lvl w:ilvl="2" w:tplc="747AE034" w:tentative="1">
      <w:start w:val="1"/>
      <w:numFmt w:val="bullet"/>
      <w:lvlText w:val=""/>
      <w:lvlJc w:val="left"/>
      <w:pPr>
        <w:ind w:left="1800" w:hanging="360"/>
      </w:pPr>
      <w:rPr>
        <w:rFonts w:ascii="Wingdings" w:hAnsi="Wingdings" w:hint="default"/>
      </w:rPr>
    </w:lvl>
    <w:lvl w:ilvl="3" w:tplc="D26ACD44" w:tentative="1">
      <w:start w:val="1"/>
      <w:numFmt w:val="bullet"/>
      <w:lvlText w:val=""/>
      <w:lvlJc w:val="left"/>
      <w:pPr>
        <w:ind w:left="2520" w:hanging="360"/>
      </w:pPr>
      <w:rPr>
        <w:rFonts w:ascii="Symbol" w:hAnsi="Symbol" w:hint="default"/>
      </w:rPr>
    </w:lvl>
    <w:lvl w:ilvl="4" w:tplc="4688534A" w:tentative="1">
      <w:start w:val="1"/>
      <w:numFmt w:val="bullet"/>
      <w:lvlText w:val="o"/>
      <w:lvlJc w:val="left"/>
      <w:pPr>
        <w:ind w:left="3240" w:hanging="360"/>
      </w:pPr>
      <w:rPr>
        <w:rFonts w:ascii="Courier New" w:hAnsi="Courier New" w:hint="default"/>
      </w:rPr>
    </w:lvl>
    <w:lvl w:ilvl="5" w:tplc="90CE9B06" w:tentative="1">
      <w:start w:val="1"/>
      <w:numFmt w:val="bullet"/>
      <w:lvlText w:val=""/>
      <w:lvlJc w:val="left"/>
      <w:pPr>
        <w:ind w:left="3960" w:hanging="360"/>
      </w:pPr>
      <w:rPr>
        <w:rFonts w:ascii="Wingdings" w:hAnsi="Wingdings" w:hint="default"/>
      </w:rPr>
    </w:lvl>
    <w:lvl w:ilvl="6" w:tplc="E40E893E" w:tentative="1">
      <w:start w:val="1"/>
      <w:numFmt w:val="bullet"/>
      <w:lvlText w:val=""/>
      <w:lvlJc w:val="left"/>
      <w:pPr>
        <w:ind w:left="4680" w:hanging="360"/>
      </w:pPr>
      <w:rPr>
        <w:rFonts w:ascii="Symbol" w:hAnsi="Symbol" w:hint="default"/>
      </w:rPr>
    </w:lvl>
    <w:lvl w:ilvl="7" w:tplc="A7DAD736" w:tentative="1">
      <w:start w:val="1"/>
      <w:numFmt w:val="bullet"/>
      <w:lvlText w:val="o"/>
      <w:lvlJc w:val="left"/>
      <w:pPr>
        <w:ind w:left="5400" w:hanging="360"/>
      </w:pPr>
      <w:rPr>
        <w:rFonts w:ascii="Courier New" w:hAnsi="Courier New" w:hint="default"/>
      </w:rPr>
    </w:lvl>
    <w:lvl w:ilvl="8" w:tplc="EE141834" w:tentative="1">
      <w:start w:val="1"/>
      <w:numFmt w:val="bullet"/>
      <w:lvlText w:val=""/>
      <w:lvlJc w:val="left"/>
      <w:pPr>
        <w:ind w:left="6120" w:hanging="360"/>
      </w:pPr>
      <w:rPr>
        <w:rFonts w:ascii="Wingdings" w:hAnsi="Wingdings" w:hint="default"/>
      </w:rPr>
    </w:lvl>
  </w:abstractNum>
  <w:abstractNum w:abstractNumId="14" w15:restartNumberingAfterBreak="0">
    <w:nsid w:val="482908A4"/>
    <w:multiLevelType w:val="multilevel"/>
    <w:tmpl w:val="58CA9606"/>
    <w:lvl w:ilvl="0">
      <w:numFmt w:val="none"/>
      <w:lvlText w:val=""/>
      <w:lvlJc w:val="left"/>
      <w:pPr>
        <w:tabs>
          <w:tab w:val="num" w:pos="360"/>
        </w:tabs>
      </w:pPr>
      <w:rPr>
        <w:rFonts w:cs="Times New Roman"/>
      </w:rPr>
    </w:lvl>
    <w:lvl w:ilvl="1">
      <w:start w:val="4"/>
      <w:numFmt w:val="decimal"/>
      <w:lvlText w:val="%2."/>
      <w:lvlJc w:val="left"/>
      <w:rPr>
        <w:rFonts w:cs="Times New Roman"/>
        <w:position w:val="0"/>
      </w:rPr>
    </w:lvl>
    <w:lvl w:ilvl="2">
      <w:start w:val="1"/>
      <w:numFmt w:val="lowerLetter"/>
      <w:lvlText w:val="(%3)"/>
      <w:lvlJc w:val="left"/>
      <w:rPr>
        <w:rFonts w:cs="Times New Roman"/>
        <w:position w:val="0"/>
      </w:rPr>
    </w:lvl>
    <w:lvl w:ilvl="3">
      <w:start w:val="1"/>
      <w:numFmt w:val="lowerRoman"/>
      <w:lvlText w:val="(%4)"/>
      <w:lvlJc w:val="left"/>
      <w:rPr>
        <w:rFonts w:cs="Times New Roman"/>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15" w15:restartNumberingAfterBreak="0">
    <w:nsid w:val="546B4A91"/>
    <w:multiLevelType w:val="multilevel"/>
    <w:tmpl w:val="5BD8E6D4"/>
    <w:lvl w:ilvl="0">
      <w:numFmt w:val="none"/>
      <w:lvlText w:val=""/>
      <w:lvlJc w:val="left"/>
      <w:pPr>
        <w:tabs>
          <w:tab w:val="num" w:pos="360"/>
        </w:tabs>
      </w:pPr>
      <w:rPr>
        <w:rFonts w:cs="Times New Roman"/>
      </w:rPr>
    </w:lvl>
    <w:lvl w:ilvl="1">
      <w:start w:val="3"/>
      <w:numFmt w:val="decimal"/>
      <w:lvlText w:val="%2."/>
      <w:lvlJc w:val="left"/>
      <w:rPr>
        <w:rFonts w:cs="Times New Roman"/>
        <w:position w:val="0"/>
      </w:rPr>
    </w:lvl>
    <w:lvl w:ilvl="2">
      <w:start w:val="1"/>
      <w:numFmt w:val="lowerLetter"/>
      <w:lvlText w:val="(%3)"/>
      <w:lvlJc w:val="left"/>
      <w:rPr>
        <w:rFonts w:cs="Times New Roman"/>
        <w:position w:val="0"/>
      </w:rPr>
    </w:lvl>
    <w:lvl w:ilvl="3">
      <w:start w:val="1"/>
      <w:numFmt w:val="lowerRoman"/>
      <w:lvlText w:val="(%4)"/>
      <w:lvlJc w:val="left"/>
      <w:rPr>
        <w:rFonts w:cs="Times New Roman"/>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16" w15:restartNumberingAfterBreak="0">
    <w:nsid w:val="63B90AFF"/>
    <w:multiLevelType w:val="multilevel"/>
    <w:tmpl w:val="E6D4D898"/>
    <w:lvl w:ilvl="0">
      <w:numFmt w:val="none"/>
      <w:lvlText w:val=""/>
      <w:lvlJc w:val="left"/>
      <w:pPr>
        <w:tabs>
          <w:tab w:val="num" w:pos="360"/>
        </w:tabs>
      </w:pPr>
      <w:rPr>
        <w:rFonts w:cs="Times New Roman"/>
      </w:rPr>
    </w:lvl>
    <w:lvl w:ilvl="1">
      <w:start w:val="6"/>
      <w:numFmt w:val="decimal"/>
      <w:lvlText w:val="%2."/>
      <w:lvlJc w:val="left"/>
      <w:rPr>
        <w:rFonts w:cs="Times New Roman"/>
        <w:position w:val="0"/>
      </w:rPr>
    </w:lvl>
    <w:lvl w:ilvl="2">
      <w:start w:val="1"/>
      <w:numFmt w:val="lowerLetter"/>
      <w:lvlText w:val="(%3)"/>
      <w:lvlJc w:val="left"/>
      <w:rPr>
        <w:rFonts w:cs="Times New Roman"/>
        <w:position w:val="0"/>
      </w:rPr>
    </w:lvl>
    <w:lvl w:ilvl="3">
      <w:start w:val="1"/>
      <w:numFmt w:val="lowerRoman"/>
      <w:lvlText w:val="(%4)"/>
      <w:lvlJc w:val="left"/>
      <w:rPr>
        <w:rFonts w:cs="Times New Roman"/>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17" w15:restartNumberingAfterBreak="0">
    <w:nsid w:val="76CA015B"/>
    <w:multiLevelType w:val="multilevel"/>
    <w:tmpl w:val="EFBA485A"/>
    <w:lvl w:ilvl="0">
      <w:numFmt w:val="none"/>
      <w:lvlText w:val=""/>
      <w:lvlJc w:val="left"/>
      <w:pPr>
        <w:tabs>
          <w:tab w:val="num" w:pos="360"/>
        </w:tabs>
      </w:pPr>
      <w:rPr>
        <w:rFonts w:cs="Times New Roman"/>
      </w:rPr>
    </w:lvl>
    <w:lvl w:ilvl="1">
      <w:start w:val="5"/>
      <w:numFmt w:val="decimal"/>
      <w:lvlText w:val="%2."/>
      <w:lvlJc w:val="left"/>
      <w:rPr>
        <w:rFonts w:cs="Times New Roman"/>
        <w:position w:val="0"/>
      </w:rPr>
    </w:lvl>
    <w:lvl w:ilvl="2">
      <w:start w:val="1"/>
      <w:numFmt w:val="lowerLetter"/>
      <w:lvlText w:val="(%3)"/>
      <w:lvlJc w:val="left"/>
      <w:rPr>
        <w:rFonts w:cs="Times New Roman"/>
        <w:position w:val="0"/>
      </w:rPr>
    </w:lvl>
    <w:lvl w:ilvl="3">
      <w:start w:val="1"/>
      <w:numFmt w:val="lowerRoman"/>
      <w:lvlText w:val="(%4)"/>
      <w:lvlJc w:val="left"/>
      <w:rPr>
        <w:rFonts w:cs="Times New Roman"/>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18" w15:restartNumberingAfterBreak="0">
    <w:nsid w:val="7EDE60CA"/>
    <w:multiLevelType w:val="multilevel"/>
    <w:tmpl w:val="FBB04A0C"/>
    <w:lvl w:ilvl="0">
      <w:numFmt w:val="none"/>
      <w:lvlText w:val=""/>
      <w:lvlJc w:val="left"/>
      <w:pPr>
        <w:tabs>
          <w:tab w:val="num" w:pos="360"/>
        </w:tabs>
      </w:pPr>
      <w:rPr>
        <w:rFonts w:cs="Times New Roman"/>
      </w:rPr>
    </w:lvl>
    <w:lvl w:ilvl="1">
      <w:start w:val="2"/>
      <w:numFmt w:val="decimal"/>
      <w:lvlText w:val="%2."/>
      <w:lvlJc w:val="left"/>
      <w:rPr>
        <w:rFonts w:cs="Times New Roman"/>
        <w:position w:val="0"/>
      </w:rPr>
    </w:lvl>
    <w:lvl w:ilvl="2">
      <w:start w:val="1"/>
      <w:numFmt w:val="lowerLetter"/>
      <w:lvlText w:val="(%3)"/>
      <w:lvlJc w:val="left"/>
      <w:rPr>
        <w:rFonts w:cs="Times New Roman"/>
        <w:position w:val="0"/>
      </w:rPr>
    </w:lvl>
    <w:lvl w:ilvl="3">
      <w:start w:val="1"/>
      <w:numFmt w:val="lowerRoman"/>
      <w:lvlText w:val="(%4)"/>
      <w:lvlJc w:val="left"/>
      <w:rPr>
        <w:rFonts w:cs="Times New Roman"/>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num w:numId="1">
    <w:abstractNumId w:val="8"/>
  </w:num>
  <w:num w:numId="2">
    <w:abstractNumId w:val="11"/>
  </w:num>
  <w:num w:numId="3">
    <w:abstractNumId w:val="8"/>
  </w:num>
  <w:num w:numId="4">
    <w:abstractNumId w:val="11"/>
  </w:num>
  <w:num w:numId="5">
    <w:abstractNumId w:val="8"/>
  </w:num>
  <w:num w:numId="6">
    <w:abstractNumId w:val="11"/>
  </w:num>
  <w:num w:numId="7">
    <w:abstractNumId w:val="8"/>
  </w:num>
  <w:num w:numId="8">
    <w:abstractNumId w:val="11"/>
  </w:num>
  <w:num w:numId="9">
    <w:abstractNumId w:val="8"/>
  </w:num>
  <w:num w:numId="10">
    <w:abstractNumId w:val="11"/>
  </w:num>
  <w:num w:numId="11">
    <w:abstractNumId w:val="8"/>
  </w:num>
  <w:num w:numId="12">
    <w:abstractNumId w:val="11"/>
  </w:num>
  <w:num w:numId="13">
    <w:abstractNumId w:val="8"/>
  </w:num>
  <w:num w:numId="14">
    <w:abstractNumId w:val="11"/>
  </w:num>
  <w:num w:numId="15">
    <w:abstractNumId w:val="12"/>
  </w:num>
  <w:num w:numId="16">
    <w:abstractNumId w:val="8"/>
  </w:num>
  <w:num w:numId="17">
    <w:abstractNumId w:val="12"/>
  </w:num>
  <w:num w:numId="18">
    <w:abstractNumId w:val="11"/>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3"/>
  </w:num>
  <w:num w:numId="26">
    <w:abstractNumId w:val="12"/>
  </w:num>
  <w:num w:numId="27">
    <w:abstractNumId w:val="10"/>
  </w:num>
  <w:num w:numId="28">
    <w:abstractNumId w:val="18"/>
  </w:num>
  <w:num w:numId="29">
    <w:abstractNumId w:val="15"/>
  </w:num>
  <w:num w:numId="30">
    <w:abstractNumId w:val="14"/>
  </w:num>
  <w:num w:numId="31">
    <w:abstractNumId w:val="17"/>
  </w:num>
  <w:num w:numId="32">
    <w:abstractNumId w:val="16"/>
  </w:num>
  <w:num w:numId="33">
    <w:abstractNumId w:val="6"/>
  </w:num>
  <w:num w:numId="34">
    <w:abstractNumId w:val="5"/>
  </w:num>
  <w:num w:numId="35">
    <w:abstractNumId w:val="4"/>
  </w:num>
  <w:num w:numId="36">
    <w:abstractNumId w:val="7"/>
  </w:num>
  <w:num w:numId="37">
    <w:abstractNumId w:val="3"/>
  </w:num>
  <w:num w:numId="38">
    <w:abstractNumId w:val="2"/>
  </w:num>
  <w:num w:numId="39">
    <w:abstractNumId w:val="1"/>
  </w:num>
  <w:num w:numId="40">
    <w:abstractNumId w:val="0"/>
  </w:num>
  <w:num w:numId="41">
    <w:abstractNumId w:val="9"/>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964778"/>
    <w:rsid w:val="00007C67"/>
    <w:rsid w:val="00012D36"/>
    <w:rsid w:val="00014318"/>
    <w:rsid w:val="00025F34"/>
    <w:rsid w:val="00031160"/>
    <w:rsid w:val="00064A45"/>
    <w:rsid w:val="00093B10"/>
    <w:rsid w:val="00095ED8"/>
    <w:rsid w:val="000A5F45"/>
    <w:rsid w:val="000B2C01"/>
    <w:rsid w:val="000B68E0"/>
    <w:rsid w:val="000D01C2"/>
    <w:rsid w:val="000D17F5"/>
    <w:rsid w:val="000E37EB"/>
    <w:rsid w:val="000F450A"/>
    <w:rsid w:val="000F7048"/>
    <w:rsid w:val="00112E4C"/>
    <w:rsid w:val="00122104"/>
    <w:rsid w:val="00133CD2"/>
    <w:rsid w:val="00134BEE"/>
    <w:rsid w:val="00140AD1"/>
    <w:rsid w:val="00153C87"/>
    <w:rsid w:val="001722FC"/>
    <w:rsid w:val="00176185"/>
    <w:rsid w:val="00176468"/>
    <w:rsid w:val="00194CA6"/>
    <w:rsid w:val="0020086E"/>
    <w:rsid w:val="00205A14"/>
    <w:rsid w:val="00207C06"/>
    <w:rsid w:val="00242E05"/>
    <w:rsid w:val="002571BC"/>
    <w:rsid w:val="00257D83"/>
    <w:rsid w:val="00274FFC"/>
    <w:rsid w:val="002806D3"/>
    <w:rsid w:val="00290283"/>
    <w:rsid w:val="002D3CE2"/>
    <w:rsid w:val="002F2443"/>
    <w:rsid w:val="00302DBF"/>
    <w:rsid w:val="00302E67"/>
    <w:rsid w:val="00317B77"/>
    <w:rsid w:val="00323937"/>
    <w:rsid w:val="0034775B"/>
    <w:rsid w:val="00352323"/>
    <w:rsid w:val="00386B26"/>
    <w:rsid w:val="003961CD"/>
    <w:rsid w:val="003B5825"/>
    <w:rsid w:val="003C27F0"/>
    <w:rsid w:val="003E3C94"/>
    <w:rsid w:val="003F7899"/>
    <w:rsid w:val="0042037D"/>
    <w:rsid w:val="00426F18"/>
    <w:rsid w:val="00431BC3"/>
    <w:rsid w:val="0044435A"/>
    <w:rsid w:val="00447D1D"/>
    <w:rsid w:val="004552D6"/>
    <w:rsid w:val="00457BE4"/>
    <w:rsid w:val="00474CC2"/>
    <w:rsid w:val="004769E6"/>
    <w:rsid w:val="00485A22"/>
    <w:rsid w:val="00494B5B"/>
    <w:rsid w:val="004D75D4"/>
    <w:rsid w:val="004E2F22"/>
    <w:rsid w:val="004F03A7"/>
    <w:rsid w:val="004F7D05"/>
    <w:rsid w:val="005006BD"/>
    <w:rsid w:val="00512170"/>
    <w:rsid w:val="00522151"/>
    <w:rsid w:val="005515A9"/>
    <w:rsid w:val="00556A76"/>
    <w:rsid w:val="00562121"/>
    <w:rsid w:val="005630B1"/>
    <w:rsid w:val="00582BCD"/>
    <w:rsid w:val="00587533"/>
    <w:rsid w:val="005927FE"/>
    <w:rsid w:val="00593A3D"/>
    <w:rsid w:val="005945F1"/>
    <w:rsid w:val="005B7BB9"/>
    <w:rsid w:val="005D054C"/>
    <w:rsid w:val="005D1FF3"/>
    <w:rsid w:val="005E4755"/>
    <w:rsid w:val="006111E4"/>
    <w:rsid w:val="006115C3"/>
    <w:rsid w:val="00643A4A"/>
    <w:rsid w:val="00656E67"/>
    <w:rsid w:val="00660700"/>
    <w:rsid w:val="006674F3"/>
    <w:rsid w:val="006779E7"/>
    <w:rsid w:val="00694AEE"/>
    <w:rsid w:val="006B3367"/>
    <w:rsid w:val="006D02FE"/>
    <w:rsid w:val="006D4CF3"/>
    <w:rsid w:val="006E546A"/>
    <w:rsid w:val="006F0AAC"/>
    <w:rsid w:val="006F4C80"/>
    <w:rsid w:val="0071732F"/>
    <w:rsid w:val="00732B85"/>
    <w:rsid w:val="00733024"/>
    <w:rsid w:val="00745EEC"/>
    <w:rsid w:val="00747B12"/>
    <w:rsid w:val="00780453"/>
    <w:rsid w:val="007A3809"/>
    <w:rsid w:val="007B2BDD"/>
    <w:rsid w:val="007C27D2"/>
    <w:rsid w:val="007E07B4"/>
    <w:rsid w:val="008021FC"/>
    <w:rsid w:val="00825879"/>
    <w:rsid w:val="00826967"/>
    <w:rsid w:val="00827C38"/>
    <w:rsid w:val="00831B6D"/>
    <w:rsid w:val="00850604"/>
    <w:rsid w:val="008560A0"/>
    <w:rsid w:val="008620BE"/>
    <w:rsid w:val="0086631C"/>
    <w:rsid w:val="00867C2F"/>
    <w:rsid w:val="00881300"/>
    <w:rsid w:val="00885824"/>
    <w:rsid w:val="00897FFE"/>
    <w:rsid w:val="008A1408"/>
    <w:rsid w:val="008B693F"/>
    <w:rsid w:val="008D12B0"/>
    <w:rsid w:val="00904928"/>
    <w:rsid w:val="00917ED0"/>
    <w:rsid w:val="00923B15"/>
    <w:rsid w:val="00932665"/>
    <w:rsid w:val="00935BD0"/>
    <w:rsid w:val="00941464"/>
    <w:rsid w:val="00946FCD"/>
    <w:rsid w:val="00955213"/>
    <w:rsid w:val="0096304A"/>
    <w:rsid w:val="00964778"/>
    <w:rsid w:val="00971920"/>
    <w:rsid w:val="00984EAC"/>
    <w:rsid w:val="009860BE"/>
    <w:rsid w:val="0098782E"/>
    <w:rsid w:val="00987D84"/>
    <w:rsid w:val="00990B89"/>
    <w:rsid w:val="009A02B4"/>
    <w:rsid w:val="009C43C1"/>
    <w:rsid w:val="009D2DFD"/>
    <w:rsid w:val="009D5D08"/>
    <w:rsid w:val="009E1327"/>
    <w:rsid w:val="009F1DB7"/>
    <w:rsid w:val="00A05466"/>
    <w:rsid w:val="00A2433A"/>
    <w:rsid w:val="00A42FE8"/>
    <w:rsid w:val="00A43569"/>
    <w:rsid w:val="00A51B07"/>
    <w:rsid w:val="00A67192"/>
    <w:rsid w:val="00A7660D"/>
    <w:rsid w:val="00AB3F64"/>
    <w:rsid w:val="00AB6F30"/>
    <w:rsid w:val="00AF086D"/>
    <w:rsid w:val="00AF2315"/>
    <w:rsid w:val="00B0165F"/>
    <w:rsid w:val="00B02542"/>
    <w:rsid w:val="00B106E7"/>
    <w:rsid w:val="00B13281"/>
    <w:rsid w:val="00B23F95"/>
    <w:rsid w:val="00B24376"/>
    <w:rsid w:val="00B6300E"/>
    <w:rsid w:val="00B64729"/>
    <w:rsid w:val="00B6512E"/>
    <w:rsid w:val="00B75EAB"/>
    <w:rsid w:val="00B965EB"/>
    <w:rsid w:val="00BA1867"/>
    <w:rsid w:val="00BA343A"/>
    <w:rsid w:val="00BE5927"/>
    <w:rsid w:val="00BF7BAB"/>
    <w:rsid w:val="00C02A32"/>
    <w:rsid w:val="00C24F0D"/>
    <w:rsid w:val="00C2592E"/>
    <w:rsid w:val="00C260DA"/>
    <w:rsid w:val="00C31692"/>
    <w:rsid w:val="00C4643D"/>
    <w:rsid w:val="00C530D0"/>
    <w:rsid w:val="00C629DA"/>
    <w:rsid w:val="00C71537"/>
    <w:rsid w:val="00C72A74"/>
    <w:rsid w:val="00C73D9F"/>
    <w:rsid w:val="00C829C9"/>
    <w:rsid w:val="00C85086"/>
    <w:rsid w:val="00C86646"/>
    <w:rsid w:val="00C903A4"/>
    <w:rsid w:val="00C90DCF"/>
    <w:rsid w:val="00CB4498"/>
    <w:rsid w:val="00CB4649"/>
    <w:rsid w:val="00CC4E9C"/>
    <w:rsid w:val="00CD00D1"/>
    <w:rsid w:val="00CD0575"/>
    <w:rsid w:val="00CD119E"/>
    <w:rsid w:val="00CD178F"/>
    <w:rsid w:val="00CD71AD"/>
    <w:rsid w:val="00CF3243"/>
    <w:rsid w:val="00CF4DA6"/>
    <w:rsid w:val="00CF669C"/>
    <w:rsid w:val="00CF66E8"/>
    <w:rsid w:val="00D04DCE"/>
    <w:rsid w:val="00D10DAF"/>
    <w:rsid w:val="00D10E8F"/>
    <w:rsid w:val="00D26D08"/>
    <w:rsid w:val="00D318F6"/>
    <w:rsid w:val="00D43CFE"/>
    <w:rsid w:val="00D44441"/>
    <w:rsid w:val="00D57004"/>
    <w:rsid w:val="00D81270"/>
    <w:rsid w:val="00D844C1"/>
    <w:rsid w:val="00D901F0"/>
    <w:rsid w:val="00D9519F"/>
    <w:rsid w:val="00D959CB"/>
    <w:rsid w:val="00DA2CA2"/>
    <w:rsid w:val="00DB3E2D"/>
    <w:rsid w:val="00DB4127"/>
    <w:rsid w:val="00DC07DC"/>
    <w:rsid w:val="00DD0C36"/>
    <w:rsid w:val="00DD37C4"/>
    <w:rsid w:val="00DD54AA"/>
    <w:rsid w:val="00DE022C"/>
    <w:rsid w:val="00DE15F2"/>
    <w:rsid w:val="00DF5AE2"/>
    <w:rsid w:val="00E03CA8"/>
    <w:rsid w:val="00E05BFF"/>
    <w:rsid w:val="00E060DF"/>
    <w:rsid w:val="00E06BCF"/>
    <w:rsid w:val="00E27813"/>
    <w:rsid w:val="00E44266"/>
    <w:rsid w:val="00E45825"/>
    <w:rsid w:val="00E5489C"/>
    <w:rsid w:val="00E65237"/>
    <w:rsid w:val="00E71AA3"/>
    <w:rsid w:val="00E823DC"/>
    <w:rsid w:val="00E94A8E"/>
    <w:rsid w:val="00E9634C"/>
    <w:rsid w:val="00EA715B"/>
    <w:rsid w:val="00ED64B9"/>
    <w:rsid w:val="00EE0FBE"/>
    <w:rsid w:val="00F44989"/>
    <w:rsid w:val="00F731F4"/>
    <w:rsid w:val="00F74284"/>
    <w:rsid w:val="00F87336"/>
    <w:rsid w:val="00FB44A2"/>
    <w:rsid w:val="00FB5E84"/>
    <w:rsid w:val="00FD6EEC"/>
    <w:rsid w:val="00FF42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B0B928"/>
  <w15:docId w15:val="{630B8AFB-CBC3-42D3-B035-52230A79A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3">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D054C"/>
    <w:pPr>
      <w:spacing w:after="240"/>
      <w:jc w:val="both"/>
    </w:pPr>
    <w:rPr>
      <w:kern w:val="14"/>
      <w:sz w:val="24"/>
      <w:szCs w:val="20"/>
      <w:lang w:val="en-GB"/>
    </w:rPr>
  </w:style>
  <w:style w:type="paragraph" w:styleId="Heading1">
    <w:name w:val="heading 1"/>
    <w:basedOn w:val="Normal"/>
    <w:next w:val="Text"/>
    <w:link w:val="Heading1Char"/>
    <w:uiPriority w:val="99"/>
    <w:qFormat/>
    <w:rsid w:val="005D054C"/>
    <w:pPr>
      <w:keepNext/>
      <w:numPr>
        <w:numId w:val="10"/>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link w:val="Heading2Char"/>
    <w:qFormat/>
    <w:rsid w:val="004F03A7"/>
    <w:pPr>
      <w:keepNext/>
      <w:jc w:val="left"/>
      <w:outlineLvl w:val="1"/>
    </w:pPr>
    <w:rPr>
      <w:rFonts w:ascii="Arial Black" w:hAnsi="Arial Black"/>
      <w:color w:val="333333"/>
      <w:kern w:val="0"/>
      <w:sz w:val="20"/>
    </w:rPr>
  </w:style>
  <w:style w:type="paragraph" w:styleId="Heading3">
    <w:name w:val="heading 3"/>
    <w:basedOn w:val="Normal"/>
    <w:next w:val="Text"/>
    <w:link w:val="Heading3Char"/>
    <w:uiPriority w:val="99"/>
    <w:qFormat/>
    <w:rsid w:val="00474CC2"/>
    <w:pPr>
      <w:keepNext/>
      <w:jc w:val="left"/>
      <w:outlineLvl w:val="2"/>
    </w:pPr>
    <w:rPr>
      <w:rFonts w:cs="Arial"/>
      <w:b/>
      <w:color w:val="333333"/>
      <w:kern w:val="0"/>
      <w:sz w:val="22"/>
      <w:szCs w:val="18"/>
    </w:rPr>
  </w:style>
  <w:style w:type="paragraph" w:styleId="Heading4">
    <w:name w:val="heading 4"/>
    <w:basedOn w:val="Normal"/>
    <w:next w:val="Normal"/>
    <w:link w:val="Heading4Char"/>
    <w:uiPriority w:val="99"/>
    <w:qFormat/>
    <w:rsid w:val="005D054C"/>
    <w:pPr>
      <w:keepNext/>
      <w:jc w:val="left"/>
      <w:outlineLvl w:val="3"/>
    </w:pPr>
    <w:rPr>
      <w:i/>
      <w:shd w:val="clear" w:color="FFFFFF" w:fil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769E6"/>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locked/>
    <w:rsid w:val="000A5F45"/>
    <w:rPr>
      <w:rFonts w:ascii="Arial Black" w:hAnsi="Arial Black" w:cs="Times New Roman"/>
      <w:color w:val="333333"/>
      <w:lang w:val="en-GB"/>
    </w:rPr>
  </w:style>
  <w:style w:type="character" w:customStyle="1" w:styleId="Heading3Char">
    <w:name w:val="Heading 3 Char"/>
    <w:basedOn w:val="DefaultParagraphFont"/>
    <w:link w:val="Heading3"/>
    <w:uiPriority w:val="99"/>
    <w:semiHidden/>
    <w:locked/>
    <w:rsid w:val="004769E6"/>
    <w:rPr>
      <w:rFonts w:ascii="Cambria" w:hAnsi="Cambria" w:cs="Times New Roman"/>
      <w:b/>
      <w:bCs/>
      <w:kern w:val="14"/>
      <w:sz w:val="26"/>
      <w:szCs w:val="26"/>
      <w:lang w:eastAsia="en-US"/>
    </w:rPr>
  </w:style>
  <w:style w:type="character" w:customStyle="1" w:styleId="Heading4Char">
    <w:name w:val="Heading 4 Char"/>
    <w:basedOn w:val="DefaultParagraphFont"/>
    <w:link w:val="Heading4"/>
    <w:uiPriority w:val="99"/>
    <w:semiHidden/>
    <w:locked/>
    <w:rsid w:val="004769E6"/>
    <w:rPr>
      <w:rFonts w:ascii="Calibri" w:hAnsi="Calibri" w:cs="Times New Roman"/>
      <w:b/>
      <w:bCs/>
      <w:kern w:val="14"/>
      <w:sz w:val="28"/>
      <w:szCs w:val="28"/>
      <w:lang w:eastAsia="en-US"/>
    </w:rPr>
  </w:style>
  <w:style w:type="paragraph" w:styleId="BodyText">
    <w:name w:val="Body Text"/>
    <w:basedOn w:val="Normal"/>
    <w:link w:val="BodyTextChar"/>
    <w:uiPriority w:val="99"/>
    <w:rsid w:val="005D054C"/>
    <w:pPr>
      <w:spacing w:after="0"/>
      <w:jc w:val="left"/>
    </w:pPr>
  </w:style>
  <w:style w:type="character" w:customStyle="1" w:styleId="BodyTextChar">
    <w:name w:val="Body Text Char"/>
    <w:basedOn w:val="DefaultParagraphFont"/>
    <w:link w:val="BodyText"/>
    <w:uiPriority w:val="99"/>
    <w:semiHidden/>
    <w:locked/>
    <w:rsid w:val="004769E6"/>
    <w:rPr>
      <w:rFonts w:cs="Times New Roman"/>
      <w:kern w:val="14"/>
      <w:sz w:val="20"/>
      <w:szCs w:val="20"/>
      <w:lang w:eastAsia="en-US"/>
    </w:rPr>
  </w:style>
  <w:style w:type="paragraph" w:styleId="Caption">
    <w:name w:val="caption"/>
    <w:basedOn w:val="Normal"/>
    <w:next w:val="Table"/>
    <w:qFormat/>
    <w:rsid w:val="005D054C"/>
    <w:pPr>
      <w:keepNext/>
      <w:keepLines/>
      <w:tabs>
        <w:tab w:val="left" w:pos="1080"/>
      </w:tabs>
      <w:ind w:left="1080" w:hanging="1080"/>
      <w:jc w:val="left"/>
      <w:outlineLvl w:val="4"/>
    </w:pPr>
    <w:rPr>
      <w:rFonts w:eastAsia="MS Mincho"/>
      <w:b/>
      <w:sz w:val="22"/>
    </w:rPr>
  </w:style>
  <w:style w:type="paragraph" w:customStyle="1" w:styleId="Code">
    <w:name w:val="Code"/>
    <w:basedOn w:val="BodyText"/>
    <w:uiPriority w:val="99"/>
    <w:rsid w:val="005D054C"/>
    <w:rPr>
      <w:rFonts w:ascii="Courier" w:hAnsi="Courier"/>
      <w:sz w:val="16"/>
    </w:rPr>
  </w:style>
  <w:style w:type="paragraph" w:customStyle="1" w:styleId="DocumentControl">
    <w:name w:val="Document Control"/>
    <w:basedOn w:val="Normal"/>
    <w:uiPriority w:val="99"/>
    <w:rsid w:val="005D054C"/>
    <w:pPr>
      <w:tabs>
        <w:tab w:val="left" w:pos="1786"/>
        <w:tab w:val="left" w:pos="9000"/>
      </w:tabs>
      <w:spacing w:after="0" w:line="240" w:lineRule="exact"/>
      <w:jc w:val="left"/>
    </w:pPr>
    <w:rPr>
      <w:rFonts w:ascii="Arial Black" w:hAnsi="Arial Black"/>
      <w:kern w:val="20"/>
      <w:sz w:val="20"/>
    </w:rPr>
  </w:style>
  <w:style w:type="paragraph" w:styleId="DocumentMap">
    <w:name w:val="Document Map"/>
    <w:basedOn w:val="Normal"/>
    <w:link w:val="DocumentMapChar"/>
    <w:uiPriority w:val="99"/>
    <w:semiHidden/>
    <w:rsid w:val="005D054C"/>
    <w:pPr>
      <w:shd w:val="clear" w:color="auto" w:fill="000080"/>
      <w:tabs>
        <w:tab w:val="num" w:pos="720"/>
      </w:tabs>
      <w:ind w:left="720" w:hanging="720"/>
    </w:pPr>
    <w:rPr>
      <w:rFonts w:ascii="Tahoma" w:eastAsia="MS Gothic" w:hAnsi="Tahoma"/>
      <w:sz w:val="18"/>
    </w:rPr>
  </w:style>
  <w:style w:type="character" w:customStyle="1" w:styleId="DocumentMapChar">
    <w:name w:val="Document Map Char"/>
    <w:basedOn w:val="DefaultParagraphFont"/>
    <w:link w:val="DocumentMap"/>
    <w:uiPriority w:val="99"/>
    <w:semiHidden/>
    <w:locked/>
    <w:rsid w:val="004769E6"/>
    <w:rPr>
      <w:rFonts w:cs="Times New Roman"/>
      <w:kern w:val="14"/>
      <w:sz w:val="2"/>
      <w:lang w:eastAsia="en-US"/>
    </w:rPr>
  </w:style>
  <w:style w:type="paragraph" w:customStyle="1" w:styleId="DraftingNote">
    <w:name w:val="Drafting Note"/>
    <w:basedOn w:val="Normal"/>
    <w:uiPriority w:val="99"/>
    <w:rsid w:val="005D054C"/>
    <w:rPr>
      <w:i/>
      <w:color w:val="FF0000"/>
      <w:shd w:val="clear" w:color="FFFFFF" w:fill="FFFF99"/>
    </w:rPr>
  </w:style>
  <w:style w:type="character" w:customStyle="1" w:styleId="DraftingNoteChar">
    <w:name w:val="Drafting Note Char"/>
    <w:basedOn w:val="DefaultParagraphFont"/>
    <w:uiPriority w:val="99"/>
    <w:rsid w:val="005D054C"/>
    <w:rPr>
      <w:rFonts w:cs="Times New Roman"/>
      <w:i/>
      <w:color w:val="FF0000"/>
      <w:kern w:val="14"/>
      <w:sz w:val="24"/>
      <w:shd w:val="clear" w:color="FFFFFF" w:fill="FFFF99"/>
      <w:lang w:val="en-GB" w:eastAsia="en-US"/>
    </w:rPr>
  </w:style>
  <w:style w:type="paragraph" w:customStyle="1" w:styleId="Equation">
    <w:name w:val="Equation"/>
    <w:basedOn w:val="BodyText"/>
    <w:uiPriority w:val="99"/>
    <w:rsid w:val="005D054C"/>
    <w:pPr>
      <w:tabs>
        <w:tab w:val="right" w:pos="8640"/>
      </w:tabs>
      <w:spacing w:after="240"/>
      <w:ind w:left="1080"/>
    </w:pPr>
  </w:style>
  <w:style w:type="paragraph" w:customStyle="1" w:styleId="Eqwhere">
    <w:name w:val="Eqwhere"/>
    <w:basedOn w:val="BodyText"/>
    <w:uiPriority w:val="99"/>
    <w:rsid w:val="005D054C"/>
    <w:pPr>
      <w:spacing w:after="240"/>
      <w:ind w:left="720"/>
    </w:pPr>
  </w:style>
  <w:style w:type="character" w:styleId="FollowedHyperlink">
    <w:name w:val="FollowedHyperlink"/>
    <w:basedOn w:val="DefaultParagraphFont"/>
    <w:uiPriority w:val="99"/>
    <w:rsid w:val="005D054C"/>
    <w:rPr>
      <w:rFonts w:cs="Times New Roman"/>
      <w:color w:val="auto"/>
      <w:u w:val="none"/>
    </w:rPr>
  </w:style>
  <w:style w:type="paragraph" w:styleId="Header">
    <w:name w:val="header"/>
    <w:basedOn w:val="Normal"/>
    <w:link w:val="HeaderChar"/>
    <w:uiPriority w:val="99"/>
    <w:rsid w:val="005D054C"/>
    <w:pPr>
      <w:tabs>
        <w:tab w:val="right" w:pos="9000"/>
      </w:tabs>
      <w:spacing w:after="0" w:line="240" w:lineRule="exact"/>
      <w:jc w:val="left"/>
    </w:pPr>
    <w:rPr>
      <w:rFonts w:ascii="Arial" w:hAnsi="Arial"/>
      <w:color w:val="0066CC"/>
      <w:kern w:val="18"/>
      <w:sz w:val="18"/>
    </w:rPr>
  </w:style>
  <w:style w:type="character" w:customStyle="1" w:styleId="HeaderChar">
    <w:name w:val="Header Char"/>
    <w:basedOn w:val="DefaultParagraphFont"/>
    <w:link w:val="Header"/>
    <w:uiPriority w:val="99"/>
    <w:semiHidden/>
    <w:locked/>
    <w:rsid w:val="004769E6"/>
    <w:rPr>
      <w:rFonts w:cs="Times New Roman"/>
      <w:kern w:val="14"/>
      <w:sz w:val="20"/>
      <w:szCs w:val="20"/>
      <w:lang w:eastAsia="en-US"/>
    </w:rPr>
  </w:style>
  <w:style w:type="paragraph" w:styleId="Footer">
    <w:name w:val="footer"/>
    <w:basedOn w:val="Header"/>
    <w:link w:val="FooterChar"/>
    <w:uiPriority w:val="99"/>
    <w:semiHidden/>
    <w:rsid w:val="005D054C"/>
  </w:style>
  <w:style w:type="character" w:customStyle="1" w:styleId="FooterChar">
    <w:name w:val="Footer Char"/>
    <w:basedOn w:val="DefaultParagraphFont"/>
    <w:link w:val="Footer"/>
    <w:uiPriority w:val="99"/>
    <w:semiHidden/>
    <w:locked/>
    <w:rsid w:val="004769E6"/>
    <w:rPr>
      <w:rFonts w:cs="Times New Roman"/>
      <w:kern w:val="14"/>
      <w:sz w:val="20"/>
      <w:szCs w:val="20"/>
      <w:lang w:eastAsia="en-US"/>
    </w:rPr>
  </w:style>
  <w:style w:type="character" w:styleId="FootnoteReference">
    <w:name w:val="footnote reference"/>
    <w:basedOn w:val="DefaultParagraphFont"/>
    <w:uiPriority w:val="99"/>
    <w:semiHidden/>
    <w:rsid w:val="005D054C"/>
    <w:rPr>
      <w:rFonts w:cs="Times New Roman"/>
      <w:vertAlign w:val="superscript"/>
    </w:rPr>
  </w:style>
  <w:style w:type="paragraph" w:styleId="FootnoteText">
    <w:name w:val="footnote text"/>
    <w:basedOn w:val="Normal"/>
    <w:link w:val="FootnoteTextChar"/>
    <w:uiPriority w:val="99"/>
    <w:semiHidden/>
    <w:rsid w:val="005D054C"/>
    <w:pPr>
      <w:tabs>
        <w:tab w:val="left" w:pos="180"/>
      </w:tabs>
      <w:spacing w:after="0"/>
      <w:ind w:left="180" w:hanging="180"/>
      <w:jc w:val="left"/>
    </w:pPr>
    <w:rPr>
      <w:sz w:val="18"/>
    </w:rPr>
  </w:style>
  <w:style w:type="character" w:customStyle="1" w:styleId="FootnoteTextChar">
    <w:name w:val="Footnote Text Char"/>
    <w:basedOn w:val="DefaultParagraphFont"/>
    <w:link w:val="FootnoteText"/>
    <w:uiPriority w:val="99"/>
    <w:semiHidden/>
    <w:locked/>
    <w:rsid w:val="004769E6"/>
    <w:rPr>
      <w:rFonts w:cs="Times New Roman"/>
      <w:kern w:val="14"/>
      <w:sz w:val="20"/>
      <w:szCs w:val="20"/>
      <w:lang w:eastAsia="en-US"/>
    </w:rPr>
  </w:style>
  <w:style w:type="paragraph" w:customStyle="1" w:styleId="Hidden">
    <w:name w:val="Hidden"/>
    <w:basedOn w:val="DocumentControl"/>
    <w:uiPriority w:val="99"/>
    <w:rsid w:val="005D054C"/>
    <w:rPr>
      <w:vanish/>
      <w:color w:val="FF6633"/>
    </w:rPr>
  </w:style>
  <w:style w:type="character" w:styleId="Hyperlink">
    <w:name w:val="Hyperlink"/>
    <w:basedOn w:val="DefaultParagraphFont"/>
    <w:uiPriority w:val="99"/>
    <w:rsid w:val="005D054C"/>
    <w:rPr>
      <w:rFonts w:cs="Times New Roman"/>
      <w:color w:val="auto"/>
    </w:rPr>
  </w:style>
  <w:style w:type="paragraph" w:styleId="ListBullet">
    <w:name w:val="List Bullet"/>
    <w:basedOn w:val="Normal"/>
    <w:uiPriority w:val="99"/>
    <w:qFormat/>
    <w:rsid w:val="005D054C"/>
    <w:pPr>
      <w:numPr>
        <w:ilvl w:val="2"/>
        <w:numId w:val="10"/>
      </w:numPr>
    </w:pPr>
  </w:style>
  <w:style w:type="paragraph" w:styleId="ListBullet2">
    <w:name w:val="List Bullet 2"/>
    <w:basedOn w:val="Normal"/>
    <w:uiPriority w:val="99"/>
    <w:rsid w:val="005D054C"/>
    <w:pPr>
      <w:numPr>
        <w:ilvl w:val="3"/>
        <w:numId w:val="10"/>
      </w:numPr>
    </w:pPr>
  </w:style>
  <w:style w:type="paragraph" w:styleId="PlainText">
    <w:name w:val="Plain Text"/>
    <w:basedOn w:val="Normal"/>
    <w:link w:val="PlainTextChar"/>
    <w:uiPriority w:val="99"/>
    <w:rsid w:val="005D054C"/>
    <w:rPr>
      <w:rFonts w:ascii="Courier" w:hAnsi="Courier"/>
      <w:szCs w:val="24"/>
    </w:rPr>
  </w:style>
  <w:style w:type="character" w:customStyle="1" w:styleId="PlainTextChar">
    <w:name w:val="Plain Text Char"/>
    <w:basedOn w:val="DefaultParagraphFont"/>
    <w:link w:val="PlainText"/>
    <w:uiPriority w:val="99"/>
    <w:semiHidden/>
    <w:locked/>
    <w:rsid w:val="004769E6"/>
    <w:rPr>
      <w:rFonts w:ascii="Courier New" w:hAnsi="Courier New" w:cs="Courier New"/>
      <w:kern w:val="14"/>
      <w:sz w:val="20"/>
      <w:szCs w:val="20"/>
      <w:lang w:eastAsia="en-US"/>
    </w:rPr>
  </w:style>
  <w:style w:type="paragraph" w:customStyle="1" w:styleId="Quotation">
    <w:name w:val="Quotation"/>
    <w:basedOn w:val="BodyText"/>
    <w:rsid w:val="005D054C"/>
    <w:pPr>
      <w:spacing w:after="240"/>
      <w:ind w:left="1080" w:right="360"/>
      <w:jc w:val="both"/>
    </w:pPr>
    <w:rPr>
      <w:spacing w:val="-4"/>
      <w:kern w:val="20"/>
    </w:rPr>
  </w:style>
  <w:style w:type="paragraph" w:customStyle="1" w:styleId="Table">
    <w:name w:val="Table"/>
    <w:basedOn w:val="Normal"/>
    <w:rsid w:val="005D054C"/>
    <w:pPr>
      <w:tabs>
        <w:tab w:val="num" w:pos="720"/>
      </w:tabs>
      <w:spacing w:before="120" w:after="120"/>
      <w:jc w:val="left"/>
    </w:pPr>
    <w:rPr>
      <w:sz w:val="22"/>
    </w:rPr>
  </w:style>
  <w:style w:type="table" w:styleId="TableGrid">
    <w:name w:val="Table Grid"/>
    <w:basedOn w:val="TableNormal"/>
    <w:rsid w:val="005D054C"/>
    <w:pPr>
      <w:spacing w:after="240"/>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LastNote">
    <w:name w:val="Table Last Note"/>
    <w:basedOn w:val="Normal"/>
    <w:uiPriority w:val="99"/>
    <w:rsid w:val="005D054C"/>
    <w:pPr>
      <w:keepLines/>
      <w:tabs>
        <w:tab w:val="num" w:pos="0"/>
      </w:tabs>
      <w:spacing w:before="40"/>
    </w:pPr>
    <w:rPr>
      <w:rFonts w:cs="Arial"/>
      <w:sz w:val="18"/>
      <w:szCs w:val="24"/>
    </w:rPr>
  </w:style>
  <w:style w:type="paragraph" w:customStyle="1" w:styleId="TableNotes">
    <w:name w:val="Table Notes"/>
    <w:basedOn w:val="Normal"/>
    <w:uiPriority w:val="99"/>
    <w:rsid w:val="005D054C"/>
    <w:pPr>
      <w:keepNext/>
      <w:keepLines/>
      <w:tabs>
        <w:tab w:val="num" w:pos="720"/>
      </w:tabs>
      <w:spacing w:before="40" w:after="40"/>
    </w:pPr>
    <w:rPr>
      <w:i/>
      <w:sz w:val="18"/>
    </w:rPr>
  </w:style>
  <w:style w:type="paragraph" w:customStyle="1" w:styleId="Text">
    <w:name w:val="Text"/>
    <w:basedOn w:val="Normal"/>
    <w:uiPriority w:val="99"/>
    <w:qFormat/>
    <w:rsid w:val="002806D3"/>
    <w:pPr>
      <w:numPr>
        <w:ilvl w:val="1"/>
        <w:numId w:val="10"/>
      </w:numPr>
    </w:pPr>
  </w:style>
  <w:style w:type="paragraph" w:styleId="TOC1">
    <w:name w:val="toc 1"/>
    <w:basedOn w:val="Normal"/>
    <w:next w:val="Normal"/>
    <w:autoRedefine/>
    <w:uiPriority w:val="39"/>
    <w:rsid w:val="005D054C"/>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uiPriority w:val="39"/>
    <w:rsid w:val="005D054C"/>
    <w:pPr>
      <w:tabs>
        <w:tab w:val="right" w:leader="dot" w:pos="9000"/>
      </w:tabs>
      <w:spacing w:before="240" w:after="0"/>
      <w:ind w:right="360"/>
      <w:jc w:val="left"/>
    </w:pPr>
    <w:rPr>
      <w:b/>
      <w:noProof/>
      <w:kern w:val="0"/>
      <w:sz w:val="22"/>
    </w:rPr>
  </w:style>
  <w:style w:type="paragraph" w:styleId="TOC3">
    <w:name w:val="toc 3"/>
    <w:basedOn w:val="Normal"/>
    <w:next w:val="Normal"/>
    <w:autoRedefine/>
    <w:uiPriority w:val="99"/>
    <w:semiHidden/>
    <w:rsid w:val="005D054C"/>
    <w:pPr>
      <w:tabs>
        <w:tab w:val="right" w:leader="dot" w:pos="9000"/>
      </w:tabs>
      <w:spacing w:after="0"/>
      <w:ind w:right="380"/>
    </w:pPr>
    <w:rPr>
      <w:noProof/>
      <w:sz w:val="18"/>
    </w:rPr>
  </w:style>
  <w:style w:type="paragraph" w:styleId="TOCHeading">
    <w:name w:val="TOC Heading"/>
    <w:basedOn w:val="TOC1"/>
    <w:uiPriority w:val="99"/>
    <w:qFormat/>
    <w:rsid w:val="005D054C"/>
    <w:pPr>
      <w:ind w:right="0"/>
    </w:pPr>
  </w:style>
  <w:style w:type="paragraph" w:customStyle="1" w:styleId="Default">
    <w:name w:val="Default"/>
    <w:uiPriority w:val="99"/>
    <w:rsid w:val="00474CC2"/>
    <w:pPr>
      <w:autoSpaceDE w:val="0"/>
      <w:autoSpaceDN w:val="0"/>
      <w:adjustRightInd w:val="0"/>
    </w:pPr>
    <w:rPr>
      <w:rFonts w:ascii="Verdana" w:hAnsi="Verdana" w:cs="Verdana"/>
      <w:color w:val="000000"/>
      <w:sz w:val="24"/>
      <w:szCs w:val="24"/>
    </w:rPr>
  </w:style>
  <w:style w:type="character" w:customStyle="1" w:styleId="legaddition">
    <w:name w:val="legaddition"/>
    <w:basedOn w:val="DefaultParagraphFont"/>
    <w:uiPriority w:val="99"/>
    <w:rsid w:val="00474CC2"/>
    <w:rPr>
      <w:rFonts w:cs="Times New Roman"/>
    </w:rPr>
  </w:style>
  <w:style w:type="paragraph" w:customStyle="1" w:styleId="Byline">
    <w:name w:val="Byline"/>
    <w:basedOn w:val="Heading3"/>
    <w:rsid w:val="004F03A7"/>
    <w:pPr>
      <w:outlineLvl w:val="4"/>
    </w:pPr>
  </w:style>
  <w:style w:type="paragraph" w:customStyle="1" w:styleId="Heading">
    <w:name w:val="Heading"/>
    <w:next w:val="Text"/>
    <w:uiPriority w:val="99"/>
    <w:rsid w:val="00BA343A"/>
    <w:pPr>
      <w:keepNext/>
      <w:pBdr>
        <w:top w:val="none" w:sz="96" w:space="31" w:color="FFFFFF" w:frame="1"/>
        <w:left w:val="none" w:sz="96" w:space="31" w:color="FFFFFF" w:frame="1"/>
        <w:bottom w:val="none" w:sz="96" w:space="31" w:color="FFFFFF" w:frame="1"/>
        <w:right w:val="none" w:sz="96" w:space="31" w:color="FFFFFF" w:frame="1"/>
        <w:bar w:val="none" w:sz="0" w:color="000000"/>
      </w:pBdr>
      <w:spacing w:after="180"/>
      <w:outlineLvl w:val="0"/>
    </w:pPr>
    <w:rPr>
      <w:rFonts w:ascii="Arial Black" w:eastAsia="Arial Unicode MS" w:hAnsi="Arial Unicode MS" w:cs="Arial Unicode MS"/>
      <w:bCs/>
      <w:color w:val="333333"/>
      <w:sz w:val="28"/>
      <w:szCs w:val="28"/>
      <w:u w:color="333333"/>
      <w:lang w:val="es-ES_tradnl"/>
    </w:rPr>
  </w:style>
  <w:style w:type="paragraph" w:customStyle="1" w:styleId="TableB">
    <w:name w:val="TableB"/>
    <w:basedOn w:val="Table"/>
    <w:next w:val="Table"/>
    <w:uiPriority w:val="99"/>
    <w:rsid w:val="00DC07DC"/>
    <w:pPr>
      <w:tabs>
        <w:tab w:val="clear" w:pos="720"/>
      </w:tabs>
    </w:pPr>
    <w:rPr>
      <w:rFonts w:eastAsia="Arial Unicode MS"/>
      <w:b/>
      <w:szCs w:val="22"/>
    </w:rPr>
  </w:style>
  <w:style w:type="paragraph" w:customStyle="1" w:styleId="T2">
    <w:name w:val="T2"/>
    <w:basedOn w:val="Text"/>
    <w:uiPriority w:val="99"/>
    <w:rsid w:val="00BA343A"/>
    <w:pPr>
      <w:numPr>
        <w:numId w:val="27"/>
      </w:numPr>
      <w:tabs>
        <w:tab w:val="left" w:pos="720"/>
      </w:tabs>
    </w:pPr>
    <w:rPr>
      <w:rFonts w:eastAsia="Arial Unicode MS" w:hAnsi="Arial Unicode MS" w:cs="Arial Unicode MS"/>
      <w:color w:val="000000"/>
      <w:szCs w:val="24"/>
      <w:u w:color="000000"/>
      <w:lang w:val="en-US"/>
    </w:rPr>
  </w:style>
  <w:style w:type="paragraph" w:customStyle="1" w:styleId="Normalnumbered">
    <w:name w:val="Normal numbered"/>
    <w:basedOn w:val="Normal"/>
    <w:rsid w:val="005B7BB9"/>
    <w:pPr>
      <w:tabs>
        <w:tab w:val="num" w:pos="540"/>
      </w:tabs>
      <w:ind w:left="540" w:hanging="360"/>
      <w:jc w:val="left"/>
    </w:pPr>
    <w:rPr>
      <w:rFonts w:ascii="EDFE Meta-Normal Roman" w:hAnsi="EDFE Meta-Normal Roman"/>
      <w:kern w:val="0"/>
      <w:sz w:val="22"/>
    </w:rPr>
  </w:style>
  <w:style w:type="paragraph" w:styleId="TOC4">
    <w:name w:val="toc 4"/>
    <w:basedOn w:val="Normal"/>
    <w:next w:val="Normal"/>
    <w:autoRedefine/>
    <w:locked/>
    <w:rsid w:val="006E546A"/>
    <w:pPr>
      <w:ind w:left="720"/>
    </w:pPr>
  </w:style>
  <w:style w:type="paragraph" w:styleId="TOC5">
    <w:name w:val="toc 5"/>
    <w:basedOn w:val="Normal"/>
    <w:next w:val="Normal"/>
    <w:autoRedefine/>
    <w:locked/>
    <w:rsid w:val="006E546A"/>
    <w:pPr>
      <w:ind w:left="960"/>
    </w:pPr>
  </w:style>
  <w:style w:type="paragraph" w:styleId="TOC6">
    <w:name w:val="toc 6"/>
    <w:basedOn w:val="Normal"/>
    <w:next w:val="Normal"/>
    <w:autoRedefine/>
    <w:locked/>
    <w:rsid w:val="006E546A"/>
    <w:pPr>
      <w:ind w:left="1200"/>
    </w:pPr>
  </w:style>
  <w:style w:type="paragraph" w:styleId="TOC7">
    <w:name w:val="toc 7"/>
    <w:basedOn w:val="Normal"/>
    <w:next w:val="Normal"/>
    <w:autoRedefine/>
    <w:locked/>
    <w:rsid w:val="006E546A"/>
    <w:pPr>
      <w:ind w:left="1440"/>
    </w:pPr>
  </w:style>
  <w:style w:type="paragraph" w:styleId="TOC8">
    <w:name w:val="toc 8"/>
    <w:basedOn w:val="Normal"/>
    <w:next w:val="Normal"/>
    <w:autoRedefine/>
    <w:locked/>
    <w:rsid w:val="006E546A"/>
    <w:pPr>
      <w:ind w:left="1680"/>
    </w:pPr>
  </w:style>
  <w:style w:type="paragraph" w:styleId="TOC9">
    <w:name w:val="toc 9"/>
    <w:basedOn w:val="Normal"/>
    <w:next w:val="Normal"/>
    <w:autoRedefine/>
    <w:locked/>
    <w:rsid w:val="006E546A"/>
    <w:pPr>
      <w:ind w:left="1920"/>
    </w:pPr>
  </w:style>
  <w:style w:type="paragraph" w:styleId="ListParagraph">
    <w:name w:val="List Paragraph"/>
    <w:basedOn w:val="Normal"/>
    <w:uiPriority w:val="34"/>
    <w:qFormat/>
    <w:rsid w:val="00C90D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5920">
      <w:bodyDiv w:val="1"/>
      <w:marLeft w:val="0"/>
      <w:marRight w:val="0"/>
      <w:marTop w:val="0"/>
      <w:marBottom w:val="0"/>
      <w:divBdr>
        <w:top w:val="none" w:sz="0" w:space="0" w:color="auto"/>
        <w:left w:val="none" w:sz="0" w:space="0" w:color="auto"/>
        <w:bottom w:val="none" w:sz="0" w:space="0" w:color="auto"/>
        <w:right w:val="none" w:sz="0" w:space="0" w:color="auto"/>
      </w:divBdr>
    </w:div>
    <w:div w:id="134180338">
      <w:bodyDiv w:val="1"/>
      <w:marLeft w:val="0"/>
      <w:marRight w:val="0"/>
      <w:marTop w:val="0"/>
      <w:marBottom w:val="0"/>
      <w:divBdr>
        <w:top w:val="none" w:sz="0" w:space="0" w:color="auto"/>
        <w:left w:val="none" w:sz="0" w:space="0" w:color="auto"/>
        <w:bottom w:val="none" w:sz="0" w:space="0" w:color="auto"/>
        <w:right w:val="none" w:sz="0" w:space="0" w:color="auto"/>
      </w:divBdr>
    </w:div>
    <w:div w:id="474185264">
      <w:bodyDiv w:val="1"/>
      <w:marLeft w:val="0"/>
      <w:marRight w:val="0"/>
      <w:marTop w:val="0"/>
      <w:marBottom w:val="0"/>
      <w:divBdr>
        <w:top w:val="none" w:sz="0" w:space="0" w:color="auto"/>
        <w:left w:val="none" w:sz="0" w:space="0" w:color="auto"/>
        <w:bottom w:val="none" w:sz="0" w:space="0" w:color="auto"/>
        <w:right w:val="none" w:sz="0" w:space="0" w:color="auto"/>
      </w:divBdr>
    </w:div>
    <w:div w:id="601183036">
      <w:marLeft w:val="0"/>
      <w:marRight w:val="0"/>
      <w:marTop w:val="0"/>
      <w:marBottom w:val="0"/>
      <w:divBdr>
        <w:top w:val="none" w:sz="0" w:space="0" w:color="auto"/>
        <w:left w:val="none" w:sz="0" w:space="0" w:color="auto"/>
        <w:bottom w:val="none" w:sz="0" w:space="0" w:color="auto"/>
        <w:right w:val="none" w:sz="0" w:space="0" w:color="auto"/>
      </w:divBdr>
    </w:div>
    <w:div w:id="601183037">
      <w:marLeft w:val="0"/>
      <w:marRight w:val="0"/>
      <w:marTop w:val="0"/>
      <w:marBottom w:val="0"/>
      <w:divBdr>
        <w:top w:val="none" w:sz="0" w:space="0" w:color="auto"/>
        <w:left w:val="none" w:sz="0" w:space="0" w:color="auto"/>
        <w:bottom w:val="none" w:sz="0" w:space="0" w:color="auto"/>
        <w:right w:val="none" w:sz="0" w:space="0" w:color="auto"/>
      </w:divBdr>
    </w:div>
    <w:div w:id="601183038">
      <w:marLeft w:val="0"/>
      <w:marRight w:val="0"/>
      <w:marTop w:val="0"/>
      <w:marBottom w:val="0"/>
      <w:divBdr>
        <w:top w:val="none" w:sz="0" w:space="0" w:color="auto"/>
        <w:left w:val="none" w:sz="0" w:space="0" w:color="auto"/>
        <w:bottom w:val="none" w:sz="0" w:space="0" w:color="auto"/>
        <w:right w:val="none" w:sz="0" w:space="0" w:color="auto"/>
      </w:divBdr>
    </w:div>
    <w:div w:id="601183039">
      <w:marLeft w:val="0"/>
      <w:marRight w:val="0"/>
      <w:marTop w:val="0"/>
      <w:marBottom w:val="0"/>
      <w:divBdr>
        <w:top w:val="none" w:sz="0" w:space="0" w:color="auto"/>
        <w:left w:val="none" w:sz="0" w:space="0" w:color="auto"/>
        <w:bottom w:val="none" w:sz="0" w:space="0" w:color="auto"/>
        <w:right w:val="none" w:sz="0" w:space="0" w:color="auto"/>
      </w:divBdr>
    </w:div>
    <w:div w:id="601183040">
      <w:marLeft w:val="0"/>
      <w:marRight w:val="0"/>
      <w:marTop w:val="0"/>
      <w:marBottom w:val="0"/>
      <w:divBdr>
        <w:top w:val="none" w:sz="0" w:space="0" w:color="auto"/>
        <w:left w:val="none" w:sz="0" w:space="0" w:color="auto"/>
        <w:bottom w:val="none" w:sz="0" w:space="0" w:color="auto"/>
        <w:right w:val="none" w:sz="0" w:space="0" w:color="auto"/>
      </w:divBdr>
    </w:div>
    <w:div w:id="601183041">
      <w:marLeft w:val="0"/>
      <w:marRight w:val="0"/>
      <w:marTop w:val="0"/>
      <w:marBottom w:val="0"/>
      <w:divBdr>
        <w:top w:val="none" w:sz="0" w:space="0" w:color="auto"/>
        <w:left w:val="none" w:sz="0" w:space="0" w:color="auto"/>
        <w:bottom w:val="none" w:sz="0" w:space="0" w:color="auto"/>
        <w:right w:val="none" w:sz="0" w:space="0" w:color="auto"/>
      </w:divBdr>
    </w:div>
    <w:div w:id="601183042">
      <w:marLeft w:val="0"/>
      <w:marRight w:val="0"/>
      <w:marTop w:val="0"/>
      <w:marBottom w:val="0"/>
      <w:divBdr>
        <w:top w:val="none" w:sz="0" w:space="0" w:color="auto"/>
        <w:left w:val="none" w:sz="0" w:space="0" w:color="auto"/>
        <w:bottom w:val="none" w:sz="0" w:space="0" w:color="auto"/>
        <w:right w:val="none" w:sz="0" w:space="0" w:color="auto"/>
      </w:divBdr>
    </w:div>
    <w:div w:id="601183043">
      <w:marLeft w:val="0"/>
      <w:marRight w:val="0"/>
      <w:marTop w:val="0"/>
      <w:marBottom w:val="0"/>
      <w:divBdr>
        <w:top w:val="none" w:sz="0" w:space="0" w:color="auto"/>
        <w:left w:val="none" w:sz="0" w:space="0" w:color="auto"/>
        <w:bottom w:val="none" w:sz="0" w:space="0" w:color="auto"/>
        <w:right w:val="none" w:sz="0" w:space="0" w:color="auto"/>
      </w:divBdr>
    </w:div>
    <w:div w:id="601183044">
      <w:marLeft w:val="0"/>
      <w:marRight w:val="0"/>
      <w:marTop w:val="0"/>
      <w:marBottom w:val="0"/>
      <w:divBdr>
        <w:top w:val="none" w:sz="0" w:space="0" w:color="auto"/>
        <w:left w:val="none" w:sz="0" w:space="0" w:color="auto"/>
        <w:bottom w:val="none" w:sz="0" w:space="0" w:color="auto"/>
        <w:right w:val="none" w:sz="0" w:space="0" w:color="auto"/>
      </w:divBdr>
    </w:div>
    <w:div w:id="751971981">
      <w:bodyDiv w:val="1"/>
      <w:marLeft w:val="0"/>
      <w:marRight w:val="0"/>
      <w:marTop w:val="0"/>
      <w:marBottom w:val="0"/>
      <w:divBdr>
        <w:top w:val="none" w:sz="0" w:space="0" w:color="auto"/>
        <w:left w:val="none" w:sz="0" w:space="0" w:color="auto"/>
        <w:bottom w:val="none" w:sz="0" w:space="0" w:color="auto"/>
        <w:right w:val="none" w:sz="0" w:space="0" w:color="auto"/>
      </w:divBdr>
    </w:div>
    <w:div w:id="758407021">
      <w:bodyDiv w:val="1"/>
      <w:marLeft w:val="0"/>
      <w:marRight w:val="0"/>
      <w:marTop w:val="0"/>
      <w:marBottom w:val="0"/>
      <w:divBdr>
        <w:top w:val="none" w:sz="0" w:space="0" w:color="auto"/>
        <w:left w:val="none" w:sz="0" w:space="0" w:color="auto"/>
        <w:bottom w:val="none" w:sz="0" w:space="0" w:color="auto"/>
        <w:right w:val="none" w:sz="0" w:space="0" w:color="auto"/>
      </w:divBdr>
    </w:div>
    <w:div w:id="1491865618">
      <w:bodyDiv w:val="1"/>
      <w:marLeft w:val="0"/>
      <w:marRight w:val="0"/>
      <w:marTop w:val="0"/>
      <w:marBottom w:val="0"/>
      <w:divBdr>
        <w:top w:val="none" w:sz="0" w:space="0" w:color="auto"/>
        <w:left w:val="none" w:sz="0" w:space="0" w:color="auto"/>
        <w:bottom w:val="none" w:sz="0" w:space="0" w:color="auto"/>
        <w:right w:val="none" w:sz="0" w:space="0" w:color="auto"/>
      </w:divBdr>
    </w:div>
    <w:div w:id="1603609659">
      <w:bodyDiv w:val="1"/>
      <w:marLeft w:val="0"/>
      <w:marRight w:val="0"/>
      <w:marTop w:val="0"/>
      <w:marBottom w:val="0"/>
      <w:divBdr>
        <w:top w:val="none" w:sz="0" w:space="0" w:color="auto"/>
        <w:left w:val="none" w:sz="0" w:space="0" w:color="auto"/>
        <w:bottom w:val="none" w:sz="0" w:space="0" w:color="auto"/>
        <w:right w:val="none" w:sz="0" w:space="0" w:color="auto"/>
      </w:divBdr>
    </w:div>
    <w:div w:id="1617440348">
      <w:bodyDiv w:val="1"/>
      <w:marLeft w:val="0"/>
      <w:marRight w:val="0"/>
      <w:marTop w:val="0"/>
      <w:marBottom w:val="0"/>
      <w:divBdr>
        <w:top w:val="none" w:sz="0" w:space="0" w:color="auto"/>
        <w:left w:val="none" w:sz="0" w:space="0" w:color="auto"/>
        <w:bottom w:val="none" w:sz="0" w:space="0" w:color="auto"/>
        <w:right w:val="none" w:sz="0" w:space="0" w:color="auto"/>
      </w:divBdr>
    </w:div>
    <w:div w:id="201176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2402E-9ADB-4011-A3C3-165AAFA03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TotalTime>
  <Pages>4</Pages>
  <Words>1037</Words>
  <Characters>5914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6938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 Latrémolière (Reckon)</dc:creator>
  <cp:keywords/>
  <dc:description/>
  <cp:lastModifiedBy>Shankar</cp:lastModifiedBy>
  <cp:revision>20</cp:revision>
  <cp:lastPrinted>2014-06-23T04:29:00Z</cp:lastPrinted>
  <dcterms:created xsi:type="dcterms:W3CDTF">2016-08-30T17:16:00Z</dcterms:created>
  <dcterms:modified xsi:type="dcterms:W3CDTF">2016-08-31T20:02:00Z</dcterms:modified>
  <cp:category/>
</cp:coreProperties>
</file>