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670A4197"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6E8FD82D" w14:textId="77777777" w:rsidR="005079E0" w:rsidRPr="00EB32BB" w:rsidRDefault="00CA136E" w:rsidP="00784486">
            <w:pPr>
              <w:pStyle w:val="Header"/>
              <w:spacing w:before="0" w:after="0"/>
              <w:ind w:left="-284"/>
              <w:rPr>
                <w:rFonts w:cs="Arial"/>
              </w:rPr>
            </w:pPr>
            <w:r>
              <w:rPr>
                <w:rFonts w:cs="Arial"/>
              </w:rPr>
              <w:tab/>
            </w:r>
          </w:p>
          <w:p w14:paraId="1F652DA3" w14:textId="77777777" w:rsidR="006F19E3" w:rsidRPr="00F20FAB" w:rsidRDefault="00ED0E84" w:rsidP="004D3A08">
            <w:pPr>
              <w:tabs>
                <w:tab w:val="left" w:pos="2901"/>
              </w:tabs>
              <w:spacing w:before="240" w:after="240"/>
              <w:ind w:left="113"/>
              <w:rPr>
                <w:rFonts w:cs="Arial"/>
                <w:b/>
                <w:color w:val="FFFFFF"/>
                <w:sz w:val="28"/>
                <w:szCs w:val="28"/>
              </w:rPr>
            </w:pPr>
            <w:r>
              <w:rPr>
                <w:rFonts w:cs="Arial"/>
                <w:b/>
                <w:color w:val="FFFFFF"/>
                <w:sz w:val="28"/>
                <w:szCs w:val="28"/>
              </w:rPr>
              <w:t xml:space="preserve">DCUSA </w:t>
            </w:r>
            <w:r w:rsidR="004D3A08">
              <w:rPr>
                <w:rFonts w:cs="Arial"/>
                <w:b/>
                <w:color w:val="FFFFFF"/>
                <w:sz w:val="28"/>
                <w:szCs w:val="28"/>
              </w:rPr>
              <w:t>DCP 266</w:t>
            </w:r>
            <w:r w:rsidR="002E3A0E">
              <w:rPr>
                <w:rFonts w:cs="Arial"/>
                <w:b/>
                <w:color w:val="FFFFFF"/>
                <w:sz w:val="28"/>
                <w:szCs w:val="28"/>
              </w:rPr>
              <w:t xml:space="preserve">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0794804A"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1668E9DE" w14:textId="77777777" w:rsidTr="000D048A">
        <w:trPr>
          <w:trHeight w:val="3421"/>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F832C3A" w14:textId="77777777" w:rsidR="006F19E3" w:rsidRPr="00EB32BB" w:rsidRDefault="004D3A08" w:rsidP="006F19E3">
            <w:pPr>
              <w:ind w:left="113" w:right="113"/>
              <w:rPr>
                <w:rFonts w:cs="Arial"/>
                <w:i/>
                <w:color w:val="00B274"/>
                <w:sz w:val="24"/>
              </w:rPr>
            </w:pPr>
            <w:r>
              <w:rPr>
                <w:rFonts w:cs="Arial"/>
                <w:color w:val="008576"/>
                <w:sz w:val="80"/>
                <w:szCs w:val="80"/>
              </w:rPr>
              <w:t>DCP 266</w:t>
            </w:r>
          </w:p>
          <w:p w14:paraId="364475E7" w14:textId="0B4C7842" w:rsidR="00D93A95" w:rsidRDefault="004D3A08" w:rsidP="00D36FC3">
            <w:pPr>
              <w:ind w:left="113" w:right="113"/>
              <w:rPr>
                <w:rFonts w:cs="Arial"/>
                <w:color w:val="008000"/>
                <w:sz w:val="24"/>
              </w:rPr>
            </w:pPr>
            <w:r w:rsidRPr="004D3A08">
              <w:rPr>
                <w:rFonts w:cs="Arial"/>
                <w:color w:val="008000"/>
                <w:sz w:val="48"/>
                <w:szCs w:val="48"/>
              </w:rPr>
              <w:t>The calculation and application of IDNO discounts</w:t>
            </w:r>
          </w:p>
          <w:p w14:paraId="7B6BE7AC" w14:textId="77777777" w:rsidR="00370895" w:rsidRPr="000D048A" w:rsidRDefault="006A7B64" w:rsidP="00370895">
            <w:pPr>
              <w:ind w:left="113" w:right="113"/>
              <w:rPr>
                <w:rFonts w:cs="Arial"/>
                <w:color w:val="008000"/>
                <w:sz w:val="32"/>
                <w:szCs w:val="32"/>
              </w:rPr>
            </w:pPr>
            <w:r w:rsidRPr="00F437AD">
              <w:rPr>
                <w:rFonts w:cs="Arial"/>
                <w:sz w:val="32"/>
                <w:szCs w:val="32"/>
              </w:rPr>
              <w:t>Date Raised</w:t>
            </w:r>
            <w:r>
              <w:rPr>
                <w:rFonts w:cs="Arial"/>
                <w:color w:val="008000"/>
                <w:sz w:val="32"/>
                <w:szCs w:val="32"/>
              </w:rPr>
              <w:t xml:space="preserve">: </w:t>
            </w:r>
            <w:r w:rsidR="004D3A08">
              <w:rPr>
                <w:rFonts w:cs="Arial"/>
                <w:color w:val="008000"/>
                <w:sz w:val="32"/>
                <w:szCs w:val="32"/>
              </w:rPr>
              <w:t>9</w:t>
            </w:r>
            <w:r w:rsidR="000D048A" w:rsidRPr="000D048A">
              <w:rPr>
                <w:rFonts w:cs="Arial"/>
                <w:color w:val="008000"/>
                <w:sz w:val="32"/>
                <w:szCs w:val="32"/>
              </w:rPr>
              <w:t xml:space="preserve"> </w:t>
            </w:r>
            <w:r w:rsidR="004D3A08">
              <w:rPr>
                <w:rFonts w:cs="Arial"/>
                <w:color w:val="008000"/>
                <w:sz w:val="32"/>
                <w:szCs w:val="32"/>
              </w:rPr>
              <w:t>March 2016</w:t>
            </w:r>
          </w:p>
          <w:p w14:paraId="75A399A2" w14:textId="77777777" w:rsidR="00370895" w:rsidRPr="000D048A" w:rsidRDefault="006A7B64" w:rsidP="00370895">
            <w:pPr>
              <w:ind w:left="113" w:right="113"/>
              <w:rPr>
                <w:rFonts w:cs="Arial"/>
                <w:color w:val="008000"/>
                <w:sz w:val="32"/>
                <w:szCs w:val="32"/>
              </w:rPr>
            </w:pPr>
            <w:r w:rsidRPr="00F437AD">
              <w:rPr>
                <w:rFonts w:cs="Arial"/>
                <w:sz w:val="32"/>
                <w:szCs w:val="32"/>
              </w:rPr>
              <w:t>CP Status:</w:t>
            </w:r>
            <w:r>
              <w:rPr>
                <w:rFonts w:cs="Arial"/>
                <w:color w:val="008000"/>
                <w:sz w:val="32"/>
                <w:szCs w:val="32"/>
              </w:rPr>
              <w:t xml:space="preserve"> </w:t>
            </w:r>
            <w:r w:rsidR="000D048A" w:rsidRPr="000D048A">
              <w:rPr>
                <w:rFonts w:cs="Arial"/>
                <w:color w:val="008000"/>
                <w:sz w:val="32"/>
                <w:szCs w:val="32"/>
              </w:rPr>
              <w:t>Standard Change</w:t>
            </w:r>
          </w:p>
          <w:p w14:paraId="2049C846" w14:textId="77777777" w:rsidR="00D93A95" w:rsidRPr="00EB32BB" w:rsidRDefault="00D93A95" w:rsidP="00D36FC3">
            <w:pPr>
              <w:ind w:left="113" w:right="113"/>
              <w:rPr>
                <w:rFonts w:cs="Arial"/>
                <w:i/>
                <w:color w:val="00B274"/>
                <w:sz w:val="24"/>
              </w:rPr>
            </w:pP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73205699" w14:textId="77777777" w:rsidTr="00C4569B">
              <w:trPr>
                <w:trHeight w:val="820"/>
              </w:trPr>
              <w:tc>
                <w:tcPr>
                  <w:tcW w:w="2075" w:type="dxa"/>
                  <w:shd w:val="clear" w:color="auto" w:fill="auto"/>
                  <w:vAlign w:val="center"/>
                </w:tcPr>
                <w:p w14:paraId="4994F8F9" w14:textId="77777777" w:rsidR="00F770DC" w:rsidRPr="000E1892" w:rsidRDefault="00F770DC" w:rsidP="00A63309">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3A58CEFE" w14:textId="77777777" w:rsidTr="00F770DC">
              <w:trPr>
                <w:trHeight w:val="802"/>
              </w:trPr>
              <w:tc>
                <w:tcPr>
                  <w:tcW w:w="2075" w:type="dxa"/>
                  <w:shd w:val="clear" w:color="auto" w:fill="0096D7"/>
                  <w:vAlign w:val="center"/>
                </w:tcPr>
                <w:p w14:paraId="3AA72C3C" w14:textId="77777777" w:rsidR="00F770DC" w:rsidRPr="00C4569B" w:rsidRDefault="00F770DC" w:rsidP="00A63309">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1A6169A3" w14:textId="77777777" w:rsidTr="00F770DC">
              <w:trPr>
                <w:trHeight w:val="800"/>
              </w:trPr>
              <w:tc>
                <w:tcPr>
                  <w:tcW w:w="2075" w:type="dxa"/>
                  <w:shd w:val="clear" w:color="auto" w:fill="auto"/>
                  <w:vAlign w:val="center"/>
                </w:tcPr>
                <w:p w14:paraId="7C09ADE7" w14:textId="77777777" w:rsidR="00F770DC" w:rsidRPr="00F770DC" w:rsidRDefault="0007537E" w:rsidP="00A63309">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72EE62C3" w14:textId="77777777" w:rsidTr="00C4569B">
              <w:trPr>
                <w:trHeight w:val="795"/>
              </w:trPr>
              <w:tc>
                <w:tcPr>
                  <w:tcW w:w="2075" w:type="dxa"/>
                  <w:shd w:val="clear" w:color="auto" w:fill="FFFFFF"/>
                  <w:vAlign w:val="center"/>
                </w:tcPr>
                <w:p w14:paraId="261E494A" w14:textId="77777777" w:rsidR="00F770DC" w:rsidRPr="00881D23" w:rsidRDefault="00F770DC" w:rsidP="00A63309">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3E4FCC99" w14:textId="77777777" w:rsidR="006F19E3" w:rsidRPr="00EB32BB" w:rsidRDefault="006F19E3" w:rsidP="00FE4A41">
            <w:pPr>
              <w:spacing w:line="240" w:lineRule="auto"/>
              <w:ind w:left="28" w:right="28"/>
              <w:rPr>
                <w:rFonts w:cs="Arial"/>
                <w:color w:val="008576"/>
                <w:szCs w:val="20"/>
              </w:rPr>
            </w:pPr>
          </w:p>
        </w:tc>
      </w:tr>
      <w:tr w:rsidR="006F19E3" w:rsidRPr="00EB32BB" w14:paraId="1CFEC79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51E0ACC9" w14:textId="77777777" w:rsidR="006F19E3" w:rsidRPr="002812B6" w:rsidRDefault="006F19E3" w:rsidP="002812B6">
            <w:pPr>
              <w:pStyle w:val="BodyText2"/>
              <w:spacing w:before="0" w:after="0"/>
              <w:ind w:left="113" w:right="113"/>
              <w:rPr>
                <w:rFonts w:cs="Arial"/>
                <w:b/>
                <w:i/>
                <w:color w:val="00B274"/>
                <w:sz w:val="22"/>
              </w:rPr>
            </w:pPr>
            <w:r w:rsidRPr="002812B6">
              <w:rPr>
                <w:rFonts w:cs="Arial"/>
                <w:b/>
                <w:sz w:val="22"/>
              </w:rPr>
              <w:t xml:space="preserve">Purpose of </w:t>
            </w:r>
            <w:r w:rsidR="00231812" w:rsidRPr="002812B6">
              <w:rPr>
                <w:rFonts w:cs="Arial"/>
                <w:b/>
                <w:sz w:val="22"/>
              </w:rPr>
              <w:t>Change Proposal</w:t>
            </w:r>
            <w:r w:rsidRPr="002812B6">
              <w:rPr>
                <w:rFonts w:cs="Arial"/>
                <w:b/>
                <w:sz w:val="22"/>
              </w:rPr>
              <w:t>:</w:t>
            </w:r>
            <w:r w:rsidRPr="002812B6">
              <w:rPr>
                <w:rFonts w:cs="Arial"/>
                <w:b/>
                <w:i/>
                <w:color w:val="00B274"/>
                <w:sz w:val="22"/>
              </w:rPr>
              <w:t xml:space="preserve"> </w:t>
            </w:r>
            <w:r w:rsidR="00370895" w:rsidRPr="002812B6">
              <w:rPr>
                <w:rFonts w:cs="Arial"/>
                <w:i/>
                <w:color w:val="00B274"/>
                <w:sz w:val="22"/>
              </w:rPr>
              <w:t xml:space="preserve"> </w:t>
            </w:r>
          </w:p>
          <w:p w14:paraId="33516B45" w14:textId="77777777" w:rsidR="004D3A08" w:rsidRPr="002812B6" w:rsidRDefault="004D3A08" w:rsidP="002812B6">
            <w:pPr>
              <w:pStyle w:val="Heading2"/>
              <w:spacing w:before="0" w:after="0" w:line="360" w:lineRule="auto"/>
              <w:ind w:left="284"/>
              <w:jc w:val="both"/>
              <w:rPr>
                <w:color w:val="auto"/>
                <w:sz w:val="22"/>
                <w:szCs w:val="22"/>
              </w:rPr>
            </w:pPr>
            <w:r w:rsidRPr="002812B6">
              <w:rPr>
                <w:color w:val="auto"/>
                <w:sz w:val="22"/>
                <w:szCs w:val="22"/>
              </w:rPr>
              <w:t>DCP 266 Seeks to change the way in which DNO tariffs to LDNOs are calculated in the CDCM. Instead of calculating an LDNO percentage discount by comparing the avoided total cost (p/kWh) with the total cost (p/kWh) in the CDCM “Price Control Disaggregation Model” (PCDM), the intent of this change proposal is that the avoided total cost (p/kWh) calculated in the PCDM is compared with the average p/kWh figure for each All The Way (ATW) CDCM tariff in order to determine the LDNO % discount factor to be applied to each of the tariff components of the CDCM ATW tariff.</w:t>
            </w:r>
          </w:p>
          <w:p w14:paraId="558CFE25" w14:textId="27923056" w:rsidR="006F19E3" w:rsidRPr="002812B6" w:rsidRDefault="004D3A08" w:rsidP="002812B6">
            <w:pPr>
              <w:pStyle w:val="Heading2"/>
              <w:spacing w:before="240" w:after="60" w:line="360" w:lineRule="auto"/>
              <w:ind w:left="284"/>
              <w:jc w:val="both"/>
              <w:rPr>
                <w:b/>
              </w:rPr>
            </w:pPr>
            <w:r w:rsidRPr="002812B6">
              <w:rPr>
                <w:color w:val="auto"/>
                <w:sz w:val="22"/>
                <w:szCs w:val="22"/>
              </w:rPr>
              <w:t xml:space="preserve">This consultation is seeking views </w:t>
            </w:r>
            <w:r w:rsidR="00D5057D" w:rsidRPr="002812B6">
              <w:rPr>
                <w:color w:val="auto"/>
                <w:sz w:val="22"/>
                <w:szCs w:val="22"/>
              </w:rPr>
              <w:t>including a modifica</w:t>
            </w:r>
            <w:r w:rsidR="00EF21AE" w:rsidRPr="002812B6">
              <w:rPr>
                <w:color w:val="auto"/>
                <w:sz w:val="22"/>
                <w:szCs w:val="22"/>
              </w:rPr>
              <w:t>tion to the intent of the change to include the EDCM</w:t>
            </w:r>
            <w:r w:rsidR="00F3084E" w:rsidRPr="002812B6">
              <w:rPr>
                <w:color w:val="auto"/>
                <w:sz w:val="22"/>
                <w:szCs w:val="22"/>
              </w:rPr>
              <w:t>,</w:t>
            </w:r>
            <w:r w:rsidR="00EF21AE" w:rsidRPr="002812B6">
              <w:rPr>
                <w:color w:val="auto"/>
                <w:sz w:val="22"/>
                <w:szCs w:val="22"/>
              </w:rPr>
              <w:t xml:space="preserve"> </w:t>
            </w:r>
            <w:r w:rsidRPr="002812B6">
              <w:rPr>
                <w:color w:val="auto"/>
                <w:sz w:val="22"/>
                <w:szCs w:val="22"/>
              </w:rPr>
              <w:t xml:space="preserve">from Parties regarding the proposal. Parties are invited to provide their responses by </w:t>
            </w:r>
            <w:r w:rsidRPr="002812B6">
              <w:rPr>
                <w:b/>
                <w:color w:val="auto"/>
                <w:sz w:val="22"/>
                <w:szCs w:val="22"/>
                <w:highlight w:val="yellow"/>
              </w:rPr>
              <w:t>DATE 201</w:t>
            </w:r>
            <w:r w:rsidR="002812B6" w:rsidRPr="002812B6">
              <w:rPr>
                <w:b/>
                <w:color w:val="auto"/>
                <w:sz w:val="22"/>
                <w:szCs w:val="22"/>
                <w:highlight w:val="yellow"/>
              </w:rPr>
              <w:t>7</w:t>
            </w:r>
            <w:r w:rsidRPr="002812B6">
              <w:rPr>
                <w:b/>
                <w:color w:val="auto"/>
                <w:sz w:val="22"/>
                <w:szCs w:val="22"/>
                <w:highlight w:val="yellow"/>
              </w:rPr>
              <w:t>.</w:t>
            </w:r>
          </w:p>
        </w:tc>
      </w:tr>
      <w:tr w:rsidR="006F19E3" w:rsidRPr="00EB32BB" w14:paraId="08344CDE"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53C49F1" w14:textId="77777777" w:rsidR="006F19E3" w:rsidRPr="00EB32BB" w:rsidRDefault="00A63309" w:rsidP="006F19E3">
            <w:pPr>
              <w:ind w:firstLine="9"/>
              <w:jc w:val="center"/>
              <w:rPr>
                <w:rFonts w:cs="Arial"/>
              </w:rPr>
            </w:pPr>
            <w:r>
              <w:rPr>
                <w:rFonts w:cs="Arial"/>
                <w:noProof/>
                <w:lang w:val="en-US" w:eastAsia="en-US"/>
              </w:rPr>
              <w:pict w14:anchorId="6DC6A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Description: YES_GREEN" style="width:36.75pt;height:36.75pt;visibility:visible">
                  <v:imagedata r:id="rId8" o:title=" YES_GREEN"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24ED8B14" w14:textId="77777777" w:rsidR="000D048A" w:rsidRPr="002812B6" w:rsidRDefault="00F770DC" w:rsidP="002812B6">
            <w:pPr>
              <w:pStyle w:val="BodyText3"/>
              <w:ind w:left="362" w:right="113"/>
              <w:rPr>
                <w:rFonts w:cs="Arial"/>
                <w:i/>
                <w:color w:val="00B274"/>
                <w:sz w:val="22"/>
              </w:rPr>
            </w:pPr>
            <w:r w:rsidRPr="002812B6">
              <w:rPr>
                <w:sz w:val="22"/>
              </w:rPr>
              <w:t xml:space="preserve">The Workgroup recommends that this </w:t>
            </w:r>
            <w:r w:rsidR="00944047" w:rsidRPr="002812B6">
              <w:rPr>
                <w:sz w:val="22"/>
              </w:rPr>
              <w:t xml:space="preserve">Change Proposal </w:t>
            </w:r>
            <w:r w:rsidR="006A7B64" w:rsidRPr="002812B6">
              <w:rPr>
                <w:sz w:val="22"/>
              </w:rPr>
              <w:t xml:space="preserve">(CP) </w:t>
            </w:r>
            <w:r w:rsidRPr="002812B6">
              <w:rPr>
                <w:sz w:val="22"/>
              </w:rPr>
              <w:t>should:</w:t>
            </w:r>
            <w:r w:rsidRPr="002812B6">
              <w:rPr>
                <w:rFonts w:cs="Arial"/>
                <w:sz w:val="22"/>
              </w:rPr>
              <w:t xml:space="preserve"> </w:t>
            </w:r>
          </w:p>
          <w:p w14:paraId="47FD40BA" w14:textId="0FAE227E" w:rsidR="00F770DC" w:rsidRPr="002812B6" w:rsidRDefault="00D5057D" w:rsidP="002812B6">
            <w:pPr>
              <w:pStyle w:val="BodyText3"/>
              <w:numPr>
                <w:ilvl w:val="0"/>
                <w:numId w:val="28"/>
              </w:numPr>
              <w:ind w:left="929" w:right="113" w:hanging="283"/>
              <w:rPr>
                <w:rFonts w:cs="Arial"/>
                <w:sz w:val="22"/>
              </w:rPr>
            </w:pPr>
            <w:r w:rsidRPr="002812B6">
              <w:rPr>
                <w:rFonts w:cs="Arial"/>
                <w:sz w:val="22"/>
              </w:rPr>
              <w:t>Proceed to consultation</w:t>
            </w:r>
          </w:p>
          <w:p w14:paraId="59A8FDD4" w14:textId="77777777" w:rsidR="00231812" w:rsidRPr="002812B6" w:rsidRDefault="003328B8" w:rsidP="002812B6">
            <w:pPr>
              <w:pStyle w:val="Heading2"/>
              <w:spacing w:before="240" w:after="60" w:line="360" w:lineRule="auto"/>
              <w:ind w:left="362"/>
              <w:rPr>
                <w:rFonts w:ascii="Calibri" w:hAnsi="Calibri" w:cs="Verdana"/>
                <w:color w:val="000000"/>
                <w:sz w:val="22"/>
                <w:szCs w:val="22"/>
              </w:rPr>
            </w:pPr>
            <w:r w:rsidRPr="002812B6">
              <w:rPr>
                <w:rFonts w:cs="Times New Roman"/>
                <w:bCs w:val="0"/>
                <w:iCs w:val="0"/>
                <w:color w:val="auto"/>
                <w:sz w:val="22"/>
                <w:szCs w:val="16"/>
              </w:rPr>
              <w:t xml:space="preserve">Parties are invited to consider the questions set </w:t>
            </w:r>
            <w:r w:rsidR="00C6196F" w:rsidRPr="002812B6">
              <w:rPr>
                <w:rFonts w:cs="Times New Roman"/>
                <w:bCs w:val="0"/>
                <w:iCs w:val="0"/>
                <w:color w:val="auto"/>
                <w:sz w:val="22"/>
                <w:szCs w:val="16"/>
              </w:rPr>
              <w:t>in section 9</w:t>
            </w:r>
            <w:r w:rsidRPr="002812B6">
              <w:rPr>
                <w:rFonts w:cs="Times New Roman"/>
                <w:bCs w:val="0"/>
                <w:iCs w:val="0"/>
                <w:color w:val="auto"/>
                <w:sz w:val="22"/>
                <w:szCs w:val="16"/>
              </w:rPr>
              <w:t xml:space="preserve"> and submit comments using the form attached as Attachment 1 </w:t>
            </w:r>
            <w:r w:rsidRPr="002812B6">
              <w:rPr>
                <w:bCs w:val="0"/>
                <w:iCs w:val="0"/>
                <w:color w:val="auto"/>
                <w:sz w:val="22"/>
                <w:szCs w:val="24"/>
              </w:rPr>
              <w:t>to</w:t>
            </w:r>
            <w:r w:rsidRPr="002812B6">
              <w:rPr>
                <w:color w:val="000000"/>
                <w:sz w:val="22"/>
                <w:szCs w:val="24"/>
              </w:rPr>
              <w:t xml:space="preserve"> </w:t>
            </w:r>
            <w:r w:rsidRPr="002812B6">
              <w:rPr>
                <w:color w:val="0000FF"/>
                <w:sz w:val="22"/>
                <w:szCs w:val="24"/>
                <w:u w:val="single"/>
              </w:rPr>
              <w:t>dcusa@electralink.co.uk</w:t>
            </w:r>
            <w:r w:rsidRPr="002812B6">
              <w:rPr>
                <w:rFonts w:ascii="Calibri" w:hAnsi="Calibri" w:cs="Verdana"/>
                <w:color w:val="000000"/>
                <w:sz w:val="22"/>
                <w:szCs w:val="22"/>
              </w:rPr>
              <w:t xml:space="preserve"> </w:t>
            </w:r>
            <w:r w:rsidRPr="002812B6">
              <w:rPr>
                <w:rFonts w:cs="Times New Roman"/>
                <w:bCs w:val="0"/>
                <w:iCs w:val="0"/>
                <w:color w:val="auto"/>
                <w:sz w:val="22"/>
                <w:szCs w:val="16"/>
                <w:highlight w:val="yellow"/>
              </w:rPr>
              <w:t>by</w:t>
            </w:r>
            <w:r w:rsidRPr="002812B6">
              <w:rPr>
                <w:rFonts w:ascii="Calibri" w:hAnsi="Calibri" w:cs="Verdana"/>
                <w:color w:val="000000"/>
                <w:sz w:val="22"/>
                <w:szCs w:val="22"/>
                <w:highlight w:val="yellow"/>
              </w:rPr>
              <w:t xml:space="preserve"> </w:t>
            </w:r>
            <w:r w:rsidR="00752811" w:rsidRPr="002812B6">
              <w:rPr>
                <w:rFonts w:cs="Times New Roman"/>
                <w:b/>
                <w:bCs w:val="0"/>
                <w:iCs w:val="0"/>
                <w:color w:val="auto"/>
                <w:sz w:val="22"/>
                <w:szCs w:val="16"/>
                <w:highlight w:val="yellow"/>
              </w:rPr>
              <w:t>DATE</w:t>
            </w:r>
            <w:r w:rsidR="006864ED" w:rsidRPr="002812B6">
              <w:rPr>
                <w:rFonts w:cs="Times New Roman"/>
                <w:b/>
                <w:bCs w:val="0"/>
                <w:iCs w:val="0"/>
                <w:color w:val="auto"/>
                <w:sz w:val="22"/>
                <w:szCs w:val="16"/>
                <w:highlight w:val="yellow"/>
              </w:rPr>
              <w:t xml:space="preserve"> 201</w:t>
            </w:r>
            <w:r w:rsidR="00352CE1" w:rsidRPr="002812B6">
              <w:rPr>
                <w:rFonts w:cs="Times New Roman"/>
                <w:b/>
                <w:bCs w:val="0"/>
                <w:iCs w:val="0"/>
                <w:color w:val="auto"/>
                <w:sz w:val="22"/>
                <w:szCs w:val="16"/>
                <w:highlight w:val="yellow"/>
              </w:rPr>
              <w:t>7</w:t>
            </w:r>
            <w:r w:rsidR="006864ED" w:rsidRPr="002812B6">
              <w:rPr>
                <w:rFonts w:cs="Times New Roman"/>
                <w:b/>
                <w:bCs w:val="0"/>
                <w:iCs w:val="0"/>
                <w:color w:val="auto"/>
                <w:sz w:val="22"/>
                <w:szCs w:val="16"/>
                <w:highlight w:val="yellow"/>
              </w:rPr>
              <w:t>.</w:t>
            </w:r>
          </w:p>
          <w:p w14:paraId="431E9B30" w14:textId="77777777" w:rsidR="006F19E3" w:rsidRPr="002812B6" w:rsidRDefault="00BB3DE9" w:rsidP="002812B6">
            <w:pPr>
              <w:pStyle w:val="BodyText3"/>
              <w:ind w:left="362" w:right="113"/>
              <w:rPr>
                <w:rFonts w:cs="Arial"/>
                <w:sz w:val="22"/>
              </w:rPr>
            </w:pPr>
            <w:r w:rsidRPr="002812B6">
              <w:rPr>
                <w:rFonts w:cs="Arial"/>
                <w:sz w:val="22"/>
              </w:rPr>
              <w:t xml:space="preserve">The </w:t>
            </w:r>
            <w:r w:rsidR="003328B8" w:rsidRPr="002812B6">
              <w:rPr>
                <w:rFonts w:cs="Arial"/>
                <w:sz w:val="22"/>
              </w:rPr>
              <w:t xml:space="preserve">Working Group </w:t>
            </w:r>
            <w:r w:rsidRPr="002812B6">
              <w:rPr>
                <w:rFonts w:cs="Arial"/>
                <w:sz w:val="22"/>
              </w:rPr>
              <w:t xml:space="preserve">will consider </w:t>
            </w:r>
            <w:r w:rsidR="003328B8" w:rsidRPr="002812B6">
              <w:rPr>
                <w:rFonts w:cs="Arial"/>
                <w:sz w:val="22"/>
              </w:rPr>
              <w:t xml:space="preserve">the consultation responses </w:t>
            </w:r>
            <w:r w:rsidR="006F19E3" w:rsidRPr="002812B6">
              <w:rPr>
                <w:rFonts w:cs="Arial"/>
                <w:sz w:val="22"/>
              </w:rPr>
              <w:t xml:space="preserve">and determine the appropriate </w:t>
            </w:r>
            <w:r w:rsidR="00D36FC3" w:rsidRPr="002812B6">
              <w:rPr>
                <w:rFonts w:cs="Arial"/>
                <w:sz w:val="22"/>
              </w:rPr>
              <w:t>next steps</w:t>
            </w:r>
            <w:r w:rsidR="003328B8" w:rsidRPr="002812B6">
              <w:rPr>
                <w:rFonts w:cs="Arial"/>
                <w:sz w:val="22"/>
              </w:rPr>
              <w:t xml:space="preserve"> for the </w:t>
            </w:r>
            <w:r w:rsidR="00F770DC" w:rsidRPr="002812B6">
              <w:rPr>
                <w:rFonts w:cs="Arial"/>
                <w:sz w:val="22"/>
              </w:rPr>
              <w:t>progression</w:t>
            </w:r>
            <w:r w:rsidR="00E20E29" w:rsidRPr="002812B6">
              <w:rPr>
                <w:rFonts w:cs="Arial"/>
                <w:sz w:val="22"/>
              </w:rPr>
              <w:t xml:space="preserve"> of the </w:t>
            </w:r>
            <w:r w:rsidR="006A7B64" w:rsidRPr="002812B6">
              <w:rPr>
                <w:rFonts w:cs="Arial"/>
                <w:sz w:val="22"/>
              </w:rPr>
              <w:t>CP.</w:t>
            </w:r>
          </w:p>
        </w:tc>
      </w:tr>
      <w:tr w:rsidR="006F19E3" w:rsidRPr="00EB32BB" w14:paraId="53E362B1"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9759E9D" w14:textId="77777777" w:rsidR="006F19E3" w:rsidRPr="00EB32BB" w:rsidRDefault="00A63309" w:rsidP="006F19E3">
            <w:pPr>
              <w:spacing w:before="60" w:after="60"/>
              <w:ind w:firstLine="9"/>
              <w:jc w:val="center"/>
              <w:rPr>
                <w:rFonts w:cs="Arial"/>
              </w:rPr>
            </w:pPr>
            <w:r>
              <w:rPr>
                <w:rFonts w:cs="Arial"/>
                <w:noProof/>
                <w:lang w:val="en-US" w:eastAsia="en-US"/>
              </w:rPr>
              <w:pict w14:anchorId="79F141D8">
                <v:shape id="Picture 3" o:spid="_x0000_i1026" type="#_x0000_t75" alt="Description: Description: High_Impact" style="width:36.75pt;height:36.75pt;visibility:visible">
                  <v:imagedata r:id="rId9"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D13757F" w14:textId="701F3ECF" w:rsidR="006F19E3" w:rsidRPr="002812B6" w:rsidRDefault="00370895" w:rsidP="002812B6">
            <w:pPr>
              <w:ind w:left="113" w:right="113"/>
              <w:rPr>
                <w:rFonts w:cs="Arial"/>
                <w:sz w:val="22"/>
              </w:rPr>
            </w:pPr>
            <w:r w:rsidRPr="002812B6">
              <w:rPr>
                <w:sz w:val="22"/>
              </w:rPr>
              <w:t>Impacted Parties</w:t>
            </w:r>
            <w:r w:rsidR="00231812" w:rsidRPr="002812B6">
              <w:rPr>
                <w:sz w:val="22"/>
              </w:rPr>
              <w:t xml:space="preserve">: </w:t>
            </w:r>
            <w:r w:rsidR="000D048A" w:rsidRPr="002812B6">
              <w:rPr>
                <w:sz w:val="22"/>
              </w:rPr>
              <w:t xml:space="preserve"> DNOs, IDNOs, Suppliers</w:t>
            </w:r>
          </w:p>
        </w:tc>
      </w:tr>
      <w:tr w:rsidR="005D1C6B" w:rsidRPr="00EB32BB" w14:paraId="6DAA2D87"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54DFC9D" w14:textId="77777777" w:rsidR="005D1C6B" w:rsidRPr="00EB32BB" w:rsidRDefault="00A63309" w:rsidP="005D1C6B">
            <w:pPr>
              <w:spacing w:before="60" w:after="60"/>
              <w:ind w:firstLine="9"/>
              <w:jc w:val="center"/>
              <w:rPr>
                <w:rFonts w:cs="Arial"/>
              </w:rPr>
            </w:pPr>
            <w:r>
              <w:rPr>
                <w:rFonts w:cs="Arial"/>
                <w:noProof/>
                <w:lang w:val="en-US" w:eastAsia="en-US"/>
              </w:rPr>
              <w:pict w14:anchorId="3777F454">
                <v:shape id="_x0000_i1027" type="#_x0000_t75" alt="Description: Description: High_Impact" style="width:36.75pt;height:36.75pt;visibility:visible">
                  <v:imagedata r:id="rId9"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2BE0E47C" w14:textId="66A47204" w:rsidR="005D1C6B" w:rsidRPr="002812B6" w:rsidRDefault="005D1C6B" w:rsidP="00752811">
            <w:pPr>
              <w:ind w:left="113" w:right="113"/>
              <w:rPr>
                <w:rFonts w:cs="Arial"/>
                <w:sz w:val="22"/>
              </w:rPr>
            </w:pPr>
            <w:r w:rsidRPr="002812B6">
              <w:rPr>
                <w:sz w:val="22"/>
              </w:rPr>
              <w:t>Impacted Clauses:</w:t>
            </w:r>
            <w:r w:rsidR="000D048A" w:rsidRPr="002812B6">
              <w:rPr>
                <w:sz w:val="22"/>
              </w:rPr>
              <w:t xml:space="preserve"> </w:t>
            </w:r>
            <w:r w:rsidR="00752811" w:rsidRPr="002812B6">
              <w:rPr>
                <w:sz w:val="22"/>
              </w:rPr>
              <w:t>Schedule 16</w:t>
            </w:r>
            <w:r w:rsidR="00EF21AE" w:rsidRPr="002812B6">
              <w:rPr>
                <w:sz w:val="22"/>
              </w:rPr>
              <w:t>, para 52.  Schedule x, various Clauses</w:t>
            </w:r>
            <w:r w:rsidR="00EF21AE" w:rsidRPr="002812B6">
              <w:rPr>
                <w:rStyle w:val="FootnoteReference"/>
                <w:sz w:val="22"/>
              </w:rPr>
              <w:footnoteReference w:id="1"/>
            </w:r>
          </w:p>
        </w:tc>
      </w:tr>
    </w:tbl>
    <w:tbl>
      <w:tblPr>
        <w:tblW w:w="10207" w:type="dxa"/>
        <w:tblInd w:w="-176" w:type="dxa"/>
        <w:tblLayout w:type="fixed"/>
        <w:tblLook w:val="04A0" w:firstRow="1" w:lastRow="0" w:firstColumn="1" w:lastColumn="0" w:noHBand="0" w:noVBand="1"/>
      </w:tblPr>
      <w:tblGrid>
        <w:gridCol w:w="7939"/>
        <w:gridCol w:w="2268"/>
      </w:tblGrid>
      <w:tr w:rsidR="00F10E14" w:rsidRPr="00EB32BB" w14:paraId="3455D7D8"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6FD86906" w14:textId="77777777" w:rsidR="00F10E14" w:rsidRPr="00EB32BB" w:rsidRDefault="00F10E14" w:rsidP="00AF7744">
            <w:pPr>
              <w:pStyle w:val="Contents02"/>
              <w:rPr>
                <w:noProof/>
              </w:rPr>
            </w:pPr>
            <w:r w:rsidRPr="00EB32BB">
              <w:rPr>
                <w:noProof/>
              </w:rPr>
              <w:lastRenderedPageBreak/>
              <w:t>Contents</w:t>
            </w:r>
          </w:p>
          <w:p w14:paraId="3B4A1D52" w14:textId="56B31ADC" w:rsidR="00287844" w:rsidRDefault="00F10E14" w:rsidP="00287844">
            <w:pPr>
              <w:pStyle w:val="TOC1"/>
              <w:framePr w:wrap="around"/>
              <w:rPr>
                <w:rFonts w:asciiTheme="minorHAnsi" w:eastAsiaTheme="minorEastAsia" w:hAnsiTheme="minorHAnsi" w:cstheme="minorBidi"/>
                <w:b w:val="0"/>
                <w:bCs w:val="0"/>
                <w:color w:val="auto"/>
                <w:sz w:val="22"/>
                <w:szCs w:val="22"/>
              </w:rPr>
            </w:pPr>
            <w:r w:rsidRPr="00EB32BB">
              <w:fldChar w:fldCharType="begin"/>
            </w:r>
            <w:r w:rsidRPr="00EB32BB">
              <w:instrText xml:space="preserve"> TOC \o "1-1" </w:instrText>
            </w:r>
            <w:r w:rsidRPr="00EB32BB">
              <w:fldChar w:fldCharType="separate"/>
            </w:r>
            <w:r w:rsidR="00287844">
              <w:t>1.</w:t>
            </w:r>
            <w:r w:rsidR="00287844">
              <w:rPr>
                <w:rFonts w:asciiTheme="minorHAnsi" w:eastAsiaTheme="minorEastAsia" w:hAnsiTheme="minorHAnsi" w:cstheme="minorBidi"/>
                <w:b w:val="0"/>
                <w:bCs w:val="0"/>
                <w:color w:val="auto"/>
                <w:sz w:val="22"/>
                <w:szCs w:val="22"/>
              </w:rPr>
              <w:tab/>
            </w:r>
            <w:r w:rsidR="00287844">
              <w:t>Summary</w:t>
            </w:r>
            <w:r w:rsidR="00287844">
              <w:tab/>
            </w:r>
            <w:r w:rsidR="00287844">
              <w:fldChar w:fldCharType="begin"/>
            </w:r>
            <w:r w:rsidR="00287844">
              <w:instrText xml:space="preserve"> PAGEREF _Toc494981273 \h </w:instrText>
            </w:r>
            <w:r w:rsidR="00287844">
              <w:fldChar w:fldCharType="separate"/>
            </w:r>
            <w:r w:rsidR="00287844">
              <w:t>3</w:t>
            </w:r>
            <w:r w:rsidR="00287844">
              <w:fldChar w:fldCharType="end"/>
            </w:r>
          </w:p>
          <w:p w14:paraId="2553A6EF" w14:textId="60D49FE9" w:rsidR="00287844" w:rsidRDefault="00287844" w:rsidP="00287844">
            <w:pPr>
              <w:pStyle w:val="TOC1"/>
              <w:framePr w:wrap="around"/>
              <w:rPr>
                <w:rFonts w:asciiTheme="minorHAnsi" w:eastAsiaTheme="minorEastAsia" w:hAnsiTheme="minorHAnsi" w:cstheme="minorBidi"/>
                <w:b w:val="0"/>
                <w:bCs w:val="0"/>
                <w:color w:val="auto"/>
                <w:sz w:val="22"/>
                <w:szCs w:val="22"/>
              </w:rPr>
            </w:pPr>
            <w:r>
              <w:t>2</w:t>
            </w:r>
            <w:r>
              <w:rPr>
                <w:rFonts w:asciiTheme="minorHAnsi" w:eastAsiaTheme="minorEastAsia" w:hAnsiTheme="minorHAnsi" w:cstheme="minorBidi"/>
                <w:b w:val="0"/>
                <w:bCs w:val="0"/>
                <w:color w:val="auto"/>
                <w:sz w:val="22"/>
                <w:szCs w:val="22"/>
              </w:rPr>
              <w:tab/>
            </w:r>
            <w:r>
              <w:t>Governance</w:t>
            </w:r>
            <w:r>
              <w:tab/>
            </w:r>
            <w:r>
              <w:fldChar w:fldCharType="begin"/>
            </w:r>
            <w:r>
              <w:instrText xml:space="preserve"> PAGEREF _Toc494981274 \h </w:instrText>
            </w:r>
            <w:r>
              <w:fldChar w:fldCharType="separate"/>
            </w:r>
            <w:r>
              <w:t>3</w:t>
            </w:r>
            <w:r>
              <w:fldChar w:fldCharType="end"/>
            </w:r>
          </w:p>
          <w:p w14:paraId="1537F7FE" w14:textId="6A19871E" w:rsidR="00287844" w:rsidRDefault="00287844" w:rsidP="00287844">
            <w:pPr>
              <w:pStyle w:val="TOC1"/>
              <w:framePr w:wrap="around"/>
              <w:rPr>
                <w:rFonts w:asciiTheme="minorHAnsi" w:eastAsiaTheme="minorEastAsia" w:hAnsiTheme="minorHAnsi" w:cstheme="minorBidi"/>
                <w:b w:val="0"/>
                <w:bCs w:val="0"/>
                <w:color w:val="auto"/>
                <w:sz w:val="22"/>
                <w:szCs w:val="22"/>
              </w:rPr>
            </w:pPr>
            <w:r>
              <w:t>3</w:t>
            </w:r>
            <w:r>
              <w:rPr>
                <w:rFonts w:asciiTheme="minorHAnsi" w:eastAsiaTheme="minorEastAsia" w:hAnsiTheme="minorHAnsi" w:cstheme="minorBidi"/>
                <w:b w:val="0"/>
                <w:bCs w:val="0"/>
                <w:color w:val="auto"/>
                <w:sz w:val="22"/>
                <w:szCs w:val="22"/>
              </w:rPr>
              <w:tab/>
            </w:r>
            <w:r>
              <w:t>Why Change?</w:t>
            </w:r>
            <w:r>
              <w:tab/>
            </w:r>
            <w:r>
              <w:fldChar w:fldCharType="begin"/>
            </w:r>
            <w:r>
              <w:instrText xml:space="preserve"> PAGEREF _Toc494981275 \h </w:instrText>
            </w:r>
            <w:r>
              <w:fldChar w:fldCharType="separate"/>
            </w:r>
            <w:r>
              <w:t>4</w:t>
            </w:r>
            <w:r>
              <w:fldChar w:fldCharType="end"/>
            </w:r>
          </w:p>
          <w:p w14:paraId="1F318499" w14:textId="32BCFDB0" w:rsidR="00287844" w:rsidRDefault="00287844" w:rsidP="00287844">
            <w:pPr>
              <w:pStyle w:val="TOC1"/>
              <w:framePr w:wrap="around"/>
              <w:rPr>
                <w:rFonts w:asciiTheme="minorHAnsi" w:eastAsiaTheme="minorEastAsia" w:hAnsiTheme="minorHAnsi" w:cstheme="minorBidi"/>
                <w:b w:val="0"/>
                <w:bCs w:val="0"/>
                <w:color w:val="auto"/>
                <w:sz w:val="22"/>
                <w:szCs w:val="22"/>
              </w:rPr>
            </w:pPr>
            <w:r>
              <w:t>4</w:t>
            </w:r>
            <w:r>
              <w:rPr>
                <w:rFonts w:asciiTheme="minorHAnsi" w:eastAsiaTheme="minorEastAsia" w:hAnsiTheme="minorHAnsi" w:cstheme="minorBidi"/>
                <w:b w:val="0"/>
                <w:bCs w:val="0"/>
                <w:color w:val="auto"/>
                <w:sz w:val="22"/>
                <w:szCs w:val="22"/>
              </w:rPr>
              <w:tab/>
            </w:r>
            <w:r>
              <w:t>DCP 266 Working Group Assessment</w:t>
            </w:r>
            <w:r>
              <w:tab/>
            </w:r>
            <w:r>
              <w:fldChar w:fldCharType="begin"/>
            </w:r>
            <w:r>
              <w:instrText xml:space="preserve"> PAGEREF _Toc494981276 \h </w:instrText>
            </w:r>
            <w:r>
              <w:fldChar w:fldCharType="separate"/>
            </w:r>
            <w:r>
              <w:t>6</w:t>
            </w:r>
            <w:r>
              <w:fldChar w:fldCharType="end"/>
            </w:r>
          </w:p>
          <w:p w14:paraId="49B89356" w14:textId="77B7FA88" w:rsidR="00287844" w:rsidRDefault="00287844" w:rsidP="00287844">
            <w:pPr>
              <w:pStyle w:val="TOC1"/>
              <w:framePr w:wrap="around"/>
              <w:rPr>
                <w:rFonts w:asciiTheme="minorHAnsi" w:eastAsiaTheme="minorEastAsia" w:hAnsiTheme="minorHAnsi" w:cstheme="minorBidi"/>
                <w:b w:val="0"/>
                <w:bCs w:val="0"/>
                <w:color w:val="auto"/>
                <w:sz w:val="22"/>
                <w:szCs w:val="22"/>
              </w:rPr>
            </w:pPr>
            <w:r>
              <w:t>5</w:t>
            </w:r>
            <w:r>
              <w:rPr>
                <w:rFonts w:asciiTheme="minorHAnsi" w:eastAsiaTheme="minorEastAsia" w:hAnsiTheme="minorHAnsi" w:cstheme="minorBidi"/>
                <w:b w:val="0"/>
                <w:bCs w:val="0"/>
                <w:color w:val="auto"/>
                <w:sz w:val="22"/>
                <w:szCs w:val="22"/>
              </w:rPr>
              <w:tab/>
            </w:r>
            <w:r>
              <w:t>Relevant Objectives</w:t>
            </w:r>
            <w:r>
              <w:tab/>
            </w:r>
            <w:r>
              <w:fldChar w:fldCharType="begin"/>
            </w:r>
            <w:r>
              <w:instrText xml:space="preserve"> PAGEREF _Toc494981277 \h </w:instrText>
            </w:r>
            <w:r>
              <w:fldChar w:fldCharType="separate"/>
            </w:r>
            <w:r>
              <w:t>15</w:t>
            </w:r>
            <w:r>
              <w:fldChar w:fldCharType="end"/>
            </w:r>
          </w:p>
          <w:p w14:paraId="48F91518" w14:textId="1480974A" w:rsidR="00287844" w:rsidRDefault="00287844" w:rsidP="00287844">
            <w:pPr>
              <w:pStyle w:val="TOC1"/>
              <w:framePr w:wrap="around"/>
              <w:rPr>
                <w:rFonts w:asciiTheme="minorHAnsi" w:eastAsiaTheme="minorEastAsia" w:hAnsiTheme="minorHAnsi" w:cstheme="minorBidi"/>
                <w:b w:val="0"/>
                <w:bCs w:val="0"/>
                <w:color w:val="auto"/>
                <w:sz w:val="22"/>
                <w:szCs w:val="22"/>
              </w:rPr>
            </w:pPr>
            <w:r>
              <w:t>6</w:t>
            </w:r>
            <w:r>
              <w:rPr>
                <w:rFonts w:asciiTheme="minorHAnsi" w:eastAsiaTheme="minorEastAsia" w:hAnsiTheme="minorHAnsi" w:cstheme="minorBidi"/>
                <w:b w:val="0"/>
                <w:bCs w:val="0"/>
                <w:color w:val="auto"/>
                <w:sz w:val="22"/>
                <w:szCs w:val="22"/>
              </w:rPr>
              <w:tab/>
            </w:r>
            <w:r>
              <w:t>Impacts &amp; other considerations</w:t>
            </w:r>
            <w:r>
              <w:tab/>
            </w:r>
            <w:r>
              <w:fldChar w:fldCharType="begin"/>
            </w:r>
            <w:r>
              <w:instrText xml:space="preserve"> PAGEREF _Toc494981278 \h </w:instrText>
            </w:r>
            <w:r>
              <w:fldChar w:fldCharType="separate"/>
            </w:r>
            <w:r>
              <w:t>16</w:t>
            </w:r>
            <w:r>
              <w:fldChar w:fldCharType="end"/>
            </w:r>
          </w:p>
          <w:p w14:paraId="16AB252B" w14:textId="69615E63" w:rsidR="00287844" w:rsidRDefault="00287844" w:rsidP="00287844">
            <w:pPr>
              <w:pStyle w:val="TOC1"/>
              <w:framePr w:wrap="around"/>
              <w:rPr>
                <w:rFonts w:asciiTheme="minorHAnsi" w:eastAsiaTheme="minorEastAsia" w:hAnsiTheme="minorHAnsi" w:cstheme="minorBidi"/>
                <w:b w:val="0"/>
                <w:bCs w:val="0"/>
                <w:color w:val="auto"/>
                <w:sz w:val="22"/>
                <w:szCs w:val="22"/>
              </w:rPr>
            </w:pPr>
            <w:r>
              <w:t>7</w:t>
            </w:r>
            <w:r>
              <w:rPr>
                <w:rFonts w:asciiTheme="minorHAnsi" w:eastAsiaTheme="minorEastAsia" w:hAnsiTheme="minorHAnsi" w:cstheme="minorBidi"/>
                <w:b w:val="0"/>
                <w:bCs w:val="0"/>
                <w:color w:val="auto"/>
                <w:sz w:val="22"/>
                <w:szCs w:val="22"/>
              </w:rPr>
              <w:tab/>
            </w:r>
            <w:r>
              <w:t>Implementation</w:t>
            </w:r>
            <w:r>
              <w:tab/>
            </w:r>
            <w:r>
              <w:fldChar w:fldCharType="begin"/>
            </w:r>
            <w:r>
              <w:instrText xml:space="preserve"> PAGEREF _Toc494981279 \h </w:instrText>
            </w:r>
            <w:r>
              <w:fldChar w:fldCharType="separate"/>
            </w:r>
            <w:r>
              <w:t>18</w:t>
            </w:r>
            <w:r>
              <w:fldChar w:fldCharType="end"/>
            </w:r>
          </w:p>
          <w:p w14:paraId="3EBDA83B" w14:textId="5D597DFE" w:rsidR="00287844" w:rsidRDefault="00287844" w:rsidP="00287844">
            <w:pPr>
              <w:pStyle w:val="TOC1"/>
              <w:framePr w:wrap="around"/>
              <w:rPr>
                <w:rFonts w:asciiTheme="minorHAnsi" w:eastAsiaTheme="minorEastAsia" w:hAnsiTheme="minorHAnsi" w:cstheme="minorBidi"/>
                <w:b w:val="0"/>
                <w:bCs w:val="0"/>
                <w:color w:val="auto"/>
                <w:sz w:val="22"/>
                <w:szCs w:val="22"/>
              </w:rPr>
            </w:pPr>
            <w:r>
              <w:t>8</w:t>
            </w:r>
            <w:r>
              <w:rPr>
                <w:rFonts w:asciiTheme="minorHAnsi" w:eastAsiaTheme="minorEastAsia" w:hAnsiTheme="minorHAnsi" w:cstheme="minorBidi"/>
                <w:b w:val="0"/>
                <w:bCs w:val="0"/>
                <w:color w:val="auto"/>
                <w:sz w:val="22"/>
                <w:szCs w:val="22"/>
              </w:rPr>
              <w:tab/>
            </w:r>
            <w:r>
              <w:t>Legal Text</w:t>
            </w:r>
            <w:r>
              <w:tab/>
            </w:r>
            <w:r>
              <w:fldChar w:fldCharType="begin"/>
            </w:r>
            <w:r>
              <w:instrText xml:space="preserve"> PAGEREF _Toc494981280 \h </w:instrText>
            </w:r>
            <w:r>
              <w:fldChar w:fldCharType="separate"/>
            </w:r>
            <w:r>
              <w:t>18</w:t>
            </w:r>
            <w:r>
              <w:fldChar w:fldCharType="end"/>
            </w:r>
          </w:p>
          <w:p w14:paraId="0CEBAF76" w14:textId="5E82E869" w:rsidR="00287844" w:rsidRDefault="00287844" w:rsidP="00287844">
            <w:pPr>
              <w:pStyle w:val="TOC1"/>
              <w:framePr w:wrap="around"/>
              <w:rPr>
                <w:rFonts w:asciiTheme="minorHAnsi" w:eastAsiaTheme="minorEastAsia" w:hAnsiTheme="minorHAnsi" w:cstheme="minorBidi"/>
                <w:b w:val="0"/>
                <w:bCs w:val="0"/>
                <w:color w:val="auto"/>
                <w:sz w:val="22"/>
                <w:szCs w:val="22"/>
              </w:rPr>
            </w:pPr>
            <w:r>
              <w:t>9</w:t>
            </w:r>
            <w:r>
              <w:rPr>
                <w:rFonts w:asciiTheme="minorHAnsi" w:eastAsiaTheme="minorEastAsia" w:hAnsiTheme="minorHAnsi" w:cstheme="minorBidi"/>
                <w:b w:val="0"/>
                <w:bCs w:val="0"/>
                <w:color w:val="auto"/>
                <w:sz w:val="22"/>
                <w:szCs w:val="22"/>
              </w:rPr>
              <w:tab/>
            </w:r>
            <w:r>
              <w:t>Consultation Questions</w:t>
            </w:r>
            <w:r>
              <w:tab/>
            </w:r>
            <w:r>
              <w:fldChar w:fldCharType="begin"/>
            </w:r>
            <w:r>
              <w:instrText xml:space="preserve"> PAGEREF _Toc494981281 \h </w:instrText>
            </w:r>
            <w:r>
              <w:fldChar w:fldCharType="separate"/>
            </w:r>
            <w:r>
              <w:t>19</w:t>
            </w:r>
            <w:r>
              <w:fldChar w:fldCharType="end"/>
            </w:r>
          </w:p>
          <w:p w14:paraId="45DFE8DA" w14:textId="7665D285" w:rsidR="00F10E14" w:rsidRPr="00EB32BB" w:rsidRDefault="00F10E14" w:rsidP="00440FAE">
            <w:pPr>
              <w:pStyle w:val="TOCMOD"/>
              <w:framePr w:wrap="around"/>
              <w:tabs>
                <w:tab w:val="clear" w:pos="382"/>
                <w:tab w:val="clear" w:pos="7655"/>
                <w:tab w:val="left" w:pos="5385"/>
              </w:tabs>
              <w:rPr>
                <w:rFonts w:cs="Arial"/>
              </w:rPr>
            </w:pPr>
            <w:r w:rsidRPr="00EB32BB">
              <w:rPr>
                <w:rFonts w:cs="Arial"/>
              </w:rPr>
              <w:fldChar w:fldCharType="end"/>
            </w:r>
            <w:r w:rsidR="00440FAE">
              <w:rPr>
                <w:rFonts w:cs="Arial"/>
              </w:rPr>
              <w:tab/>
            </w:r>
          </w:p>
          <w:p w14:paraId="39F4CFA8" w14:textId="77777777" w:rsidR="00F10E14" w:rsidRPr="00EB32BB" w:rsidRDefault="00AD606D" w:rsidP="00AF7744">
            <w:pPr>
              <w:pStyle w:val="Contents02"/>
            </w:pPr>
            <w:r>
              <w:t>Timetable</w:t>
            </w:r>
          </w:p>
          <w:p w14:paraId="7FCF3F69" w14:textId="77777777" w:rsidR="005D1C6B" w:rsidRPr="000E3826" w:rsidRDefault="005D1C6B" w:rsidP="005D1C6B">
            <w:pPr>
              <w:rPr>
                <w:rFonts w:cs="Arial"/>
                <w:szCs w:val="20"/>
                <w:lang w:val="en-US"/>
              </w:rPr>
            </w:pPr>
            <w:r w:rsidRPr="000E3826">
              <w:rPr>
                <w:rFonts w:cs="Arial"/>
                <w:szCs w:val="20"/>
                <w:lang w:val="en-US"/>
              </w:rPr>
              <w:t>The timetable for the progression of the CP is as follows:</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E80788" w14:paraId="554BC3F6" w14:textId="77777777" w:rsidTr="00E81739">
              <w:tc>
                <w:tcPr>
                  <w:tcW w:w="7933" w:type="dxa"/>
                  <w:gridSpan w:val="2"/>
                  <w:shd w:val="clear" w:color="auto" w:fill="auto"/>
                </w:tcPr>
                <w:p w14:paraId="15FE3BE0" w14:textId="77777777" w:rsidR="00AA69EF" w:rsidRPr="00E80788" w:rsidRDefault="00231812" w:rsidP="005D1C6B">
                  <w:pPr>
                    <w:spacing w:before="40" w:after="40"/>
                    <w:rPr>
                      <w:rFonts w:ascii="Calibri" w:hAnsi="Calibri" w:cs="Arial"/>
                      <w:sz w:val="22"/>
                      <w:szCs w:val="22"/>
                    </w:rPr>
                  </w:pPr>
                  <w:r w:rsidRPr="00E80788">
                    <w:rPr>
                      <w:rFonts w:ascii="Calibri" w:hAnsi="Calibri" w:cs="Arial"/>
                      <w:b/>
                      <w:sz w:val="22"/>
                      <w:szCs w:val="22"/>
                    </w:rPr>
                    <w:t>Change Proposal</w:t>
                  </w:r>
                  <w:r w:rsidR="00AA69EF" w:rsidRPr="00E80788">
                    <w:rPr>
                      <w:rFonts w:ascii="Calibri" w:hAnsi="Calibri" w:cs="Arial"/>
                      <w:b/>
                      <w:sz w:val="22"/>
                      <w:szCs w:val="22"/>
                    </w:rPr>
                    <w:t xml:space="preserve"> timetable</w:t>
                  </w:r>
                  <w:r w:rsidR="00AD606D" w:rsidRPr="00E80788">
                    <w:rPr>
                      <w:rFonts w:ascii="Calibri" w:hAnsi="Calibri" w:cs="Arial"/>
                      <w:b/>
                      <w:sz w:val="22"/>
                      <w:szCs w:val="22"/>
                    </w:rPr>
                    <w:t>:</w:t>
                  </w:r>
                  <w:r w:rsidR="00AA69EF" w:rsidRPr="00E80788">
                    <w:rPr>
                      <w:rFonts w:ascii="Calibri" w:hAnsi="Calibri" w:cs="Arial"/>
                      <w:i/>
                      <w:sz w:val="22"/>
                      <w:szCs w:val="22"/>
                    </w:rPr>
                    <w:t xml:space="preserve"> </w:t>
                  </w:r>
                </w:p>
              </w:tc>
            </w:tr>
            <w:tr w:rsidR="005D1C6B" w:rsidRPr="00EB32BB" w14:paraId="5EEF6A73" w14:textId="77777777" w:rsidTr="00F535CA">
              <w:tc>
                <w:tcPr>
                  <w:tcW w:w="5665" w:type="dxa"/>
                  <w:shd w:val="clear" w:color="auto" w:fill="BDD6EE"/>
                </w:tcPr>
                <w:p w14:paraId="56A98810" w14:textId="77777777" w:rsidR="005D1C6B" w:rsidRPr="00FF0C32" w:rsidRDefault="005D1C6B" w:rsidP="005D1C6B">
                  <w:pPr>
                    <w:pStyle w:val="Heading4"/>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40D5A388" w14:textId="77777777" w:rsidR="005D1C6B" w:rsidRPr="007F41DB" w:rsidRDefault="005D1C6B" w:rsidP="005D1C6B">
                  <w:pPr>
                    <w:pStyle w:val="Heading4"/>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5D1C6B" w:rsidRPr="00EB32BB" w14:paraId="090819BF" w14:textId="77777777" w:rsidTr="005D1C6B">
              <w:tc>
                <w:tcPr>
                  <w:tcW w:w="5665" w:type="dxa"/>
                  <w:shd w:val="clear" w:color="auto" w:fill="auto"/>
                </w:tcPr>
                <w:p w14:paraId="21D3BA03" w14:textId="77777777" w:rsidR="005D1C6B" w:rsidRPr="000E3826" w:rsidRDefault="005D1C6B" w:rsidP="005D1C6B">
                  <w:pPr>
                    <w:tabs>
                      <w:tab w:val="left" w:pos="171"/>
                    </w:tabs>
                    <w:spacing w:before="40" w:after="40"/>
                    <w:rPr>
                      <w:rFonts w:cs="Arial"/>
                      <w:szCs w:val="20"/>
                    </w:rPr>
                  </w:pPr>
                  <w:r w:rsidRPr="000E3826">
                    <w:rPr>
                      <w:rFonts w:cs="Arial"/>
                      <w:szCs w:val="20"/>
                    </w:rPr>
                    <w:t>Initial Assessment Report Approved by Panel</w:t>
                  </w:r>
                </w:p>
              </w:tc>
              <w:tc>
                <w:tcPr>
                  <w:tcW w:w="2268" w:type="dxa"/>
                  <w:shd w:val="clear" w:color="auto" w:fill="auto"/>
                  <w:vAlign w:val="center"/>
                </w:tcPr>
                <w:p w14:paraId="5293BEB5" w14:textId="77777777" w:rsidR="005D1C6B" w:rsidRPr="000E3826" w:rsidRDefault="00DC5325" w:rsidP="000D048A">
                  <w:pPr>
                    <w:spacing w:before="40" w:after="40"/>
                    <w:rPr>
                      <w:rFonts w:cs="Arial"/>
                      <w:szCs w:val="20"/>
                    </w:rPr>
                  </w:pPr>
                  <w:r>
                    <w:rPr>
                      <w:rFonts w:cs="Arial"/>
                      <w:szCs w:val="20"/>
                    </w:rPr>
                    <w:t>09 March 2016</w:t>
                  </w:r>
                </w:p>
              </w:tc>
            </w:tr>
            <w:tr w:rsidR="005D1C6B" w:rsidRPr="00EB32BB" w14:paraId="0C555056" w14:textId="77777777" w:rsidTr="005D1C6B">
              <w:tc>
                <w:tcPr>
                  <w:tcW w:w="5665" w:type="dxa"/>
                  <w:shd w:val="clear" w:color="auto" w:fill="auto"/>
                </w:tcPr>
                <w:p w14:paraId="16D06EC2" w14:textId="77777777" w:rsidR="005D1C6B" w:rsidRPr="000E3826" w:rsidRDefault="00CA136E" w:rsidP="00CA136E">
                  <w:pPr>
                    <w:tabs>
                      <w:tab w:val="left" w:pos="171"/>
                    </w:tabs>
                    <w:spacing w:before="40" w:after="40"/>
                    <w:rPr>
                      <w:rFonts w:cs="Arial"/>
                      <w:szCs w:val="20"/>
                    </w:rPr>
                  </w:pPr>
                  <w:r w:rsidRPr="000E3826">
                    <w:rPr>
                      <w:rFonts w:cs="Arial"/>
                      <w:szCs w:val="20"/>
                    </w:rPr>
                    <w:t>Consultation issued</w:t>
                  </w:r>
                  <w:r w:rsidR="005D1C6B" w:rsidRPr="000E3826">
                    <w:rPr>
                      <w:rFonts w:cs="Arial"/>
                      <w:szCs w:val="20"/>
                    </w:rPr>
                    <w:t xml:space="preserve"> to P</w:t>
                  </w:r>
                  <w:r w:rsidRPr="000E3826">
                    <w:rPr>
                      <w:rFonts w:cs="Arial"/>
                      <w:szCs w:val="20"/>
                    </w:rPr>
                    <w:t>arties</w:t>
                  </w:r>
                </w:p>
              </w:tc>
              <w:tc>
                <w:tcPr>
                  <w:tcW w:w="2268" w:type="dxa"/>
                  <w:shd w:val="clear" w:color="auto" w:fill="auto"/>
                  <w:vAlign w:val="center"/>
                </w:tcPr>
                <w:p w14:paraId="5535CF0F" w14:textId="00396780" w:rsidR="005D1C6B" w:rsidRPr="000E3826" w:rsidRDefault="004C1260" w:rsidP="006864ED">
                  <w:pPr>
                    <w:spacing w:before="40" w:after="40"/>
                    <w:rPr>
                      <w:rFonts w:cs="Arial"/>
                      <w:szCs w:val="20"/>
                    </w:rPr>
                  </w:pPr>
                  <w:r>
                    <w:rPr>
                      <w:rFonts w:cs="Arial"/>
                      <w:szCs w:val="20"/>
                    </w:rPr>
                    <w:t>14 October 2017</w:t>
                  </w:r>
                </w:p>
              </w:tc>
            </w:tr>
            <w:tr w:rsidR="005D1C6B" w:rsidRPr="00EB32BB" w14:paraId="428873FF" w14:textId="77777777" w:rsidTr="005D1C6B">
              <w:tc>
                <w:tcPr>
                  <w:tcW w:w="5665" w:type="dxa"/>
                  <w:shd w:val="clear" w:color="auto" w:fill="auto"/>
                </w:tcPr>
                <w:p w14:paraId="3FF7BD92" w14:textId="77777777" w:rsidR="005D1C6B" w:rsidRPr="000E3826" w:rsidRDefault="005D1C6B" w:rsidP="00CA136E">
                  <w:pPr>
                    <w:tabs>
                      <w:tab w:val="left" w:pos="171"/>
                    </w:tabs>
                    <w:spacing w:before="40" w:after="40"/>
                    <w:rPr>
                      <w:rFonts w:cs="Arial"/>
                      <w:szCs w:val="20"/>
                    </w:rPr>
                  </w:pPr>
                  <w:r w:rsidRPr="000E3826">
                    <w:rPr>
                      <w:rFonts w:cs="Arial"/>
                      <w:szCs w:val="20"/>
                    </w:rPr>
                    <w:t xml:space="preserve">Change Report issued </w:t>
                  </w:r>
                  <w:r w:rsidR="00CA136E" w:rsidRPr="000E3826">
                    <w:rPr>
                      <w:rFonts w:cs="Arial"/>
                      <w:szCs w:val="20"/>
                    </w:rPr>
                    <w:t>to Panel</w:t>
                  </w:r>
                </w:p>
              </w:tc>
              <w:tc>
                <w:tcPr>
                  <w:tcW w:w="2268" w:type="dxa"/>
                  <w:shd w:val="clear" w:color="auto" w:fill="auto"/>
                  <w:vAlign w:val="center"/>
                </w:tcPr>
                <w:p w14:paraId="1E306B13" w14:textId="3544433C" w:rsidR="005D1C6B" w:rsidRPr="000E3826" w:rsidRDefault="00A660CE" w:rsidP="005D1C6B">
                  <w:pPr>
                    <w:spacing w:before="40" w:after="40"/>
                    <w:rPr>
                      <w:rFonts w:cs="Arial"/>
                      <w:szCs w:val="20"/>
                    </w:rPr>
                  </w:pPr>
                  <w:r>
                    <w:rPr>
                      <w:rFonts w:cs="Arial"/>
                      <w:szCs w:val="20"/>
                    </w:rPr>
                    <w:t>10 January 2018</w:t>
                  </w:r>
                </w:p>
              </w:tc>
            </w:tr>
            <w:tr w:rsidR="00CA136E" w:rsidRPr="00EB32BB" w14:paraId="3EF623D0" w14:textId="77777777" w:rsidTr="005D1C6B">
              <w:tc>
                <w:tcPr>
                  <w:tcW w:w="5665" w:type="dxa"/>
                  <w:shd w:val="clear" w:color="auto" w:fill="auto"/>
                </w:tcPr>
                <w:p w14:paraId="07D6CB0B" w14:textId="77777777" w:rsidR="00CA136E" w:rsidRPr="000E3826" w:rsidRDefault="00CA136E" w:rsidP="00CA136E">
                  <w:pPr>
                    <w:tabs>
                      <w:tab w:val="left" w:pos="171"/>
                    </w:tabs>
                    <w:spacing w:before="40" w:after="40"/>
                    <w:rPr>
                      <w:rFonts w:cs="Arial"/>
                      <w:szCs w:val="20"/>
                    </w:rPr>
                  </w:pPr>
                  <w:r w:rsidRPr="000E3826">
                    <w:rPr>
                      <w:rFonts w:cs="Arial"/>
                      <w:szCs w:val="20"/>
                    </w:rPr>
                    <w:t>Change Report issued for Voting</w:t>
                  </w:r>
                </w:p>
              </w:tc>
              <w:tc>
                <w:tcPr>
                  <w:tcW w:w="2268" w:type="dxa"/>
                  <w:shd w:val="clear" w:color="auto" w:fill="auto"/>
                  <w:vAlign w:val="center"/>
                </w:tcPr>
                <w:p w14:paraId="56380A76" w14:textId="16D4354F" w:rsidR="00CA136E" w:rsidRPr="000E3826" w:rsidRDefault="00A660CE" w:rsidP="005D1C6B">
                  <w:pPr>
                    <w:spacing w:before="40" w:after="40"/>
                    <w:rPr>
                      <w:rFonts w:cs="Arial"/>
                      <w:szCs w:val="20"/>
                    </w:rPr>
                  </w:pPr>
                  <w:r>
                    <w:rPr>
                      <w:rFonts w:cs="Arial"/>
                      <w:szCs w:val="20"/>
                    </w:rPr>
                    <w:t>19 January 2018</w:t>
                  </w:r>
                </w:p>
              </w:tc>
            </w:tr>
            <w:tr w:rsidR="005D1C6B" w:rsidRPr="00EB32BB" w14:paraId="621BA67B" w14:textId="77777777" w:rsidTr="005D1C6B">
              <w:tc>
                <w:tcPr>
                  <w:tcW w:w="5665" w:type="dxa"/>
                  <w:shd w:val="clear" w:color="auto" w:fill="auto"/>
                </w:tcPr>
                <w:p w14:paraId="03C8BF54" w14:textId="77777777" w:rsidR="005D1C6B" w:rsidRPr="000E3826" w:rsidRDefault="005D1C6B" w:rsidP="005D1C6B">
                  <w:pPr>
                    <w:tabs>
                      <w:tab w:val="left" w:pos="171"/>
                    </w:tabs>
                    <w:spacing w:before="40" w:after="40"/>
                    <w:rPr>
                      <w:rFonts w:cs="Arial"/>
                      <w:szCs w:val="20"/>
                    </w:rPr>
                  </w:pPr>
                  <w:r w:rsidRPr="000E3826">
                    <w:rPr>
                      <w:rFonts w:cs="Arial"/>
                      <w:szCs w:val="20"/>
                    </w:rPr>
                    <w:t>Party Voting Ends</w:t>
                  </w:r>
                </w:p>
              </w:tc>
              <w:tc>
                <w:tcPr>
                  <w:tcW w:w="2268" w:type="dxa"/>
                  <w:shd w:val="clear" w:color="auto" w:fill="auto"/>
                  <w:vAlign w:val="center"/>
                </w:tcPr>
                <w:p w14:paraId="4760A80C" w14:textId="660DD7C3" w:rsidR="005D1C6B" w:rsidRPr="000E3826" w:rsidRDefault="00A660CE" w:rsidP="005D1C6B">
                  <w:pPr>
                    <w:spacing w:before="40" w:after="40"/>
                    <w:rPr>
                      <w:rFonts w:cs="Arial"/>
                      <w:szCs w:val="20"/>
                    </w:rPr>
                  </w:pPr>
                  <w:r>
                    <w:rPr>
                      <w:rFonts w:cs="Arial"/>
                      <w:szCs w:val="20"/>
                    </w:rPr>
                    <w:t>09 February 2018</w:t>
                  </w:r>
                </w:p>
              </w:tc>
            </w:tr>
            <w:tr w:rsidR="00A660CE" w:rsidRPr="00EB32BB" w14:paraId="5D362B51" w14:textId="77777777" w:rsidTr="005D1C6B">
              <w:tc>
                <w:tcPr>
                  <w:tcW w:w="5665" w:type="dxa"/>
                  <w:shd w:val="clear" w:color="auto" w:fill="auto"/>
                </w:tcPr>
                <w:p w14:paraId="592D6454" w14:textId="77777777" w:rsidR="00A660CE" w:rsidRPr="000E3826" w:rsidRDefault="00A660CE" w:rsidP="00A660CE">
                  <w:pPr>
                    <w:tabs>
                      <w:tab w:val="left" w:pos="171"/>
                    </w:tabs>
                    <w:spacing w:before="40" w:after="40"/>
                    <w:rPr>
                      <w:rFonts w:cs="Arial"/>
                      <w:szCs w:val="20"/>
                    </w:rPr>
                  </w:pPr>
                  <w:r w:rsidRPr="000E3826">
                    <w:rPr>
                      <w:rFonts w:cs="Arial"/>
                      <w:szCs w:val="20"/>
                    </w:rPr>
                    <w:t>[Change Declaration issued to Authority]</w:t>
                  </w:r>
                </w:p>
              </w:tc>
              <w:tc>
                <w:tcPr>
                  <w:tcW w:w="2268" w:type="dxa"/>
                  <w:shd w:val="clear" w:color="auto" w:fill="auto"/>
                  <w:vAlign w:val="center"/>
                </w:tcPr>
                <w:p w14:paraId="3D6EC2DB" w14:textId="3C1B394B" w:rsidR="00A660CE" w:rsidRPr="000E3826" w:rsidRDefault="00A660CE" w:rsidP="00A660CE">
                  <w:pPr>
                    <w:spacing w:before="40" w:after="40"/>
                    <w:rPr>
                      <w:rFonts w:cs="Arial"/>
                      <w:szCs w:val="20"/>
                    </w:rPr>
                  </w:pPr>
                  <w:r>
                    <w:rPr>
                      <w:rFonts w:cs="Arial"/>
                      <w:szCs w:val="20"/>
                    </w:rPr>
                    <w:t>13 February 2018</w:t>
                  </w:r>
                </w:p>
              </w:tc>
            </w:tr>
            <w:tr w:rsidR="00A660CE" w:rsidRPr="00EB32BB" w14:paraId="1512669E" w14:textId="77777777" w:rsidTr="005D1C6B">
              <w:trPr>
                <w:trHeight w:val="93"/>
              </w:trPr>
              <w:tc>
                <w:tcPr>
                  <w:tcW w:w="5665" w:type="dxa"/>
                  <w:shd w:val="clear" w:color="auto" w:fill="auto"/>
                </w:tcPr>
                <w:p w14:paraId="0228A184" w14:textId="77777777" w:rsidR="00A660CE" w:rsidRPr="000E3826" w:rsidRDefault="00A660CE" w:rsidP="00A660CE">
                  <w:pPr>
                    <w:tabs>
                      <w:tab w:val="left" w:pos="171"/>
                    </w:tabs>
                    <w:spacing w:before="40" w:after="40"/>
                    <w:rPr>
                      <w:rFonts w:cs="Arial"/>
                      <w:szCs w:val="20"/>
                    </w:rPr>
                  </w:pPr>
                  <w:r w:rsidRPr="000E3826">
                    <w:rPr>
                      <w:rFonts w:cs="Arial"/>
                      <w:szCs w:val="20"/>
                    </w:rPr>
                    <w:t>[Authority Decision]</w:t>
                  </w:r>
                </w:p>
              </w:tc>
              <w:tc>
                <w:tcPr>
                  <w:tcW w:w="2268" w:type="dxa"/>
                  <w:shd w:val="clear" w:color="auto" w:fill="auto"/>
                  <w:vAlign w:val="center"/>
                </w:tcPr>
                <w:p w14:paraId="6BC8E552" w14:textId="7B71C9D5" w:rsidR="00A660CE" w:rsidRPr="000E3826" w:rsidRDefault="00A660CE" w:rsidP="00A660CE">
                  <w:pPr>
                    <w:spacing w:before="40" w:after="40"/>
                    <w:rPr>
                      <w:rFonts w:cs="Arial"/>
                      <w:szCs w:val="20"/>
                    </w:rPr>
                  </w:pPr>
                  <w:r>
                    <w:rPr>
                      <w:rFonts w:cs="Arial"/>
                      <w:szCs w:val="20"/>
                    </w:rPr>
                    <w:t>20 March 2018</w:t>
                  </w:r>
                </w:p>
              </w:tc>
            </w:tr>
          </w:tbl>
          <w:p w14:paraId="7DF76E1F" w14:textId="77777777" w:rsidR="000D66EC" w:rsidRPr="00EB32BB" w:rsidRDefault="000D66EC"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8489A58" w14:textId="77777777" w:rsidR="00F10E14" w:rsidRPr="00EB32BB" w:rsidRDefault="00A63309" w:rsidP="00291083">
            <w:pPr>
              <w:pStyle w:val="BodyText"/>
              <w:spacing w:before="60" w:after="60" w:line="240" w:lineRule="auto"/>
              <w:rPr>
                <w:rFonts w:cs="Arial"/>
                <w:szCs w:val="20"/>
              </w:rPr>
            </w:pPr>
            <w:r>
              <w:rPr>
                <w:rFonts w:cs="Arial"/>
                <w:noProof/>
                <w:szCs w:val="20"/>
                <w:lang w:val="en-US" w:eastAsia="en-US"/>
              </w:rPr>
              <w:pict w14:anchorId="0FE513E9">
                <v:shape id="Picture 24" o:spid="_x0000_i1028" type="#_x0000_t75" style="width:22.5pt;height:22.5pt;visibility:visible">
                  <v:imagedata r:id="rId10" o:title=""/>
                </v:shape>
              </w:pict>
            </w:r>
            <w:r w:rsidR="00F10E14" w:rsidRPr="00EB32BB">
              <w:rPr>
                <w:rFonts w:cs="Arial"/>
                <w:b/>
                <w:color w:val="008576"/>
                <w:szCs w:val="20"/>
              </w:rPr>
              <w:t xml:space="preserve"> Any questions?</w:t>
            </w:r>
          </w:p>
        </w:tc>
      </w:tr>
      <w:tr w:rsidR="00F10E14" w:rsidRPr="00EB32BB" w14:paraId="4EA35A9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C4643F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EA989E3"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191B7D51" w14:textId="0C039F6E" w:rsidR="00F10E14" w:rsidRPr="00EB32BB" w:rsidRDefault="0067689E" w:rsidP="0077742E">
            <w:pPr>
              <w:pStyle w:val="BodyText"/>
              <w:spacing w:before="60" w:after="60" w:line="240" w:lineRule="auto"/>
              <w:rPr>
                <w:rFonts w:cs="Arial"/>
                <w:color w:val="008576"/>
                <w:szCs w:val="20"/>
              </w:rPr>
            </w:pPr>
            <w:r>
              <w:rPr>
                <w:rFonts w:cs="Arial"/>
                <w:b/>
                <w:color w:val="008576"/>
                <w:szCs w:val="20"/>
              </w:rPr>
              <w:t>Code Administrator</w:t>
            </w:r>
            <w:r w:rsidR="00F04014">
              <w:rPr>
                <w:rFonts w:cs="Arial"/>
                <w:b/>
                <w:color w:val="008576"/>
                <w:szCs w:val="20"/>
              </w:rPr>
              <w:t xml:space="preserve"> </w:t>
            </w:r>
          </w:p>
        </w:tc>
      </w:tr>
      <w:tr w:rsidR="00F10E14" w:rsidRPr="00EB32BB" w14:paraId="525FCA8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BD6A48C"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4738553" w14:textId="77777777" w:rsidR="00F10E14" w:rsidRDefault="00A63309" w:rsidP="005B0B30">
            <w:pPr>
              <w:pStyle w:val="BodyText"/>
              <w:spacing w:before="60" w:after="60" w:line="240" w:lineRule="auto"/>
              <w:rPr>
                <w:rFonts w:cs="Arial"/>
                <w:b/>
                <w:color w:val="008576"/>
                <w:szCs w:val="20"/>
                <w:lang w:val="en-US"/>
              </w:rPr>
            </w:pPr>
            <w:r>
              <w:rPr>
                <w:rFonts w:cs="Arial"/>
                <w:b/>
                <w:noProof/>
                <w:color w:val="008576"/>
                <w:szCs w:val="20"/>
                <w:lang w:val="en-US" w:eastAsia="en-US"/>
              </w:rPr>
              <w:pict w14:anchorId="62397981">
                <v:shape id="Picture 11" o:spid="_x0000_i1029" type="#_x0000_t75" alt="Description: Description: email_us_go_online" style="width:22.5pt;height:22.5pt;visibility:visible">
                  <v:imagedata r:id="rId11" o:title=" email_us_go_online"/>
                </v:shape>
              </w:pict>
            </w:r>
            <w:r w:rsidR="005B0B30">
              <w:rPr>
                <w:rFonts w:cs="Arial"/>
                <w:b/>
                <w:color w:val="008576"/>
                <w:szCs w:val="20"/>
                <w:lang w:val="en-US"/>
              </w:rPr>
              <w:t>email address</w:t>
            </w:r>
          </w:p>
          <w:p w14:paraId="7ECE7B5E" w14:textId="77777777" w:rsidR="00F04014" w:rsidRPr="00DC5325" w:rsidRDefault="00A63309" w:rsidP="005B0B30">
            <w:pPr>
              <w:pStyle w:val="BodyText"/>
              <w:spacing w:before="60" w:after="60" w:line="240" w:lineRule="auto"/>
              <w:rPr>
                <w:rFonts w:cs="Arial"/>
                <w:b/>
                <w:color w:val="008576"/>
                <w:szCs w:val="20"/>
              </w:rPr>
            </w:pPr>
            <w:hyperlink r:id="rId12" w:history="1">
              <w:r w:rsidR="00F04014" w:rsidRPr="00DC5325">
                <w:rPr>
                  <w:rStyle w:val="Hyperlink"/>
                  <w:rFonts w:cs="Arial"/>
                  <w:b/>
                  <w:szCs w:val="20"/>
                </w:rPr>
                <w:t>DCUSA@electralink.co.uk</w:t>
              </w:r>
            </w:hyperlink>
            <w:r w:rsidR="00F04014" w:rsidRPr="00DC5325">
              <w:rPr>
                <w:rFonts w:cs="Arial"/>
                <w:b/>
                <w:color w:val="008576"/>
                <w:szCs w:val="20"/>
              </w:rPr>
              <w:t xml:space="preserve"> </w:t>
            </w:r>
          </w:p>
        </w:tc>
      </w:tr>
      <w:tr w:rsidR="00F10E14" w:rsidRPr="00EB32BB" w14:paraId="08FA045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FE9367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0DA7CFE" w14:textId="6786CE15" w:rsidR="00F10E14" w:rsidRPr="00EB32BB" w:rsidRDefault="00A63309" w:rsidP="005B0B30">
            <w:pPr>
              <w:pStyle w:val="BodyText"/>
              <w:spacing w:before="60" w:after="60" w:line="240" w:lineRule="auto"/>
              <w:rPr>
                <w:rFonts w:cs="Arial"/>
                <w:color w:val="008576"/>
                <w:szCs w:val="20"/>
              </w:rPr>
            </w:pPr>
            <w:r>
              <w:rPr>
                <w:rFonts w:cs="Arial"/>
                <w:b/>
                <w:noProof/>
                <w:color w:val="008576"/>
                <w:szCs w:val="20"/>
                <w:lang w:val="en-US" w:eastAsia="en-US"/>
              </w:rPr>
              <w:pict w14:anchorId="51F73BFA">
                <v:shape id="Picture 12" o:spid="_x0000_i1030" type="#_x0000_t75" alt="Description: Description: call_us" style="width:22.5pt;height:22.5pt;visibility:visible">
                  <v:imagedata r:id="rId13" o:title=" call_us"/>
                </v:shape>
              </w:pict>
            </w:r>
            <w:r w:rsidR="00287844" w:rsidRPr="00287844">
              <w:rPr>
                <w:rFonts w:cs="Arial"/>
                <w:b/>
                <w:color w:val="008576"/>
                <w:szCs w:val="20"/>
              </w:rPr>
              <w:t>020 7432 3008</w:t>
            </w:r>
          </w:p>
        </w:tc>
      </w:tr>
      <w:tr w:rsidR="00F10E14" w:rsidRPr="00EB32BB" w14:paraId="7F380FC2"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A85AFB5"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5B2A9BD"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Proposer:</w:t>
            </w:r>
          </w:p>
          <w:p w14:paraId="6226A295" w14:textId="088E362F" w:rsidR="00F10E14" w:rsidRPr="00F04014" w:rsidRDefault="00EF21AE" w:rsidP="00A81AA5">
            <w:pPr>
              <w:spacing w:before="60" w:after="60" w:line="240" w:lineRule="auto"/>
              <w:rPr>
                <w:rFonts w:cs="Arial"/>
                <w:b/>
                <w:color w:val="008576"/>
                <w:szCs w:val="20"/>
              </w:rPr>
            </w:pPr>
            <w:r>
              <w:rPr>
                <w:rFonts w:cs="Arial"/>
                <w:b/>
                <w:color w:val="008576"/>
                <w:szCs w:val="20"/>
              </w:rPr>
              <w:t>George Moran</w:t>
            </w:r>
          </w:p>
        </w:tc>
      </w:tr>
      <w:tr w:rsidR="00F10E14" w:rsidRPr="00EB32BB" w14:paraId="20ED7846"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4C17951"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D57EB5F" w14:textId="52C168C1" w:rsidR="00F04014" w:rsidRPr="00EB32BB" w:rsidRDefault="00A63309" w:rsidP="00DC5325">
            <w:pPr>
              <w:pStyle w:val="BodyText"/>
              <w:spacing w:before="60" w:after="60" w:line="240" w:lineRule="auto"/>
              <w:rPr>
                <w:rFonts w:cs="Arial"/>
                <w:b/>
                <w:color w:val="008576"/>
                <w:szCs w:val="20"/>
              </w:rPr>
            </w:pPr>
            <w:r>
              <w:rPr>
                <w:rFonts w:cs="Arial"/>
                <w:b/>
                <w:noProof/>
                <w:color w:val="008576"/>
                <w:szCs w:val="20"/>
                <w:lang w:val="en-US" w:eastAsia="en-US"/>
              </w:rPr>
              <w:pict w14:anchorId="14C4D82A">
                <v:shape id="_x0000_i1031" type="#_x0000_t75" alt="Description: Description: email_us_go_online" style="width:22.5pt;height:22.5pt;visibility:visible">
                  <v:imagedata r:id="rId11" o:title=" email_us_go_online"/>
                </v:shape>
              </w:pict>
            </w:r>
            <w:r w:rsidR="00F04014" w:rsidRPr="00F04014">
              <w:rPr>
                <w:rFonts w:cs="Arial"/>
                <w:b/>
                <w:noProof/>
                <w:color w:val="008576"/>
                <w:szCs w:val="20"/>
                <w:lang w:val="en-US" w:eastAsia="en-US"/>
              </w:rPr>
              <w:t xml:space="preserve"> </w:t>
            </w:r>
            <w:r w:rsidR="0067689E" w:rsidRPr="0067689E">
              <w:rPr>
                <w:rFonts w:cs="Arial"/>
                <w:b/>
                <w:noProof/>
                <w:color w:val="008576"/>
                <w:szCs w:val="20"/>
                <w:lang w:val="en-US" w:eastAsia="en-US"/>
              </w:rPr>
              <w:t>George.Moran@centrica.com</w:t>
            </w:r>
            <w:r w:rsidR="00F04014">
              <w:rPr>
                <w:rFonts w:cs="Arial"/>
                <w:b/>
                <w:noProof/>
                <w:color w:val="008576"/>
                <w:szCs w:val="20"/>
                <w:lang w:val="en-US" w:eastAsia="en-US"/>
              </w:rPr>
              <w:t xml:space="preserve"> </w:t>
            </w:r>
          </w:p>
        </w:tc>
      </w:tr>
      <w:tr w:rsidR="00F10E14" w:rsidRPr="00EB32BB" w14:paraId="704D0E4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12BEA53"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CC94447" w14:textId="77777777" w:rsidR="00F10E14" w:rsidRPr="00EB32BB" w:rsidRDefault="00F10E14" w:rsidP="00A81AA5">
            <w:pPr>
              <w:pStyle w:val="BodyText"/>
              <w:spacing w:before="60" w:after="60" w:line="240" w:lineRule="auto"/>
              <w:rPr>
                <w:rFonts w:cs="Arial"/>
                <w:color w:val="008576"/>
                <w:szCs w:val="20"/>
              </w:rPr>
            </w:pPr>
          </w:p>
        </w:tc>
      </w:tr>
    </w:tbl>
    <w:p w14:paraId="55EC7717" w14:textId="0A0B527B" w:rsidR="00435CF2" w:rsidRDefault="00435CF2">
      <w:pPr>
        <w:rPr>
          <w:rFonts w:cs="Arial"/>
        </w:rPr>
      </w:pPr>
    </w:p>
    <w:p w14:paraId="6F67FEF7" w14:textId="7D6B78B6" w:rsidR="00287844" w:rsidRDefault="00287844">
      <w:pPr>
        <w:rPr>
          <w:rFonts w:cs="Arial"/>
        </w:rPr>
      </w:pPr>
    </w:p>
    <w:p w14:paraId="1F02E058" w14:textId="4D2921B7" w:rsidR="00287844" w:rsidRDefault="00287844">
      <w:pPr>
        <w:rPr>
          <w:rFonts w:cs="Arial"/>
        </w:rPr>
      </w:pPr>
    </w:p>
    <w:p w14:paraId="3DFF37EE" w14:textId="3FB66508" w:rsidR="00287844" w:rsidRDefault="00287844">
      <w:pPr>
        <w:rPr>
          <w:rFonts w:cs="Arial"/>
        </w:rPr>
      </w:pPr>
    </w:p>
    <w:p w14:paraId="534EAED5" w14:textId="5EA38C19" w:rsidR="00287844" w:rsidRDefault="00287844">
      <w:pPr>
        <w:rPr>
          <w:rFonts w:cs="Arial"/>
        </w:rPr>
      </w:pPr>
    </w:p>
    <w:p w14:paraId="43428867" w14:textId="77777777" w:rsidR="00287844" w:rsidRPr="00EB32BB" w:rsidRDefault="00287844">
      <w:pPr>
        <w:rPr>
          <w:rFonts w:cs="Arial"/>
        </w:rPr>
      </w:pPr>
    </w:p>
    <w:p w14:paraId="6BA19CB2" w14:textId="77777777" w:rsidR="00FD0418" w:rsidRDefault="00FD0418">
      <w:pPr>
        <w:rPr>
          <w:rFonts w:cs="Arial"/>
        </w:rPr>
      </w:pPr>
    </w:p>
    <w:p w14:paraId="320555B8" w14:textId="77777777" w:rsidR="00A968AB" w:rsidRDefault="00A968AB">
      <w:pPr>
        <w:rPr>
          <w:rFonts w:cs="Arial"/>
        </w:rPr>
      </w:pPr>
    </w:p>
    <w:p w14:paraId="11B653D4" w14:textId="77777777" w:rsidR="000363FA" w:rsidRPr="00EB32BB" w:rsidRDefault="000363FA">
      <w:pPr>
        <w:rPr>
          <w:rFonts w:cs="Arial"/>
        </w:rPr>
      </w:pPr>
    </w:p>
    <w:p w14:paraId="1ABAB9A5" w14:textId="77777777" w:rsidR="00143041" w:rsidRPr="00EB32BB" w:rsidRDefault="004C6117" w:rsidP="00030D37">
      <w:pPr>
        <w:pStyle w:val="Heading02"/>
        <w:keepNext w:val="0"/>
        <w:numPr>
          <w:ilvl w:val="0"/>
          <w:numId w:val="20"/>
        </w:numPr>
        <w:ind w:hanging="578"/>
      </w:pPr>
      <w:bookmarkStart w:id="0" w:name="_Toc188527263"/>
      <w:bookmarkStart w:id="1" w:name="_Toc318962133"/>
      <w:bookmarkStart w:id="2" w:name="_Toc453107796"/>
      <w:bookmarkStart w:id="3" w:name="_Toc494981273"/>
      <w:r>
        <w:lastRenderedPageBreak/>
        <w:t>Summary</w:t>
      </w:r>
      <w:bookmarkEnd w:id="0"/>
      <w:bookmarkEnd w:id="1"/>
      <w:bookmarkEnd w:id="2"/>
      <w:bookmarkEnd w:id="3"/>
    </w:p>
    <w:p w14:paraId="0870A950" w14:textId="4B0490C2" w:rsidR="0012717A" w:rsidRDefault="0012717A">
      <w:pPr>
        <w:pStyle w:val="Heading4"/>
        <w:keepLines w:val="0"/>
        <w:spacing w:before="240"/>
        <w:rPr>
          <w:rFonts w:ascii="Arial" w:eastAsia="Times New Roman" w:hAnsi="Arial" w:cs="Arial"/>
          <w:i w:val="0"/>
          <w:iCs w:val="0"/>
          <w:color w:val="008576"/>
          <w:sz w:val="24"/>
          <w:szCs w:val="28"/>
        </w:rPr>
      </w:pPr>
      <w:bookmarkStart w:id="4" w:name="_Toc318962134"/>
      <w:r w:rsidRPr="004C6117">
        <w:rPr>
          <w:rFonts w:ascii="Arial" w:eastAsia="Times New Roman" w:hAnsi="Arial" w:cs="Arial"/>
          <w:i w:val="0"/>
          <w:iCs w:val="0"/>
          <w:color w:val="008576"/>
          <w:sz w:val="24"/>
          <w:szCs w:val="28"/>
        </w:rPr>
        <w:t>What</w:t>
      </w:r>
      <w:r w:rsidR="00D216BC">
        <w:rPr>
          <w:rFonts w:ascii="Arial" w:eastAsia="Times New Roman" w:hAnsi="Arial" w:cs="Arial"/>
          <w:i w:val="0"/>
          <w:iCs w:val="0"/>
          <w:color w:val="008576"/>
          <w:sz w:val="24"/>
          <w:szCs w:val="28"/>
        </w:rPr>
        <w:t>?</w:t>
      </w:r>
    </w:p>
    <w:p w14:paraId="55C66576" w14:textId="3A818F82" w:rsidR="00EF21AE" w:rsidRPr="00030D37" w:rsidRDefault="003328B8" w:rsidP="00030D37">
      <w:pPr>
        <w:pStyle w:val="Heading2"/>
        <w:numPr>
          <w:ilvl w:val="1"/>
          <w:numId w:val="14"/>
        </w:numPr>
        <w:spacing w:before="240" w:after="60" w:line="360" w:lineRule="auto"/>
        <w:jc w:val="both"/>
        <w:rPr>
          <w:color w:val="auto"/>
          <w:sz w:val="20"/>
          <w:szCs w:val="20"/>
        </w:rPr>
      </w:pPr>
      <w:r w:rsidRPr="00030D37">
        <w:rPr>
          <w:color w:val="auto"/>
          <w:sz w:val="20"/>
          <w:szCs w:val="20"/>
        </w:rPr>
        <w:t>The Distribution Connection and Use of System Agreement (DCUSA) is a multi-party contract between electricity Distributors and electricity Suppliers and large Generators. Parties to the DCUSA can raise Change Proposals (CPs) to amend the Agreement with the consent of other Parties and (where applicable) the Authority.</w:t>
      </w:r>
    </w:p>
    <w:p w14:paraId="176B4393" w14:textId="6646C06D" w:rsidR="00EF21AE" w:rsidRPr="00030D37" w:rsidRDefault="00EF21AE" w:rsidP="00030D37">
      <w:pPr>
        <w:pStyle w:val="Heading2"/>
        <w:numPr>
          <w:ilvl w:val="1"/>
          <w:numId w:val="14"/>
        </w:numPr>
        <w:spacing w:before="240" w:after="60" w:line="360" w:lineRule="auto"/>
        <w:jc w:val="both"/>
        <w:rPr>
          <w:color w:val="auto"/>
          <w:sz w:val="20"/>
          <w:szCs w:val="20"/>
        </w:rPr>
      </w:pPr>
      <w:r w:rsidRPr="00030D37">
        <w:rPr>
          <w:color w:val="auto"/>
          <w:sz w:val="20"/>
          <w:szCs w:val="20"/>
        </w:rPr>
        <w:t xml:space="preserve">DCP 266 was raised by British Gas and seeks to change the way in which DNO tariffs to LDNOs are calculated in the CDCM.  The Price Control Disaggregation Model (PCDM) calculates, on a p/kWh basis, the avoided costs of </w:t>
      </w:r>
      <w:r w:rsidR="00287844">
        <w:rPr>
          <w:color w:val="auto"/>
          <w:sz w:val="20"/>
          <w:szCs w:val="20"/>
        </w:rPr>
        <w:t>LDNO</w:t>
      </w:r>
      <w:r w:rsidRPr="00030D37">
        <w:rPr>
          <w:color w:val="auto"/>
          <w:sz w:val="20"/>
          <w:szCs w:val="20"/>
        </w:rPr>
        <w:t xml:space="preserve">s serving end customers when connecting to the host DNO at a particular voltage level. The PCDM then converts these to a percentage of total costs within the PCDM and this percentage is applied to CDCM all-the-way (ATW) tariffs as a discount. </w:t>
      </w:r>
    </w:p>
    <w:p w14:paraId="04501FD5" w14:textId="60DC8DD4" w:rsidR="0012717A" w:rsidRDefault="003328B8">
      <w:pPr>
        <w:pStyle w:val="Heading4"/>
        <w:keepLines w:val="0"/>
        <w:spacing w:before="240"/>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 xml:space="preserve"> </w:t>
      </w:r>
      <w:r w:rsidR="0012717A" w:rsidRPr="004C6117">
        <w:rPr>
          <w:rFonts w:ascii="Arial" w:eastAsia="Times New Roman" w:hAnsi="Arial" w:cs="Arial"/>
          <w:i w:val="0"/>
          <w:iCs w:val="0"/>
          <w:color w:val="008576"/>
          <w:sz w:val="24"/>
          <w:szCs w:val="28"/>
        </w:rPr>
        <w:t>Why</w:t>
      </w:r>
      <w:r w:rsidR="00D216BC">
        <w:rPr>
          <w:rFonts w:ascii="Arial" w:eastAsia="Times New Roman" w:hAnsi="Arial" w:cs="Arial"/>
          <w:i w:val="0"/>
          <w:iCs w:val="0"/>
          <w:color w:val="008576"/>
          <w:sz w:val="24"/>
          <w:szCs w:val="28"/>
        </w:rPr>
        <w:t>?</w:t>
      </w:r>
    </w:p>
    <w:p w14:paraId="424F5B00" w14:textId="4A823D96" w:rsidR="00ED596E" w:rsidRPr="00030D37" w:rsidRDefault="00ED596E" w:rsidP="00030D37">
      <w:pPr>
        <w:pStyle w:val="Heading2"/>
        <w:numPr>
          <w:ilvl w:val="1"/>
          <w:numId w:val="14"/>
        </w:numPr>
        <w:spacing w:before="240" w:after="60" w:line="360" w:lineRule="auto"/>
        <w:jc w:val="both"/>
        <w:rPr>
          <w:sz w:val="20"/>
          <w:szCs w:val="20"/>
        </w:rPr>
      </w:pPr>
      <w:r w:rsidRPr="00030D37">
        <w:rPr>
          <w:color w:val="auto"/>
          <w:sz w:val="20"/>
          <w:szCs w:val="20"/>
        </w:rPr>
        <w:t xml:space="preserve">The intent of this change proposal is to change the way the discount factor is calculated by comparing the total avoided cost (p/kWh) calculated in the PCDM with the average p/kWh figure for each ATW CDCM tariff in order to determine the </w:t>
      </w:r>
      <w:r w:rsidR="00287844">
        <w:rPr>
          <w:color w:val="auto"/>
          <w:sz w:val="20"/>
          <w:szCs w:val="20"/>
        </w:rPr>
        <w:t>LDNO</w:t>
      </w:r>
      <w:r w:rsidRPr="00030D37">
        <w:rPr>
          <w:color w:val="auto"/>
          <w:sz w:val="20"/>
          <w:szCs w:val="20"/>
        </w:rPr>
        <w:t xml:space="preserve"> % discount factor to be applied to each of the tariff components of the CDCM ATW tariff.</w:t>
      </w:r>
    </w:p>
    <w:p w14:paraId="5FE2F0F5" w14:textId="77777777" w:rsidR="001C1A9C" w:rsidRPr="00030D37" w:rsidRDefault="001C1A9C" w:rsidP="00030D37">
      <w:pPr>
        <w:pStyle w:val="Heading2"/>
        <w:numPr>
          <w:ilvl w:val="1"/>
          <w:numId w:val="14"/>
        </w:numPr>
        <w:spacing w:before="240" w:after="60" w:line="360" w:lineRule="auto"/>
        <w:jc w:val="both"/>
        <w:rPr>
          <w:sz w:val="20"/>
          <w:szCs w:val="20"/>
        </w:rPr>
      </w:pPr>
      <w:r w:rsidRPr="00030D37">
        <w:rPr>
          <w:color w:val="auto"/>
          <w:sz w:val="20"/>
          <w:szCs w:val="20"/>
        </w:rPr>
        <w:t>In order to ensure that the total avoided cost (p/kWh) and the ATW CDCM cost are on an equivalent basis, it will be necessary to calculate the avoided total cost (p/kWh) using the allowed revenue and forecast total kWh included within the CDCM for the relevant charging year.</w:t>
      </w:r>
    </w:p>
    <w:p w14:paraId="7962F174" w14:textId="68378BE1" w:rsidR="0012717A" w:rsidRPr="0049024C" w:rsidRDefault="00ED596E">
      <w:pPr>
        <w:pStyle w:val="Heading4"/>
        <w:keepLines w:val="0"/>
        <w:spacing w:before="240"/>
        <w:rPr>
          <w:rFonts w:ascii="Arial" w:eastAsia="Times New Roman" w:hAnsi="Arial" w:cs="Arial"/>
          <w:i w:val="0"/>
          <w:iCs w:val="0"/>
          <w:color w:val="008576"/>
          <w:sz w:val="24"/>
          <w:szCs w:val="28"/>
        </w:rPr>
      </w:pPr>
      <w:r w:rsidRPr="00030D37">
        <w:rPr>
          <w:rFonts w:ascii="Arial" w:eastAsia="Times New Roman" w:hAnsi="Arial" w:cs="Arial"/>
          <w:i w:val="0"/>
          <w:iCs w:val="0"/>
          <w:color w:val="008576"/>
          <w:sz w:val="24"/>
          <w:szCs w:val="28"/>
        </w:rPr>
        <w:t xml:space="preserve"> </w:t>
      </w:r>
      <w:r w:rsidR="0012717A" w:rsidRPr="0049024C">
        <w:rPr>
          <w:rFonts w:ascii="Arial" w:eastAsia="Times New Roman" w:hAnsi="Arial" w:cs="Arial"/>
          <w:i w:val="0"/>
          <w:iCs w:val="0"/>
          <w:color w:val="008576"/>
          <w:sz w:val="24"/>
          <w:szCs w:val="28"/>
        </w:rPr>
        <w:t>How</w:t>
      </w:r>
      <w:r w:rsidR="00D216BC">
        <w:rPr>
          <w:rFonts w:ascii="Arial" w:eastAsia="Times New Roman" w:hAnsi="Arial" w:cs="Arial"/>
          <w:i w:val="0"/>
          <w:iCs w:val="0"/>
          <w:color w:val="008576"/>
          <w:sz w:val="24"/>
          <w:szCs w:val="28"/>
        </w:rPr>
        <w:t>?</w:t>
      </w:r>
    </w:p>
    <w:p w14:paraId="63D5E2E7" w14:textId="77777777" w:rsidR="002E3A0E" w:rsidRPr="00030D37" w:rsidRDefault="002E3A0E" w:rsidP="00030D37">
      <w:pPr>
        <w:pStyle w:val="Heading2"/>
        <w:numPr>
          <w:ilvl w:val="1"/>
          <w:numId w:val="14"/>
        </w:numPr>
        <w:spacing w:before="240" w:after="60" w:line="360" w:lineRule="auto"/>
        <w:jc w:val="both"/>
        <w:rPr>
          <w:color w:val="auto"/>
          <w:sz w:val="20"/>
          <w:szCs w:val="20"/>
        </w:rPr>
      </w:pPr>
      <w:r w:rsidRPr="00030D37">
        <w:rPr>
          <w:color w:val="auto"/>
          <w:sz w:val="20"/>
          <w:szCs w:val="20"/>
        </w:rPr>
        <w:t>The CP solution will need to be consulted upon by the Working Group with industry parties.</w:t>
      </w:r>
    </w:p>
    <w:p w14:paraId="1F6EAA30" w14:textId="77777777" w:rsidR="0012717A" w:rsidRPr="00030D37" w:rsidRDefault="002E3A0E" w:rsidP="00030D37">
      <w:pPr>
        <w:pStyle w:val="Heading2"/>
        <w:numPr>
          <w:ilvl w:val="1"/>
          <w:numId w:val="14"/>
        </w:numPr>
        <w:spacing w:before="240" w:after="60" w:line="360" w:lineRule="auto"/>
        <w:jc w:val="both"/>
        <w:rPr>
          <w:color w:val="auto"/>
          <w:sz w:val="20"/>
          <w:szCs w:val="20"/>
        </w:rPr>
      </w:pPr>
      <w:r w:rsidRPr="00030D37">
        <w:rPr>
          <w:color w:val="auto"/>
          <w:sz w:val="20"/>
          <w:szCs w:val="20"/>
        </w:rPr>
        <w:t>The legal text will be developed by the Working Group once the final solution is agreed upon.</w:t>
      </w:r>
    </w:p>
    <w:p w14:paraId="7383A6FC" w14:textId="77777777" w:rsidR="00E6212D" w:rsidRPr="00EB32BB" w:rsidRDefault="00E6212D" w:rsidP="00030D37">
      <w:pPr>
        <w:pStyle w:val="Heading02"/>
        <w:keepNext w:val="0"/>
        <w:numPr>
          <w:ilvl w:val="0"/>
          <w:numId w:val="14"/>
        </w:numPr>
      </w:pPr>
      <w:bookmarkStart w:id="5" w:name="_Toc453107797"/>
      <w:bookmarkStart w:id="6" w:name="_Toc494981274"/>
      <w:r>
        <w:t>Governance</w:t>
      </w:r>
      <w:bookmarkEnd w:id="4"/>
      <w:bookmarkEnd w:id="5"/>
      <w:bookmarkEnd w:id="6"/>
    </w:p>
    <w:p w14:paraId="1CAA108E" w14:textId="77777777" w:rsidR="00C8353B" w:rsidRPr="00C6196F" w:rsidRDefault="007C7FB5" w:rsidP="00030D37">
      <w:pPr>
        <w:pStyle w:val="Heading4"/>
        <w:keepNext w:val="0"/>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 xml:space="preserve">Justification for </w:t>
      </w:r>
      <w:r w:rsidR="00582E0D">
        <w:rPr>
          <w:rFonts w:ascii="Arial" w:eastAsia="Times New Roman" w:hAnsi="Arial" w:cs="Arial"/>
          <w:i w:val="0"/>
          <w:iCs w:val="0"/>
          <w:color w:val="008576"/>
          <w:sz w:val="24"/>
          <w:szCs w:val="28"/>
        </w:rPr>
        <w:t>Part 1 Or Part 2 Matter</w:t>
      </w:r>
      <w:r w:rsidR="00231812">
        <w:rPr>
          <w:rFonts w:ascii="Arial" w:eastAsia="Times New Roman" w:hAnsi="Arial" w:cs="Arial"/>
          <w:i w:val="0"/>
          <w:iCs w:val="0"/>
          <w:color w:val="008576"/>
          <w:sz w:val="24"/>
          <w:szCs w:val="28"/>
        </w:rPr>
        <w:t xml:space="preserve"> </w:t>
      </w:r>
    </w:p>
    <w:p w14:paraId="4349C691" w14:textId="54C39E75" w:rsidR="00E50A06" w:rsidRPr="00030D37" w:rsidRDefault="00E50A06" w:rsidP="00030D37">
      <w:pPr>
        <w:pStyle w:val="Heading2"/>
        <w:numPr>
          <w:ilvl w:val="1"/>
          <w:numId w:val="14"/>
        </w:numPr>
        <w:spacing w:before="240" w:after="60" w:line="360" w:lineRule="auto"/>
        <w:jc w:val="both"/>
        <w:rPr>
          <w:color w:val="auto"/>
          <w:sz w:val="20"/>
          <w:szCs w:val="20"/>
        </w:rPr>
      </w:pPr>
      <w:r w:rsidRPr="00030D37">
        <w:rPr>
          <w:color w:val="auto"/>
          <w:sz w:val="20"/>
          <w:szCs w:val="20"/>
        </w:rPr>
        <w:t>D</w:t>
      </w:r>
      <w:r w:rsidR="00ED596E" w:rsidRPr="00030D37">
        <w:rPr>
          <w:color w:val="auto"/>
          <w:sz w:val="20"/>
          <w:szCs w:val="20"/>
        </w:rPr>
        <w:t>CP 266</w:t>
      </w:r>
      <w:r w:rsidRPr="00030D37">
        <w:rPr>
          <w:color w:val="auto"/>
          <w:sz w:val="20"/>
          <w:szCs w:val="20"/>
        </w:rPr>
        <w:t xml:space="preserve"> is classified as a Part 1 matter </w:t>
      </w:r>
      <w:r w:rsidR="00ED596E" w:rsidRPr="00030D37">
        <w:rPr>
          <w:color w:val="auto"/>
          <w:sz w:val="20"/>
          <w:szCs w:val="20"/>
        </w:rPr>
        <w:t>as it is likely to have a significant impact on competition in the distribution of electricity – see clause 9.4.2 (B)</w:t>
      </w:r>
      <w:r w:rsidR="00C6196F" w:rsidRPr="00030D37">
        <w:rPr>
          <w:color w:val="auto"/>
          <w:sz w:val="20"/>
          <w:szCs w:val="20"/>
        </w:rPr>
        <w:t>.</w:t>
      </w:r>
    </w:p>
    <w:p w14:paraId="00537E40" w14:textId="77777777" w:rsidR="00E50A06" w:rsidRDefault="00E50A06" w:rsidP="00030D37">
      <w:pPr>
        <w:pStyle w:val="Heading4"/>
        <w:keepNext w:val="0"/>
        <w:keepLines w:val="0"/>
        <w:spacing w:before="240"/>
        <w:rPr>
          <w:rFonts w:ascii="Arial" w:eastAsia="Times New Roman" w:hAnsi="Arial" w:cs="Arial"/>
          <w:b w:val="0"/>
          <w:iCs w:val="0"/>
          <w:color w:val="FF0000"/>
          <w:szCs w:val="20"/>
        </w:rPr>
      </w:pPr>
      <w:r>
        <w:rPr>
          <w:rFonts w:ascii="Arial" w:eastAsia="Times New Roman" w:hAnsi="Arial" w:cs="Arial"/>
          <w:i w:val="0"/>
          <w:iCs w:val="0"/>
          <w:color w:val="008576"/>
          <w:sz w:val="24"/>
        </w:rPr>
        <w:t>Requested Next Steps</w:t>
      </w:r>
    </w:p>
    <w:p w14:paraId="1E1EFB00" w14:textId="2565A5EE" w:rsidR="000671FC" w:rsidRPr="00030D37" w:rsidRDefault="00CA136E" w:rsidP="00030D37">
      <w:pPr>
        <w:pStyle w:val="Heading2"/>
        <w:numPr>
          <w:ilvl w:val="1"/>
          <w:numId w:val="14"/>
        </w:numPr>
        <w:spacing w:before="240" w:after="60" w:line="360" w:lineRule="auto"/>
        <w:jc w:val="both"/>
        <w:rPr>
          <w:color w:val="auto"/>
          <w:sz w:val="20"/>
          <w:szCs w:val="20"/>
        </w:rPr>
      </w:pPr>
      <w:bookmarkStart w:id="7" w:name="_Toc318962135"/>
      <w:bookmarkStart w:id="8" w:name="_Toc453107798"/>
      <w:r w:rsidRPr="00030D37">
        <w:rPr>
          <w:color w:val="auto"/>
          <w:sz w:val="20"/>
          <w:szCs w:val="20"/>
        </w:rPr>
        <w:t xml:space="preserve">Following a review of the Consultation responses, the Working Group will </w:t>
      </w:r>
      <w:r w:rsidR="00A660CE">
        <w:rPr>
          <w:color w:val="auto"/>
          <w:sz w:val="20"/>
          <w:szCs w:val="20"/>
        </w:rPr>
        <w:t xml:space="preserve">determine the next steps </w:t>
      </w:r>
      <w:r w:rsidR="0010396A">
        <w:rPr>
          <w:color w:val="auto"/>
          <w:sz w:val="20"/>
          <w:szCs w:val="20"/>
        </w:rPr>
        <w:t xml:space="preserve">for </w:t>
      </w:r>
      <w:r w:rsidR="0010396A" w:rsidRPr="00030D37">
        <w:rPr>
          <w:color w:val="auto"/>
          <w:sz w:val="20"/>
          <w:szCs w:val="20"/>
        </w:rPr>
        <w:t>DCP</w:t>
      </w:r>
      <w:r w:rsidRPr="00030D37">
        <w:rPr>
          <w:color w:val="auto"/>
          <w:sz w:val="20"/>
          <w:szCs w:val="20"/>
        </w:rPr>
        <w:t xml:space="preserve"> </w:t>
      </w:r>
      <w:r w:rsidR="000671FC" w:rsidRPr="00030D37">
        <w:rPr>
          <w:color w:val="auto"/>
          <w:sz w:val="20"/>
          <w:szCs w:val="20"/>
        </w:rPr>
        <w:t>266</w:t>
      </w:r>
      <w:r w:rsidR="00236CC6" w:rsidRPr="00030D37">
        <w:rPr>
          <w:color w:val="auto"/>
          <w:sz w:val="20"/>
          <w:szCs w:val="20"/>
        </w:rPr>
        <w:t>.</w:t>
      </w:r>
      <w:r w:rsidRPr="00030D37">
        <w:rPr>
          <w:color w:val="auto"/>
          <w:sz w:val="20"/>
          <w:szCs w:val="20"/>
        </w:rPr>
        <w:t xml:space="preserve"> </w:t>
      </w:r>
    </w:p>
    <w:p w14:paraId="258FE6C0" w14:textId="77777777" w:rsidR="000671FC" w:rsidRPr="000671FC" w:rsidRDefault="000671FC"/>
    <w:p w14:paraId="1C941B02" w14:textId="77777777" w:rsidR="000671FC" w:rsidRPr="000671FC" w:rsidRDefault="00CA136E">
      <w:pPr>
        <w:pStyle w:val="Heading02"/>
        <w:keepNext w:val="0"/>
        <w:numPr>
          <w:ilvl w:val="0"/>
          <w:numId w:val="14"/>
        </w:numPr>
      </w:pPr>
      <w:r w:rsidRPr="00EB32BB">
        <w:lastRenderedPageBreak/>
        <w:t xml:space="preserve"> </w:t>
      </w:r>
      <w:bookmarkStart w:id="9" w:name="_Toc494981275"/>
      <w:r w:rsidR="004C6117" w:rsidRPr="00EB32BB">
        <w:t>Why Change?</w:t>
      </w:r>
      <w:bookmarkEnd w:id="7"/>
      <w:bookmarkEnd w:id="8"/>
      <w:bookmarkEnd w:id="9"/>
    </w:p>
    <w:p w14:paraId="25FB55E4" w14:textId="140ACFC7" w:rsidR="00A0110F" w:rsidRPr="00030D37" w:rsidRDefault="00A0110F"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T</w:t>
      </w:r>
      <w:r w:rsidR="00D52375">
        <w:rPr>
          <w:color w:val="auto"/>
          <w:sz w:val="20"/>
          <w:szCs w:val="20"/>
        </w:rPr>
        <w:t>h</w:t>
      </w:r>
      <w:r w:rsidRPr="00030D37">
        <w:rPr>
          <w:color w:val="auto"/>
          <w:sz w:val="20"/>
          <w:szCs w:val="20"/>
        </w:rPr>
        <w:t xml:space="preserve">e CDCM model is an incremental cost model by design. It is intended to provide forward looking cost reflective incremental cost signals to users of the network. LDNO % discounts are calculated in the PCDM and input to the CDCM model to calculate the discounted CDCM tariffs to be applied to LDNOs. The PCDM is a total cost model by design. It is intended to calculate the total </w:t>
      </w:r>
      <w:r w:rsidR="00DC5325" w:rsidRPr="00030D37">
        <w:rPr>
          <w:color w:val="auto"/>
          <w:sz w:val="20"/>
          <w:szCs w:val="20"/>
        </w:rPr>
        <w:t xml:space="preserve">avoided </w:t>
      </w:r>
      <w:r w:rsidRPr="00030D37">
        <w:rPr>
          <w:color w:val="auto"/>
          <w:sz w:val="20"/>
          <w:szCs w:val="20"/>
        </w:rPr>
        <w:t xml:space="preserve">cost associated with the provision of the final section of network by LDNOs. </w:t>
      </w:r>
    </w:p>
    <w:p w14:paraId="361AD63C" w14:textId="2359B80C" w:rsidR="00A0110F" w:rsidRPr="00030D37" w:rsidRDefault="00A0110F"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The fact that the CDCM is an incremental cost model and the PCDM is a total cost model is intentional. Ofgem stated in their October 2009 consultation</w:t>
      </w:r>
      <w:r w:rsidR="00A660CE">
        <w:rPr>
          <w:rStyle w:val="FootnoteReference"/>
          <w:color w:val="auto"/>
          <w:sz w:val="20"/>
          <w:szCs w:val="20"/>
        </w:rPr>
        <w:footnoteReference w:id="2"/>
      </w:r>
      <w:r w:rsidRPr="00030D37">
        <w:rPr>
          <w:color w:val="auto"/>
          <w:sz w:val="20"/>
          <w:szCs w:val="20"/>
        </w:rPr>
        <w:t xml:space="preserve"> document on the CDCM that:</w:t>
      </w:r>
    </w:p>
    <w:p w14:paraId="3E997D6F" w14:textId="77777777" w:rsidR="00DA2AED" w:rsidRPr="00030D37" w:rsidRDefault="00A0110F" w:rsidP="00030D37">
      <w:pPr>
        <w:pStyle w:val="Heading2"/>
        <w:spacing w:before="240" w:after="60" w:line="360" w:lineRule="auto"/>
        <w:ind w:left="851" w:right="284"/>
        <w:jc w:val="both"/>
        <w:rPr>
          <w:bCs w:val="0"/>
          <w:i/>
          <w:iCs w:val="0"/>
          <w:sz w:val="20"/>
          <w:szCs w:val="20"/>
        </w:rPr>
      </w:pPr>
      <w:r w:rsidRPr="00030D37">
        <w:rPr>
          <w:i/>
          <w:color w:val="auto"/>
          <w:sz w:val="20"/>
          <w:szCs w:val="20"/>
        </w:rPr>
        <w:t>“2.70 Regarding the high level approach to IDNO charging, the two separate allocation methods are consistent with the view held by Ofgem that end user charges should, as far as is possible, provide end users with incremental cost signals, whilst for IDNO charging the charges should be based on a reasonable allocation of total costs to the elements of the DNOs business that are being undertaken by the IDNO.”</w:t>
      </w:r>
    </w:p>
    <w:p w14:paraId="216DE9A9" w14:textId="77777777" w:rsidR="004A62D4" w:rsidRPr="00030D37" w:rsidRDefault="004A62D4"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 xml:space="preserve">The proposer considers that the allocation methods of both models seem appropriate given their respective intentions, but that the way in which the LDNO discounts are calculated in the PCDM and applied within the CDCM could be improved to better reconcile the two approaches. </w:t>
      </w:r>
    </w:p>
    <w:p w14:paraId="10A9C62C" w14:textId="77777777" w:rsidR="004A62D4" w:rsidRPr="00030D37" w:rsidRDefault="004A62D4"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 xml:space="preserve">It is the view of the proposer that it would seem to be more appropriate to use the p/kWh avoided cost from the PCDM and then convert this absolute p/kWh to a percentage discount based on the ATW CDCM tariffs. Such an approach would help to ensure that the absolute p/kWh discount received by LDNOs remains aligned with the absolute p/kWh total cost avoided calculated in the PCDM and is not distorted by the incremental cost allocation approach applied in the CDCM for ATW tariffs. </w:t>
      </w:r>
    </w:p>
    <w:p w14:paraId="5C244E4A" w14:textId="77777777" w:rsidR="004A62D4" w:rsidRPr="00030D37" w:rsidRDefault="004A62D4"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The advantages of the proposed approach would be that the absolute level (p/kWh) of avoided cost discount received by LDNOs would not be affected by the CDCM methodology for ATW tariffs or by changes to it i.e. currently an x% change in a particular ATW CDCM tariff resulting from a methodology change results in a x% change in the absolute discount, or margin, received by the LDNO. Under the proposed approach any change in the CDCM methodology for ATW tariffs would have little, if any, impact on the absolute p/kWh discount received by the LDNO – instead the proposed approach would recalculate the % discount to ensure the p/kWh discount received remained aligned with the avoided p/kWh total cost calculated in PCDM.</w:t>
      </w:r>
    </w:p>
    <w:p w14:paraId="77DC5195" w14:textId="1CEBC77C" w:rsidR="004A62D4" w:rsidRDefault="004A62D4" w:rsidP="00030D37">
      <w:pPr>
        <w:pStyle w:val="Heading2"/>
        <w:numPr>
          <w:ilvl w:val="1"/>
          <w:numId w:val="14"/>
        </w:numPr>
        <w:spacing w:before="240" w:after="60" w:line="360" w:lineRule="auto"/>
        <w:jc w:val="both"/>
        <w:rPr>
          <w:szCs w:val="20"/>
        </w:rPr>
      </w:pPr>
      <w:r w:rsidRPr="00030D37">
        <w:rPr>
          <w:color w:val="auto"/>
          <w:sz w:val="20"/>
          <w:szCs w:val="20"/>
        </w:rPr>
        <w:t xml:space="preserve">It is noted that some DNOs may not update the PCDM annually. This may be acceptable under the current approach to LDNO discounts, but under the proposed approach DNOs would, at a </w:t>
      </w:r>
      <w:r w:rsidRPr="00030D37">
        <w:rPr>
          <w:color w:val="auto"/>
          <w:sz w:val="20"/>
          <w:szCs w:val="20"/>
        </w:rPr>
        <w:lastRenderedPageBreak/>
        <w:t>minimum, need to update their allowed revenues in the PCDM to reflect the current charging year and it would also seem appropriate to update the unit (MWh) data in the PCDM to reflect the current charging year.</w:t>
      </w:r>
    </w:p>
    <w:p w14:paraId="6FCB97E4" w14:textId="77777777" w:rsidR="001C1A9C" w:rsidRPr="00030D37" w:rsidRDefault="001C1A9C">
      <w:pPr>
        <w:pStyle w:val="Heading2"/>
        <w:keepNext w:val="0"/>
        <w:spacing w:after="0" w:line="360" w:lineRule="auto"/>
        <w:jc w:val="both"/>
        <w:rPr>
          <w:color w:val="auto"/>
          <w:sz w:val="20"/>
          <w:szCs w:val="20"/>
        </w:rPr>
      </w:pPr>
      <w:r w:rsidRPr="00030D37">
        <w:rPr>
          <w:b/>
          <w:color w:val="auto"/>
          <w:sz w:val="20"/>
          <w:szCs w:val="20"/>
          <w:u w:val="single"/>
        </w:rPr>
        <w:t>DCP 266 scope:</w:t>
      </w:r>
    </w:p>
    <w:p w14:paraId="708F0A3A" w14:textId="77777777" w:rsidR="001C1A9C" w:rsidRPr="00030D37" w:rsidRDefault="001C1A9C" w:rsidP="00030D37">
      <w:pPr>
        <w:pStyle w:val="Heading2"/>
        <w:numPr>
          <w:ilvl w:val="1"/>
          <w:numId w:val="14"/>
        </w:numPr>
        <w:spacing w:before="0" w:after="60" w:line="360" w:lineRule="auto"/>
        <w:jc w:val="both"/>
        <w:rPr>
          <w:color w:val="auto"/>
          <w:sz w:val="20"/>
          <w:szCs w:val="20"/>
        </w:rPr>
      </w:pPr>
      <w:r w:rsidRPr="00030D37">
        <w:rPr>
          <w:color w:val="auto"/>
          <w:sz w:val="20"/>
          <w:szCs w:val="20"/>
        </w:rPr>
        <w:t>The proposer clarified that the intent and scope of DCP 266 is limited to the correction of the perceived defect identified above i.e. to change the way in which DNO tariffs to LDNOs are calculated in the CDCM/EDCM. Instead of calculating an LDNO percentage discount by comparing the avoided total cost (p/kWh) with the total cost (p/kWh) in the PCDM, the intent is that the avoided total cost (p/kWh) calculated in the PCDM is compared with the average p/kWh figure for each ATW CDCM tariff to determine the LDNO % discount factor to be applied to each of the tariff components of the CDCM ATW tariff.</w:t>
      </w:r>
    </w:p>
    <w:p w14:paraId="3A884257" w14:textId="77777777" w:rsidR="001C1A9C" w:rsidRPr="00030D37" w:rsidRDefault="001C1A9C" w:rsidP="00030D37">
      <w:pPr>
        <w:pStyle w:val="Heading2"/>
        <w:numPr>
          <w:ilvl w:val="1"/>
          <w:numId w:val="14"/>
        </w:numPr>
        <w:spacing w:before="240" w:after="60" w:line="360" w:lineRule="auto"/>
        <w:jc w:val="both"/>
        <w:rPr>
          <w:color w:val="auto"/>
          <w:sz w:val="20"/>
          <w:szCs w:val="20"/>
        </w:rPr>
      </w:pPr>
      <w:r w:rsidRPr="00030D37">
        <w:rPr>
          <w:color w:val="auto"/>
          <w:sz w:val="20"/>
          <w:szCs w:val="20"/>
        </w:rPr>
        <w:t xml:space="preserve">The proposer believes that by doing this the resultant LDNO tariffs will better reflect </w:t>
      </w:r>
      <w:r w:rsidRPr="00030D37">
        <w:rPr>
          <w:i/>
          <w:color w:val="auto"/>
          <w:sz w:val="20"/>
          <w:szCs w:val="20"/>
        </w:rPr>
        <w:t>“a reasonable allocation of total costs to the elements of the DNOs business that are being undertaken by the IDNO”</w:t>
      </w:r>
      <w:r w:rsidRPr="00030D37">
        <w:rPr>
          <w:color w:val="auto"/>
          <w:sz w:val="20"/>
          <w:szCs w:val="20"/>
        </w:rPr>
        <w:t xml:space="preserve"> as demonstrated by the illustrative example above.</w:t>
      </w:r>
    </w:p>
    <w:p w14:paraId="1865D368" w14:textId="77777777" w:rsidR="001C1A9C" w:rsidRPr="00030D37" w:rsidRDefault="001C1A9C" w:rsidP="00030D37">
      <w:pPr>
        <w:pStyle w:val="Heading2"/>
        <w:numPr>
          <w:ilvl w:val="1"/>
          <w:numId w:val="14"/>
        </w:numPr>
        <w:spacing w:before="240" w:after="60" w:line="360" w:lineRule="auto"/>
        <w:jc w:val="both"/>
        <w:rPr>
          <w:color w:val="auto"/>
          <w:sz w:val="20"/>
          <w:szCs w:val="20"/>
        </w:rPr>
      </w:pPr>
      <w:r w:rsidRPr="00030D37">
        <w:rPr>
          <w:color w:val="auto"/>
          <w:sz w:val="20"/>
          <w:szCs w:val="20"/>
        </w:rPr>
        <w:t>The proposer believes that by ensuring that the p/kWh discounts received by LDNOs better reflect, and remain aligned with, the absolute level of avoided costs calculated in the PCDM, this change will promote competition in the distribution of electricity. The absolute level of discount (p/kWh) received by LDNOs is also likely to be more stable and predictable since it will be protected from the impact of any changes to the methodology for ATW CDCM tariffs – which will also promote competition in the distribution of electricity.</w:t>
      </w:r>
    </w:p>
    <w:p w14:paraId="156C016B" w14:textId="77777777" w:rsidR="001C1A9C" w:rsidRPr="00620648" w:rsidRDefault="001C1A9C">
      <w:pPr>
        <w:rPr>
          <w:rFonts w:ascii="Calibri" w:hAnsi="Calibri"/>
          <w:b/>
          <w:sz w:val="22"/>
          <w:szCs w:val="22"/>
          <w:u w:val="single"/>
        </w:rPr>
      </w:pPr>
      <w:r w:rsidRPr="00620648">
        <w:rPr>
          <w:rFonts w:ascii="Calibri" w:hAnsi="Calibri"/>
          <w:b/>
          <w:sz w:val="22"/>
          <w:szCs w:val="22"/>
          <w:u w:val="single"/>
        </w:rPr>
        <w:t>In Scope of DCP 266:</w:t>
      </w:r>
    </w:p>
    <w:p w14:paraId="6B7F2808" w14:textId="77777777" w:rsidR="001C1A9C" w:rsidRPr="00030D37" w:rsidRDefault="001C1A9C" w:rsidP="00030D37">
      <w:pPr>
        <w:pStyle w:val="Heading2"/>
        <w:numPr>
          <w:ilvl w:val="1"/>
          <w:numId w:val="14"/>
        </w:numPr>
        <w:spacing w:before="0" w:after="60" w:line="360" w:lineRule="auto"/>
        <w:jc w:val="both"/>
        <w:rPr>
          <w:color w:val="auto"/>
          <w:sz w:val="20"/>
          <w:szCs w:val="20"/>
        </w:rPr>
      </w:pPr>
      <w:r w:rsidRPr="00030D37">
        <w:rPr>
          <w:color w:val="auto"/>
          <w:sz w:val="20"/>
          <w:szCs w:val="20"/>
        </w:rPr>
        <w:t>It is the view of the proposer that in order to correct the perceived defect identified above it is important that the total avoided cost (p/kWh) and the ATW CDCM cost (p/kWh) are on equivalent terms. Therefore, it is necessary to calculate the total avoided cost (p/kWh) using the allowed revenue and forecast total kWh included within the CDCM for the relevant charging year i.e. in the illustrative example above where it is assumed that the avoided costs are 0.5p/kWh, the ‘0.5p’ should be expressed in the same money of the day as the CDCM for the relevant charging year and the and ‘kWh’ should reflect the forecast of units distributed for the relevant charging year.</w:t>
      </w:r>
    </w:p>
    <w:p w14:paraId="082FA3A9" w14:textId="77777777" w:rsidR="001C1A9C" w:rsidRPr="00620648" w:rsidRDefault="001C1A9C" w:rsidP="003D05AC">
      <w:pPr>
        <w:rPr>
          <w:rFonts w:ascii="Calibri" w:hAnsi="Calibri"/>
          <w:b/>
          <w:sz w:val="22"/>
          <w:szCs w:val="22"/>
          <w:u w:val="single"/>
        </w:rPr>
      </w:pPr>
      <w:r w:rsidRPr="00620648">
        <w:rPr>
          <w:rFonts w:ascii="Calibri" w:hAnsi="Calibri"/>
          <w:b/>
          <w:sz w:val="22"/>
          <w:szCs w:val="22"/>
          <w:u w:val="single"/>
        </w:rPr>
        <w:t>Out of Scope of DCP 266:</w:t>
      </w:r>
    </w:p>
    <w:p w14:paraId="26A63B79" w14:textId="7A11BB02" w:rsidR="001C1A9C" w:rsidRPr="00030D37" w:rsidRDefault="001C1A9C" w:rsidP="0010396A">
      <w:pPr>
        <w:pStyle w:val="Heading2"/>
        <w:keepNext w:val="0"/>
        <w:numPr>
          <w:ilvl w:val="1"/>
          <w:numId w:val="14"/>
        </w:numPr>
        <w:spacing w:before="0" w:after="60" w:line="360" w:lineRule="auto"/>
        <w:jc w:val="both"/>
        <w:rPr>
          <w:color w:val="auto"/>
          <w:sz w:val="20"/>
          <w:szCs w:val="20"/>
        </w:rPr>
      </w:pPr>
      <w:r w:rsidRPr="00030D37">
        <w:rPr>
          <w:color w:val="auto"/>
          <w:sz w:val="20"/>
          <w:szCs w:val="20"/>
        </w:rPr>
        <w:t xml:space="preserve">The PCDM uses a range of historic data in order to determine the percentages which allocate price control revenues to network levels. At a high </w:t>
      </w:r>
      <w:r w:rsidR="003317EE" w:rsidRPr="00D52375">
        <w:rPr>
          <w:color w:val="auto"/>
          <w:sz w:val="20"/>
          <w:szCs w:val="20"/>
        </w:rPr>
        <w:t>level,</w:t>
      </w:r>
      <w:r w:rsidRPr="00030D37">
        <w:rPr>
          <w:color w:val="auto"/>
          <w:sz w:val="20"/>
          <w:szCs w:val="20"/>
        </w:rPr>
        <w:t xml:space="preserve"> the approach is as follows:</w:t>
      </w:r>
    </w:p>
    <w:p w14:paraId="524469D2" w14:textId="7D042381" w:rsidR="001C1A9C" w:rsidRPr="00030D37" w:rsidRDefault="001C1A9C" w:rsidP="0010396A">
      <w:pPr>
        <w:pStyle w:val="Heading2"/>
        <w:keepNext w:val="0"/>
        <w:numPr>
          <w:ilvl w:val="1"/>
          <w:numId w:val="58"/>
        </w:numPr>
        <w:spacing w:before="240" w:after="60" w:line="360" w:lineRule="auto"/>
        <w:ind w:left="1134" w:hanging="425"/>
        <w:jc w:val="both"/>
        <w:rPr>
          <w:bCs w:val="0"/>
          <w:iCs w:val="0"/>
          <w:sz w:val="20"/>
          <w:szCs w:val="20"/>
        </w:rPr>
      </w:pPr>
      <w:r w:rsidRPr="00030D37">
        <w:rPr>
          <w:color w:val="auto"/>
          <w:sz w:val="20"/>
          <w:szCs w:val="20"/>
        </w:rPr>
        <w:t xml:space="preserve">Using DPCR4 price control data, allowed revenue for 2005/06 – 2009/10 is split between (1) operating expenditure (for 2007/08), (2) depreciation and (3) return on regulatory asset value </w:t>
      </w:r>
    </w:p>
    <w:p w14:paraId="259C8777" w14:textId="557E2A3B" w:rsidR="001C1A9C" w:rsidRPr="00030D37" w:rsidRDefault="009C03C5" w:rsidP="0010396A">
      <w:pPr>
        <w:pStyle w:val="Heading2"/>
        <w:keepNext w:val="0"/>
        <w:numPr>
          <w:ilvl w:val="1"/>
          <w:numId w:val="58"/>
        </w:numPr>
        <w:spacing w:before="240" w:after="60" w:line="360" w:lineRule="auto"/>
        <w:ind w:left="1134" w:hanging="425"/>
        <w:jc w:val="both"/>
        <w:rPr>
          <w:bCs w:val="0"/>
          <w:iCs w:val="0"/>
          <w:sz w:val="20"/>
          <w:szCs w:val="20"/>
        </w:rPr>
      </w:pPr>
      <w:r w:rsidRPr="00030D37">
        <w:rPr>
          <w:color w:val="auto"/>
          <w:sz w:val="20"/>
          <w:szCs w:val="20"/>
        </w:rPr>
        <w:t>E</w:t>
      </w:r>
      <w:r w:rsidR="001C1A9C" w:rsidRPr="00030D37">
        <w:rPr>
          <w:color w:val="auto"/>
          <w:sz w:val="20"/>
          <w:szCs w:val="20"/>
        </w:rPr>
        <w:t>ach of these components of revenue is allocated across network levels using a number of cost drivers determined using data sources ranging from 2005/06 – 2014/15</w:t>
      </w:r>
    </w:p>
    <w:p w14:paraId="0105A279" w14:textId="0569D9DB" w:rsidR="001C1A9C" w:rsidRPr="00030D37" w:rsidRDefault="001C1A9C" w:rsidP="0010396A">
      <w:pPr>
        <w:pStyle w:val="Heading2"/>
        <w:keepNext w:val="0"/>
        <w:numPr>
          <w:ilvl w:val="1"/>
          <w:numId w:val="58"/>
        </w:numPr>
        <w:spacing w:before="240" w:after="60" w:line="360" w:lineRule="auto"/>
        <w:ind w:left="1134" w:hanging="425"/>
        <w:jc w:val="both"/>
        <w:rPr>
          <w:bCs w:val="0"/>
          <w:iCs w:val="0"/>
          <w:sz w:val="20"/>
          <w:szCs w:val="20"/>
        </w:rPr>
      </w:pPr>
      <w:r w:rsidRPr="00030D37">
        <w:rPr>
          <w:color w:val="auto"/>
          <w:sz w:val="20"/>
          <w:szCs w:val="20"/>
        </w:rPr>
        <w:t xml:space="preserve">The allocations are aggregated by network level to obtain a percentage per network level of total price control allowed revenue. </w:t>
      </w:r>
    </w:p>
    <w:p w14:paraId="50369EF3" w14:textId="77777777" w:rsidR="001C1A9C" w:rsidRPr="00030D37" w:rsidRDefault="001C1A9C" w:rsidP="0010396A">
      <w:pPr>
        <w:pStyle w:val="Heading2"/>
        <w:keepNext w:val="0"/>
        <w:numPr>
          <w:ilvl w:val="1"/>
          <w:numId w:val="14"/>
        </w:numPr>
        <w:spacing w:before="240" w:after="60" w:line="360" w:lineRule="auto"/>
        <w:jc w:val="both"/>
        <w:rPr>
          <w:color w:val="auto"/>
          <w:sz w:val="20"/>
          <w:szCs w:val="20"/>
        </w:rPr>
      </w:pPr>
      <w:r w:rsidRPr="00030D37">
        <w:rPr>
          <w:color w:val="auto"/>
          <w:sz w:val="20"/>
          <w:szCs w:val="20"/>
        </w:rPr>
        <w:lastRenderedPageBreak/>
        <w:t>The proposer argues that the use of such historical data to determine the percentages which are used to allocate price control revenues to network levels is due a review. However, such a review is outside of the scope of DCP 266 and, as highlighted earlier, is being considered as part of a wider review of the CDCM taking place outside of this CP.</w:t>
      </w:r>
    </w:p>
    <w:p w14:paraId="5A7CA373" w14:textId="4958BA51" w:rsidR="001C1A9C" w:rsidRPr="00030D37" w:rsidRDefault="001C1A9C" w:rsidP="0010396A">
      <w:pPr>
        <w:pStyle w:val="Heading2"/>
        <w:keepNext w:val="0"/>
        <w:numPr>
          <w:ilvl w:val="1"/>
          <w:numId w:val="14"/>
        </w:numPr>
        <w:spacing w:before="240" w:after="60" w:line="360" w:lineRule="auto"/>
        <w:jc w:val="both"/>
        <w:rPr>
          <w:color w:val="auto"/>
          <w:sz w:val="20"/>
          <w:szCs w:val="20"/>
        </w:rPr>
      </w:pPr>
      <w:r w:rsidRPr="00030D37">
        <w:rPr>
          <w:color w:val="auto"/>
          <w:sz w:val="20"/>
          <w:szCs w:val="20"/>
        </w:rPr>
        <w:t>The logical defect which DCP 266 seeks to correct is entirely unrelated to the PCDM method of calculating the percentages used to allocate price control revenues to network levels. The defect does not affect these calculations and manifests after the percentages have been determined. Therefore</w:t>
      </w:r>
      <w:r w:rsidR="009C03C5" w:rsidRPr="00030D37">
        <w:rPr>
          <w:color w:val="auto"/>
          <w:sz w:val="20"/>
          <w:szCs w:val="20"/>
        </w:rPr>
        <w:t>,</w:t>
      </w:r>
      <w:r w:rsidRPr="00030D37">
        <w:rPr>
          <w:color w:val="auto"/>
          <w:sz w:val="20"/>
          <w:szCs w:val="20"/>
        </w:rPr>
        <w:t xml:space="preserve"> any review of the method of calculating these percentages would need to be the subject of a separate and unrelated change proposal. </w:t>
      </w:r>
    </w:p>
    <w:p w14:paraId="7A97498B" w14:textId="40B2D962" w:rsidR="001C1A9C" w:rsidRDefault="001C1A9C" w:rsidP="003D05AC">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It is the proposer’s view that DCP 266 assumes the method of allocating price control revenue to network levels remains as appropriate as it is currently accepted to be. However, it should be noted that once the DCP 266 methodology is in place it will provide the benefit of ensuring that any future change to the allocation of price control revenue to network levels is properly reflected in the CDCM discounts received by LDNOs. By contrast, under the current methodology, any change in the PDCM allocation of price control revenue to network levels </w:t>
      </w:r>
      <w:r w:rsidRPr="00030D37">
        <w:rPr>
          <w:color w:val="auto"/>
          <w:sz w:val="20"/>
          <w:szCs w:val="20"/>
          <w:u w:val="single"/>
        </w:rPr>
        <w:t>will not</w:t>
      </w:r>
      <w:r w:rsidRPr="00030D37">
        <w:rPr>
          <w:color w:val="auto"/>
          <w:sz w:val="20"/>
          <w:szCs w:val="20"/>
        </w:rPr>
        <w:t xml:space="preserve"> be properly reflected in the CDCM discounts received by LDNOs </w:t>
      </w:r>
      <w:r w:rsidRPr="00030D37">
        <w:rPr>
          <w:color w:val="auto"/>
          <w:sz w:val="20"/>
          <w:szCs w:val="20"/>
          <w:u w:val="single"/>
        </w:rPr>
        <w:t>unless</w:t>
      </w:r>
      <w:r w:rsidRPr="00030D37">
        <w:rPr>
          <w:color w:val="auto"/>
          <w:sz w:val="20"/>
          <w:szCs w:val="20"/>
        </w:rPr>
        <w:t xml:space="preserve"> the same change in allocation to network levels is also made in the CDCM incremental cost methodology.</w:t>
      </w:r>
    </w:p>
    <w:p w14:paraId="5A32C620" w14:textId="77777777" w:rsidR="00B52063" w:rsidRPr="00B52063" w:rsidRDefault="00A0110F" w:rsidP="00030D37">
      <w:pPr>
        <w:pStyle w:val="Heading02"/>
        <w:keepNext w:val="0"/>
        <w:numPr>
          <w:ilvl w:val="0"/>
          <w:numId w:val="14"/>
        </w:numPr>
      </w:pPr>
      <w:bookmarkStart w:id="10" w:name="_Toc494981276"/>
      <w:r>
        <w:t>DCP 266</w:t>
      </w:r>
      <w:r w:rsidR="001812E5">
        <w:t xml:space="preserve"> </w:t>
      </w:r>
      <w:r w:rsidR="0007537E">
        <w:t>Working Group Assessment</w:t>
      </w:r>
      <w:bookmarkEnd w:id="10"/>
      <w:r w:rsidR="0007537E">
        <w:t xml:space="preserve"> </w:t>
      </w:r>
    </w:p>
    <w:p w14:paraId="110DC9B3" w14:textId="705D2476" w:rsidR="009C03C5" w:rsidRPr="00030D37" w:rsidRDefault="00620648">
      <w:pPr>
        <w:pStyle w:val="Heading2"/>
        <w:keepNext w:val="0"/>
        <w:numPr>
          <w:ilvl w:val="1"/>
          <w:numId w:val="14"/>
        </w:numPr>
        <w:spacing w:before="240" w:after="60" w:line="360" w:lineRule="auto"/>
        <w:jc w:val="both"/>
        <w:rPr>
          <w:color w:val="auto"/>
          <w:sz w:val="20"/>
          <w:szCs w:val="20"/>
        </w:rPr>
      </w:pPr>
      <w:bookmarkStart w:id="11" w:name="_Toc318962139"/>
      <w:bookmarkStart w:id="12" w:name="_Toc453107801"/>
      <w:r w:rsidRPr="00030D37">
        <w:rPr>
          <w:color w:val="auto"/>
          <w:sz w:val="20"/>
          <w:szCs w:val="20"/>
        </w:rPr>
        <w:t>The DCUSA Panel established a Working Group to assess DCP 266. The group is comprised of Distributor, Supplier and Ofgem representatives. It is noted that all DCUSA Parties were invited to attend. Meetings were held in open session and the minutes and papers of each meeting are available on the DCUSA website</w:t>
      </w:r>
      <w:r w:rsidR="009C03C5" w:rsidRPr="00030D37">
        <w:rPr>
          <w:color w:val="auto"/>
          <w:sz w:val="20"/>
          <w:szCs w:val="20"/>
        </w:rPr>
        <w:t xml:space="preserve"> - </w:t>
      </w:r>
      <w:hyperlink r:id="rId14" w:history="1">
        <w:r w:rsidR="009C03C5" w:rsidRPr="00030D37">
          <w:rPr>
            <w:color w:val="auto"/>
            <w:sz w:val="20"/>
            <w:szCs w:val="20"/>
          </w:rPr>
          <w:t>www.dcusa.co.uk</w:t>
        </w:r>
      </w:hyperlink>
    </w:p>
    <w:p w14:paraId="1972727D"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noted that the intent of the CP appeared to limit the solution to the PCDM (the price control disaggregation model applicable to the CDCM model) and did not include any reference to the EDCM “Price Control Disaggregation” model (extended Method M), which is applicable to the EDCM model. The Working Group considered that it was logical that any solution implemented as part of DCP 266 should also apply to the extended Method M. The proposer acknowledged that the omission of any reference to the extended Method M was not intentional and that applying the solution to that model was fully in line with the spirit of the original intent of the CP. </w:t>
      </w:r>
    </w:p>
    <w:p w14:paraId="569EE121" w14:textId="2ADF85C8"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The Working Group unanimously agreed that the intent of the CP should be refined to include changes to the EDCM “Price Control Disaggregation” model (extended Method M). The Working Group therefore sought permission from the DCUSA Panel to refine the intent of the change proposal to include the extended Method M and the DCUSA Panel approved this request on 29th April 2016.</w:t>
      </w:r>
      <w:r w:rsidR="00187F24" w:rsidRPr="00030D37">
        <w:rPr>
          <w:color w:val="auto"/>
          <w:sz w:val="20"/>
          <w:szCs w:val="20"/>
        </w:rPr>
        <w:t xml:space="preserve"> It is noted that the Proposer agreed to the modification to the intent of the change.</w:t>
      </w:r>
    </w:p>
    <w:p w14:paraId="282F7FEA"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lastRenderedPageBreak/>
        <w:t xml:space="preserve">Throughout this document the terms “Price Control Disaggregation Model”, “PDCM” and “Method M” may be used interchangeably. Also, references to these terms can also be assumed to apply equally to the “EDCM Price Control Disaggregation Model” or “Extended Method M”.  However it should be noted that </w:t>
      </w:r>
      <w:hyperlink r:id="rId15" w:history="1">
        <w:r w:rsidRPr="00030D37">
          <w:rPr>
            <w:color w:val="auto"/>
            <w:sz w:val="20"/>
            <w:szCs w:val="20"/>
          </w:rPr>
          <w:t>DCP 234 ‘Merging the PCDM and extended PCDM'</w:t>
        </w:r>
      </w:hyperlink>
      <w:r w:rsidRPr="00030D37">
        <w:rPr>
          <w:color w:val="auto"/>
          <w:sz w:val="20"/>
          <w:szCs w:val="20"/>
        </w:rPr>
        <w:t xml:space="preserve"> has now been approved and so from 1 April 2018 there will only be one model to consider.</w:t>
      </w:r>
    </w:p>
    <w:p w14:paraId="6BC03E54" w14:textId="586F031E" w:rsidR="0012326E" w:rsidRDefault="003D05AC" w:rsidP="003D05AC">
      <w:pPr>
        <w:pStyle w:val="Heading2"/>
        <w:keepNext w:val="0"/>
        <w:numPr>
          <w:ilvl w:val="1"/>
          <w:numId w:val="14"/>
        </w:numPr>
        <w:spacing w:before="240" w:after="60" w:line="360" w:lineRule="auto"/>
        <w:jc w:val="both"/>
        <w:rPr>
          <w:color w:val="auto"/>
          <w:sz w:val="20"/>
          <w:szCs w:val="20"/>
        </w:rPr>
      </w:pPr>
      <w:r w:rsidRPr="003D05AC">
        <w:rPr>
          <w:color w:val="auto"/>
          <w:sz w:val="20"/>
          <w:szCs w:val="20"/>
        </w:rPr>
        <w:t xml:space="preserve">In the CP form the Proposer noted that in order to ensure that the avoided total cost (p/kWh) and the ATW CDCM cost are on an equivalent basis, it is likely to be necessary to calculate the avoided total cost (p/kWh) using the allowed revenue and forecast total kWh included within the CDCM for the relevant charging year. </w:t>
      </w:r>
      <w:r w:rsidR="00620648" w:rsidRPr="00030D37">
        <w:rPr>
          <w:color w:val="auto"/>
          <w:sz w:val="20"/>
          <w:szCs w:val="20"/>
        </w:rPr>
        <w:t>The Working Group considered whether the scope of the CP should include other various cost</w:t>
      </w:r>
      <w:r w:rsidR="00084030" w:rsidRPr="00030D37">
        <w:rPr>
          <w:color w:val="auto"/>
          <w:sz w:val="20"/>
          <w:szCs w:val="20"/>
        </w:rPr>
        <w:t xml:space="preserve"> input values</w:t>
      </w:r>
      <w:r w:rsidR="00620648" w:rsidRPr="00030D37">
        <w:rPr>
          <w:color w:val="auto"/>
          <w:sz w:val="20"/>
          <w:szCs w:val="20"/>
        </w:rPr>
        <w:t xml:space="preserve"> </w:t>
      </w:r>
      <w:r w:rsidR="00084030" w:rsidRPr="00030D37">
        <w:rPr>
          <w:color w:val="auto"/>
          <w:sz w:val="20"/>
          <w:szCs w:val="20"/>
        </w:rPr>
        <w:t>to</w:t>
      </w:r>
      <w:r w:rsidR="00620648" w:rsidRPr="00030D37">
        <w:rPr>
          <w:color w:val="auto"/>
          <w:sz w:val="20"/>
          <w:szCs w:val="20"/>
        </w:rPr>
        <w:t xml:space="preserve"> </w:t>
      </w:r>
      <w:r w:rsidR="00084030" w:rsidRPr="00030D37">
        <w:rPr>
          <w:color w:val="auto"/>
          <w:sz w:val="20"/>
          <w:szCs w:val="20"/>
        </w:rPr>
        <w:t xml:space="preserve">the </w:t>
      </w:r>
      <w:r w:rsidR="00620648" w:rsidRPr="00030D37">
        <w:rPr>
          <w:color w:val="auto"/>
          <w:sz w:val="20"/>
          <w:szCs w:val="20"/>
        </w:rPr>
        <w:t>PCDM</w:t>
      </w:r>
      <w:r w:rsidR="00084030" w:rsidRPr="00030D37">
        <w:rPr>
          <w:color w:val="auto"/>
          <w:sz w:val="20"/>
          <w:szCs w:val="20"/>
        </w:rPr>
        <w:t xml:space="preserve"> (over and above that of updated allowed revenue)</w:t>
      </w:r>
      <w:r w:rsidR="00620648" w:rsidRPr="00030D37">
        <w:rPr>
          <w:color w:val="auto"/>
          <w:sz w:val="20"/>
          <w:szCs w:val="20"/>
        </w:rPr>
        <w:t xml:space="preserve">. It was noted that it is not the intent of the CP to have a review of all data sources in PCDM, rather the intent is to correct how the LDNO discount is calculated and applied. It was highlighted that a wider review of the CDCM was taking place outside of this CP which is looking at whether the PCDM should be incorporated into the CDCM, and how the data sources should be updated. It was agreed that widening the scope of the CP would be difficult considering the CP does not propose to update the data sources in the PCDM. </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A63309" w14:paraId="2308D651" w14:textId="77777777" w:rsidTr="0010396A">
        <w:tc>
          <w:tcPr>
            <w:tcW w:w="9572" w:type="dxa"/>
          </w:tcPr>
          <w:p w14:paraId="3A928BC5" w14:textId="1AD9BADA" w:rsidR="00A63309" w:rsidRPr="0010396A" w:rsidRDefault="00A63309" w:rsidP="0010396A">
            <w:pPr>
              <w:rPr>
                <w:b/>
              </w:rPr>
            </w:pPr>
            <w:r w:rsidRPr="0010396A">
              <w:rPr>
                <w:b/>
              </w:rPr>
              <w:t xml:space="preserve">QUESTION 1: Do you understand the intent of DCP 266? </w:t>
            </w:r>
          </w:p>
        </w:tc>
      </w:tr>
    </w:tbl>
    <w:p w14:paraId="3285F502" w14:textId="6FE9E85E" w:rsidR="0012326E" w:rsidRPr="0010396A" w:rsidRDefault="0012326E" w:rsidP="00030D37">
      <w:pPr>
        <w:rPr>
          <w:b/>
          <w:u w:val="single"/>
        </w:rPr>
      </w:pPr>
      <w:r w:rsidRPr="0010396A">
        <w:rPr>
          <w:b/>
          <w:u w:val="single"/>
        </w:rPr>
        <w:t>Overview of proposed change</w:t>
      </w:r>
    </w:p>
    <w:p w14:paraId="729C4656" w14:textId="35D7798E" w:rsidR="00855C30" w:rsidRPr="00030D37" w:rsidRDefault="00855C30"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 set out that at a high level, the calculation of </w:t>
      </w:r>
      <w:r w:rsidR="00E522A6" w:rsidRPr="00030D37">
        <w:rPr>
          <w:color w:val="auto"/>
          <w:sz w:val="20"/>
          <w:szCs w:val="20"/>
        </w:rPr>
        <w:t>L</w:t>
      </w:r>
      <w:r w:rsidRPr="00030D37">
        <w:rPr>
          <w:color w:val="auto"/>
          <w:sz w:val="20"/>
          <w:szCs w:val="20"/>
        </w:rPr>
        <w:t xml:space="preserve">DNO discounts follows the following steps:  </w:t>
      </w:r>
    </w:p>
    <w:p w14:paraId="70433F9C" w14:textId="053BC048" w:rsidR="00855C30" w:rsidRPr="00030D37" w:rsidRDefault="00855C30" w:rsidP="00030D37">
      <w:pPr>
        <w:numPr>
          <w:ilvl w:val="1"/>
          <w:numId w:val="59"/>
        </w:numPr>
        <w:tabs>
          <w:tab w:val="left" w:pos="1418"/>
        </w:tabs>
        <w:ind w:left="1418" w:hanging="709"/>
      </w:pPr>
      <w:r w:rsidRPr="00030D37">
        <w:t>Price control allowed revenue is broken down between operating expenditure, depreciation and return on regulatory asset value.</w:t>
      </w:r>
    </w:p>
    <w:p w14:paraId="48785BDF" w14:textId="77777777" w:rsidR="00307BA3" w:rsidRPr="00030D37" w:rsidRDefault="00307BA3" w:rsidP="00030D37">
      <w:pPr>
        <w:numPr>
          <w:ilvl w:val="1"/>
          <w:numId w:val="59"/>
        </w:numPr>
        <w:tabs>
          <w:tab w:val="left" w:pos="1418"/>
        </w:tabs>
        <w:ind w:left="1418" w:hanging="709"/>
      </w:pPr>
      <w:r w:rsidRPr="00030D37">
        <w:t>Each of these components of price control allowed revenue is then allocated to network levels using specified drivers.</w:t>
      </w:r>
    </w:p>
    <w:p w14:paraId="4C3D4318" w14:textId="25765A71" w:rsidR="00307BA3" w:rsidRPr="00030D37" w:rsidRDefault="00307BA3" w:rsidP="00030D37">
      <w:pPr>
        <w:numPr>
          <w:ilvl w:val="1"/>
          <w:numId w:val="59"/>
        </w:numPr>
        <w:tabs>
          <w:tab w:val="left" w:pos="1418"/>
        </w:tabs>
        <w:ind w:left="1418" w:hanging="709"/>
      </w:pPr>
      <w:r w:rsidRPr="00030D37">
        <w:t>Determination of a percentage allocation of total revenue per unit to network levels.</w:t>
      </w:r>
    </w:p>
    <w:p w14:paraId="756B9C54" w14:textId="268500F2" w:rsidR="00855C30" w:rsidRPr="00030D37" w:rsidRDefault="00307BA3" w:rsidP="00030D37">
      <w:pPr>
        <w:numPr>
          <w:ilvl w:val="1"/>
          <w:numId w:val="59"/>
        </w:numPr>
        <w:tabs>
          <w:tab w:val="left" w:pos="1418"/>
        </w:tabs>
        <w:ind w:left="1418" w:hanging="709"/>
      </w:pPr>
      <w:r w:rsidRPr="0067689E">
        <w:t>D</w:t>
      </w:r>
      <w:r w:rsidR="00855C30" w:rsidRPr="00030D37">
        <w:t>etermination of the proportion of the LV mains deemed to be used by LV- connected embedded networks.</w:t>
      </w:r>
    </w:p>
    <w:p w14:paraId="41B82A3A" w14:textId="57821CDA" w:rsidR="00307BA3" w:rsidRPr="00030D37" w:rsidRDefault="00855C30" w:rsidP="00030D37">
      <w:pPr>
        <w:numPr>
          <w:ilvl w:val="1"/>
          <w:numId w:val="59"/>
        </w:numPr>
        <w:tabs>
          <w:tab w:val="left" w:pos="1418"/>
        </w:tabs>
        <w:ind w:left="1418" w:hanging="709"/>
      </w:pPr>
      <w:r w:rsidRPr="00030D37">
        <w:t>Determination of the proportion of the HV network deemed to be provided by HV-connected embedded networks.</w:t>
      </w:r>
    </w:p>
    <w:p w14:paraId="43D50775" w14:textId="77777777" w:rsidR="00855C30" w:rsidRPr="00030D37" w:rsidRDefault="00855C30" w:rsidP="00030D37">
      <w:pPr>
        <w:numPr>
          <w:ilvl w:val="1"/>
          <w:numId w:val="59"/>
        </w:numPr>
        <w:tabs>
          <w:tab w:val="left" w:pos="1418"/>
        </w:tabs>
        <w:ind w:left="1418" w:hanging="709"/>
      </w:pPr>
      <w:r w:rsidRPr="00030D37">
        <w:t>Calculation of the discount percentage for each combination of boundary network level and end user network level.</w:t>
      </w:r>
    </w:p>
    <w:p w14:paraId="5E8BF1C3" w14:textId="1D75D5F0" w:rsidR="00855C30" w:rsidRPr="00030D37" w:rsidRDefault="00855C30"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 noted that DCP 266 is limited in scope to the final step (f) above. It seeks to change the perceived defect in the way the outputs of the prior steps are </w:t>
      </w:r>
      <w:r w:rsidR="00AF3D58" w:rsidRPr="00030D37">
        <w:rPr>
          <w:color w:val="auto"/>
          <w:sz w:val="20"/>
          <w:szCs w:val="20"/>
        </w:rPr>
        <w:t xml:space="preserve">used </w:t>
      </w:r>
      <w:r w:rsidRPr="00030D37">
        <w:rPr>
          <w:color w:val="auto"/>
          <w:sz w:val="20"/>
          <w:szCs w:val="20"/>
        </w:rPr>
        <w:t>to calculate the discount percentages that are applied to All-the-way tariffs</w:t>
      </w:r>
      <w:r w:rsidR="00E522A6" w:rsidRPr="00030D37">
        <w:rPr>
          <w:color w:val="auto"/>
          <w:sz w:val="20"/>
          <w:szCs w:val="20"/>
        </w:rPr>
        <w:t xml:space="preserve"> in order to determine the LDNO tariffs.</w:t>
      </w:r>
    </w:p>
    <w:p w14:paraId="39C6B303" w14:textId="5E395099" w:rsidR="00855C30" w:rsidRPr="00030D37" w:rsidRDefault="00855C30"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current methodology uses allowed revenue from 2007/08 in the final step (f) above. The working group questioned whether it was appropriate, as proposed by the DCP 266 solution, to use updated allowed revenue (in nominal terms) for the upcoming charging year in the final step above whilst not updating the other data in the PCDM which is expressed in 2007/08 prices. </w:t>
      </w:r>
    </w:p>
    <w:p w14:paraId="0DBC1C8F" w14:textId="4C9D27D6" w:rsidR="00600F8C" w:rsidRPr="00030D37" w:rsidRDefault="00855C30"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lastRenderedPageBreak/>
        <w:t xml:space="preserve">The proposer’s view was that whilst the PCDM currently expresses all monetary values in 2007/08 prices, the inputs </w:t>
      </w:r>
      <w:r w:rsidR="00E522A6" w:rsidRPr="00030D37">
        <w:rPr>
          <w:color w:val="auto"/>
          <w:sz w:val="20"/>
          <w:szCs w:val="20"/>
        </w:rPr>
        <w:t xml:space="preserve">should </w:t>
      </w:r>
      <w:r w:rsidRPr="00030D37">
        <w:rPr>
          <w:color w:val="auto"/>
          <w:sz w:val="20"/>
          <w:szCs w:val="20"/>
        </w:rPr>
        <w:t>not</w:t>
      </w:r>
      <w:r w:rsidR="00E522A6" w:rsidRPr="00030D37">
        <w:rPr>
          <w:color w:val="auto"/>
          <w:sz w:val="20"/>
          <w:szCs w:val="20"/>
        </w:rPr>
        <w:t xml:space="preserve"> be</w:t>
      </w:r>
      <w:r w:rsidRPr="00030D37">
        <w:rPr>
          <w:color w:val="auto"/>
          <w:sz w:val="20"/>
          <w:szCs w:val="20"/>
        </w:rPr>
        <w:t xml:space="preserve"> locked into using 2007/08 data. The PCDM already uses data from a range of years for the purposes of determining an appropriate percentage allocation of total revenue per unit to network levels (i.e. step c above). Therefore, since the derivation of these percentage allocations to network levels is not limited to the use of 2007/08 data, they can be deemed to represent an appropriate split of allowed revenue to network levels which can be applied to allowed revenue, expressed in nominal terms, for any year. </w:t>
      </w:r>
    </w:p>
    <w:p w14:paraId="02741A49" w14:textId="440E19CE" w:rsidR="00855C30" w:rsidRPr="00030D37" w:rsidRDefault="00855C30" w:rsidP="00030D37">
      <w:pPr>
        <w:spacing w:after="0"/>
        <w:jc w:val="both"/>
        <w:rPr>
          <w:rFonts w:cs="Arial"/>
          <w:szCs w:val="20"/>
        </w:rPr>
      </w:pPr>
      <w:r w:rsidRPr="00030D37">
        <w:rPr>
          <w:rFonts w:cs="Arial"/>
          <w:szCs w:val="20"/>
        </w:rPr>
        <w:t xml:space="preserve">The table below shows the data sources for the derivation for </w:t>
      </w:r>
      <w:r w:rsidR="00E522A6" w:rsidRPr="00030D37">
        <w:rPr>
          <w:rFonts w:cs="Arial"/>
          <w:szCs w:val="20"/>
        </w:rPr>
        <w:t>L</w:t>
      </w:r>
      <w:r w:rsidRPr="00030D37">
        <w:rPr>
          <w:rFonts w:cs="Arial"/>
          <w:szCs w:val="20"/>
        </w:rPr>
        <w:t xml:space="preserve">DNO discounts: </w:t>
      </w:r>
    </w:p>
    <w:tbl>
      <w:tblPr>
        <w:tblStyle w:val="TableGrid"/>
        <w:tblW w:w="5000" w:type="pct"/>
        <w:tblLook w:val="04A0" w:firstRow="1" w:lastRow="0" w:firstColumn="1" w:lastColumn="0" w:noHBand="0" w:noVBand="1"/>
      </w:tblPr>
      <w:tblGrid>
        <w:gridCol w:w="4789"/>
        <w:gridCol w:w="1331"/>
        <w:gridCol w:w="3452"/>
      </w:tblGrid>
      <w:tr w:rsidR="00855C30" w:rsidRPr="001E1CD8" w14:paraId="64D515F4" w14:textId="77777777" w:rsidTr="0010396A">
        <w:tc>
          <w:tcPr>
            <w:tcW w:w="2502" w:type="pct"/>
            <w:tcBorders>
              <w:top w:val="single" w:sz="4" w:space="0" w:color="auto"/>
              <w:left w:val="single" w:sz="4" w:space="0" w:color="auto"/>
              <w:bottom w:val="single" w:sz="4" w:space="0" w:color="auto"/>
              <w:right w:val="single" w:sz="4" w:space="0" w:color="auto"/>
            </w:tcBorders>
            <w:hideMark/>
          </w:tcPr>
          <w:p w14:paraId="3B211E50" w14:textId="77777777" w:rsidR="00855C30" w:rsidRPr="00030D37" w:rsidRDefault="00855C30">
            <w:pPr>
              <w:spacing w:after="0" w:line="240" w:lineRule="auto"/>
              <w:rPr>
                <w:rFonts w:cs="Arial"/>
                <w:b/>
                <w:sz w:val="18"/>
                <w:szCs w:val="18"/>
              </w:rPr>
            </w:pPr>
            <w:r w:rsidRPr="00030D37">
              <w:rPr>
                <w:rFonts w:cs="Arial"/>
                <w:b/>
                <w:sz w:val="18"/>
                <w:szCs w:val="18"/>
              </w:rPr>
              <w:t xml:space="preserve">Step </w:t>
            </w:r>
          </w:p>
        </w:tc>
        <w:tc>
          <w:tcPr>
            <w:tcW w:w="2498" w:type="pct"/>
            <w:gridSpan w:val="2"/>
            <w:tcBorders>
              <w:top w:val="single" w:sz="4" w:space="0" w:color="auto"/>
              <w:left w:val="single" w:sz="4" w:space="0" w:color="auto"/>
              <w:bottom w:val="single" w:sz="4" w:space="0" w:color="auto"/>
              <w:right w:val="single" w:sz="4" w:space="0" w:color="auto"/>
            </w:tcBorders>
            <w:hideMark/>
          </w:tcPr>
          <w:p w14:paraId="0094BAF6" w14:textId="77777777" w:rsidR="00855C30" w:rsidRPr="00030D37" w:rsidRDefault="00855C30">
            <w:pPr>
              <w:spacing w:after="0" w:line="240" w:lineRule="auto"/>
              <w:rPr>
                <w:rFonts w:cs="Arial"/>
                <w:b/>
                <w:sz w:val="18"/>
                <w:szCs w:val="18"/>
              </w:rPr>
            </w:pPr>
            <w:r w:rsidRPr="00030D37">
              <w:rPr>
                <w:rFonts w:cs="Arial"/>
                <w:b/>
                <w:sz w:val="18"/>
                <w:szCs w:val="18"/>
              </w:rPr>
              <w:t>Data and years used</w:t>
            </w:r>
          </w:p>
        </w:tc>
      </w:tr>
      <w:tr w:rsidR="00855C30" w:rsidRPr="001E1CD8" w14:paraId="74099327" w14:textId="77777777" w:rsidTr="0010396A">
        <w:tc>
          <w:tcPr>
            <w:tcW w:w="2502" w:type="pct"/>
            <w:tcBorders>
              <w:top w:val="single" w:sz="4" w:space="0" w:color="auto"/>
              <w:left w:val="single" w:sz="4" w:space="0" w:color="auto"/>
              <w:bottom w:val="single" w:sz="4" w:space="0" w:color="auto"/>
              <w:right w:val="single" w:sz="4" w:space="0" w:color="auto"/>
            </w:tcBorders>
            <w:hideMark/>
          </w:tcPr>
          <w:p w14:paraId="5DB82062" w14:textId="77777777" w:rsidR="00855C30" w:rsidRPr="00030D37" w:rsidRDefault="00855C30">
            <w:pPr>
              <w:pStyle w:val="Default"/>
              <w:numPr>
                <w:ilvl w:val="0"/>
                <w:numId w:val="41"/>
              </w:numPr>
              <w:rPr>
                <w:rFonts w:ascii="Arial" w:hAnsi="Arial" w:cs="Arial"/>
                <w:sz w:val="18"/>
                <w:szCs w:val="18"/>
              </w:rPr>
            </w:pPr>
            <w:r w:rsidRPr="00030D37">
              <w:rPr>
                <w:rFonts w:ascii="Arial" w:hAnsi="Arial" w:cs="Arial"/>
                <w:sz w:val="18"/>
                <w:szCs w:val="18"/>
              </w:rPr>
              <w:t>Breakdown of price control allowed revenue between operating expenditure, depreciation and return on regulatory asset value.</w:t>
            </w:r>
          </w:p>
        </w:tc>
        <w:tc>
          <w:tcPr>
            <w:tcW w:w="2498" w:type="pct"/>
            <w:gridSpan w:val="2"/>
            <w:tcBorders>
              <w:top w:val="single" w:sz="4" w:space="0" w:color="auto"/>
              <w:left w:val="single" w:sz="4" w:space="0" w:color="auto"/>
              <w:bottom w:val="single" w:sz="4" w:space="0" w:color="auto"/>
              <w:right w:val="single" w:sz="4" w:space="0" w:color="auto"/>
            </w:tcBorders>
            <w:hideMark/>
          </w:tcPr>
          <w:p w14:paraId="7BBF46BC" w14:textId="77777777" w:rsidR="00855C30" w:rsidRPr="00030D37" w:rsidRDefault="00855C30">
            <w:pPr>
              <w:spacing w:after="0" w:line="240" w:lineRule="auto"/>
              <w:rPr>
                <w:rFonts w:cs="Arial"/>
                <w:sz w:val="18"/>
                <w:szCs w:val="18"/>
              </w:rPr>
            </w:pPr>
            <w:r w:rsidRPr="00030D37">
              <w:rPr>
                <w:rFonts w:cs="Arial"/>
                <w:sz w:val="18"/>
                <w:szCs w:val="18"/>
              </w:rPr>
              <w:t xml:space="preserve">Allowed Revenue data: </w:t>
            </w:r>
            <w:r w:rsidRPr="00030D37">
              <w:rPr>
                <w:rFonts w:cs="Arial"/>
                <w:b/>
                <w:sz w:val="18"/>
                <w:szCs w:val="18"/>
              </w:rPr>
              <w:t>2005/06 – 2009/10</w:t>
            </w:r>
          </w:p>
        </w:tc>
      </w:tr>
      <w:tr w:rsidR="00855C30" w:rsidRPr="001E1CD8" w14:paraId="2D7D883F" w14:textId="77777777" w:rsidTr="0010396A">
        <w:tc>
          <w:tcPr>
            <w:tcW w:w="2502" w:type="pct"/>
            <w:vMerge w:val="restart"/>
            <w:tcBorders>
              <w:top w:val="single" w:sz="4" w:space="0" w:color="auto"/>
              <w:left w:val="single" w:sz="4" w:space="0" w:color="auto"/>
              <w:bottom w:val="single" w:sz="4" w:space="0" w:color="auto"/>
              <w:right w:val="single" w:sz="4" w:space="0" w:color="auto"/>
            </w:tcBorders>
          </w:tcPr>
          <w:p w14:paraId="2E5F3EEC" w14:textId="77777777" w:rsidR="00855C30" w:rsidRPr="00030D37" w:rsidRDefault="00855C30">
            <w:pPr>
              <w:pStyle w:val="Default"/>
              <w:numPr>
                <w:ilvl w:val="0"/>
                <w:numId w:val="42"/>
              </w:numPr>
              <w:rPr>
                <w:rFonts w:ascii="Arial" w:hAnsi="Arial" w:cs="Arial"/>
                <w:sz w:val="18"/>
                <w:szCs w:val="18"/>
              </w:rPr>
            </w:pPr>
            <w:r w:rsidRPr="00030D37">
              <w:rPr>
                <w:rFonts w:ascii="Arial" w:hAnsi="Arial" w:cs="Arial"/>
                <w:sz w:val="18"/>
                <w:szCs w:val="18"/>
              </w:rPr>
              <w:t>Allocation of each of these components of price control allowed revenue to network levels.</w:t>
            </w:r>
          </w:p>
          <w:p w14:paraId="16FDB20A" w14:textId="77777777" w:rsidR="00855C30" w:rsidRPr="00030D37" w:rsidRDefault="00855C30">
            <w:pPr>
              <w:pStyle w:val="Default"/>
              <w:rPr>
                <w:rFonts w:ascii="Arial" w:hAnsi="Arial" w:cs="Arial"/>
                <w:sz w:val="18"/>
                <w:szCs w:val="18"/>
              </w:rPr>
            </w:pPr>
          </w:p>
        </w:tc>
        <w:tc>
          <w:tcPr>
            <w:tcW w:w="695" w:type="pct"/>
            <w:tcBorders>
              <w:top w:val="single" w:sz="4" w:space="0" w:color="auto"/>
              <w:left w:val="single" w:sz="4" w:space="0" w:color="auto"/>
              <w:bottom w:val="single" w:sz="4" w:space="0" w:color="auto"/>
              <w:right w:val="single" w:sz="4" w:space="0" w:color="auto"/>
            </w:tcBorders>
            <w:hideMark/>
          </w:tcPr>
          <w:p w14:paraId="1DA3D5FE" w14:textId="77777777" w:rsidR="00855C30" w:rsidRPr="00030D37" w:rsidRDefault="00855C30">
            <w:pPr>
              <w:spacing w:after="0" w:line="240" w:lineRule="auto"/>
              <w:rPr>
                <w:rFonts w:cs="Arial"/>
                <w:sz w:val="18"/>
                <w:szCs w:val="18"/>
              </w:rPr>
            </w:pPr>
            <w:r w:rsidRPr="00030D37">
              <w:rPr>
                <w:rFonts w:cs="Arial"/>
                <w:sz w:val="18"/>
                <w:szCs w:val="18"/>
              </w:rPr>
              <w:t>Operating Expenditure</w:t>
            </w:r>
          </w:p>
        </w:tc>
        <w:tc>
          <w:tcPr>
            <w:tcW w:w="1803" w:type="pct"/>
            <w:tcBorders>
              <w:top w:val="single" w:sz="4" w:space="0" w:color="auto"/>
              <w:left w:val="single" w:sz="4" w:space="0" w:color="auto"/>
              <w:bottom w:val="single" w:sz="4" w:space="0" w:color="auto"/>
              <w:right w:val="single" w:sz="4" w:space="0" w:color="auto"/>
            </w:tcBorders>
            <w:hideMark/>
          </w:tcPr>
          <w:p w14:paraId="31553922" w14:textId="77777777" w:rsidR="00855C30" w:rsidRPr="00030D37" w:rsidRDefault="00855C30">
            <w:pPr>
              <w:spacing w:after="0" w:line="240" w:lineRule="auto"/>
              <w:rPr>
                <w:rFonts w:cs="Arial"/>
                <w:sz w:val="18"/>
                <w:szCs w:val="18"/>
              </w:rPr>
            </w:pPr>
            <w:r w:rsidRPr="00030D37">
              <w:rPr>
                <w:rFonts w:cs="Arial"/>
                <w:sz w:val="18"/>
                <w:szCs w:val="18"/>
              </w:rPr>
              <w:t xml:space="preserve">Operating expenditure from </w:t>
            </w:r>
            <w:r w:rsidRPr="00030D37">
              <w:rPr>
                <w:rFonts w:cs="Arial"/>
                <w:b/>
                <w:sz w:val="18"/>
                <w:szCs w:val="18"/>
              </w:rPr>
              <w:t>2007/08</w:t>
            </w:r>
            <w:r w:rsidRPr="00030D37">
              <w:rPr>
                <w:rFonts w:cs="Arial"/>
                <w:sz w:val="18"/>
                <w:szCs w:val="18"/>
              </w:rPr>
              <w:t xml:space="preserve"> if network level data available, otherwise MEAV by network level using </w:t>
            </w:r>
            <w:r w:rsidRPr="00030D37">
              <w:rPr>
                <w:rFonts w:cs="Arial"/>
                <w:b/>
                <w:sz w:val="18"/>
                <w:szCs w:val="18"/>
              </w:rPr>
              <w:t xml:space="preserve">2009/10 </w:t>
            </w:r>
            <w:r w:rsidRPr="00030D37">
              <w:rPr>
                <w:rFonts w:cs="Arial"/>
                <w:sz w:val="18"/>
                <w:szCs w:val="18"/>
              </w:rPr>
              <w:t>volumes</w:t>
            </w:r>
            <w:r w:rsidRPr="00030D37">
              <w:rPr>
                <w:rFonts w:cs="Arial"/>
                <w:b/>
                <w:sz w:val="18"/>
                <w:szCs w:val="18"/>
              </w:rPr>
              <w:t xml:space="preserve"> </w:t>
            </w:r>
            <w:r w:rsidRPr="00030D37">
              <w:rPr>
                <w:rFonts w:cs="Arial"/>
                <w:sz w:val="18"/>
                <w:szCs w:val="18"/>
              </w:rPr>
              <w:t>and</w:t>
            </w:r>
            <w:r w:rsidRPr="00030D37">
              <w:rPr>
                <w:rFonts w:cs="Arial"/>
                <w:b/>
                <w:sz w:val="18"/>
                <w:szCs w:val="18"/>
              </w:rPr>
              <w:t xml:space="preserve"> DPCR5 </w:t>
            </w:r>
            <w:r w:rsidRPr="00030D37">
              <w:rPr>
                <w:rFonts w:cs="Arial"/>
                <w:sz w:val="18"/>
                <w:szCs w:val="18"/>
              </w:rPr>
              <w:t>unit costs</w:t>
            </w:r>
          </w:p>
        </w:tc>
      </w:tr>
      <w:tr w:rsidR="00855C30" w:rsidRPr="001E1CD8" w14:paraId="3753114F" w14:textId="77777777" w:rsidTr="0010396A">
        <w:tc>
          <w:tcPr>
            <w:tcW w:w="2502" w:type="pct"/>
            <w:vMerge/>
            <w:tcBorders>
              <w:top w:val="single" w:sz="4" w:space="0" w:color="auto"/>
              <w:left w:val="single" w:sz="4" w:space="0" w:color="auto"/>
              <w:bottom w:val="single" w:sz="4" w:space="0" w:color="auto"/>
              <w:right w:val="single" w:sz="4" w:space="0" w:color="auto"/>
            </w:tcBorders>
            <w:vAlign w:val="center"/>
            <w:hideMark/>
          </w:tcPr>
          <w:p w14:paraId="43E0A9E2" w14:textId="77777777" w:rsidR="00855C30" w:rsidRPr="00030D37" w:rsidRDefault="00855C30">
            <w:pPr>
              <w:spacing w:after="0" w:line="240" w:lineRule="auto"/>
              <w:rPr>
                <w:rFonts w:cs="Arial"/>
                <w:color w:val="000000"/>
                <w:sz w:val="18"/>
                <w:szCs w:val="18"/>
                <w:lang w:eastAsia="en-US"/>
              </w:rPr>
            </w:pPr>
          </w:p>
        </w:tc>
        <w:tc>
          <w:tcPr>
            <w:tcW w:w="695" w:type="pct"/>
            <w:tcBorders>
              <w:top w:val="single" w:sz="4" w:space="0" w:color="auto"/>
              <w:left w:val="single" w:sz="4" w:space="0" w:color="auto"/>
              <w:bottom w:val="single" w:sz="4" w:space="0" w:color="auto"/>
              <w:right w:val="single" w:sz="4" w:space="0" w:color="auto"/>
            </w:tcBorders>
            <w:hideMark/>
          </w:tcPr>
          <w:p w14:paraId="1CE22A81" w14:textId="77777777" w:rsidR="00855C30" w:rsidRPr="00030D37" w:rsidRDefault="00855C30">
            <w:pPr>
              <w:spacing w:after="0" w:line="240" w:lineRule="auto"/>
              <w:rPr>
                <w:rFonts w:cs="Arial"/>
                <w:sz w:val="18"/>
                <w:szCs w:val="18"/>
              </w:rPr>
            </w:pPr>
            <w:r w:rsidRPr="00030D37">
              <w:rPr>
                <w:rFonts w:cs="Arial"/>
                <w:sz w:val="18"/>
                <w:szCs w:val="18"/>
              </w:rPr>
              <w:t>Depreciation</w:t>
            </w:r>
          </w:p>
        </w:tc>
        <w:tc>
          <w:tcPr>
            <w:tcW w:w="1803" w:type="pct"/>
            <w:tcBorders>
              <w:top w:val="single" w:sz="4" w:space="0" w:color="auto"/>
              <w:left w:val="single" w:sz="4" w:space="0" w:color="auto"/>
              <w:bottom w:val="single" w:sz="4" w:space="0" w:color="auto"/>
              <w:right w:val="single" w:sz="4" w:space="0" w:color="auto"/>
            </w:tcBorders>
            <w:hideMark/>
          </w:tcPr>
          <w:p w14:paraId="2B8563D1" w14:textId="77777777" w:rsidR="00855C30" w:rsidRPr="00030D37" w:rsidRDefault="00855C30">
            <w:pPr>
              <w:spacing w:after="0" w:line="240" w:lineRule="auto"/>
              <w:rPr>
                <w:rFonts w:cs="Arial"/>
                <w:sz w:val="18"/>
                <w:szCs w:val="18"/>
              </w:rPr>
            </w:pPr>
            <w:r w:rsidRPr="00030D37">
              <w:rPr>
                <w:rFonts w:cs="Arial"/>
                <w:sz w:val="18"/>
                <w:szCs w:val="18"/>
              </w:rPr>
              <w:t xml:space="preserve">Net Capital expenditure by network level: </w:t>
            </w:r>
            <w:r w:rsidRPr="00030D37">
              <w:rPr>
                <w:rFonts w:cs="Arial"/>
                <w:b/>
                <w:sz w:val="18"/>
                <w:szCs w:val="18"/>
              </w:rPr>
              <w:t>2005/06 – 2014/15</w:t>
            </w:r>
          </w:p>
        </w:tc>
      </w:tr>
      <w:tr w:rsidR="00855C30" w:rsidRPr="001E1CD8" w14:paraId="504C87BD" w14:textId="77777777" w:rsidTr="0010396A">
        <w:tc>
          <w:tcPr>
            <w:tcW w:w="2502" w:type="pct"/>
            <w:vMerge/>
            <w:tcBorders>
              <w:top w:val="single" w:sz="4" w:space="0" w:color="auto"/>
              <w:left w:val="single" w:sz="4" w:space="0" w:color="auto"/>
              <w:bottom w:val="single" w:sz="4" w:space="0" w:color="auto"/>
              <w:right w:val="single" w:sz="4" w:space="0" w:color="auto"/>
            </w:tcBorders>
            <w:vAlign w:val="center"/>
            <w:hideMark/>
          </w:tcPr>
          <w:p w14:paraId="08CBC903" w14:textId="77777777" w:rsidR="00855C30" w:rsidRPr="00030D37" w:rsidRDefault="00855C30">
            <w:pPr>
              <w:spacing w:after="0" w:line="240" w:lineRule="auto"/>
              <w:rPr>
                <w:rFonts w:cs="Arial"/>
                <w:color w:val="000000"/>
                <w:sz w:val="18"/>
                <w:szCs w:val="18"/>
                <w:lang w:eastAsia="en-US"/>
              </w:rPr>
            </w:pPr>
          </w:p>
        </w:tc>
        <w:tc>
          <w:tcPr>
            <w:tcW w:w="695" w:type="pct"/>
            <w:tcBorders>
              <w:top w:val="single" w:sz="4" w:space="0" w:color="auto"/>
              <w:left w:val="single" w:sz="4" w:space="0" w:color="auto"/>
              <w:bottom w:val="single" w:sz="4" w:space="0" w:color="auto"/>
              <w:right w:val="single" w:sz="4" w:space="0" w:color="auto"/>
            </w:tcBorders>
            <w:hideMark/>
          </w:tcPr>
          <w:p w14:paraId="0CEB2C3E" w14:textId="77777777" w:rsidR="00855C30" w:rsidRPr="00030D37" w:rsidRDefault="00855C30">
            <w:pPr>
              <w:spacing w:after="0" w:line="240" w:lineRule="auto"/>
              <w:rPr>
                <w:rFonts w:cs="Arial"/>
                <w:sz w:val="18"/>
                <w:szCs w:val="18"/>
              </w:rPr>
            </w:pPr>
            <w:r w:rsidRPr="00030D37">
              <w:rPr>
                <w:rFonts w:cs="Arial"/>
                <w:sz w:val="18"/>
                <w:szCs w:val="18"/>
              </w:rPr>
              <w:t>Return on Regulatory Asset Value</w:t>
            </w:r>
          </w:p>
        </w:tc>
        <w:tc>
          <w:tcPr>
            <w:tcW w:w="1803" w:type="pct"/>
            <w:tcBorders>
              <w:top w:val="single" w:sz="4" w:space="0" w:color="auto"/>
              <w:left w:val="single" w:sz="4" w:space="0" w:color="auto"/>
              <w:bottom w:val="single" w:sz="4" w:space="0" w:color="auto"/>
              <w:right w:val="single" w:sz="4" w:space="0" w:color="auto"/>
            </w:tcBorders>
            <w:hideMark/>
          </w:tcPr>
          <w:p w14:paraId="350D0A2F" w14:textId="77777777" w:rsidR="00855C30" w:rsidRPr="00030D37" w:rsidRDefault="00855C30">
            <w:pPr>
              <w:spacing w:after="0" w:line="240" w:lineRule="auto"/>
              <w:rPr>
                <w:rFonts w:cs="Arial"/>
                <w:sz w:val="18"/>
                <w:szCs w:val="18"/>
              </w:rPr>
            </w:pPr>
            <w:r w:rsidRPr="00030D37">
              <w:rPr>
                <w:rFonts w:cs="Arial"/>
                <w:sz w:val="18"/>
                <w:szCs w:val="18"/>
              </w:rPr>
              <w:t xml:space="preserve">Net Capital expenditure by network level: </w:t>
            </w:r>
            <w:r w:rsidRPr="00030D37">
              <w:rPr>
                <w:rFonts w:cs="Arial"/>
                <w:b/>
                <w:sz w:val="18"/>
                <w:szCs w:val="18"/>
              </w:rPr>
              <w:t>2005/06 – 2014/15</w:t>
            </w:r>
          </w:p>
        </w:tc>
      </w:tr>
      <w:tr w:rsidR="00855C30" w:rsidRPr="001E1CD8" w14:paraId="043FDACD" w14:textId="77777777" w:rsidTr="0010396A">
        <w:tc>
          <w:tcPr>
            <w:tcW w:w="2502" w:type="pct"/>
            <w:tcBorders>
              <w:top w:val="single" w:sz="4" w:space="0" w:color="auto"/>
              <w:left w:val="single" w:sz="4" w:space="0" w:color="auto"/>
              <w:bottom w:val="single" w:sz="4" w:space="0" w:color="auto"/>
              <w:right w:val="single" w:sz="4" w:space="0" w:color="auto"/>
            </w:tcBorders>
            <w:hideMark/>
          </w:tcPr>
          <w:p w14:paraId="23002F42" w14:textId="77777777" w:rsidR="00855C30" w:rsidRPr="00030D37" w:rsidRDefault="00855C30">
            <w:pPr>
              <w:pStyle w:val="Default"/>
              <w:numPr>
                <w:ilvl w:val="0"/>
                <w:numId w:val="42"/>
              </w:numPr>
              <w:rPr>
                <w:rFonts w:ascii="Arial" w:hAnsi="Arial" w:cs="Arial"/>
                <w:sz w:val="18"/>
                <w:szCs w:val="18"/>
              </w:rPr>
            </w:pPr>
            <w:r w:rsidRPr="00030D37">
              <w:rPr>
                <w:rFonts w:ascii="Arial" w:hAnsi="Arial" w:cs="Arial"/>
                <w:sz w:val="18"/>
                <w:szCs w:val="18"/>
              </w:rPr>
              <w:t>Determination of a percentage allocation of total revenue per unit to network levels.</w:t>
            </w:r>
          </w:p>
        </w:tc>
        <w:tc>
          <w:tcPr>
            <w:tcW w:w="2498" w:type="pct"/>
            <w:gridSpan w:val="2"/>
            <w:tcBorders>
              <w:top w:val="single" w:sz="4" w:space="0" w:color="auto"/>
              <w:left w:val="single" w:sz="4" w:space="0" w:color="auto"/>
              <w:bottom w:val="single" w:sz="4" w:space="0" w:color="auto"/>
              <w:right w:val="single" w:sz="4" w:space="0" w:color="auto"/>
            </w:tcBorders>
            <w:hideMark/>
          </w:tcPr>
          <w:p w14:paraId="5921C965" w14:textId="77777777" w:rsidR="00855C30" w:rsidRPr="00030D37" w:rsidRDefault="00855C30">
            <w:pPr>
              <w:spacing w:after="0" w:line="240" w:lineRule="auto"/>
              <w:rPr>
                <w:rFonts w:cs="Arial"/>
                <w:b/>
                <w:sz w:val="18"/>
                <w:szCs w:val="18"/>
              </w:rPr>
            </w:pPr>
            <w:r w:rsidRPr="00030D37">
              <w:rPr>
                <w:rFonts w:cs="Arial"/>
                <w:sz w:val="18"/>
                <w:szCs w:val="18"/>
              </w:rPr>
              <w:t xml:space="preserve">Combines the above analysis, </w:t>
            </w:r>
            <w:r w:rsidRPr="00030D37">
              <w:rPr>
                <w:rFonts w:cs="Arial"/>
                <w:b/>
                <w:sz w:val="18"/>
                <w:szCs w:val="18"/>
              </w:rPr>
              <w:t>2005/06 – 2014/15</w:t>
            </w:r>
          </w:p>
          <w:p w14:paraId="00382068" w14:textId="77777777" w:rsidR="00855C30" w:rsidRPr="00030D37" w:rsidRDefault="00855C30">
            <w:pPr>
              <w:spacing w:after="0" w:line="240" w:lineRule="auto"/>
              <w:rPr>
                <w:rFonts w:cs="Arial"/>
                <w:sz w:val="18"/>
                <w:szCs w:val="18"/>
              </w:rPr>
            </w:pPr>
            <w:r w:rsidRPr="00030D37">
              <w:rPr>
                <w:rFonts w:cs="Arial"/>
                <w:b/>
                <w:sz w:val="18"/>
                <w:szCs w:val="18"/>
              </w:rPr>
              <w:t>(note: DCP266 does not propose to change these percentage allocations)</w:t>
            </w:r>
          </w:p>
        </w:tc>
      </w:tr>
      <w:tr w:rsidR="00855C30" w:rsidRPr="001E1CD8" w14:paraId="38AD3FF2" w14:textId="77777777" w:rsidTr="0010396A">
        <w:tc>
          <w:tcPr>
            <w:tcW w:w="2502" w:type="pct"/>
            <w:tcBorders>
              <w:top w:val="single" w:sz="4" w:space="0" w:color="auto"/>
              <w:left w:val="single" w:sz="4" w:space="0" w:color="auto"/>
              <w:bottom w:val="single" w:sz="4" w:space="0" w:color="auto"/>
              <w:right w:val="single" w:sz="4" w:space="0" w:color="auto"/>
            </w:tcBorders>
            <w:hideMark/>
          </w:tcPr>
          <w:p w14:paraId="20B9939D" w14:textId="77777777" w:rsidR="00855C30" w:rsidRPr="00030D37" w:rsidRDefault="00855C30">
            <w:pPr>
              <w:pStyle w:val="Default"/>
              <w:numPr>
                <w:ilvl w:val="0"/>
                <w:numId w:val="42"/>
              </w:numPr>
              <w:rPr>
                <w:rFonts w:ascii="Arial" w:hAnsi="Arial" w:cs="Arial"/>
                <w:sz w:val="18"/>
                <w:szCs w:val="18"/>
              </w:rPr>
            </w:pPr>
            <w:r w:rsidRPr="00030D37">
              <w:rPr>
                <w:rFonts w:ascii="Arial" w:hAnsi="Arial" w:cs="Arial"/>
                <w:sz w:val="18"/>
                <w:szCs w:val="18"/>
              </w:rPr>
              <w:t>Determination of the proportion of the LV mains deemed to be used by LV- connected embedded networks.</w:t>
            </w:r>
          </w:p>
        </w:tc>
        <w:tc>
          <w:tcPr>
            <w:tcW w:w="2498" w:type="pct"/>
            <w:gridSpan w:val="2"/>
            <w:tcBorders>
              <w:top w:val="single" w:sz="4" w:space="0" w:color="auto"/>
              <w:left w:val="single" w:sz="4" w:space="0" w:color="auto"/>
              <w:bottom w:val="single" w:sz="4" w:space="0" w:color="auto"/>
              <w:right w:val="single" w:sz="4" w:space="0" w:color="auto"/>
            </w:tcBorders>
            <w:hideMark/>
          </w:tcPr>
          <w:p w14:paraId="0A60A52C" w14:textId="77777777" w:rsidR="00855C30" w:rsidRPr="00030D37" w:rsidRDefault="00855C30">
            <w:pPr>
              <w:spacing w:after="0" w:line="240" w:lineRule="auto"/>
              <w:rPr>
                <w:rFonts w:cs="Arial"/>
                <w:sz w:val="18"/>
                <w:szCs w:val="18"/>
              </w:rPr>
            </w:pPr>
            <w:r w:rsidRPr="00030D37">
              <w:rPr>
                <w:rFonts w:cs="Arial"/>
                <w:sz w:val="18"/>
                <w:szCs w:val="18"/>
              </w:rPr>
              <w:t xml:space="preserve">Performed by the Nominated Calculation Agent based on </w:t>
            </w:r>
            <w:r w:rsidRPr="00030D37">
              <w:rPr>
                <w:rFonts w:cs="Arial"/>
                <w:b/>
                <w:sz w:val="18"/>
                <w:szCs w:val="18"/>
              </w:rPr>
              <w:t>latest available data</w:t>
            </w:r>
          </w:p>
        </w:tc>
      </w:tr>
      <w:tr w:rsidR="00855C30" w:rsidRPr="001E1CD8" w14:paraId="7F6B9B44" w14:textId="77777777" w:rsidTr="0010396A">
        <w:tc>
          <w:tcPr>
            <w:tcW w:w="2502" w:type="pct"/>
            <w:tcBorders>
              <w:top w:val="single" w:sz="4" w:space="0" w:color="auto"/>
              <w:left w:val="single" w:sz="4" w:space="0" w:color="auto"/>
              <w:bottom w:val="single" w:sz="4" w:space="0" w:color="auto"/>
              <w:right w:val="single" w:sz="4" w:space="0" w:color="auto"/>
            </w:tcBorders>
            <w:hideMark/>
          </w:tcPr>
          <w:p w14:paraId="697AF686" w14:textId="77777777" w:rsidR="00855C30" w:rsidRPr="00030D37" w:rsidRDefault="00855C30">
            <w:pPr>
              <w:pStyle w:val="Default"/>
              <w:numPr>
                <w:ilvl w:val="0"/>
                <w:numId w:val="43"/>
              </w:numPr>
              <w:rPr>
                <w:rFonts w:ascii="Arial" w:hAnsi="Arial" w:cs="Arial"/>
                <w:sz w:val="18"/>
                <w:szCs w:val="18"/>
              </w:rPr>
            </w:pPr>
            <w:r w:rsidRPr="00030D37">
              <w:rPr>
                <w:rFonts w:ascii="Arial" w:hAnsi="Arial" w:cs="Arial"/>
                <w:sz w:val="18"/>
                <w:szCs w:val="18"/>
              </w:rPr>
              <w:t>Determination of the proportion of the HV network deemed to be provided by HV-connected embedded networks.</w:t>
            </w:r>
          </w:p>
        </w:tc>
        <w:tc>
          <w:tcPr>
            <w:tcW w:w="2498" w:type="pct"/>
            <w:gridSpan w:val="2"/>
            <w:tcBorders>
              <w:top w:val="single" w:sz="4" w:space="0" w:color="auto"/>
              <w:left w:val="single" w:sz="4" w:space="0" w:color="auto"/>
              <w:bottom w:val="single" w:sz="4" w:space="0" w:color="auto"/>
              <w:right w:val="single" w:sz="4" w:space="0" w:color="auto"/>
            </w:tcBorders>
            <w:hideMark/>
          </w:tcPr>
          <w:p w14:paraId="2D505F7A" w14:textId="77777777" w:rsidR="00855C30" w:rsidRPr="00030D37" w:rsidRDefault="00855C30">
            <w:pPr>
              <w:spacing w:after="0" w:line="240" w:lineRule="auto"/>
              <w:rPr>
                <w:rFonts w:cs="Arial"/>
                <w:sz w:val="18"/>
                <w:szCs w:val="18"/>
              </w:rPr>
            </w:pPr>
            <w:r w:rsidRPr="00030D37">
              <w:rPr>
                <w:rFonts w:cs="Arial"/>
                <w:sz w:val="18"/>
                <w:szCs w:val="18"/>
              </w:rPr>
              <w:t xml:space="preserve">Performed by the Nominated Calculation Agent based on </w:t>
            </w:r>
            <w:r w:rsidRPr="00030D37">
              <w:rPr>
                <w:rFonts w:cs="Arial"/>
                <w:b/>
                <w:sz w:val="18"/>
                <w:szCs w:val="18"/>
              </w:rPr>
              <w:t>latest available data</w:t>
            </w:r>
          </w:p>
        </w:tc>
      </w:tr>
      <w:tr w:rsidR="00855C30" w:rsidRPr="001E1CD8" w14:paraId="79E76B3E" w14:textId="77777777" w:rsidTr="0010396A">
        <w:tc>
          <w:tcPr>
            <w:tcW w:w="2502" w:type="pct"/>
            <w:tcBorders>
              <w:top w:val="single" w:sz="4" w:space="0" w:color="auto"/>
              <w:left w:val="single" w:sz="4" w:space="0" w:color="auto"/>
              <w:bottom w:val="single" w:sz="4" w:space="0" w:color="auto"/>
              <w:right w:val="single" w:sz="4" w:space="0" w:color="auto"/>
            </w:tcBorders>
            <w:hideMark/>
          </w:tcPr>
          <w:p w14:paraId="5E3078A3" w14:textId="77777777" w:rsidR="00855C30" w:rsidRPr="00030D37" w:rsidRDefault="00855C30">
            <w:pPr>
              <w:pStyle w:val="Default"/>
              <w:numPr>
                <w:ilvl w:val="0"/>
                <w:numId w:val="43"/>
              </w:numPr>
              <w:rPr>
                <w:rFonts w:ascii="Arial" w:hAnsi="Arial" w:cs="Arial"/>
                <w:sz w:val="18"/>
                <w:szCs w:val="18"/>
              </w:rPr>
            </w:pPr>
            <w:r w:rsidRPr="00030D37">
              <w:rPr>
                <w:rFonts w:ascii="Arial" w:hAnsi="Arial" w:cs="Arial"/>
                <w:sz w:val="18"/>
                <w:szCs w:val="18"/>
              </w:rPr>
              <w:t>Calculation of the discount percentage for each combination of boundary network level and end user network level.</w:t>
            </w:r>
          </w:p>
        </w:tc>
        <w:tc>
          <w:tcPr>
            <w:tcW w:w="2498" w:type="pct"/>
            <w:gridSpan w:val="2"/>
            <w:tcBorders>
              <w:top w:val="single" w:sz="4" w:space="0" w:color="auto"/>
              <w:left w:val="single" w:sz="4" w:space="0" w:color="auto"/>
              <w:bottom w:val="single" w:sz="4" w:space="0" w:color="auto"/>
              <w:right w:val="single" w:sz="4" w:space="0" w:color="auto"/>
            </w:tcBorders>
            <w:hideMark/>
          </w:tcPr>
          <w:p w14:paraId="0490E5A7" w14:textId="77777777" w:rsidR="00855C30" w:rsidRPr="00030D37" w:rsidRDefault="00855C30">
            <w:pPr>
              <w:spacing w:after="0" w:line="240" w:lineRule="auto"/>
              <w:rPr>
                <w:rFonts w:cs="Arial"/>
                <w:sz w:val="18"/>
                <w:szCs w:val="18"/>
              </w:rPr>
            </w:pPr>
            <w:r w:rsidRPr="00030D37">
              <w:rPr>
                <w:rFonts w:cs="Arial"/>
                <w:sz w:val="18"/>
                <w:szCs w:val="18"/>
              </w:rPr>
              <w:t xml:space="preserve">Currently uses </w:t>
            </w:r>
            <w:r w:rsidRPr="00030D37">
              <w:rPr>
                <w:rFonts w:cs="Arial"/>
                <w:b/>
                <w:sz w:val="18"/>
                <w:szCs w:val="18"/>
              </w:rPr>
              <w:t>2007/08</w:t>
            </w:r>
            <w:r w:rsidRPr="00030D37">
              <w:rPr>
                <w:rFonts w:cs="Arial"/>
                <w:sz w:val="18"/>
                <w:szCs w:val="18"/>
              </w:rPr>
              <w:t xml:space="preserve"> allowed revenue</w:t>
            </w:r>
          </w:p>
          <w:p w14:paraId="45C6E261" w14:textId="77777777" w:rsidR="00855C30" w:rsidRPr="00030D37" w:rsidRDefault="00855C30">
            <w:pPr>
              <w:spacing w:after="0" w:line="240" w:lineRule="auto"/>
              <w:rPr>
                <w:rFonts w:cs="Arial"/>
                <w:b/>
                <w:sz w:val="18"/>
                <w:szCs w:val="18"/>
              </w:rPr>
            </w:pPr>
            <w:r w:rsidRPr="00030D37">
              <w:rPr>
                <w:rFonts w:cs="Arial"/>
                <w:b/>
                <w:sz w:val="18"/>
                <w:szCs w:val="18"/>
              </w:rPr>
              <w:t>(note: DCP266 proposes to use allowed revenue for the upcoming charging year expressed in nominal terms)</w:t>
            </w:r>
          </w:p>
        </w:tc>
      </w:tr>
    </w:tbl>
    <w:p w14:paraId="2463139A" w14:textId="039D1284"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w:t>
      </w:r>
      <w:r w:rsidR="00600F8C" w:rsidRPr="00030D37">
        <w:rPr>
          <w:color w:val="auto"/>
          <w:sz w:val="20"/>
          <w:szCs w:val="20"/>
        </w:rPr>
        <w:t xml:space="preserve">welcomes views from Parties on whether the </w:t>
      </w:r>
      <w:r w:rsidRPr="00030D37">
        <w:rPr>
          <w:color w:val="auto"/>
          <w:sz w:val="20"/>
          <w:szCs w:val="20"/>
        </w:rPr>
        <w:t xml:space="preserve">proposed solution </w:t>
      </w:r>
      <w:r w:rsidR="00600F8C" w:rsidRPr="00030D37">
        <w:rPr>
          <w:color w:val="auto"/>
          <w:sz w:val="20"/>
          <w:szCs w:val="20"/>
        </w:rPr>
        <w:t xml:space="preserve"> is</w:t>
      </w:r>
      <w:r w:rsidRPr="00030D37">
        <w:rPr>
          <w:color w:val="auto"/>
          <w:sz w:val="20"/>
          <w:szCs w:val="20"/>
        </w:rPr>
        <w:t xml:space="preserve"> better </w:t>
      </w:r>
      <w:r w:rsidR="00600F8C" w:rsidRPr="00030D37">
        <w:rPr>
          <w:color w:val="auto"/>
          <w:sz w:val="20"/>
          <w:szCs w:val="20"/>
        </w:rPr>
        <w:t xml:space="preserve">than the </w:t>
      </w:r>
      <w:r w:rsidRPr="00030D37">
        <w:rPr>
          <w:color w:val="auto"/>
          <w:sz w:val="20"/>
          <w:szCs w:val="20"/>
        </w:rPr>
        <w:t xml:space="preserve">current </w:t>
      </w:r>
      <w:r w:rsidR="00600F8C" w:rsidRPr="00030D37">
        <w:rPr>
          <w:color w:val="auto"/>
          <w:sz w:val="20"/>
          <w:szCs w:val="20"/>
        </w:rPr>
        <w:t xml:space="preserve">approach and if using revenue from the relevant charging year is better than </w:t>
      </w:r>
      <w:r w:rsidR="00BD2092" w:rsidRPr="00030D37">
        <w:rPr>
          <w:color w:val="auto"/>
          <w:sz w:val="20"/>
          <w:szCs w:val="20"/>
        </w:rPr>
        <w:t xml:space="preserve">then </w:t>
      </w:r>
      <w:r w:rsidRPr="00030D37">
        <w:rPr>
          <w:color w:val="auto"/>
          <w:sz w:val="20"/>
          <w:szCs w:val="20"/>
        </w:rPr>
        <w:t xml:space="preserve">hat </w:t>
      </w:r>
      <w:r w:rsidR="00BD2092" w:rsidRPr="00030D37">
        <w:rPr>
          <w:color w:val="auto"/>
          <w:sz w:val="20"/>
          <w:szCs w:val="20"/>
        </w:rPr>
        <w:t xml:space="preserve">of </w:t>
      </w:r>
      <w:r w:rsidRPr="00030D37">
        <w:rPr>
          <w:color w:val="auto"/>
          <w:sz w:val="20"/>
          <w:szCs w:val="20"/>
        </w:rPr>
        <w:t>the current 2007/08 charging year.</w:t>
      </w:r>
      <w:r w:rsidR="00600F8C" w:rsidRPr="00030D37">
        <w:rPr>
          <w:color w:val="auto"/>
          <w:sz w:val="20"/>
          <w:szCs w:val="20"/>
        </w:rPr>
        <w:t xml:space="preserve"> </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3317EE" w:rsidRPr="0010396A" w14:paraId="29572B24" w14:textId="77777777" w:rsidTr="0010396A">
        <w:tc>
          <w:tcPr>
            <w:tcW w:w="9572" w:type="dxa"/>
          </w:tcPr>
          <w:p w14:paraId="6B4AA2DF" w14:textId="222ACF53" w:rsidR="003317EE" w:rsidRPr="0010396A" w:rsidRDefault="00097A74" w:rsidP="00030D37">
            <w:pPr>
              <w:rPr>
                <w:b/>
              </w:rPr>
            </w:pPr>
            <w:r w:rsidRPr="0010396A">
              <w:rPr>
                <w:b/>
              </w:rPr>
              <w:t>QUESTION</w:t>
            </w:r>
            <w:r w:rsidR="00A63309" w:rsidRPr="0010396A">
              <w:rPr>
                <w:b/>
              </w:rPr>
              <w:t xml:space="preserve"> 2</w:t>
            </w:r>
            <w:r w:rsidR="00DC0632" w:rsidRPr="0010396A">
              <w:rPr>
                <w:b/>
              </w:rPr>
              <w:t>: Do you agree with the</w:t>
            </w:r>
            <w:r w:rsidRPr="0010396A">
              <w:rPr>
                <w:b/>
              </w:rPr>
              <w:t xml:space="preserve"> approach to use current charging year data in place of 2007/08 data</w:t>
            </w:r>
            <w:r w:rsidR="00DC0632" w:rsidRPr="0010396A">
              <w:rPr>
                <w:b/>
              </w:rPr>
              <w:t>?</w:t>
            </w:r>
          </w:p>
        </w:tc>
      </w:tr>
    </w:tbl>
    <w:p w14:paraId="0C3EE9B5" w14:textId="77777777" w:rsidR="00287844" w:rsidRDefault="00287844">
      <w:pPr>
        <w:rPr>
          <w:b/>
        </w:rPr>
      </w:pPr>
    </w:p>
    <w:p w14:paraId="68564280" w14:textId="77777777" w:rsidR="00287844" w:rsidRDefault="00287844">
      <w:pPr>
        <w:rPr>
          <w:b/>
        </w:rPr>
      </w:pPr>
    </w:p>
    <w:p w14:paraId="62345B41" w14:textId="47B79184" w:rsidR="009326C4" w:rsidRPr="00030D37" w:rsidRDefault="00D042DB">
      <w:pPr>
        <w:rPr>
          <w:b/>
        </w:rPr>
      </w:pPr>
      <w:r>
        <w:rPr>
          <w:b/>
        </w:rPr>
        <w:t>Proposer’s views</w:t>
      </w:r>
    </w:p>
    <w:p w14:paraId="2727DA71" w14:textId="5A7B3251" w:rsidR="00620648" w:rsidRPr="00030D37" w:rsidRDefault="009326C4">
      <w:pPr>
        <w:pStyle w:val="Heading2"/>
        <w:keepNext w:val="0"/>
        <w:numPr>
          <w:ilvl w:val="1"/>
          <w:numId w:val="14"/>
        </w:numPr>
        <w:spacing w:before="240" w:after="60" w:line="360" w:lineRule="auto"/>
        <w:ind w:left="567" w:hanging="567"/>
        <w:jc w:val="both"/>
        <w:rPr>
          <w:color w:val="auto"/>
          <w:sz w:val="20"/>
          <w:szCs w:val="20"/>
        </w:rPr>
      </w:pPr>
      <w:r w:rsidRPr="00030D37">
        <w:rPr>
          <w:color w:val="auto"/>
          <w:sz w:val="20"/>
          <w:szCs w:val="20"/>
        </w:rPr>
        <w:t>As noted in paragraph 3.5, t</w:t>
      </w:r>
      <w:r w:rsidR="00620648" w:rsidRPr="00030D37">
        <w:rPr>
          <w:color w:val="auto"/>
          <w:sz w:val="20"/>
          <w:szCs w:val="20"/>
        </w:rPr>
        <w:t>he CDCM and PCDM intentionally use fundamentally different charging approaches.</w:t>
      </w:r>
    </w:p>
    <w:p w14:paraId="3EF3D859" w14:textId="77777777" w:rsidR="00620648" w:rsidRPr="00030D37" w:rsidRDefault="00620648">
      <w:pPr>
        <w:ind w:left="567"/>
        <w:rPr>
          <w:rFonts w:cs="Arial"/>
          <w:b/>
          <w:szCs w:val="20"/>
        </w:rPr>
      </w:pPr>
      <w:r w:rsidRPr="00030D37">
        <w:rPr>
          <w:rFonts w:cs="Arial"/>
          <w:b/>
          <w:szCs w:val="20"/>
        </w:rPr>
        <w:t>CDCM: Incremental cost model</w:t>
      </w:r>
    </w:p>
    <w:p w14:paraId="2BBFB59F" w14:textId="77777777" w:rsidR="00620648" w:rsidRPr="00030D37" w:rsidRDefault="00620648">
      <w:pPr>
        <w:ind w:left="1440" w:hanging="720"/>
        <w:rPr>
          <w:rFonts w:cs="Arial"/>
          <w:szCs w:val="20"/>
        </w:rPr>
      </w:pPr>
      <w:r w:rsidRPr="00030D37">
        <w:rPr>
          <w:rFonts w:cs="Arial"/>
          <w:szCs w:val="20"/>
        </w:rPr>
        <w:lastRenderedPageBreak/>
        <w:t>•</w:t>
      </w:r>
      <w:r w:rsidRPr="00030D37">
        <w:rPr>
          <w:rFonts w:cs="Arial"/>
          <w:szCs w:val="20"/>
        </w:rPr>
        <w:tab/>
        <w:t xml:space="preserve">Provides forward looking cost reflective </w:t>
      </w:r>
      <w:r w:rsidRPr="00030D37">
        <w:rPr>
          <w:rFonts w:cs="Arial"/>
          <w:szCs w:val="20"/>
          <w:u w:val="single"/>
        </w:rPr>
        <w:t>incremental cost signals</w:t>
      </w:r>
      <w:r w:rsidRPr="00030D37">
        <w:rPr>
          <w:rFonts w:cs="Arial"/>
          <w:szCs w:val="20"/>
        </w:rPr>
        <w:t xml:space="preserve"> to end users of the network</w:t>
      </w:r>
    </w:p>
    <w:p w14:paraId="74A76A7A" w14:textId="77777777" w:rsidR="00620648" w:rsidRPr="00030D37" w:rsidRDefault="00620648">
      <w:pPr>
        <w:ind w:left="720"/>
        <w:rPr>
          <w:rFonts w:cs="Arial"/>
          <w:szCs w:val="20"/>
        </w:rPr>
      </w:pPr>
      <w:r w:rsidRPr="00030D37">
        <w:rPr>
          <w:rFonts w:cs="Arial"/>
          <w:szCs w:val="20"/>
        </w:rPr>
        <w:t>•</w:t>
      </w:r>
      <w:r w:rsidRPr="00030D37">
        <w:rPr>
          <w:rFonts w:cs="Arial"/>
          <w:szCs w:val="20"/>
        </w:rPr>
        <w:tab/>
      </w:r>
      <w:r w:rsidRPr="00030D37">
        <w:rPr>
          <w:rFonts w:cs="Arial"/>
          <w:szCs w:val="20"/>
          <w:u w:val="single"/>
        </w:rPr>
        <w:t>Does not</w:t>
      </w:r>
      <w:r w:rsidRPr="00030D37">
        <w:rPr>
          <w:rFonts w:cs="Arial"/>
          <w:szCs w:val="20"/>
        </w:rPr>
        <w:t xml:space="preserve"> reflect total costs</w:t>
      </w:r>
    </w:p>
    <w:p w14:paraId="55ACC2BB" w14:textId="77777777" w:rsidR="00620648" w:rsidRPr="00030D37" w:rsidRDefault="00620648">
      <w:pPr>
        <w:ind w:left="567"/>
        <w:rPr>
          <w:rFonts w:cs="Arial"/>
          <w:b/>
          <w:szCs w:val="20"/>
        </w:rPr>
      </w:pPr>
      <w:r w:rsidRPr="00030D37">
        <w:rPr>
          <w:rFonts w:cs="Arial"/>
          <w:b/>
          <w:szCs w:val="20"/>
        </w:rPr>
        <w:t>PCDM: Total cost model</w:t>
      </w:r>
    </w:p>
    <w:p w14:paraId="5FB755E0" w14:textId="77777777" w:rsidR="00620648" w:rsidRPr="00030D37" w:rsidRDefault="00620648">
      <w:pPr>
        <w:ind w:left="1418" w:hanging="698"/>
        <w:rPr>
          <w:rFonts w:cs="Arial"/>
          <w:szCs w:val="20"/>
        </w:rPr>
      </w:pPr>
      <w:r w:rsidRPr="00030D37">
        <w:rPr>
          <w:rFonts w:cs="Arial"/>
          <w:szCs w:val="20"/>
        </w:rPr>
        <w:t>•</w:t>
      </w:r>
      <w:r w:rsidRPr="00030D37">
        <w:rPr>
          <w:rFonts w:cs="Arial"/>
          <w:szCs w:val="20"/>
        </w:rPr>
        <w:tab/>
        <w:t xml:space="preserve">Calculates the </w:t>
      </w:r>
      <w:r w:rsidRPr="00030D37">
        <w:rPr>
          <w:rFonts w:cs="Arial"/>
          <w:szCs w:val="20"/>
          <w:u w:val="single"/>
        </w:rPr>
        <w:t>avoided total cost</w:t>
      </w:r>
      <w:r w:rsidRPr="00030D37">
        <w:rPr>
          <w:rFonts w:cs="Arial"/>
          <w:szCs w:val="20"/>
        </w:rPr>
        <w:t xml:space="preserve"> associated with the provision of the final section of network by LDNOs.</w:t>
      </w:r>
    </w:p>
    <w:p w14:paraId="17665954" w14:textId="77777777" w:rsidR="00620648" w:rsidRPr="00030D37" w:rsidRDefault="00620648">
      <w:pPr>
        <w:ind w:left="720"/>
        <w:rPr>
          <w:rFonts w:cs="Arial"/>
          <w:szCs w:val="20"/>
        </w:rPr>
      </w:pPr>
      <w:r w:rsidRPr="00030D37">
        <w:rPr>
          <w:rFonts w:cs="Arial"/>
          <w:szCs w:val="20"/>
        </w:rPr>
        <w:t>•</w:t>
      </w:r>
      <w:r w:rsidRPr="00030D37">
        <w:rPr>
          <w:rFonts w:cs="Arial"/>
          <w:szCs w:val="20"/>
        </w:rPr>
        <w:tab/>
      </w:r>
      <w:r w:rsidRPr="00030D37">
        <w:rPr>
          <w:rFonts w:cs="Arial"/>
          <w:szCs w:val="20"/>
          <w:u w:val="single"/>
        </w:rPr>
        <w:t>Does</w:t>
      </w:r>
      <w:r w:rsidRPr="00030D37">
        <w:rPr>
          <w:rFonts w:cs="Arial"/>
          <w:szCs w:val="20"/>
        </w:rPr>
        <w:t xml:space="preserve"> reflect total costs</w:t>
      </w:r>
    </w:p>
    <w:p w14:paraId="4C7DB505"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view of the proposer is that the DCP 266 seeks to address a perceived defect in the logic of the current approach to calculating and applying LDNO discounts which results in LDNO charges which </w:t>
      </w:r>
      <w:r w:rsidRPr="00030D37">
        <w:rPr>
          <w:color w:val="auto"/>
          <w:sz w:val="20"/>
          <w:szCs w:val="20"/>
          <w:u w:val="single"/>
        </w:rPr>
        <w:t>do not</w:t>
      </w:r>
      <w:r w:rsidRPr="00030D37">
        <w:rPr>
          <w:color w:val="auto"/>
          <w:sz w:val="20"/>
          <w:szCs w:val="20"/>
        </w:rPr>
        <w:t xml:space="preserve"> reflect </w:t>
      </w:r>
      <w:r w:rsidRPr="00030D37">
        <w:rPr>
          <w:i/>
          <w:color w:val="auto"/>
          <w:sz w:val="20"/>
          <w:szCs w:val="20"/>
        </w:rPr>
        <w:t>“a reasonable allocation of total costs to the elements of the DNOs business that are being undertaken by the IDNO”.</w:t>
      </w:r>
    </w:p>
    <w:p w14:paraId="5D378428" w14:textId="77777777" w:rsidR="00620648" w:rsidRPr="00620648" w:rsidRDefault="00620648">
      <w:pPr>
        <w:pStyle w:val="Heading2"/>
        <w:keepNext w:val="0"/>
        <w:spacing w:line="360" w:lineRule="auto"/>
        <w:jc w:val="both"/>
        <w:rPr>
          <w:rFonts w:ascii="Calibri" w:hAnsi="Calibri"/>
          <w:color w:val="auto"/>
          <w:sz w:val="22"/>
          <w:szCs w:val="22"/>
        </w:rPr>
      </w:pPr>
      <w:r w:rsidRPr="00620648">
        <w:rPr>
          <w:rFonts w:ascii="Calibri" w:hAnsi="Calibri"/>
          <w:b/>
          <w:color w:val="auto"/>
          <w:sz w:val="22"/>
          <w:szCs w:val="22"/>
          <w:u w:val="single"/>
        </w:rPr>
        <w:t xml:space="preserve">Simple illustration </w:t>
      </w:r>
    </w:p>
    <w:p w14:paraId="35D5E22D" w14:textId="77777777" w:rsidR="00620648" w:rsidRPr="00030D37" w:rsidRDefault="00620648">
      <w:pPr>
        <w:pStyle w:val="Heading2"/>
        <w:keepNext w:val="0"/>
        <w:numPr>
          <w:ilvl w:val="1"/>
          <w:numId w:val="14"/>
        </w:numPr>
        <w:spacing w:before="240" w:after="60" w:line="360" w:lineRule="auto"/>
        <w:ind w:left="567" w:hanging="567"/>
        <w:jc w:val="both"/>
        <w:rPr>
          <w:color w:val="auto"/>
          <w:sz w:val="20"/>
          <w:szCs w:val="20"/>
        </w:rPr>
      </w:pPr>
      <w:r w:rsidRPr="00030D37">
        <w:rPr>
          <w:color w:val="auto"/>
          <w:sz w:val="20"/>
          <w:szCs w:val="20"/>
        </w:rPr>
        <w:t>Consider the following example for a particular end user:</w:t>
      </w:r>
    </w:p>
    <w:p w14:paraId="6952A48C" w14:textId="77777777" w:rsidR="00620648" w:rsidRPr="00030D37" w:rsidRDefault="00620648">
      <w:pPr>
        <w:pStyle w:val="ListParagraph"/>
        <w:spacing w:before="240" w:after="60"/>
        <w:ind w:left="432" w:firstLine="135"/>
        <w:rPr>
          <w:rFonts w:cs="Arial"/>
          <w:szCs w:val="20"/>
        </w:rPr>
      </w:pPr>
      <w:r w:rsidRPr="00030D37">
        <w:rPr>
          <w:rFonts w:cs="Arial"/>
          <w:szCs w:val="20"/>
        </w:rPr>
        <w:t>Incremental cost signal (tariff) calculated in the CDCM: 1.5p/kWh</w:t>
      </w:r>
    </w:p>
    <w:p w14:paraId="227F84A6" w14:textId="77777777" w:rsidR="00620648" w:rsidRPr="00030D37" w:rsidRDefault="00620648">
      <w:pPr>
        <w:pStyle w:val="ListParagraph"/>
        <w:spacing w:before="240" w:after="60"/>
        <w:ind w:left="432" w:firstLine="135"/>
        <w:rPr>
          <w:rFonts w:cs="Arial"/>
          <w:szCs w:val="20"/>
        </w:rPr>
      </w:pPr>
      <w:r w:rsidRPr="00030D37">
        <w:rPr>
          <w:rFonts w:cs="Arial"/>
          <w:szCs w:val="20"/>
        </w:rPr>
        <w:t>Total cost calculated in the PCDM: 2.5p/kWh</w:t>
      </w:r>
    </w:p>
    <w:p w14:paraId="11109C77" w14:textId="77777777" w:rsidR="00620648" w:rsidRPr="00030D37" w:rsidRDefault="00620648">
      <w:pPr>
        <w:pStyle w:val="ListParagraph"/>
        <w:spacing w:before="240" w:after="60" w:line="360" w:lineRule="auto"/>
        <w:ind w:left="432" w:firstLine="135"/>
        <w:rPr>
          <w:rFonts w:cs="Arial"/>
          <w:szCs w:val="20"/>
        </w:rPr>
      </w:pPr>
      <w:r w:rsidRPr="00030D37">
        <w:rPr>
          <w:rFonts w:cs="Arial"/>
          <w:szCs w:val="20"/>
        </w:rPr>
        <w:t>Avoided cost calculated in the PCDM: 0.5p/kWh</w:t>
      </w:r>
    </w:p>
    <w:p w14:paraId="454F31A2" w14:textId="77777777" w:rsidR="00620648" w:rsidRPr="00030D37" w:rsidRDefault="00620648" w:rsidP="00030D37">
      <w:pPr>
        <w:pStyle w:val="Heading2"/>
        <w:keepNext w:val="0"/>
        <w:numPr>
          <w:ilvl w:val="1"/>
          <w:numId w:val="14"/>
        </w:numPr>
        <w:spacing w:before="240" w:after="60" w:line="360" w:lineRule="auto"/>
        <w:ind w:left="567" w:hanging="567"/>
        <w:jc w:val="both"/>
        <w:rPr>
          <w:color w:val="auto"/>
          <w:sz w:val="20"/>
          <w:szCs w:val="20"/>
        </w:rPr>
      </w:pPr>
      <w:r w:rsidRPr="00030D37">
        <w:rPr>
          <w:color w:val="auto"/>
          <w:sz w:val="20"/>
          <w:szCs w:val="20"/>
        </w:rPr>
        <w:t>In this example, and referring back to the Ofgem quote in paragraph 3.7 above:</w:t>
      </w:r>
    </w:p>
    <w:p w14:paraId="0A2FFABB" w14:textId="77777777" w:rsidR="00620648" w:rsidRPr="00030D37" w:rsidRDefault="00620648">
      <w:pPr>
        <w:ind w:left="567"/>
        <w:rPr>
          <w:rFonts w:cs="Arial"/>
          <w:szCs w:val="20"/>
        </w:rPr>
      </w:pPr>
      <w:r w:rsidRPr="00030D37">
        <w:rPr>
          <w:rFonts w:cs="Arial"/>
          <w:szCs w:val="20"/>
        </w:rPr>
        <w:t xml:space="preserve"> “</w:t>
      </w:r>
      <w:r w:rsidRPr="00030D37">
        <w:rPr>
          <w:rFonts w:cs="Arial"/>
          <w:i/>
          <w:szCs w:val="20"/>
        </w:rPr>
        <w:t>end user charges should, as far as is possible, provide end users with incremental cost signals</w:t>
      </w:r>
      <w:r w:rsidRPr="00030D37">
        <w:rPr>
          <w:rFonts w:cs="Arial"/>
          <w:szCs w:val="20"/>
        </w:rPr>
        <w:t xml:space="preserve">” </w:t>
      </w:r>
    </w:p>
    <w:p w14:paraId="6DB29A78" w14:textId="658F6D41" w:rsidR="00620648" w:rsidRDefault="00620648">
      <w:pPr>
        <w:pStyle w:val="ListParagraph"/>
        <w:numPr>
          <w:ilvl w:val="0"/>
          <w:numId w:val="39"/>
        </w:numPr>
        <w:spacing w:before="0" w:after="0" w:line="240" w:lineRule="auto"/>
        <w:ind w:left="993" w:firstLine="11"/>
        <w:rPr>
          <w:rFonts w:cs="Arial"/>
          <w:szCs w:val="20"/>
        </w:rPr>
      </w:pPr>
      <w:r w:rsidRPr="00030D37">
        <w:rPr>
          <w:rFonts w:cs="Arial"/>
          <w:szCs w:val="20"/>
        </w:rPr>
        <w:t>the end user tariff should be 1.5p/kWh</w:t>
      </w:r>
    </w:p>
    <w:p w14:paraId="4A5F38C5" w14:textId="77777777" w:rsidR="003A4D72" w:rsidRPr="00030D37" w:rsidRDefault="003A4D72" w:rsidP="00030D37">
      <w:pPr>
        <w:pStyle w:val="ListParagraph"/>
        <w:spacing w:before="0" w:after="0" w:line="240" w:lineRule="auto"/>
        <w:rPr>
          <w:rFonts w:cs="Arial"/>
          <w:szCs w:val="20"/>
        </w:rPr>
      </w:pPr>
    </w:p>
    <w:p w14:paraId="77DCD2D2" w14:textId="77777777" w:rsidR="00620648" w:rsidRPr="00030D37" w:rsidRDefault="00620648">
      <w:pPr>
        <w:ind w:left="567"/>
        <w:rPr>
          <w:rFonts w:cs="Arial"/>
          <w:szCs w:val="20"/>
        </w:rPr>
      </w:pPr>
      <w:r w:rsidRPr="00030D37">
        <w:rPr>
          <w:rFonts w:cs="Arial"/>
          <w:szCs w:val="20"/>
        </w:rPr>
        <w:t xml:space="preserve"> “</w:t>
      </w:r>
      <w:r w:rsidRPr="00030D37">
        <w:rPr>
          <w:rFonts w:cs="Arial"/>
          <w:i/>
          <w:szCs w:val="20"/>
        </w:rPr>
        <w:t>for IDNO charging the charges should be based on a reasonable allocation of total costs to the elements of the DNOs business that are being undertaken by the IDNO</w:t>
      </w:r>
      <w:r w:rsidRPr="00030D37">
        <w:rPr>
          <w:rFonts w:cs="Arial"/>
          <w:szCs w:val="20"/>
        </w:rPr>
        <w:t xml:space="preserve">” </w:t>
      </w:r>
    </w:p>
    <w:p w14:paraId="6D90AB69" w14:textId="77777777" w:rsidR="00620648" w:rsidRPr="00030D37" w:rsidRDefault="00620648" w:rsidP="00030D37">
      <w:pPr>
        <w:pStyle w:val="ListParagraph"/>
        <w:numPr>
          <w:ilvl w:val="0"/>
          <w:numId w:val="39"/>
        </w:numPr>
        <w:spacing w:before="0" w:after="0" w:line="240" w:lineRule="auto"/>
        <w:ind w:left="1418" w:hanging="414"/>
        <w:rPr>
          <w:rFonts w:cs="Arial"/>
          <w:szCs w:val="20"/>
        </w:rPr>
      </w:pPr>
      <w:r w:rsidRPr="00030D37">
        <w:rPr>
          <w:rFonts w:cs="Arial"/>
          <w:szCs w:val="20"/>
        </w:rPr>
        <w:t xml:space="preserve">the LDNO discount should be 0.5p/kWh </w:t>
      </w:r>
      <w:r w:rsidRPr="00030D37">
        <w:rPr>
          <w:rFonts w:cs="Arial"/>
          <w:i/>
          <w:szCs w:val="20"/>
        </w:rPr>
        <w:t>(“a reasonable allocation of total costs to the elements of the DNOs business that are being undertaken by the IDNO”</w:t>
      </w:r>
      <w:r w:rsidRPr="00030D37">
        <w:rPr>
          <w:rFonts w:cs="Arial"/>
          <w:szCs w:val="20"/>
        </w:rPr>
        <w:t xml:space="preserve">). </w:t>
      </w:r>
    </w:p>
    <w:p w14:paraId="620CD55A" w14:textId="77777777" w:rsidR="00620648" w:rsidRPr="00030D37" w:rsidRDefault="00DA2AED" w:rsidP="00030D37">
      <w:pPr>
        <w:pStyle w:val="Heading2"/>
        <w:keepNext w:val="0"/>
        <w:numPr>
          <w:ilvl w:val="1"/>
          <w:numId w:val="14"/>
        </w:numPr>
        <w:spacing w:before="240" w:after="60" w:line="360" w:lineRule="auto"/>
        <w:ind w:left="567" w:hanging="567"/>
        <w:jc w:val="both"/>
        <w:rPr>
          <w:color w:val="auto"/>
          <w:sz w:val="20"/>
          <w:szCs w:val="20"/>
        </w:rPr>
      </w:pPr>
      <w:r w:rsidRPr="00030D37">
        <w:rPr>
          <w:color w:val="auto"/>
          <w:sz w:val="20"/>
          <w:szCs w:val="20"/>
        </w:rPr>
        <w:t>Therefore,</w:t>
      </w:r>
      <w:r w:rsidR="00620648" w:rsidRPr="00030D37">
        <w:rPr>
          <w:color w:val="auto"/>
          <w:sz w:val="20"/>
          <w:szCs w:val="20"/>
        </w:rPr>
        <w:t xml:space="preserve"> the LDNO tariff should be 1p/kWh (1.5p/kWh – 0.5p/kWh). However due to the perceived defect in the current methodology this outcome does not materialise.</w:t>
      </w:r>
    </w:p>
    <w:p w14:paraId="2161C16D" w14:textId="77777777" w:rsidR="00620648" w:rsidRPr="00030D37" w:rsidRDefault="00620648">
      <w:pPr>
        <w:spacing w:before="240" w:after="0"/>
        <w:ind w:firstLine="567"/>
        <w:rPr>
          <w:rFonts w:cs="Arial"/>
          <w:b/>
          <w:szCs w:val="20"/>
        </w:rPr>
      </w:pPr>
      <w:r w:rsidRPr="00030D37">
        <w:rPr>
          <w:rFonts w:cs="Arial"/>
          <w:b/>
          <w:szCs w:val="20"/>
        </w:rPr>
        <w:t>Current approach:</w:t>
      </w:r>
    </w:p>
    <w:p w14:paraId="3E46435F" w14:textId="77777777" w:rsidR="00620648" w:rsidRPr="00030D37" w:rsidRDefault="00620648">
      <w:pPr>
        <w:spacing w:before="240" w:after="60"/>
        <w:ind w:left="567"/>
        <w:rPr>
          <w:rFonts w:cs="Arial"/>
          <w:szCs w:val="20"/>
        </w:rPr>
      </w:pPr>
      <w:r w:rsidRPr="00030D37">
        <w:rPr>
          <w:rFonts w:cs="Arial"/>
          <w:szCs w:val="20"/>
        </w:rPr>
        <w:t>LDNO tariff = ATW tariff x (1 - LDNO discount (%))</w:t>
      </w:r>
    </w:p>
    <w:p w14:paraId="28936602" w14:textId="77777777" w:rsidR="00620648" w:rsidRPr="00030D37" w:rsidRDefault="00620648">
      <w:pPr>
        <w:spacing w:before="240" w:after="60"/>
        <w:ind w:left="567"/>
        <w:rPr>
          <w:rFonts w:cs="Arial"/>
          <w:szCs w:val="20"/>
        </w:rPr>
      </w:pPr>
      <w:r w:rsidRPr="00030D37">
        <w:rPr>
          <w:rFonts w:cs="Arial"/>
          <w:szCs w:val="20"/>
        </w:rPr>
        <w:t xml:space="preserve">Where: LDNO discount (%) = PCDM avoided cost (p/kWh) / </w:t>
      </w:r>
      <w:r w:rsidRPr="00030D37">
        <w:rPr>
          <w:rFonts w:cs="Arial"/>
          <w:b/>
          <w:szCs w:val="20"/>
        </w:rPr>
        <w:t>PCDM total cost (p/kWh)</w:t>
      </w:r>
    </w:p>
    <w:p w14:paraId="39BD340B" w14:textId="43464529" w:rsidR="00620648" w:rsidRPr="00030D37" w:rsidRDefault="00620648">
      <w:pPr>
        <w:spacing w:before="240" w:after="60"/>
        <w:ind w:left="567"/>
        <w:rPr>
          <w:rFonts w:cs="Arial"/>
          <w:szCs w:val="20"/>
        </w:rPr>
      </w:pPr>
      <w:r w:rsidRPr="00030D37">
        <w:rPr>
          <w:rFonts w:cs="Arial"/>
          <w:szCs w:val="20"/>
        </w:rPr>
        <w:t>e.</w:t>
      </w:r>
      <w:r w:rsidR="00D042DB" w:rsidRPr="00030D37">
        <w:rPr>
          <w:rFonts w:cs="Arial"/>
          <w:szCs w:val="20"/>
        </w:rPr>
        <w:t>g</w:t>
      </w:r>
      <w:r w:rsidRPr="00030D37">
        <w:rPr>
          <w:rFonts w:cs="Arial"/>
          <w:szCs w:val="20"/>
        </w:rPr>
        <w:t xml:space="preserve"> </w:t>
      </w:r>
      <w:r w:rsidRPr="00030D37">
        <w:rPr>
          <w:rFonts w:cs="Arial"/>
          <w:szCs w:val="20"/>
        </w:rPr>
        <w:tab/>
        <w:t>LDNO discount = 0.5p/kWh / 2.5 p/kWh = 20%</w:t>
      </w:r>
    </w:p>
    <w:p w14:paraId="2A825141" w14:textId="77777777" w:rsidR="00620648" w:rsidRPr="00030D37" w:rsidRDefault="00620648">
      <w:pPr>
        <w:spacing w:before="240" w:after="60"/>
        <w:ind w:left="1287" w:firstLine="153"/>
        <w:rPr>
          <w:rFonts w:cs="Arial"/>
          <w:szCs w:val="20"/>
        </w:rPr>
      </w:pPr>
      <w:r w:rsidRPr="00030D37">
        <w:rPr>
          <w:rFonts w:cs="Arial"/>
          <w:szCs w:val="20"/>
        </w:rPr>
        <w:t>LDNO tariff = 1.5p/kWh x (1- 20%) = 1.2p/kWh</w:t>
      </w:r>
    </w:p>
    <w:p w14:paraId="6473FA7C" w14:textId="778B3689"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In this simple illustration</w:t>
      </w:r>
      <w:r w:rsidR="003A4D72" w:rsidRPr="00030D37">
        <w:rPr>
          <w:color w:val="auto"/>
          <w:sz w:val="20"/>
          <w:szCs w:val="20"/>
        </w:rPr>
        <w:t>,</w:t>
      </w:r>
      <w:r w:rsidRPr="00030D37">
        <w:rPr>
          <w:color w:val="auto"/>
          <w:sz w:val="20"/>
          <w:szCs w:val="20"/>
        </w:rPr>
        <w:t xml:space="preserve"> the costs avoided by the LDNO are 0.5p/kWh, but the margin received by the LDNO is only 0.3p/kWh (1.5p/kWh – 1.2p/kWh). Obviously, different assumptions could be </w:t>
      </w:r>
      <w:r w:rsidRPr="00030D37">
        <w:rPr>
          <w:color w:val="auto"/>
          <w:sz w:val="20"/>
          <w:szCs w:val="20"/>
        </w:rPr>
        <w:lastRenderedPageBreak/>
        <w:t>used to produce an outcome where the LDNO margin is higher than the calculated avoided cost – the important point is to illustrate that they will be different.</w:t>
      </w:r>
    </w:p>
    <w:p w14:paraId="505D5903"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 believes that the reason that the expected outcome does not materialise is because of a flawed mathematical logic being used to calculate LDNO tariffs. A discount % using total costs in the PCDM applied to an incremental cost tariff calculated in the CDCM </w:t>
      </w:r>
      <w:r w:rsidRPr="00030D37">
        <w:rPr>
          <w:color w:val="auto"/>
          <w:sz w:val="20"/>
          <w:szCs w:val="20"/>
          <w:u w:val="single"/>
        </w:rPr>
        <w:t>will not</w:t>
      </w:r>
      <w:r w:rsidRPr="00030D37">
        <w:rPr>
          <w:color w:val="auto"/>
          <w:sz w:val="20"/>
          <w:szCs w:val="20"/>
        </w:rPr>
        <w:t xml:space="preserve"> produce LDNO tariffs which reflect </w:t>
      </w:r>
      <w:r w:rsidRPr="00030D37">
        <w:rPr>
          <w:i/>
          <w:color w:val="auto"/>
          <w:sz w:val="20"/>
          <w:szCs w:val="20"/>
        </w:rPr>
        <w:t>“a reasonable allocation of total costs to the elements of the DNOs business that are being undertaken by the IDNO”</w:t>
      </w:r>
      <w:r w:rsidRPr="00030D37">
        <w:rPr>
          <w:color w:val="auto"/>
          <w:sz w:val="20"/>
          <w:szCs w:val="20"/>
        </w:rPr>
        <w:t xml:space="preserve"> </w:t>
      </w:r>
      <w:r w:rsidRPr="00030D37">
        <w:rPr>
          <w:color w:val="auto"/>
          <w:sz w:val="20"/>
          <w:szCs w:val="20"/>
          <w:u w:val="single"/>
        </w:rPr>
        <w:t>unless</w:t>
      </w:r>
      <w:r w:rsidRPr="00030D37">
        <w:rPr>
          <w:color w:val="auto"/>
          <w:sz w:val="20"/>
          <w:szCs w:val="20"/>
        </w:rPr>
        <w:t>, by pure chance, the total cost and incremental cost are identical.</w:t>
      </w:r>
    </w:p>
    <w:p w14:paraId="282CAC7F"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DCP 266 seeks to correct this perceived defect to better reconcile the total cost approach in the PCDM with the incremental cost approach in the CDCM.</w:t>
      </w:r>
    </w:p>
    <w:p w14:paraId="54E246E6" w14:textId="77777777" w:rsidR="00620648" w:rsidRPr="00030D37" w:rsidRDefault="00620648" w:rsidP="00030D37">
      <w:pPr>
        <w:spacing w:before="240" w:after="0"/>
        <w:ind w:firstLine="567"/>
        <w:rPr>
          <w:rFonts w:cs="Arial"/>
          <w:b/>
          <w:szCs w:val="20"/>
        </w:rPr>
      </w:pPr>
      <w:r w:rsidRPr="00030D37">
        <w:rPr>
          <w:rFonts w:cs="Arial"/>
          <w:b/>
          <w:szCs w:val="20"/>
        </w:rPr>
        <w:t>Proposed approach:</w:t>
      </w:r>
    </w:p>
    <w:p w14:paraId="07C6B954" w14:textId="77777777" w:rsidR="00620648" w:rsidRPr="00030D37" w:rsidRDefault="00620648">
      <w:pPr>
        <w:spacing w:before="240" w:after="60"/>
        <w:ind w:firstLine="567"/>
        <w:rPr>
          <w:rFonts w:cs="Arial"/>
          <w:szCs w:val="20"/>
        </w:rPr>
      </w:pPr>
      <w:r w:rsidRPr="00030D37">
        <w:rPr>
          <w:rFonts w:cs="Arial"/>
          <w:szCs w:val="20"/>
        </w:rPr>
        <w:t>LDNO tariff = ATW tariff x (1 - LDNO discount (%))</w:t>
      </w:r>
    </w:p>
    <w:p w14:paraId="6DC081D6" w14:textId="77777777" w:rsidR="00620648" w:rsidRPr="00030D37" w:rsidRDefault="00620648">
      <w:pPr>
        <w:spacing w:before="240" w:after="60"/>
        <w:ind w:firstLine="567"/>
        <w:rPr>
          <w:rFonts w:cs="Arial"/>
          <w:szCs w:val="20"/>
        </w:rPr>
      </w:pPr>
      <w:r w:rsidRPr="00030D37">
        <w:rPr>
          <w:rFonts w:cs="Arial"/>
          <w:szCs w:val="20"/>
        </w:rPr>
        <w:t xml:space="preserve">Where LDNO discount (%) = PCDM avoided cost (p/kWh) / </w:t>
      </w:r>
      <w:r w:rsidRPr="00030D37">
        <w:rPr>
          <w:rFonts w:cs="Arial"/>
          <w:b/>
          <w:color w:val="FF0000"/>
          <w:szCs w:val="20"/>
        </w:rPr>
        <w:t>ATW tariff (p/kWh)</w:t>
      </w:r>
    </w:p>
    <w:p w14:paraId="0D41E309" w14:textId="79D819C5" w:rsidR="00620648" w:rsidRPr="00030D37" w:rsidRDefault="00620648">
      <w:pPr>
        <w:spacing w:before="240" w:after="60"/>
        <w:ind w:firstLine="567"/>
        <w:rPr>
          <w:rFonts w:cs="Arial"/>
          <w:szCs w:val="20"/>
        </w:rPr>
      </w:pPr>
      <w:r w:rsidRPr="00030D37">
        <w:rPr>
          <w:rFonts w:cs="Arial"/>
          <w:szCs w:val="20"/>
        </w:rPr>
        <w:t>e.</w:t>
      </w:r>
      <w:r w:rsidR="00D042DB" w:rsidRPr="00030D37">
        <w:rPr>
          <w:rFonts w:cs="Arial"/>
          <w:szCs w:val="20"/>
        </w:rPr>
        <w:t>g</w:t>
      </w:r>
      <w:r w:rsidRPr="00030D37">
        <w:rPr>
          <w:rFonts w:cs="Arial"/>
          <w:szCs w:val="20"/>
        </w:rPr>
        <w:t xml:space="preserve"> </w:t>
      </w:r>
      <w:r w:rsidRPr="00030D37">
        <w:rPr>
          <w:rFonts w:cs="Arial"/>
          <w:szCs w:val="20"/>
        </w:rPr>
        <w:tab/>
        <w:t>LDNO discount = 0.5p/kWh / 1.5 p/kWh = 33%</w:t>
      </w:r>
    </w:p>
    <w:p w14:paraId="33AF8026" w14:textId="77777777" w:rsidR="00620648" w:rsidRPr="00030D37" w:rsidRDefault="00620648">
      <w:pPr>
        <w:spacing w:before="240" w:after="60"/>
        <w:ind w:left="720" w:firstLine="720"/>
        <w:rPr>
          <w:rFonts w:cs="Arial"/>
          <w:szCs w:val="20"/>
        </w:rPr>
      </w:pPr>
      <w:r w:rsidRPr="00030D37">
        <w:rPr>
          <w:rFonts w:cs="Arial"/>
          <w:szCs w:val="20"/>
        </w:rPr>
        <w:t>LDNO tariff = 1.5p/kWh x (1- 33%) = 1p/kWh</w:t>
      </w:r>
    </w:p>
    <w:p w14:paraId="6ED40E43" w14:textId="626850DC"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In this simple illustration</w:t>
      </w:r>
      <w:r w:rsidR="000E4503">
        <w:rPr>
          <w:color w:val="auto"/>
          <w:sz w:val="20"/>
          <w:szCs w:val="20"/>
        </w:rPr>
        <w:t>,</w:t>
      </w:r>
      <w:r w:rsidRPr="00030D37">
        <w:rPr>
          <w:color w:val="auto"/>
          <w:sz w:val="20"/>
          <w:szCs w:val="20"/>
        </w:rPr>
        <w:t xml:space="preserve"> the costs avoided by the LDNO are 0.5p/kWh and the margin received by the LDNO is also 0.5p/kWh (1.5p/kWh – 1p/kWh).</w:t>
      </w:r>
    </w:p>
    <w:p w14:paraId="15F58D8E" w14:textId="77777777" w:rsidR="00620648" w:rsidRPr="00664364" w:rsidRDefault="00620648" w:rsidP="00030D37">
      <w:pPr>
        <w:pStyle w:val="Heading2"/>
        <w:keepNext w:val="0"/>
        <w:spacing w:before="240" w:after="60" w:line="240" w:lineRule="auto"/>
        <w:rPr>
          <w:b/>
          <w:iCs w:val="0"/>
          <w:sz w:val="24"/>
        </w:rPr>
      </w:pPr>
      <w:r w:rsidRPr="00664364">
        <w:rPr>
          <w:b/>
          <w:iCs w:val="0"/>
          <w:sz w:val="24"/>
        </w:rPr>
        <w:t>Working Group Views</w:t>
      </w:r>
    </w:p>
    <w:p w14:paraId="08444081" w14:textId="207EA32A"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Some Working Group members are not convinced that a logical defect exists. It is noted that paragraph 2.70 </w:t>
      </w:r>
      <w:r w:rsidR="00664364" w:rsidRPr="00030D37">
        <w:rPr>
          <w:color w:val="auto"/>
          <w:sz w:val="20"/>
          <w:szCs w:val="20"/>
        </w:rPr>
        <w:t>of the Ofgem CDCM Consultation</w:t>
      </w:r>
      <w:r w:rsidR="00664364" w:rsidRPr="00030D37">
        <w:rPr>
          <w:sz w:val="20"/>
          <w:szCs w:val="20"/>
        </w:rPr>
        <w:footnoteReference w:id="3"/>
      </w:r>
      <w:r w:rsidR="00664364" w:rsidRPr="00030D37">
        <w:rPr>
          <w:color w:val="auto"/>
          <w:sz w:val="20"/>
          <w:szCs w:val="20"/>
        </w:rPr>
        <w:t xml:space="preserve"> issued in 2009 </w:t>
      </w:r>
      <w:r w:rsidRPr="00030D37">
        <w:rPr>
          <w:color w:val="auto"/>
          <w:sz w:val="20"/>
          <w:szCs w:val="20"/>
        </w:rPr>
        <w:t>might be interpreted as supp</w:t>
      </w:r>
      <w:r w:rsidR="00287844">
        <w:rPr>
          <w:color w:val="auto"/>
          <w:sz w:val="20"/>
          <w:szCs w:val="20"/>
        </w:rPr>
        <w:t>orting the existing methodology</w:t>
      </w:r>
      <w:r w:rsidR="00CB0F20" w:rsidRPr="00030D37">
        <w:rPr>
          <w:color w:val="auto"/>
          <w:sz w:val="20"/>
          <w:szCs w:val="20"/>
        </w:rPr>
        <w:t>.</w:t>
      </w:r>
      <w:r w:rsidR="00AB0242" w:rsidRPr="00030D37">
        <w:rPr>
          <w:color w:val="auto"/>
          <w:sz w:val="20"/>
          <w:szCs w:val="20"/>
        </w:rPr>
        <w:t xml:space="preserve"> The quote: </w:t>
      </w:r>
      <w:r w:rsidR="00CB0F20" w:rsidRPr="00030D37">
        <w:rPr>
          <w:color w:val="auto"/>
          <w:sz w:val="20"/>
          <w:szCs w:val="20"/>
        </w:rPr>
        <w:t xml:space="preserve"> </w:t>
      </w:r>
    </w:p>
    <w:p w14:paraId="3D6B4604" w14:textId="7FB4ECFC" w:rsidR="00620648" w:rsidRPr="00030D37" w:rsidRDefault="00AB0242" w:rsidP="00030D37">
      <w:pPr>
        <w:pStyle w:val="Heading2"/>
        <w:keepNext w:val="0"/>
        <w:numPr>
          <w:ilvl w:val="1"/>
          <w:numId w:val="58"/>
        </w:numPr>
        <w:spacing w:before="240" w:after="60" w:line="360" w:lineRule="auto"/>
        <w:ind w:left="1134" w:hanging="425"/>
        <w:jc w:val="both"/>
        <w:rPr>
          <w:color w:val="auto"/>
          <w:sz w:val="20"/>
          <w:szCs w:val="20"/>
        </w:rPr>
      </w:pPr>
      <w:r w:rsidRPr="00030D37">
        <w:rPr>
          <w:color w:val="auto"/>
          <w:sz w:val="20"/>
          <w:szCs w:val="20"/>
        </w:rPr>
        <w:t xml:space="preserve">was </w:t>
      </w:r>
      <w:r w:rsidR="00620648" w:rsidRPr="00030D37">
        <w:rPr>
          <w:color w:val="auto"/>
          <w:sz w:val="20"/>
          <w:szCs w:val="20"/>
        </w:rPr>
        <w:t>in the context of</w:t>
      </w:r>
      <w:r w:rsidRPr="00030D37">
        <w:rPr>
          <w:color w:val="auto"/>
          <w:sz w:val="20"/>
          <w:szCs w:val="20"/>
        </w:rPr>
        <w:t xml:space="preserve"> a consultation </w:t>
      </w:r>
      <w:r w:rsidR="00620648" w:rsidRPr="00030D37">
        <w:rPr>
          <w:color w:val="auto"/>
          <w:sz w:val="20"/>
          <w:szCs w:val="20"/>
        </w:rPr>
        <w:t>document which included full tariffs Impact Assessments of the existing methodology</w:t>
      </w:r>
      <w:r w:rsidRPr="00030D37">
        <w:rPr>
          <w:color w:val="auto"/>
          <w:sz w:val="20"/>
          <w:szCs w:val="20"/>
        </w:rPr>
        <w:t>, which was approved by the Authority</w:t>
      </w:r>
    </w:p>
    <w:p w14:paraId="5B28FE34" w14:textId="702F01FF" w:rsidR="00A63309" w:rsidRDefault="00620648" w:rsidP="00030D37">
      <w:pPr>
        <w:pStyle w:val="Heading2"/>
        <w:keepNext w:val="0"/>
        <w:numPr>
          <w:ilvl w:val="1"/>
          <w:numId w:val="58"/>
        </w:numPr>
        <w:spacing w:before="240" w:after="60" w:line="360" w:lineRule="auto"/>
        <w:ind w:left="1134" w:hanging="425"/>
        <w:jc w:val="both"/>
        <w:rPr>
          <w:rFonts w:ascii="Calibri" w:hAnsi="Calibri"/>
          <w:color w:val="auto"/>
          <w:sz w:val="22"/>
          <w:szCs w:val="22"/>
        </w:rPr>
      </w:pPr>
      <w:r w:rsidRPr="00030D37">
        <w:rPr>
          <w:color w:val="auto"/>
          <w:sz w:val="20"/>
          <w:szCs w:val="20"/>
        </w:rPr>
        <w:t xml:space="preserve">states the methodology should be based on a reasonable allocation of total costs. </w:t>
      </w:r>
      <w:r w:rsidR="00AB0242" w:rsidRPr="00030D37">
        <w:rPr>
          <w:color w:val="auto"/>
          <w:sz w:val="20"/>
          <w:szCs w:val="20"/>
        </w:rPr>
        <w:t>Some Working Group members suggest the percentage allocation within the</w:t>
      </w:r>
      <w:r w:rsidR="000E4503" w:rsidRPr="00030D37">
        <w:rPr>
          <w:color w:val="auto"/>
          <w:sz w:val="20"/>
          <w:szCs w:val="20"/>
        </w:rPr>
        <w:t xml:space="preserve"> </w:t>
      </w:r>
      <w:r w:rsidRPr="00030D37">
        <w:rPr>
          <w:color w:val="auto"/>
          <w:sz w:val="20"/>
          <w:szCs w:val="20"/>
        </w:rPr>
        <w:t xml:space="preserve">existing methodology </w:t>
      </w:r>
      <w:r w:rsidR="00AB0242" w:rsidRPr="00030D37">
        <w:rPr>
          <w:color w:val="auto"/>
          <w:sz w:val="20"/>
          <w:szCs w:val="20"/>
        </w:rPr>
        <w:t>achieves this.</w:t>
      </w:r>
      <w:r w:rsidR="00AB0242">
        <w:rPr>
          <w:rFonts w:ascii="Calibri" w:hAnsi="Calibri"/>
          <w:color w:val="auto"/>
          <w:sz w:val="22"/>
          <w:szCs w:val="22"/>
        </w:rPr>
        <w:t xml:space="preserve"> </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A63309" w14:paraId="325F87C5" w14:textId="77777777" w:rsidTr="0010396A">
        <w:tc>
          <w:tcPr>
            <w:tcW w:w="9572" w:type="dxa"/>
          </w:tcPr>
          <w:p w14:paraId="5D1B7F83" w14:textId="47E57AE4" w:rsidR="00A63309" w:rsidRPr="0010396A" w:rsidRDefault="00A63309" w:rsidP="00A63309">
            <w:pPr>
              <w:rPr>
                <w:b/>
              </w:rPr>
            </w:pPr>
            <w:r w:rsidRPr="0010396A">
              <w:rPr>
                <w:b/>
              </w:rPr>
              <w:lastRenderedPageBreak/>
              <w:t>QUESTION 3: Do you agree that there is a defect in the logic as set out by DCP 266? If so:</w:t>
            </w:r>
          </w:p>
          <w:p w14:paraId="02F7AFE4" w14:textId="77777777" w:rsidR="00A63309" w:rsidRPr="0010396A" w:rsidRDefault="00A63309" w:rsidP="0010396A">
            <w:pPr>
              <w:numPr>
                <w:ilvl w:val="0"/>
                <w:numId w:val="68"/>
              </w:numPr>
              <w:rPr>
                <w:b/>
              </w:rPr>
            </w:pPr>
            <w:r w:rsidRPr="0010396A">
              <w:rPr>
                <w:b/>
              </w:rPr>
              <w:t>Do you believe the DCP 266 solution correctly addresses this defect? Please provide your rationale</w:t>
            </w:r>
          </w:p>
          <w:p w14:paraId="7323757F" w14:textId="77777777" w:rsidR="00A63309" w:rsidRPr="00444B6E" w:rsidRDefault="00A63309" w:rsidP="0010396A">
            <w:pPr>
              <w:numPr>
                <w:ilvl w:val="0"/>
                <w:numId w:val="68"/>
              </w:numPr>
            </w:pPr>
            <w:r w:rsidRPr="0010396A">
              <w:rPr>
                <w:b/>
              </w:rPr>
              <w:t>Are there any alternative solutions for addressing the perceived defect?</w:t>
            </w:r>
          </w:p>
        </w:tc>
      </w:tr>
    </w:tbl>
    <w:p w14:paraId="181B5E61" w14:textId="23A8BA27" w:rsidR="007A56FA" w:rsidRPr="00030D37" w:rsidRDefault="00AB0242" w:rsidP="003D05AC">
      <w:pPr>
        <w:pStyle w:val="Heading2"/>
        <w:keepNext w:val="0"/>
        <w:numPr>
          <w:ilvl w:val="1"/>
          <w:numId w:val="14"/>
        </w:numPr>
        <w:spacing w:before="240" w:after="60" w:line="360" w:lineRule="auto"/>
        <w:jc w:val="both"/>
        <w:rPr>
          <w:color w:val="auto"/>
          <w:sz w:val="20"/>
          <w:szCs w:val="20"/>
        </w:rPr>
      </w:pPr>
      <w:r w:rsidRPr="00030D37">
        <w:rPr>
          <w:color w:val="auto"/>
          <w:sz w:val="20"/>
          <w:szCs w:val="20"/>
        </w:rPr>
        <w:t>T</w:t>
      </w:r>
      <w:r w:rsidR="00CB0F20" w:rsidRPr="00030D37">
        <w:rPr>
          <w:color w:val="auto"/>
          <w:sz w:val="20"/>
          <w:szCs w:val="20"/>
        </w:rPr>
        <w:t xml:space="preserve">his change introduces a CDCM ATW p/kwh into the calculations in order to derive the </w:t>
      </w:r>
      <w:r w:rsidR="00287844">
        <w:rPr>
          <w:color w:val="auto"/>
          <w:sz w:val="20"/>
          <w:szCs w:val="20"/>
        </w:rPr>
        <w:t>LDNO</w:t>
      </w:r>
      <w:r w:rsidR="00CB0F20" w:rsidRPr="00030D37">
        <w:rPr>
          <w:color w:val="auto"/>
          <w:sz w:val="20"/>
          <w:szCs w:val="20"/>
        </w:rPr>
        <w:t xml:space="preserve"> discount. This results in a potential iteration/loop issue with the CDCM and PCDM. An initial set of modelling, designed to resolve the iteration/loop issue, was produced at the request of the Working Group. The Working Group were provided with a 4th model, labelled Method G (In addition to the CDCM, EDCM and PCDM) for the purpose of setting charges. </w:t>
      </w:r>
    </w:p>
    <w:p w14:paraId="14DAC193" w14:textId="43CEE669" w:rsidR="00620648" w:rsidRPr="00030D37" w:rsidRDefault="007A56FA"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agreed that adding another model to the existing suite of models was undesirable and introduced the possibility for duplication/error within population and the production of charges. The Working Group </w:t>
      </w:r>
      <w:r w:rsidR="00CB0F20" w:rsidRPr="00030D37">
        <w:rPr>
          <w:color w:val="auto"/>
          <w:sz w:val="20"/>
          <w:szCs w:val="20"/>
        </w:rPr>
        <w:t xml:space="preserve">liaised with </w:t>
      </w:r>
      <w:r w:rsidRPr="00030D37">
        <w:rPr>
          <w:color w:val="auto"/>
          <w:sz w:val="20"/>
          <w:szCs w:val="20"/>
        </w:rPr>
        <w:t>the modelling consultant to understand if there were any alternative modelling options available. The modelling consultant</w:t>
      </w:r>
      <w:r w:rsidR="00CB0F20" w:rsidRPr="00030D37">
        <w:rPr>
          <w:color w:val="auto"/>
          <w:sz w:val="20"/>
          <w:szCs w:val="20"/>
        </w:rPr>
        <w:t xml:space="preserve"> provided a</w:t>
      </w:r>
      <w:r w:rsidR="00891D68" w:rsidRPr="00030D37">
        <w:rPr>
          <w:color w:val="auto"/>
          <w:sz w:val="20"/>
          <w:szCs w:val="20"/>
        </w:rPr>
        <w:t xml:space="preserve"> prototype model which i</w:t>
      </w:r>
      <w:r w:rsidR="00CB0F20" w:rsidRPr="00030D37">
        <w:rPr>
          <w:color w:val="auto"/>
          <w:sz w:val="20"/>
          <w:szCs w:val="20"/>
        </w:rPr>
        <w:t>n</w:t>
      </w:r>
      <w:r w:rsidR="00891D68" w:rsidRPr="00030D37">
        <w:rPr>
          <w:color w:val="auto"/>
          <w:sz w:val="20"/>
          <w:szCs w:val="20"/>
        </w:rPr>
        <w:t>cluded an</w:t>
      </w:r>
      <w:r w:rsidR="00CB0F20" w:rsidRPr="00030D37">
        <w:rPr>
          <w:color w:val="auto"/>
          <w:sz w:val="20"/>
          <w:szCs w:val="20"/>
        </w:rPr>
        <w:t xml:space="preserve"> amended PCDM, (</w:t>
      </w:r>
      <w:r w:rsidRPr="00030D37">
        <w:rPr>
          <w:color w:val="auto"/>
          <w:sz w:val="20"/>
          <w:szCs w:val="20"/>
        </w:rPr>
        <w:t>Method</w:t>
      </w:r>
      <w:r w:rsidR="00CB0F20" w:rsidRPr="00030D37">
        <w:rPr>
          <w:color w:val="auto"/>
          <w:sz w:val="20"/>
          <w:szCs w:val="20"/>
        </w:rPr>
        <w:t xml:space="preserve"> GM), which replicates the CDCM inputs to carry out the calculation. </w:t>
      </w:r>
      <w:r w:rsidR="00891D68" w:rsidRPr="00030D37">
        <w:rPr>
          <w:color w:val="auto"/>
          <w:sz w:val="20"/>
          <w:szCs w:val="20"/>
        </w:rPr>
        <w:t xml:space="preserve"> </w:t>
      </w:r>
    </w:p>
    <w:p w14:paraId="124F3D04" w14:textId="77777777" w:rsidR="00287844" w:rsidRDefault="002C3B8C" w:rsidP="003D05AC">
      <w:pPr>
        <w:pStyle w:val="Heading2"/>
        <w:keepNext w:val="0"/>
        <w:numPr>
          <w:ilvl w:val="1"/>
          <w:numId w:val="14"/>
        </w:numPr>
        <w:spacing w:before="240" w:after="0" w:line="360" w:lineRule="auto"/>
        <w:jc w:val="both"/>
        <w:rPr>
          <w:color w:val="auto"/>
          <w:sz w:val="20"/>
          <w:szCs w:val="20"/>
        </w:rPr>
      </w:pPr>
      <w:r w:rsidRPr="00030D37">
        <w:rPr>
          <w:color w:val="auto"/>
          <w:sz w:val="20"/>
          <w:szCs w:val="20"/>
        </w:rPr>
        <w:t>Prior to requesting the complete modelling Working Group requested confirmation that the modelling consultant was able to update</w:t>
      </w:r>
      <w:r w:rsidR="00BD758B">
        <w:rPr>
          <w:color w:val="auto"/>
          <w:sz w:val="20"/>
          <w:szCs w:val="20"/>
        </w:rPr>
        <w:t xml:space="preserve"> PCDM Table 1315 (</w:t>
      </w:r>
      <w:r w:rsidR="00BD758B" w:rsidRPr="00BD758B">
        <w:rPr>
          <w:color w:val="auto"/>
          <w:sz w:val="20"/>
          <w:szCs w:val="20"/>
        </w:rPr>
        <w:t>Analysis of all</w:t>
      </w:r>
      <w:r w:rsidR="00A63309">
        <w:rPr>
          <w:color w:val="auto"/>
          <w:sz w:val="20"/>
          <w:szCs w:val="20"/>
        </w:rPr>
        <w:t>owed revenue</w:t>
      </w:r>
      <w:r w:rsidR="00BD758B" w:rsidRPr="00BD758B">
        <w:rPr>
          <w:color w:val="auto"/>
          <w:sz w:val="20"/>
          <w:szCs w:val="20"/>
        </w:rPr>
        <w:t xml:space="preserve"> (£/year)</w:t>
      </w:r>
      <w:r w:rsidR="00287844">
        <w:rPr>
          <w:color w:val="auto"/>
          <w:sz w:val="20"/>
          <w:szCs w:val="20"/>
        </w:rPr>
        <w:t>)</w:t>
      </w:r>
      <w:r w:rsidRPr="00030D37">
        <w:rPr>
          <w:color w:val="auto"/>
          <w:sz w:val="20"/>
          <w:szCs w:val="20"/>
        </w:rPr>
        <w:t xml:space="preserve"> to be automatically calculated based on the inputs to </w:t>
      </w:r>
      <w:r w:rsidR="00D10B5B">
        <w:rPr>
          <w:color w:val="auto"/>
          <w:sz w:val="20"/>
          <w:szCs w:val="20"/>
        </w:rPr>
        <w:t xml:space="preserve">CDCM </w:t>
      </w:r>
      <w:r w:rsidR="00BD758B" w:rsidRPr="00030D37">
        <w:rPr>
          <w:color w:val="auto"/>
          <w:sz w:val="20"/>
          <w:szCs w:val="20"/>
        </w:rPr>
        <w:t xml:space="preserve">Table 1001 </w:t>
      </w:r>
      <w:r w:rsidR="00D10B5B">
        <w:rPr>
          <w:color w:val="auto"/>
          <w:sz w:val="20"/>
          <w:szCs w:val="20"/>
        </w:rPr>
        <w:t>(</w:t>
      </w:r>
      <w:r w:rsidR="00BD758B" w:rsidRPr="00030D37">
        <w:rPr>
          <w:color w:val="auto"/>
          <w:sz w:val="20"/>
          <w:szCs w:val="20"/>
        </w:rPr>
        <w:t>CDCM Target Revenue)</w:t>
      </w:r>
      <w:r w:rsidR="00BD758B">
        <w:rPr>
          <w:color w:val="auto"/>
          <w:sz w:val="20"/>
          <w:szCs w:val="20"/>
        </w:rPr>
        <w:t xml:space="preserve"> </w:t>
      </w:r>
      <w:r w:rsidRPr="00030D37">
        <w:rPr>
          <w:color w:val="auto"/>
          <w:sz w:val="20"/>
          <w:szCs w:val="20"/>
        </w:rPr>
        <w:t xml:space="preserve">if the working group confirm which of the </w:t>
      </w:r>
      <w:r w:rsidR="00BD758B">
        <w:rPr>
          <w:color w:val="auto"/>
          <w:sz w:val="20"/>
          <w:szCs w:val="20"/>
        </w:rPr>
        <w:t>T</w:t>
      </w:r>
      <w:r w:rsidRPr="00030D37">
        <w:rPr>
          <w:color w:val="auto"/>
          <w:sz w:val="20"/>
          <w:szCs w:val="20"/>
        </w:rPr>
        <w:t xml:space="preserve">able 1001 items should be classified as incentives that are to be excluded from the ‘revenue to share’. The modelling consultant confirmed that they would be able to accommodate this request and to do so would need the “Net incentive revenue” for table 1315. </w:t>
      </w:r>
    </w:p>
    <w:p w14:paraId="56CE7607" w14:textId="77777777" w:rsidR="00287844" w:rsidRDefault="002C3B8C" w:rsidP="003D05AC">
      <w:pPr>
        <w:pStyle w:val="Heading2"/>
        <w:keepNext w:val="0"/>
        <w:numPr>
          <w:ilvl w:val="1"/>
          <w:numId w:val="14"/>
        </w:numPr>
        <w:spacing w:before="240" w:after="0" w:line="360" w:lineRule="auto"/>
        <w:jc w:val="both"/>
        <w:rPr>
          <w:color w:val="auto"/>
          <w:sz w:val="20"/>
          <w:szCs w:val="20"/>
        </w:rPr>
      </w:pPr>
      <w:r w:rsidRPr="00030D37">
        <w:rPr>
          <w:color w:val="auto"/>
          <w:sz w:val="20"/>
          <w:szCs w:val="20"/>
        </w:rPr>
        <w:t xml:space="preserve">One Working Group member pointed out that for </w:t>
      </w:r>
      <w:r w:rsidR="00BD758B">
        <w:rPr>
          <w:color w:val="auto"/>
          <w:sz w:val="20"/>
          <w:szCs w:val="20"/>
        </w:rPr>
        <w:t>T</w:t>
      </w:r>
      <w:r w:rsidRPr="00030D37">
        <w:rPr>
          <w:color w:val="auto"/>
          <w:sz w:val="20"/>
          <w:szCs w:val="20"/>
        </w:rPr>
        <w:t>able 1001, the 2017/18 format is different to that of 2018/19. As such, the group was asked to consider aligning the methodology for what is classed as an incentive. The Working Group reviewed Table 1001</w:t>
      </w:r>
      <w:r w:rsidR="00BD758B">
        <w:rPr>
          <w:color w:val="auto"/>
          <w:sz w:val="20"/>
          <w:szCs w:val="20"/>
        </w:rPr>
        <w:t xml:space="preserve"> </w:t>
      </w:r>
      <w:r w:rsidRPr="00030D37">
        <w:rPr>
          <w:color w:val="auto"/>
          <w:sz w:val="20"/>
          <w:szCs w:val="20"/>
        </w:rPr>
        <w:t xml:space="preserve">and formed a view as to which input items they believed should be treated as revenue, innovation or incentives. It was agreed that anything that is clearly labelled as an “incentive/penalty” in the “incentives” pot that is to be excluded from the ‘revenue to share’. </w:t>
      </w:r>
    </w:p>
    <w:p w14:paraId="39B75B13" w14:textId="3F5FBC7A" w:rsidR="002C3B8C" w:rsidRPr="00030D37" w:rsidRDefault="003D05AC" w:rsidP="003D05AC">
      <w:pPr>
        <w:pStyle w:val="Heading2"/>
        <w:keepNext w:val="0"/>
        <w:numPr>
          <w:ilvl w:val="1"/>
          <w:numId w:val="14"/>
        </w:numPr>
        <w:spacing w:before="240" w:after="0" w:line="360" w:lineRule="auto"/>
        <w:jc w:val="both"/>
        <w:rPr>
          <w:color w:val="auto"/>
          <w:sz w:val="20"/>
          <w:szCs w:val="20"/>
        </w:rPr>
      </w:pPr>
      <w:r w:rsidRPr="003D05AC">
        <w:rPr>
          <w:color w:val="auto"/>
          <w:sz w:val="20"/>
          <w:szCs w:val="20"/>
        </w:rPr>
        <w:t>For the purpose of this,</w:t>
      </w:r>
      <w:r w:rsidR="00FE4E0A" w:rsidRPr="00030D37">
        <w:rPr>
          <w:color w:val="auto"/>
          <w:sz w:val="20"/>
          <w:szCs w:val="20"/>
        </w:rPr>
        <w:t xml:space="preserve"> </w:t>
      </w:r>
      <w:r>
        <w:rPr>
          <w:color w:val="auto"/>
          <w:sz w:val="20"/>
          <w:szCs w:val="20"/>
        </w:rPr>
        <w:t>t</w:t>
      </w:r>
      <w:r w:rsidR="00F577FA" w:rsidRPr="00030D37">
        <w:rPr>
          <w:color w:val="auto"/>
          <w:sz w:val="20"/>
          <w:szCs w:val="20"/>
        </w:rPr>
        <w:t xml:space="preserve">he Working Group agreed the items highlighted in yellow below are deemed as incentives/penalties: </w:t>
      </w:r>
    </w:p>
    <w:p w14:paraId="4A2DB215" w14:textId="5624E964" w:rsidR="002C3B8C" w:rsidRDefault="00A63309" w:rsidP="00030D37">
      <w:pPr>
        <w:pStyle w:val="Heading2"/>
        <w:keepNext w:val="0"/>
        <w:spacing w:before="60" w:after="60" w:line="240" w:lineRule="auto"/>
        <w:ind w:left="578"/>
        <w:jc w:val="both"/>
        <w:rPr>
          <w:rFonts w:ascii="Calibri" w:hAnsi="Calibri"/>
          <w:color w:val="auto"/>
          <w:sz w:val="22"/>
          <w:szCs w:val="22"/>
        </w:rPr>
      </w:pPr>
      <w:r>
        <w:rPr>
          <w:noProof/>
        </w:rPr>
        <w:pict w14:anchorId="1CF74BD5">
          <v:shape id="_x0000_s1036" type="#_x0000_t75" style="position:absolute;left:0;text-align:left;margin-left:29.7pt;margin-top:3.05pt;width:318.85pt;height:154.7pt;z-index:-251658752;visibility:visible;mso-wrap-style:square;mso-position-horizontal-relative:text;mso-position-vertical-relative:text;mso-width-relative:page;mso-height-relative:page" wrapcoords="-51 0 -51 21495 21600 21495 21600 15833 21295 15833 15755 15099 21600 14155 21600 13946 12960 13421 21600 12373 21600 12163 8233 11744 11994 11744 21600 10590 21600 0 -51 0">
            <v:imagedata r:id="rId16" o:title="" croptop="21621f" cropbottom="25674f" cropright="19233f"/>
            <w10:wrap type="tight"/>
          </v:shape>
        </w:pict>
      </w:r>
    </w:p>
    <w:p w14:paraId="18390111" w14:textId="77777777" w:rsidR="000D4F0F" w:rsidRDefault="000D4F0F" w:rsidP="00030D37">
      <w:pPr>
        <w:spacing w:before="0" w:line="360" w:lineRule="auto"/>
        <w:ind w:left="578"/>
        <w:rPr>
          <w:sz w:val="16"/>
          <w:szCs w:val="16"/>
        </w:rPr>
      </w:pPr>
    </w:p>
    <w:p w14:paraId="0668A087" w14:textId="77777777" w:rsidR="000D4F0F" w:rsidRDefault="000D4F0F" w:rsidP="00030D37">
      <w:pPr>
        <w:spacing w:before="0" w:line="360" w:lineRule="auto"/>
        <w:ind w:left="578"/>
        <w:rPr>
          <w:sz w:val="16"/>
          <w:szCs w:val="16"/>
        </w:rPr>
      </w:pPr>
    </w:p>
    <w:p w14:paraId="0612C46E" w14:textId="77777777" w:rsidR="000D4F0F" w:rsidRDefault="000D4F0F" w:rsidP="00030D37">
      <w:pPr>
        <w:spacing w:before="0" w:line="360" w:lineRule="auto"/>
        <w:ind w:left="578"/>
        <w:rPr>
          <w:sz w:val="16"/>
          <w:szCs w:val="16"/>
        </w:rPr>
      </w:pPr>
    </w:p>
    <w:p w14:paraId="591BFB8F" w14:textId="77777777" w:rsidR="000D4F0F" w:rsidRDefault="000D4F0F" w:rsidP="00030D37">
      <w:pPr>
        <w:spacing w:before="0" w:line="360" w:lineRule="auto"/>
        <w:ind w:left="578"/>
        <w:rPr>
          <w:sz w:val="16"/>
          <w:szCs w:val="16"/>
        </w:rPr>
      </w:pPr>
    </w:p>
    <w:p w14:paraId="2ECF6029" w14:textId="77777777" w:rsidR="000D4F0F" w:rsidRDefault="000D4F0F" w:rsidP="00030D37">
      <w:pPr>
        <w:spacing w:before="0" w:line="360" w:lineRule="auto"/>
        <w:ind w:left="578"/>
        <w:rPr>
          <w:sz w:val="16"/>
          <w:szCs w:val="16"/>
        </w:rPr>
      </w:pPr>
    </w:p>
    <w:p w14:paraId="1F83587B" w14:textId="77777777" w:rsidR="000D4F0F" w:rsidRDefault="000D4F0F" w:rsidP="00030D37">
      <w:pPr>
        <w:spacing w:before="0" w:line="360" w:lineRule="auto"/>
        <w:ind w:left="578"/>
        <w:rPr>
          <w:sz w:val="16"/>
          <w:szCs w:val="16"/>
        </w:rPr>
      </w:pPr>
    </w:p>
    <w:p w14:paraId="191A7AEA" w14:textId="77777777" w:rsidR="00287844" w:rsidRDefault="00287844" w:rsidP="00030D37">
      <w:pPr>
        <w:spacing w:before="0" w:line="360" w:lineRule="auto"/>
        <w:ind w:left="578"/>
        <w:rPr>
          <w:sz w:val="16"/>
          <w:szCs w:val="16"/>
        </w:rPr>
      </w:pPr>
    </w:p>
    <w:p w14:paraId="7408D26F" w14:textId="77777777" w:rsidR="00287844" w:rsidRDefault="00287844" w:rsidP="00030D37">
      <w:pPr>
        <w:spacing w:before="0" w:line="360" w:lineRule="auto"/>
        <w:ind w:left="578"/>
        <w:rPr>
          <w:sz w:val="16"/>
          <w:szCs w:val="16"/>
        </w:rPr>
      </w:pPr>
    </w:p>
    <w:p w14:paraId="2CB4F36F" w14:textId="170D4B27" w:rsidR="00F577FA" w:rsidRPr="00030D37" w:rsidRDefault="00F577FA" w:rsidP="00030D37">
      <w:pPr>
        <w:spacing w:before="0" w:line="360" w:lineRule="auto"/>
        <w:ind w:left="578"/>
        <w:rPr>
          <w:sz w:val="16"/>
          <w:szCs w:val="16"/>
        </w:rPr>
      </w:pPr>
      <w:r w:rsidRPr="00030D37">
        <w:rPr>
          <w:sz w:val="16"/>
          <w:szCs w:val="16"/>
        </w:rPr>
        <w:t>Th</w:t>
      </w:r>
      <w:r w:rsidR="00125FF3" w:rsidRPr="00030D37">
        <w:rPr>
          <w:sz w:val="16"/>
          <w:szCs w:val="16"/>
        </w:rPr>
        <w:t>e complete version of this</w:t>
      </w:r>
      <w:r w:rsidRPr="00030D37">
        <w:rPr>
          <w:sz w:val="16"/>
          <w:szCs w:val="16"/>
        </w:rPr>
        <w:t xml:space="preserve"> table</w:t>
      </w:r>
      <w:r w:rsidR="00125FF3" w:rsidRPr="00030D37">
        <w:rPr>
          <w:sz w:val="16"/>
          <w:szCs w:val="16"/>
        </w:rPr>
        <w:t xml:space="preserve"> is contained within Schedule 15 of DCUSA and</w:t>
      </w:r>
      <w:r w:rsidRPr="00030D37">
        <w:rPr>
          <w:sz w:val="16"/>
          <w:szCs w:val="16"/>
        </w:rPr>
        <w:t xml:space="preserve"> </w:t>
      </w:r>
      <w:r w:rsidR="00125FF3" w:rsidRPr="00030D37">
        <w:rPr>
          <w:sz w:val="16"/>
          <w:szCs w:val="16"/>
        </w:rPr>
        <w:t>may be</w:t>
      </w:r>
      <w:r w:rsidRPr="00030D37">
        <w:rPr>
          <w:sz w:val="16"/>
          <w:szCs w:val="16"/>
        </w:rPr>
        <w:t xml:space="preserve"> subject to change in the future</w:t>
      </w:r>
      <w:r w:rsidR="00125FF3" w:rsidRPr="00030D37">
        <w:rPr>
          <w:sz w:val="16"/>
          <w:szCs w:val="16"/>
        </w:rPr>
        <w:t>.</w:t>
      </w:r>
    </w:p>
    <w:p w14:paraId="5615A2B9" w14:textId="6A42CE03" w:rsidR="002C3B8C" w:rsidRPr="00030D37" w:rsidRDefault="002C3B8C"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lastRenderedPageBreak/>
        <w:t xml:space="preserve">The Working Group agreed that it would be beneficial to obtain views from industry as to their views on what is classed as an incentive in </w:t>
      </w:r>
      <w:r w:rsidR="00BD758B">
        <w:rPr>
          <w:color w:val="auto"/>
          <w:sz w:val="20"/>
          <w:szCs w:val="20"/>
        </w:rPr>
        <w:t>T</w:t>
      </w:r>
      <w:r w:rsidRPr="00030D37">
        <w:rPr>
          <w:color w:val="auto"/>
          <w:sz w:val="20"/>
          <w:szCs w:val="20"/>
        </w:rPr>
        <w:t>able 1001 via a consultation question.</w:t>
      </w:r>
    </w:p>
    <w:tbl>
      <w:tblPr>
        <w:tblStyle w:val="TableGrid"/>
        <w:tblW w:w="0" w:type="auto"/>
        <w:tblLook w:val="04A0" w:firstRow="1" w:lastRow="0" w:firstColumn="1" w:lastColumn="0" w:noHBand="0" w:noVBand="1"/>
      </w:tblPr>
      <w:tblGrid>
        <w:gridCol w:w="9572"/>
      </w:tblGrid>
      <w:tr w:rsidR="002C3B8C" w14:paraId="62DECBB1" w14:textId="77777777" w:rsidTr="00287844">
        <w:tc>
          <w:tcPr>
            <w:tcW w:w="9572" w:type="dxa"/>
            <w:tcBorders>
              <w:top w:val="single" w:sz="18" w:space="0" w:color="008576"/>
              <w:left w:val="single" w:sz="18" w:space="0" w:color="008576"/>
              <w:bottom w:val="single" w:sz="18" w:space="0" w:color="008576"/>
              <w:right w:val="single" w:sz="18" w:space="0" w:color="008576"/>
            </w:tcBorders>
          </w:tcPr>
          <w:p w14:paraId="7014A3DA" w14:textId="50A2957D" w:rsidR="002C3B8C" w:rsidRPr="00287844" w:rsidRDefault="002C3B8C">
            <w:pPr>
              <w:rPr>
                <w:rFonts w:cs="Arial"/>
                <w:b/>
                <w:szCs w:val="20"/>
              </w:rPr>
            </w:pPr>
            <w:bookmarkStart w:id="13" w:name="_Hlk494721584"/>
            <w:r w:rsidRPr="00287844">
              <w:rPr>
                <w:b/>
              </w:rPr>
              <w:t>QUESTION</w:t>
            </w:r>
            <w:r w:rsidR="00097A74" w:rsidRPr="00287844">
              <w:rPr>
                <w:rFonts w:cs="Arial"/>
                <w:b/>
                <w:szCs w:val="20"/>
              </w:rPr>
              <w:t xml:space="preserve"> 4</w:t>
            </w:r>
            <w:r w:rsidR="00125FF3" w:rsidRPr="00287844">
              <w:rPr>
                <w:rFonts w:cs="Arial"/>
                <w:b/>
                <w:szCs w:val="20"/>
              </w:rPr>
              <w:t>: Do you</w:t>
            </w:r>
            <w:r w:rsidR="00DC0632" w:rsidRPr="00287844">
              <w:rPr>
                <w:rFonts w:cs="Arial"/>
                <w:b/>
                <w:szCs w:val="20"/>
              </w:rPr>
              <w:t xml:space="preserve"> believe that the</w:t>
            </w:r>
            <w:r w:rsidR="00125FF3" w:rsidRPr="00287844">
              <w:rPr>
                <w:rFonts w:cs="Arial"/>
                <w:b/>
                <w:szCs w:val="20"/>
              </w:rPr>
              <w:t xml:space="preserve"> Working Group has correctly identified the incentives/penalties that are to be excluded from the ‘revenue to share’</w:t>
            </w:r>
            <w:r w:rsidR="00DC0632" w:rsidRPr="00287844">
              <w:rPr>
                <w:rFonts w:cs="Arial"/>
                <w:b/>
                <w:szCs w:val="20"/>
              </w:rPr>
              <w:t>?</w:t>
            </w:r>
          </w:p>
        </w:tc>
      </w:tr>
    </w:tbl>
    <w:bookmarkEnd w:id="13"/>
    <w:p w14:paraId="6AA47027" w14:textId="62FF8A27" w:rsidR="007A56FA" w:rsidRPr="00030D37" w:rsidRDefault="007A56FA">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w:t>
      </w:r>
      <w:r w:rsidR="002C3B8C" w:rsidRPr="00030D37">
        <w:rPr>
          <w:color w:val="auto"/>
          <w:sz w:val="20"/>
          <w:szCs w:val="20"/>
        </w:rPr>
        <w:t xml:space="preserve">agreed </w:t>
      </w:r>
      <w:r w:rsidR="001B3997" w:rsidRPr="00030D37">
        <w:rPr>
          <w:color w:val="auto"/>
          <w:sz w:val="20"/>
          <w:szCs w:val="20"/>
        </w:rPr>
        <w:t>to proceed with a request for a full set of modelling based on the outcomes from their discussions.</w:t>
      </w:r>
      <w:r w:rsidRPr="00030D37">
        <w:rPr>
          <w:color w:val="auto"/>
          <w:sz w:val="20"/>
          <w:szCs w:val="20"/>
        </w:rPr>
        <w:t xml:space="preserve"> Upon </w:t>
      </w:r>
      <w:r w:rsidR="003D1D5F" w:rsidRPr="00030D37">
        <w:rPr>
          <w:color w:val="auto"/>
          <w:sz w:val="20"/>
          <w:szCs w:val="20"/>
        </w:rPr>
        <w:t>review</w:t>
      </w:r>
      <w:r w:rsidRPr="00030D37">
        <w:rPr>
          <w:color w:val="auto"/>
          <w:sz w:val="20"/>
          <w:szCs w:val="20"/>
        </w:rPr>
        <w:t xml:space="preserve"> of the completed impact assessment</w:t>
      </w:r>
      <w:r w:rsidR="003D1D5F" w:rsidRPr="00030D37">
        <w:rPr>
          <w:color w:val="auto"/>
          <w:sz w:val="20"/>
          <w:szCs w:val="20"/>
        </w:rPr>
        <w:t>, the Working Group noted three issues that required further investigation.</w:t>
      </w:r>
    </w:p>
    <w:p w14:paraId="0293CE5A" w14:textId="77777777" w:rsidR="003D1D5F" w:rsidRPr="00030D37" w:rsidRDefault="003D1D5F" w:rsidP="00030D37">
      <w:pPr>
        <w:pStyle w:val="Heading2"/>
        <w:keepNext w:val="0"/>
        <w:spacing w:before="240" w:after="0" w:line="360" w:lineRule="auto"/>
        <w:ind w:left="576"/>
        <w:jc w:val="both"/>
        <w:rPr>
          <w:b/>
          <w:color w:val="auto"/>
          <w:sz w:val="20"/>
          <w:szCs w:val="20"/>
        </w:rPr>
      </w:pPr>
      <w:r w:rsidRPr="00030D37">
        <w:rPr>
          <w:b/>
          <w:color w:val="auto"/>
          <w:sz w:val="20"/>
          <w:szCs w:val="20"/>
        </w:rPr>
        <w:t xml:space="preserve">‘0 volumes’ </w:t>
      </w:r>
    </w:p>
    <w:p w14:paraId="7B6008A4" w14:textId="1316E384" w:rsidR="003D1D5F" w:rsidRPr="00030D37" w:rsidRDefault="003D1D5F" w:rsidP="00030D37">
      <w:pPr>
        <w:pStyle w:val="Heading2"/>
        <w:keepNext w:val="0"/>
        <w:numPr>
          <w:ilvl w:val="1"/>
          <w:numId w:val="14"/>
        </w:numPr>
        <w:spacing w:before="0" w:after="60" w:line="360" w:lineRule="auto"/>
        <w:jc w:val="both"/>
        <w:rPr>
          <w:color w:val="auto"/>
          <w:sz w:val="20"/>
          <w:szCs w:val="20"/>
        </w:rPr>
      </w:pPr>
      <w:r w:rsidRPr="00030D37">
        <w:rPr>
          <w:color w:val="auto"/>
          <w:sz w:val="20"/>
          <w:szCs w:val="20"/>
        </w:rPr>
        <w:t xml:space="preserve">One Working Group member had informed the Secretariat that he had noticed some inconsistencies in the tariff spreadsheet provided as part of the </w:t>
      </w:r>
      <w:r w:rsidR="00BA2166" w:rsidRPr="00030D37">
        <w:rPr>
          <w:color w:val="auto"/>
          <w:sz w:val="20"/>
          <w:szCs w:val="20"/>
        </w:rPr>
        <w:t>initial</w:t>
      </w:r>
      <w:r w:rsidRPr="00030D37">
        <w:rPr>
          <w:color w:val="auto"/>
          <w:sz w:val="20"/>
          <w:szCs w:val="20"/>
        </w:rPr>
        <w:t xml:space="preserve"> impact assessment. The inconsistency was noted across at least two distribution areas between</w:t>
      </w:r>
      <w:r w:rsidR="007E090F" w:rsidRPr="00030D37">
        <w:rPr>
          <w:color w:val="auto"/>
          <w:sz w:val="20"/>
          <w:szCs w:val="20"/>
        </w:rPr>
        <w:t xml:space="preserve"> </w:t>
      </w:r>
      <w:r w:rsidRPr="00030D37">
        <w:rPr>
          <w:color w:val="auto"/>
          <w:sz w:val="20"/>
          <w:szCs w:val="20"/>
        </w:rPr>
        <w:t xml:space="preserve">LV Network Domestic and LDNO LV: LV Network Domestic. It was noted that the price does not change between to the two cells and thus there is no discount coming through. </w:t>
      </w:r>
    </w:p>
    <w:p w14:paraId="2E387364" w14:textId="77777777"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The Working Group discussed the concern and that it may be due to there being no customers currently on that tariff. It was noted that under the current methodology where there are no volumes or forecast volumes for a specific tariff then that tariff would not be accurate but the discount will come through as a percentage. Changing to a p/kwh figure results in no discount coming through and the group considered if providing a fix for this issue could be in scope of DCP 266.</w:t>
      </w:r>
    </w:p>
    <w:p w14:paraId="46AF9ED1" w14:textId="599F5149"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This issue was put to the modelling consultant, to which it was noted that the analysis of the Working Group was correct. The modelling consultant noted that the proposed DCP 266 methodology does not allow the calculation of LDNO discounts</w:t>
      </w:r>
      <w:r w:rsidR="00BA2166" w:rsidRPr="00030D37">
        <w:rPr>
          <w:color w:val="auto"/>
          <w:sz w:val="20"/>
          <w:szCs w:val="20"/>
        </w:rPr>
        <w:t xml:space="preserve"> for tariffs with zero volumes a</w:t>
      </w:r>
      <w:r w:rsidRPr="00030D37">
        <w:rPr>
          <w:color w:val="auto"/>
          <w:sz w:val="20"/>
          <w:szCs w:val="20"/>
        </w:rPr>
        <w:t xml:space="preserve">nd that it may be possible to change the methodology to address this. Two solutions (outlined below) were put to the Working Group for agreement on the best way forward. </w:t>
      </w:r>
    </w:p>
    <w:p w14:paraId="5A6C8972" w14:textId="3A65880A" w:rsidR="003D1D5F" w:rsidRPr="00030D37" w:rsidRDefault="003D1D5F" w:rsidP="00030D37">
      <w:pPr>
        <w:pStyle w:val="Heading2"/>
        <w:keepNext w:val="0"/>
        <w:numPr>
          <w:ilvl w:val="1"/>
          <w:numId w:val="58"/>
        </w:numPr>
        <w:spacing w:before="240" w:after="60" w:line="360" w:lineRule="auto"/>
        <w:ind w:left="1134" w:hanging="425"/>
        <w:jc w:val="both"/>
        <w:rPr>
          <w:color w:val="auto"/>
          <w:sz w:val="20"/>
          <w:szCs w:val="20"/>
        </w:rPr>
      </w:pPr>
      <w:r w:rsidRPr="00030D37">
        <w:rPr>
          <w:color w:val="auto"/>
          <w:sz w:val="20"/>
          <w:szCs w:val="20"/>
        </w:rPr>
        <w:t xml:space="preserve">The method could explicitly allow the user to input notional volumes that are only used to calculate an average ATW p/kWh figure (and not for anything else). However, this is would introduce additional complexity to the model and methodology. </w:t>
      </w:r>
    </w:p>
    <w:p w14:paraId="10E1CC3C" w14:textId="3BAB7215" w:rsidR="003D1D5F" w:rsidRPr="00030D37" w:rsidRDefault="003D1D5F" w:rsidP="00D84F71">
      <w:pPr>
        <w:pStyle w:val="Heading2"/>
        <w:keepNext w:val="0"/>
        <w:numPr>
          <w:ilvl w:val="1"/>
          <w:numId w:val="58"/>
        </w:numPr>
        <w:spacing w:before="240" w:after="60" w:line="360" w:lineRule="auto"/>
        <w:jc w:val="both"/>
        <w:rPr>
          <w:color w:val="auto"/>
          <w:sz w:val="20"/>
          <w:szCs w:val="20"/>
        </w:rPr>
      </w:pPr>
      <w:r w:rsidRPr="00030D37">
        <w:rPr>
          <w:color w:val="auto"/>
          <w:sz w:val="20"/>
          <w:szCs w:val="20"/>
        </w:rPr>
        <w:t xml:space="preserve">If it is believed that the issue of zero volumes (for LV Network Domestic) may go away by the time DCP 266 is implemented. A pragmatic approach for now may be to use notional data in table </w:t>
      </w:r>
      <w:r w:rsidR="00D84F71">
        <w:rPr>
          <w:color w:val="auto"/>
          <w:sz w:val="20"/>
          <w:szCs w:val="20"/>
        </w:rPr>
        <w:t xml:space="preserve">CDCM Table </w:t>
      </w:r>
      <w:r w:rsidRPr="00030D37">
        <w:rPr>
          <w:color w:val="auto"/>
          <w:sz w:val="20"/>
          <w:szCs w:val="20"/>
        </w:rPr>
        <w:t>1053</w:t>
      </w:r>
      <w:r w:rsidR="00D84F71">
        <w:rPr>
          <w:color w:val="auto"/>
          <w:sz w:val="20"/>
          <w:szCs w:val="20"/>
        </w:rPr>
        <w:t xml:space="preserve"> (</w:t>
      </w:r>
      <w:r w:rsidR="00D84F71" w:rsidRPr="00D84F71">
        <w:rPr>
          <w:color w:val="auto"/>
          <w:sz w:val="20"/>
          <w:szCs w:val="20"/>
        </w:rPr>
        <w:t>Volume forecasts for the charging year</w:t>
      </w:r>
      <w:r w:rsidR="00D84F71">
        <w:rPr>
          <w:color w:val="auto"/>
          <w:sz w:val="20"/>
          <w:szCs w:val="20"/>
        </w:rPr>
        <w:t>)</w:t>
      </w:r>
      <w:r w:rsidRPr="00030D37">
        <w:rPr>
          <w:color w:val="auto"/>
          <w:sz w:val="20"/>
          <w:szCs w:val="20"/>
        </w:rPr>
        <w:t xml:space="preserve"> for tariffs with zero volumes (as some DNOs seem to do) for the impact assessment. It was noted that no model change is required if this approach is taken.</w:t>
      </w:r>
    </w:p>
    <w:p w14:paraId="32EAEB84" w14:textId="77777777" w:rsidR="000E4503"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agreed to use a pragmatic approach by inserting notional data and providing feedback in consultation on the suggested issue falling away (on the basis that customers will eventually migrate to these tariffs over time) by the time this change is implemented. The Working Group agreed amend the legal text to align to the solution and noted that paragraph 52 of </w:t>
      </w:r>
      <w:r w:rsidRPr="00030D37">
        <w:rPr>
          <w:color w:val="auto"/>
          <w:sz w:val="20"/>
          <w:szCs w:val="20"/>
        </w:rPr>
        <w:lastRenderedPageBreak/>
        <w:t>Schedule 16 has been amended to</w:t>
      </w:r>
      <w:r w:rsidR="00152179" w:rsidRPr="00030D37">
        <w:rPr>
          <w:color w:val="auto"/>
          <w:sz w:val="20"/>
          <w:szCs w:val="20"/>
        </w:rPr>
        <w:t>, ‘In doing so, the DNO Party will assume a minimum of one customer will exist in the charging year for each tariff.’</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0E4503" w:rsidRPr="0010396A" w14:paraId="410B7D38" w14:textId="77777777" w:rsidTr="0010396A">
        <w:tc>
          <w:tcPr>
            <w:tcW w:w="9572" w:type="dxa"/>
          </w:tcPr>
          <w:p w14:paraId="230990FA" w14:textId="06005345" w:rsidR="000E4503" w:rsidRPr="0010396A" w:rsidRDefault="003317EE" w:rsidP="00030D37">
            <w:pPr>
              <w:rPr>
                <w:b/>
              </w:rPr>
            </w:pPr>
            <w:bookmarkStart w:id="14" w:name="_Hlk494721740"/>
            <w:r w:rsidRPr="0010396A">
              <w:rPr>
                <w:b/>
              </w:rPr>
              <w:t>QUESTION</w:t>
            </w:r>
            <w:r w:rsidR="00097A74" w:rsidRPr="0010396A">
              <w:rPr>
                <w:b/>
              </w:rPr>
              <w:t xml:space="preserve"> 5</w:t>
            </w:r>
            <w:r w:rsidR="000E4503" w:rsidRPr="0010396A">
              <w:rPr>
                <w:b/>
              </w:rPr>
              <w:t>: Do you agree with the approach that the Working Group has used</w:t>
            </w:r>
            <w:r w:rsidR="00697DA6" w:rsidRPr="0010396A">
              <w:rPr>
                <w:b/>
              </w:rPr>
              <w:t xml:space="preserve"> to resolve the issue of ‘0 volumes’ out of the options noted in the bullet points under paragraph </w:t>
            </w:r>
            <w:r w:rsidR="00697DA6" w:rsidRPr="0010396A">
              <w:rPr>
                <w:b/>
                <w:highlight w:val="yellow"/>
              </w:rPr>
              <w:t>4.28</w:t>
            </w:r>
            <w:r w:rsidR="00DC0632" w:rsidRPr="0010396A">
              <w:rPr>
                <w:b/>
              </w:rPr>
              <w:t>?</w:t>
            </w:r>
            <w:r w:rsidR="000E4503" w:rsidRPr="0010396A">
              <w:rPr>
                <w:b/>
              </w:rPr>
              <w:t xml:space="preserve"> If not</w:t>
            </w:r>
            <w:r w:rsidR="00DC0632" w:rsidRPr="0010396A">
              <w:rPr>
                <w:b/>
              </w:rPr>
              <w:t>,</w:t>
            </w:r>
            <w:r w:rsidR="000E4503" w:rsidRPr="0010396A">
              <w:rPr>
                <w:b/>
              </w:rPr>
              <w:t xml:space="preserve"> then</w:t>
            </w:r>
            <w:r w:rsidR="00DC0632" w:rsidRPr="0010396A">
              <w:rPr>
                <w:b/>
              </w:rPr>
              <w:t xml:space="preserve"> please provide your rational for the other option or set out any other options that you believe should be considered. </w:t>
            </w:r>
          </w:p>
        </w:tc>
      </w:tr>
    </w:tbl>
    <w:bookmarkEnd w:id="14"/>
    <w:p w14:paraId="2C5D9197" w14:textId="11C05748" w:rsidR="003D1D5F" w:rsidRPr="00030D37" w:rsidRDefault="003D1D5F" w:rsidP="00030D37">
      <w:pPr>
        <w:pStyle w:val="Heading2"/>
        <w:keepNext w:val="0"/>
        <w:spacing w:before="240" w:after="0" w:line="360" w:lineRule="auto"/>
        <w:ind w:left="576"/>
        <w:jc w:val="both"/>
        <w:rPr>
          <w:b/>
          <w:bCs w:val="0"/>
          <w:iCs w:val="0"/>
          <w:sz w:val="20"/>
          <w:szCs w:val="20"/>
        </w:rPr>
      </w:pPr>
      <w:r w:rsidRPr="00030D37">
        <w:rPr>
          <w:b/>
          <w:color w:val="auto"/>
          <w:sz w:val="20"/>
          <w:szCs w:val="20"/>
        </w:rPr>
        <w:t>‘discounts</w:t>
      </w:r>
      <w:r w:rsidR="006B5D84" w:rsidRPr="00030D37">
        <w:rPr>
          <w:b/>
          <w:color w:val="auto"/>
          <w:sz w:val="20"/>
          <w:szCs w:val="20"/>
        </w:rPr>
        <w:t xml:space="preserve"> in excess of 100 percent</w:t>
      </w:r>
      <w:r w:rsidRPr="00030D37">
        <w:rPr>
          <w:b/>
          <w:color w:val="auto"/>
          <w:sz w:val="20"/>
          <w:szCs w:val="20"/>
        </w:rPr>
        <w:t>’</w:t>
      </w:r>
    </w:p>
    <w:p w14:paraId="0A3C0BA7" w14:textId="519E1808" w:rsidR="003D1D5F" w:rsidRPr="00030D37" w:rsidRDefault="003D1D5F" w:rsidP="00030D37">
      <w:pPr>
        <w:pStyle w:val="Heading2"/>
        <w:keepNext w:val="0"/>
        <w:numPr>
          <w:ilvl w:val="1"/>
          <w:numId w:val="14"/>
        </w:numPr>
        <w:spacing w:before="0" w:after="60" w:line="360" w:lineRule="auto"/>
        <w:jc w:val="both"/>
        <w:rPr>
          <w:color w:val="auto"/>
          <w:sz w:val="20"/>
          <w:szCs w:val="20"/>
        </w:rPr>
      </w:pPr>
      <w:r w:rsidRPr="00030D37">
        <w:rPr>
          <w:color w:val="auto"/>
          <w:sz w:val="20"/>
          <w:szCs w:val="20"/>
        </w:rPr>
        <w:t xml:space="preserve">At an early stage, concerns were raised regarding a scenario of an </w:t>
      </w:r>
      <w:r w:rsidR="00287844">
        <w:rPr>
          <w:color w:val="auto"/>
          <w:sz w:val="20"/>
          <w:szCs w:val="20"/>
        </w:rPr>
        <w:t>LDNO</w:t>
      </w:r>
      <w:r w:rsidRPr="00030D37">
        <w:rPr>
          <w:color w:val="auto"/>
          <w:sz w:val="20"/>
          <w:szCs w:val="20"/>
        </w:rPr>
        <w:t xml:space="preserve"> receiving discount in excess of 100%. The group discussed whether there should be a limiting factor within the model. Convergence between the models when iterated could also raise an issue in the case of negative scaling and the impact this will have on tariffs. This Issue was highlighted by the DCUSA modelling consultant in their commentary from the first impact assessment that was carried out. </w:t>
      </w:r>
    </w:p>
    <w:p w14:paraId="3C97C26F" w14:textId="785A7B15" w:rsidR="003D1D5F" w:rsidRPr="00DC6606" w:rsidRDefault="00EF21AE">
      <w:pPr>
        <w:pStyle w:val="Heading2"/>
        <w:keepNext w:val="0"/>
        <w:spacing w:before="240" w:after="60" w:line="360" w:lineRule="auto"/>
        <w:ind w:left="1152" w:hanging="576"/>
        <w:jc w:val="both"/>
        <w:rPr>
          <w:rFonts w:ascii="Calibri" w:hAnsi="Calibri"/>
          <w:color w:val="auto"/>
          <w:sz w:val="22"/>
          <w:szCs w:val="22"/>
        </w:rPr>
      </w:pPr>
      <w:r>
        <w:rPr>
          <w:rFonts w:ascii="Calibri" w:hAnsi="Calibri"/>
          <w:noProof/>
          <w:color w:val="auto"/>
          <w:sz w:val="22"/>
          <w:szCs w:val="22"/>
        </w:rPr>
        <w:fldChar w:fldCharType="begin"/>
      </w:r>
      <w:r>
        <w:rPr>
          <w:rFonts w:ascii="Calibri" w:hAnsi="Calibri"/>
          <w:noProof/>
          <w:color w:val="auto"/>
          <w:sz w:val="22"/>
          <w:szCs w:val="22"/>
        </w:rPr>
        <w:instrText xml:space="preserve"> INCLUDEPICTURE  "cid:image002.png@01D2F643.09CEDF80" \* MERGEFORMATINET </w:instrText>
      </w:r>
      <w:r>
        <w:rPr>
          <w:rFonts w:ascii="Calibri" w:hAnsi="Calibri"/>
          <w:noProof/>
          <w:color w:val="auto"/>
          <w:sz w:val="22"/>
          <w:szCs w:val="22"/>
        </w:rPr>
        <w:fldChar w:fldCharType="separate"/>
      </w:r>
      <w:r w:rsidR="001C1A9C">
        <w:rPr>
          <w:rFonts w:ascii="Calibri" w:hAnsi="Calibri"/>
          <w:noProof/>
          <w:color w:val="auto"/>
          <w:sz w:val="22"/>
          <w:szCs w:val="22"/>
        </w:rPr>
        <w:fldChar w:fldCharType="begin"/>
      </w:r>
      <w:r w:rsidR="001C1A9C">
        <w:rPr>
          <w:rFonts w:ascii="Calibri" w:hAnsi="Calibri"/>
          <w:noProof/>
          <w:color w:val="auto"/>
          <w:sz w:val="22"/>
          <w:szCs w:val="22"/>
        </w:rPr>
        <w:instrText xml:space="preserve"> INCLUDEPICTURE  "cid:image002.png@01D2F643.09CEDF80" \* MERGEFORMATINET </w:instrText>
      </w:r>
      <w:r w:rsidR="001C1A9C">
        <w:rPr>
          <w:rFonts w:ascii="Calibri" w:hAnsi="Calibri"/>
          <w:noProof/>
          <w:color w:val="auto"/>
          <w:sz w:val="22"/>
          <w:szCs w:val="22"/>
        </w:rPr>
        <w:fldChar w:fldCharType="separate"/>
      </w:r>
      <w:r w:rsidR="0067689E">
        <w:rPr>
          <w:rFonts w:ascii="Calibri" w:hAnsi="Calibri"/>
          <w:noProof/>
          <w:color w:val="auto"/>
          <w:sz w:val="22"/>
          <w:szCs w:val="22"/>
        </w:rPr>
        <w:fldChar w:fldCharType="begin"/>
      </w:r>
      <w:r w:rsidR="0067689E">
        <w:rPr>
          <w:rFonts w:ascii="Calibri" w:hAnsi="Calibri"/>
          <w:noProof/>
          <w:color w:val="auto"/>
          <w:sz w:val="22"/>
          <w:szCs w:val="22"/>
        </w:rPr>
        <w:instrText xml:space="preserve"> INCLUDEPICTURE  "cid:image002.png@01D2F643.09CEDF80" \* MERGEFORMATINET </w:instrText>
      </w:r>
      <w:r w:rsidR="0067689E">
        <w:rPr>
          <w:rFonts w:ascii="Calibri" w:hAnsi="Calibri"/>
          <w:noProof/>
          <w:color w:val="auto"/>
          <w:sz w:val="22"/>
          <w:szCs w:val="22"/>
        </w:rPr>
        <w:fldChar w:fldCharType="separate"/>
      </w:r>
      <w:r w:rsidR="00A63309">
        <w:rPr>
          <w:rFonts w:ascii="Calibri" w:hAnsi="Calibri"/>
          <w:noProof/>
          <w:color w:val="auto"/>
          <w:sz w:val="22"/>
          <w:szCs w:val="22"/>
        </w:rPr>
        <w:fldChar w:fldCharType="begin"/>
      </w:r>
      <w:r w:rsidR="00A63309">
        <w:rPr>
          <w:rFonts w:ascii="Calibri" w:hAnsi="Calibri"/>
          <w:noProof/>
          <w:color w:val="auto"/>
          <w:sz w:val="22"/>
          <w:szCs w:val="22"/>
        </w:rPr>
        <w:instrText xml:space="preserve"> INCLUDEPICTURE  "cid:image002.png@01D2F643.09CEDF80" \* MERGEFORMATINET </w:instrText>
      </w:r>
      <w:r w:rsidR="00A63309">
        <w:rPr>
          <w:rFonts w:ascii="Calibri" w:hAnsi="Calibri"/>
          <w:noProof/>
          <w:color w:val="auto"/>
          <w:sz w:val="22"/>
          <w:szCs w:val="22"/>
        </w:rPr>
        <w:fldChar w:fldCharType="separate"/>
      </w:r>
      <w:r w:rsidR="00A63309">
        <w:rPr>
          <w:rFonts w:ascii="Calibri" w:hAnsi="Calibri"/>
          <w:noProof/>
          <w:color w:val="auto"/>
          <w:sz w:val="22"/>
          <w:szCs w:val="22"/>
        </w:rPr>
        <w:pict w14:anchorId="14726B82">
          <v:shape id="_x0000_i1032" type="#_x0000_t75" style="width:339.75pt;height:61.5pt;visibility:visible" o:bordertopcolor="#00b050" o:borderleftcolor="#00b050" o:borderbottomcolor="#00b050" o:borderrightcolor="#00b050">
            <v:imagedata r:id="rId17" r:href="rId18"/>
            <w10:bordertop type="single" width="6"/>
            <w10:borderleft type="single" width="6"/>
            <w10:borderbottom type="single" width="6"/>
            <w10:borderright type="single" width="6"/>
          </v:shape>
        </w:pict>
      </w:r>
      <w:r w:rsidR="00A63309">
        <w:rPr>
          <w:rFonts w:ascii="Calibri" w:hAnsi="Calibri"/>
          <w:noProof/>
          <w:color w:val="auto"/>
          <w:sz w:val="22"/>
          <w:szCs w:val="22"/>
        </w:rPr>
        <w:fldChar w:fldCharType="end"/>
      </w:r>
      <w:r w:rsidR="0067689E">
        <w:rPr>
          <w:rFonts w:ascii="Calibri" w:hAnsi="Calibri"/>
          <w:noProof/>
          <w:color w:val="auto"/>
          <w:sz w:val="22"/>
          <w:szCs w:val="22"/>
        </w:rPr>
        <w:fldChar w:fldCharType="end"/>
      </w:r>
      <w:r w:rsidR="001C1A9C">
        <w:rPr>
          <w:rFonts w:ascii="Calibri" w:hAnsi="Calibri"/>
          <w:noProof/>
          <w:color w:val="auto"/>
          <w:sz w:val="22"/>
          <w:szCs w:val="22"/>
        </w:rPr>
        <w:fldChar w:fldCharType="end"/>
      </w:r>
      <w:r>
        <w:rPr>
          <w:rFonts w:ascii="Calibri" w:hAnsi="Calibri"/>
          <w:noProof/>
          <w:color w:val="auto"/>
          <w:sz w:val="22"/>
          <w:szCs w:val="22"/>
        </w:rPr>
        <w:fldChar w:fldCharType="end"/>
      </w:r>
    </w:p>
    <w:p w14:paraId="63C6B56C" w14:textId="5BD19713"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The Working Group proposed a fix for this issue which was to cap all discounts at a maximum value of 100%. The modelling consultant was asked to confirm if the proposed solution could be produced to which it was confirmed that it could. The Working Group agreed to amend the legal text to align to the solution to cap all discounts to 100% and requested the modelling consultant</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0E4503" w14:paraId="24408366" w14:textId="77777777" w:rsidTr="0010396A">
        <w:tc>
          <w:tcPr>
            <w:tcW w:w="9572" w:type="dxa"/>
          </w:tcPr>
          <w:p w14:paraId="5F4CE6D6" w14:textId="0AC58FDF" w:rsidR="000E4503" w:rsidRPr="0010396A" w:rsidRDefault="000E4503" w:rsidP="00030D37">
            <w:pPr>
              <w:rPr>
                <w:b/>
              </w:rPr>
            </w:pPr>
            <w:bookmarkStart w:id="15" w:name="_Hlk494722052"/>
            <w:r w:rsidRPr="0010396A">
              <w:rPr>
                <w:b/>
              </w:rPr>
              <w:t>QUESTION</w:t>
            </w:r>
            <w:r w:rsidR="00697DA6" w:rsidRPr="0010396A">
              <w:rPr>
                <w:b/>
              </w:rPr>
              <w:t xml:space="preserve"> 6</w:t>
            </w:r>
            <w:r w:rsidRPr="0010396A">
              <w:rPr>
                <w:b/>
              </w:rPr>
              <w:t>: Do you agree that all discounts should be cap</w:t>
            </w:r>
            <w:r w:rsidR="00DC0632" w:rsidRPr="0010396A">
              <w:rPr>
                <w:b/>
              </w:rPr>
              <w:t>ped to a maximum of 100 percent?</w:t>
            </w:r>
            <w:r w:rsidRPr="0010396A">
              <w:rPr>
                <w:b/>
              </w:rPr>
              <w:t xml:space="preserve"> Please provide your rationale.</w:t>
            </w:r>
          </w:p>
        </w:tc>
      </w:tr>
    </w:tbl>
    <w:bookmarkEnd w:id="15"/>
    <w:p w14:paraId="16045EAC" w14:textId="129DAC04" w:rsidR="003D1D5F" w:rsidRPr="007E090F" w:rsidRDefault="000E4503">
      <w:r w:rsidRPr="0067689E" w:rsidDel="000E4503">
        <w:t xml:space="preserve"> </w:t>
      </w:r>
      <w:r w:rsidR="003D1D5F" w:rsidRPr="003D1D5F">
        <w:rPr>
          <w:rFonts w:ascii="Calibri" w:hAnsi="Calibri" w:cs="Arial"/>
          <w:b/>
          <w:bCs/>
          <w:iCs/>
          <w:sz w:val="22"/>
          <w:szCs w:val="22"/>
          <w:u w:val="single"/>
        </w:rPr>
        <w:t>‘LDNO EHV generation discounts’</w:t>
      </w:r>
    </w:p>
    <w:p w14:paraId="6F7CAA3A" w14:textId="45DCCF73"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An issue was raised in the commentary provided </w:t>
      </w:r>
      <w:r w:rsidR="006B5D84" w:rsidRPr="00030D37">
        <w:rPr>
          <w:color w:val="auto"/>
          <w:sz w:val="20"/>
          <w:szCs w:val="20"/>
        </w:rPr>
        <w:t>by</w:t>
      </w:r>
      <w:r w:rsidRPr="00030D37">
        <w:rPr>
          <w:color w:val="auto"/>
          <w:sz w:val="20"/>
          <w:szCs w:val="20"/>
        </w:rPr>
        <w:t xml:space="preserve"> the modelling consultant from the first impact assessment around disproportionate discounts for generation served by EHV LDNOs</w:t>
      </w:r>
      <w:r w:rsidR="006B5D84" w:rsidRPr="00030D37">
        <w:rPr>
          <w:color w:val="auto"/>
          <w:sz w:val="20"/>
          <w:szCs w:val="20"/>
        </w:rPr>
        <w:t>.</w:t>
      </w:r>
    </w:p>
    <w:p w14:paraId="1C9B7560" w14:textId="5592C96E" w:rsidR="003D1D5F" w:rsidRDefault="00EF21AE">
      <w:pPr>
        <w:ind w:left="576" w:right="-188"/>
      </w:pPr>
      <w:r>
        <w:rPr>
          <w:noProof/>
          <w:color w:val="1F497D"/>
        </w:rPr>
        <w:fldChar w:fldCharType="begin"/>
      </w:r>
      <w:r>
        <w:rPr>
          <w:noProof/>
          <w:color w:val="1F497D"/>
        </w:rPr>
        <w:instrText xml:space="preserve"> INCLUDEPICTURE  "cid:image004.png@01D2F643.09CEDF80" \* MERGEFORMATINET </w:instrText>
      </w:r>
      <w:r>
        <w:rPr>
          <w:noProof/>
          <w:color w:val="1F497D"/>
        </w:rPr>
        <w:fldChar w:fldCharType="separate"/>
      </w:r>
      <w:r w:rsidR="001C1A9C">
        <w:rPr>
          <w:noProof/>
          <w:color w:val="1F497D"/>
        </w:rPr>
        <w:fldChar w:fldCharType="begin"/>
      </w:r>
      <w:r w:rsidR="001C1A9C">
        <w:rPr>
          <w:noProof/>
          <w:color w:val="1F497D"/>
        </w:rPr>
        <w:instrText xml:space="preserve"> INCLUDEPICTURE  "cid:image004.png@01D2F643.09CEDF80" \* MERGEFORMATINET </w:instrText>
      </w:r>
      <w:r w:rsidR="001C1A9C">
        <w:rPr>
          <w:noProof/>
          <w:color w:val="1F497D"/>
        </w:rPr>
        <w:fldChar w:fldCharType="separate"/>
      </w:r>
      <w:r w:rsidR="0067689E">
        <w:rPr>
          <w:noProof/>
          <w:color w:val="1F497D"/>
        </w:rPr>
        <w:fldChar w:fldCharType="begin"/>
      </w:r>
      <w:r w:rsidR="0067689E">
        <w:rPr>
          <w:noProof/>
          <w:color w:val="1F497D"/>
        </w:rPr>
        <w:instrText xml:space="preserve"> INCLUDEPICTURE  "cid:image004.png@01D2F643.09CEDF80" \* MERGEFORMATINET </w:instrText>
      </w:r>
      <w:r w:rsidR="0067689E">
        <w:rPr>
          <w:noProof/>
          <w:color w:val="1F497D"/>
        </w:rPr>
        <w:fldChar w:fldCharType="separate"/>
      </w:r>
      <w:r w:rsidR="00A63309">
        <w:rPr>
          <w:noProof/>
          <w:color w:val="1F497D"/>
        </w:rPr>
        <w:fldChar w:fldCharType="begin"/>
      </w:r>
      <w:r w:rsidR="00A63309">
        <w:rPr>
          <w:noProof/>
          <w:color w:val="1F497D"/>
        </w:rPr>
        <w:instrText xml:space="preserve"> INCLUDEPICTURE  "cid:image004.png@01D2F643.09CEDF80" \* MERGEFORMATINET </w:instrText>
      </w:r>
      <w:r w:rsidR="00A63309">
        <w:rPr>
          <w:noProof/>
          <w:color w:val="1F497D"/>
        </w:rPr>
        <w:fldChar w:fldCharType="separate"/>
      </w:r>
      <w:r w:rsidR="00A63309">
        <w:rPr>
          <w:noProof/>
          <w:color w:val="1F497D"/>
        </w:rPr>
        <w:pict w14:anchorId="05CEE119">
          <v:shape id="_x0000_i1033" type="#_x0000_t75" style="width:378pt;height:102pt;visibility:visible" o:bordertopcolor="#00b050" o:borderleftcolor="#00b050" o:borderbottomcolor="#00b050" o:borderrightcolor="#00b050">
            <v:imagedata r:id="rId19" r:href="rId20"/>
            <w10:bordertop type="single" width="6"/>
            <w10:borderleft type="single" width="6"/>
            <w10:borderbottom type="single" width="6"/>
            <w10:borderright type="single" width="6"/>
          </v:shape>
        </w:pict>
      </w:r>
      <w:r w:rsidR="00A63309">
        <w:rPr>
          <w:noProof/>
          <w:color w:val="1F497D"/>
        </w:rPr>
        <w:fldChar w:fldCharType="end"/>
      </w:r>
      <w:r w:rsidR="0067689E">
        <w:rPr>
          <w:noProof/>
          <w:color w:val="1F497D"/>
        </w:rPr>
        <w:fldChar w:fldCharType="end"/>
      </w:r>
      <w:r w:rsidR="001C1A9C">
        <w:rPr>
          <w:noProof/>
          <w:color w:val="1F497D"/>
        </w:rPr>
        <w:fldChar w:fldCharType="end"/>
      </w:r>
      <w:r>
        <w:rPr>
          <w:noProof/>
          <w:color w:val="1F497D"/>
        </w:rPr>
        <w:fldChar w:fldCharType="end"/>
      </w:r>
    </w:p>
    <w:p w14:paraId="12F2928F" w14:textId="77777777"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Groups response to this issue was to confirm that they are not looking to change the principle being applied for LDNO discounts with respect to generation end user tariffs i.e. where the current methodology (whether CDCM or EDCM) reduces the credit by a % for LDNO generation end users, then under DCP 266 the credit should be reduced by a p/kWh – calculated in a manner consistent with the way in which the % discount is calculated. It was noted that the intent of DCP </w:t>
      </w:r>
      <w:r w:rsidRPr="00030D37">
        <w:rPr>
          <w:color w:val="auto"/>
          <w:sz w:val="20"/>
          <w:szCs w:val="20"/>
        </w:rPr>
        <w:lastRenderedPageBreak/>
        <w:t xml:space="preserve">266 was clear in seeking to move from applying the credits as a % to applying them as a p/kWh, not to reverse the way they were also applied to generation. </w:t>
      </w:r>
    </w:p>
    <w:p w14:paraId="7EED31A4" w14:textId="1B57C0B3" w:rsidR="003D1D5F"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The modelling consultant was asked to confirm if the proposed solution could be produced to which it was noted that it is possible to apply the calculated discounts in p/kWh as negative discounts, so that any CDCM generation credits would be reduced by the discount percentages. The Working Group agreed amend the legal text to align to the solution and noted that paragraph 46 of Schedule XX has been amended to incorporate the proposed solution.</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A63309" w:rsidRPr="0010396A" w14:paraId="3F61C736" w14:textId="77777777" w:rsidTr="0010396A">
        <w:tc>
          <w:tcPr>
            <w:tcW w:w="9572" w:type="dxa"/>
          </w:tcPr>
          <w:p w14:paraId="17374BC0" w14:textId="5A6253BE" w:rsidR="00A63309" w:rsidRPr="0010396A" w:rsidRDefault="00A63309" w:rsidP="00A63309">
            <w:pPr>
              <w:rPr>
                <w:b/>
              </w:rPr>
            </w:pPr>
            <w:r w:rsidRPr="0010396A">
              <w:rPr>
                <w:b/>
              </w:rPr>
              <w:t>QUESTION 7: Do you agree with the approach used by the Working Group to address ‘LDNO EHV generation discounts’</w:t>
            </w:r>
            <w:r w:rsidR="003317B3" w:rsidRPr="0010396A">
              <w:rPr>
                <w:b/>
              </w:rPr>
              <w:t xml:space="preserve"> which is to </w:t>
            </w:r>
            <w:r w:rsidR="003317B3" w:rsidRPr="0010396A">
              <w:rPr>
                <w:b/>
                <w:szCs w:val="20"/>
              </w:rPr>
              <w:t>apply the calculated discounts in p/kWh as negative discounts, so that any CDCM generation credits would be reduc</w:t>
            </w:r>
            <w:r w:rsidR="003317B3" w:rsidRPr="0010396A">
              <w:rPr>
                <w:b/>
                <w:szCs w:val="20"/>
              </w:rPr>
              <w:t>ed by the discount percentages</w:t>
            </w:r>
            <w:r w:rsidR="003317B3" w:rsidRPr="0010396A">
              <w:rPr>
                <w:b/>
              </w:rPr>
              <w:t>? Please provide any rationale with your response.</w:t>
            </w:r>
          </w:p>
        </w:tc>
      </w:tr>
    </w:tbl>
    <w:p w14:paraId="149AD5EF" w14:textId="77777777" w:rsidR="00697DA6" w:rsidRPr="00030D37" w:rsidRDefault="00697DA6" w:rsidP="00030D37"/>
    <w:p w14:paraId="439660E1" w14:textId="5E077E9F" w:rsidR="006B5D84" w:rsidRPr="00030D37" w:rsidRDefault="006B5D84" w:rsidP="00030D37">
      <w:pPr>
        <w:rPr>
          <w:b/>
        </w:rPr>
      </w:pPr>
      <w:r w:rsidRPr="00030D37">
        <w:rPr>
          <w:b/>
        </w:rPr>
        <w:t xml:space="preserve">Other Considerations </w:t>
      </w:r>
    </w:p>
    <w:p w14:paraId="455AE700" w14:textId="48D57E33" w:rsidR="009C2853" w:rsidRPr="00030D37" w:rsidRDefault="009C2853" w:rsidP="00FE4E0A">
      <w:pPr>
        <w:pStyle w:val="Heading2"/>
        <w:keepNext w:val="0"/>
        <w:numPr>
          <w:ilvl w:val="1"/>
          <w:numId w:val="14"/>
        </w:numPr>
        <w:spacing w:before="240" w:after="60" w:line="360" w:lineRule="auto"/>
        <w:jc w:val="both"/>
        <w:rPr>
          <w:color w:val="auto"/>
          <w:sz w:val="20"/>
          <w:szCs w:val="20"/>
        </w:rPr>
      </w:pPr>
      <w:r w:rsidRPr="00030D37">
        <w:rPr>
          <w:color w:val="auto"/>
          <w:sz w:val="20"/>
          <w:szCs w:val="20"/>
        </w:rPr>
        <w:t>During a review of the legal text, references to IDNO were updated to LDNO and the Working Group noted that if DCP 252</w:t>
      </w:r>
      <w:r w:rsidR="006B5D84" w:rsidRPr="00030D37">
        <w:rPr>
          <w:color w:val="auto"/>
          <w:sz w:val="20"/>
          <w:szCs w:val="20"/>
        </w:rPr>
        <w:t xml:space="preserve"> ‘</w:t>
      </w:r>
      <w:r w:rsidR="00FE4E0A" w:rsidRPr="00FE4E0A">
        <w:rPr>
          <w:color w:val="auto"/>
          <w:sz w:val="20"/>
          <w:szCs w:val="20"/>
        </w:rPr>
        <w:t>Clarification And Extension Of The Application Of Portfolio Tariffs Under The EDCM</w:t>
      </w:r>
      <w:r w:rsidR="00FE4E0A">
        <w:rPr>
          <w:color w:val="auto"/>
          <w:sz w:val="20"/>
          <w:szCs w:val="20"/>
        </w:rPr>
        <w:t xml:space="preserve">’ </w:t>
      </w:r>
      <w:r w:rsidR="006B5D84" w:rsidRPr="00030D37">
        <w:rPr>
          <w:color w:val="auto"/>
          <w:sz w:val="20"/>
          <w:szCs w:val="20"/>
        </w:rPr>
        <w:t>was</w:t>
      </w:r>
      <w:r w:rsidRPr="00030D37">
        <w:rPr>
          <w:color w:val="auto"/>
          <w:sz w:val="20"/>
          <w:szCs w:val="20"/>
        </w:rPr>
        <w:t xml:space="preserve"> not approved </w:t>
      </w:r>
      <w:r w:rsidR="006B5D84" w:rsidRPr="00030D37">
        <w:rPr>
          <w:color w:val="auto"/>
          <w:sz w:val="20"/>
          <w:szCs w:val="20"/>
        </w:rPr>
        <w:t xml:space="preserve">and as such </w:t>
      </w:r>
      <w:r w:rsidRPr="00030D37">
        <w:rPr>
          <w:color w:val="auto"/>
          <w:sz w:val="20"/>
          <w:szCs w:val="20"/>
        </w:rPr>
        <w:t xml:space="preserve">a housekeeping change </w:t>
      </w:r>
      <w:r w:rsidR="006B5D84" w:rsidRPr="00030D37">
        <w:rPr>
          <w:color w:val="auto"/>
          <w:sz w:val="20"/>
          <w:szCs w:val="20"/>
        </w:rPr>
        <w:t>is being</w:t>
      </w:r>
      <w:r w:rsidRPr="00030D37">
        <w:rPr>
          <w:color w:val="auto"/>
          <w:sz w:val="20"/>
          <w:szCs w:val="20"/>
        </w:rPr>
        <w:t xml:space="preserve"> raised to correct the references. </w:t>
      </w:r>
    </w:p>
    <w:p w14:paraId="47E3C19F" w14:textId="4E61DF3D" w:rsidR="009C2853" w:rsidRPr="00030D37" w:rsidRDefault="009C2853" w:rsidP="00FE4E0A">
      <w:pPr>
        <w:pStyle w:val="Heading2"/>
        <w:keepNext w:val="0"/>
        <w:numPr>
          <w:ilvl w:val="1"/>
          <w:numId w:val="14"/>
        </w:numPr>
        <w:spacing w:before="240" w:after="60" w:line="360" w:lineRule="auto"/>
        <w:jc w:val="both"/>
        <w:rPr>
          <w:color w:val="auto"/>
          <w:sz w:val="20"/>
          <w:szCs w:val="20"/>
        </w:rPr>
      </w:pPr>
      <w:r w:rsidRPr="00030D37">
        <w:rPr>
          <w:color w:val="auto"/>
          <w:sz w:val="20"/>
          <w:szCs w:val="20"/>
        </w:rPr>
        <w:t>The Working Group also noted that the below sentence from paragraph 46A of the legal text may be impacted should DCP 268</w:t>
      </w:r>
      <w:r w:rsidR="006B5D84" w:rsidRPr="00030D37">
        <w:rPr>
          <w:color w:val="auto"/>
          <w:sz w:val="20"/>
          <w:szCs w:val="20"/>
        </w:rPr>
        <w:t xml:space="preserve"> ‘</w:t>
      </w:r>
      <w:r w:rsidR="00FE4E0A" w:rsidRPr="00FE4E0A">
        <w:rPr>
          <w:color w:val="auto"/>
          <w:sz w:val="20"/>
          <w:szCs w:val="20"/>
        </w:rPr>
        <w:t>DUoS Charging Using HH settlement data</w:t>
      </w:r>
      <w:r w:rsidR="00FE4E0A">
        <w:rPr>
          <w:color w:val="auto"/>
          <w:sz w:val="20"/>
          <w:szCs w:val="20"/>
        </w:rPr>
        <w:t xml:space="preserve">’ </w:t>
      </w:r>
      <w:r w:rsidRPr="00030D37">
        <w:rPr>
          <w:color w:val="auto"/>
          <w:sz w:val="20"/>
          <w:szCs w:val="20"/>
        </w:rPr>
        <w:t>be approved due to tariff name changes being introduced by DCP</w:t>
      </w:r>
      <w:r w:rsidR="006B5D84" w:rsidRPr="00030D37">
        <w:rPr>
          <w:color w:val="auto"/>
          <w:sz w:val="20"/>
          <w:szCs w:val="20"/>
        </w:rPr>
        <w:t xml:space="preserve"> </w:t>
      </w:r>
      <w:r w:rsidRPr="00030D37">
        <w:rPr>
          <w:color w:val="auto"/>
          <w:sz w:val="20"/>
          <w:szCs w:val="20"/>
        </w:rPr>
        <w:t xml:space="preserve">268. </w:t>
      </w:r>
    </w:p>
    <w:p w14:paraId="0787D28C" w14:textId="77777777" w:rsidR="009C2853" w:rsidRPr="00030D37" w:rsidRDefault="009C2853">
      <w:pPr>
        <w:pStyle w:val="Heading2"/>
        <w:keepNext w:val="0"/>
        <w:spacing w:before="240" w:after="60" w:line="360" w:lineRule="auto"/>
        <w:ind w:left="576"/>
        <w:jc w:val="both"/>
        <w:rPr>
          <w:i/>
          <w:color w:val="auto"/>
          <w:sz w:val="20"/>
          <w:szCs w:val="20"/>
        </w:rPr>
      </w:pPr>
      <w:r w:rsidRPr="00030D37">
        <w:rPr>
          <w:i/>
          <w:color w:val="auto"/>
          <w:sz w:val="20"/>
          <w:szCs w:val="20"/>
        </w:rPr>
        <w:t xml:space="preserve">“For this purposed the Domestic Two Rate and Domestic Restricted tariffs will be aggregated and the Small Non-Domestic Two Rate and Small Non-Domestic Restricted tariffs will be aggregated.” </w:t>
      </w:r>
    </w:p>
    <w:p w14:paraId="4D9989B8" w14:textId="5F4426FA" w:rsidR="007A56FA" w:rsidRPr="00030D37" w:rsidRDefault="009C2853">
      <w:pPr>
        <w:pStyle w:val="Heading2"/>
        <w:keepNext w:val="0"/>
        <w:numPr>
          <w:ilvl w:val="1"/>
          <w:numId w:val="14"/>
        </w:numPr>
        <w:spacing w:before="240" w:after="60" w:line="360" w:lineRule="auto"/>
        <w:jc w:val="both"/>
        <w:rPr>
          <w:color w:val="auto"/>
          <w:sz w:val="20"/>
          <w:szCs w:val="20"/>
        </w:rPr>
      </w:pPr>
      <w:r w:rsidRPr="00030D37">
        <w:rPr>
          <w:color w:val="auto"/>
          <w:sz w:val="20"/>
          <w:szCs w:val="20"/>
        </w:rPr>
        <w:t>The Working Group agreed that a comment should be added to the consultation to explain the potential impact that DCP</w:t>
      </w:r>
      <w:r w:rsidR="006B5D84" w:rsidRPr="00030D37">
        <w:rPr>
          <w:color w:val="auto"/>
          <w:sz w:val="20"/>
          <w:szCs w:val="20"/>
        </w:rPr>
        <w:t xml:space="preserve"> </w:t>
      </w:r>
      <w:r w:rsidRPr="00030D37">
        <w:rPr>
          <w:color w:val="auto"/>
          <w:sz w:val="20"/>
          <w:szCs w:val="20"/>
        </w:rPr>
        <w:t>268 may have on this change proposal.</w:t>
      </w:r>
    </w:p>
    <w:p w14:paraId="2E7D8A59" w14:textId="47870A5A" w:rsidR="001B3997" w:rsidRPr="00030D37" w:rsidRDefault="001B3997">
      <w:pPr>
        <w:pStyle w:val="Heading2"/>
        <w:keepNext w:val="0"/>
        <w:numPr>
          <w:ilvl w:val="1"/>
          <w:numId w:val="14"/>
        </w:numPr>
        <w:spacing w:before="240" w:after="60" w:line="360" w:lineRule="auto"/>
        <w:jc w:val="both"/>
        <w:rPr>
          <w:color w:val="auto"/>
          <w:sz w:val="20"/>
          <w:szCs w:val="20"/>
        </w:rPr>
      </w:pPr>
      <w:r w:rsidRPr="00030D37">
        <w:rPr>
          <w:color w:val="auto"/>
          <w:sz w:val="20"/>
          <w:szCs w:val="20"/>
        </w:rPr>
        <w:t>Following on from the Working Groups decisions on the areas noted above (</w:t>
      </w:r>
      <w:r w:rsidRPr="00030D37">
        <w:rPr>
          <w:color w:val="auto"/>
          <w:sz w:val="20"/>
          <w:szCs w:val="20"/>
          <w:highlight w:val="yellow"/>
        </w:rPr>
        <w:t>para</w:t>
      </w:r>
      <w:r w:rsidR="00F3084E">
        <w:rPr>
          <w:color w:val="auto"/>
          <w:sz w:val="20"/>
          <w:szCs w:val="20"/>
          <w:highlight w:val="yellow"/>
        </w:rPr>
        <w:t>graphs 4.26 to 4.34</w:t>
      </w:r>
      <w:r w:rsidRPr="00030D37">
        <w:rPr>
          <w:color w:val="auto"/>
          <w:sz w:val="20"/>
          <w:szCs w:val="20"/>
          <w:highlight w:val="yellow"/>
        </w:rPr>
        <w:t>)</w:t>
      </w:r>
      <w:r w:rsidRPr="00030D37">
        <w:rPr>
          <w:color w:val="auto"/>
          <w:sz w:val="20"/>
          <w:szCs w:val="20"/>
        </w:rPr>
        <w:t xml:space="preserve"> the group requested amended modelling be completed to incorporate the changes. The Working Group also requested a refreshed impact assessment as a result, the detail of which </w:t>
      </w:r>
      <w:r w:rsidR="00A63309">
        <w:rPr>
          <w:color w:val="auto"/>
          <w:sz w:val="20"/>
          <w:szCs w:val="20"/>
        </w:rPr>
        <w:t>is</w:t>
      </w:r>
      <w:r w:rsidR="00A63309" w:rsidRPr="00030D37">
        <w:rPr>
          <w:color w:val="auto"/>
          <w:sz w:val="20"/>
          <w:szCs w:val="20"/>
        </w:rPr>
        <w:t xml:space="preserve"> </w:t>
      </w:r>
      <w:r w:rsidRPr="00030D37">
        <w:rPr>
          <w:color w:val="auto"/>
          <w:sz w:val="20"/>
          <w:szCs w:val="20"/>
        </w:rPr>
        <w:t xml:space="preserve">located in Section 6 below. </w:t>
      </w:r>
    </w:p>
    <w:p w14:paraId="7FEB4A48" w14:textId="77777777" w:rsidR="00637868" w:rsidRDefault="00B52063" w:rsidP="00BA2166">
      <w:pPr>
        <w:pStyle w:val="Heading02"/>
        <w:keepNext w:val="0"/>
        <w:numPr>
          <w:ilvl w:val="0"/>
          <w:numId w:val="14"/>
        </w:numPr>
      </w:pPr>
      <w:bookmarkStart w:id="16" w:name="_Toc494981277"/>
      <w:r w:rsidRPr="00EB32BB">
        <w:t>Relevant Objectives</w:t>
      </w:r>
      <w:bookmarkEnd w:id="11"/>
      <w:bookmarkEnd w:id="12"/>
      <w:bookmarkEnd w:id="16"/>
    </w:p>
    <w:p w14:paraId="008DB774" w14:textId="77777777" w:rsidR="0077445C" w:rsidRDefault="00637868" w:rsidP="00BA2166">
      <w:pPr>
        <w:pStyle w:val="Heading2"/>
        <w:keepNext w:val="0"/>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Charging O</w:t>
      </w:r>
      <w:r w:rsidRPr="00F04DA2">
        <w:rPr>
          <w:b/>
          <w:iCs w:val="0"/>
          <w:sz w:val="24"/>
        </w:rPr>
        <w:t xml:space="preserve">bjectives </w:t>
      </w:r>
    </w:p>
    <w:p w14:paraId="57C38407" w14:textId="169F3986" w:rsidR="00637868" w:rsidRPr="00030D37" w:rsidRDefault="0077445C" w:rsidP="00BA2166">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 believes that </w:t>
      </w:r>
      <w:r w:rsidR="000D4F0F">
        <w:rPr>
          <w:color w:val="auto"/>
          <w:sz w:val="20"/>
          <w:szCs w:val="20"/>
        </w:rPr>
        <w:t xml:space="preserve">DCP 266 better facilitates </w:t>
      </w:r>
      <w:r w:rsidRPr="00030D37">
        <w:rPr>
          <w:color w:val="auto"/>
          <w:sz w:val="20"/>
          <w:szCs w:val="20"/>
        </w:rPr>
        <w:t>DCUSA Charging Objective 2 and General Objective 2</w:t>
      </w:r>
    </w:p>
    <w:tbl>
      <w:tblPr>
        <w:tblW w:w="9073" w:type="dxa"/>
        <w:tblInd w:w="577"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9073"/>
      </w:tblGrid>
      <w:tr w:rsidR="0077445C" w:rsidRPr="00EB32BB" w14:paraId="3DD24CC3" w14:textId="77777777" w:rsidTr="00030D37">
        <w:trPr>
          <w:trHeight w:val="57"/>
        </w:trPr>
        <w:tc>
          <w:tcPr>
            <w:tcW w:w="9073" w:type="dxa"/>
            <w:tcBorders>
              <w:left w:val="single" w:sz="8" w:space="0" w:color="CCE0DA"/>
              <w:bottom w:val="single" w:sz="8" w:space="0" w:color="CCE0DA"/>
              <w:right w:val="single" w:sz="8" w:space="0" w:color="CCE0DA"/>
            </w:tcBorders>
            <w:shd w:val="clear" w:color="auto" w:fill="CCE0DA"/>
            <w:vAlign w:val="center"/>
          </w:tcPr>
          <w:p w14:paraId="02ACE4CD" w14:textId="77777777" w:rsidR="0077445C" w:rsidRPr="0067689E" w:rsidRDefault="0077445C" w:rsidP="00BA2166">
            <w:pPr>
              <w:pStyle w:val="TableHeading"/>
              <w:rPr>
                <w:rFonts w:cs="Arial"/>
                <w:b/>
                <w:szCs w:val="20"/>
              </w:rPr>
            </w:pPr>
            <w:r w:rsidRPr="0067689E">
              <w:rPr>
                <w:rFonts w:cs="Arial"/>
                <w:b/>
                <w:szCs w:val="20"/>
              </w:rPr>
              <w:lastRenderedPageBreak/>
              <w:t>Impact of the Change Proposal on the Relevant Objectives:</w:t>
            </w:r>
          </w:p>
        </w:tc>
      </w:tr>
      <w:tr w:rsidR="000D4F0F" w:rsidRPr="00EB32BB" w14:paraId="1DF35E52" w14:textId="77777777" w:rsidTr="00697DA6">
        <w:trPr>
          <w:trHeight w:val="57"/>
        </w:trPr>
        <w:tc>
          <w:tcPr>
            <w:tcW w:w="9073" w:type="dxa"/>
            <w:tcBorders>
              <w:top w:val="single" w:sz="8" w:space="0" w:color="CCE0DA"/>
              <w:left w:val="single" w:sz="8" w:space="0" w:color="CCE0DA"/>
              <w:bottom w:val="single" w:sz="8" w:space="0" w:color="CCE0DA"/>
            </w:tcBorders>
          </w:tcPr>
          <w:p w14:paraId="3774FBF9" w14:textId="435D1E1F" w:rsidR="000D4F0F" w:rsidRPr="0067689E" w:rsidRDefault="000D4F0F" w:rsidP="00BA2166">
            <w:pPr>
              <w:ind w:left="113" w:right="113"/>
              <w:rPr>
                <w:rFonts w:cs="Arial"/>
                <w:szCs w:val="20"/>
              </w:rPr>
            </w:pPr>
            <w:r w:rsidRPr="009B3DE7">
              <w:rPr>
                <w:rFonts w:cs="Arial"/>
                <w:b/>
                <w:bCs/>
                <w:color w:val="008576"/>
                <w:szCs w:val="20"/>
              </w:rPr>
              <w:t>Relevant Objective</w:t>
            </w:r>
          </w:p>
        </w:tc>
      </w:tr>
      <w:tr w:rsidR="000D4F0F" w:rsidRPr="00EB32BB" w14:paraId="2886278B" w14:textId="77777777" w:rsidTr="00697DA6">
        <w:trPr>
          <w:trHeight w:val="57"/>
        </w:trPr>
        <w:tc>
          <w:tcPr>
            <w:tcW w:w="9073" w:type="dxa"/>
            <w:tcBorders>
              <w:left w:val="single" w:sz="8" w:space="0" w:color="CCE0DA"/>
            </w:tcBorders>
          </w:tcPr>
          <w:p w14:paraId="6E9D4D75" w14:textId="77777777" w:rsidR="000D4F0F" w:rsidRPr="00030D37" w:rsidRDefault="000D4F0F" w:rsidP="00030D37">
            <w:pPr>
              <w:spacing w:before="0" w:after="0"/>
              <w:ind w:left="113"/>
              <w:rPr>
                <w:rFonts w:cs="Arial"/>
                <w:szCs w:val="20"/>
                <w:u w:val="single"/>
              </w:rPr>
            </w:pPr>
            <w:r w:rsidRPr="00030D37">
              <w:rPr>
                <w:rFonts w:cs="Arial"/>
                <w:szCs w:val="20"/>
                <w:u w:val="single"/>
              </w:rPr>
              <w:t>Charging Objective 2: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104E57AC" w14:textId="77777777" w:rsidR="000D4F0F" w:rsidRPr="00030D37" w:rsidRDefault="000D4F0F" w:rsidP="00BA2166">
            <w:pPr>
              <w:spacing w:before="0" w:after="0"/>
              <w:ind w:left="113"/>
              <w:rPr>
                <w:rFonts w:cs="Arial"/>
                <w:szCs w:val="20"/>
              </w:rPr>
            </w:pPr>
          </w:p>
        </w:tc>
      </w:tr>
      <w:tr w:rsidR="000D4F0F" w:rsidRPr="00EB32BB" w14:paraId="61DB86B0" w14:textId="77777777" w:rsidTr="00697DA6">
        <w:trPr>
          <w:trHeight w:val="57"/>
        </w:trPr>
        <w:tc>
          <w:tcPr>
            <w:tcW w:w="9073" w:type="dxa"/>
            <w:tcBorders>
              <w:left w:val="single" w:sz="8" w:space="0" w:color="CCE0DA"/>
            </w:tcBorders>
          </w:tcPr>
          <w:p w14:paraId="5E85F448" w14:textId="77777777" w:rsidR="000D4F0F" w:rsidRDefault="000D4F0F" w:rsidP="00BA2166">
            <w:pPr>
              <w:spacing w:before="0" w:after="0"/>
              <w:ind w:left="113"/>
              <w:rPr>
                <w:rFonts w:cs="Arial"/>
                <w:szCs w:val="20"/>
                <w:u w:val="single"/>
              </w:rPr>
            </w:pPr>
            <w:r w:rsidRPr="00030D37">
              <w:rPr>
                <w:rFonts w:cs="Arial"/>
                <w:szCs w:val="20"/>
                <w:u w:val="single"/>
              </w:rPr>
              <w:t>DCUSA General Objective 2: The facilitation of effective competition in the generation and supply of electricity and (so far as is consistent therewith) the promotion of such competition in the sale, distribution and purchase of electricity</w:t>
            </w:r>
          </w:p>
          <w:p w14:paraId="6A5534E8" w14:textId="54766ED0" w:rsidR="000D4F0F" w:rsidRPr="00030D37" w:rsidRDefault="000D4F0F" w:rsidP="00BA2166">
            <w:pPr>
              <w:spacing w:before="0" w:after="0"/>
              <w:ind w:left="113"/>
              <w:rPr>
                <w:rFonts w:cs="Arial"/>
                <w:szCs w:val="20"/>
              </w:rPr>
            </w:pPr>
          </w:p>
        </w:tc>
      </w:tr>
    </w:tbl>
    <w:p w14:paraId="3DCB090C" w14:textId="479688F2" w:rsidR="00034DDE" w:rsidRDefault="00034DDE" w:rsidP="00BA2166">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 believes that the DCUSA General Objective 2 and DCUSA Charging Objective 2 will be better facilitated by reducing or removing the current distortion in the absolute level of total avoided cost discount received by LDNOs by ensuring that the absolute total cost discount calculated in the PCDM is not affected by the CDCM methodology for ATW tariffs or changes to it. There is currently a logical defect in the approach to calculating and applying LDNO discounts which results in LDNO charges which do not reflect </w:t>
      </w:r>
      <w:r w:rsidRPr="00030D37">
        <w:rPr>
          <w:i/>
          <w:color w:val="auto"/>
          <w:sz w:val="20"/>
          <w:szCs w:val="20"/>
        </w:rPr>
        <w:t>“a reasonable allocation of total costs to the elements of the DNOs business that are being undertaken by the IDNO”</w:t>
      </w:r>
      <w:r w:rsidRPr="00030D37">
        <w:rPr>
          <w:color w:val="auto"/>
          <w:sz w:val="20"/>
          <w:szCs w:val="20"/>
        </w:rPr>
        <w:t>. DCP 266 removes this defect and by ensuring that the p/kWh discounts received by LDNOs remains aligned with the absolute level of avoided costs calculated in the PCDM, this change will promote competition in the distribution of electricity. The absolute level of discount (p/kWh) received by LDNOs is also likely to be more stable and predictable since it will be protected from the impact of any changes to the methodology for ATW CDCM tariffs, which will also promote competition in the distribution of electricity.</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9B3DE7" w:rsidRPr="0010396A" w14:paraId="2BED56A0" w14:textId="77777777" w:rsidTr="0010396A">
        <w:tc>
          <w:tcPr>
            <w:tcW w:w="9572" w:type="dxa"/>
          </w:tcPr>
          <w:p w14:paraId="13A13EA7" w14:textId="6F1EAED8" w:rsidR="009B3DE7" w:rsidRPr="0010396A" w:rsidRDefault="009B3DE7" w:rsidP="00697DA6">
            <w:pPr>
              <w:rPr>
                <w:b/>
              </w:rPr>
            </w:pPr>
            <w:r w:rsidRPr="0010396A">
              <w:rPr>
                <w:b/>
              </w:rPr>
              <w:t>QUESTION</w:t>
            </w:r>
            <w:r w:rsidR="003317B3" w:rsidRPr="0010396A">
              <w:rPr>
                <w:b/>
              </w:rPr>
              <w:t xml:space="preserve"> 8</w:t>
            </w:r>
            <w:r w:rsidRPr="0010396A">
              <w:rPr>
                <w:b/>
              </w:rPr>
              <w:t xml:space="preserve">: </w:t>
            </w:r>
            <w:r w:rsidR="00FE4E0A" w:rsidRPr="0010396A">
              <w:rPr>
                <w:b/>
              </w:rPr>
              <w:t xml:space="preserve">Do you consider that the proposal better facilitates the DCUSA Charging Objectives? </w:t>
            </w:r>
            <w:r w:rsidR="00F3084E" w:rsidRPr="0010396A">
              <w:rPr>
                <w:b/>
              </w:rPr>
              <w:t>If you do, p</w:t>
            </w:r>
            <w:r w:rsidR="00FE4E0A" w:rsidRPr="0010396A">
              <w:rPr>
                <w:b/>
              </w:rPr>
              <w:t xml:space="preserve">lease </w:t>
            </w:r>
            <w:r w:rsidR="00F3084E" w:rsidRPr="0010396A">
              <w:rPr>
                <w:b/>
              </w:rPr>
              <w:t xml:space="preserve">detail which of the Charging Objectives is better facilitated by DCP 266 and provide your </w:t>
            </w:r>
            <w:r w:rsidR="00952B1F" w:rsidRPr="0010396A">
              <w:rPr>
                <w:b/>
              </w:rPr>
              <w:t>rationale.</w:t>
            </w:r>
          </w:p>
        </w:tc>
      </w:tr>
    </w:tbl>
    <w:p w14:paraId="3126D58C" w14:textId="77777777" w:rsidR="00637868" w:rsidRPr="00107B64" w:rsidRDefault="006D75CD" w:rsidP="00637868">
      <w:pPr>
        <w:pStyle w:val="Heading02"/>
        <w:numPr>
          <w:ilvl w:val="0"/>
          <w:numId w:val="14"/>
        </w:numPr>
        <w:rPr>
          <w:noProof/>
          <w:szCs w:val="28"/>
        </w:rPr>
      </w:pPr>
      <w:bookmarkStart w:id="17" w:name="_Toc318962138"/>
      <w:bookmarkStart w:id="18" w:name="_Toc453107802"/>
      <w:bookmarkStart w:id="19" w:name="_Toc494981278"/>
      <w:r w:rsidRPr="00107B64">
        <w:rPr>
          <w:noProof/>
          <w:szCs w:val="28"/>
        </w:rPr>
        <w:t xml:space="preserve">Impacts </w:t>
      </w:r>
      <w:r w:rsidR="0077445C" w:rsidRPr="00107B64">
        <w:rPr>
          <w:noProof/>
          <w:szCs w:val="28"/>
        </w:rPr>
        <w:t>&amp; other considerations</w:t>
      </w:r>
      <w:bookmarkEnd w:id="17"/>
      <w:bookmarkEnd w:id="18"/>
      <w:bookmarkEnd w:id="19"/>
    </w:p>
    <w:p w14:paraId="39DB1A93" w14:textId="77777777" w:rsidR="00797A08" w:rsidRPr="00EB32BB" w:rsidRDefault="00797A08" w:rsidP="00797A08">
      <w:pPr>
        <w:pStyle w:val="Heading4"/>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Does this 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5BBB4353" w14:textId="6A6A2B02" w:rsidR="00C07C19" w:rsidRPr="00C07C19" w:rsidRDefault="00C07C19" w:rsidP="00030D37">
      <w:pPr>
        <w:pStyle w:val="Heading2"/>
        <w:keepNext w:val="0"/>
        <w:numPr>
          <w:ilvl w:val="1"/>
          <w:numId w:val="14"/>
        </w:numPr>
        <w:spacing w:before="240" w:after="60" w:line="360" w:lineRule="auto"/>
        <w:jc w:val="both"/>
        <w:rPr>
          <w:color w:val="auto"/>
          <w:sz w:val="20"/>
          <w:szCs w:val="20"/>
        </w:rPr>
      </w:pPr>
      <w:r w:rsidRPr="00444B6E">
        <w:rPr>
          <w:color w:val="auto"/>
          <w:sz w:val="20"/>
          <w:szCs w:val="20"/>
        </w:rPr>
        <w:t>The Working Group does not consider at this stage, there to be any</w:t>
      </w:r>
      <w:r w:rsidRPr="008C0B7B">
        <w:rPr>
          <w:color w:val="auto"/>
          <w:sz w:val="20"/>
          <w:szCs w:val="20"/>
        </w:rPr>
        <w:t xml:space="preserve"> cross-code impact.</w:t>
      </w:r>
    </w:p>
    <w:p w14:paraId="2DAB2261" w14:textId="61368CAF" w:rsidR="00C07C19" w:rsidRDefault="00C07C19" w:rsidP="00030D37">
      <w:pPr>
        <w:pStyle w:val="Heading2"/>
        <w:keepNext w:val="0"/>
        <w:numPr>
          <w:ilvl w:val="1"/>
          <w:numId w:val="61"/>
        </w:numPr>
        <w:spacing w:before="240" w:after="60" w:line="360" w:lineRule="auto"/>
        <w:jc w:val="both"/>
        <w:rPr>
          <w:color w:val="auto"/>
          <w:sz w:val="20"/>
          <w:szCs w:val="20"/>
        </w:rPr>
      </w:pPr>
      <w:r>
        <w:rPr>
          <w:color w:val="auto"/>
          <w:sz w:val="20"/>
          <w:szCs w:val="20"/>
        </w:rPr>
        <w:t>The Working Group discussed whether it would be better if the intent of this change is reviewed as part of Ofgem’s SCR or the wider CDCM/EDCM Review.</w:t>
      </w:r>
    </w:p>
    <w:p w14:paraId="1952A3FB" w14:textId="7B529E73" w:rsidR="00C07C19" w:rsidRDefault="00C07C19" w:rsidP="00030D37">
      <w:pPr>
        <w:pStyle w:val="Heading2"/>
        <w:keepNext w:val="0"/>
        <w:numPr>
          <w:ilvl w:val="1"/>
          <w:numId w:val="61"/>
        </w:numPr>
        <w:spacing w:before="240" w:after="60" w:line="360" w:lineRule="auto"/>
        <w:jc w:val="both"/>
        <w:rPr>
          <w:sz w:val="20"/>
          <w:szCs w:val="20"/>
        </w:rPr>
      </w:pPr>
      <w:r>
        <w:rPr>
          <w:color w:val="auto"/>
          <w:sz w:val="20"/>
          <w:szCs w:val="20"/>
        </w:rPr>
        <w:t>The CDCM/EDCM review was split into two stages.  Stage One captured the issues and prioritised the areas that could be taken forward into Stage Two. These were</w:t>
      </w:r>
      <w:r>
        <w:rPr>
          <w:sz w:val="20"/>
          <w:szCs w:val="20"/>
        </w:rPr>
        <w:t xml:space="preserve">:  </w:t>
      </w:r>
    </w:p>
    <w:p w14:paraId="12698544" w14:textId="77777777" w:rsidR="00C07C19" w:rsidRDefault="00C07C19" w:rsidP="00030D37">
      <w:pPr>
        <w:ind w:firstLine="567"/>
        <w:rPr>
          <w:szCs w:val="20"/>
        </w:rPr>
      </w:pPr>
      <w:r>
        <w:rPr>
          <w:szCs w:val="20"/>
        </w:rPr>
        <w:lastRenderedPageBreak/>
        <w:t xml:space="preserve">a)  Type of Costing Model.  </w:t>
      </w:r>
    </w:p>
    <w:p w14:paraId="752A3434" w14:textId="77777777" w:rsidR="00C07C19" w:rsidRDefault="00C07C19" w:rsidP="00030D37">
      <w:pPr>
        <w:ind w:firstLine="567"/>
        <w:rPr>
          <w:szCs w:val="20"/>
        </w:rPr>
      </w:pPr>
      <w:r>
        <w:rPr>
          <w:szCs w:val="20"/>
        </w:rPr>
        <w:t xml:space="preserve">b)  Tariff Structures.  </w:t>
      </w:r>
    </w:p>
    <w:p w14:paraId="6F219910" w14:textId="77777777" w:rsidR="00C07C19" w:rsidRDefault="00C07C19" w:rsidP="00030D37">
      <w:pPr>
        <w:ind w:firstLine="567"/>
        <w:rPr>
          <w:szCs w:val="20"/>
        </w:rPr>
      </w:pPr>
      <w:r>
        <w:rPr>
          <w:szCs w:val="20"/>
        </w:rPr>
        <w:t xml:space="preserve">c)  LDNO Charging Arrangements.  </w:t>
      </w:r>
    </w:p>
    <w:p w14:paraId="76F9E37C" w14:textId="77777777" w:rsidR="00C07C19" w:rsidRDefault="00C07C19" w:rsidP="00030D37">
      <w:pPr>
        <w:ind w:firstLine="567"/>
        <w:rPr>
          <w:szCs w:val="20"/>
        </w:rPr>
      </w:pPr>
      <w:r>
        <w:rPr>
          <w:szCs w:val="20"/>
        </w:rPr>
        <w:t xml:space="preserve">d)  New Products (e.g. Storage).  </w:t>
      </w:r>
    </w:p>
    <w:p w14:paraId="6B9902CE" w14:textId="77777777" w:rsidR="00C07C19" w:rsidRDefault="00C07C19" w:rsidP="00030D37">
      <w:pPr>
        <w:ind w:firstLine="567"/>
      </w:pPr>
      <w:r>
        <w:t xml:space="preserve">e)  Combining the CDCM and EDCM Methodologies. </w:t>
      </w:r>
    </w:p>
    <w:p w14:paraId="680D954A" w14:textId="77777777" w:rsidR="00C07C19" w:rsidRDefault="00C07C19" w:rsidP="00030D37">
      <w:pPr>
        <w:pStyle w:val="Heading2"/>
        <w:keepNext w:val="0"/>
        <w:numPr>
          <w:ilvl w:val="1"/>
          <w:numId w:val="61"/>
        </w:numPr>
        <w:spacing w:before="240" w:after="60" w:line="360" w:lineRule="auto"/>
        <w:jc w:val="both"/>
        <w:rPr>
          <w:color w:val="auto"/>
          <w:sz w:val="20"/>
          <w:szCs w:val="20"/>
        </w:rPr>
      </w:pPr>
      <w:r>
        <w:rPr>
          <w:color w:val="auto"/>
          <w:sz w:val="20"/>
          <w:szCs w:val="20"/>
        </w:rPr>
        <w:t>Alongside launching the SCR, Ofgem announced that it is setting up a Charging Futures Forum (CFF), previously known as the Charging Coordination Group. The CFF will provide some guidance on how to progress the CDCM/EDCM Review, with work potentially recommencing later in 2017.</w:t>
      </w:r>
    </w:p>
    <w:p w14:paraId="4EDE59F1" w14:textId="4A7C5F8F" w:rsidR="00797A08" w:rsidRPr="00030D37" w:rsidRDefault="00C07C19" w:rsidP="00030D37">
      <w:pPr>
        <w:pStyle w:val="Heading2"/>
        <w:keepNext w:val="0"/>
        <w:numPr>
          <w:ilvl w:val="1"/>
          <w:numId w:val="61"/>
        </w:numPr>
        <w:spacing w:before="240" w:after="60" w:line="360" w:lineRule="auto"/>
        <w:jc w:val="both"/>
        <w:rPr>
          <w:color w:val="auto"/>
          <w:sz w:val="20"/>
          <w:szCs w:val="20"/>
        </w:rPr>
      </w:pPr>
      <w:r w:rsidRPr="00030D37">
        <w:rPr>
          <w:color w:val="auto"/>
          <w:sz w:val="20"/>
          <w:szCs w:val="20"/>
        </w:rPr>
        <w:t>The Working Group view at this stage is that the CDCM review is at high level at this stage and it is too early to determine whether this change will be impacted by it.</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9B3DE7" w14:paraId="66F1706B" w14:textId="77777777" w:rsidTr="0010396A">
        <w:tc>
          <w:tcPr>
            <w:tcW w:w="9572" w:type="dxa"/>
          </w:tcPr>
          <w:p w14:paraId="4E17179B" w14:textId="26656BF8" w:rsidR="009B3DE7" w:rsidRPr="00444B6E" w:rsidRDefault="009B3DE7" w:rsidP="00030D37">
            <w:bookmarkStart w:id="20" w:name="_Hlk494958236"/>
            <w:r>
              <w:t>QUESTION</w:t>
            </w:r>
            <w:r w:rsidR="003317B3">
              <w:t xml:space="preserve"> 9</w:t>
            </w:r>
            <w:r>
              <w:t xml:space="preserve">: </w:t>
            </w:r>
            <w:r w:rsidR="00952B1F">
              <w:t>Do you anticipate any associated impacts on the SCR or the CDCM/EDCM review by continuing to progress DCP 266? If so, what is the impact?</w:t>
            </w:r>
          </w:p>
        </w:tc>
      </w:tr>
    </w:tbl>
    <w:bookmarkEnd w:id="20"/>
    <w:p w14:paraId="432D55FB" w14:textId="77777777" w:rsidR="00797A08" w:rsidRPr="00EB32BB" w:rsidRDefault="00797A08" w:rsidP="0017137C">
      <w:pPr>
        <w:pStyle w:val="Heading4"/>
        <w:keepNext w:val="0"/>
        <w:keepLines w:val="0"/>
        <w:spacing w:before="120" w:after="0" w:line="240" w:lineRule="auto"/>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Impacts</w:t>
      </w:r>
    </w:p>
    <w:p w14:paraId="3D485972" w14:textId="6A3793A9" w:rsidR="00797A08" w:rsidRPr="007E090F" w:rsidRDefault="00797A08" w:rsidP="00C91B97">
      <w:pPr>
        <w:pStyle w:val="Heading2"/>
        <w:keepNext w:val="0"/>
        <w:numPr>
          <w:ilvl w:val="1"/>
          <w:numId w:val="14"/>
        </w:numPr>
        <w:spacing w:before="240" w:after="60" w:line="360" w:lineRule="auto"/>
        <w:jc w:val="both"/>
        <w:rPr>
          <w:color w:val="auto"/>
          <w:sz w:val="20"/>
          <w:szCs w:val="20"/>
        </w:rPr>
      </w:pPr>
      <w:r w:rsidRPr="001B3997">
        <w:rPr>
          <w:color w:val="auto"/>
          <w:sz w:val="20"/>
          <w:szCs w:val="20"/>
        </w:rPr>
        <w:t xml:space="preserve">The Working Group considered that this change would benefit from Parties being able to understand its impact in a modified </w:t>
      </w:r>
      <w:r w:rsidRPr="007E090F">
        <w:rPr>
          <w:color w:val="auto"/>
          <w:sz w:val="20"/>
          <w:szCs w:val="20"/>
        </w:rPr>
        <w:t>CDCM/EDCM/PCDM</w:t>
      </w:r>
      <w:r w:rsidRPr="001B3997">
        <w:rPr>
          <w:color w:val="auto"/>
          <w:sz w:val="20"/>
          <w:szCs w:val="20"/>
        </w:rPr>
        <w:t xml:space="preserve"> model with impact estimates. The DCP 266 Modelling documentation acts as Attachment </w:t>
      </w:r>
      <w:r w:rsidR="00FE4E0A">
        <w:rPr>
          <w:color w:val="auto"/>
          <w:sz w:val="20"/>
          <w:szCs w:val="20"/>
        </w:rPr>
        <w:t>4</w:t>
      </w:r>
      <w:r w:rsidRPr="001B3997">
        <w:rPr>
          <w:color w:val="auto"/>
          <w:sz w:val="20"/>
          <w:szCs w:val="20"/>
        </w:rPr>
        <w:t xml:space="preserve">. The </w:t>
      </w:r>
      <w:r w:rsidRPr="007E090F">
        <w:rPr>
          <w:color w:val="auto"/>
          <w:sz w:val="20"/>
          <w:szCs w:val="20"/>
        </w:rPr>
        <w:t>CDCM/EDCM/PCDM</w:t>
      </w:r>
      <w:r w:rsidRPr="001B3997">
        <w:rPr>
          <w:color w:val="auto"/>
          <w:sz w:val="20"/>
          <w:szCs w:val="20"/>
        </w:rPr>
        <w:t xml:space="preserve"> model</w:t>
      </w:r>
      <w:r w:rsidRPr="007E090F">
        <w:rPr>
          <w:color w:val="auto"/>
          <w:sz w:val="20"/>
          <w:szCs w:val="20"/>
        </w:rPr>
        <w:t>s</w:t>
      </w:r>
      <w:r w:rsidRPr="001B3997">
        <w:rPr>
          <w:color w:val="auto"/>
          <w:sz w:val="20"/>
          <w:szCs w:val="20"/>
        </w:rPr>
        <w:t xml:space="preserve"> have been modified to</w:t>
      </w:r>
      <w:r w:rsidR="005E4500">
        <w:rPr>
          <w:color w:val="auto"/>
          <w:sz w:val="20"/>
          <w:szCs w:val="20"/>
        </w:rPr>
        <w:t xml:space="preserve"> incorporate the proposed solution. </w:t>
      </w:r>
    </w:p>
    <w:p w14:paraId="1B9C4D66" w14:textId="77777777" w:rsidR="00797A08" w:rsidRDefault="00797A08" w:rsidP="00C91B97">
      <w:pPr>
        <w:pStyle w:val="Heading2"/>
        <w:keepNext w:val="0"/>
        <w:numPr>
          <w:ilvl w:val="1"/>
          <w:numId w:val="14"/>
        </w:numPr>
        <w:spacing w:before="240" w:after="60" w:line="360" w:lineRule="auto"/>
        <w:jc w:val="both"/>
        <w:rPr>
          <w:color w:val="auto"/>
          <w:sz w:val="20"/>
          <w:szCs w:val="20"/>
        </w:rPr>
      </w:pPr>
      <w:r w:rsidRPr="002F21E4">
        <w:rPr>
          <w:color w:val="auto"/>
          <w:sz w:val="20"/>
          <w:szCs w:val="20"/>
        </w:rPr>
        <w:t>DNO Working Group members have s</w:t>
      </w:r>
      <w:r>
        <w:rPr>
          <w:color w:val="auto"/>
          <w:sz w:val="20"/>
          <w:szCs w:val="20"/>
        </w:rPr>
        <w:t>uccessfully populated the DCP 266</w:t>
      </w:r>
      <w:r w:rsidRPr="002F21E4">
        <w:rPr>
          <w:color w:val="auto"/>
          <w:sz w:val="20"/>
          <w:szCs w:val="20"/>
        </w:rPr>
        <w:t xml:space="preserve"> CDCM</w:t>
      </w:r>
      <w:r>
        <w:rPr>
          <w:color w:val="auto"/>
          <w:sz w:val="20"/>
          <w:szCs w:val="20"/>
        </w:rPr>
        <w:t>/EDCM/PCDM</w:t>
      </w:r>
      <w:r w:rsidRPr="002F21E4">
        <w:rPr>
          <w:color w:val="auto"/>
          <w:sz w:val="20"/>
          <w:szCs w:val="20"/>
        </w:rPr>
        <w:t xml:space="preserve"> model</w:t>
      </w:r>
      <w:r>
        <w:rPr>
          <w:color w:val="auto"/>
          <w:sz w:val="20"/>
          <w:szCs w:val="20"/>
        </w:rPr>
        <w:t>s</w:t>
      </w:r>
      <w:r w:rsidRPr="002F21E4">
        <w:rPr>
          <w:color w:val="auto"/>
          <w:sz w:val="20"/>
          <w:szCs w:val="20"/>
        </w:rPr>
        <w:t xml:space="preserve"> and replicated the expected resulting outputs from this modified model. </w:t>
      </w:r>
    </w:p>
    <w:p w14:paraId="5651F382" w14:textId="77777777" w:rsidR="00797A08" w:rsidRPr="00A72466" w:rsidRDefault="00797A08" w:rsidP="00B23B91">
      <w:pPr>
        <w:spacing w:line="240" w:lineRule="auto"/>
        <w:ind w:left="578"/>
        <w:outlineLvl w:val="1"/>
        <w:rPr>
          <w:rFonts w:cs="Arial"/>
          <w:b/>
          <w:bCs/>
          <w:iCs/>
          <w:szCs w:val="20"/>
        </w:rPr>
      </w:pPr>
      <w:r>
        <w:rPr>
          <w:rFonts w:cs="Arial"/>
          <w:b/>
          <w:bCs/>
          <w:iCs/>
          <w:szCs w:val="20"/>
        </w:rPr>
        <w:t>Impact Assessment</w:t>
      </w:r>
    </w:p>
    <w:p w14:paraId="20F79792" w14:textId="7128B101" w:rsidR="00797A08" w:rsidRPr="00615FD0" w:rsidRDefault="00797A08" w:rsidP="00030D37">
      <w:pPr>
        <w:pStyle w:val="Heading2"/>
        <w:keepNext w:val="0"/>
        <w:numPr>
          <w:ilvl w:val="1"/>
          <w:numId w:val="14"/>
        </w:numPr>
        <w:spacing w:before="240" w:after="60" w:line="360" w:lineRule="auto"/>
        <w:jc w:val="both"/>
        <w:rPr>
          <w:color w:val="auto"/>
          <w:sz w:val="20"/>
          <w:szCs w:val="20"/>
        </w:rPr>
      </w:pPr>
      <w:r>
        <w:rPr>
          <w:color w:val="auto"/>
          <w:sz w:val="20"/>
          <w:szCs w:val="20"/>
        </w:rPr>
        <w:t xml:space="preserve">The Impact Assessment documentation acts as Attachment </w:t>
      </w:r>
      <w:r w:rsidR="00FE4E0A" w:rsidRPr="0010396A">
        <w:rPr>
          <w:color w:val="auto"/>
          <w:sz w:val="20"/>
          <w:szCs w:val="20"/>
        </w:rPr>
        <w:t>5</w:t>
      </w:r>
      <w:r>
        <w:rPr>
          <w:color w:val="auto"/>
          <w:sz w:val="20"/>
          <w:szCs w:val="20"/>
        </w:rPr>
        <w:t xml:space="preserve"> to this consultation. </w:t>
      </w:r>
      <w:r w:rsidRPr="005A447E">
        <w:rPr>
          <w:color w:val="auto"/>
          <w:sz w:val="20"/>
          <w:szCs w:val="20"/>
        </w:rPr>
        <w:t>The</w:t>
      </w:r>
      <w:r w:rsidRPr="00030D37">
        <w:rPr>
          <w:color w:val="auto"/>
          <w:sz w:val="20"/>
          <w:szCs w:val="20"/>
        </w:rPr>
        <w:t xml:space="preserve"> </w:t>
      </w:r>
      <w:r w:rsidRPr="00615FD0">
        <w:rPr>
          <w:color w:val="auto"/>
          <w:sz w:val="20"/>
          <w:szCs w:val="20"/>
        </w:rPr>
        <w:t>analysis compared</w:t>
      </w:r>
      <w:r>
        <w:rPr>
          <w:color w:val="auto"/>
          <w:sz w:val="20"/>
          <w:szCs w:val="20"/>
        </w:rPr>
        <w:t>,</w:t>
      </w:r>
      <w:r w:rsidRPr="00615FD0">
        <w:rPr>
          <w:color w:val="auto"/>
          <w:sz w:val="20"/>
          <w:szCs w:val="20"/>
        </w:rPr>
        <w:t xml:space="preserve"> LDNO discount percentages before and after </w:t>
      </w:r>
      <w:r>
        <w:rPr>
          <w:color w:val="auto"/>
          <w:sz w:val="20"/>
          <w:szCs w:val="20"/>
        </w:rPr>
        <w:t xml:space="preserve">DCP 266, and </w:t>
      </w:r>
      <w:r w:rsidRPr="00615FD0">
        <w:rPr>
          <w:color w:val="auto"/>
          <w:sz w:val="20"/>
          <w:szCs w:val="20"/>
        </w:rPr>
        <w:t>also looked at the impact of changing LDNO discounts on end user tariffs.</w:t>
      </w:r>
    </w:p>
    <w:p w14:paraId="557E919B" w14:textId="77777777" w:rsidR="00797A08" w:rsidRPr="00615FD0" w:rsidRDefault="00797A08" w:rsidP="0017137C">
      <w:pPr>
        <w:pStyle w:val="Heading2"/>
        <w:keepNext w:val="0"/>
        <w:numPr>
          <w:ilvl w:val="1"/>
          <w:numId w:val="14"/>
        </w:numPr>
        <w:spacing w:before="0" w:after="60" w:line="360" w:lineRule="auto"/>
        <w:jc w:val="both"/>
        <w:rPr>
          <w:color w:val="auto"/>
          <w:sz w:val="20"/>
          <w:szCs w:val="20"/>
        </w:rPr>
      </w:pPr>
      <w:r>
        <w:rPr>
          <w:color w:val="auto"/>
          <w:sz w:val="20"/>
          <w:szCs w:val="20"/>
        </w:rPr>
        <w:t xml:space="preserve">The </w:t>
      </w:r>
      <w:r w:rsidRPr="00615FD0">
        <w:rPr>
          <w:color w:val="auto"/>
          <w:sz w:val="20"/>
          <w:szCs w:val="20"/>
        </w:rPr>
        <w:t xml:space="preserve">full results of </w:t>
      </w:r>
      <w:r>
        <w:rPr>
          <w:color w:val="auto"/>
          <w:sz w:val="20"/>
          <w:szCs w:val="20"/>
        </w:rPr>
        <w:t>the analysis are set out in</w:t>
      </w:r>
      <w:r w:rsidRPr="00615FD0">
        <w:rPr>
          <w:color w:val="auto"/>
          <w:sz w:val="20"/>
          <w:szCs w:val="20"/>
        </w:rPr>
        <w:t xml:space="preserve"> the following set of documents:</w:t>
      </w:r>
    </w:p>
    <w:p w14:paraId="73A4D1C7" w14:textId="77777777" w:rsidR="00797A08" w:rsidRPr="00615FD0" w:rsidRDefault="00797A08" w:rsidP="0017137C">
      <w:pPr>
        <w:pStyle w:val="Heading2"/>
        <w:keepNext w:val="0"/>
        <w:spacing w:before="0" w:after="60" w:line="360" w:lineRule="auto"/>
        <w:ind w:left="1134" w:hanging="567"/>
        <w:jc w:val="both"/>
        <w:rPr>
          <w:color w:val="auto"/>
          <w:sz w:val="20"/>
          <w:szCs w:val="20"/>
        </w:rPr>
      </w:pPr>
      <w:r w:rsidRPr="00615FD0">
        <w:rPr>
          <w:color w:val="auto"/>
          <w:sz w:val="20"/>
          <w:szCs w:val="20"/>
        </w:rPr>
        <w:t>(a)</w:t>
      </w:r>
      <w:r w:rsidRPr="00615FD0">
        <w:rPr>
          <w:color w:val="auto"/>
          <w:sz w:val="20"/>
          <w:szCs w:val="20"/>
        </w:rPr>
        <w:tab/>
        <w:t>The file labelled Appendix 1 sets out the impact of DCP 266 on LDNO discount percentages for all combinations of boundary and end user tariffs. This includes both CDCM (method M) and EDCM (extended method M) discounts.</w:t>
      </w:r>
    </w:p>
    <w:p w14:paraId="1510C3C5" w14:textId="77777777" w:rsidR="00797A08" w:rsidRPr="00615FD0" w:rsidRDefault="00797A08" w:rsidP="0017137C">
      <w:pPr>
        <w:pStyle w:val="Heading2"/>
        <w:keepNext w:val="0"/>
        <w:spacing w:before="0" w:after="60" w:line="360" w:lineRule="auto"/>
        <w:ind w:left="1134" w:hanging="567"/>
        <w:jc w:val="both"/>
        <w:rPr>
          <w:color w:val="auto"/>
          <w:sz w:val="20"/>
          <w:szCs w:val="20"/>
        </w:rPr>
      </w:pPr>
      <w:r w:rsidRPr="00615FD0">
        <w:rPr>
          <w:color w:val="auto"/>
          <w:sz w:val="20"/>
          <w:szCs w:val="20"/>
        </w:rPr>
        <w:t>(b)</w:t>
      </w:r>
      <w:r w:rsidRPr="00615FD0">
        <w:rPr>
          <w:color w:val="auto"/>
          <w:sz w:val="20"/>
          <w:szCs w:val="20"/>
        </w:rPr>
        <w:tab/>
        <w:t xml:space="preserve">The file labelled Appendix 2 sets out the impact on LDNO discount percentages in a map form, showing differences in the impact between DNO areas (excluding SPEN). </w:t>
      </w:r>
    </w:p>
    <w:p w14:paraId="3F331570" w14:textId="77777777" w:rsidR="00797A08" w:rsidRDefault="00797A08" w:rsidP="0017137C">
      <w:pPr>
        <w:pStyle w:val="Heading2"/>
        <w:keepNext w:val="0"/>
        <w:spacing w:before="0" w:after="60" w:line="360" w:lineRule="auto"/>
        <w:ind w:left="1134" w:hanging="567"/>
        <w:jc w:val="both"/>
        <w:rPr>
          <w:color w:val="auto"/>
          <w:sz w:val="20"/>
          <w:szCs w:val="20"/>
        </w:rPr>
      </w:pPr>
      <w:r w:rsidRPr="00615FD0">
        <w:rPr>
          <w:color w:val="auto"/>
          <w:sz w:val="20"/>
          <w:szCs w:val="20"/>
        </w:rPr>
        <w:t>(c)</w:t>
      </w:r>
      <w:r w:rsidRPr="00615FD0">
        <w:rPr>
          <w:color w:val="auto"/>
          <w:sz w:val="20"/>
          <w:szCs w:val="20"/>
        </w:rPr>
        <w:tab/>
        <w:t>The folder labelled Appendix 3 contains three spreadsheets setting out the impact of DCP 266 on CDCM tariffs. This covers the impact on tariff components (unit rates, fixed charges, capacity charges etc), the impact on aggregate revenue by tariff and the impact on average revenue per tariff expressed in p/kWh.</w:t>
      </w:r>
      <w:r w:rsidRPr="005A447E">
        <w:rPr>
          <w:color w:val="auto"/>
          <w:sz w:val="20"/>
          <w:szCs w:val="20"/>
        </w:rPr>
        <w:t xml:space="preserve"> </w:t>
      </w:r>
    </w:p>
    <w:p w14:paraId="0B649E2C" w14:textId="55F772FA" w:rsidR="00797A08" w:rsidRPr="002812B6" w:rsidRDefault="00797A08" w:rsidP="0017137C">
      <w:pPr>
        <w:pStyle w:val="Heading2"/>
        <w:keepNext w:val="0"/>
        <w:numPr>
          <w:ilvl w:val="1"/>
          <w:numId w:val="14"/>
        </w:numPr>
        <w:spacing w:before="240" w:after="60" w:line="360" w:lineRule="auto"/>
        <w:jc w:val="both"/>
        <w:rPr>
          <w:color w:val="auto"/>
          <w:sz w:val="20"/>
          <w:szCs w:val="20"/>
        </w:rPr>
      </w:pPr>
      <w:r w:rsidRPr="002812B6">
        <w:rPr>
          <w:color w:val="auto"/>
          <w:sz w:val="20"/>
          <w:szCs w:val="20"/>
        </w:rPr>
        <w:lastRenderedPageBreak/>
        <w:t>Under the DCP 266 approach, the p/kWh margins calculated under the method M approach could be higher than the corresponding average CDCM end user tariff, which in turn could lead to discount percentages greater than 100 per cent. In such cases, the discount percentages are capped at 100 per cent.</w:t>
      </w:r>
      <w:r w:rsidR="00CD1499" w:rsidRPr="002812B6">
        <w:rPr>
          <w:color w:val="auto"/>
          <w:sz w:val="20"/>
          <w:szCs w:val="20"/>
        </w:rPr>
        <w:t xml:space="preserve"> </w:t>
      </w:r>
    </w:p>
    <w:p w14:paraId="4F1E3A8F" w14:textId="77777777" w:rsidR="003317EE" w:rsidRPr="002812B6" w:rsidRDefault="00797A08" w:rsidP="0017137C">
      <w:pPr>
        <w:pStyle w:val="Heading2"/>
        <w:keepNext w:val="0"/>
        <w:numPr>
          <w:ilvl w:val="1"/>
          <w:numId w:val="14"/>
        </w:numPr>
        <w:spacing w:before="240" w:after="60" w:line="360" w:lineRule="auto"/>
        <w:jc w:val="both"/>
        <w:rPr>
          <w:color w:val="auto"/>
          <w:sz w:val="20"/>
          <w:szCs w:val="20"/>
        </w:rPr>
      </w:pPr>
      <w:r w:rsidRPr="002812B6">
        <w:rPr>
          <w:color w:val="auto"/>
          <w:sz w:val="20"/>
          <w:szCs w:val="20"/>
        </w:rPr>
        <w:t xml:space="preserve">The DCP 266 approach does not allow the calculation of discount percentages in cases where forecast volumes for the corresponding all the way tariff in CDCM table 1053 are zero.  In such cases, the model defaults to a discount percentage of 100 per cent. </w:t>
      </w:r>
      <w:r w:rsidR="00CD1499" w:rsidRPr="002812B6">
        <w:rPr>
          <w:color w:val="auto"/>
          <w:sz w:val="20"/>
          <w:szCs w:val="20"/>
        </w:rPr>
        <w:t>The legal text mandates that a value will need to be populated</w:t>
      </w:r>
    </w:p>
    <w:p w14:paraId="69A3FC27" w14:textId="098E3D09" w:rsidR="00797A08" w:rsidRDefault="00797A08" w:rsidP="003D05AC">
      <w:pPr>
        <w:pStyle w:val="Heading2"/>
        <w:keepNext w:val="0"/>
        <w:numPr>
          <w:ilvl w:val="1"/>
          <w:numId w:val="14"/>
        </w:numPr>
        <w:spacing w:before="240" w:after="60" w:line="360" w:lineRule="auto"/>
        <w:jc w:val="both"/>
        <w:rPr>
          <w:color w:val="auto"/>
          <w:sz w:val="20"/>
          <w:szCs w:val="20"/>
        </w:rPr>
      </w:pPr>
      <w:r w:rsidRPr="00615FD0">
        <w:rPr>
          <w:color w:val="auto"/>
          <w:sz w:val="20"/>
          <w:szCs w:val="20"/>
        </w:rPr>
        <w:t>The following table</w:t>
      </w:r>
      <w:r w:rsidR="003317EE">
        <w:rPr>
          <w:color w:val="auto"/>
          <w:sz w:val="20"/>
          <w:szCs w:val="20"/>
        </w:rPr>
        <w:t>s</w:t>
      </w:r>
      <w:r w:rsidRPr="00615FD0">
        <w:rPr>
          <w:color w:val="auto"/>
          <w:sz w:val="20"/>
          <w:szCs w:val="20"/>
        </w:rPr>
        <w:t xml:space="preserve"> set out a summary of the impact of DCP 266 on </w:t>
      </w:r>
      <w:r w:rsidR="003317EE">
        <w:rPr>
          <w:color w:val="auto"/>
          <w:sz w:val="20"/>
          <w:szCs w:val="20"/>
        </w:rPr>
        <w:t xml:space="preserve">DNO Revenues and </w:t>
      </w:r>
      <w:r w:rsidRPr="00615FD0">
        <w:rPr>
          <w:color w:val="auto"/>
          <w:sz w:val="20"/>
          <w:szCs w:val="20"/>
        </w:rPr>
        <w:t xml:space="preserve">LDNO discount percentages for </w:t>
      </w:r>
      <w:r w:rsidR="00DC0632">
        <w:rPr>
          <w:color w:val="auto"/>
          <w:sz w:val="20"/>
          <w:szCs w:val="20"/>
        </w:rPr>
        <w:t xml:space="preserve">LV </w:t>
      </w:r>
      <w:r w:rsidR="003317EE">
        <w:rPr>
          <w:color w:val="auto"/>
          <w:sz w:val="20"/>
          <w:szCs w:val="20"/>
        </w:rPr>
        <w:t>Domestic Unrestricted tariffs in each DNO licence area</w:t>
      </w:r>
      <w:r w:rsidRPr="00615FD0">
        <w:rPr>
          <w:color w:val="auto"/>
          <w:sz w:val="20"/>
          <w:szCs w:val="20"/>
        </w:rPr>
        <w:t xml:space="preserve">. </w:t>
      </w:r>
    </w:p>
    <w:tbl>
      <w:tblPr>
        <w:tblW w:w="9445" w:type="dxa"/>
        <w:tblInd w:w="113" w:type="dxa"/>
        <w:tblLook w:val="04A0" w:firstRow="1" w:lastRow="0" w:firstColumn="1" w:lastColumn="0" w:noHBand="0" w:noVBand="1"/>
      </w:tblPr>
      <w:tblGrid>
        <w:gridCol w:w="2482"/>
        <w:gridCol w:w="1805"/>
        <w:gridCol w:w="1805"/>
        <w:gridCol w:w="1608"/>
        <w:gridCol w:w="1745"/>
      </w:tblGrid>
      <w:tr w:rsidR="00111A90" w:rsidRPr="00111A90" w14:paraId="47CB1495" w14:textId="77777777" w:rsidTr="00287844">
        <w:trPr>
          <w:trHeight w:val="596"/>
        </w:trPr>
        <w:tc>
          <w:tcPr>
            <w:tcW w:w="2482" w:type="dxa"/>
            <w:tcBorders>
              <w:top w:val="single" w:sz="4" w:space="0" w:color="70AD47"/>
              <w:left w:val="single" w:sz="4" w:space="0" w:color="70AD47"/>
              <w:bottom w:val="nil"/>
              <w:right w:val="nil"/>
            </w:tcBorders>
            <w:shd w:val="clear" w:color="000000" w:fill="EEDDFF"/>
            <w:vAlign w:val="center"/>
            <w:hideMark/>
          </w:tcPr>
          <w:p w14:paraId="370B1892" w14:textId="77777777" w:rsidR="00111A90" w:rsidRPr="00030D37" w:rsidRDefault="00111A90" w:rsidP="00111A90">
            <w:pPr>
              <w:spacing w:before="0" w:after="0" w:line="240" w:lineRule="auto"/>
              <w:jc w:val="center"/>
              <w:rPr>
                <w:rFonts w:ascii="Calibri" w:hAnsi="Calibri" w:cs="Calibri"/>
                <w:b/>
                <w:bCs/>
                <w:sz w:val="22"/>
                <w:szCs w:val="22"/>
              </w:rPr>
            </w:pPr>
            <w:r w:rsidRPr="00030D37">
              <w:rPr>
                <w:rFonts w:ascii="Calibri" w:hAnsi="Calibri" w:cs="Calibri"/>
                <w:b/>
                <w:bCs/>
                <w:sz w:val="22"/>
                <w:szCs w:val="22"/>
              </w:rPr>
              <w:t>Domestic Unrestricted - by DNO licence area</w:t>
            </w:r>
          </w:p>
        </w:tc>
        <w:tc>
          <w:tcPr>
            <w:tcW w:w="1805" w:type="dxa"/>
            <w:tcBorders>
              <w:top w:val="single" w:sz="4" w:space="0" w:color="70AD47"/>
              <w:left w:val="nil"/>
              <w:bottom w:val="nil"/>
              <w:right w:val="nil"/>
            </w:tcBorders>
            <w:shd w:val="clear" w:color="000000" w:fill="EEDDFF"/>
            <w:vAlign w:val="center"/>
            <w:hideMark/>
          </w:tcPr>
          <w:p w14:paraId="3FBA5F3F" w14:textId="77777777" w:rsidR="00111A90" w:rsidRPr="00030D37" w:rsidRDefault="00111A90" w:rsidP="00111A90">
            <w:pPr>
              <w:spacing w:before="0" w:after="0" w:line="240" w:lineRule="auto"/>
              <w:jc w:val="center"/>
              <w:rPr>
                <w:rFonts w:ascii="Calibri" w:hAnsi="Calibri" w:cs="Calibri"/>
                <w:b/>
                <w:bCs/>
                <w:sz w:val="22"/>
                <w:szCs w:val="22"/>
              </w:rPr>
            </w:pPr>
            <w:r w:rsidRPr="00030D37">
              <w:rPr>
                <w:rFonts w:ascii="Calibri" w:hAnsi="Calibri" w:cs="Calibri"/>
                <w:b/>
                <w:bCs/>
                <w:sz w:val="22"/>
                <w:szCs w:val="22"/>
              </w:rPr>
              <w:t>Baseline revenue (£/year)</w:t>
            </w:r>
          </w:p>
        </w:tc>
        <w:tc>
          <w:tcPr>
            <w:tcW w:w="1805" w:type="dxa"/>
            <w:tcBorders>
              <w:top w:val="single" w:sz="4" w:space="0" w:color="70AD47"/>
              <w:left w:val="nil"/>
              <w:bottom w:val="nil"/>
              <w:right w:val="nil"/>
            </w:tcBorders>
            <w:shd w:val="clear" w:color="000000" w:fill="EEDDFF"/>
            <w:vAlign w:val="center"/>
            <w:hideMark/>
          </w:tcPr>
          <w:p w14:paraId="6BE4D54B" w14:textId="77777777" w:rsidR="00111A90" w:rsidRPr="00030D37" w:rsidRDefault="00111A90" w:rsidP="00111A90">
            <w:pPr>
              <w:spacing w:before="0" w:after="0" w:line="240" w:lineRule="auto"/>
              <w:jc w:val="center"/>
              <w:rPr>
                <w:rFonts w:ascii="Calibri" w:hAnsi="Calibri" w:cs="Calibri"/>
                <w:b/>
                <w:bCs/>
                <w:sz w:val="22"/>
                <w:szCs w:val="22"/>
              </w:rPr>
            </w:pPr>
            <w:r w:rsidRPr="00030D37">
              <w:rPr>
                <w:rFonts w:ascii="Calibri" w:hAnsi="Calibri" w:cs="Calibri"/>
                <w:b/>
                <w:bCs/>
                <w:sz w:val="22"/>
                <w:szCs w:val="22"/>
              </w:rPr>
              <w:t>Revenue on new basis (£/year)</w:t>
            </w:r>
          </w:p>
        </w:tc>
        <w:tc>
          <w:tcPr>
            <w:tcW w:w="1608" w:type="dxa"/>
            <w:tcBorders>
              <w:top w:val="single" w:sz="4" w:space="0" w:color="70AD47"/>
              <w:left w:val="nil"/>
              <w:bottom w:val="nil"/>
              <w:right w:val="nil"/>
            </w:tcBorders>
            <w:shd w:val="clear" w:color="000000" w:fill="EEDDFF"/>
            <w:vAlign w:val="center"/>
            <w:hideMark/>
          </w:tcPr>
          <w:p w14:paraId="44D77D2E" w14:textId="77777777" w:rsidR="00111A90" w:rsidRPr="00030D37" w:rsidRDefault="00111A90" w:rsidP="00111A90">
            <w:pPr>
              <w:spacing w:before="0" w:after="0" w:line="240" w:lineRule="auto"/>
              <w:jc w:val="center"/>
              <w:rPr>
                <w:rFonts w:ascii="Calibri" w:hAnsi="Calibri" w:cs="Calibri"/>
                <w:b/>
                <w:bCs/>
                <w:sz w:val="22"/>
                <w:szCs w:val="22"/>
              </w:rPr>
            </w:pPr>
            <w:r w:rsidRPr="00030D37">
              <w:rPr>
                <w:rFonts w:ascii="Calibri" w:hAnsi="Calibri" w:cs="Calibri"/>
                <w:b/>
                <w:bCs/>
                <w:sz w:val="22"/>
                <w:szCs w:val="22"/>
              </w:rPr>
              <w:t>Change (£/year)</w:t>
            </w:r>
          </w:p>
        </w:tc>
        <w:tc>
          <w:tcPr>
            <w:tcW w:w="1745" w:type="dxa"/>
            <w:tcBorders>
              <w:top w:val="single" w:sz="4" w:space="0" w:color="70AD47"/>
              <w:left w:val="nil"/>
              <w:bottom w:val="nil"/>
              <w:right w:val="single" w:sz="4" w:space="0" w:color="70AD47"/>
            </w:tcBorders>
            <w:shd w:val="clear" w:color="000000" w:fill="EEDDFF"/>
            <w:vAlign w:val="center"/>
            <w:hideMark/>
          </w:tcPr>
          <w:p w14:paraId="19EA2CF3" w14:textId="77777777" w:rsidR="00111A90" w:rsidRPr="00030D37" w:rsidRDefault="00111A90" w:rsidP="00111A90">
            <w:pPr>
              <w:spacing w:before="0" w:after="0" w:line="240" w:lineRule="auto"/>
              <w:jc w:val="center"/>
              <w:rPr>
                <w:rFonts w:ascii="Calibri" w:hAnsi="Calibri" w:cs="Calibri"/>
                <w:b/>
                <w:bCs/>
                <w:sz w:val="22"/>
                <w:szCs w:val="22"/>
              </w:rPr>
            </w:pPr>
            <w:r w:rsidRPr="00030D37">
              <w:rPr>
                <w:rFonts w:ascii="Calibri" w:hAnsi="Calibri" w:cs="Calibri"/>
                <w:b/>
                <w:bCs/>
                <w:sz w:val="22"/>
                <w:szCs w:val="22"/>
              </w:rPr>
              <w:t>Percentage change</w:t>
            </w:r>
          </w:p>
        </w:tc>
      </w:tr>
      <w:tr w:rsidR="00111A90" w:rsidRPr="00111A90" w14:paraId="34429170"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54E17BB5"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Electricity North West</w:t>
            </w:r>
          </w:p>
        </w:tc>
        <w:tc>
          <w:tcPr>
            <w:tcW w:w="1805" w:type="dxa"/>
            <w:tcBorders>
              <w:top w:val="single" w:sz="4" w:space="0" w:color="70AD47"/>
              <w:left w:val="nil"/>
              <w:bottom w:val="nil"/>
              <w:right w:val="nil"/>
            </w:tcBorders>
            <w:shd w:val="clear" w:color="000000" w:fill="CCFFCC"/>
            <w:noWrap/>
            <w:vAlign w:val="center"/>
            <w:hideMark/>
          </w:tcPr>
          <w:p w14:paraId="6953B7F3"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161,795,547 </w:t>
            </w:r>
          </w:p>
        </w:tc>
        <w:tc>
          <w:tcPr>
            <w:tcW w:w="1805" w:type="dxa"/>
            <w:tcBorders>
              <w:top w:val="single" w:sz="4" w:space="0" w:color="70AD47"/>
              <w:left w:val="nil"/>
              <w:bottom w:val="nil"/>
              <w:right w:val="nil"/>
            </w:tcBorders>
            <w:shd w:val="clear" w:color="000000" w:fill="CCFFCC"/>
            <w:noWrap/>
            <w:vAlign w:val="center"/>
            <w:hideMark/>
          </w:tcPr>
          <w:p w14:paraId="4BC4E661"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162,009,035 </w:t>
            </w:r>
          </w:p>
        </w:tc>
        <w:tc>
          <w:tcPr>
            <w:tcW w:w="1608" w:type="dxa"/>
            <w:tcBorders>
              <w:top w:val="single" w:sz="4" w:space="0" w:color="70AD47"/>
              <w:left w:val="nil"/>
              <w:bottom w:val="nil"/>
              <w:right w:val="nil"/>
            </w:tcBorders>
            <w:shd w:val="clear" w:color="000000" w:fill="FFFFCC"/>
            <w:noWrap/>
            <w:vAlign w:val="center"/>
            <w:hideMark/>
          </w:tcPr>
          <w:p w14:paraId="5BC6EFCD"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213,488</w:t>
            </w:r>
          </w:p>
        </w:tc>
        <w:tc>
          <w:tcPr>
            <w:tcW w:w="1745" w:type="dxa"/>
            <w:tcBorders>
              <w:top w:val="single" w:sz="4" w:space="0" w:color="70AD47"/>
              <w:left w:val="nil"/>
              <w:bottom w:val="nil"/>
              <w:right w:val="single" w:sz="4" w:space="0" w:color="70AD47"/>
            </w:tcBorders>
            <w:shd w:val="clear" w:color="000000" w:fill="FFFFCC"/>
            <w:noWrap/>
            <w:vAlign w:val="center"/>
            <w:hideMark/>
          </w:tcPr>
          <w:p w14:paraId="79EA8022"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0.13%</w:t>
            </w:r>
          </w:p>
        </w:tc>
      </w:tr>
      <w:tr w:rsidR="00111A90" w:rsidRPr="00111A90" w14:paraId="25F29FD9"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78D23D8A"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Northern Powergrid Northeast</w:t>
            </w:r>
          </w:p>
        </w:tc>
        <w:tc>
          <w:tcPr>
            <w:tcW w:w="1805" w:type="dxa"/>
            <w:tcBorders>
              <w:top w:val="single" w:sz="4" w:space="0" w:color="70AD47"/>
              <w:left w:val="nil"/>
              <w:bottom w:val="nil"/>
              <w:right w:val="nil"/>
            </w:tcBorders>
            <w:shd w:val="clear" w:color="000000" w:fill="CCFFCC"/>
            <w:noWrap/>
            <w:vAlign w:val="center"/>
            <w:hideMark/>
          </w:tcPr>
          <w:p w14:paraId="348FDEC1"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126,410,958 </w:t>
            </w:r>
          </w:p>
        </w:tc>
        <w:tc>
          <w:tcPr>
            <w:tcW w:w="1805" w:type="dxa"/>
            <w:tcBorders>
              <w:top w:val="single" w:sz="4" w:space="0" w:color="70AD47"/>
              <w:left w:val="nil"/>
              <w:bottom w:val="nil"/>
              <w:right w:val="nil"/>
            </w:tcBorders>
            <w:shd w:val="clear" w:color="000000" w:fill="CCFFCC"/>
            <w:noWrap/>
            <w:vAlign w:val="center"/>
            <w:hideMark/>
          </w:tcPr>
          <w:p w14:paraId="0E616344"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126,679,568 </w:t>
            </w:r>
          </w:p>
        </w:tc>
        <w:tc>
          <w:tcPr>
            <w:tcW w:w="1608" w:type="dxa"/>
            <w:tcBorders>
              <w:top w:val="single" w:sz="4" w:space="0" w:color="70AD47"/>
              <w:left w:val="nil"/>
              <w:bottom w:val="nil"/>
              <w:right w:val="nil"/>
            </w:tcBorders>
            <w:shd w:val="clear" w:color="000000" w:fill="FFFFCC"/>
            <w:noWrap/>
            <w:vAlign w:val="center"/>
            <w:hideMark/>
          </w:tcPr>
          <w:p w14:paraId="4929D050"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268,610</w:t>
            </w:r>
          </w:p>
        </w:tc>
        <w:tc>
          <w:tcPr>
            <w:tcW w:w="1745" w:type="dxa"/>
            <w:tcBorders>
              <w:top w:val="single" w:sz="4" w:space="0" w:color="70AD47"/>
              <w:left w:val="nil"/>
              <w:bottom w:val="nil"/>
              <w:right w:val="single" w:sz="4" w:space="0" w:color="70AD47"/>
            </w:tcBorders>
            <w:shd w:val="clear" w:color="000000" w:fill="FFFFCC"/>
            <w:noWrap/>
            <w:vAlign w:val="center"/>
            <w:hideMark/>
          </w:tcPr>
          <w:p w14:paraId="64297822"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0.21%</w:t>
            </w:r>
          </w:p>
        </w:tc>
      </w:tr>
      <w:tr w:rsidR="00111A90" w:rsidRPr="00111A90" w14:paraId="3AAC43AB"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67EB0618"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Northern Powergrid Yorkshire</w:t>
            </w:r>
          </w:p>
        </w:tc>
        <w:tc>
          <w:tcPr>
            <w:tcW w:w="1805" w:type="dxa"/>
            <w:tcBorders>
              <w:top w:val="single" w:sz="4" w:space="0" w:color="70AD47"/>
              <w:left w:val="nil"/>
              <w:bottom w:val="nil"/>
              <w:right w:val="nil"/>
            </w:tcBorders>
            <w:shd w:val="clear" w:color="000000" w:fill="CCFFCC"/>
            <w:noWrap/>
            <w:vAlign w:val="center"/>
            <w:hideMark/>
          </w:tcPr>
          <w:p w14:paraId="3E55C4C0"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156,945,364 </w:t>
            </w:r>
          </w:p>
        </w:tc>
        <w:tc>
          <w:tcPr>
            <w:tcW w:w="1805" w:type="dxa"/>
            <w:tcBorders>
              <w:top w:val="single" w:sz="4" w:space="0" w:color="70AD47"/>
              <w:left w:val="nil"/>
              <w:bottom w:val="nil"/>
              <w:right w:val="nil"/>
            </w:tcBorders>
            <w:shd w:val="clear" w:color="000000" w:fill="CCFFCC"/>
            <w:noWrap/>
            <w:vAlign w:val="center"/>
            <w:hideMark/>
          </w:tcPr>
          <w:p w14:paraId="7B69C127"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157,226,084 </w:t>
            </w:r>
          </w:p>
        </w:tc>
        <w:tc>
          <w:tcPr>
            <w:tcW w:w="1608" w:type="dxa"/>
            <w:tcBorders>
              <w:top w:val="single" w:sz="4" w:space="0" w:color="70AD47"/>
              <w:left w:val="nil"/>
              <w:bottom w:val="nil"/>
              <w:right w:val="nil"/>
            </w:tcBorders>
            <w:shd w:val="clear" w:color="000000" w:fill="FFFFCC"/>
            <w:noWrap/>
            <w:vAlign w:val="center"/>
            <w:hideMark/>
          </w:tcPr>
          <w:p w14:paraId="2323F958"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280,720</w:t>
            </w:r>
          </w:p>
        </w:tc>
        <w:tc>
          <w:tcPr>
            <w:tcW w:w="1745" w:type="dxa"/>
            <w:tcBorders>
              <w:top w:val="single" w:sz="4" w:space="0" w:color="70AD47"/>
              <w:left w:val="nil"/>
              <w:bottom w:val="nil"/>
              <w:right w:val="single" w:sz="4" w:space="0" w:color="70AD47"/>
            </w:tcBorders>
            <w:shd w:val="clear" w:color="000000" w:fill="FFFFCC"/>
            <w:noWrap/>
            <w:vAlign w:val="center"/>
            <w:hideMark/>
          </w:tcPr>
          <w:p w14:paraId="36216855"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0.18%</w:t>
            </w:r>
          </w:p>
        </w:tc>
      </w:tr>
      <w:tr w:rsidR="00111A90" w:rsidRPr="00111A90" w14:paraId="27393A7F"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7DACD933"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Southern Electric Power Distribution</w:t>
            </w:r>
          </w:p>
        </w:tc>
        <w:tc>
          <w:tcPr>
            <w:tcW w:w="1805" w:type="dxa"/>
            <w:tcBorders>
              <w:top w:val="single" w:sz="4" w:space="0" w:color="70AD47"/>
              <w:left w:val="nil"/>
              <w:bottom w:val="nil"/>
              <w:right w:val="nil"/>
            </w:tcBorders>
            <w:shd w:val="clear" w:color="000000" w:fill="CCFFCC"/>
            <w:noWrap/>
            <w:vAlign w:val="center"/>
            <w:hideMark/>
          </w:tcPr>
          <w:p w14:paraId="6B1570D0"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227,198,336 </w:t>
            </w:r>
          </w:p>
        </w:tc>
        <w:tc>
          <w:tcPr>
            <w:tcW w:w="1805" w:type="dxa"/>
            <w:tcBorders>
              <w:top w:val="single" w:sz="4" w:space="0" w:color="70AD47"/>
              <w:left w:val="nil"/>
              <w:bottom w:val="nil"/>
              <w:right w:val="nil"/>
            </w:tcBorders>
            <w:shd w:val="clear" w:color="000000" w:fill="CCFFCC"/>
            <w:noWrap/>
            <w:vAlign w:val="center"/>
            <w:hideMark/>
          </w:tcPr>
          <w:p w14:paraId="3095BBFF"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227,360,884 </w:t>
            </w:r>
          </w:p>
        </w:tc>
        <w:tc>
          <w:tcPr>
            <w:tcW w:w="1608" w:type="dxa"/>
            <w:tcBorders>
              <w:top w:val="single" w:sz="4" w:space="0" w:color="70AD47"/>
              <w:left w:val="nil"/>
              <w:bottom w:val="nil"/>
              <w:right w:val="nil"/>
            </w:tcBorders>
            <w:shd w:val="clear" w:color="000000" w:fill="FFFFCC"/>
            <w:noWrap/>
            <w:vAlign w:val="center"/>
            <w:hideMark/>
          </w:tcPr>
          <w:p w14:paraId="7B59F6C8"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162,548</w:t>
            </w:r>
          </w:p>
        </w:tc>
        <w:tc>
          <w:tcPr>
            <w:tcW w:w="1745" w:type="dxa"/>
            <w:tcBorders>
              <w:top w:val="single" w:sz="4" w:space="0" w:color="70AD47"/>
              <w:left w:val="nil"/>
              <w:bottom w:val="nil"/>
              <w:right w:val="single" w:sz="4" w:space="0" w:color="70AD47"/>
            </w:tcBorders>
            <w:shd w:val="clear" w:color="000000" w:fill="FFFFCC"/>
            <w:noWrap/>
            <w:vAlign w:val="center"/>
            <w:hideMark/>
          </w:tcPr>
          <w:p w14:paraId="455D4BFE"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0.07%</w:t>
            </w:r>
          </w:p>
        </w:tc>
      </w:tr>
      <w:tr w:rsidR="00111A90" w:rsidRPr="00111A90" w14:paraId="78213835"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5985F134"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Scottish Hydro Electric Power Distribution</w:t>
            </w:r>
          </w:p>
        </w:tc>
        <w:tc>
          <w:tcPr>
            <w:tcW w:w="1805" w:type="dxa"/>
            <w:tcBorders>
              <w:top w:val="single" w:sz="4" w:space="0" w:color="70AD47"/>
              <w:left w:val="nil"/>
              <w:bottom w:val="nil"/>
              <w:right w:val="nil"/>
            </w:tcBorders>
            <w:shd w:val="clear" w:color="000000" w:fill="CCFFCC"/>
            <w:noWrap/>
            <w:vAlign w:val="center"/>
            <w:hideMark/>
          </w:tcPr>
          <w:p w14:paraId="02833448"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92,221,750 </w:t>
            </w:r>
          </w:p>
        </w:tc>
        <w:tc>
          <w:tcPr>
            <w:tcW w:w="1805" w:type="dxa"/>
            <w:tcBorders>
              <w:top w:val="single" w:sz="4" w:space="0" w:color="70AD47"/>
              <w:left w:val="nil"/>
              <w:bottom w:val="nil"/>
              <w:right w:val="nil"/>
            </w:tcBorders>
            <w:shd w:val="clear" w:color="000000" w:fill="CCFFCC"/>
            <w:noWrap/>
            <w:vAlign w:val="center"/>
            <w:hideMark/>
          </w:tcPr>
          <w:p w14:paraId="7E796034"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92,232,334 </w:t>
            </w:r>
          </w:p>
        </w:tc>
        <w:tc>
          <w:tcPr>
            <w:tcW w:w="1608" w:type="dxa"/>
            <w:tcBorders>
              <w:top w:val="single" w:sz="4" w:space="0" w:color="70AD47"/>
              <w:left w:val="nil"/>
              <w:bottom w:val="nil"/>
              <w:right w:val="nil"/>
            </w:tcBorders>
            <w:shd w:val="clear" w:color="000000" w:fill="FFFFCC"/>
            <w:noWrap/>
            <w:vAlign w:val="center"/>
            <w:hideMark/>
          </w:tcPr>
          <w:p w14:paraId="116CB7FC"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10,585</w:t>
            </w:r>
          </w:p>
        </w:tc>
        <w:tc>
          <w:tcPr>
            <w:tcW w:w="1745" w:type="dxa"/>
            <w:tcBorders>
              <w:top w:val="single" w:sz="4" w:space="0" w:color="70AD47"/>
              <w:left w:val="nil"/>
              <w:bottom w:val="nil"/>
              <w:right w:val="single" w:sz="4" w:space="0" w:color="70AD47"/>
            </w:tcBorders>
            <w:shd w:val="clear" w:color="000000" w:fill="FFFFCC"/>
            <w:noWrap/>
            <w:vAlign w:val="center"/>
            <w:hideMark/>
          </w:tcPr>
          <w:p w14:paraId="12DB0A27"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0.01%</w:t>
            </w:r>
          </w:p>
        </w:tc>
      </w:tr>
      <w:tr w:rsidR="00111A90" w:rsidRPr="00111A90" w14:paraId="5FEE3A81"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2D763261"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Eastern Power Networks</w:t>
            </w:r>
          </w:p>
        </w:tc>
        <w:tc>
          <w:tcPr>
            <w:tcW w:w="1805" w:type="dxa"/>
            <w:tcBorders>
              <w:top w:val="single" w:sz="4" w:space="0" w:color="70AD47"/>
              <w:left w:val="nil"/>
              <w:bottom w:val="nil"/>
              <w:right w:val="nil"/>
            </w:tcBorders>
            <w:shd w:val="clear" w:color="000000" w:fill="CCFFCC"/>
            <w:noWrap/>
            <w:vAlign w:val="center"/>
            <w:hideMark/>
          </w:tcPr>
          <w:p w14:paraId="2A778716"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194,605,461 </w:t>
            </w:r>
          </w:p>
        </w:tc>
        <w:tc>
          <w:tcPr>
            <w:tcW w:w="1805" w:type="dxa"/>
            <w:tcBorders>
              <w:top w:val="single" w:sz="4" w:space="0" w:color="70AD47"/>
              <w:left w:val="nil"/>
              <w:bottom w:val="nil"/>
              <w:right w:val="nil"/>
            </w:tcBorders>
            <w:shd w:val="clear" w:color="000000" w:fill="CCFFCC"/>
            <w:noWrap/>
            <w:vAlign w:val="center"/>
            <w:hideMark/>
          </w:tcPr>
          <w:p w14:paraId="46861449"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194,796,897 </w:t>
            </w:r>
          </w:p>
        </w:tc>
        <w:tc>
          <w:tcPr>
            <w:tcW w:w="1608" w:type="dxa"/>
            <w:tcBorders>
              <w:top w:val="single" w:sz="4" w:space="0" w:color="70AD47"/>
              <w:left w:val="nil"/>
              <w:bottom w:val="nil"/>
              <w:right w:val="nil"/>
            </w:tcBorders>
            <w:shd w:val="clear" w:color="000000" w:fill="FFFFCC"/>
            <w:noWrap/>
            <w:vAlign w:val="center"/>
            <w:hideMark/>
          </w:tcPr>
          <w:p w14:paraId="20C4FE53"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191,436</w:t>
            </w:r>
          </w:p>
        </w:tc>
        <w:tc>
          <w:tcPr>
            <w:tcW w:w="1745" w:type="dxa"/>
            <w:tcBorders>
              <w:top w:val="single" w:sz="4" w:space="0" w:color="70AD47"/>
              <w:left w:val="nil"/>
              <w:bottom w:val="nil"/>
              <w:right w:val="single" w:sz="4" w:space="0" w:color="70AD47"/>
            </w:tcBorders>
            <w:shd w:val="clear" w:color="000000" w:fill="FFFFCC"/>
            <w:noWrap/>
            <w:vAlign w:val="center"/>
            <w:hideMark/>
          </w:tcPr>
          <w:p w14:paraId="405D8CC5"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0.10%</w:t>
            </w:r>
          </w:p>
        </w:tc>
      </w:tr>
      <w:tr w:rsidR="00111A90" w:rsidRPr="00111A90" w14:paraId="126A538D"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51475801"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London Power Networks</w:t>
            </w:r>
          </w:p>
        </w:tc>
        <w:tc>
          <w:tcPr>
            <w:tcW w:w="1805" w:type="dxa"/>
            <w:tcBorders>
              <w:top w:val="single" w:sz="4" w:space="0" w:color="70AD47"/>
              <w:left w:val="nil"/>
              <w:bottom w:val="nil"/>
              <w:right w:val="nil"/>
            </w:tcBorders>
            <w:shd w:val="clear" w:color="000000" w:fill="CCFFCC"/>
            <w:noWrap/>
            <w:vAlign w:val="center"/>
            <w:hideMark/>
          </w:tcPr>
          <w:p w14:paraId="390802D8"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124,822,585 </w:t>
            </w:r>
          </w:p>
        </w:tc>
        <w:tc>
          <w:tcPr>
            <w:tcW w:w="1805" w:type="dxa"/>
            <w:tcBorders>
              <w:top w:val="single" w:sz="4" w:space="0" w:color="70AD47"/>
              <w:left w:val="nil"/>
              <w:bottom w:val="nil"/>
              <w:right w:val="nil"/>
            </w:tcBorders>
            <w:shd w:val="clear" w:color="000000" w:fill="CCFFCC"/>
            <w:noWrap/>
            <w:vAlign w:val="center"/>
            <w:hideMark/>
          </w:tcPr>
          <w:p w14:paraId="0361E234"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124,995,005 </w:t>
            </w:r>
          </w:p>
        </w:tc>
        <w:tc>
          <w:tcPr>
            <w:tcW w:w="1608" w:type="dxa"/>
            <w:tcBorders>
              <w:top w:val="single" w:sz="4" w:space="0" w:color="70AD47"/>
              <w:left w:val="nil"/>
              <w:bottom w:val="nil"/>
              <w:right w:val="nil"/>
            </w:tcBorders>
            <w:shd w:val="clear" w:color="000000" w:fill="FFFFCC"/>
            <w:noWrap/>
            <w:vAlign w:val="center"/>
            <w:hideMark/>
          </w:tcPr>
          <w:p w14:paraId="5D2F8E2D"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172,421</w:t>
            </w:r>
          </w:p>
        </w:tc>
        <w:tc>
          <w:tcPr>
            <w:tcW w:w="1745" w:type="dxa"/>
            <w:tcBorders>
              <w:top w:val="single" w:sz="4" w:space="0" w:color="70AD47"/>
              <w:left w:val="nil"/>
              <w:bottom w:val="nil"/>
              <w:right w:val="single" w:sz="4" w:space="0" w:color="70AD47"/>
            </w:tcBorders>
            <w:shd w:val="clear" w:color="000000" w:fill="FFFFCC"/>
            <w:noWrap/>
            <w:vAlign w:val="center"/>
            <w:hideMark/>
          </w:tcPr>
          <w:p w14:paraId="046E316A"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0.14%</w:t>
            </w:r>
          </w:p>
        </w:tc>
      </w:tr>
      <w:tr w:rsidR="00111A90" w:rsidRPr="00111A90" w14:paraId="1ADCD30A"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141409DD"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South Eastern Power Networks</w:t>
            </w:r>
          </w:p>
        </w:tc>
        <w:tc>
          <w:tcPr>
            <w:tcW w:w="1805" w:type="dxa"/>
            <w:tcBorders>
              <w:top w:val="single" w:sz="4" w:space="0" w:color="70AD47"/>
              <w:left w:val="nil"/>
              <w:bottom w:val="nil"/>
              <w:right w:val="nil"/>
            </w:tcBorders>
            <w:shd w:val="clear" w:color="000000" w:fill="CCFFCC"/>
            <w:noWrap/>
            <w:vAlign w:val="center"/>
            <w:hideMark/>
          </w:tcPr>
          <w:p w14:paraId="5FCB1B41"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144,058,505 </w:t>
            </w:r>
          </w:p>
        </w:tc>
        <w:tc>
          <w:tcPr>
            <w:tcW w:w="1805" w:type="dxa"/>
            <w:tcBorders>
              <w:top w:val="single" w:sz="4" w:space="0" w:color="70AD47"/>
              <w:left w:val="nil"/>
              <w:bottom w:val="nil"/>
              <w:right w:val="nil"/>
            </w:tcBorders>
            <w:shd w:val="clear" w:color="000000" w:fill="CCFFCC"/>
            <w:noWrap/>
            <w:vAlign w:val="center"/>
            <w:hideMark/>
          </w:tcPr>
          <w:p w14:paraId="0DE180C1"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144,148,881 </w:t>
            </w:r>
          </w:p>
        </w:tc>
        <w:tc>
          <w:tcPr>
            <w:tcW w:w="1608" w:type="dxa"/>
            <w:tcBorders>
              <w:top w:val="single" w:sz="4" w:space="0" w:color="70AD47"/>
              <w:left w:val="nil"/>
              <w:bottom w:val="nil"/>
              <w:right w:val="nil"/>
            </w:tcBorders>
            <w:shd w:val="clear" w:color="000000" w:fill="FFFFCC"/>
            <w:noWrap/>
            <w:vAlign w:val="center"/>
            <w:hideMark/>
          </w:tcPr>
          <w:p w14:paraId="1F15346C"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90,376</w:t>
            </w:r>
          </w:p>
        </w:tc>
        <w:tc>
          <w:tcPr>
            <w:tcW w:w="1745" w:type="dxa"/>
            <w:tcBorders>
              <w:top w:val="single" w:sz="4" w:space="0" w:color="70AD47"/>
              <w:left w:val="nil"/>
              <w:bottom w:val="nil"/>
              <w:right w:val="single" w:sz="4" w:space="0" w:color="70AD47"/>
            </w:tcBorders>
            <w:shd w:val="clear" w:color="000000" w:fill="FFFFCC"/>
            <w:noWrap/>
            <w:vAlign w:val="center"/>
            <w:hideMark/>
          </w:tcPr>
          <w:p w14:paraId="0B88D194"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0.06%</w:t>
            </w:r>
          </w:p>
        </w:tc>
      </w:tr>
      <w:tr w:rsidR="00111A90" w:rsidRPr="00111A90" w14:paraId="065B9630"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2498E9EC"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WPD East Midlands</w:t>
            </w:r>
          </w:p>
        </w:tc>
        <w:tc>
          <w:tcPr>
            <w:tcW w:w="1805" w:type="dxa"/>
            <w:tcBorders>
              <w:top w:val="single" w:sz="4" w:space="0" w:color="70AD47"/>
              <w:left w:val="nil"/>
              <w:bottom w:val="nil"/>
              <w:right w:val="nil"/>
            </w:tcBorders>
            <w:shd w:val="clear" w:color="000000" w:fill="CCFFCC"/>
            <w:noWrap/>
            <w:vAlign w:val="center"/>
            <w:hideMark/>
          </w:tcPr>
          <w:p w14:paraId="1952BA8F"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130,223,181 </w:t>
            </w:r>
          </w:p>
        </w:tc>
        <w:tc>
          <w:tcPr>
            <w:tcW w:w="1805" w:type="dxa"/>
            <w:tcBorders>
              <w:top w:val="single" w:sz="4" w:space="0" w:color="70AD47"/>
              <w:left w:val="nil"/>
              <w:bottom w:val="nil"/>
              <w:right w:val="nil"/>
            </w:tcBorders>
            <w:shd w:val="clear" w:color="000000" w:fill="CCFFCC"/>
            <w:noWrap/>
            <w:vAlign w:val="center"/>
            <w:hideMark/>
          </w:tcPr>
          <w:p w14:paraId="15CBBFCB"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130,287,690 </w:t>
            </w:r>
          </w:p>
        </w:tc>
        <w:tc>
          <w:tcPr>
            <w:tcW w:w="1608" w:type="dxa"/>
            <w:tcBorders>
              <w:top w:val="single" w:sz="4" w:space="0" w:color="70AD47"/>
              <w:left w:val="nil"/>
              <w:bottom w:val="nil"/>
              <w:right w:val="nil"/>
            </w:tcBorders>
            <w:shd w:val="clear" w:color="000000" w:fill="FFFFCC"/>
            <w:noWrap/>
            <w:vAlign w:val="center"/>
            <w:hideMark/>
          </w:tcPr>
          <w:p w14:paraId="448978EE"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64,509</w:t>
            </w:r>
          </w:p>
        </w:tc>
        <w:tc>
          <w:tcPr>
            <w:tcW w:w="1745" w:type="dxa"/>
            <w:tcBorders>
              <w:top w:val="single" w:sz="4" w:space="0" w:color="70AD47"/>
              <w:left w:val="nil"/>
              <w:bottom w:val="nil"/>
              <w:right w:val="single" w:sz="4" w:space="0" w:color="70AD47"/>
            </w:tcBorders>
            <w:shd w:val="clear" w:color="000000" w:fill="FFFFCC"/>
            <w:noWrap/>
            <w:vAlign w:val="center"/>
            <w:hideMark/>
          </w:tcPr>
          <w:p w14:paraId="68F1266A"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0.05%</w:t>
            </w:r>
          </w:p>
        </w:tc>
      </w:tr>
      <w:tr w:rsidR="00111A90" w:rsidRPr="00111A90" w14:paraId="1AEED9AB" w14:textId="77777777" w:rsidTr="00287844">
        <w:trPr>
          <w:trHeight w:val="424"/>
        </w:trPr>
        <w:tc>
          <w:tcPr>
            <w:tcW w:w="2482" w:type="dxa"/>
            <w:tcBorders>
              <w:top w:val="single" w:sz="4" w:space="0" w:color="70AD47"/>
              <w:left w:val="single" w:sz="4" w:space="0" w:color="70AD47"/>
              <w:bottom w:val="nil"/>
              <w:right w:val="nil"/>
            </w:tcBorders>
            <w:shd w:val="clear" w:color="auto" w:fill="EEDDFF"/>
            <w:vAlign w:val="center"/>
            <w:hideMark/>
          </w:tcPr>
          <w:p w14:paraId="029D7593"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WPD South Wales</w:t>
            </w:r>
          </w:p>
        </w:tc>
        <w:tc>
          <w:tcPr>
            <w:tcW w:w="1805" w:type="dxa"/>
            <w:tcBorders>
              <w:top w:val="single" w:sz="4" w:space="0" w:color="70AD47"/>
              <w:left w:val="nil"/>
              <w:bottom w:val="nil"/>
              <w:right w:val="nil"/>
            </w:tcBorders>
            <w:shd w:val="clear" w:color="000000" w:fill="CCFFCC"/>
            <w:noWrap/>
            <w:vAlign w:val="center"/>
            <w:hideMark/>
          </w:tcPr>
          <w:p w14:paraId="6DB43C7A"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103,714,874 </w:t>
            </w:r>
          </w:p>
        </w:tc>
        <w:tc>
          <w:tcPr>
            <w:tcW w:w="1805" w:type="dxa"/>
            <w:tcBorders>
              <w:top w:val="single" w:sz="4" w:space="0" w:color="70AD47"/>
              <w:left w:val="nil"/>
              <w:bottom w:val="nil"/>
              <w:right w:val="nil"/>
            </w:tcBorders>
            <w:shd w:val="clear" w:color="000000" w:fill="CCFFCC"/>
            <w:noWrap/>
            <w:vAlign w:val="center"/>
            <w:hideMark/>
          </w:tcPr>
          <w:p w14:paraId="3680F761"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103,768,762 </w:t>
            </w:r>
          </w:p>
        </w:tc>
        <w:tc>
          <w:tcPr>
            <w:tcW w:w="1608" w:type="dxa"/>
            <w:tcBorders>
              <w:top w:val="single" w:sz="4" w:space="0" w:color="70AD47"/>
              <w:left w:val="nil"/>
              <w:bottom w:val="nil"/>
              <w:right w:val="nil"/>
            </w:tcBorders>
            <w:shd w:val="clear" w:color="000000" w:fill="FFFFCC"/>
            <w:noWrap/>
            <w:vAlign w:val="center"/>
            <w:hideMark/>
          </w:tcPr>
          <w:p w14:paraId="0C9F13BE"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53,888</w:t>
            </w:r>
          </w:p>
        </w:tc>
        <w:tc>
          <w:tcPr>
            <w:tcW w:w="1745" w:type="dxa"/>
            <w:tcBorders>
              <w:top w:val="single" w:sz="4" w:space="0" w:color="70AD47"/>
              <w:left w:val="nil"/>
              <w:bottom w:val="nil"/>
              <w:right w:val="single" w:sz="4" w:space="0" w:color="70AD47"/>
            </w:tcBorders>
            <w:shd w:val="clear" w:color="000000" w:fill="FFFFCC"/>
            <w:noWrap/>
            <w:vAlign w:val="center"/>
            <w:hideMark/>
          </w:tcPr>
          <w:p w14:paraId="4DC508C9"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0.05%</w:t>
            </w:r>
          </w:p>
        </w:tc>
      </w:tr>
      <w:tr w:rsidR="00111A90" w:rsidRPr="00111A90" w14:paraId="5E5DAEE7" w14:textId="77777777" w:rsidTr="00287844">
        <w:trPr>
          <w:trHeight w:val="424"/>
        </w:trPr>
        <w:tc>
          <w:tcPr>
            <w:tcW w:w="2482" w:type="dxa"/>
            <w:tcBorders>
              <w:top w:val="single" w:sz="4" w:space="0" w:color="70AD47"/>
              <w:left w:val="single" w:sz="4" w:space="0" w:color="70AD47"/>
              <w:bottom w:val="nil"/>
              <w:right w:val="nil"/>
            </w:tcBorders>
            <w:shd w:val="clear" w:color="000000" w:fill="EEDDFF"/>
            <w:vAlign w:val="center"/>
            <w:hideMark/>
          </w:tcPr>
          <w:p w14:paraId="58213602"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WPD South West</w:t>
            </w:r>
          </w:p>
        </w:tc>
        <w:tc>
          <w:tcPr>
            <w:tcW w:w="1805" w:type="dxa"/>
            <w:tcBorders>
              <w:top w:val="single" w:sz="4" w:space="0" w:color="70AD47"/>
              <w:left w:val="nil"/>
              <w:bottom w:val="nil"/>
              <w:right w:val="nil"/>
            </w:tcBorders>
            <w:shd w:val="clear" w:color="000000" w:fill="CCFFCC"/>
            <w:noWrap/>
            <w:vAlign w:val="center"/>
            <w:hideMark/>
          </w:tcPr>
          <w:p w14:paraId="0D21D01C"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140,488,748 </w:t>
            </w:r>
          </w:p>
        </w:tc>
        <w:tc>
          <w:tcPr>
            <w:tcW w:w="1805" w:type="dxa"/>
            <w:tcBorders>
              <w:top w:val="single" w:sz="4" w:space="0" w:color="70AD47"/>
              <w:left w:val="nil"/>
              <w:bottom w:val="nil"/>
              <w:right w:val="nil"/>
            </w:tcBorders>
            <w:shd w:val="clear" w:color="000000" w:fill="CCFFCC"/>
            <w:noWrap/>
            <w:vAlign w:val="center"/>
            <w:hideMark/>
          </w:tcPr>
          <w:p w14:paraId="65396C6E"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140,578,833 </w:t>
            </w:r>
          </w:p>
        </w:tc>
        <w:tc>
          <w:tcPr>
            <w:tcW w:w="1608" w:type="dxa"/>
            <w:tcBorders>
              <w:top w:val="single" w:sz="4" w:space="0" w:color="70AD47"/>
              <w:left w:val="nil"/>
              <w:bottom w:val="nil"/>
              <w:right w:val="nil"/>
            </w:tcBorders>
            <w:shd w:val="clear" w:color="000000" w:fill="FFFFCC"/>
            <w:noWrap/>
            <w:vAlign w:val="center"/>
            <w:hideMark/>
          </w:tcPr>
          <w:p w14:paraId="6701A2E2"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90,085</w:t>
            </w:r>
          </w:p>
        </w:tc>
        <w:tc>
          <w:tcPr>
            <w:tcW w:w="1745" w:type="dxa"/>
            <w:tcBorders>
              <w:top w:val="single" w:sz="4" w:space="0" w:color="70AD47"/>
              <w:left w:val="nil"/>
              <w:bottom w:val="nil"/>
              <w:right w:val="single" w:sz="4" w:space="0" w:color="70AD47"/>
            </w:tcBorders>
            <w:shd w:val="clear" w:color="000000" w:fill="FFFFCC"/>
            <w:noWrap/>
            <w:vAlign w:val="center"/>
            <w:hideMark/>
          </w:tcPr>
          <w:p w14:paraId="44D299A9"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0.06%</w:t>
            </w:r>
          </w:p>
        </w:tc>
      </w:tr>
      <w:tr w:rsidR="00111A90" w:rsidRPr="00111A90" w14:paraId="3F0E2F42" w14:textId="77777777" w:rsidTr="00287844">
        <w:trPr>
          <w:trHeight w:val="424"/>
        </w:trPr>
        <w:tc>
          <w:tcPr>
            <w:tcW w:w="2482" w:type="dxa"/>
            <w:tcBorders>
              <w:top w:val="single" w:sz="4" w:space="0" w:color="70AD47"/>
              <w:left w:val="single" w:sz="4" w:space="0" w:color="70AD47"/>
              <w:bottom w:val="single" w:sz="4" w:space="0" w:color="70AD47"/>
              <w:right w:val="nil"/>
            </w:tcBorders>
            <w:shd w:val="clear" w:color="000000" w:fill="EEDDFF"/>
            <w:vAlign w:val="center"/>
            <w:hideMark/>
          </w:tcPr>
          <w:p w14:paraId="4B0BAAD6" w14:textId="77777777" w:rsidR="00111A90" w:rsidRPr="00111A90" w:rsidRDefault="00111A90" w:rsidP="00111A90">
            <w:pPr>
              <w:spacing w:before="0" w:after="0" w:line="240" w:lineRule="auto"/>
              <w:jc w:val="center"/>
              <w:rPr>
                <w:rFonts w:ascii="Calibri" w:hAnsi="Calibri" w:cs="Calibri"/>
                <w:color w:val="000000"/>
                <w:sz w:val="22"/>
                <w:szCs w:val="22"/>
              </w:rPr>
            </w:pPr>
            <w:r w:rsidRPr="00111A90">
              <w:rPr>
                <w:rFonts w:ascii="Calibri" w:hAnsi="Calibri" w:cs="Calibri"/>
                <w:color w:val="000000"/>
                <w:sz w:val="22"/>
                <w:szCs w:val="22"/>
              </w:rPr>
              <w:t>WPD West Midlands</w:t>
            </w:r>
          </w:p>
        </w:tc>
        <w:tc>
          <w:tcPr>
            <w:tcW w:w="1805" w:type="dxa"/>
            <w:tcBorders>
              <w:top w:val="single" w:sz="4" w:space="0" w:color="70AD47"/>
              <w:left w:val="nil"/>
              <w:bottom w:val="single" w:sz="4" w:space="0" w:color="70AD47"/>
              <w:right w:val="nil"/>
            </w:tcBorders>
            <w:shd w:val="clear" w:color="000000" w:fill="CCFFCC"/>
            <w:noWrap/>
            <w:vAlign w:val="center"/>
            <w:hideMark/>
          </w:tcPr>
          <w:p w14:paraId="19A5A232"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183,584,367 </w:t>
            </w:r>
          </w:p>
        </w:tc>
        <w:tc>
          <w:tcPr>
            <w:tcW w:w="1805" w:type="dxa"/>
            <w:tcBorders>
              <w:top w:val="single" w:sz="4" w:space="0" w:color="70AD47"/>
              <w:left w:val="nil"/>
              <w:bottom w:val="single" w:sz="4" w:space="0" w:color="70AD47"/>
              <w:right w:val="nil"/>
            </w:tcBorders>
            <w:shd w:val="clear" w:color="000000" w:fill="CCFFCC"/>
            <w:noWrap/>
            <w:vAlign w:val="center"/>
            <w:hideMark/>
          </w:tcPr>
          <w:p w14:paraId="024C1276" w14:textId="77777777" w:rsidR="00111A90" w:rsidRPr="00030D37" w:rsidRDefault="00111A90" w:rsidP="00111A90">
            <w:pPr>
              <w:spacing w:before="0" w:after="0" w:line="240" w:lineRule="auto"/>
              <w:jc w:val="center"/>
              <w:rPr>
                <w:rFonts w:ascii="Calibri" w:hAnsi="Calibri" w:cs="Calibri"/>
                <w:sz w:val="22"/>
                <w:szCs w:val="22"/>
              </w:rPr>
            </w:pPr>
            <w:r w:rsidRPr="00030D37">
              <w:rPr>
                <w:rFonts w:ascii="Calibri" w:hAnsi="Calibri" w:cs="Calibri"/>
                <w:sz w:val="22"/>
                <w:szCs w:val="22"/>
              </w:rPr>
              <w:t xml:space="preserve">  183,720,141 </w:t>
            </w:r>
          </w:p>
        </w:tc>
        <w:tc>
          <w:tcPr>
            <w:tcW w:w="1608" w:type="dxa"/>
            <w:tcBorders>
              <w:top w:val="single" w:sz="4" w:space="0" w:color="70AD47"/>
              <w:left w:val="nil"/>
              <w:bottom w:val="single" w:sz="4" w:space="0" w:color="70AD47"/>
              <w:right w:val="nil"/>
            </w:tcBorders>
            <w:shd w:val="clear" w:color="000000" w:fill="FFFFCC"/>
            <w:noWrap/>
            <w:vAlign w:val="center"/>
            <w:hideMark/>
          </w:tcPr>
          <w:p w14:paraId="3B6CF87B"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135,774</w:t>
            </w:r>
          </w:p>
        </w:tc>
        <w:tc>
          <w:tcPr>
            <w:tcW w:w="1745" w:type="dxa"/>
            <w:tcBorders>
              <w:top w:val="single" w:sz="4" w:space="0" w:color="70AD47"/>
              <w:left w:val="nil"/>
              <w:bottom w:val="single" w:sz="4" w:space="0" w:color="70AD47"/>
              <w:right w:val="single" w:sz="4" w:space="0" w:color="70AD47"/>
            </w:tcBorders>
            <w:shd w:val="clear" w:color="000000" w:fill="FFFFCC"/>
            <w:noWrap/>
            <w:vAlign w:val="center"/>
            <w:hideMark/>
          </w:tcPr>
          <w:p w14:paraId="5E8568B1" w14:textId="77777777" w:rsidR="00111A90" w:rsidRPr="00030D37" w:rsidRDefault="00111A90" w:rsidP="00111A90">
            <w:pPr>
              <w:spacing w:before="0" w:after="0" w:line="240" w:lineRule="auto"/>
              <w:jc w:val="center"/>
              <w:rPr>
                <w:rFonts w:ascii="Calibri" w:hAnsi="Calibri" w:cs="Calibri"/>
                <w:color w:val="0070C0"/>
                <w:sz w:val="22"/>
                <w:szCs w:val="22"/>
              </w:rPr>
            </w:pPr>
            <w:r w:rsidRPr="00030D37">
              <w:rPr>
                <w:rFonts w:ascii="Calibri" w:hAnsi="Calibri" w:cs="Calibri"/>
                <w:color w:val="0070C0"/>
                <w:sz w:val="22"/>
                <w:szCs w:val="22"/>
              </w:rPr>
              <w:t xml:space="preserve"> +     0.07%</w:t>
            </w:r>
          </w:p>
        </w:tc>
      </w:tr>
    </w:tbl>
    <w:p w14:paraId="4893F1EB" w14:textId="6925C55D" w:rsidR="00797A08" w:rsidRDefault="00797A08" w:rsidP="00797A08">
      <w:pPr>
        <w:pStyle w:val="Caption"/>
      </w:pPr>
      <w:r>
        <w:t xml:space="preserve">Table </w:t>
      </w:r>
      <w:fldSimple w:instr=" SEQ Table \* ARABIC ">
        <w:r>
          <w:rPr>
            <w:noProof/>
          </w:rPr>
          <w:t>1</w:t>
        </w:r>
      </w:fldSimple>
      <w:r w:rsidR="003317EE">
        <w:rPr>
          <w:noProof/>
        </w:rPr>
        <w:t>:</w:t>
      </w:r>
      <w:r>
        <w:t xml:space="preserve"> Summary of the impact of DCP 266 (excluding SPEN SPM and SPEN SPD)</w:t>
      </w:r>
      <w:r w:rsidR="003317EE">
        <w:t xml:space="preserve"> on DNO Revenues</w:t>
      </w:r>
    </w:p>
    <w:tbl>
      <w:tblPr>
        <w:tblW w:w="9412" w:type="dxa"/>
        <w:tblInd w:w="108" w:type="dxa"/>
        <w:tblLook w:val="04A0" w:firstRow="1" w:lastRow="0" w:firstColumn="1" w:lastColumn="0" w:noHBand="0" w:noVBand="1"/>
      </w:tblPr>
      <w:tblGrid>
        <w:gridCol w:w="4111"/>
        <w:gridCol w:w="1276"/>
        <w:gridCol w:w="121"/>
        <w:gridCol w:w="2005"/>
        <w:gridCol w:w="1663"/>
        <w:gridCol w:w="236"/>
      </w:tblGrid>
      <w:tr w:rsidR="00227BB8" w:rsidRPr="00227BB8" w14:paraId="14DB6D42" w14:textId="77777777" w:rsidTr="00030D37">
        <w:trPr>
          <w:trHeight w:val="390"/>
        </w:trPr>
        <w:tc>
          <w:tcPr>
            <w:tcW w:w="9176" w:type="dxa"/>
            <w:gridSpan w:val="5"/>
            <w:tcBorders>
              <w:top w:val="nil"/>
              <w:left w:val="nil"/>
              <w:bottom w:val="nil"/>
              <w:right w:val="nil"/>
            </w:tcBorders>
            <w:shd w:val="clear" w:color="auto" w:fill="auto"/>
            <w:noWrap/>
            <w:vAlign w:val="bottom"/>
            <w:hideMark/>
          </w:tcPr>
          <w:p w14:paraId="0B47E1F3" w14:textId="3DA01E78" w:rsidR="00D86262" w:rsidRPr="00227BB8" w:rsidRDefault="00D86262">
            <w:pPr>
              <w:spacing w:before="0" w:after="0" w:line="240" w:lineRule="auto"/>
              <w:rPr>
                <w:rFonts w:ascii="Calibri" w:hAnsi="Calibri" w:cs="Calibri"/>
                <w:b/>
                <w:bCs/>
                <w:color w:val="000000"/>
                <w:sz w:val="28"/>
                <w:szCs w:val="28"/>
              </w:rPr>
            </w:pPr>
          </w:p>
        </w:tc>
        <w:tc>
          <w:tcPr>
            <w:tcW w:w="236" w:type="dxa"/>
            <w:tcBorders>
              <w:top w:val="nil"/>
              <w:left w:val="nil"/>
              <w:bottom w:val="nil"/>
              <w:right w:val="nil"/>
            </w:tcBorders>
            <w:shd w:val="clear" w:color="auto" w:fill="auto"/>
            <w:noWrap/>
            <w:vAlign w:val="bottom"/>
            <w:hideMark/>
          </w:tcPr>
          <w:p w14:paraId="5FB3EEC2" w14:textId="77777777" w:rsidR="00227BB8" w:rsidRPr="00227BB8" w:rsidRDefault="00227BB8" w:rsidP="00227BB8">
            <w:pPr>
              <w:spacing w:before="0" w:after="0" w:line="240" w:lineRule="auto"/>
              <w:rPr>
                <w:rFonts w:ascii="Calibri" w:hAnsi="Calibri" w:cs="Calibri"/>
                <w:b/>
                <w:bCs/>
                <w:color w:val="000000"/>
                <w:sz w:val="28"/>
                <w:szCs w:val="28"/>
              </w:rPr>
            </w:pPr>
          </w:p>
        </w:tc>
      </w:tr>
      <w:tr w:rsidR="000D4F0F" w:rsidRPr="00227BB8" w14:paraId="01B7EEE0" w14:textId="77777777" w:rsidTr="00030D37">
        <w:trPr>
          <w:trHeight w:val="287"/>
        </w:trPr>
        <w:tc>
          <w:tcPr>
            <w:tcW w:w="4111" w:type="dxa"/>
            <w:tcBorders>
              <w:top w:val="nil"/>
              <w:left w:val="nil"/>
              <w:bottom w:val="nil"/>
              <w:right w:val="nil"/>
            </w:tcBorders>
            <w:shd w:val="clear" w:color="auto" w:fill="EEDDFF"/>
            <w:vAlign w:val="center"/>
            <w:hideMark/>
          </w:tcPr>
          <w:p w14:paraId="598E2CC9" w14:textId="77777777" w:rsidR="00227BB8" w:rsidRPr="00227BB8" w:rsidRDefault="00227BB8" w:rsidP="00030D37">
            <w:pPr>
              <w:spacing w:before="0" w:after="0" w:line="240" w:lineRule="auto"/>
              <w:jc w:val="center"/>
              <w:rPr>
                <w:rFonts w:ascii="Calibri" w:hAnsi="Calibri" w:cs="Calibri"/>
                <w:b/>
                <w:bCs/>
                <w:color w:val="000000"/>
                <w:sz w:val="22"/>
                <w:szCs w:val="22"/>
              </w:rPr>
            </w:pPr>
            <w:r w:rsidRPr="00227BB8">
              <w:rPr>
                <w:rFonts w:ascii="Calibri" w:hAnsi="Calibri" w:cs="Calibri"/>
                <w:b/>
                <w:bCs/>
                <w:color w:val="000000"/>
                <w:sz w:val="22"/>
                <w:szCs w:val="22"/>
              </w:rPr>
              <w:t>DNO Licence Area</w:t>
            </w:r>
          </w:p>
        </w:tc>
        <w:tc>
          <w:tcPr>
            <w:tcW w:w="1397" w:type="dxa"/>
            <w:gridSpan w:val="2"/>
            <w:tcBorders>
              <w:top w:val="nil"/>
              <w:left w:val="nil"/>
              <w:bottom w:val="nil"/>
              <w:right w:val="nil"/>
            </w:tcBorders>
            <w:shd w:val="clear" w:color="auto" w:fill="EEDDFF"/>
            <w:vAlign w:val="center"/>
            <w:hideMark/>
          </w:tcPr>
          <w:p w14:paraId="3E58FDB4" w14:textId="77777777" w:rsidR="00227BB8" w:rsidRPr="00227BB8" w:rsidRDefault="00227BB8" w:rsidP="00030D37">
            <w:pPr>
              <w:spacing w:before="0" w:after="0" w:line="240" w:lineRule="auto"/>
              <w:jc w:val="center"/>
              <w:rPr>
                <w:rFonts w:ascii="Calibri" w:hAnsi="Calibri" w:cs="Calibri"/>
                <w:b/>
                <w:bCs/>
                <w:color w:val="000000"/>
                <w:sz w:val="22"/>
                <w:szCs w:val="22"/>
              </w:rPr>
            </w:pPr>
            <w:r w:rsidRPr="00227BB8">
              <w:rPr>
                <w:rFonts w:ascii="Calibri" w:hAnsi="Calibri" w:cs="Calibri"/>
                <w:b/>
                <w:bCs/>
                <w:color w:val="000000"/>
                <w:sz w:val="22"/>
                <w:szCs w:val="22"/>
              </w:rPr>
              <w:t>Without DCP 266</w:t>
            </w:r>
          </w:p>
        </w:tc>
        <w:tc>
          <w:tcPr>
            <w:tcW w:w="2005" w:type="dxa"/>
            <w:tcBorders>
              <w:top w:val="nil"/>
              <w:left w:val="nil"/>
              <w:bottom w:val="nil"/>
              <w:right w:val="nil"/>
            </w:tcBorders>
            <w:shd w:val="clear" w:color="auto" w:fill="EEDDFF"/>
            <w:vAlign w:val="center"/>
            <w:hideMark/>
          </w:tcPr>
          <w:p w14:paraId="7709A9CB" w14:textId="77777777" w:rsidR="00227BB8" w:rsidRPr="00227BB8" w:rsidRDefault="00227BB8" w:rsidP="00030D37">
            <w:pPr>
              <w:spacing w:before="0" w:after="0" w:line="240" w:lineRule="auto"/>
              <w:jc w:val="center"/>
              <w:rPr>
                <w:rFonts w:ascii="Calibri" w:hAnsi="Calibri" w:cs="Calibri"/>
                <w:b/>
                <w:bCs/>
                <w:color w:val="000000"/>
                <w:sz w:val="22"/>
                <w:szCs w:val="22"/>
              </w:rPr>
            </w:pPr>
            <w:r w:rsidRPr="00227BB8">
              <w:rPr>
                <w:rFonts w:ascii="Calibri" w:hAnsi="Calibri" w:cs="Calibri"/>
                <w:b/>
                <w:bCs/>
                <w:color w:val="000000"/>
                <w:sz w:val="22"/>
                <w:szCs w:val="22"/>
              </w:rPr>
              <w:t>With DCP 266</w:t>
            </w:r>
          </w:p>
        </w:tc>
        <w:tc>
          <w:tcPr>
            <w:tcW w:w="1663" w:type="dxa"/>
            <w:tcBorders>
              <w:top w:val="nil"/>
              <w:left w:val="nil"/>
              <w:bottom w:val="nil"/>
              <w:right w:val="nil"/>
            </w:tcBorders>
            <w:shd w:val="clear" w:color="auto" w:fill="EEDDFF"/>
            <w:vAlign w:val="center"/>
            <w:hideMark/>
          </w:tcPr>
          <w:p w14:paraId="48C3D4EB" w14:textId="77777777" w:rsidR="00227BB8" w:rsidRPr="00227BB8" w:rsidRDefault="00227BB8">
            <w:pPr>
              <w:spacing w:before="0" w:after="0" w:line="240" w:lineRule="auto"/>
              <w:jc w:val="center"/>
              <w:rPr>
                <w:rFonts w:ascii="Calibri" w:hAnsi="Calibri" w:cs="Calibri"/>
                <w:b/>
                <w:bCs/>
                <w:color w:val="000000"/>
                <w:sz w:val="22"/>
                <w:szCs w:val="22"/>
              </w:rPr>
            </w:pPr>
            <w:r w:rsidRPr="00227BB8">
              <w:rPr>
                <w:rFonts w:ascii="Calibri" w:hAnsi="Calibri" w:cs="Calibri"/>
                <w:b/>
                <w:bCs/>
                <w:color w:val="000000"/>
                <w:sz w:val="22"/>
                <w:szCs w:val="22"/>
              </w:rPr>
              <w:t>Change</w:t>
            </w:r>
          </w:p>
        </w:tc>
        <w:tc>
          <w:tcPr>
            <w:tcW w:w="236" w:type="dxa"/>
            <w:vAlign w:val="center"/>
            <w:hideMark/>
          </w:tcPr>
          <w:p w14:paraId="1BCC2519" w14:textId="77777777" w:rsidR="00227BB8" w:rsidRPr="00227BB8" w:rsidRDefault="00227BB8" w:rsidP="00227BB8">
            <w:pPr>
              <w:spacing w:before="0" w:after="0" w:line="240" w:lineRule="auto"/>
              <w:rPr>
                <w:rFonts w:ascii="Times New Roman" w:hAnsi="Times New Roman"/>
                <w:szCs w:val="20"/>
              </w:rPr>
            </w:pPr>
          </w:p>
        </w:tc>
      </w:tr>
      <w:tr w:rsidR="000D4F0F" w:rsidRPr="00227BB8" w14:paraId="3816CA0F" w14:textId="77777777" w:rsidTr="000D4F0F">
        <w:trPr>
          <w:trHeight w:val="287"/>
        </w:trPr>
        <w:tc>
          <w:tcPr>
            <w:tcW w:w="4111" w:type="dxa"/>
            <w:tcBorders>
              <w:top w:val="nil"/>
              <w:left w:val="nil"/>
              <w:bottom w:val="nil"/>
              <w:right w:val="nil"/>
            </w:tcBorders>
            <w:shd w:val="clear" w:color="000000" w:fill="FFCC99"/>
            <w:vAlign w:val="center"/>
            <w:hideMark/>
          </w:tcPr>
          <w:p w14:paraId="0853C319" w14:textId="2E000BF6"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Electricity North West</w:t>
            </w:r>
          </w:p>
        </w:tc>
        <w:tc>
          <w:tcPr>
            <w:tcW w:w="1276" w:type="dxa"/>
            <w:tcBorders>
              <w:top w:val="nil"/>
              <w:left w:val="nil"/>
              <w:bottom w:val="nil"/>
              <w:right w:val="nil"/>
            </w:tcBorders>
            <w:shd w:val="clear" w:color="000000" w:fill="CCFFCC"/>
            <w:noWrap/>
            <w:vAlign w:val="bottom"/>
            <w:hideMark/>
          </w:tcPr>
          <w:p w14:paraId="107040A6"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35.73% </w:t>
            </w:r>
          </w:p>
        </w:tc>
        <w:tc>
          <w:tcPr>
            <w:tcW w:w="2126" w:type="dxa"/>
            <w:gridSpan w:val="2"/>
            <w:tcBorders>
              <w:top w:val="nil"/>
              <w:left w:val="nil"/>
              <w:bottom w:val="nil"/>
              <w:right w:val="nil"/>
            </w:tcBorders>
            <w:shd w:val="clear" w:color="000000" w:fill="CCFFCC"/>
            <w:noWrap/>
            <w:vAlign w:val="bottom"/>
            <w:hideMark/>
          </w:tcPr>
          <w:p w14:paraId="3D6CCB01" w14:textId="77777777" w:rsidR="00227BB8" w:rsidRPr="00227BB8" w:rsidRDefault="00227BB8" w:rsidP="00227BB8">
            <w:pPr>
              <w:spacing w:before="0" w:after="0" w:line="240" w:lineRule="auto"/>
              <w:ind w:left="572" w:hanging="572"/>
              <w:jc w:val="center"/>
              <w:rPr>
                <w:rFonts w:ascii="Calibri" w:hAnsi="Calibri" w:cs="Calibri"/>
                <w:color w:val="FF00FF"/>
                <w:sz w:val="22"/>
                <w:szCs w:val="22"/>
              </w:rPr>
            </w:pPr>
            <w:r w:rsidRPr="00227BB8">
              <w:rPr>
                <w:rFonts w:ascii="Calibri" w:hAnsi="Calibri" w:cs="Calibri"/>
                <w:color w:val="000000"/>
                <w:sz w:val="22"/>
                <w:szCs w:val="22"/>
              </w:rPr>
              <w:t xml:space="preserve">     30.63% </w:t>
            </w:r>
          </w:p>
        </w:tc>
        <w:tc>
          <w:tcPr>
            <w:tcW w:w="1663" w:type="dxa"/>
            <w:tcBorders>
              <w:top w:val="nil"/>
              <w:left w:val="nil"/>
              <w:bottom w:val="nil"/>
              <w:right w:val="nil"/>
            </w:tcBorders>
            <w:shd w:val="clear" w:color="000000" w:fill="FFFFCC"/>
            <w:noWrap/>
            <w:vAlign w:val="bottom"/>
            <w:hideMark/>
          </w:tcPr>
          <w:p w14:paraId="11B4C47D"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5.10%</w:t>
            </w:r>
          </w:p>
        </w:tc>
        <w:tc>
          <w:tcPr>
            <w:tcW w:w="236" w:type="dxa"/>
            <w:vAlign w:val="center"/>
            <w:hideMark/>
          </w:tcPr>
          <w:p w14:paraId="5EE2A668" w14:textId="77777777" w:rsidR="00227BB8" w:rsidRPr="00227BB8" w:rsidRDefault="00227BB8" w:rsidP="00227BB8">
            <w:pPr>
              <w:spacing w:before="0" w:after="0" w:line="240" w:lineRule="auto"/>
              <w:rPr>
                <w:rFonts w:ascii="Times New Roman" w:hAnsi="Times New Roman"/>
                <w:szCs w:val="20"/>
              </w:rPr>
            </w:pPr>
          </w:p>
        </w:tc>
      </w:tr>
      <w:tr w:rsidR="00227BB8" w:rsidRPr="00227BB8" w14:paraId="272C566A" w14:textId="77777777" w:rsidTr="00030D37">
        <w:trPr>
          <w:trHeight w:val="287"/>
        </w:trPr>
        <w:tc>
          <w:tcPr>
            <w:tcW w:w="4111" w:type="dxa"/>
            <w:tcBorders>
              <w:top w:val="nil"/>
              <w:left w:val="nil"/>
              <w:bottom w:val="nil"/>
              <w:right w:val="nil"/>
            </w:tcBorders>
            <w:shd w:val="clear" w:color="000000" w:fill="FFCC99"/>
            <w:vAlign w:val="center"/>
            <w:hideMark/>
          </w:tcPr>
          <w:p w14:paraId="5D5278F7" w14:textId="35738396"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Northern Powergrid Northeast</w:t>
            </w:r>
          </w:p>
        </w:tc>
        <w:tc>
          <w:tcPr>
            <w:tcW w:w="1276" w:type="dxa"/>
            <w:tcBorders>
              <w:top w:val="nil"/>
              <w:left w:val="nil"/>
              <w:bottom w:val="nil"/>
              <w:right w:val="nil"/>
            </w:tcBorders>
            <w:shd w:val="clear" w:color="000000" w:fill="CCFFCC"/>
            <w:noWrap/>
            <w:vAlign w:val="bottom"/>
            <w:hideMark/>
          </w:tcPr>
          <w:p w14:paraId="3FF77B90"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39.76% </w:t>
            </w:r>
          </w:p>
        </w:tc>
        <w:tc>
          <w:tcPr>
            <w:tcW w:w="2126" w:type="dxa"/>
            <w:gridSpan w:val="2"/>
            <w:tcBorders>
              <w:top w:val="nil"/>
              <w:left w:val="nil"/>
              <w:bottom w:val="nil"/>
              <w:right w:val="nil"/>
            </w:tcBorders>
            <w:shd w:val="clear" w:color="000000" w:fill="CCFFCC"/>
            <w:noWrap/>
            <w:vAlign w:val="bottom"/>
            <w:hideMark/>
          </w:tcPr>
          <w:p w14:paraId="144C295E"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33.69% </w:t>
            </w:r>
          </w:p>
        </w:tc>
        <w:tc>
          <w:tcPr>
            <w:tcW w:w="1663" w:type="dxa"/>
            <w:tcBorders>
              <w:top w:val="nil"/>
              <w:left w:val="nil"/>
              <w:bottom w:val="nil"/>
              <w:right w:val="nil"/>
            </w:tcBorders>
            <w:shd w:val="clear" w:color="000000" w:fill="FFFFCC"/>
            <w:noWrap/>
            <w:vAlign w:val="bottom"/>
            <w:hideMark/>
          </w:tcPr>
          <w:p w14:paraId="48DBBDC2"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6.08%</w:t>
            </w:r>
          </w:p>
        </w:tc>
        <w:tc>
          <w:tcPr>
            <w:tcW w:w="236" w:type="dxa"/>
            <w:vAlign w:val="center"/>
            <w:hideMark/>
          </w:tcPr>
          <w:p w14:paraId="310BA7AD" w14:textId="77777777" w:rsidR="00227BB8" w:rsidRPr="00227BB8" w:rsidRDefault="00227BB8" w:rsidP="00227BB8">
            <w:pPr>
              <w:spacing w:before="0" w:after="0" w:line="240" w:lineRule="auto"/>
              <w:rPr>
                <w:rFonts w:ascii="Times New Roman" w:hAnsi="Times New Roman"/>
                <w:szCs w:val="20"/>
              </w:rPr>
            </w:pPr>
          </w:p>
        </w:tc>
      </w:tr>
      <w:tr w:rsidR="00227BB8" w:rsidRPr="00227BB8" w14:paraId="6DC43A69" w14:textId="77777777" w:rsidTr="00030D37">
        <w:trPr>
          <w:trHeight w:val="287"/>
        </w:trPr>
        <w:tc>
          <w:tcPr>
            <w:tcW w:w="4111" w:type="dxa"/>
            <w:tcBorders>
              <w:top w:val="nil"/>
              <w:left w:val="nil"/>
              <w:bottom w:val="nil"/>
              <w:right w:val="nil"/>
            </w:tcBorders>
            <w:shd w:val="clear" w:color="000000" w:fill="FFCC99"/>
            <w:vAlign w:val="center"/>
            <w:hideMark/>
          </w:tcPr>
          <w:p w14:paraId="6AFBEDAF" w14:textId="30883C4C"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Northern Powergrid Yorkshire</w:t>
            </w:r>
          </w:p>
        </w:tc>
        <w:tc>
          <w:tcPr>
            <w:tcW w:w="1276" w:type="dxa"/>
            <w:tcBorders>
              <w:top w:val="nil"/>
              <w:left w:val="nil"/>
              <w:bottom w:val="nil"/>
              <w:right w:val="nil"/>
            </w:tcBorders>
            <w:shd w:val="clear" w:color="000000" w:fill="CCFFCC"/>
            <w:noWrap/>
            <w:vAlign w:val="bottom"/>
            <w:hideMark/>
          </w:tcPr>
          <w:p w14:paraId="5DDA2FDC"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39.22% </w:t>
            </w:r>
          </w:p>
        </w:tc>
        <w:tc>
          <w:tcPr>
            <w:tcW w:w="2126" w:type="dxa"/>
            <w:gridSpan w:val="2"/>
            <w:tcBorders>
              <w:top w:val="nil"/>
              <w:left w:val="nil"/>
              <w:bottom w:val="nil"/>
              <w:right w:val="nil"/>
            </w:tcBorders>
            <w:shd w:val="clear" w:color="000000" w:fill="CCFFCC"/>
            <w:noWrap/>
            <w:vAlign w:val="bottom"/>
            <w:hideMark/>
          </w:tcPr>
          <w:p w14:paraId="166AEA4F"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35.45% </w:t>
            </w:r>
          </w:p>
        </w:tc>
        <w:tc>
          <w:tcPr>
            <w:tcW w:w="1663" w:type="dxa"/>
            <w:tcBorders>
              <w:top w:val="nil"/>
              <w:left w:val="nil"/>
              <w:bottom w:val="nil"/>
              <w:right w:val="nil"/>
            </w:tcBorders>
            <w:shd w:val="clear" w:color="000000" w:fill="FFFFCC"/>
            <w:noWrap/>
            <w:vAlign w:val="bottom"/>
            <w:hideMark/>
          </w:tcPr>
          <w:p w14:paraId="1EAB94F2"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3.76%</w:t>
            </w:r>
          </w:p>
        </w:tc>
        <w:tc>
          <w:tcPr>
            <w:tcW w:w="236" w:type="dxa"/>
            <w:vAlign w:val="center"/>
            <w:hideMark/>
          </w:tcPr>
          <w:p w14:paraId="377DBCE4" w14:textId="77777777" w:rsidR="00227BB8" w:rsidRPr="00227BB8" w:rsidRDefault="00227BB8" w:rsidP="00227BB8">
            <w:pPr>
              <w:spacing w:before="0" w:after="0" w:line="240" w:lineRule="auto"/>
              <w:rPr>
                <w:rFonts w:ascii="Times New Roman" w:hAnsi="Times New Roman"/>
                <w:szCs w:val="20"/>
              </w:rPr>
            </w:pPr>
          </w:p>
        </w:tc>
      </w:tr>
      <w:tr w:rsidR="00227BB8" w:rsidRPr="00227BB8" w14:paraId="4DEEC271" w14:textId="77777777" w:rsidTr="00030D37">
        <w:trPr>
          <w:trHeight w:val="287"/>
        </w:trPr>
        <w:tc>
          <w:tcPr>
            <w:tcW w:w="4111" w:type="dxa"/>
            <w:tcBorders>
              <w:top w:val="nil"/>
              <w:left w:val="nil"/>
              <w:bottom w:val="nil"/>
              <w:right w:val="nil"/>
            </w:tcBorders>
            <w:shd w:val="clear" w:color="000000" w:fill="FFCC99"/>
            <w:vAlign w:val="center"/>
            <w:hideMark/>
          </w:tcPr>
          <w:p w14:paraId="1C01C835" w14:textId="7AD68524"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Southern Electric Power Distribution</w:t>
            </w:r>
          </w:p>
        </w:tc>
        <w:tc>
          <w:tcPr>
            <w:tcW w:w="1276" w:type="dxa"/>
            <w:tcBorders>
              <w:top w:val="nil"/>
              <w:left w:val="nil"/>
              <w:bottom w:val="nil"/>
              <w:right w:val="nil"/>
            </w:tcBorders>
            <w:shd w:val="clear" w:color="000000" w:fill="CCFFCC"/>
            <w:noWrap/>
            <w:vAlign w:val="bottom"/>
            <w:hideMark/>
          </w:tcPr>
          <w:p w14:paraId="0B6A48B0"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34.13% </w:t>
            </w:r>
          </w:p>
        </w:tc>
        <w:tc>
          <w:tcPr>
            <w:tcW w:w="2126" w:type="dxa"/>
            <w:gridSpan w:val="2"/>
            <w:tcBorders>
              <w:top w:val="nil"/>
              <w:left w:val="nil"/>
              <w:bottom w:val="nil"/>
              <w:right w:val="nil"/>
            </w:tcBorders>
            <w:shd w:val="clear" w:color="000000" w:fill="CCFFCC"/>
            <w:noWrap/>
            <w:vAlign w:val="bottom"/>
            <w:hideMark/>
          </w:tcPr>
          <w:p w14:paraId="07733A98"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31.73% </w:t>
            </w:r>
          </w:p>
        </w:tc>
        <w:tc>
          <w:tcPr>
            <w:tcW w:w="1663" w:type="dxa"/>
            <w:tcBorders>
              <w:top w:val="nil"/>
              <w:left w:val="nil"/>
              <w:bottom w:val="nil"/>
              <w:right w:val="nil"/>
            </w:tcBorders>
            <w:shd w:val="clear" w:color="000000" w:fill="FFFFCC"/>
            <w:noWrap/>
            <w:vAlign w:val="bottom"/>
            <w:hideMark/>
          </w:tcPr>
          <w:p w14:paraId="6A9B849A"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2.40%</w:t>
            </w:r>
          </w:p>
        </w:tc>
        <w:tc>
          <w:tcPr>
            <w:tcW w:w="236" w:type="dxa"/>
            <w:vAlign w:val="center"/>
            <w:hideMark/>
          </w:tcPr>
          <w:p w14:paraId="6B3AE84D" w14:textId="77777777" w:rsidR="00227BB8" w:rsidRPr="00227BB8" w:rsidRDefault="00227BB8" w:rsidP="00227BB8">
            <w:pPr>
              <w:spacing w:before="0" w:after="0" w:line="240" w:lineRule="auto"/>
              <w:rPr>
                <w:rFonts w:ascii="Times New Roman" w:hAnsi="Times New Roman"/>
                <w:szCs w:val="20"/>
              </w:rPr>
            </w:pPr>
          </w:p>
        </w:tc>
      </w:tr>
      <w:tr w:rsidR="00227BB8" w:rsidRPr="00227BB8" w14:paraId="31ABCCBA" w14:textId="77777777" w:rsidTr="00030D37">
        <w:trPr>
          <w:trHeight w:val="287"/>
        </w:trPr>
        <w:tc>
          <w:tcPr>
            <w:tcW w:w="4111" w:type="dxa"/>
            <w:tcBorders>
              <w:top w:val="nil"/>
              <w:left w:val="nil"/>
              <w:bottom w:val="nil"/>
              <w:right w:val="nil"/>
            </w:tcBorders>
            <w:shd w:val="clear" w:color="000000" w:fill="FFCC99"/>
            <w:vAlign w:val="center"/>
            <w:hideMark/>
          </w:tcPr>
          <w:p w14:paraId="5BA63540" w14:textId="39F9332E"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Scottish Hydro Electric Power Distribution</w:t>
            </w:r>
          </w:p>
        </w:tc>
        <w:tc>
          <w:tcPr>
            <w:tcW w:w="1276" w:type="dxa"/>
            <w:tcBorders>
              <w:top w:val="nil"/>
              <w:left w:val="nil"/>
              <w:bottom w:val="nil"/>
              <w:right w:val="nil"/>
            </w:tcBorders>
            <w:shd w:val="clear" w:color="000000" w:fill="CCFFCC"/>
            <w:noWrap/>
            <w:vAlign w:val="bottom"/>
            <w:hideMark/>
          </w:tcPr>
          <w:p w14:paraId="1255CE0A"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28.74% </w:t>
            </w:r>
          </w:p>
        </w:tc>
        <w:tc>
          <w:tcPr>
            <w:tcW w:w="2126" w:type="dxa"/>
            <w:gridSpan w:val="2"/>
            <w:tcBorders>
              <w:top w:val="nil"/>
              <w:left w:val="nil"/>
              <w:bottom w:val="nil"/>
              <w:right w:val="nil"/>
            </w:tcBorders>
            <w:shd w:val="clear" w:color="000000" w:fill="CCFFCC"/>
            <w:noWrap/>
            <w:vAlign w:val="bottom"/>
            <w:hideMark/>
          </w:tcPr>
          <w:p w14:paraId="00CE1DCB"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24.58% </w:t>
            </w:r>
          </w:p>
        </w:tc>
        <w:tc>
          <w:tcPr>
            <w:tcW w:w="1663" w:type="dxa"/>
            <w:tcBorders>
              <w:top w:val="nil"/>
              <w:left w:val="nil"/>
              <w:bottom w:val="nil"/>
              <w:right w:val="nil"/>
            </w:tcBorders>
            <w:shd w:val="clear" w:color="000000" w:fill="FFFFCC"/>
            <w:noWrap/>
            <w:vAlign w:val="bottom"/>
            <w:hideMark/>
          </w:tcPr>
          <w:p w14:paraId="7E59A525"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4.16%</w:t>
            </w:r>
          </w:p>
        </w:tc>
        <w:tc>
          <w:tcPr>
            <w:tcW w:w="236" w:type="dxa"/>
            <w:vAlign w:val="center"/>
            <w:hideMark/>
          </w:tcPr>
          <w:p w14:paraId="502189AF" w14:textId="77777777" w:rsidR="00227BB8" w:rsidRPr="00227BB8" w:rsidRDefault="00227BB8" w:rsidP="00227BB8">
            <w:pPr>
              <w:spacing w:before="0" w:after="0" w:line="240" w:lineRule="auto"/>
              <w:rPr>
                <w:rFonts w:ascii="Times New Roman" w:hAnsi="Times New Roman"/>
                <w:szCs w:val="20"/>
              </w:rPr>
            </w:pPr>
          </w:p>
        </w:tc>
      </w:tr>
      <w:tr w:rsidR="00227BB8" w:rsidRPr="00227BB8" w14:paraId="0BDE32A8" w14:textId="77777777" w:rsidTr="00030D37">
        <w:trPr>
          <w:trHeight w:val="287"/>
        </w:trPr>
        <w:tc>
          <w:tcPr>
            <w:tcW w:w="4111" w:type="dxa"/>
            <w:tcBorders>
              <w:top w:val="nil"/>
              <w:left w:val="nil"/>
              <w:bottom w:val="nil"/>
              <w:right w:val="nil"/>
            </w:tcBorders>
            <w:shd w:val="clear" w:color="000000" w:fill="FFCC99"/>
            <w:vAlign w:val="center"/>
            <w:hideMark/>
          </w:tcPr>
          <w:p w14:paraId="26D9C05B" w14:textId="696DBF70"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Eastern Power Networks</w:t>
            </w:r>
          </w:p>
        </w:tc>
        <w:tc>
          <w:tcPr>
            <w:tcW w:w="1276" w:type="dxa"/>
            <w:tcBorders>
              <w:top w:val="nil"/>
              <w:left w:val="nil"/>
              <w:bottom w:val="nil"/>
              <w:right w:val="nil"/>
            </w:tcBorders>
            <w:shd w:val="clear" w:color="000000" w:fill="CCFFCC"/>
            <w:noWrap/>
            <w:vAlign w:val="bottom"/>
            <w:hideMark/>
          </w:tcPr>
          <w:p w14:paraId="0AB53329"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30.84% </w:t>
            </w:r>
          </w:p>
        </w:tc>
        <w:tc>
          <w:tcPr>
            <w:tcW w:w="2126" w:type="dxa"/>
            <w:gridSpan w:val="2"/>
            <w:tcBorders>
              <w:top w:val="nil"/>
              <w:left w:val="nil"/>
              <w:bottom w:val="nil"/>
              <w:right w:val="nil"/>
            </w:tcBorders>
            <w:shd w:val="clear" w:color="000000" w:fill="CCFFCC"/>
            <w:noWrap/>
            <w:vAlign w:val="bottom"/>
            <w:hideMark/>
          </w:tcPr>
          <w:p w14:paraId="64786609"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22.06% </w:t>
            </w:r>
          </w:p>
        </w:tc>
        <w:tc>
          <w:tcPr>
            <w:tcW w:w="1663" w:type="dxa"/>
            <w:tcBorders>
              <w:top w:val="nil"/>
              <w:left w:val="nil"/>
              <w:bottom w:val="nil"/>
              <w:right w:val="nil"/>
            </w:tcBorders>
            <w:shd w:val="clear" w:color="000000" w:fill="FFFF00"/>
            <w:noWrap/>
            <w:vAlign w:val="bottom"/>
            <w:hideMark/>
          </w:tcPr>
          <w:p w14:paraId="79EF65AC" w14:textId="57A3558A"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8.78%</w:t>
            </w:r>
          </w:p>
        </w:tc>
        <w:tc>
          <w:tcPr>
            <w:tcW w:w="236" w:type="dxa"/>
            <w:vAlign w:val="center"/>
            <w:hideMark/>
          </w:tcPr>
          <w:p w14:paraId="701C61BB" w14:textId="77777777" w:rsidR="00227BB8" w:rsidRPr="00227BB8" w:rsidRDefault="00227BB8" w:rsidP="00227BB8">
            <w:pPr>
              <w:spacing w:before="0" w:after="0" w:line="240" w:lineRule="auto"/>
              <w:rPr>
                <w:rFonts w:ascii="Times New Roman" w:hAnsi="Times New Roman"/>
                <w:szCs w:val="20"/>
              </w:rPr>
            </w:pPr>
          </w:p>
        </w:tc>
      </w:tr>
      <w:tr w:rsidR="00227BB8" w:rsidRPr="00227BB8" w14:paraId="32D42797" w14:textId="77777777" w:rsidTr="00030D37">
        <w:trPr>
          <w:trHeight w:val="287"/>
        </w:trPr>
        <w:tc>
          <w:tcPr>
            <w:tcW w:w="4111" w:type="dxa"/>
            <w:tcBorders>
              <w:top w:val="nil"/>
              <w:left w:val="nil"/>
              <w:bottom w:val="nil"/>
              <w:right w:val="nil"/>
            </w:tcBorders>
            <w:shd w:val="clear" w:color="000000" w:fill="FFCC99"/>
            <w:vAlign w:val="center"/>
            <w:hideMark/>
          </w:tcPr>
          <w:p w14:paraId="664A03E9" w14:textId="2E1E042B"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London Power Networks</w:t>
            </w:r>
          </w:p>
        </w:tc>
        <w:tc>
          <w:tcPr>
            <w:tcW w:w="1276" w:type="dxa"/>
            <w:tcBorders>
              <w:top w:val="nil"/>
              <w:left w:val="nil"/>
              <w:bottom w:val="nil"/>
              <w:right w:val="nil"/>
            </w:tcBorders>
            <w:shd w:val="clear" w:color="000000" w:fill="CCFFCC"/>
            <w:noWrap/>
            <w:vAlign w:val="bottom"/>
            <w:hideMark/>
          </w:tcPr>
          <w:p w14:paraId="4084FA48"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26.90% </w:t>
            </w:r>
          </w:p>
        </w:tc>
        <w:tc>
          <w:tcPr>
            <w:tcW w:w="2126" w:type="dxa"/>
            <w:gridSpan w:val="2"/>
            <w:tcBorders>
              <w:top w:val="nil"/>
              <w:left w:val="nil"/>
              <w:bottom w:val="nil"/>
              <w:right w:val="nil"/>
            </w:tcBorders>
            <w:shd w:val="clear" w:color="000000" w:fill="CCFFCC"/>
            <w:noWrap/>
            <w:vAlign w:val="bottom"/>
            <w:hideMark/>
          </w:tcPr>
          <w:p w14:paraId="48826091"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21.25% </w:t>
            </w:r>
          </w:p>
        </w:tc>
        <w:tc>
          <w:tcPr>
            <w:tcW w:w="1663" w:type="dxa"/>
            <w:tcBorders>
              <w:top w:val="nil"/>
              <w:left w:val="nil"/>
              <w:bottom w:val="nil"/>
              <w:right w:val="nil"/>
            </w:tcBorders>
            <w:shd w:val="clear" w:color="000000" w:fill="FFFFCC"/>
            <w:noWrap/>
            <w:vAlign w:val="bottom"/>
            <w:hideMark/>
          </w:tcPr>
          <w:p w14:paraId="4CBF6E4C"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5.65%</w:t>
            </w:r>
          </w:p>
        </w:tc>
        <w:tc>
          <w:tcPr>
            <w:tcW w:w="236" w:type="dxa"/>
            <w:vAlign w:val="center"/>
            <w:hideMark/>
          </w:tcPr>
          <w:p w14:paraId="66F7285B" w14:textId="77777777" w:rsidR="00227BB8" w:rsidRPr="00227BB8" w:rsidRDefault="00227BB8" w:rsidP="00227BB8">
            <w:pPr>
              <w:spacing w:before="0" w:after="0" w:line="240" w:lineRule="auto"/>
              <w:rPr>
                <w:rFonts w:ascii="Times New Roman" w:hAnsi="Times New Roman"/>
                <w:szCs w:val="20"/>
              </w:rPr>
            </w:pPr>
          </w:p>
        </w:tc>
      </w:tr>
      <w:tr w:rsidR="00227BB8" w:rsidRPr="00227BB8" w14:paraId="5487EA38" w14:textId="77777777" w:rsidTr="00030D37">
        <w:trPr>
          <w:trHeight w:val="287"/>
        </w:trPr>
        <w:tc>
          <w:tcPr>
            <w:tcW w:w="4111" w:type="dxa"/>
            <w:tcBorders>
              <w:top w:val="nil"/>
              <w:left w:val="nil"/>
              <w:bottom w:val="nil"/>
              <w:right w:val="nil"/>
            </w:tcBorders>
            <w:shd w:val="clear" w:color="000000" w:fill="FFCC99"/>
            <w:vAlign w:val="center"/>
            <w:hideMark/>
          </w:tcPr>
          <w:p w14:paraId="0FFFA15A" w14:textId="24193978"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South Eastern Power Networks</w:t>
            </w:r>
          </w:p>
        </w:tc>
        <w:tc>
          <w:tcPr>
            <w:tcW w:w="1276" w:type="dxa"/>
            <w:tcBorders>
              <w:top w:val="nil"/>
              <w:left w:val="nil"/>
              <w:bottom w:val="nil"/>
              <w:right w:val="nil"/>
            </w:tcBorders>
            <w:shd w:val="clear" w:color="000000" w:fill="CCFFCC"/>
            <w:noWrap/>
            <w:vAlign w:val="bottom"/>
            <w:hideMark/>
          </w:tcPr>
          <w:p w14:paraId="5CDDB6D6"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31.26% </w:t>
            </w:r>
          </w:p>
        </w:tc>
        <w:tc>
          <w:tcPr>
            <w:tcW w:w="2126" w:type="dxa"/>
            <w:gridSpan w:val="2"/>
            <w:tcBorders>
              <w:top w:val="nil"/>
              <w:left w:val="nil"/>
              <w:bottom w:val="nil"/>
              <w:right w:val="nil"/>
            </w:tcBorders>
            <w:shd w:val="clear" w:color="000000" w:fill="CCFFCC"/>
            <w:noWrap/>
            <w:vAlign w:val="bottom"/>
            <w:hideMark/>
          </w:tcPr>
          <w:p w14:paraId="40BC11F9"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23.78% </w:t>
            </w:r>
          </w:p>
        </w:tc>
        <w:tc>
          <w:tcPr>
            <w:tcW w:w="1663" w:type="dxa"/>
            <w:tcBorders>
              <w:top w:val="nil"/>
              <w:left w:val="nil"/>
              <w:bottom w:val="nil"/>
              <w:right w:val="nil"/>
            </w:tcBorders>
            <w:shd w:val="clear" w:color="000000" w:fill="FFFFCC"/>
            <w:noWrap/>
            <w:vAlign w:val="bottom"/>
            <w:hideMark/>
          </w:tcPr>
          <w:p w14:paraId="0A0A5C52"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7.48%</w:t>
            </w:r>
          </w:p>
        </w:tc>
        <w:tc>
          <w:tcPr>
            <w:tcW w:w="236" w:type="dxa"/>
            <w:vAlign w:val="center"/>
            <w:hideMark/>
          </w:tcPr>
          <w:p w14:paraId="4A84679E" w14:textId="77777777" w:rsidR="00227BB8" w:rsidRPr="00227BB8" w:rsidRDefault="00227BB8" w:rsidP="00227BB8">
            <w:pPr>
              <w:spacing w:before="0" w:after="0" w:line="240" w:lineRule="auto"/>
              <w:rPr>
                <w:rFonts w:ascii="Times New Roman" w:hAnsi="Times New Roman"/>
                <w:szCs w:val="20"/>
              </w:rPr>
            </w:pPr>
          </w:p>
        </w:tc>
      </w:tr>
      <w:tr w:rsidR="00227BB8" w:rsidRPr="00227BB8" w14:paraId="6C889014" w14:textId="77777777" w:rsidTr="00030D37">
        <w:trPr>
          <w:trHeight w:val="287"/>
        </w:trPr>
        <w:tc>
          <w:tcPr>
            <w:tcW w:w="4111" w:type="dxa"/>
            <w:tcBorders>
              <w:top w:val="nil"/>
              <w:left w:val="nil"/>
              <w:bottom w:val="nil"/>
              <w:right w:val="nil"/>
            </w:tcBorders>
            <w:shd w:val="clear" w:color="000000" w:fill="FFCC99"/>
            <w:vAlign w:val="center"/>
            <w:hideMark/>
          </w:tcPr>
          <w:p w14:paraId="7D314DAB" w14:textId="0592845B"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WPD East Midlands</w:t>
            </w:r>
          </w:p>
        </w:tc>
        <w:tc>
          <w:tcPr>
            <w:tcW w:w="1276" w:type="dxa"/>
            <w:tcBorders>
              <w:top w:val="nil"/>
              <w:left w:val="nil"/>
              <w:bottom w:val="nil"/>
              <w:right w:val="nil"/>
            </w:tcBorders>
            <w:shd w:val="clear" w:color="000000" w:fill="CCFFCC"/>
            <w:noWrap/>
            <w:vAlign w:val="bottom"/>
            <w:hideMark/>
          </w:tcPr>
          <w:p w14:paraId="677D8577"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30.14% </w:t>
            </w:r>
          </w:p>
        </w:tc>
        <w:tc>
          <w:tcPr>
            <w:tcW w:w="2126" w:type="dxa"/>
            <w:gridSpan w:val="2"/>
            <w:tcBorders>
              <w:top w:val="nil"/>
              <w:left w:val="nil"/>
              <w:bottom w:val="nil"/>
              <w:right w:val="nil"/>
            </w:tcBorders>
            <w:shd w:val="clear" w:color="000000" w:fill="CCFFCC"/>
            <w:noWrap/>
            <w:vAlign w:val="bottom"/>
            <w:hideMark/>
          </w:tcPr>
          <w:p w14:paraId="5576193F"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28.83% </w:t>
            </w:r>
          </w:p>
        </w:tc>
        <w:tc>
          <w:tcPr>
            <w:tcW w:w="1663" w:type="dxa"/>
            <w:tcBorders>
              <w:top w:val="nil"/>
              <w:left w:val="nil"/>
              <w:bottom w:val="nil"/>
              <w:right w:val="nil"/>
            </w:tcBorders>
            <w:shd w:val="clear" w:color="000000" w:fill="FFFF00"/>
            <w:noWrap/>
            <w:vAlign w:val="bottom"/>
            <w:hideMark/>
          </w:tcPr>
          <w:p w14:paraId="2EB358C2"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1.32%</w:t>
            </w:r>
          </w:p>
        </w:tc>
        <w:tc>
          <w:tcPr>
            <w:tcW w:w="236" w:type="dxa"/>
            <w:vAlign w:val="center"/>
            <w:hideMark/>
          </w:tcPr>
          <w:p w14:paraId="3160E045" w14:textId="77777777" w:rsidR="00227BB8" w:rsidRPr="00227BB8" w:rsidRDefault="00227BB8" w:rsidP="00227BB8">
            <w:pPr>
              <w:spacing w:before="0" w:after="0" w:line="240" w:lineRule="auto"/>
              <w:rPr>
                <w:rFonts w:ascii="Times New Roman" w:hAnsi="Times New Roman"/>
                <w:szCs w:val="20"/>
              </w:rPr>
            </w:pPr>
          </w:p>
        </w:tc>
      </w:tr>
      <w:tr w:rsidR="00227BB8" w:rsidRPr="00227BB8" w14:paraId="202A4493" w14:textId="77777777" w:rsidTr="00030D37">
        <w:trPr>
          <w:trHeight w:val="287"/>
        </w:trPr>
        <w:tc>
          <w:tcPr>
            <w:tcW w:w="4111" w:type="dxa"/>
            <w:tcBorders>
              <w:top w:val="nil"/>
              <w:left w:val="nil"/>
              <w:bottom w:val="nil"/>
              <w:right w:val="nil"/>
            </w:tcBorders>
            <w:shd w:val="clear" w:color="000000" w:fill="FFCC99"/>
            <w:vAlign w:val="center"/>
            <w:hideMark/>
          </w:tcPr>
          <w:p w14:paraId="4E0C4760" w14:textId="6375C121"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WPD South Wales</w:t>
            </w:r>
          </w:p>
        </w:tc>
        <w:tc>
          <w:tcPr>
            <w:tcW w:w="1276" w:type="dxa"/>
            <w:tcBorders>
              <w:top w:val="nil"/>
              <w:left w:val="nil"/>
              <w:bottom w:val="nil"/>
              <w:right w:val="nil"/>
            </w:tcBorders>
            <w:shd w:val="clear" w:color="000000" w:fill="CCFFCC"/>
            <w:noWrap/>
            <w:vAlign w:val="bottom"/>
            <w:hideMark/>
          </w:tcPr>
          <w:p w14:paraId="481B0E4F"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32.65% </w:t>
            </w:r>
          </w:p>
        </w:tc>
        <w:tc>
          <w:tcPr>
            <w:tcW w:w="2126" w:type="dxa"/>
            <w:gridSpan w:val="2"/>
            <w:tcBorders>
              <w:top w:val="nil"/>
              <w:left w:val="nil"/>
              <w:bottom w:val="nil"/>
              <w:right w:val="nil"/>
            </w:tcBorders>
            <w:shd w:val="clear" w:color="000000" w:fill="CCFFCC"/>
            <w:noWrap/>
            <w:vAlign w:val="bottom"/>
            <w:hideMark/>
          </w:tcPr>
          <w:p w14:paraId="5100BDC5"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27.48% </w:t>
            </w:r>
          </w:p>
        </w:tc>
        <w:tc>
          <w:tcPr>
            <w:tcW w:w="1663" w:type="dxa"/>
            <w:tcBorders>
              <w:top w:val="nil"/>
              <w:left w:val="nil"/>
              <w:bottom w:val="nil"/>
              <w:right w:val="nil"/>
            </w:tcBorders>
            <w:shd w:val="clear" w:color="000000" w:fill="FFFFCC"/>
            <w:noWrap/>
            <w:vAlign w:val="bottom"/>
            <w:hideMark/>
          </w:tcPr>
          <w:p w14:paraId="247D1CF0"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5.17%</w:t>
            </w:r>
          </w:p>
        </w:tc>
        <w:tc>
          <w:tcPr>
            <w:tcW w:w="236" w:type="dxa"/>
            <w:vAlign w:val="center"/>
            <w:hideMark/>
          </w:tcPr>
          <w:p w14:paraId="6ECBEC04" w14:textId="77777777" w:rsidR="00227BB8" w:rsidRPr="00227BB8" w:rsidRDefault="00227BB8" w:rsidP="00227BB8">
            <w:pPr>
              <w:spacing w:before="0" w:after="0" w:line="240" w:lineRule="auto"/>
              <w:rPr>
                <w:rFonts w:ascii="Times New Roman" w:hAnsi="Times New Roman"/>
                <w:szCs w:val="20"/>
              </w:rPr>
            </w:pPr>
          </w:p>
        </w:tc>
      </w:tr>
      <w:tr w:rsidR="00227BB8" w:rsidRPr="00227BB8" w14:paraId="3FC11C58" w14:textId="77777777" w:rsidTr="00030D37">
        <w:trPr>
          <w:trHeight w:val="287"/>
        </w:trPr>
        <w:tc>
          <w:tcPr>
            <w:tcW w:w="4111" w:type="dxa"/>
            <w:tcBorders>
              <w:top w:val="nil"/>
              <w:left w:val="nil"/>
              <w:bottom w:val="nil"/>
              <w:right w:val="nil"/>
            </w:tcBorders>
            <w:shd w:val="clear" w:color="000000" w:fill="FFCC99"/>
            <w:vAlign w:val="center"/>
            <w:hideMark/>
          </w:tcPr>
          <w:p w14:paraId="10957D44" w14:textId="1ED2EF5B"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WPD South West</w:t>
            </w:r>
          </w:p>
        </w:tc>
        <w:tc>
          <w:tcPr>
            <w:tcW w:w="1276" w:type="dxa"/>
            <w:tcBorders>
              <w:top w:val="nil"/>
              <w:left w:val="nil"/>
              <w:bottom w:val="nil"/>
              <w:right w:val="nil"/>
            </w:tcBorders>
            <w:shd w:val="clear" w:color="000000" w:fill="CCFFCC"/>
            <w:noWrap/>
            <w:vAlign w:val="bottom"/>
            <w:hideMark/>
          </w:tcPr>
          <w:p w14:paraId="51F36694"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37.27% </w:t>
            </w:r>
          </w:p>
        </w:tc>
        <w:tc>
          <w:tcPr>
            <w:tcW w:w="2126" w:type="dxa"/>
            <w:gridSpan w:val="2"/>
            <w:tcBorders>
              <w:top w:val="nil"/>
              <w:left w:val="nil"/>
              <w:bottom w:val="nil"/>
              <w:right w:val="nil"/>
            </w:tcBorders>
            <w:shd w:val="clear" w:color="000000" w:fill="CCFFCC"/>
            <w:noWrap/>
            <w:vAlign w:val="bottom"/>
            <w:hideMark/>
          </w:tcPr>
          <w:p w14:paraId="01B3238C"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33.04% </w:t>
            </w:r>
          </w:p>
        </w:tc>
        <w:tc>
          <w:tcPr>
            <w:tcW w:w="1663" w:type="dxa"/>
            <w:tcBorders>
              <w:top w:val="nil"/>
              <w:left w:val="nil"/>
              <w:bottom w:val="nil"/>
              <w:right w:val="nil"/>
            </w:tcBorders>
            <w:shd w:val="clear" w:color="000000" w:fill="FFFFCC"/>
            <w:noWrap/>
            <w:vAlign w:val="bottom"/>
            <w:hideMark/>
          </w:tcPr>
          <w:p w14:paraId="506754ED"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4.23%</w:t>
            </w:r>
          </w:p>
        </w:tc>
        <w:tc>
          <w:tcPr>
            <w:tcW w:w="236" w:type="dxa"/>
            <w:vAlign w:val="center"/>
            <w:hideMark/>
          </w:tcPr>
          <w:p w14:paraId="2731E23E" w14:textId="77777777" w:rsidR="00227BB8" w:rsidRPr="00227BB8" w:rsidRDefault="00227BB8" w:rsidP="00227BB8">
            <w:pPr>
              <w:spacing w:before="0" w:after="0" w:line="240" w:lineRule="auto"/>
              <w:rPr>
                <w:rFonts w:ascii="Times New Roman" w:hAnsi="Times New Roman"/>
                <w:szCs w:val="20"/>
              </w:rPr>
            </w:pPr>
          </w:p>
        </w:tc>
      </w:tr>
      <w:tr w:rsidR="00227BB8" w:rsidRPr="00227BB8" w14:paraId="2733F926" w14:textId="77777777" w:rsidTr="00030D37">
        <w:trPr>
          <w:trHeight w:val="287"/>
        </w:trPr>
        <w:tc>
          <w:tcPr>
            <w:tcW w:w="4111" w:type="dxa"/>
            <w:tcBorders>
              <w:top w:val="nil"/>
              <w:left w:val="nil"/>
              <w:bottom w:val="nil"/>
              <w:right w:val="nil"/>
            </w:tcBorders>
            <w:shd w:val="clear" w:color="000000" w:fill="FFCC99"/>
            <w:vAlign w:val="center"/>
            <w:hideMark/>
          </w:tcPr>
          <w:p w14:paraId="6E69422B" w14:textId="1F6411F5" w:rsidR="00227BB8" w:rsidRPr="00227BB8" w:rsidRDefault="00227BB8" w:rsidP="00227BB8">
            <w:pPr>
              <w:spacing w:before="0" w:after="0" w:line="240" w:lineRule="auto"/>
              <w:rPr>
                <w:rFonts w:ascii="Calibri" w:hAnsi="Calibri" w:cs="Calibri"/>
                <w:color w:val="000000"/>
                <w:sz w:val="22"/>
                <w:szCs w:val="22"/>
              </w:rPr>
            </w:pPr>
            <w:r w:rsidRPr="00111A90">
              <w:rPr>
                <w:rFonts w:ascii="Calibri" w:hAnsi="Calibri" w:cs="Calibri"/>
                <w:color w:val="000000"/>
                <w:sz w:val="22"/>
                <w:szCs w:val="22"/>
              </w:rPr>
              <w:t>WPD West Midlands</w:t>
            </w:r>
          </w:p>
        </w:tc>
        <w:tc>
          <w:tcPr>
            <w:tcW w:w="1276" w:type="dxa"/>
            <w:tcBorders>
              <w:top w:val="nil"/>
              <w:left w:val="nil"/>
              <w:bottom w:val="nil"/>
              <w:right w:val="nil"/>
            </w:tcBorders>
            <w:shd w:val="clear" w:color="000000" w:fill="CCFFCC"/>
            <w:noWrap/>
            <w:vAlign w:val="bottom"/>
            <w:hideMark/>
          </w:tcPr>
          <w:p w14:paraId="571C6288"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33.30% </w:t>
            </w:r>
          </w:p>
        </w:tc>
        <w:tc>
          <w:tcPr>
            <w:tcW w:w="2126" w:type="dxa"/>
            <w:gridSpan w:val="2"/>
            <w:tcBorders>
              <w:top w:val="nil"/>
              <w:left w:val="nil"/>
              <w:bottom w:val="nil"/>
              <w:right w:val="nil"/>
            </w:tcBorders>
            <w:shd w:val="clear" w:color="000000" w:fill="CCFFCC"/>
            <w:noWrap/>
            <w:vAlign w:val="bottom"/>
            <w:hideMark/>
          </w:tcPr>
          <w:p w14:paraId="76FCDF6F"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000000"/>
                <w:sz w:val="22"/>
                <w:szCs w:val="22"/>
              </w:rPr>
              <w:t xml:space="preserve">     31.82% </w:t>
            </w:r>
          </w:p>
        </w:tc>
        <w:tc>
          <w:tcPr>
            <w:tcW w:w="1663" w:type="dxa"/>
            <w:tcBorders>
              <w:top w:val="nil"/>
              <w:left w:val="nil"/>
              <w:bottom w:val="nil"/>
              <w:right w:val="nil"/>
            </w:tcBorders>
            <w:shd w:val="clear" w:color="000000" w:fill="FFFFCC"/>
            <w:noWrap/>
            <w:vAlign w:val="bottom"/>
            <w:hideMark/>
          </w:tcPr>
          <w:p w14:paraId="5E1491F8" w14:textId="77777777" w:rsidR="00227BB8" w:rsidRPr="00227BB8" w:rsidRDefault="00227BB8" w:rsidP="00227BB8">
            <w:pPr>
              <w:spacing w:before="0" w:after="0" w:line="240" w:lineRule="auto"/>
              <w:jc w:val="center"/>
              <w:rPr>
                <w:rFonts w:ascii="Calibri" w:hAnsi="Calibri" w:cs="Calibri"/>
                <w:color w:val="FF00FF"/>
                <w:sz w:val="22"/>
                <w:szCs w:val="22"/>
              </w:rPr>
            </w:pPr>
            <w:r w:rsidRPr="00227BB8">
              <w:rPr>
                <w:rFonts w:ascii="Calibri" w:hAnsi="Calibri" w:cs="Calibri"/>
                <w:color w:val="FF0000"/>
                <w:sz w:val="22"/>
                <w:szCs w:val="22"/>
              </w:rPr>
              <w:t xml:space="preserve"> -     1.48%</w:t>
            </w:r>
          </w:p>
        </w:tc>
        <w:tc>
          <w:tcPr>
            <w:tcW w:w="236" w:type="dxa"/>
            <w:vAlign w:val="center"/>
            <w:hideMark/>
          </w:tcPr>
          <w:p w14:paraId="5630BF9E" w14:textId="77777777" w:rsidR="00227BB8" w:rsidRPr="00227BB8" w:rsidRDefault="00227BB8" w:rsidP="00227BB8">
            <w:pPr>
              <w:spacing w:before="0" w:after="0" w:line="240" w:lineRule="auto"/>
              <w:rPr>
                <w:rFonts w:ascii="Times New Roman" w:hAnsi="Times New Roman"/>
                <w:szCs w:val="20"/>
              </w:rPr>
            </w:pPr>
          </w:p>
        </w:tc>
      </w:tr>
      <w:tr w:rsidR="00227BB8" w:rsidRPr="00227BB8" w14:paraId="659B8D69" w14:textId="77777777" w:rsidTr="00030D37">
        <w:trPr>
          <w:trHeight w:val="285"/>
        </w:trPr>
        <w:tc>
          <w:tcPr>
            <w:tcW w:w="4111" w:type="dxa"/>
            <w:tcBorders>
              <w:top w:val="nil"/>
              <w:left w:val="nil"/>
              <w:bottom w:val="nil"/>
              <w:right w:val="nil"/>
            </w:tcBorders>
            <w:shd w:val="clear" w:color="auto" w:fill="EEDDFF"/>
            <w:noWrap/>
            <w:vAlign w:val="bottom"/>
            <w:hideMark/>
          </w:tcPr>
          <w:p w14:paraId="532AA31B" w14:textId="77777777" w:rsidR="00227BB8" w:rsidRPr="00227BB8" w:rsidRDefault="00227BB8" w:rsidP="00227BB8">
            <w:pPr>
              <w:spacing w:before="0" w:after="0" w:line="240" w:lineRule="auto"/>
              <w:rPr>
                <w:rFonts w:ascii="Times New Roman" w:hAnsi="Times New Roman"/>
                <w:szCs w:val="20"/>
              </w:rPr>
            </w:pPr>
          </w:p>
        </w:tc>
        <w:tc>
          <w:tcPr>
            <w:tcW w:w="1276" w:type="dxa"/>
            <w:tcBorders>
              <w:top w:val="nil"/>
              <w:left w:val="nil"/>
              <w:bottom w:val="nil"/>
              <w:right w:val="nil"/>
            </w:tcBorders>
            <w:shd w:val="clear" w:color="auto" w:fill="EEDDFF"/>
            <w:noWrap/>
            <w:vAlign w:val="bottom"/>
            <w:hideMark/>
          </w:tcPr>
          <w:p w14:paraId="25C02E8F" w14:textId="77777777" w:rsidR="00227BB8" w:rsidRPr="00227BB8" w:rsidRDefault="00227BB8" w:rsidP="00227BB8">
            <w:pPr>
              <w:spacing w:before="0" w:after="0" w:line="240" w:lineRule="auto"/>
              <w:rPr>
                <w:rFonts w:ascii="Times New Roman" w:hAnsi="Times New Roman"/>
                <w:szCs w:val="20"/>
              </w:rPr>
            </w:pPr>
          </w:p>
        </w:tc>
        <w:tc>
          <w:tcPr>
            <w:tcW w:w="2126" w:type="dxa"/>
            <w:gridSpan w:val="2"/>
            <w:tcBorders>
              <w:top w:val="nil"/>
              <w:left w:val="nil"/>
              <w:bottom w:val="nil"/>
              <w:right w:val="nil"/>
            </w:tcBorders>
            <w:shd w:val="clear" w:color="auto" w:fill="EEDDFF"/>
            <w:noWrap/>
            <w:vAlign w:val="bottom"/>
            <w:hideMark/>
          </w:tcPr>
          <w:p w14:paraId="58C6DF11" w14:textId="77777777" w:rsidR="00227BB8" w:rsidRPr="00227BB8" w:rsidRDefault="00227BB8" w:rsidP="00227BB8">
            <w:pPr>
              <w:spacing w:before="0" w:after="0" w:line="240" w:lineRule="auto"/>
              <w:jc w:val="right"/>
              <w:rPr>
                <w:rFonts w:ascii="Calibri" w:hAnsi="Calibri" w:cs="Calibri"/>
                <w:b/>
                <w:bCs/>
                <w:color w:val="000000"/>
                <w:sz w:val="22"/>
                <w:szCs w:val="22"/>
              </w:rPr>
            </w:pPr>
            <w:r w:rsidRPr="00227BB8">
              <w:rPr>
                <w:rFonts w:ascii="Calibri" w:hAnsi="Calibri" w:cs="Calibri"/>
                <w:b/>
                <w:bCs/>
                <w:color w:val="000000"/>
                <w:sz w:val="22"/>
                <w:szCs w:val="22"/>
              </w:rPr>
              <w:t>Average =</w:t>
            </w:r>
          </w:p>
        </w:tc>
        <w:tc>
          <w:tcPr>
            <w:tcW w:w="1663" w:type="dxa"/>
            <w:tcBorders>
              <w:top w:val="nil"/>
              <w:left w:val="nil"/>
              <w:bottom w:val="nil"/>
              <w:right w:val="nil"/>
            </w:tcBorders>
            <w:shd w:val="clear" w:color="auto" w:fill="EEDDFF"/>
            <w:noWrap/>
            <w:vAlign w:val="bottom"/>
            <w:hideMark/>
          </w:tcPr>
          <w:p w14:paraId="60687514" w14:textId="77777777" w:rsidR="00227BB8" w:rsidRPr="00227BB8" w:rsidRDefault="00227BB8" w:rsidP="00227BB8">
            <w:pPr>
              <w:spacing w:before="0" w:after="0" w:line="240" w:lineRule="auto"/>
              <w:jc w:val="center"/>
              <w:rPr>
                <w:rFonts w:ascii="Calibri" w:hAnsi="Calibri" w:cs="Calibri"/>
                <w:color w:val="000000"/>
                <w:sz w:val="22"/>
                <w:szCs w:val="22"/>
              </w:rPr>
            </w:pPr>
            <w:r w:rsidRPr="00227BB8">
              <w:rPr>
                <w:rFonts w:ascii="Calibri" w:hAnsi="Calibri" w:cs="Calibri"/>
                <w:color w:val="FF0000"/>
                <w:sz w:val="22"/>
                <w:szCs w:val="22"/>
              </w:rPr>
              <w:t xml:space="preserve"> -     4.63%</w:t>
            </w:r>
          </w:p>
        </w:tc>
        <w:tc>
          <w:tcPr>
            <w:tcW w:w="236" w:type="dxa"/>
            <w:vAlign w:val="center"/>
            <w:hideMark/>
          </w:tcPr>
          <w:p w14:paraId="22605B4E" w14:textId="77777777" w:rsidR="00227BB8" w:rsidRPr="00227BB8" w:rsidRDefault="00227BB8" w:rsidP="00227BB8">
            <w:pPr>
              <w:spacing w:before="0" w:after="0" w:line="240" w:lineRule="auto"/>
              <w:rPr>
                <w:rFonts w:ascii="Times New Roman" w:hAnsi="Times New Roman"/>
                <w:szCs w:val="20"/>
              </w:rPr>
            </w:pPr>
          </w:p>
        </w:tc>
      </w:tr>
    </w:tbl>
    <w:p w14:paraId="6D879430" w14:textId="7D3B2DA8" w:rsidR="003317EE" w:rsidRDefault="003317EE" w:rsidP="003317EE">
      <w:pPr>
        <w:pStyle w:val="Caption"/>
      </w:pPr>
      <w:r>
        <w:t>Table 2</w:t>
      </w:r>
      <w:r>
        <w:rPr>
          <w:noProof/>
        </w:rPr>
        <w:t>:</w:t>
      </w:r>
      <w:r>
        <w:t xml:space="preserve"> Summary of the impact of DCP 266 (excluding SPEN SPM and SPEN SPD) on LDNO</w:t>
      </w:r>
      <w:r w:rsidR="00DC0632">
        <w:t xml:space="preserve"> Discounts percentages (ignoring fixed charges)</w:t>
      </w:r>
    </w:p>
    <w:p w14:paraId="214ECFFE" w14:textId="77777777" w:rsidR="00797A08" w:rsidRPr="00EB32BB" w:rsidRDefault="00797A08" w:rsidP="00797A08">
      <w:pPr>
        <w:pStyle w:val="Heading4"/>
        <w:keepLines w:val="0"/>
        <w:spacing w:before="120" w:line="240" w:lineRule="auto"/>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678E15EB" w14:textId="77777777" w:rsidR="00797A08" w:rsidRPr="008C0B7B" w:rsidRDefault="00797A08" w:rsidP="00797A08">
      <w:pPr>
        <w:pStyle w:val="Heading2"/>
        <w:keepNext w:val="0"/>
        <w:numPr>
          <w:ilvl w:val="1"/>
          <w:numId w:val="14"/>
        </w:numPr>
        <w:spacing w:before="240" w:after="60" w:line="360" w:lineRule="auto"/>
        <w:jc w:val="both"/>
        <w:rPr>
          <w:rFonts w:cs="Times New Roman"/>
          <w:bCs w:val="0"/>
          <w:iCs w:val="0"/>
          <w:color w:val="auto"/>
          <w:sz w:val="20"/>
          <w:szCs w:val="24"/>
        </w:rPr>
      </w:pPr>
      <w:r w:rsidRPr="008C0B7B">
        <w:rPr>
          <w:rFonts w:cs="Times New Roman"/>
          <w:bCs w:val="0"/>
          <w:iCs w:val="0"/>
          <w:color w:val="auto"/>
          <w:sz w:val="20"/>
          <w:szCs w:val="24"/>
        </w:rPr>
        <w:t xml:space="preserve">In accordance with DCUSA Clause 11.14.6, the Working Group assessed whether there would be a material impact on greenhouse gas emissions if DCP </w:t>
      </w:r>
      <w:r>
        <w:rPr>
          <w:rFonts w:cs="Times New Roman"/>
          <w:bCs w:val="0"/>
          <w:iCs w:val="0"/>
          <w:color w:val="auto"/>
          <w:sz w:val="20"/>
          <w:szCs w:val="24"/>
        </w:rPr>
        <w:t>266</w:t>
      </w:r>
      <w:r w:rsidRPr="008C0B7B">
        <w:rPr>
          <w:rFonts w:cs="Times New Roman"/>
          <w:bCs w:val="0"/>
          <w:iCs w:val="0"/>
          <w:color w:val="auto"/>
          <w:sz w:val="20"/>
          <w:szCs w:val="24"/>
        </w:rPr>
        <w:t xml:space="preserve"> were implemented. The Working Group did not identify any material impact on greenhouse gas emissions from the implementation of this CP.</w:t>
      </w:r>
    </w:p>
    <w:p w14:paraId="50EBBF9F" w14:textId="77777777" w:rsidR="00797A08" w:rsidRPr="00B52063" w:rsidRDefault="00797A08" w:rsidP="00797A08">
      <w:pPr>
        <w:pStyle w:val="Heading4"/>
        <w:keepLines w:val="0"/>
        <w:spacing w:before="120" w:line="240" w:lineRule="auto"/>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7F231C23" w14:textId="77777777" w:rsidR="00797A08" w:rsidRPr="00962EC4" w:rsidRDefault="00797A08" w:rsidP="00962EC4">
      <w:pPr>
        <w:pStyle w:val="Heading2"/>
        <w:keepNext w:val="0"/>
        <w:numPr>
          <w:ilvl w:val="1"/>
          <w:numId w:val="14"/>
        </w:numPr>
        <w:spacing w:line="360" w:lineRule="auto"/>
        <w:ind w:left="578" w:hanging="578"/>
        <w:jc w:val="both"/>
        <w:rPr>
          <w:rFonts w:cs="Times New Roman"/>
          <w:bCs w:val="0"/>
          <w:iCs w:val="0"/>
          <w:color w:val="auto"/>
          <w:sz w:val="20"/>
          <w:szCs w:val="24"/>
        </w:rPr>
      </w:pPr>
      <w:r w:rsidRPr="002733C1">
        <w:rPr>
          <w:rFonts w:cs="Times New Roman"/>
          <w:bCs w:val="0"/>
          <w:iCs w:val="0"/>
          <w:color w:val="auto"/>
          <w:sz w:val="20"/>
          <w:szCs w:val="24"/>
        </w:rPr>
        <w:t xml:space="preserve">Ofgem has been fully engaged throughout the development of DCP </w:t>
      </w:r>
      <w:r>
        <w:rPr>
          <w:rFonts w:cs="Times New Roman"/>
          <w:bCs w:val="0"/>
          <w:iCs w:val="0"/>
          <w:color w:val="auto"/>
          <w:sz w:val="20"/>
          <w:szCs w:val="24"/>
        </w:rPr>
        <w:t>266</w:t>
      </w:r>
      <w:r w:rsidRPr="002733C1">
        <w:rPr>
          <w:rFonts w:cs="Times New Roman"/>
          <w:bCs w:val="0"/>
          <w:iCs w:val="0"/>
          <w:color w:val="auto"/>
          <w:sz w:val="20"/>
          <w:szCs w:val="24"/>
        </w:rPr>
        <w:t xml:space="preserve"> as a</w:t>
      </w:r>
      <w:r>
        <w:rPr>
          <w:rFonts w:cs="Times New Roman"/>
          <w:bCs w:val="0"/>
          <w:iCs w:val="0"/>
          <w:color w:val="auto"/>
          <w:sz w:val="20"/>
          <w:szCs w:val="24"/>
        </w:rPr>
        <w:t>n Observing</w:t>
      </w:r>
      <w:r w:rsidRPr="002733C1">
        <w:rPr>
          <w:rFonts w:cs="Times New Roman"/>
          <w:bCs w:val="0"/>
          <w:iCs w:val="0"/>
          <w:color w:val="auto"/>
          <w:sz w:val="20"/>
          <w:szCs w:val="24"/>
        </w:rPr>
        <w:t xml:space="preserve"> member of the Working Group.</w:t>
      </w:r>
    </w:p>
    <w:p w14:paraId="00FB61B5" w14:textId="77777777" w:rsidR="00450385" w:rsidRPr="00EB32BB" w:rsidRDefault="00C31A20" w:rsidP="00CC0C7A">
      <w:pPr>
        <w:pStyle w:val="Heading02"/>
        <w:keepNext w:val="0"/>
        <w:numPr>
          <w:ilvl w:val="0"/>
          <w:numId w:val="14"/>
        </w:numPr>
        <w:rPr>
          <w:noProof/>
        </w:rPr>
      </w:pPr>
      <w:bookmarkStart w:id="21" w:name="_Toc318962140"/>
      <w:bookmarkStart w:id="22" w:name="_Toc453107803"/>
      <w:bookmarkStart w:id="23" w:name="_Toc494981279"/>
      <w:r w:rsidRPr="00EB32BB">
        <w:rPr>
          <w:noProof/>
        </w:rPr>
        <w:t>Imple</w:t>
      </w:r>
      <w:r w:rsidR="00461C2F" w:rsidRPr="00EB32BB">
        <w:rPr>
          <w:noProof/>
        </w:rPr>
        <w:t>me</w:t>
      </w:r>
      <w:r w:rsidRPr="00EB32BB">
        <w:rPr>
          <w:noProof/>
        </w:rPr>
        <w:t>ntation</w:t>
      </w:r>
      <w:bookmarkEnd w:id="21"/>
      <w:bookmarkEnd w:id="22"/>
      <w:bookmarkEnd w:id="23"/>
    </w:p>
    <w:p w14:paraId="46DFFAF3" w14:textId="2400D0D6" w:rsidR="002B219B" w:rsidRDefault="002B219B" w:rsidP="00030D37">
      <w:pPr>
        <w:pStyle w:val="Heading2"/>
        <w:keepNext w:val="0"/>
        <w:numPr>
          <w:ilvl w:val="1"/>
          <w:numId w:val="14"/>
        </w:numPr>
        <w:spacing w:line="360" w:lineRule="auto"/>
        <w:ind w:left="578" w:hanging="578"/>
        <w:jc w:val="both"/>
        <w:rPr>
          <w:rFonts w:cs="Times New Roman"/>
          <w:bCs w:val="0"/>
          <w:iCs w:val="0"/>
          <w:color w:val="auto"/>
          <w:sz w:val="20"/>
          <w:szCs w:val="24"/>
        </w:rPr>
      </w:pPr>
      <w:bookmarkStart w:id="24" w:name="_Toc156882583"/>
      <w:bookmarkStart w:id="25" w:name="_Toc163008071"/>
      <w:bookmarkStart w:id="26" w:name="_Toc318962141"/>
      <w:bookmarkStart w:id="27" w:name="_Toc453107804"/>
      <w:r w:rsidRPr="00030D37">
        <w:rPr>
          <w:rFonts w:cs="Times New Roman"/>
          <w:bCs w:val="0"/>
          <w:iCs w:val="0"/>
          <w:color w:val="auto"/>
          <w:sz w:val="20"/>
          <w:szCs w:val="24"/>
        </w:rPr>
        <w:t>The</w:t>
      </w:r>
      <w:r w:rsidR="00034DDE" w:rsidRPr="00030D37">
        <w:rPr>
          <w:rFonts w:cs="Times New Roman"/>
          <w:bCs w:val="0"/>
          <w:iCs w:val="0"/>
          <w:color w:val="auto"/>
          <w:sz w:val="20"/>
          <w:szCs w:val="24"/>
        </w:rPr>
        <w:t xml:space="preserve"> proposed implementation date for DCP 266</w:t>
      </w:r>
      <w:r w:rsidRPr="00030D37">
        <w:rPr>
          <w:rFonts w:cs="Times New Roman"/>
          <w:bCs w:val="0"/>
          <w:iCs w:val="0"/>
          <w:color w:val="auto"/>
          <w:sz w:val="20"/>
          <w:szCs w:val="24"/>
        </w:rPr>
        <w:t xml:space="preserve"> is 1 April 20</w:t>
      </w:r>
      <w:r w:rsidR="00687915" w:rsidRPr="00030D37">
        <w:rPr>
          <w:rFonts w:cs="Times New Roman"/>
          <w:bCs w:val="0"/>
          <w:iCs w:val="0"/>
          <w:color w:val="auto"/>
          <w:sz w:val="20"/>
          <w:szCs w:val="24"/>
        </w:rPr>
        <w:t>20</w:t>
      </w:r>
      <w:r w:rsidRPr="00030D37">
        <w:rPr>
          <w:rFonts w:cs="Times New Roman"/>
          <w:bCs w:val="0"/>
          <w:iCs w:val="0"/>
          <w:color w:val="auto"/>
          <w:sz w:val="20"/>
          <w:szCs w:val="24"/>
        </w:rPr>
        <w:t>.</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67689E" w:rsidRPr="0010396A" w14:paraId="05A98C9E" w14:textId="77777777" w:rsidTr="0010396A">
        <w:tc>
          <w:tcPr>
            <w:tcW w:w="9572" w:type="dxa"/>
          </w:tcPr>
          <w:p w14:paraId="1EF705E3" w14:textId="26B21446" w:rsidR="0067689E" w:rsidRPr="0010396A" w:rsidRDefault="003317B3" w:rsidP="0067689E">
            <w:pPr>
              <w:rPr>
                <w:rFonts w:cs="Arial"/>
                <w:b/>
                <w:szCs w:val="20"/>
              </w:rPr>
            </w:pPr>
            <w:r w:rsidRPr="0010396A">
              <w:rPr>
                <w:rFonts w:cs="Arial"/>
                <w:b/>
                <w:szCs w:val="20"/>
              </w:rPr>
              <w:t>QUESTION 10</w:t>
            </w:r>
            <w:r w:rsidR="0067689E" w:rsidRPr="0010396A">
              <w:rPr>
                <w:rFonts w:cs="Arial"/>
                <w:b/>
                <w:szCs w:val="20"/>
              </w:rPr>
              <w:t xml:space="preserve">: </w:t>
            </w:r>
            <w:r w:rsidR="0067689E" w:rsidRPr="0010396A">
              <w:rPr>
                <w:rFonts w:cs="Arial"/>
                <w:b/>
                <w:bCs/>
                <w:iCs/>
                <w:szCs w:val="20"/>
              </w:rPr>
              <w:t>If DCP 266 were to be approved are you supportive of the proposed implementation date of 01 April 2020?</w:t>
            </w:r>
          </w:p>
        </w:tc>
      </w:tr>
    </w:tbl>
    <w:p w14:paraId="19AB1DD6" w14:textId="77777777" w:rsidR="00F04014" w:rsidRPr="00F04014" w:rsidRDefault="00F007A0" w:rsidP="00F04014">
      <w:pPr>
        <w:pStyle w:val="Heading02"/>
        <w:keepNext w:val="0"/>
        <w:numPr>
          <w:ilvl w:val="0"/>
          <w:numId w:val="14"/>
        </w:numPr>
      </w:pPr>
      <w:bookmarkStart w:id="28" w:name="_Toc494981280"/>
      <w:r w:rsidRPr="00EB32BB">
        <w:t>Legal Text</w:t>
      </w:r>
      <w:bookmarkEnd w:id="24"/>
      <w:bookmarkEnd w:id="25"/>
      <w:bookmarkEnd w:id="26"/>
      <w:bookmarkEnd w:id="27"/>
      <w:bookmarkEnd w:id="28"/>
    </w:p>
    <w:p w14:paraId="54A46CB6" w14:textId="33FF056F" w:rsidR="00034DDE" w:rsidRPr="00030D37" w:rsidRDefault="00034DDE" w:rsidP="00030D37">
      <w:pPr>
        <w:pStyle w:val="Heading2"/>
        <w:keepNext w:val="0"/>
        <w:numPr>
          <w:ilvl w:val="1"/>
          <w:numId w:val="14"/>
        </w:numPr>
        <w:spacing w:line="360" w:lineRule="auto"/>
        <w:ind w:left="578" w:hanging="578"/>
        <w:jc w:val="both"/>
        <w:rPr>
          <w:bCs w:val="0"/>
          <w:iCs w:val="0"/>
          <w:sz w:val="20"/>
          <w:szCs w:val="24"/>
        </w:rPr>
      </w:pPr>
      <w:r w:rsidRPr="00030D37">
        <w:rPr>
          <w:rFonts w:cs="Times New Roman"/>
          <w:bCs w:val="0"/>
          <w:iCs w:val="0"/>
          <w:color w:val="auto"/>
          <w:sz w:val="20"/>
          <w:szCs w:val="24"/>
        </w:rPr>
        <w:t xml:space="preserve">The proposed DCP 266 Legal Text has been provided as Attachment </w:t>
      </w:r>
      <w:r w:rsidR="00FE4E0A">
        <w:rPr>
          <w:rFonts w:cs="Times New Roman"/>
          <w:bCs w:val="0"/>
          <w:iCs w:val="0"/>
          <w:color w:val="auto"/>
          <w:sz w:val="20"/>
          <w:szCs w:val="24"/>
        </w:rPr>
        <w:t>2</w:t>
      </w:r>
      <w:r w:rsidRPr="00030D37">
        <w:rPr>
          <w:rFonts w:cs="Times New Roman"/>
          <w:bCs w:val="0"/>
          <w:iCs w:val="0"/>
          <w:color w:val="auto"/>
          <w:sz w:val="20"/>
          <w:szCs w:val="24"/>
        </w:rPr>
        <w:t>.</w:t>
      </w:r>
    </w:p>
    <w:p w14:paraId="42EB7761" w14:textId="598041A0" w:rsidR="00034DDE" w:rsidRDefault="00034DDE" w:rsidP="00030D37">
      <w:pPr>
        <w:pStyle w:val="Heading2"/>
        <w:keepNext w:val="0"/>
        <w:numPr>
          <w:ilvl w:val="1"/>
          <w:numId w:val="14"/>
        </w:numPr>
        <w:spacing w:line="360" w:lineRule="auto"/>
        <w:jc w:val="both"/>
        <w:rPr>
          <w:rFonts w:cs="Times New Roman"/>
          <w:bCs w:val="0"/>
          <w:iCs w:val="0"/>
          <w:color w:val="auto"/>
          <w:sz w:val="20"/>
          <w:szCs w:val="24"/>
        </w:rPr>
      </w:pPr>
      <w:r w:rsidRPr="00030D37">
        <w:rPr>
          <w:rFonts w:cs="Times New Roman"/>
          <w:bCs w:val="0"/>
          <w:iCs w:val="0"/>
          <w:color w:val="auto"/>
          <w:sz w:val="20"/>
          <w:szCs w:val="24"/>
        </w:rPr>
        <w:t xml:space="preserve">The legal text seeks to </w:t>
      </w:r>
      <w:r w:rsidR="00F3084E">
        <w:rPr>
          <w:rFonts w:cs="Times New Roman"/>
          <w:bCs w:val="0"/>
          <w:iCs w:val="0"/>
          <w:color w:val="auto"/>
          <w:sz w:val="20"/>
          <w:szCs w:val="24"/>
        </w:rPr>
        <w:t xml:space="preserve">change the </w:t>
      </w:r>
      <w:r w:rsidR="00F3084E" w:rsidRPr="00F3084E">
        <w:rPr>
          <w:rFonts w:cs="Times New Roman"/>
          <w:bCs w:val="0"/>
          <w:iCs w:val="0"/>
          <w:color w:val="auto"/>
          <w:sz w:val="20"/>
          <w:szCs w:val="24"/>
        </w:rPr>
        <w:t>c</w:t>
      </w:r>
      <w:r w:rsidR="00F3084E">
        <w:rPr>
          <w:rFonts w:cs="Times New Roman"/>
          <w:bCs w:val="0"/>
          <w:iCs w:val="0"/>
          <w:color w:val="auto"/>
          <w:sz w:val="20"/>
          <w:szCs w:val="24"/>
        </w:rPr>
        <w:t>alculation of</w:t>
      </w:r>
      <w:r w:rsidR="00F3084E" w:rsidRPr="00F3084E">
        <w:rPr>
          <w:rFonts w:cs="Times New Roman"/>
          <w:bCs w:val="0"/>
          <w:iCs w:val="0"/>
          <w:color w:val="auto"/>
          <w:sz w:val="20"/>
          <w:szCs w:val="24"/>
        </w:rPr>
        <w:t xml:space="preserve"> an LDNO percentage discount </w:t>
      </w:r>
      <w:r w:rsidR="00F3084E">
        <w:rPr>
          <w:rFonts w:cs="Times New Roman"/>
          <w:bCs w:val="0"/>
          <w:iCs w:val="0"/>
          <w:color w:val="auto"/>
          <w:sz w:val="20"/>
          <w:szCs w:val="24"/>
        </w:rPr>
        <w:t>so</w:t>
      </w:r>
      <w:r w:rsidR="00F3084E" w:rsidRPr="00F3084E">
        <w:rPr>
          <w:rFonts w:cs="Times New Roman"/>
          <w:bCs w:val="0"/>
          <w:iCs w:val="0"/>
          <w:color w:val="auto"/>
          <w:sz w:val="20"/>
          <w:szCs w:val="24"/>
        </w:rPr>
        <w:t xml:space="preserve"> that the avoided total cost (p/kWh) calculated in the PCDM is compared with the average p/kWh figure for each All The Way (ATW) CDCM tariff in order to determine the LDNO % discount factor to be applied to </w:t>
      </w:r>
      <w:r w:rsidR="00F3084E" w:rsidRPr="00F3084E">
        <w:rPr>
          <w:rFonts w:cs="Times New Roman"/>
          <w:bCs w:val="0"/>
          <w:iCs w:val="0"/>
          <w:color w:val="auto"/>
          <w:sz w:val="20"/>
          <w:szCs w:val="24"/>
        </w:rPr>
        <w:lastRenderedPageBreak/>
        <w:t>each of the tariff components of the CDCM ATW tariff.</w:t>
      </w:r>
      <w:r w:rsidR="00F3084E">
        <w:rPr>
          <w:rFonts w:cs="Times New Roman"/>
          <w:bCs w:val="0"/>
          <w:iCs w:val="0"/>
          <w:color w:val="auto"/>
          <w:sz w:val="20"/>
          <w:szCs w:val="24"/>
        </w:rPr>
        <w:t xml:space="preserve"> The legal text also addresses the issues set out in </w:t>
      </w:r>
      <w:r w:rsidR="00F3084E" w:rsidRPr="00164E31">
        <w:rPr>
          <w:color w:val="auto"/>
          <w:sz w:val="20"/>
          <w:szCs w:val="20"/>
          <w:highlight w:val="yellow"/>
        </w:rPr>
        <w:t>para</w:t>
      </w:r>
      <w:r w:rsidR="00F3084E">
        <w:rPr>
          <w:color w:val="auto"/>
          <w:sz w:val="20"/>
          <w:szCs w:val="20"/>
          <w:highlight w:val="yellow"/>
        </w:rPr>
        <w:t>graphs 4.26 to 4.34</w:t>
      </w:r>
      <w:r w:rsidR="00F3084E">
        <w:rPr>
          <w:color w:val="auto"/>
          <w:sz w:val="20"/>
          <w:szCs w:val="20"/>
        </w:rPr>
        <w:t>.</w:t>
      </w:r>
    </w:p>
    <w:tbl>
      <w:tblPr>
        <w:tblStyle w:val="TableGrid"/>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67689E" w:rsidRPr="0010396A" w14:paraId="01598832" w14:textId="77777777" w:rsidTr="0010396A">
        <w:tc>
          <w:tcPr>
            <w:tcW w:w="9572" w:type="dxa"/>
          </w:tcPr>
          <w:p w14:paraId="38CBE694" w14:textId="7B7A8BA1" w:rsidR="0067689E" w:rsidRPr="0010396A" w:rsidRDefault="0067689E" w:rsidP="0067689E">
            <w:pPr>
              <w:rPr>
                <w:rFonts w:cs="Arial"/>
                <w:b/>
                <w:szCs w:val="20"/>
              </w:rPr>
            </w:pPr>
            <w:r w:rsidRPr="0010396A">
              <w:rPr>
                <w:rFonts w:cs="Arial"/>
                <w:b/>
                <w:szCs w:val="20"/>
              </w:rPr>
              <w:t>QUESTION 1</w:t>
            </w:r>
            <w:r w:rsidR="003317B3" w:rsidRPr="0010396A">
              <w:rPr>
                <w:rFonts w:cs="Arial"/>
                <w:b/>
                <w:szCs w:val="20"/>
              </w:rPr>
              <w:t>1</w:t>
            </w:r>
            <w:r w:rsidRPr="0010396A">
              <w:rPr>
                <w:rFonts w:cs="Arial"/>
                <w:b/>
                <w:szCs w:val="20"/>
              </w:rPr>
              <w:t xml:space="preserve">: </w:t>
            </w:r>
            <w:r w:rsidRPr="0010396A">
              <w:rPr>
                <w:rFonts w:cs="Arial"/>
                <w:b/>
                <w:bCs/>
                <w:iCs/>
                <w:szCs w:val="20"/>
              </w:rPr>
              <w:t xml:space="preserve">Do you have any comments on the proposed legal text?  </w:t>
            </w:r>
          </w:p>
        </w:tc>
      </w:tr>
    </w:tbl>
    <w:p w14:paraId="5E4FA857" w14:textId="77777777" w:rsidR="00CC0C7A" w:rsidRPr="00EB32BB" w:rsidRDefault="00CC0C7A" w:rsidP="00CC0C7A">
      <w:pPr>
        <w:pStyle w:val="Heading02"/>
        <w:numPr>
          <w:ilvl w:val="0"/>
          <w:numId w:val="14"/>
        </w:numPr>
      </w:pPr>
      <w:bookmarkStart w:id="29" w:name="_Toc494981281"/>
      <w:r>
        <w:t>Consultation Questions</w:t>
      </w:r>
      <w:bookmarkEnd w:id="29"/>
    </w:p>
    <w:p w14:paraId="30FA0539" w14:textId="77777777" w:rsidR="00C6196F" w:rsidRPr="00030D37" w:rsidRDefault="00C6196F" w:rsidP="00030D37">
      <w:pPr>
        <w:pStyle w:val="Heading2"/>
        <w:keepNext w:val="0"/>
        <w:numPr>
          <w:ilvl w:val="1"/>
          <w:numId w:val="14"/>
        </w:numPr>
        <w:spacing w:line="360" w:lineRule="auto"/>
        <w:ind w:left="578" w:hanging="578"/>
        <w:jc w:val="both"/>
        <w:rPr>
          <w:rFonts w:cs="Times New Roman"/>
          <w:bCs w:val="0"/>
          <w:iCs w:val="0"/>
          <w:color w:val="auto"/>
          <w:sz w:val="20"/>
          <w:szCs w:val="24"/>
        </w:rPr>
      </w:pPr>
      <w:r w:rsidRPr="00030D37">
        <w:rPr>
          <w:rFonts w:cs="Times New Roman"/>
          <w:bCs w:val="0"/>
          <w:iCs w:val="0"/>
          <w:color w:val="auto"/>
          <w:sz w:val="20"/>
          <w:szCs w:val="24"/>
        </w:rPr>
        <w:t>The Working Group is seeking industry views on the following consultation questions:</w:t>
      </w:r>
    </w:p>
    <w:tbl>
      <w:tblPr>
        <w:tblW w:w="5000" w:type="pct"/>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1242"/>
        <w:gridCol w:w="8330"/>
      </w:tblGrid>
      <w:tr w:rsidR="00390758" w:rsidRPr="00AD59E1" w14:paraId="19F1803E" w14:textId="77777777" w:rsidTr="0010396A">
        <w:tc>
          <w:tcPr>
            <w:tcW w:w="649" w:type="pct"/>
            <w:shd w:val="clear" w:color="auto" w:fill="008576"/>
          </w:tcPr>
          <w:p w14:paraId="43796CCB" w14:textId="77777777" w:rsidR="00390758" w:rsidRPr="008417B8" w:rsidRDefault="00390758" w:rsidP="0010396A">
            <w:pPr>
              <w:spacing w:after="0" w:line="240" w:lineRule="auto"/>
              <w:jc w:val="center"/>
              <w:rPr>
                <w:rFonts w:cs="Arial"/>
                <w:b/>
                <w:color w:val="FFFFFF"/>
                <w:szCs w:val="20"/>
              </w:rPr>
            </w:pPr>
            <w:r w:rsidRPr="008417B8">
              <w:rPr>
                <w:rFonts w:cs="Arial"/>
                <w:b/>
                <w:color w:val="FFFFFF"/>
                <w:szCs w:val="20"/>
              </w:rPr>
              <w:t>Question Number</w:t>
            </w:r>
          </w:p>
        </w:tc>
        <w:tc>
          <w:tcPr>
            <w:tcW w:w="4351" w:type="pct"/>
            <w:shd w:val="clear" w:color="auto" w:fill="008576"/>
          </w:tcPr>
          <w:p w14:paraId="244F86C2" w14:textId="77777777" w:rsidR="00390758" w:rsidRPr="00D71F1E" w:rsidRDefault="00390758" w:rsidP="0067689E">
            <w:pPr>
              <w:widowControl w:val="0"/>
              <w:spacing w:after="240" w:line="360" w:lineRule="auto"/>
              <w:jc w:val="both"/>
              <w:rPr>
                <w:b/>
                <w:color w:val="4D4D4D"/>
                <w:szCs w:val="20"/>
              </w:rPr>
            </w:pPr>
            <w:r w:rsidRPr="00390758">
              <w:rPr>
                <w:b/>
                <w:color w:val="FFFFFF"/>
                <w:szCs w:val="20"/>
              </w:rPr>
              <w:t>Questions</w:t>
            </w:r>
          </w:p>
        </w:tc>
      </w:tr>
      <w:tr w:rsidR="00390758" w:rsidRPr="00AD59E1" w14:paraId="197A809F" w14:textId="77777777" w:rsidTr="0010396A">
        <w:tc>
          <w:tcPr>
            <w:tcW w:w="649" w:type="pct"/>
            <w:shd w:val="clear" w:color="auto" w:fill="auto"/>
          </w:tcPr>
          <w:p w14:paraId="60D1941A"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632B9185" w14:textId="77777777" w:rsidR="00390758" w:rsidRPr="003D05AC" w:rsidRDefault="00390758" w:rsidP="0010396A">
            <w:pPr>
              <w:widowControl w:val="0"/>
              <w:spacing w:line="360" w:lineRule="auto"/>
              <w:jc w:val="both"/>
              <w:rPr>
                <w:rFonts w:cs="Arial"/>
                <w:szCs w:val="20"/>
              </w:rPr>
            </w:pPr>
            <w:r w:rsidRPr="003D05AC">
              <w:rPr>
                <w:rFonts w:cs="Arial"/>
                <w:szCs w:val="20"/>
              </w:rPr>
              <w:t>Do you understand the intent of DCP 266?</w:t>
            </w:r>
          </w:p>
        </w:tc>
      </w:tr>
      <w:tr w:rsidR="00390758" w:rsidRPr="00AD59E1" w14:paraId="7011C7B8" w14:textId="77777777" w:rsidTr="0010396A">
        <w:tc>
          <w:tcPr>
            <w:tcW w:w="649" w:type="pct"/>
            <w:shd w:val="clear" w:color="auto" w:fill="auto"/>
          </w:tcPr>
          <w:p w14:paraId="0BA51D6B"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2191C3D0" w14:textId="06FE7E18" w:rsidR="00390758" w:rsidRPr="003D05AC" w:rsidRDefault="003317B3" w:rsidP="0010396A">
            <w:pPr>
              <w:widowControl w:val="0"/>
              <w:spacing w:line="360" w:lineRule="auto"/>
              <w:jc w:val="both"/>
              <w:rPr>
                <w:rFonts w:cs="Arial"/>
                <w:szCs w:val="20"/>
              </w:rPr>
            </w:pPr>
            <w:r w:rsidRPr="003D05AC">
              <w:rPr>
                <w:rFonts w:cs="Arial"/>
                <w:szCs w:val="20"/>
              </w:rPr>
              <w:t>Do you agree with the approach to use current charging year data in place of 2007/08 data?</w:t>
            </w:r>
          </w:p>
        </w:tc>
      </w:tr>
      <w:tr w:rsidR="00390758" w:rsidRPr="00AD59E1" w14:paraId="695B4976" w14:textId="77777777" w:rsidTr="0010396A">
        <w:tc>
          <w:tcPr>
            <w:tcW w:w="649" w:type="pct"/>
            <w:shd w:val="clear" w:color="auto" w:fill="auto"/>
          </w:tcPr>
          <w:p w14:paraId="7527D0C8"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1BB0ACD5" w14:textId="77777777" w:rsidR="003317B3" w:rsidRPr="003D05AC" w:rsidRDefault="003317B3" w:rsidP="0010396A">
            <w:pPr>
              <w:widowControl w:val="0"/>
              <w:spacing w:line="360" w:lineRule="auto"/>
              <w:jc w:val="both"/>
              <w:rPr>
                <w:rFonts w:cs="Arial"/>
                <w:szCs w:val="20"/>
              </w:rPr>
            </w:pPr>
            <w:r w:rsidRPr="003D05AC">
              <w:rPr>
                <w:rFonts w:cs="Arial"/>
                <w:szCs w:val="20"/>
              </w:rPr>
              <w:t>Do you agree that there is a defect in the logic as set out by DCP 266? If so:</w:t>
            </w:r>
          </w:p>
          <w:p w14:paraId="63E31E00" w14:textId="77777777" w:rsidR="003317B3" w:rsidRPr="003D05AC" w:rsidRDefault="003317B3" w:rsidP="0010396A">
            <w:pPr>
              <w:pStyle w:val="ListParagraph"/>
              <w:widowControl w:val="0"/>
              <w:numPr>
                <w:ilvl w:val="0"/>
                <w:numId w:val="67"/>
              </w:numPr>
              <w:spacing w:line="360" w:lineRule="auto"/>
              <w:jc w:val="both"/>
              <w:outlineLvl w:val="1"/>
              <w:rPr>
                <w:szCs w:val="20"/>
              </w:rPr>
            </w:pPr>
            <w:r w:rsidRPr="003D05AC">
              <w:rPr>
                <w:szCs w:val="20"/>
              </w:rPr>
              <w:t>Do you believe the DCP 266 solution correctly addresses this defect? Please provide your rationale</w:t>
            </w:r>
          </w:p>
          <w:p w14:paraId="13817B13" w14:textId="1B02CFCD" w:rsidR="00390758" w:rsidRPr="003D05AC" w:rsidRDefault="003317B3" w:rsidP="0010396A">
            <w:pPr>
              <w:widowControl w:val="0"/>
              <w:spacing w:line="360" w:lineRule="auto"/>
              <w:jc w:val="both"/>
              <w:rPr>
                <w:rFonts w:cs="Arial"/>
                <w:szCs w:val="20"/>
              </w:rPr>
            </w:pPr>
            <w:r w:rsidRPr="003D05AC">
              <w:rPr>
                <w:rFonts w:cs="Arial"/>
                <w:szCs w:val="20"/>
              </w:rPr>
              <w:t>Are there any alternative solutions for addressing the perceived defect?</w:t>
            </w:r>
          </w:p>
        </w:tc>
      </w:tr>
      <w:tr w:rsidR="00390758" w:rsidRPr="00AD59E1" w14:paraId="145712B1" w14:textId="77777777" w:rsidTr="0010396A">
        <w:tc>
          <w:tcPr>
            <w:tcW w:w="649" w:type="pct"/>
            <w:shd w:val="clear" w:color="auto" w:fill="auto"/>
          </w:tcPr>
          <w:p w14:paraId="6E1E3198"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17618C7B" w14:textId="77777777" w:rsidR="00390758" w:rsidRPr="003D05AC" w:rsidRDefault="00390758" w:rsidP="0010396A">
            <w:pPr>
              <w:widowControl w:val="0"/>
              <w:spacing w:line="360" w:lineRule="auto"/>
              <w:jc w:val="both"/>
              <w:outlineLvl w:val="1"/>
              <w:rPr>
                <w:rFonts w:cs="Arial"/>
                <w:szCs w:val="20"/>
              </w:rPr>
            </w:pPr>
            <w:r w:rsidRPr="003D05AC">
              <w:rPr>
                <w:rFonts w:cs="Arial"/>
                <w:szCs w:val="20"/>
              </w:rPr>
              <w:t>Do you believe that th</w:t>
            </w:r>
            <w:r w:rsidRPr="003D05AC">
              <w:rPr>
                <w:szCs w:val="20"/>
              </w:rPr>
              <w:t>e</w:t>
            </w:r>
            <w:r w:rsidRPr="003D05AC">
              <w:rPr>
                <w:rFonts w:cs="Arial"/>
                <w:szCs w:val="20"/>
              </w:rPr>
              <w:t xml:space="preserve"> Working Group has correctly identified the incentives/penalties that are to be excluded from the ‘revenue to share’</w:t>
            </w:r>
            <w:r w:rsidRPr="003D05AC">
              <w:rPr>
                <w:szCs w:val="20"/>
              </w:rPr>
              <w:t>?</w:t>
            </w:r>
          </w:p>
        </w:tc>
      </w:tr>
      <w:tr w:rsidR="00390758" w:rsidRPr="00AD59E1" w14:paraId="21E91209" w14:textId="77777777" w:rsidTr="0010396A">
        <w:tc>
          <w:tcPr>
            <w:tcW w:w="649" w:type="pct"/>
            <w:shd w:val="clear" w:color="auto" w:fill="auto"/>
          </w:tcPr>
          <w:p w14:paraId="6B74D921"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7CBAB61B" w14:textId="77777777" w:rsidR="00390758" w:rsidRPr="003D05AC" w:rsidRDefault="00390758" w:rsidP="0010396A">
            <w:pPr>
              <w:widowControl w:val="0"/>
              <w:spacing w:line="360" w:lineRule="auto"/>
              <w:jc w:val="both"/>
              <w:outlineLvl w:val="1"/>
              <w:rPr>
                <w:rFonts w:cs="Arial"/>
                <w:bCs/>
                <w:iCs/>
                <w:szCs w:val="20"/>
              </w:rPr>
            </w:pPr>
            <w:r w:rsidRPr="003D05AC">
              <w:rPr>
                <w:szCs w:val="20"/>
              </w:rPr>
              <w:t>Do you agree with the approach that the Working Group has used to resolve the issue of ‘0 volumes’ out of the options noted in the bullet points under paragraph 4.28? If not, then please provide your rational for the other option or set out any other options that you believe should be considered.</w:t>
            </w:r>
          </w:p>
        </w:tc>
      </w:tr>
      <w:tr w:rsidR="00390758" w:rsidRPr="00AD59E1" w14:paraId="3BE88EAA" w14:textId="77777777" w:rsidTr="0010396A">
        <w:tc>
          <w:tcPr>
            <w:tcW w:w="649" w:type="pct"/>
            <w:shd w:val="clear" w:color="auto" w:fill="auto"/>
          </w:tcPr>
          <w:p w14:paraId="0565B03A"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29264317" w14:textId="77777777" w:rsidR="00390758" w:rsidRPr="003D05AC" w:rsidRDefault="00390758" w:rsidP="0010396A">
            <w:pPr>
              <w:widowControl w:val="0"/>
              <w:spacing w:line="360" w:lineRule="auto"/>
              <w:jc w:val="both"/>
              <w:outlineLvl w:val="1"/>
              <w:rPr>
                <w:rFonts w:cs="Arial"/>
                <w:szCs w:val="20"/>
              </w:rPr>
            </w:pPr>
            <w:r w:rsidRPr="003D05AC">
              <w:rPr>
                <w:szCs w:val="20"/>
              </w:rPr>
              <w:t>Do you agree that all discounts should be capped to a maximum of 100 percent? Please provide your rationale.</w:t>
            </w:r>
          </w:p>
        </w:tc>
      </w:tr>
      <w:tr w:rsidR="003317B3" w:rsidRPr="00AD59E1" w14:paraId="6C977980" w14:textId="77777777" w:rsidTr="0010396A">
        <w:tc>
          <w:tcPr>
            <w:tcW w:w="649" w:type="pct"/>
            <w:shd w:val="clear" w:color="auto" w:fill="auto"/>
          </w:tcPr>
          <w:p w14:paraId="50012ACB" w14:textId="77777777" w:rsidR="003317B3" w:rsidRPr="00390758" w:rsidRDefault="003317B3" w:rsidP="0010396A">
            <w:pPr>
              <w:numPr>
                <w:ilvl w:val="0"/>
                <w:numId w:val="63"/>
              </w:numPr>
              <w:jc w:val="center"/>
              <w:rPr>
                <w:rFonts w:cs="Arial"/>
                <w:b/>
                <w:szCs w:val="20"/>
              </w:rPr>
            </w:pPr>
          </w:p>
        </w:tc>
        <w:tc>
          <w:tcPr>
            <w:tcW w:w="4351" w:type="pct"/>
            <w:shd w:val="clear" w:color="auto" w:fill="auto"/>
          </w:tcPr>
          <w:p w14:paraId="57D39F6A" w14:textId="26478C36" w:rsidR="003317B3" w:rsidRPr="0010396A" w:rsidRDefault="003317B3" w:rsidP="0010396A">
            <w:pPr>
              <w:widowControl w:val="0"/>
              <w:spacing w:line="360" w:lineRule="auto"/>
              <w:jc w:val="both"/>
              <w:outlineLvl w:val="1"/>
              <w:rPr>
                <w:szCs w:val="20"/>
              </w:rPr>
            </w:pPr>
            <w:r w:rsidRPr="003D05AC">
              <w:t>Do you agree with the approach used by the Working Group to address ‘LDNO EHV generation discounts’ w</w:t>
            </w:r>
            <w:r w:rsidRPr="0010396A">
              <w:t xml:space="preserve">hich is to </w:t>
            </w:r>
            <w:r w:rsidRPr="0010396A">
              <w:rPr>
                <w:szCs w:val="20"/>
              </w:rPr>
              <w:t>apply the calculated discounts in p/kWh as negative discounts, so that any CDCM generation credits would be reduced by the discount percentages</w:t>
            </w:r>
            <w:r w:rsidRPr="0010396A">
              <w:t>? Please provide any rationale with your response.</w:t>
            </w:r>
          </w:p>
        </w:tc>
      </w:tr>
      <w:tr w:rsidR="00390758" w:rsidRPr="00AD59E1" w14:paraId="13BFA406" w14:textId="77777777" w:rsidTr="0010396A">
        <w:tc>
          <w:tcPr>
            <w:tcW w:w="649" w:type="pct"/>
            <w:shd w:val="clear" w:color="auto" w:fill="auto"/>
          </w:tcPr>
          <w:p w14:paraId="63B5EA45"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54E94317" w14:textId="44DA848F" w:rsidR="00390758" w:rsidRPr="003D05AC" w:rsidRDefault="00F3084E" w:rsidP="0010396A">
            <w:pPr>
              <w:spacing w:line="360" w:lineRule="auto"/>
              <w:jc w:val="both"/>
              <w:rPr>
                <w:rFonts w:cs="Arial"/>
                <w:szCs w:val="20"/>
              </w:rPr>
            </w:pPr>
            <w:r w:rsidRPr="003D05AC">
              <w:t xml:space="preserve">Do you consider that the proposal better facilitates the DCUSA Charging Objectives? If you do, please detail which of the Charging Objectives is better facilitated by DCP 266 and provide your </w:t>
            </w:r>
            <w:r w:rsidR="00E91DBC" w:rsidRPr="003D05AC">
              <w:t>rationale.</w:t>
            </w:r>
          </w:p>
        </w:tc>
      </w:tr>
      <w:tr w:rsidR="00390758" w:rsidRPr="00AD59E1" w14:paraId="6EE7EDCE" w14:textId="77777777" w:rsidTr="0010396A">
        <w:tc>
          <w:tcPr>
            <w:tcW w:w="649" w:type="pct"/>
            <w:shd w:val="clear" w:color="auto" w:fill="auto"/>
          </w:tcPr>
          <w:p w14:paraId="3A04256A"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4C1C25EE" w14:textId="711A227C" w:rsidR="00390758" w:rsidRPr="0010396A" w:rsidRDefault="00E91DBC" w:rsidP="003D05AC">
            <w:pPr>
              <w:widowControl w:val="0"/>
              <w:spacing w:beforeLines="120" w:before="288" w:afterLines="60" w:after="144" w:line="360" w:lineRule="auto"/>
              <w:jc w:val="both"/>
              <w:outlineLvl w:val="1"/>
              <w:rPr>
                <w:rFonts w:cs="Arial"/>
                <w:bCs/>
                <w:iCs/>
                <w:szCs w:val="20"/>
              </w:rPr>
            </w:pPr>
            <w:r w:rsidRPr="003D05AC">
              <w:t>Do you anticipate any associated impacts on the SCR or the CDCM/EDCM review</w:t>
            </w:r>
            <w:r w:rsidRPr="0010396A">
              <w:t xml:space="preserve"> by </w:t>
            </w:r>
            <w:r w:rsidRPr="0010396A">
              <w:lastRenderedPageBreak/>
              <w:t>continuing to progress DCP 266? If so, what is the impact?</w:t>
            </w:r>
          </w:p>
        </w:tc>
      </w:tr>
      <w:tr w:rsidR="00390758" w:rsidRPr="00AD59E1" w14:paraId="39069992" w14:textId="77777777" w:rsidTr="0010396A">
        <w:tc>
          <w:tcPr>
            <w:tcW w:w="649" w:type="pct"/>
            <w:shd w:val="clear" w:color="auto" w:fill="auto"/>
          </w:tcPr>
          <w:p w14:paraId="529AE994"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1BFFA26B" w14:textId="77777777" w:rsidR="00390758" w:rsidRPr="003D05AC" w:rsidRDefault="00390758" w:rsidP="003D05AC">
            <w:pPr>
              <w:widowControl w:val="0"/>
              <w:spacing w:beforeLines="120" w:before="288" w:afterLines="60" w:after="144" w:line="360" w:lineRule="auto"/>
              <w:jc w:val="both"/>
              <w:outlineLvl w:val="1"/>
              <w:rPr>
                <w:rFonts w:cs="Arial"/>
                <w:bCs/>
                <w:iCs/>
                <w:szCs w:val="20"/>
              </w:rPr>
            </w:pPr>
            <w:r w:rsidRPr="003D05AC">
              <w:rPr>
                <w:bCs/>
                <w:iCs/>
                <w:szCs w:val="20"/>
              </w:rPr>
              <w:t>If DCP 266 were to be approved are you supportive of the proposed implementation date of 01 April 2020?</w:t>
            </w:r>
          </w:p>
        </w:tc>
      </w:tr>
      <w:tr w:rsidR="00390758" w:rsidRPr="00AD59E1" w14:paraId="3DF02C0F" w14:textId="77777777" w:rsidTr="0010396A">
        <w:tc>
          <w:tcPr>
            <w:tcW w:w="649" w:type="pct"/>
            <w:shd w:val="clear" w:color="auto" w:fill="auto"/>
          </w:tcPr>
          <w:p w14:paraId="4D3E4071" w14:textId="77777777" w:rsidR="00390758" w:rsidRPr="00390758" w:rsidRDefault="00390758" w:rsidP="0010396A">
            <w:pPr>
              <w:numPr>
                <w:ilvl w:val="0"/>
                <w:numId w:val="63"/>
              </w:numPr>
              <w:jc w:val="center"/>
              <w:rPr>
                <w:rFonts w:cs="Arial"/>
                <w:b/>
                <w:szCs w:val="20"/>
              </w:rPr>
            </w:pPr>
          </w:p>
        </w:tc>
        <w:tc>
          <w:tcPr>
            <w:tcW w:w="4351" w:type="pct"/>
            <w:shd w:val="clear" w:color="auto" w:fill="auto"/>
          </w:tcPr>
          <w:p w14:paraId="683B170D" w14:textId="77777777" w:rsidR="00390758" w:rsidRPr="003D05AC" w:rsidRDefault="00390758" w:rsidP="003D05AC">
            <w:pPr>
              <w:widowControl w:val="0"/>
              <w:spacing w:beforeLines="120" w:before="288" w:afterLines="60" w:after="144" w:line="360" w:lineRule="auto"/>
              <w:jc w:val="both"/>
              <w:outlineLvl w:val="1"/>
              <w:rPr>
                <w:rFonts w:cs="Arial"/>
                <w:bCs/>
                <w:iCs/>
                <w:szCs w:val="20"/>
              </w:rPr>
            </w:pPr>
            <w:r w:rsidRPr="003D05AC">
              <w:rPr>
                <w:bCs/>
                <w:iCs/>
                <w:szCs w:val="20"/>
              </w:rPr>
              <w:t xml:space="preserve">Do you have any comments on the proposed legal text?  </w:t>
            </w:r>
          </w:p>
        </w:tc>
      </w:tr>
      <w:tr w:rsidR="00390758" w:rsidRPr="00AD59E1" w14:paraId="4C594D94" w14:textId="77777777" w:rsidTr="0010396A">
        <w:tc>
          <w:tcPr>
            <w:tcW w:w="649" w:type="pct"/>
            <w:shd w:val="clear" w:color="auto" w:fill="auto"/>
          </w:tcPr>
          <w:p w14:paraId="41D7093A" w14:textId="77777777" w:rsidR="00390758" w:rsidRPr="008417B8" w:rsidRDefault="00390758" w:rsidP="0010396A">
            <w:pPr>
              <w:numPr>
                <w:ilvl w:val="0"/>
                <w:numId w:val="63"/>
              </w:numPr>
              <w:jc w:val="center"/>
              <w:rPr>
                <w:rFonts w:cs="Arial"/>
                <w:b/>
                <w:szCs w:val="20"/>
              </w:rPr>
            </w:pPr>
          </w:p>
        </w:tc>
        <w:tc>
          <w:tcPr>
            <w:tcW w:w="4351" w:type="pct"/>
            <w:shd w:val="clear" w:color="auto" w:fill="auto"/>
          </w:tcPr>
          <w:p w14:paraId="7189BE60" w14:textId="72AD763C" w:rsidR="00390758" w:rsidRPr="003D05AC" w:rsidRDefault="00952B1F" w:rsidP="003D05AC">
            <w:pPr>
              <w:widowControl w:val="0"/>
              <w:spacing w:beforeLines="120" w:before="288" w:afterLines="60" w:after="144" w:line="360" w:lineRule="auto"/>
              <w:jc w:val="both"/>
              <w:outlineLvl w:val="1"/>
              <w:rPr>
                <w:rFonts w:cs="Arial"/>
                <w:bCs/>
                <w:iCs/>
                <w:szCs w:val="20"/>
              </w:rPr>
            </w:pPr>
            <w:r w:rsidRPr="003D05AC">
              <w:t>Are there any alternative solutions or unintended consequences that should be considered by the Working Group?</w:t>
            </w:r>
          </w:p>
        </w:tc>
      </w:tr>
      <w:tr w:rsidR="00952B1F" w:rsidRPr="00AD59E1" w14:paraId="7F18EE92" w14:textId="77777777" w:rsidTr="0010396A">
        <w:tc>
          <w:tcPr>
            <w:tcW w:w="649" w:type="pct"/>
            <w:shd w:val="clear" w:color="auto" w:fill="auto"/>
          </w:tcPr>
          <w:p w14:paraId="19020567" w14:textId="77777777" w:rsidR="00952B1F" w:rsidRPr="008417B8" w:rsidRDefault="00952B1F" w:rsidP="0010396A">
            <w:pPr>
              <w:numPr>
                <w:ilvl w:val="0"/>
                <w:numId w:val="63"/>
              </w:numPr>
              <w:jc w:val="center"/>
              <w:rPr>
                <w:rFonts w:cs="Arial"/>
                <w:b/>
                <w:szCs w:val="20"/>
              </w:rPr>
            </w:pPr>
          </w:p>
        </w:tc>
        <w:tc>
          <w:tcPr>
            <w:tcW w:w="4351" w:type="pct"/>
            <w:shd w:val="clear" w:color="auto" w:fill="auto"/>
            <w:vAlign w:val="center"/>
          </w:tcPr>
          <w:p w14:paraId="7D9603B3" w14:textId="1C38B401" w:rsidR="00952B1F" w:rsidRPr="003D05AC" w:rsidRDefault="00952B1F" w:rsidP="003D05AC">
            <w:pPr>
              <w:widowControl w:val="0"/>
              <w:spacing w:beforeLines="120" w:before="288" w:afterLines="60" w:after="144" w:line="360" w:lineRule="auto"/>
              <w:jc w:val="both"/>
              <w:outlineLvl w:val="1"/>
              <w:rPr>
                <w:rFonts w:cs="Arial"/>
                <w:bCs/>
                <w:iCs/>
                <w:szCs w:val="20"/>
              </w:rPr>
            </w:pPr>
            <w:r w:rsidRPr="003D05AC">
              <w:t xml:space="preserve">Do you have any other comments on DCP 266? </w:t>
            </w:r>
          </w:p>
        </w:tc>
      </w:tr>
    </w:tbl>
    <w:p w14:paraId="68B6AD2A" w14:textId="77777777" w:rsidR="00C6196F" w:rsidRPr="000E3826" w:rsidRDefault="00C6196F" w:rsidP="00C6196F">
      <w:pPr>
        <w:jc w:val="both"/>
        <w:rPr>
          <w:rFonts w:cs="Arial"/>
          <w:sz w:val="22"/>
          <w:szCs w:val="22"/>
        </w:rPr>
      </w:pPr>
    </w:p>
    <w:p w14:paraId="431E0511" w14:textId="77777777" w:rsidR="00C6196F" w:rsidRPr="0010396A" w:rsidRDefault="00C6196F" w:rsidP="00C6196F">
      <w:pPr>
        <w:pStyle w:val="Heading2"/>
        <w:keepNext w:val="0"/>
        <w:numPr>
          <w:ilvl w:val="1"/>
          <w:numId w:val="14"/>
        </w:numPr>
        <w:spacing w:before="240" w:after="60" w:line="360" w:lineRule="auto"/>
        <w:jc w:val="both"/>
        <w:rPr>
          <w:color w:val="auto"/>
          <w:sz w:val="20"/>
          <w:szCs w:val="20"/>
        </w:rPr>
      </w:pPr>
      <w:r w:rsidRPr="0010396A">
        <w:rPr>
          <w:color w:val="auto"/>
          <w:sz w:val="20"/>
          <w:szCs w:val="20"/>
        </w:rPr>
        <w:t xml:space="preserve">Responses should be submitted using Attachment 1 to </w:t>
      </w:r>
      <w:hyperlink r:id="rId21" w:history="1">
        <w:r w:rsidRPr="0010396A">
          <w:rPr>
            <w:rStyle w:val="Hyperlink"/>
            <w:color w:val="auto"/>
            <w:sz w:val="20"/>
            <w:szCs w:val="20"/>
          </w:rPr>
          <w:t>dcusa@electralink.co.uk</w:t>
        </w:r>
      </w:hyperlink>
      <w:r w:rsidRPr="0010396A">
        <w:rPr>
          <w:color w:val="auto"/>
          <w:sz w:val="20"/>
          <w:szCs w:val="20"/>
        </w:rPr>
        <w:t xml:space="preserve"> no later than</w:t>
      </w:r>
      <w:r w:rsidR="00AA5F42" w:rsidRPr="0010396A">
        <w:rPr>
          <w:b/>
          <w:color w:val="auto"/>
          <w:sz w:val="20"/>
          <w:szCs w:val="20"/>
        </w:rPr>
        <w:t xml:space="preserve"> </w:t>
      </w:r>
      <w:r w:rsidR="0077742E" w:rsidRPr="0010396A">
        <w:rPr>
          <w:b/>
          <w:color w:val="auto"/>
          <w:sz w:val="20"/>
          <w:szCs w:val="20"/>
          <w:highlight w:val="yellow"/>
        </w:rPr>
        <w:t>DATE</w:t>
      </w:r>
      <w:r w:rsidR="00AA5F42" w:rsidRPr="0010396A">
        <w:rPr>
          <w:b/>
          <w:color w:val="auto"/>
          <w:sz w:val="20"/>
          <w:szCs w:val="20"/>
          <w:highlight w:val="yellow"/>
        </w:rPr>
        <w:t xml:space="preserve"> 201</w:t>
      </w:r>
      <w:r w:rsidR="000A13FA" w:rsidRPr="0010396A">
        <w:rPr>
          <w:b/>
          <w:color w:val="auto"/>
          <w:sz w:val="20"/>
          <w:szCs w:val="20"/>
          <w:highlight w:val="yellow"/>
        </w:rPr>
        <w:t>7</w:t>
      </w:r>
      <w:r w:rsidRPr="0010396A">
        <w:rPr>
          <w:b/>
          <w:color w:val="auto"/>
          <w:sz w:val="20"/>
          <w:szCs w:val="20"/>
          <w:highlight w:val="yellow"/>
        </w:rPr>
        <w:t>.</w:t>
      </w:r>
      <w:r w:rsidRPr="0010396A">
        <w:rPr>
          <w:color w:val="auto"/>
          <w:sz w:val="20"/>
          <w:szCs w:val="20"/>
        </w:rPr>
        <w:t xml:space="preserve"> </w:t>
      </w:r>
    </w:p>
    <w:p w14:paraId="71B52AB9" w14:textId="77777777" w:rsidR="00C6196F" w:rsidRPr="003D05AC" w:rsidRDefault="00C6196F" w:rsidP="00C6196F">
      <w:pPr>
        <w:pStyle w:val="Heading2"/>
        <w:keepNext w:val="0"/>
        <w:numPr>
          <w:ilvl w:val="1"/>
          <w:numId w:val="14"/>
        </w:numPr>
        <w:spacing w:before="240" w:after="60" w:line="360" w:lineRule="auto"/>
        <w:jc w:val="both"/>
        <w:rPr>
          <w:sz w:val="20"/>
          <w:szCs w:val="20"/>
        </w:rPr>
      </w:pPr>
      <w:r w:rsidRPr="0010396A">
        <w:rPr>
          <w:color w:val="auto"/>
          <w:sz w:val="20"/>
          <w:szCs w:val="20"/>
        </w:rPr>
        <w:t>Responses, or any part thereof, can be provided in confidence. Parties are asked to clearly indicate any parts of a response that are to be treated confidentially</w:t>
      </w:r>
      <w:r w:rsidRPr="003D05AC">
        <w:rPr>
          <w:sz w:val="20"/>
          <w:szCs w:val="20"/>
        </w:rPr>
        <w:t>.</w:t>
      </w:r>
    </w:p>
    <w:p w14:paraId="4E34FB55" w14:textId="77777777" w:rsidR="00C6196F" w:rsidRPr="00EB32BB" w:rsidRDefault="00C6196F" w:rsidP="00C6196F">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Next Steps</w:t>
      </w:r>
    </w:p>
    <w:p w14:paraId="619ADD18" w14:textId="77777777" w:rsidR="00C6196F" w:rsidRPr="0010396A" w:rsidRDefault="00C6196F" w:rsidP="00C6196F">
      <w:pPr>
        <w:pStyle w:val="Heading2"/>
        <w:keepNext w:val="0"/>
        <w:numPr>
          <w:ilvl w:val="1"/>
          <w:numId w:val="14"/>
        </w:numPr>
        <w:spacing w:before="240" w:after="60" w:line="360" w:lineRule="auto"/>
        <w:jc w:val="both"/>
        <w:rPr>
          <w:color w:val="auto"/>
          <w:sz w:val="20"/>
          <w:szCs w:val="20"/>
        </w:rPr>
      </w:pPr>
      <w:r w:rsidRPr="0010396A">
        <w:rPr>
          <w:color w:val="auto"/>
          <w:sz w:val="20"/>
          <w:szCs w:val="20"/>
        </w:rPr>
        <w:t>Responses to the Consultation</w:t>
      </w:r>
      <w:r w:rsidR="0077742E" w:rsidRPr="0010396A">
        <w:rPr>
          <w:color w:val="auto"/>
          <w:sz w:val="20"/>
          <w:szCs w:val="20"/>
        </w:rPr>
        <w:t xml:space="preserve"> will be reviewed by the DCP 266</w:t>
      </w:r>
      <w:r w:rsidRPr="0010396A">
        <w:rPr>
          <w:color w:val="auto"/>
          <w:sz w:val="20"/>
          <w:szCs w:val="20"/>
        </w:rPr>
        <w:t xml:space="preserve"> Working Group. </w:t>
      </w:r>
      <w:r w:rsidRPr="0010396A">
        <w:rPr>
          <w:color w:val="auto"/>
          <w:sz w:val="20"/>
          <w:szCs w:val="20"/>
          <w:lang w:val="en-US"/>
        </w:rPr>
        <w:t>The Working Group will then determine the progression route for the CP.</w:t>
      </w:r>
    </w:p>
    <w:p w14:paraId="0D20CD2B" w14:textId="77777777" w:rsidR="00C6196F" w:rsidRPr="0010396A" w:rsidRDefault="00C6196F" w:rsidP="00C6196F">
      <w:pPr>
        <w:pStyle w:val="Heading2"/>
        <w:keepNext w:val="0"/>
        <w:numPr>
          <w:ilvl w:val="1"/>
          <w:numId w:val="14"/>
        </w:numPr>
        <w:spacing w:before="240" w:after="60" w:line="360" w:lineRule="auto"/>
        <w:jc w:val="both"/>
        <w:rPr>
          <w:color w:val="auto"/>
          <w:sz w:val="20"/>
          <w:szCs w:val="20"/>
        </w:rPr>
      </w:pPr>
      <w:r w:rsidRPr="0010396A">
        <w:rPr>
          <w:color w:val="auto"/>
          <w:sz w:val="20"/>
          <w:szCs w:val="20"/>
        </w:rPr>
        <w:t xml:space="preserve">If you have any questions about this paper or the DCUSA Change </w:t>
      </w:r>
      <w:r w:rsidR="004049D2" w:rsidRPr="0010396A">
        <w:rPr>
          <w:color w:val="auto"/>
          <w:sz w:val="20"/>
          <w:szCs w:val="20"/>
        </w:rPr>
        <w:t>Process,</w:t>
      </w:r>
      <w:r w:rsidRPr="0010396A">
        <w:rPr>
          <w:color w:val="auto"/>
          <w:sz w:val="20"/>
          <w:szCs w:val="20"/>
        </w:rPr>
        <w:t xml:space="preserve"> please contact the DCUSA helpdesk by email to </w:t>
      </w:r>
      <w:hyperlink r:id="rId22" w:history="1">
        <w:r w:rsidRPr="0010396A">
          <w:rPr>
            <w:rStyle w:val="Hyperlink"/>
            <w:color w:val="auto"/>
            <w:sz w:val="20"/>
            <w:szCs w:val="20"/>
          </w:rPr>
          <w:t>dcusa@electralink.co.uk</w:t>
        </w:r>
      </w:hyperlink>
      <w:r w:rsidRPr="0010396A">
        <w:rPr>
          <w:color w:val="auto"/>
          <w:sz w:val="20"/>
          <w:szCs w:val="20"/>
        </w:rPr>
        <w:t xml:space="preserve"> or telephone 020 7432 3008.</w:t>
      </w:r>
    </w:p>
    <w:p w14:paraId="3E6BB03B" w14:textId="77777777" w:rsidR="002733C1" w:rsidRPr="00FD64CC" w:rsidRDefault="002733C1" w:rsidP="002733C1">
      <w:pPr>
        <w:pStyle w:val="Heading4"/>
        <w:keepLines w:val="0"/>
        <w:spacing w:before="240"/>
        <w:rPr>
          <w:rFonts w:ascii="Arial" w:eastAsia="Times New Roman" w:hAnsi="Arial" w:cs="Arial"/>
          <w:i w:val="0"/>
          <w:iCs w:val="0"/>
          <w:color w:val="538135"/>
          <w:sz w:val="24"/>
          <w:szCs w:val="28"/>
        </w:rPr>
      </w:pPr>
      <w:r w:rsidRPr="00FD64CC">
        <w:rPr>
          <w:rFonts w:ascii="Arial" w:eastAsia="Times New Roman" w:hAnsi="Arial" w:cs="Arial"/>
          <w:i w:val="0"/>
          <w:iCs w:val="0"/>
          <w:color w:val="538135"/>
          <w:sz w:val="24"/>
          <w:szCs w:val="28"/>
        </w:rPr>
        <w:t xml:space="preserve">Attachments </w:t>
      </w:r>
    </w:p>
    <w:p w14:paraId="44549775" w14:textId="77777777" w:rsidR="002733C1" w:rsidRPr="0010396A" w:rsidRDefault="002733C1" w:rsidP="002733C1">
      <w:pPr>
        <w:pStyle w:val="ListBullet2"/>
        <w:rPr>
          <w:rFonts w:cs="Arial"/>
          <w:szCs w:val="20"/>
        </w:rPr>
      </w:pPr>
      <w:r w:rsidRPr="0010396A">
        <w:rPr>
          <w:rFonts w:cs="Arial"/>
          <w:szCs w:val="20"/>
        </w:rPr>
        <w:t>Attachment 1 –</w:t>
      </w:r>
      <w:r w:rsidR="0077742E" w:rsidRPr="0010396A">
        <w:rPr>
          <w:rFonts w:cs="Arial"/>
          <w:szCs w:val="20"/>
        </w:rPr>
        <w:t xml:space="preserve"> DCP 266 </w:t>
      </w:r>
      <w:r w:rsidR="002361C1" w:rsidRPr="0010396A">
        <w:rPr>
          <w:rFonts w:cs="Arial"/>
          <w:szCs w:val="20"/>
        </w:rPr>
        <w:t>Response Form</w:t>
      </w:r>
    </w:p>
    <w:p w14:paraId="7C433D0A" w14:textId="77777777" w:rsidR="002733C1" w:rsidRPr="0010396A" w:rsidRDefault="002733C1" w:rsidP="002733C1">
      <w:pPr>
        <w:pStyle w:val="ListBullet2"/>
        <w:rPr>
          <w:rFonts w:cs="Arial"/>
          <w:szCs w:val="20"/>
        </w:rPr>
      </w:pPr>
      <w:r w:rsidRPr="0010396A">
        <w:rPr>
          <w:rFonts w:cs="Arial"/>
          <w:szCs w:val="20"/>
        </w:rPr>
        <w:t xml:space="preserve">Attachment 2 – </w:t>
      </w:r>
      <w:r w:rsidR="0077742E" w:rsidRPr="0010396A">
        <w:rPr>
          <w:rFonts w:cs="Arial"/>
          <w:szCs w:val="20"/>
        </w:rPr>
        <w:t>DCP 266 Proposed Legal Text</w:t>
      </w:r>
      <w:r w:rsidR="00AA5F42" w:rsidRPr="0010396A">
        <w:rPr>
          <w:rFonts w:cs="Arial"/>
          <w:szCs w:val="20"/>
        </w:rPr>
        <w:t xml:space="preserve"> </w:t>
      </w:r>
    </w:p>
    <w:p w14:paraId="3A89AB29" w14:textId="77777777" w:rsidR="002733C1" w:rsidRPr="0010396A" w:rsidRDefault="002733C1" w:rsidP="002733C1">
      <w:pPr>
        <w:pStyle w:val="ListBullet2"/>
        <w:rPr>
          <w:rFonts w:cs="Arial"/>
          <w:szCs w:val="20"/>
        </w:rPr>
      </w:pPr>
      <w:r w:rsidRPr="0010396A">
        <w:rPr>
          <w:rFonts w:cs="Arial"/>
          <w:szCs w:val="20"/>
        </w:rPr>
        <w:t xml:space="preserve">Attachment 3 – </w:t>
      </w:r>
      <w:r w:rsidR="0077742E" w:rsidRPr="0010396A">
        <w:rPr>
          <w:rFonts w:cs="Arial"/>
          <w:szCs w:val="20"/>
        </w:rPr>
        <w:t>Change Proposal Form</w:t>
      </w:r>
    </w:p>
    <w:p w14:paraId="3332BF2D" w14:textId="77777777" w:rsidR="00FE4E0A" w:rsidRPr="0010396A" w:rsidRDefault="000A13FA" w:rsidP="002733C1">
      <w:pPr>
        <w:pStyle w:val="ListBullet2"/>
        <w:rPr>
          <w:rFonts w:cs="Arial"/>
          <w:szCs w:val="20"/>
        </w:rPr>
      </w:pPr>
      <w:r w:rsidRPr="0010396A">
        <w:rPr>
          <w:rFonts w:cs="Arial"/>
          <w:szCs w:val="20"/>
        </w:rPr>
        <w:t xml:space="preserve">Attachment 4 - </w:t>
      </w:r>
      <w:r w:rsidR="002D7FE8" w:rsidRPr="0010396A">
        <w:rPr>
          <w:rFonts w:cs="Arial"/>
          <w:szCs w:val="20"/>
        </w:rPr>
        <w:t xml:space="preserve">Modelling </w:t>
      </w:r>
      <w:r w:rsidR="00FE4E0A" w:rsidRPr="0010396A">
        <w:rPr>
          <w:rFonts w:cs="Arial"/>
          <w:szCs w:val="20"/>
        </w:rPr>
        <w:t>Documentation</w:t>
      </w:r>
    </w:p>
    <w:p w14:paraId="4E78078E" w14:textId="55EDD97B" w:rsidR="002D7FE8" w:rsidRPr="0010396A" w:rsidRDefault="00FE4E0A" w:rsidP="002733C1">
      <w:pPr>
        <w:pStyle w:val="ListBullet2"/>
        <w:rPr>
          <w:rFonts w:cs="Arial"/>
          <w:szCs w:val="20"/>
        </w:rPr>
      </w:pPr>
      <w:r w:rsidRPr="0010396A">
        <w:rPr>
          <w:rFonts w:cs="Arial"/>
          <w:szCs w:val="20"/>
        </w:rPr>
        <w:t xml:space="preserve">Attachment 5 </w:t>
      </w:r>
      <w:r w:rsidR="00D86262" w:rsidRPr="0010396A">
        <w:rPr>
          <w:rFonts w:cs="Arial"/>
          <w:szCs w:val="20"/>
        </w:rPr>
        <w:t xml:space="preserve">- </w:t>
      </w:r>
      <w:r w:rsidRPr="0010396A">
        <w:rPr>
          <w:rFonts w:cs="Arial"/>
          <w:szCs w:val="20"/>
        </w:rPr>
        <w:t>I</w:t>
      </w:r>
      <w:r w:rsidR="002D7FE8" w:rsidRPr="0010396A">
        <w:rPr>
          <w:rFonts w:cs="Arial"/>
          <w:szCs w:val="20"/>
        </w:rPr>
        <w:t xml:space="preserve">mpact </w:t>
      </w:r>
      <w:r w:rsidRPr="0010396A">
        <w:rPr>
          <w:rFonts w:cs="Arial"/>
          <w:szCs w:val="20"/>
        </w:rPr>
        <w:t>A</w:t>
      </w:r>
      <w:r w:rsidR="002D7FE8" w:rsidRPr="0010396A">
        <w:rPr>
          <w:rFonts w:cs="Arial"/>
          <w:szCs w:val="20"/>
        </w:rPr>
        <w:t>ssessment</w:t>
      </w:r>
      <w:r w:rsidR="000A13FA" w:rsidRPr="0010396A">
        <w:rPr>
          <w:rFonts w:cs="Arial"/>
          <w:szCs w:val="20"/>
        </w:rPr>
        <w:t xml:space="preserve"> </w:t>
      </w:r>
      <w:bookmarkStart w:id="30" w:name="_GoBack"/>
      <w:bookmarkEnd w:id="30"/>
    </w:p>
    <w:sectPr w:rsidR="002D7FE8" w:rsidRPr="0010396A" w:rsidSect="00620648">
      <w:headerReference w:type="default" r:id="rId23"/>
      <w:footerReference w:type="default" r:id="rId24"/>
      <w:type w:val="continuous"/>
      <w:pgSz w:w="11906" w:h="16838"/>
      <w:pgMar w:top="1276" w:right="1416" w:bottom="567" w:left="1134" w:header="142"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24F06" w14:textId="77777777" w:rsidR="00A63309" w:rsidRDefault="00A63309">
      <w:pPr>
        <w:spacing w:line="240" w:lineRule="auto"/>
      </w:pPr>
      <w:r>
        <w:separator/>
      </w:r>
    </w:p>
    <w:p w14:paraId="422E84C7" w14:textId="77777777" w:rsidR="00A63309" w:rsidRDefault="00A63309"/>
  </w:endnote>
  <w:endnote w:type="continuationSeparator" w:id="0">
    <w:p w14:paraId="182294E4" w14:textId="77777777" w:rsidR="00A63309" w:rsidRDefault="00A63309">
      <w:pPr>
        <w:spacing w:line="240" w:lineRule="auto"/>
      </w:pPr>
      <w:r>
        <w:continuationSeparator/>
      </w:r>
    </w:p>
    <w:p w14:paraId="01B6A2C2" w14:textId="77777777" w:rsidR="00A63309" w:rsidRDefault="00A633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3B6E3" w14:textId="25FD62C6" w:rsidR="00A63309" w:rsidRDefault="00A63309"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266</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2812B6">
      <w:rPr>
        <w:rFonts w:cs="Arial"/>
        <w:noProof/>
        <w:sz w:val="16"/>
        <w:szCs w:val="16"/>
        <w:lang w:val="en-US"/>
      </w:rPr>
      <w:t>20</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2812B6">
      <w:rPr>
        <w:rFonts w:cs="Arial"/>
        <w:noProof/>
        <w:sz w:val="16"/>
        <w:szCs w:val="16"/>
        <w:lang w:val="en-US"/>
      </w:rPr>
      <w:t>20</w:t>
    </w:r>
    <w:r w:rsidRPr="000660DF">
      <w:rPr>
        <w:rFonts w:cs="Arial"/>
        <w:sz w:val="16"/>
        <w:szCs w:val="16"/>
        <w:lang w:val="en-US"/>
      </w:rPr>
      <w:fldChar w:fldCharType="end"/>
    </w:r>
    <w:r>
      <w:rPr>
        <w:rFonts w:cs="Arial"/>
        <w:sz w:val="16"/>
        <w:szCs w:val="16"/>
        <w:lang w:val="en-US"/>
      </w:rPr>
      <w:tab/>
      <w:t>Version 0.</w:t>
    </w:r>
    <w:r w:rsidR="002812B6">
      <w:rPr>
        <w:rFonts w:cs="Arial"/>
        <w:sz w:val="16"/>
        <w:szCs w:val="16"/>
        <w:lang w:val="en-US"/>
      </w:rPr>
      <w:t>6</w:t>
    </w:r>
  </w:p>
  <w:p w14:paraId="227C0D17" w14:textId="29C0C4B2" w:rsidR="00A63309" w:rsidRPr="000660DF" w:rsidRDefault="00A63309"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sidR="002812B6">
      <w:rPr>
        <w:rFonts w:cs="Arial"/>
        <w:sz w:val="16"/>
        <w:szCs w:val="16"/>
        <w:lang w:val="en-US"/>
      </w:rPr>
      <w:t>05</w:t>
    </w:r>
    <w:r>
      <w:rPr>
        <w:rFonts w:cs="Arial"/>
        <w:sz w:val="16"/>
        <w:szCs w:val="16"/>
        <w:lang w:val="en-US"/>
      </w:rPr>
      <w:t xml:space="preserve"> </w:t>
    </w:r>
    <w:r w:rsidR="002812B6">
      <w:rPr>
        <w:rFonts w:cs="Arial"/>
        <w:sz w:val="16"/>
        <w:szCs w:val="16"/>
        <w:lang w:val="en-US"/>
      </w:rPr>
      <w:t>October</w:t>
    </w:r>
    <w:r>
      <w:rPr>
        <w:rFonts w:cs="Arial"/>
        <w:sz w:val="16"/>
        <w:szCs w:val="16"/>
        <w:lang w:val="en-US"/>
      </w:rPr>
      <w:t xml:space="preserve"> 201</w:t>
    </w:r>
    <w:r w:rsidR="002812B6">
      <w:rPr>
        <w:rFonts w:cs="Arial"/>
        <w:sz w:val="16"/>
        <w:szCs w:val="16"/>
        <w:lang w:val="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BB540" w14:textId="77777777" w:rsidR="00A63309" w:rsidRDefault="00A63309">
      <w:pPr>
        <w:spacing w:line="240" w:lineRule="auto"/>
      </w:pPr>
      <w:r>
        <w:separator/>
      </w:r>
    </w:p>
    <w:p w14:paraId="50B54439" w14:textId="77777777" w:rsidR="00A63309" w:rsidRDefault="00A63309"/>
  </w:footnote>
  <w:footnote w:type="continuationSeparator" w:id="0">
    <w:p w14:paraId="0ACFD559" w14:textId="77777777" w:rsidR="00A63309" w:rsidRDefault="00A63309">
      <w:pPr>
        <w:spacing w:line="240" w:lineRule="auto"/>
      </w:pPr>
      <w:r>
        <w:continuationSeparator/>
      </w:r>
    </w:p>
    <w:p w14:paraId="62386902" w14:textId="77777777" w:rsidR="00A63309" w:rsidRDefault="00A63309"/>
  </w:footnote>
  <w:footnote w:id="1">
    <w:p w14:paraId="4DB6FEDC" w14:textId="08E008E7" w:rsidR="00A63309" w:rsidRPr="0010396A" w:rsidRDefault="00A63309">
      <w:pPr>
        <w:pStyle w:val="FootnoteText"/>
        <w:rPr>
          <w:rFonts w:ascii="Arial" w:hAnsi="Arial" w:cs="Arial"/>
          <w:sz w:val="18"/>
          <w:szCs w:val="18"/>
        </w:rPr>
      </w:pPr>
      <w:r w:rsidRPr="0010396A">
        <w:rPr>
          <w:rStyle w:val="FootnoteReference"/>
          <w:rFonts w:ascii="Arial" w:hAnsi="Arial" w:cs="Arial"/>
          <w:sz w:val="18"/>
          <w:szCs w:val="18"/>
        </w:rPr>
        <w:footnoteRef/>
      </w:r>
      <w:r w:rsidRPr="0010396A">
        <w:rPr>
          <w:rFonts w:ascii="Arial" w:hAnsi="Arial" w:cs="Arial"/>
          <w:sz w:val="18"/>
          <w:szCs w:val="18"/>
        </w:rPr>
        <w:t xml:space="preserve"> To be inserted by DCP 234 on 01 April 2018</w:t>
      </w:r>
    </w:p>
  </w:footnote>
  <w:footnote w:id="2">
    <w:p w14:paraId="43F67103" w14:textId="3E16D3E9" w:rsidR="00A63309" w:rsidRDefault="00A63309">
      <w:pPr>
        <w:pStyle w:val="FootnoteText"/>
      </w:pPr>
      <w:r>
        <w:rPr>
          <w:rStyle w:val="FootnoteReference"/>
        </w:rPr>
        <w:footnoteRef/>
      </w:r>
      <w:r>
        <w:t xml:space="preserve"> </w:t>
      </w:r>
      <w:hyperlink r:id="rId1" w:history="1">
        <w:r w:rsidRPr="00D86262">
          <w:rPr>
            <w:rStyle w:val="Hyperlink"/>
            <w:rFonts w:ascii="Arial" w:hAnsi="Arial" w:cs="Arial"/>
            <w:sz w:val="18"/>
            <w:szCs w:val="18"/>
          </w:rPr>
          <w:t>http://webarchive.nationalarchives.gov.uk/20130402174434/http://ofgem.gov.uk/Networks/ElecDist/Policy/DistChrgs/Documents1/Ofgem_CDCM_consultation%20280909_1.pdf</w:t>
        </w:r>
      </w:hyperlink>
    </w:p>
  </w:footnote>
  <w:footnote w:id="3">
    <w:p w14:paraId="7AD96F3B" w14:textId="3553BA6F" w:rsidR="00A63309" w:rsidRDefault="00A63309" w:rsidP="00664364">
      <w:pPr>
        <w:rPr>
          <w:rFonts w:ascii="Calibri" w:hAnsi="Calibri"/>
          <w:color w:val="1F497D"/>
          <w:szCs w:val="22"/>
        </w:rPr>
      </w:pPr>
      <w:r>
        <w:rPr>
          <w:rStyle w:val="FootnoteReference"/>
        </w:rPr>
        <w:footnoteRef/>
      </w:r>
      <w:r>
        <w:t xml:space="preserve"> </w:t>
      </w:r>
      <w:hyperlink r:id="rId2" w:history="1">
        <w:r w:rsidR="00D86262" w:rsidRPr="0010396A">
          <w:rPr>
            <w:rStyle w:val="Hyperlink"/>
            <w:sz w:val="18"/>
            <w:szCs w:val="18"/>
          </w:rPr>
          <w:t>http://webarchive.nationalarchives.gov.uk/20130402174434/http://ofgem.gov.uk/Networks/ElecDist/Policy/DistChrgs/Documents1/Ofgem_CDCM_consultation%20280909_1.pdf</w:t>
        </w:r>
      </w:hyperlink>
    </w:p>
    <w:p w14:paraId="028D33A2" w14:textId="77777777" w:rsidR="00A63309" w:rsidRDefault="00A6330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60D77" w14:textId="77777777" w:rsidR="00A63309" w:rsidRDefault="00A63309">
    <w:pPr>
      <w:pStyle w:val="Header"/>
    </w:pPr>
    <w:r>
      <w:rPr>
        <w:noProof/>
      </w:rPr>
      <w:pict w14:anchorId="4D0CB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2050" type="#_x0000_t75" style="position:absolute;margin-left:324.3pt;margin-top:-1.4pt;width:182.5pt;height:61.8pt;z-index:251657728;visibility:visibl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1E97147"/>
    <w:multiLevelType w:val="hybridMultilevel"/>
    <w:tmpl w:val="89E813B6"/>
    <w:lvl w:ilvl="0" w:tplc="DEC4B56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CA2912"/>
    <w:multiLevelType w:val="multilevel"/>
    <w:tmpl w:val="8886F6EC"/>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6314909"/>
    <w:multiLevelType w:val="multilevel"/>
    <w:tmpl w:val="E196B6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D85E7B"/>
    <w:multiLevelType w:val="multilevel"/>
    <w:tmpl w:val="8886F6EC"/>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25135"/>
    <w:multiLevelType w:val="hybridMultilevel"/>
    <w:tmpl w:val="52F881E2"/>
    <w:lvl w:ilvl="0" w:tplc="6BDC5AA6">
      <w:start w:val="1"/>
      <w:numFmt w:val="bullet"/>
      <w:lvlText w:val=""/>
      <w:lvlJc w:val="left"/>
      <w:pPr>
        <w:ind w:left="1500" w:hanging="360"/>
      </w:pPr>
      <w:rPr>
        <w:rFonts w:asciiTheme="minorHAnsi" w:hAnsiTheme="minorHAnsi" w:hint="default"/>
        <w:b w:val="0"/>
        <w:i w:val="0"/>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D249A0"/>
    <w:multiLevelType w:val="hybridMultilevel"/>
    <w:tmpl w:val="87E85CC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10" w15:restartNumberingAfterBreak="0">
    <w:nsid w:val="120F05E0"/>
    <w:multiLevelType w:val="multilevel"/>
    <w:tmpl w:val="E578E3D2"/>
    <w:lvl w:ilvl="0">
      <w:start w:val="1"/>
      <w:numFmt w:val="decimal"/>
      <w:pStyle w:val="GSHeading1withnumb"/>
      <w:lvlText w:val="%1"/>
      <w:lvlJc w:val="left"/>
      <w:pPr>
        <w:tabs>
          <w:tab w:val="num" w:pos="567"/>
        </w:tabs>
        <w:ind w:left="567" w:hanging="567"/>
      </w:pPr>
      <w:rPr>
        <w:rFonts w:ascii="Calibri" w:hAnsi="Calibri" w:hint="default"/>
        <w:sz w:val="24"/>
      </w:rPr>
    </w:lvl>
    <w:lvl w:ilvl="1">
      <w:start w:val="2"/>
      <w:numFmt w:val="decimal"/>
      <w:pStyle w:val="GSBodyParawithnumb"/>
      <w:lvlText w:val="%1.%2"/>
      <w:lvlJc w:val="left"/>
      <w:pPr>
        <w:tabs>
          <w:tab w:val="num" w:pos="3260"/>
        </w:tabs>
        <w:ind w:left="3260" w:hanging="567"/>
      </w:pPr>
      <w:rPr>
        <w:rFonts w:ascii="Calibri" w:hAnsi="Calibri" w:hint="default"/>
        <w:b w:val="0"/>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1"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5E80DD4"/>
    <w:multiLevelType w:val="hybridMultilevel"/>
    <w:tmpl w:val="D0A00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D64A1F"/>
    <w:multiLevelType w:val="hybridMultilevel"/>
    <w:tmpl w:val="7848020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5F60C8"/>
    <w:multiLevelType w:val="multilevel"/>
    <w:tmpl w:val="68226EC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D6142EC"/>
    <w:multiLevelType w:val="hybridMultilevel"/>
    <w:tmpl w:val="3C7851C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D4689D"/>
    <w:multiLevelType w:val="hybridMultilevel"/>
    <w:tmpl w:val="C5C4729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251255E0"/>
    <w:multiLevelType w:val="hybridMultilevel"/>
    <w:tmpl w:val="D0A00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534032D"/>
    <w:multiLevelType w:val="hybridMultilevel"/>
    <w:tmpl w:val="CE90E0BE"/>
    <w:lvl w:ilvl="0" w:tplc="D4EE630A">
      <w:start w:val="2"/>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29961608"/>
    <w:multiLevelType w:val="hybridMultilevel"/>
    <w:tmpl w:val="AEE65802"/>
    <w:lvl w:ilvl="0" w:tplc="6BDC5AA6">
      <w:start w:val="1"/>
      <w:numFmt w:val="bullet"/>
      <w:lvlText w:val=""/>
      <w:lvlJc w:val="left"/>
      <w:pPr>
        <w:ind w:left="1500" w:hanging="360"/>
      </w:pPr>
      <w:rPr>
        <w:rFonts w:asciiTheme="minorHAnsi" w:hAnsiTheme="minorHAnsi" w:hint="default"/>
        <w:b w:val="0"/>
        <w:i w:val="0"/>
        <w:sz w:val="20"/>
      </w:rPr>
    </w:lvl>
    <w:lvl w:ilvl="1" w:tplc="08090017">
      <w:start w:val="1"/>
      <w:numFmt w:val="lowerLetter"/>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AFB200C"/>
    <w:multiLevelType w:val="multilevel"/>
    <w:tmpl w:val="4C82A0FA"/>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2FC97041"/>
    <w:multiLevelType w:val="hybridMultilevel"/>
    <w:tmpl w:val="753274AA"/>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34683A82"/>
    <w:multiLevelType w:val="hybridMultilevel"/>
    <w:tmpl w:val="BFB280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6" w15:restartNumberingAfterBreak="0">
    <w:nsid w:val="34DC27DD"/>
    <w:multiLevelType w:val="hybridMultilevel"/>
    <w:tmpl w:val="16D65CA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5C73FE2"/>
    <w:multiLevelType w:val="hybridMultilevel"/>
    <w:tmpl w:val="F2C63B8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BA31BE"/>
    <w:multiLevelType w:val="hybridMultilevel"/>
    <w:tmpl w:val="3C7851C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3C0D6C2F"/>
    <w:multiLevelType w:val="hybridMultilevel"/>
    <w:tmpl w:val="4F2A9404"/>
    <w:lvl w:ilvl="0" w:tplc="6BDC5AA6">
      <w:start w:val="1"/>
      <w:numFmt w:val="bullet"/>
      <w:lvlText w:val=""/>
      <w:lvlJc w:val="left"/>
      <w:pPr>
        <w:ind w:left="1500" w:hanging="360"/>
      </w:pPr>
      <w:rPr>
        <w:rFonts w:asciiTheme="minorHAnsi" w:hAnsiTheme="minorHAnsi" w:hint="default"/>
        <w:b w:val="0"/>
        <w:i w:val="0"/>
        <w:sz w:val="2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045AB7"/>
    <w:multiLevelType w:val="multilevel"/>
    <w:tmpl w:val="AC248BE4"/>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59352D7"/>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61B36EC"/>
    <w:multiLevelType w:val="hybridMultilevel"/>
    <w:tmpl w:val="6B0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7333AC0"/>
    <w:multiLevelType w:val="multilevel"/>
    <w:tmpl w:val="A88CB34C"/>
    <w:lvl w:ilvl="0">
      <w:start w:val="1"/>
      <w:numFmt w:val="decimal"/>
      <w:lvlText w:val="%1"/>
      <w:lvlJc w:val="left"/>
      <w:pPr>
        <w:tabs>
          <w:tab w:val="num" w:pos="432"/>
        </w:tabs>
        <w:ind w:left="432" w:hanging="432"/>
      </w:pPr>
      <w:rPr>
        <w:rFonts w:cs="Times New Roman" w:hint="default"/>
        <w:b/>
        <w:sz w:val="20"/>
        <w:szCs w:val="20"/>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49197B09"/>
    <w:multiLevelType w:val="hybridMultilevel"/>
    <w:tmpl w:val="938E42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4FD56EC7"/>
    <w:multiLevelType w:val="hybridMultilevel"/>
    <w:tmpl w:val="3D1EF38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51126C8F"/>
    <w:multiLevelType w:val="hybridMultilevel"/>
    <w:tmpl w:val="DA965EB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0" w15:restartNumberingAfterBreak="0">
    <w:nsid w:val="534F4F10"/>
    <w:multiLevelType w:val="hybridMultilevel"/>
    <w:tmpl w:val="B2FAD7E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52F3E51"/>
    <w:multiLevelType w:val="multilevel"/>
    <w:tmpl w:val="B6C4F40C"/>
    <w:lvl w:ilvl="0">
      <w:start w:val="1"/>
      <w:numFmt w:val="decimal"/>
      <w:lvlText w:val="%1"/>
      <w:lvlJc w:val="left"/>
      <w:pPr>
        <w:ind w:left="432" w:hanging="432"/>
      </w:pPr>
      <w:rPr>
        <w:rFonts w:hint="default"/>
      </w:rPr>
    </w:lvl>
    <w:lvl w:ilvl="1">
      <w:start w:val="6"/>
      <w:numFmt w:val="lowerLetter"/>
      <w:lvlText w:val="%2)"/>
      <w:lvlJc w:val="left"/>
      <w:pPr>
        <w:ind w:left="576" w:hanging="576"/>
      </w:pPr>
      <w:rPr>
        <w:rFonts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5EA279D"/>
    <w:multiLevelType w:val="hybridMultilevel"/>
    <w:tmpl w:val="89E813B6"/>
    <w:lvl w:ilvl="0" w:tplc="DEC4B56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81911F9"/>
    <w:multiLevelType w:val="multilevel"/>
    <w:tmpl w:val="DB7A70DE"/>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3"/>
      <w:numFmt w:val="lowerLetter"/>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45"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C010E9"/>
    <w:multiLevelType w:val="hybridMultilevel"/>
    <w:tmpl w:val="E3D60F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947461"/>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5280C79"/>
    <w:multiLevelType w:val="multilevel"/>
    <w:tmpl w:val="67A82996"/>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69774CF5"/>
    <w:multiLevelType w:val="hybridMultilevel"/>
    <w:tmpl w:val="F6B0428E"/>
    <w:lvl w:ilvl="0" w:tplc="D7E0651A">
      <w:start w:val="5"/>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3" w15:restartNumberingAfterBreak="0">
    <w:nsid w:val="6FBC439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04964A0"/>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710C1FF8"/>
    <w:multiLevelType w:val="hybridMultilevel"/>
    <w:tmpl w:val="26DC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28C2B3A"/>
    <w:multiLevelType w:val="hybridMultilevel"/>
    <w:tmpl w:val="3C1675FE"/>
    <w:lvl w:ilvl="0" w:tplc="08090001">
      <w:start w:val="1"/>
      <w:numFmt w:val="bullet"/>
      <w:lvlText w:val=""/>
      <w:lvlJc w:val="left"/>
      <w:pPr>
        <w:ind w:left="1124" w:hanging="360"/>
      </w:pPr>
      <w:rPr>
        <w:rFonts w:ascii="Symbol" w:hAnsi="Symbol" w:hint="default"/>
      </w:rPr>
    </w:lvl>
    <w:lvl w:ilvl="1" w:tplc="08090003" w:tentative="1">
      <w:start w:val="1"/>
      <w:numFmt w:val="bullet"/>
      <w:lvlText w:val="o"/>
      <w:lvlJc w:val="left"/>
      <w:pPr>
        <w:ind w:left="1844" w:hanging="360"/>
      </w:pPr>
      <w:rPr>
        <w:rFonts w:ascii="Courier New" w:hAnsi="Courier New" w:hint="default"/>
      </w:rPr>
    </w:lvl>
    <w:lvl w:ilvl="2" w:tplc="08090005" w:tentative="1">
      <w:start w:val="1"/>
      <w:numFmt w:val="bullet"/>
      <w:lvlText w:val=""/>
      <w:lvlJc w:val="left"/>
      <w:pPr>
        <w:ind w:left="2564" w:hanging="360"/>
      </w:pPr>
      <w:rPr>
        <w:rFonts w:ascii="Wingdings" w:hAnsi="Wingdings" w:hint="default"/>
      </w:rPr>
    </w:lvl>
    <w:lvl w:ilvl="3" w:tplc="08090001" w:tentative="1">
      <w:start w:val="1"/>
      <w:numFmt w:val="bullet"/>
      <w:lvlText w:val=""/>
      <w:lvlJc w:val="left"/>
      <w:pPr>
        <w:ind w:left="3284" w:hanging="360"/>
      </w:pPr>
      <w:rPr>
        <w:rFonts w:ascii="Symbol" w:hAnsi="Symbol" w:hint="default"/>
      </w:rPr>
    </w:lvl>
    <w:lvl w:ilvl="4" w:tplc="08090003" w:tentative="1">
      <w:start w:val="1"/>
      <w:numFmt w:val="bullet"/>
      <w:lvlText w:val="o"/>
      <w:lvlJc w:val="left"/>
      <w:pPr>
        <w:ind w:left="4004" w:hanging="360"/>
      </w:pPr>
      <w:rPr>
        <w:rFonts w:ascii="Courier New" w:hAnsi="Courier New" w:hint="default"/>
      </w:rPr>
    </w:lvl>
    <w:lvl w:ilvl="5" w:tplc="08090005" w:tentative="1">
      <w:start w:val="1"/>
      <w:numFmt w:val="bullet"/>
      <w:lvlText w:val=""/>
      <w:lvlJc w:val="left"/>
      <w:pPr>
        <w:ind w:left="4724" w:hanging="360"/>
      </w:pPr>
      <w:rPr>
        <w:rFonts w:ascii="Wingdings" w:hAnsi="Wingdings" w:hint="default"/>
      </w:rPr>
    </w:lvl>
    <w:lvl w:ilvl="6" w:tplc="08090001" w:tentative="1">
      <w:start w:val="1"/>
      <w:numFmt w:val="bullet"/>
      <w:lvlText w:val=""/>
      <w:lvlJc w:val="left"/>
      <w:pPr>
        <w:ind w:left="5444" w:hanging="360"/>
      </w:pPr>
      <w:rPr>
        <w:rFonts w:ascii="Symbol" w:hAnsi="Symbol" w:hint="default"/>
      </w:rPr>
    </w:lvl>
    <w:lvl w:ilvl="7" w:tplc="08090003" w:tentative="1">
      <w:start w:val="1"/>
      <w:numFmt w:val="bullet"/>
      <w:lvlText w:val="o"/>
      <w:lvlJc w:val="left"/>
      <w:pPr>
        <w:ind w:left="6164" w:hanging="360"/>
      </w:pPr>
      <w:rPr>
        <w:rFonts w:ascii="Courier New" w:hAnsi="Courier New" w:hint="default"/>
      </w:rPr>
    </w:lvl>
    <w:lvl w:ilvl="8" w:tplc="08090005" w:tentative="1">
      <w:start w:val="1"/>
      <w:numFmt w:val="bullet"/>
      <w:lvlText w:val=""/>
      <w:lvlJc w:val="left"/>
      <w:pPr>
        <w:ind w:left="6884" w:hanging="360"/>
      </w:pPr>
      <w:rPr>
        <w:rFonts w:ascii="Wingdings" w:hAnsi="Wingdings" w:hint="default"/>
      </w:rPr>
    </w:lvl>
  </w:abstractNum>
  <w:abstractNum w:abstractNumId="57"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58" w15:restartNumberingAfterBreak="0">
    <w:nsid w:val="79050ECC"/>
    <w:multiLevelType w:val="hybridMultilevel"/>
    <w:tmpl w:val="D0A00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CA17E8A"/>
    <w:multiLevelType w:val="hybridMultilevel"/>
    <w:tmpl w:val="7A5CAA1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57"/>
  </w:num>
  <w:num w:numId="2">
    <w:abstractNumId w:val="48"/>
  </w:num>
  <w:num w:numId="3">
    <w:abstractNumId w:val="21"/>
  </w:num>
  <w:num w:numId="4">
    <w:abstractNumId w:val="24"/>
  </w:num>
  <w:num w:numId="5">
    <w:abstractNumId w:val="11"/>
  </w:num>
  <w:num w:numId="6">
    <w:abstractNumId w:val="49"/>
  </w:num>
  <w:num w:numId="7">
    <w:abstractNumId w:val="28"/>
  </w:num>
  <w:num w:numId="8">
    <w:abstractNumId w:val="16"/>
  </w:num>
  <w:num w:numId="9">
    <w:abstractNumId w:val="46"/>
  </w:num>
  <w:num w:numId="10">
    <w:abstractNumId w:val="44"/>
  </w:num>
  <w:num w:numId="11">
    <w:abstractNumId w:val="9"/>
  </w:num>
  <w:num w:numId="12">
    <w:abstractNumId w:val="6"/>
  </w:num>
  <w:num w:numId="13">
    <w:abstractNumId w:val="45"/>
  </w:num>
  <w:num w:numId="14">
    <w:abstractNumId w:val="3"/>
  </w:num>
  <w:num w:numId="15">
    <w:abstractNumId w:val="0"/>
  </w:num>
  <w:num w:numId="16">
    <w:abstractNumId w:val="35"/>
  </w:num>
  <w:num w:numId="17">
    <w:abstractNumId w:val="57"/>
  </w:num>
  <w:num w:numId="18">
    <w:abstractNumId w:val="57"/>
  </w:num>
  <w:num w:numId="19">
    <w:abstractNumId w:val="37"/>
  </w:num>
  <w:num w:numId="20">
    <w:abstractNumId w:val="33"/>
  </w:num>
  <w:num w:numId="21">
    <w:abstractNumId w:val="50"/>
  </w:num>
  <w:num w:numId="22">
    <w:abstractNumId w:val="54"/>
  </w:num>
  <w:num w:numId="23">
    <w:abstractNumId w:val="25"/>
  </w:num>
  <w:num w:numId="24">
    <w:abstractNumId w:val="60"/>
  </w:num>
  <w:num w:numId="25">
    <w:abstractNumId w:val="36"/>
  </w:num>
  <w:num w:numId="26">
    <w:abstractNumId w:val="4"/>
  </w:num>
  <w:num w:numId="27">
    <w:abstractNumId w:val="34"/>
  </w:num>
  <w:num w:numId="28">
    <w:abstractNumId w:val="17"/>
  </w:num>
  <w:num w:numId="29">
    <w:abstractNumId w:val="10"/>
  </w:num>
  <w:num w:numId="30">
    <w:abstractNumId w:val="59"/>
  </w:num>
  <w:num w:numId="31">
    <w:abstractNumId w:val="53"/>
  </w:num>
  <w:num w:numId="32">
    <w:abstractNumId w:val="26"/>
  </w:num>
  <w:num w:numId="33">
    <w:abstractNumId w:val="13"/>
  </w:num>
  <w:num w:numId="34">
    <w:abstractNumId w:val="27"/>
  </w:num>
  <w:num w:numId="35">
    <w:abstractNumId w:val="40"/>
  </w:num>
  <w:num w:numId="36">
    <w:abstractNumId w:val="8"/>
  </w:num>
  <w:num w:numId="37">
    <w:abstractNumId w:val="47"/>
  </w:num>
  <w:num w:numId="38">
    <w:abstractNumId w:val="56"/>
  </w:num>
  <w:num w:numId="39">
    <w:abstractNumId w:val="38"/>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15"/>
  </w:num>
  <w:num w:numId="46">
    <w:abstractNumId w:val="22"/>
  </w:num>
  <w:num w:numId="47">
    <w:abstractNumId w:val="10"/>
  </w:num>
  <w:num w:numId="48">
    <w:abstractNumId w:val="10"/>
  </w:num>
  <w:num w:numId="49">
    <w:abstractNumId w:val="10"/>
  </w:num>
  <w:num w:numId="50">
    <w:abstractNumId w:val="14"/>
  </w:num>
  <w:num w:numId="51">
    <w:abstractNumId w:val="2"/>
  </w:num>
  <w:num w:numId="52">
    <w:abstractNumId w:val="31"/>
  </w:num>
  <w:num w:numId="53">
    <w:abstractNumId w:val="43"/>
  </w:num>
  <w:num w:numId="54">
    <w:abstractNumId w:val="51"/>
  </w:num>
  <w:num w:numId="55">
    <w:abstractNumId w:val="41"/>
  </w:num>
  <w:num w:numId="56">
    <w:abstractNumId w:val="5"/>
  </w:num>
  <w:num w:numId="57">
    <w:abstractNumId w:val="7"/>
  </w:num>
  <w:num w:numId="58">
    <w:abstractNumId w:val="30"/>
  </w:num>
  <w:num w:numId="59">
    <w:abstractNumId w:val="20"/>
  </w:num>
  <w:num w:numId="60">
    <w:abstractNumId w:val="39"/>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8"/>
  </w:num>
  <w:num w:numId="63">
    <w:abstractNumId w:val="32"/>
  </w:num>
  <w:num w:numId="64">
    <w:abstractNumId w:val="1"/>
  </w:num>
  <w:num w:numId="65">
    <w:abstractNumId w:val="18"/>
  </w:num>
  <w:num w:numId="66">
    <w:abstractNumId w:val="12"/>
  </w:num>
  <w:num w:numId="67">
    <w:abstractNumId w:val="42"/>
  </w:num>
  <w:num w:numId="68">
    <w:abstractNumId w:val="5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B99"/>
    <w:rsid w:val="00003462"/>
    <w:rsid w:val="00004426"/>
    <w:rsid w:val="00004A78"/>
    <w:rsid w:val="00005C2A"/>
    <w:rsid w:val="0001312A"/>
    <w:rsid w:val="000131C0"/>
    <w:rsid w:val="000140D5"/>
    <w:rsid w:val="00014A06"/>
    <w:rsid w:val="00015169"/>
    <w:rsid w:val="00021E27"/>
    <w:rsid w:val="0002309B"/>
    <w:rsid w:val="00026A6A"/>
    <w:rsid w:val="00030D37"/>
    <w:rsid w:val="00034DDE"/>
    <w:rsid w:val="000363FA"/>
    <w:rsid w:val="00041A17"/>
    <w:rsid w:val="000427B0"/>
    <w:rsid w:val="00043976"/>
    <w:rsid w:val="00047067"/>
    <w:rsid w:val="000546C7"/>
    <w:rsid w:val="00055793"/>
    <w:rsid w:val="0005617C"/>
    <w:rsid w:val="000561DC"/>
    <w:rsid w:val="00057C9D"/>
    <w:rsid w:val="00062E0D"/>
    <w:rsid w:val="000671FC"/>
    <w:rsid w:val="00067E74"/>
    <w:rsid w:val="0007537E"/>
    <w:rsid w:val="00082674"/>
    <w:rsid w:val="00082F1D"/>
    <w:rsid w:val="00084030"/>
    <w:rsid w:val="00094A8A"/>
    <w:rsid w:val="00096C4E"/>
    <w:rsid w:val="00097A74"/>
    <w:rsid w:val="000A13FA"/>
    <w:rsid w:val="000A1C11"/>
    <w:rsid w:val="000A36A8"/>
    <w:rsid w:val="000B007D"/>
    <w:rsid w:val="000B2E3D"/>
    <w:rsid w:val="000B5D6C"/>
    <w:rsid w:val="000C042F"/>
    <w:rsid w:val="000D048A"/>
    <w:rsid w:val="000D1ECA"/>
    <w:rsid w:val="000D4F0F"/>
    <w:rsid w:val="000D5720"/>
    <w:rsid w:val="000D66EC"/>
    <w:rsid w:val="000E0100"/>
    <w:rsid w:val="000E034A"/>
    <w:rsid w:val="000E2E48"/>
    <w:rsid w:val="000E3826"/>
    <w:rsid w:val="000E3B5B"/>
    <w:rsid w:val="000E3F5B"/>
    <w:rsid w:val="000E4503"/>
    <w:rsid w:val="000E76BF"/>
    <w:rsid w:val="000F63AC"/>
    <w:rsid w:val="00101112"/>
    <w:rsid w:val="0010396A"/>
    <w:rsid w:val="00104739"/>
    <w:rsid w:val="001060C1"/>
    <w:rsid w:val="00107B64"/>
    <w:rsid w:val="00111A90"/>
    <w:rsid w:val="00111F27"/>
    <w:rsid w:val="00112F45"/>
    <w:rsid w:val="00116E9B"/>
    <w:rsid w:val="001216C5"/>
    <w:rsid w:val="0012326E"/>
    <w:rsid w:val="0012496E"/>
    <w:rsid w:val="00125FF3"/>
    <w:rsid w:val="0012717A"/>
    <w:rsid w:val="00143041"/>
    <w:rsid w:val="0014327C"/>
    <w:rsid w:val="001445A0"/>
    <w:rsid w:val="001451F4"/>
    <w:rsid w:val="00146470"/>
    <w:rsid w:val="00151CCE"/>
    <w:rsid w:val="00152179"/>
    <w:rsid w:val="00153B91"/>
    <w:rsid w:val="00164E30"/>
    <w:rsid w:val="0017137C"/>
    <w:rsid w:val="00174D21"/>
    <w:rsid w:val="001762D1"/>
    <w:rsid w:val="001812E5"/>
    <w:rsid w:val="001821DE"/>
    <w:rsid w:val="00182A0C"/>
    <w:rsid w:val="00183A9F"/>
    <w:rsid w:val="0018581B"/>
    <w:rsid w:val="0018792D"/>
    <w:rsid w:val="00187969"/>
    <w:rsid w:val="00187E2F"/>
    <w:rsid w:val="00187F24"/>
    <w:rsid w:val="001937A0"/>
    <w:rsid w:val="00193F47"/>
    <w:rsid w:val="00197A37"/>
    <w:rsid w:val="001A5839"/>
    <w:rsid w:val="001A6F74"/>
    <w:rsid w:val="001B2D7A"/>
    <w:rsid w:val="001B3997"/>
    <w:rsid w:val="001C01D5"/>
    <w:rsid w:val="001C0AAE"/>
    <w:rsid w:val="001C0C6E"/>
    <w:rsid w:val="001C1A9C"/>
    <w:rsid w:val="001C207A"/>
    <w:rsid w:val="001C665E"/>
    <w:rsid w:val="001D0B92"/>
    <w:rsid w:val="001D3EFD"/>
    <w:rsid w:val="001D7EC5"/>
    <w:rsid w:val="001E1CD8"/>
    <w:rsid w:val="001E2563"/>
    <w:rsid w:val="001E32D7"/>
    <w:rsid w:val="001E5D9F"/>
    <w:rsid w:val="001E6DCF"/>
    <w:rsid w:val="001F0E93"/>
    <w:rsid w:val="001F36FC"/>
    <w:rsid w:val="001F3812"/>
    <w:rsid w:val="001F4DA0"/>
    <w:rsid w:val="001F6DA9"/>
    <w:rsid w:val="001F7908"/>
    <w:rsid w:val="001F7D0E"/>
    <w:rsid w:val="00201252"/>
    <w:rsid w:val="002036BB"/>
    <w:rsid w:val="002047E2"/>
    <w:rsid w:val="00205E60"/>
    <w:rsid w:val="002126D4"/>
    <w:rsid w:val="00212BF5"/>
    <w:rsid w:val="0021418F"/>
    <w:rsid w:val="002148B6"/>
    <w:rsid w:val="00215877"/>
    <w:rsid w:val="002161A4"/>
    <w:rsid w:val="00225F2B"/>
    <w:rsid w:val="002272EF"/>
    <w:rsid w:val="00227BB8"/>
    <w:rsid w:val="00230354"/>
    <w:rsid w:val="00231812"/>
    <w:rsid w:val="002361C1"/>
    <w:rsid w:val="00236CC6"/>
    <w:rsid w:val="00236DCB"/>
    <w:rsid w:val="0024000A"/>
    <w:rsid w:val="002426A7"/>
    <w:rsid w:val="00251F86"/>
    <w:rsid w:val="00256075"/>
    <w:rsid w:val="00256566"/>
    <w:rsid w:val="00260BAE"/>
    <w:rsid w:val="00260C2C"/>
    <w:rsid w:val="002612FD"/>
    <w:rsid w:val="00263600"/>
    <w:rsid w:val="002660EC"/>
    <w:rsid w:val="00266BC0"/>
    <w:rsid w:val="00272979"/>
    <w:rsid w:val="002733C1"/>
    <w:rsid w:val="002744D3"/>
    <w:rsid w:val="002758A6"/>
    <w:rsid w:val="002812B6"/>
    <w:rsid w:val="00281CF1"/>
    <w:rsid w:val="00281F45"/>
    <w:rsid w:val="00286CBD"/>
    <w:rsid w:val="00287844"/>
    <w:rsid w:val="00290F86"/>
    <w:rsid w:val="00291083"/>
    <w:rsid w:val="002A0D66"/>
    <w:rsid w:val="002A369F"/>
    <w:rsid w:val="002B219B"/>
    <w:rsid w:val="002B385B"/>
    <w:rsid w:val="002B4393"/>
    <w:rsid w:val="002B6671"/>
    <w:rsid w:val="002B68DB"/>
    <w:rsid w:val="002C1553"/>
    <w:rsid w:val="002C3B8C"/>
    <w:rsid w:val="002D25F9"/>
    <w:rsid w:val="002D5DFC"/>
    <w:rsid w:val="002D6272"/>
    <w:rsid w:val="002D7FE8"/>
    <w:rsid w:val="002E2ECA"/>
    <w:rsid w:val="002E3A0E"/>
    <w:rsid w:val="002F0224"/>
    <w:rsid w:val="002F13B8"/>
    <w:rsid w:val="002F357D"/>
    <w:rsid w:val="002F40F9"/>
    <w:rsid w:val="002F6CD0"/>
    <w:rsid w:val="00301DAF"/>
    <w:rsid w:val="00302F67"/>
    <w:rsid w:val="0030347F"/>
    <w:rsid w:val="00305AC5"/>
    <w:rsid w:val="00306BF5"/>
    <w:rsid w:val="00307BA3"/>
    <w:rsid w:val="00310346"/>
    <w:rsid w:val="00313E9E"/>
    <w:rsid w:val="00313FE4"/>
    <w:rsid w:val="0031586C"/>
    <w:rsid w:val="00316676"/>
    <w:rsid w:val="00320457"/>
    <w:rsid w:val="003221E9"/>
    <w:rsid w:val="00324C00"/>
    <w:rsid w:val="0033097B"/>
    <w:rsid w:val="003317B3"/>
    <w:rsid w:val="003317EE"/>
    <w:rsid w:val="00331AA6"/>
    <w:rsid w:val="003328B8"/>
    <w:rsid w:val="00332FE3"/>
    <w:rsid w:val="003338BF"/>
    <w:rsid w:val="00335DC7"/>
    <w:rsid w:val="00336821"/>
    <w:rsid w:val="0034045B"/>
    <w:rsid w:val="00341CAD"/>
    <w:rsid w:val="00344FDC"/>
    <w:rsid w:val="00345171"/>
    <w:rsid w:val="003456CF"/>
    <w:rsid w:val="00351769"/>
    <w:rsid w:val="00351960"/>
    <w:rsid w:val="00351B9D"/>
    <w:rsid w:val="00352A27"/>
    <w:rsid w:val="00352CE1"/>
    <w:rsid w:val="0035487C"/>
    <w:rsid w:val="003557B1"/>
    <w:rsid w:val="00357570"/>
    <w:rsid w:val="00362030"/>
    <w:rsid w:val="00363FE9"/>
    <w:rsid w:val="00367F60"/>
    <w:rsid w:val="0037034E"/>
    <w:rsid w:val="00370895"/>
    <w:rsid w:val="003711F3"/>
    <w:rsid w:val="00372C0A"/>
    <w:rsid w:val="00377752"/>
    <w:rsid w:val="00380C64"/>
    <w:rsid w:val="00381EB7"/>
    <w:rsid w:val="00382814"/>
    <w:rsid w:val="00386096"/>
    <w:rsid w:val="00390758"/>
    <w:rsid w:val="00390D19"/>
    <w:rsid w:val="003920ED"/>
    <w:rsid w:val="003971AB"/>
    <w:rsid w:val="003A016A"/>
    <w:rsid w:val="003A2AA8"/>
    <w:rsid w:val="003A2BCC"/>
    <w:rsid w:val="003A4D72"/>
    <w:rsid w:val="003A4FC7"/>
    <w:rsid w:val="003A6CCA"/>
    <w:rsid w:val="003B0780"/>
    <w:rsid w:val="003B0FB9"/>
    <w:rsid w:val="003B1A71"/>
    <w:rsid w:val="003B4359"/>
    <w:rsid w:val="003B44D0"/>
    <w:rsid w:val="003B5816"/>
    <w:rsid w:val="003C1BBC"/>
    <w:rsid w:val="003C1E4D"/>
    <w:rsid w:val="003C22DF"/>
    <w:rsid w:val="003C457B"/>
    <w:rsid w:val="003C6AB2"/>
    <w:rsid w:val="003D0281"/>
    <w:rsid w:val="003D05AC"/>
    <w:rsid w:val="003D15FD"/>
    <w:rsid w:val="003D1D5F"/>
    <w:rsid w:val="003D2BB8"/>
    <w:rsid w:val="003D2E12"/>
    <w:rsid w:val="003D41D8"/>
    <w:rsid w:val="003D5877"/>
    <w:rsid w:val="003D6504"/>
    <w:rsid w:val="003E0757"/>
    <w:rsid w:val="003E0B53"/>
    <w:rsid w:val="003E16D8"/>
    <w:rsid w:val="003E1B16"/>
    <w:rsid w:val="003E4653"/>
    <w:rsid w:val="003E7B88"/>
    <w:rsid w:val="003F030F"/>
    <w:rsid w:val="003F0B70"/>
    <w:rsid w:val="003F2A86"/>
    <w:rsid w:val="004028D5"/>
    <w:rsid w:val="004044E0"/>
    <w:rsid w:val="004045E4"/>
    <w:rsid w:val="004049D2"/>
    <w:rsid w:val="00413790"/>
    <w:rsid w:val="00416FC8"/>
    <w:rsid w:val="00420FB8"/>
    <w:rsid w:val="00421B40"/>
    <w:rsid w:val="00422258"/>
    <w:rsid w:val="00423595"/>
    <w:rsid w:val="0042584E"/>
    <w:rsid w:val="00426FD6"/>
    <w:rsid w:val="00430E90"/>
    <w:rsid w:val="00432081"/>
    <w:rsid w:val="00433909"/>
    <w:rsid w:val="00433CFE"/>
    <w:rsid w:val="00434AF2"/>
    <w:rsid w:val="00435C42"/>
    <w:rsid w:val="00435CF2"/>
    <w:rsid w:val="00436AEA"/>
    <w:rsid w:val="00440FAE"/>
    <w:rsid w:val="004428DE"/>
    <w:rsid w:val="004439F9"/>
    <w:rsid w:val="00446636"/>
    <w:rsid w:val="00447064"/>
    <w:rsid w:val="00450385"/>
    <w:rsid w:val="004504EA"/>
    <w:rsid w:val="004549A9"/>
    <w:rsid w:val="004570AC"/>
    <w:rsid w:val="00457399"/>
    <w:rsid w:val="004579CF"/>
    <w:rsid w:val="0046001A"/>
    <w:rsid w:val="00461C2F"/>
    <w:rsid w:val="00463EF6"/>
    <w:rsid w:val="00467CA8"/>
    <w:rsid w:val="004715CE"/>
    <w:rsid w:val="00473B9D"/>
    <w:rsid w:val="0047685F"/>
    <w:rsid w:val="0048440F"/>
    <w:rsid w:val="0048657A"/>
    <w:rsid w:val="0049024C"/>
    <w:rsid w:val="00493885"/>
    <w:rsid w:val="004958FC"/>
    <w:rsid w:val="004A105A"/>
    <w:rsid w:val="004A22E8"/>
    <w:rsid w:val="004A3386"/>
    <w:rsid w:val="004A5970"/>
    <w:rsid w:val="004A62D4"/>
    <w:rsid w:val="004A631D"/>
    <w:rsid w:val="004B0BC6"/>
    <w:rsid w:val="004B0EA7"/>
    <w:rsid w:val="004B27FB"/>
    <w:rsid w:val="004B376C"/>
    <w:rsid w:val="004B3E80"/>
    <w:rsid w:val="004B53C8"/>
    <w:rsid w:val="004B7ABF"/>
    <w:rsid w:val="004C1260"/>
    <w:rsid w:val="004C2609"/>
    <w:rsid w:val="004C4371"/>
    <w:rsid w:val="004C6117"/>
    <w:rsid w:val="004C64CA"/>
    <w:rsid w:val="004C66D0"/>
    <w:rsid w:val="004D09F0"/>
    <w:rsid w:val="004D0D74"/>
    <w:rsid w:val="004D149E"/>
    <w:rsid w:val="004D1CB3"/>
    <w:rsid w:val="004D3A08"/>
    <w:rsid w:val="004D430C"/>
    <w:rsid w:val="004D638C"/>
    <w:rsid w:val="004E00A8"/>
    <w:rsid w:val="004E2468"/>
    <w:rsid w:val="004E3A56"/>
    <w:rsid w:val="004E5E00"/>
    <w:rsid w:val="004F4A12"/>
    <w:rsid w:val="00500707"/>
    <w:rsid w:val="005023B5"/>
    <w:rsid w:val="00504E6C"/>
    <w:rsid w:val="005079E0"/>
    <w:rsid w:val="00513062"/>
    <w:rsid w:val="00513631"/>
    <w:rsid w:val="0051566C"/>
    <w:rsid w:val="00517790"/>
    <w:rsid w:val="005177DA"/>
    <w:rsid w:val="00520724"/>
    <w:rsid w:val="005251AD"/>
    <w:rsid w:val="00526D50"/>
    <w:rsid w:val="005310CC"/>
    <w:rsid w:val="00531B35"/>
    <w:rsid w:val="005352A6"/>
    <w:rsid w:val="005357A0"/>
    <w:rsid w:val="00540357"/>
    <w:rsid w:val="0054438D"/>
    <w:rsid w:val="00545D78"/>
    <w:rsid w:val="005469C0"/>
    <w:rsid w:val="0055068A"/>
    <w:rsid w:val="0055672D"/>
    <w:rsid w:val="00560EF2"/>
    <w:rsid w:val="00561CEC"/>
    <w:rsid w:val="005649CA"/>
    <w:rsid w:val="00564AD1"/>
    <w:rsid w:val="005703B3"/>
    <w:rsid w:val="005720CF"/>
    <w:rsid w:val="00582E0D"/>
    <w:rsid w:val="00587E1E"/>
    <w:rsid w:val="00587FFD"/>
    <w:rsid w:val="00597D29"/>
    <w:rsid w:val="005A0143"/>
    <w:rsid w:val="005A1E00"/>
    <w:rsid w:val="005A4046"/>
    <w:rsid w:val="005A4F5D"/>
    <w:rsid w:val="005A60BD"/>
    <w:rsid w:val="005A6174"/>
    <w:rsid w:val="005A7145"/>
    <w:rsid w:val="005B0B30"/>
    <w:rsid w:val="005B105E"/>
    <w:rsid w:val="005B378E"/>
    <w:rsid w:val="005C1952"/>
    <w:rsid w:val="005C2175"/>
    <w:rsid w:val="005C22EF"/>
    <w:rsid w:val="005D1C6B"/>
    <w:rsid w:val="005D4418"/>
    <w:rsid w:val="005D4631"/>
    <w:rsid w:val="005D4958"/>
    <w:rsid w:val="005D4A2B"/>
    <w:rsid w:val="005D5AFF"/>
    <w:rsid w:val="005D72CA"/>
    <w:rsid w:val="005E103C"/>
    <w:rsid w:val="005E3915"/>
    <w:rsid w:val="005E4500"/>
    <w:rsid w:val="005E661A"/>
    <w:rsid w:val="005F3932"/>
    <w:rsid w:val="005F4AE3"/>
    <w:rsid w:val="005F6CFF"/>
    <w:rsid w:val="00600B78"/>
    <w:rsid w:val="00600F8C"/>
    <w:rsid w:val="00610152"/>
    <w:rsid w:val="00610C8D"/>
    <w:rsid w:val="00613074"/>
    <w:rsid w:val="0062062A"/>
    <w:rsid w:val="00620648"/>
    <w:rsid w:val="00622259"/>
    <w:rsid w:val="00622DC8"/>
    <w:rsid w:val="00623022"/>
    <w:rsid w:val="00624FA6"/>
    <w:rsid w:val="00627983"/>
    <w:rsid w:val="00630F15"/>
    <w:rsid w:val="00631710"/>
    <w:rsid w:val="0063186C"/>
    <w:rsid w:val="00631EBB"/>
    <w:rsid w:val="006361BA"/>
    <w:rsid w:val="00637680"/>
    <w:rsid w:val="006377B6"/>
    <w:rsid w:val="00637868"/>
    <w:rsid w:val="00637CD6"/>
    <w:rsid w:val="006446DD"/>
    <w:rsid w:val="00647335"/>
    <w:rsid w:val="00650186"/>
    <w:rsid w:val="00652D78"/>
    <w:rsid w:val="006533C3"/>
    <w:rsid w:val="006551B8"/>
    <w:rsid w:val="00664364"/>
    <w:rsid w:val="00665358"/>
    <w:rsid w:val="006653B5"/>
    <w:rsid w:val="00673F4F"/>
    <w:rsid w:val="0067455A"/>
    <w:rsid w:val="00674659"/>
    <w:rsid w:val="0067689E"/>
    <w:rsid w:val="006864ED"/>
    <w:rsid w:val="006876B6"/>
    <w:rsid w:val="00687915"/>
    <w:rsid w:val="00691A06"/>
    <w:rsid w:val="00694865"/>
    <w:rsid w:val="00697683"/>
    <w:rsid w:val="00697DA6"/>
    <w:rsid w:val="006A0767"/>
    <w:rsid w:val="006A5279"/>
    <w:rsid w:val="006A7B64"/>
    <w:rsid w:val="006B5D84"/>
    <w:rsid w:val="006B68D8"/>
    <w:rsid w:val="006B6D83"/>
    <w:rsid w:val="006C1856"/>
    <w:rsid w:val="006C5172"/>
    <w:rsid w:val="006C5683"/>
    <w:rsid w:val="006C57A9"/>
    <w:rsid w:val="006D0CC1"/>
    <w:rsid w:val="006D0E98"/>
    <w:rsid w:val="006D0FB6"/>
    <w:rsid w:val="006D1F16"/>
    <w:rsid w:val="006D6A95"/>
    <w:rsid w:val="006D75CD"/>
    <w:rsid w:val="006E0C9E"/>
    <w:rsid w:val="006E205E"/>
    <w:rsid w:val="006E7327"/>
    <w:rsid w:val="006E7560"/>
    <w:rsid w:val="006E7A7E"/>
    <w:rsid w:val="006F19E3"/>
    <w:rsid w:val="006F4689"/>
    <w:rsid w:val="006F4798"/>
    <w:rsid w:val="007015FF"/>
    <w:rsid w:val="00701D85"/>
    <w:rsid w:val="00701E18"/>
    <w:rsid w:val="00706916"/>
    <w:rsid w:val="00707467"/>
    <w:rsid w:val="00710C7E"/>
    <w:rsid w:val="00710E92"/>
    <w:rsid w:val="0071547D"/>
    <w:rsid w:val="00722FCE"/>
    <w:rsid w:val="0072385C"/>
    <w:rsid w:val="00726171"/>
    <w:rsid w:val="00731B99"/>
    <w:rsid w:val="00733D46"/>
    <w:rsid w:val="00733F4B"/>
    <w:rsid w:val="00734630"/>
    <w:rsid w:val="007374B9"/>
    <w:rsid w:val="00740A8F"/>
    <w:rsid w:val="00742876"/>
    <w:rsid w:val="00747A24"/>
    <w:rsid w:val="00752811"/>
    <w:rsid w:val="007607E8"/>
    <w:rsid w:val="007608FF"/>
    <w:rsid w:val="00760BD6"/>
    <w:rsid w:val="007626D9"/>
    <w:rsid w:val="00771ACE"/>
    <w:rsid w:val="00772942"/>
    <w:rsid w:val="0077445C"/>
    <w:rsid w:val="00774F15"/>
    <w:rsid w:val="007756D6"/>
    <w:rsid w:val="00775EF4"/>
    <w:rsid w:val="0077742E"/>
    <w:rsid w:val="00780130"/>
    <w:rsid w:val="00781570"/>
    <w:rsid w:val="00784486"/>
    <w:rsid w:val="00787EDB"/>
    <w:rsid w:val="0079113B"/>
    <w:rsid w:val="00797A08"/>
    <w:rsid w:val="00797AA8"/>
    <w:rsid w:val="007A0FB2"/>
    <w:rsid w:val="007A4F58"/>
    <w:rsid w:val="007A56FA"/>
    <w:rsid w:val="007A6725"/>
    <w:rsid w:val="007A7ADD"/>
    <w:rsid w:val="007B002D"/>
    <w:rsid w:val="007B2962"/>
    <w:rsid w:val="007B42B2"/>
    <w:rsid w:val="007B4476"/>
    <w:rsid w:val="007C00DA"/>
    <w:rsid w:val="007C0E16"/>
    <w:rsid w:val="007C39B0"/>
    <w:rsid w:val="007C4E55"/>
    <w:rsid w:val="007C7FB5"/>
    <w:rsid w:val="007D7C47"/>
    <w:rsid w:val="007E090F"/>
    <w:rsid w:val="007E1A43"/>
    <w:rsid w:val="007E3C0E"/>
    <w:rsid w:val="007E572E"/>
    <w:rsid w:val="007E718E"/>
    <w:rsid w:val="007F3645"/>
    <w:rsid w:val="008115C5"/>
    <w:rsid w:val="00812C70"/>
    <w:rsid w:val="0081418A"/>
    <w:rsid w:val="008149B0"/>
    <w:rsid w:val="008177D7"/>
    <w:rsid w:val="00822D9F"/>
    <w:rsid w:val="00826203"/>
    <w:rsid w:val="008272A5"/>
    <w:rsid w:val="008277A6"/>
    <w:rsid w:val="00832598"/>
    <w:rsid w:val="00833183"/>
    <w:rsid w:val="008423A3"/>
    <w:rsid w:val="00846D9D"/>
    <w:rsid w:val="0085211A"/>
    <w:rsid w:val="00855C30"/>
    <w:rsid w:val="008564A1"/>
    <w:rsid w:val="00856C0B"/>
    <w:rsid w:val="0086142A"/>
    <w:rsid w:val="00861D88"/>
    <w:rsid w:val="00862D16"/>
    <w:rsid w:val="0087362B"/>
    <w:rsid w:val="00876FA4"/>
    <w:rsid w:val="00880168"/>
    <w:rsid w:val="00882D3C"/>
    <w:rsid w:val="008847ED"/>
    <w:rsid w:val="00886C53"/>
    <w:rsid w:val="00887D24"/>
    <w:rsid w:val="00891D68"/>
    <w:rsid w:val="00892D3B"/>
    <w:rsid w:val="00895154"/>
    <w:rsid w:val="00897EDC"/>
    <w:rsid w:val="008A17EB"/>
    <w:rsid w:val="008A2F12"/>
    <w:rsid w:val="008A5134"/>
    <w:rsid w:val="008B6CCD"/>
    <w:rsid w:val="008C1351"/>
    <w:rsid w:val="008C1932"/>
    <w:rsid w:val="008C5774"/>
    <w:rsid w:val="008C579E"/>
    <w:rsid w:val="008D0FCF"/>
    <w:rsid w:val="008D1698"/>
    <w:rsid w:val="008D37F6"/>
    <w:rsid w:val="008D5B54"/>
    <w:rsid w:val="008D6266"/>
    <w:rsid w:val="008D7983"/>
    <w:rsid w:val="008F09A9"/>
    <w:rsid w:val="008F5E09"/>
    <w:rsid w:val="00900963"/>
    <w:rsid w:val="0090252D"/>
    <w:rsid w:val="0090492C"/>
    <w:rsid w:val="009121FF"/>
    <w:rsid w:val="009129DC"/>
    <w:rsid w:val="00913148"/>
    <w:rsid w:val="009208D8"/>
    <w:rsid w:val="00922DBD"/>
    <w:rsid w:val="0092387F"/>
    <w:rsid w:val="00925F3A"/>
    <w:rsid w:val="00926505"/>
    <w:rsid w:val="009265C0"/>
    <w:rsid w:val="00926C69"/>
    <w:rsid w:val="00926F0E"/>
    <w:rsid w:val="009326C4"/>
    <w:rsid w:val="00935573"/>
    <w:rsid w:val="009356A2"/>
    <w:rsid w:val="00944047"/>
    <w:rsid w:val="009469BE"/>
    <w:rsid w:val="00946B03"/>
    <w:rsid w:val="009478D0"/>
    <w:rsid w:val="0094797C"/>
    <w:rsid w:val="00947DC2"/>
    <w:rsid w:val="00951FDE"/>
    <w:rsid w:val="00952B1F"/>
    <w:rsid w:val="00954773"/>
    <w:rsid w:val="00954FC6"/>
    <w:rsid w:val="00957FBC"/>
    <w:rsid w:val="00960420"/>
    <w:rsid w:val="00960714"/>
    <w:rsid w:val="0096255F"/>
    <w:rsid w:val="00962EC4"/>
    <w:rsid w:val="00967C6A"/>
    <w:rsid w:val="009704FB"/>
    <w:rsid w:val="0097527E"/>
    <w:rsid w:val="0097537C"/>
    <w:rsid w:val="009832ED"/>
    <w:rsid w:val="00985FC1"/>
    <w:rsid w:val="00991785"/>
    <w:rsid w:val="00993E9F"/>
    <w:rsid w:val="00994B34"/>
    <w:rsid w:val="00994EF3"/>
    <w:rsid w:val="00997577"/>
    <w:rsid w:val="009A03A4"/>
    <w:rsid w:val="009A200B"/>
    <w:rsid w:val="009B0D79"/>
    <w:rsid w:val="009B285A"/>
    <w:rsid w:val="009B3C83"/>
    <w:rsid w:val="009B3DE7"/>
    <w:rsid w:val="009C03C5"/>
    <w:rsid w:val="009C1C52"/>
    <w:rsid w:val="009C2853"/>
    <w:rsid w:val="009C2EA4"/>
    <w:rsid w:val="009C7CDB"/>
    <w:rsid w:val="009D1A9A"/>
    <w:rsid w:val="009D7913"/>
    <w:rsid w:val="009D7B56"/>
    <w:rsid w:val="009E1A09"/>
    <w:rsid w:val="009E318C"/>
    <w:rsid w:val="009E4D2D"/>
    <w:rsid w:val="009E63A4"/>
    <w:rsid w:val="009E7589"/>
    <w:rsid w:val="009F1440"/>
    <w:rsid w:val="009F3981"/>
    <w:rsid w:val="009F3EF2"/>
    <w:rsid w:val="009F4D87"/>
    <w:rsid w:val="009F70E9"/>
    <w:rsid w:val="00A00B4A"/>
    <w:rsid w:val="00A0110F"/>
    <w:rsid w:val="00A0777B"/>
    <w:rsid w:val="00A10251"/>
    <w:rsid w:val="00A13230"/>
    <w:rsid w:val="00A13762"/>
    <w:rsid w:val="00A16360"/>
    <w:rsid w:val="00A25D84"/>
    <w:rsid w:val="00A26182"/>
    <w:rsid w:val="00A31D12"/>
    <w:rsid w:val="00A4337D"/>
    <w:rsid w:val="00A45D4A"/>
    <w:rsid w:val="00A50878"/>
    <w:rsid w:val="00A51787"/>
    <w:rsid w:val="00A56ED0"/>
    <w:rsid w:val="00A579D3"/>
    <w:rsid w:val="00A60781"/>
    <w:rsid w:val="00A63309"/>
    <w:rsid w:val="00A660CE"/>
    <w:rsid w:val="00A66894"/>
    <w:rsid w:val="00A66ED3"/>
    <w:rsid w:val="00A70F1E"/>
    <w:rsid w:val="00A809BC"/>
    <w:rsid w:val="00A80EE0"/>
    <w:rsid w:val="00A81AA5"/>
    <w:rsid w:val="00A84AF7"/>
    <w:rsid w:val="00A85694"/>
    <w:rsid w:val="00A93BF0"/>
    <w:rsid w:val="00A94C94"/>
    <w:rsid w:val="00A96295"/>
    <w:rsid w:val="00A968AB"/>
    <w:rsid w:val="00A97DD5"/>
    <w:rsid w:val="00AA004B"/>
    <w:rsid w:val="00AA463E"/>
    <w:rsid w:val="00AA5F42"/>
    <w:rsid w:val="00AA69EF"/>
    <w:rsid w:val="00AB0242"/>
    <w:rsid w:val="00AB2DA2"/>
    <w:rsid w:val="00AB31A7"/>
    <w:rsid w:val="00AB3915"/>
    <w:rsid w:val="00AC0309"/>
    <w:rsid w:val="00AC0716"/>
    <w:rsid w:val="00AC5BEF"/>
    <w:rsid w:val="00AC68BE"/>
    <w:rsid w:val="00AD0028"/>
    <w:rsid w:val="00AD2353"/>
    <w:rsid w:val="00AD3E19"/>
    <w:rsid w:val="00AD606D"/>
    <w:rsid w:val="00AE4FA9"/>
    <w:rsid w:val="00AE5F4A"/>
    <w:rsid w:val="00AE7C82"/>
    <w:rsid w:val="00AF30A5"/>
    <w:rsid w:val="00AF3186"/>
    <w:rsid w:val="00AF3D58"/>
    <w:rsid w:val="00AF5B6E"/>
    <w:rsid w:val="00AF6F1C"/>
    <w:rsid w:val="00AF7744"/>
    <w:rsid w:val="00B057CB"/>
    <w:rsid w:val="00B10136"/>
    <w:rsid w:val="00B15171"/>
    <w:rsid w:val="00B16E8B"/>
    <w:rsid w:val="00B23359"/>
    <w:rsid w:val="00B23B91"/>
    <w:rsid w:val="00B30E6F"/>
    <w:rsid w:val="00B31B8C"/>
    <w:rsid w:val="00B31EF9"/>
    <w:rsid w:val="00B320DC"/>
    <w:rsid w:val="00B35A8E"/>
    <w:rsid w:val="00B4014F"/>
    <w:rsid w:val="00B45635"/>
    <w:rsid w:val="00B50556"/>
    <w:rsid w:val="00B52044"/>
    <w:rsid w:val="00B52063"/>
    <w:rsid w:val="00B53898"/>
    <w:rsid w:val="00B539A1"/>
    <w:rsid w:val="00B53A32"/>
    <w:rsid w:val="00B53C15"/>
    <w:rsid w:val="00B5619F"/>
    <w:rsid w:val="00B5701B"/>
    <w:rsid w:val="00B615CC"/>
    <w:rsid w:val="00B6291B"/>
    <w:rsid w:val="00B7023F"/>
    <w:rsid w:val="00B708FB"/>
    <w:rsid w:val="00B7630C"/>
    <w:rsid w:val="00B81C73"/>
    <w:rsid w:val="00B81F70"/>
    <w:rsid w:val="00B85DF4"/>
    <w:rsid w:val="00B9451F"/>
    <w:rsid w:val="00B97508"/>
    <w:rsid w:val="00BA2166"/>
    <w:rsid w:val="00BB32F0"/>
    <w:rsid w:val="00BB3DE9"/>
    <w:rsid w:val="00BB473F"/>
    <w:rsid w:val="00BB5C4C"/>
    <w:rsid w:val="00BC05A6"/>
    <w:rsid w:val="00BC10C2"/>
    <w:rsid w:val="00BC1CFB"/>
    <w:rsid w:val="00BC3704"/>
    <w:rsid w:val="00BC71D0"/>
    <w:rsid w:val="00BD10A6"/>
    <w:rsid w:val="00BD2092"/>
    <w:rsid w:val="00BD2399"/>
    <w:rsid w:val="00BD3E31"/>
    <w:rsid w:val="00BD758B"/>
    <w:rsid w:val="00BD78DB"/>
    <w:rsid w:val="00BE50AA"/>
    <w:rsid w:val="00BE7316"/>
    <w:rsid w:val="00BE7C55"/>
    <w:rsid w:val="00BF00E3"/>
    <w:rsid w:val="00BF0C5F"/>
    <w:rsid w:val="00BF4EEF"/>
    <w:rsid w:val="00C01BA6"/>
    <w:rsid w:val="00C07C19"/>
    <w:rsid w:val="00C10827"/>
    <w:rsid w:val="00C11964"/>
    <w:rsid w:val="00C14277"/>
    <w:rsid w:val="00C161DB"/>
    <w:rsid w:val="00C236F4"/>
    <w:rsid w:val="00C30102"/>
    <w:rsid w:val="00C31A20"/>
    <w:rsid w:val="00C3321C"/>
    <w:rsid w:val="00C33297"/>
    <w:rsid w:val="00C356E8"/>
    <w:rsid w:val="00C4569B"/>
    <w:rsid w:val="00C471ED"/>
    <w:rsid w:val="00C5056D"/>
    <w:rsid w:val="00C50F95"/>
    <w:rsid w:val="00C607C9"/>
    <w:rsid w:val="00C6196F"/>
    <w:rsid w:val="00C64B15"/>
    <w:rsid w:val="00C65823"/>
    <w:rsid w:val="00C67F24"/>
    <w:rsid w:val="00C72291"/>
    <w:rsid w:val="00C72782"/>
    <w:rsid w:val="00C730A2"/>
    <w:rsid w:val="00C73E6F"/>
    <w:rsid w:val="00C75154"/>
    <w:rsid w:val="00C76D9F"/>
    <w:rsid w:val="00C8353B"/>
    <w:rsid w:val="00C83898"/>
    <w:rsid w:val="00C867BC"/>
    <w:rsid w:val="00C91B97"/>
    <w:rsid w:val="00C924ED"/>
    <w:rsid w:val="00C94E7B"/>
    <w:rsid w:val="00C954D7"/>
    <w:rsid w:val="00CA02C6"/>
    <w:rsid w:val="00CA0EB9"/>
    <w:rsid w:val="00CA136E"/>
    <w:rsid w:val="00CA4EA1"/>
    <w:rsid w:val="00CA587F"/>
    <w:rsid w:val="00CA6F12"/>
    <w:rsid w:val="00CA75DC"/>
    <w:rsid w:val="00CA7800"/>
    <w:rsid w:val="00CA7D25"/>
    <w:rsid w:val="00CB0F20"/>
    <w:rsid w:val="00CB2A38"/>
    <w:rsid w:val="00CB5B39"/>
    <w:rsid w:val="00CB5D46"/>
    <w:rsid w:val="00CB5E98"/>
    <w:rsid w:val="00CB6330"/>
    <w:rsid w:val="00CC0C7A"/>
    <w:rsid w:val="00CC39D2"/>
    <w:rsid w:val="00CD1499"/>
    <w:rsid w:val="00CD4346"/>
    <w:rsid w:val="00CD70EB"/>
    <w:rsid w:val="00CD719F"/>
    <w:rsid w:val="00CE19AC"/>
    <w:rsid w:val="00CE5938"/>
    <w:rsid w:val="00CE6A89"/>
    <w:rsid w:val="00CE7F33"/>
    <w:rsid w:val="00CF549A"/>
    <w:rsid w:val="00D042DB"/>
    <w:rsid w:val="00D04808"/>
    <w:rsid w:val="00D06875"/>
    <w:rsid w:val="00D10B5B"/>
    <w:rsid w:val="00D122BE"/>
    <w:rsid w:val="00D1530C"/>
    <w:rsid w:val="00D158EC"/>
    <w:rsid w:val="00D1613E"/>
    <w:rsid w:val="00D20C24"/>
    <w:rsid w:val="00D216BC"/>
    <w:rsid w:val="00D22B24"/>
    <w:rsid w:val="00D22CEB"/>
    <w:rsid w:val="00D253BF"/>
    <w:rsid w:val="00D31B9B"/>
    <w:rsid w:val="00D3397C"/>
    <w:rsid w:val="00D349D1"/>
    <w:rsid w:val="00D34E70"/>
    <w:rsid w:val="00D35A55"/>
    <w:rsid w:val="00D363E8"/>
    <w:rsid w:val="00D36FC3"/>
    <w:rsid w:val="00D41486"/>
    <w:rsid w:val="00D4173D"/>
    <w:rsid w:val="00D42CA7"/>
    <w:rsid w:val="00D50089"/>
    <w:rsid w:val="00D5057D"/>
    <w:rsid w:val="00D52375"/>
    <w:rsid w:val="00D54568"/>
    <w:rsid w:val="00D620D5"/>
    <w:rsid w:val="00D635CE"/>
    <w:rsid w:val="00D7092D"/>
    <w:rsid w:val="00D726B0"/>
    <w:rsid w:val="00D80A98"/>
    <w:rsid w:val="00D84F71"/>
    <w:rsid w:val="00D86262"/>
    <w:rsid w:val="00D866F7"/>
    <w:rsid w:val="00D8769C"/>
    <w:rsid w:val="00D90F5D"/>
    <w:rsid w:val="00D93A95"/>
    <w:rsid w:val="00DA0B1F"/>
    <w:rsid w:val="00DA1008"/>
    <w:rsid w:val="00DA2AED"/>
    <w:rsid w:val="00DA5F89"/>
    <w:rsid w:val="00DA6586"/>
    <w:rsid w:val="00DA6C89"/>
    <w:rsid w:val="00DB05AE"/>
    <w:rsid w:val="00DB073E"/>
    <w:rsid w:val="00DB5096"/>
    <w:rsid w:val="00DC0632"/>
    <w:rsid w:val="00DC25CD"/>
    <w:rsid w:val="00DC3562"/>
    <w:rsid w:val="00DC418C"/>
    <w:rsid w:val="00DC5325"/>
    <w:rsid w:val="00DD269D"/>
    <w:rsid w:val="00DD6395"/>
    <w:rsid w:val="00DD7C82"/>
    <w:rsid w:val="00DE1518"/>
    <w:rsid w:val="00DE2088"/>
    <w:rsid w:val="00DE6A97"/>
    <w:rsid w:val="00DF184E"/>
    <w:rsid w:val="00DF6863"/>
    <w:rsid w:val="00E02F60"/>
    <w:rsid w:val="00E070F1"/>
    <w:rsid w:val="00E07BA5"/>
    <w:rsid w:val="00E10A8C"/>
    <w:rsid w:val="00E14400"/>
    <w:rsid w:val="00E1701D"/>
    <w:rsid w:val="00E20E29"/>
    <w:rsid w:val="00E24BDF"/>
    <w:rsid w:val="00E25EDC"/>
    <w:rsid w:val="00E2789D"/>
    <w:rsid w:val="00E40304"/>
    <w:rsid w:val="00E4135E"/>
    <w:rsid w:val="00E41BB9"/>
    <w:rsid w:val="00E4348E"/>
    <w:rsid w:val="00E50A06"/>
    <w:rsid w:val="00E510C9"/>
    <w:rsid w:val="00E522A6"/>
    <w:rsid w:val="00E55C4A"/>
    <w:rsid w:val="00E6212D"/>
    <w:rsid w:val="00E666BF"/>
    <w:rsid w:val="00E70072"/>
    <w:rsid w:val="00E70BE7"/>
    <w:rsid w:val="00E73814"/>
    <w:rsid w:val="00E74111"/>
    <w:rsid w:val="00E80788"/>
    <w:rsid w:val="00E81739"/>
    <w:rsid w:val="00E82BDD"/>
    <w:rsid w:val="00E844CC"/>
    <w:rsid w:val="00E855A5"/>
    <w:rsid w:val="00E86082"/>
    <w:rsid w:val="00E91400"/>
    <w:rsid w:val="00E91DBC"/>
    <w:rsid w:val="00E97DB3"/>
    <w:rsid w:val="00EA1C2B"/>
    <w:rsid w:val="00EA2475"/>
    <w:rsid w:val="00EA37ED"/>
    <w:rsid w:val="00EA3F0B"/>
    <w:rsid w:val="00EA4674"/>
    <w:rsid w:val="00EA632D"/>
    <w:rsid w:val="00EB1FF2"/>
    <w:rsid w:val="00EB32BB"/>
    <w:rsid w:val="00EB362B"/>
    <w:rsid w:val="00EC647D"/>
    <w:rsid w:val="00ED0E84"/>
    <w:rsid w:val="00ED596E"/>
    <w:rsid w:val="00ED6C9B"/>
    <w:rsid w:val="00EE1190"/>
    <w:rsid w:val="00EE2334"/>
    <w:rsid w:val="00EE2569"/>
    <w:rsid w:val="00EE4519"/>
    <w:rsid w:val="00EE5CD9"/>
    <w:rsid w:val="00EE6904"/>
    <w:rsid w:val="00EF0CE5"/>
    <w:rsid w:val="00EF21AE"/>
    <w:rsid w:val="00EF6CC8"/>
    <w:rsid w:val="00EF789C"/>
    <w:rsid w:val="00F007A0"/>
    <w:rsid w:val="00F04014"/>
    <w:rsid w:val="00F06317"/>
    <w:rsid w:val="00F1043A"/>
    <w:rsid w:val="00F10E14"/>
    <w:rsid w:val="00F1132A"/>
    <w:rsid w:val="00F1175C"/>
    <w:rsid w:val="00F14070"/>
    <w:rsid w:val="00F14A61"/>
    <w:rsid w:val="00F14EC4"/>
    <w:rsid w:val="00F17AE5"/>
    <w:rsid w:val="00F17B9C"/>
    <w:rsid w:val="00F20A95"/>
    <w:rsid w:val="00F20FAB"/>
    <w:rsid w:val="00F212C1"/>
    <w:rsid w:val="00F2420D"/>
    <w:rsid w:val="00F27B77"/>
    <w:rsid w:val="00F306DA"/>
    <w:rsid w:val="00F3084E"/>
    <w:rsid w:val="00F41A9B"/>
    <w:rsid w:val="00F42F29"/>
    <w:rsid w:val="00F4356A"/>
    <w:rsid w:val="00F437AD"/>
    <w:rsid w:val="00F450E7"/>
    <w:rsid w:val="00F47F8E"/>
    <w:rsid w:val="00F504AF"/>
    <w:rsid w:val="00F50C02"/>
    <w:rsid w:val="00F511D1"/>
    <w:rsid w:val="00F51FCB"/>
    <w:rsid w:val="00F535CA"/>
    <w:rsid w:val="00F577FA"/>
    <w:rsid w:val="00F57A16"/>
    <w:rsid w:val="00F61549"/>
    <w:rsid w:val="00F62E4B"/>
    <w:rsid w:val="00F647E6"/>
    <w:rsid w:val="00F726D8"/>
    <w:rsid w:val="00F73FD6"/>
    <w:rsid w:val="00F751E8"/>
    <w:rsid w:val="00F770DC"/>
    <w:rsid w:val="00F80207"/>
    <w:rsid w:val="00F80510"/>
    <w:rsid w:val="00F81314"/>
    <w:rsid w:val="00F847DE"/>
    <w:rsid w:val="00F93B70"/>
    <w:rsid w:val="00F940B1"/>
    <w:rsid w:val="00F94961"/>
    <w:rsid w:val="00F94F85"/>
    <w:rsid w:val="00F962B5"/>
    <w:rsid w:val="00FA22E9"/>
    <w:rsid w:val="00FA2385"/>
    <w:rsid w:val="00FA4B61"/>
    <w:rsid w:val="00FB3016"/>
    <w:rsid w:val="00FB3A3F"/>
    <w:rsid w:val="00FB44B2"/>
    <w:rsid w:val="00FB6B9C"/>
    <w:rsid w:val="00FB71C1"/>
    <w:rsid w:val="00FC1065"/>
    <w:rsid w:val="00FC259F"/>
    <w:rsid w:val="00FC7E97"/>
    <w:rsid w:val="00FD0418"/>
    <w:rsid w:val="00FD29A2"/>
    <w:rsid w:val="00FD2BFB"/>
    <w:rsid w:val="00FD32A2"/>
    <w:rsid w:val="00FD60CA"/>
    <w:rsid w:val="00FD73EF"/>
    <w:rsid w:val="00FE004A"/>
    <w:rsid w:val="00FE2FAF"/>
    <w:rsid w:val="00FE3169"/>
    <w:rsid w:val="00FE4A41"/>
    <w:rsid w:val="00FE4E0A"/>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10CA299"/>
  <w15:chartTrackingRefBased/>
  <w15:docId w15:val="{3D3F4EC2-F640-4B2C-AF3F-1466781B9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7689E"/>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DCUSA H2,2,Chapter,1.Seite,Sub Heading,Chapter Title,Attribute Heading 2,H2,h2,(Alt+2),heading2,heading h2,KJL:1st Level,Level 2,PARA2,Major1,Sub section title,S Heading,S Heading 2,Major,Reset numbering,H21,H22,H23,H211,H221"/>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DCUSA H2 Char,2 Char,Chapter Char,1.Seite Char,Sub Heading Char,Chapter Title Char,Attribute Heading 2 Char,H2 Char,h2 Char,(Alt+2) Char,heading2 Char,heading h2 Char,KJL:1st Level Char,Level 2 Char,PARA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FootnoteText">
    <w:name w:val="footnote text"/>
    <w:basedOn w:val="Normal"/>
    <w:link w:val="FootnoteTextChar"/>
    <w:uiPriority w:val="99"/>
    <w:rsid w:val="001812E5"/>
    <w:pPr>
      <w:spacing w:before="0" w:after="0" w:line="240" w:lineRule="auto"/>
    </w:pPr>
    <w:rPr>
      <w:rFonts w:ascii="Times New Roman" w:hAnsi="Times New Roman"/>
      <w:szCs w:val="20"/>
    </w:rPr>
  </w:style>
  <w:style w:type="character" w:customStyle="1" w:styleId="FootnoteTextChar">
    <w:name w:val="Footnote Text Char"/>
    <w:link w:val="FootnoteText"/>
    <w:uiPriority w:val="99"/>
    <w:rsid w:val="001812E5"/>
    <w:rPr>
      <w:rFonts w:ascii="Times New Roman" w:eastAsia="Times New Roman" w:hAnsi="Times New Roman"/>
    </w:rPr>
  </w:style>
  <w:style w:type="character" w:styleId="FootnoteReference">
    <w:name w:val="footnote reference"/>
    <w:uiPriority w:val="99"/>
    <w:rsid w:val="001812E5"/>
    <w:rPr>
      <w:rFonts w:cs="Times New Roman"/>
      <w:vertAlign w:val="superscript"/>
    </w:rPr>
  </w:style>
  <w:style w:type="paragraph" w:styleId="Revision">
    <w:name w:val="Revision"/>
    <w:hidden/>
    <w:rsid w:val="002E3A0E"/>
    <w:rPr>
      <w:rFonts w:ascii="Arial" w:eastAsia="Times New Roman" w:hAnsi="Arial"/>
      <w:szCs w:val="24"/>
    </w:rPr>
  </w:style>
  <w:style w:type="paragraph" w:customStyle="1" w:styleId="GSBodyParawithnumb">
    <w:name w:val="GS Body Para with numb"/>
    <w:basedOn w:val="Normal"/>
    <w:link w:val="GSBodyParawithnumbChar"/>
    <w:qFormat/>
    <w:rsid w:val="004715CE"/>
    <w:pPr>
      <w:numPr>
        <w:ilvl w:val="1"/>
        <w:numId w:val="29"/>
      </w:numPr>
      <w:spacing w:before="60" w:line="240" w:lineRule="auto"/>
      <w:outlineLvl w:val="1"/>
    </w:pPr>
    <w:rPr>
      <w:rFonts w:ascii="Calibri" w:eastAsia="Calibri" w:hAnsi="Calibri"/>
      <w:sz w:val="22"/>
      <w:szCs w:val="22"/>
      <w:lang w:eastAsia="en-US"/>
    </w:rPr>
  </w:style>
  <w:style w:type="character" w:customStyle="1" w:styleId="GSBodyParawithnumbChar">
    <w:name w:val="GS Body Para with numb Char"/>
    <w:link w:val="GSBodyParawithnumb"/>
    <w:rsid w:val="004715CE"/>
    <w:rPr>
      <w:rFonts w:ascii="Calibri" w:eastAsia="Calibri" w:hAnsi="Calibri"/>
      <w:sz w:val="22"/>
      <w:szCs w:val="22"/>
      <w:lang w:eastAsia="en-US"/>
    </w:rPr>
  </w:style>
  <w:style w:type="paragraph" w:customStyle="1" w:styleId="GSHeading1withnumb">
    <w:name w:val="GS Heading 1 with numb"/>
    <w:basedOn w:val="Normal"/>
    <w:qFormat/>
    <w:rsid w:val="004715CE"/>
    <w:pPr>
      <w:numPr>
        <w:numId w:val="29"/>
      </w:numPr>
      <w:spacing w:before="240" w:after="0" w:line="240" w:lineRule="auto"/>
      <w:outlineLvl w:val="0"/>
    </w:pPr>
    <w:rPr>
      <w:rFonts w:ascii="Calibri" w:eastAsia="Calibri" w:hAnsi="Calibri"/>
      <w:b/>
      <w:caps/>
      <w:sz w:val="22"/>
      <w:szCs w:val="22"/>
      <w:lang w:eastAsia="en-US"/>
    </w:rPr>
  </w:style>
  <w:style w:type="paragraph" w:styleId="ListParagraph">
    <w:name w:val="List Paragraph"/>
    <w:basedOn w:val="Normal"/>
    <w:uiPriority w:val="34"/>
    <w:qFormat/>
    <w:rsid w:val="004A62D4"/>
    <w:pPr>
      <w:ind w:left="720"/>
    </w:pPr>
  </w:style>
  <w:style w:type="paragraph" w:customStyle="1" w:styleId="Default">
    <w:name w:val="Default"/>
    <w:rsid w:val="00855C30"/>
    <w:pPr>
      <w:autoSpaceDE w:val="0"/>
      <w:autoSpaceDN w:val="0"/>
      <w:adjustRightInd w:val="0"/>
    </w:pPr>
    <w:rPr>
      <w:rFonts w:ascii="Calibri" w:eastAsia="Calibri" w:hAnsi="Calibri" w:cs="Calibri"/>
      <w:color w:val="000000"/>
      <w:sz w:val="24"/>
      <w:szCs w:val="24"/>
      <w:lang w:eastAsia="en-US"/>
    </w:rPr>
  </w:style>
  <w:style w:type="paragraph" w:customStyle="1" w:styleId="Table">
    <w:name w:val="Table"/>
    <w:basedOn w:val="Normal"/>
    <w:rsid w:val="00797A08"/>
    <w:pPr>
      <w:tabs>
        <w:tab w:val="num" w:pos="720"/>
      </w:tabs>
      <w:spacing w:line="240" w:lineRule="auto"/>
    </w:pPr>
    <w:rPr>
      <w:rFonts w:ascii="Times New Roman" w:hAnsi="Times New Roman"/>
      <w:kern w:val="14"/>
      <w:sz w:val="22"/>
      <w:szCs w:val="20"/>
      <w:lang w:eastAsia="en-US"/>
    </w:rPr>
  </w:style>
  <w:style w:type="paragraph" w:styleId="NoSpacing">
    <w:name w:val="No Spacing"/>
    <w:uiPriority w:val="1"/>
    <w:qFormat/>
    <w:rsid w:val="001B3997"/>
    <w:rPr>
      <w:rFonts w:ascii="Calibri" w:eastAsia="Calibri" w:hAnsi="Calibri"/>
      <w:sz w:val="22"/>
      <w:szCs w:val="22"/>
      <w:lang w:eastAsia="en-US"/>
    </w:rPr>
  </w:style>
  <w:style w:type="character" w:styleId="UnresolvedMention">
    <w:name w:val="Unresolved Mention"/>
    <w:basedOn w:val="DefaultParagraphFont"/>
    <w:uiPriority w:val="99"/>
    <w:semiHidden/>
    <w:unhideWhenUsed/>
    <w:rsid w:val="00D862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341588895">
      <w:bodyDiv w:val="1"/>
      <w:marLeft w:val="0"/>
      <w:marRight w:val="0"/>
      <w:marTop w:val="0"/>
      <w:marBottom w:val="0"/>
      <w:divBdr>
        <w:top w:val="none" w:sz="0" w:space="0" w:color="auto"/>
        <w:left w:val="none" w:sz="0" w:space="0" w:color="auto"/>
        <w:bottom w:val="none" w:sz="0" w:space="0" w:color="auto"/>
        <w:right w:val="none" w:sz="0" w:space="0" w:color="auto"/>
      </w:divBdr>
    </w:div>
    <w:div w:id="344749415">
      <w:bodyDiv w:val="1"/>
      <w:marLeft w:val="0"/>
      <w:marRight w:val="0"/>
      <w:marTop w:val="0"/>
      <w:marBottom w:val="0"/>
      <w:divBdr>
        <w:top w:val="none" w:sz="0" w:space="0" w:color="auto"/>
        <w:left w:val="none" w:sz="0" w:space="0" w:color="auto"/>
        <w:bottom w:val="none" w:sz="0" w:space="0" w:color="auto"/>
        <w:right w:val="none" w:sz="0" w:space="0" w:color="auto"/>
      </w:divBdr>
    </w:div>
    <w:div w:id="406928380">
      <w:bodyDiv w:val="1"/>
      <w:marLeft w:val="0"/>
      <w:marRight w:val="0"/>
      <w:marTop w:val="0"/>
      <w:marBottom w:val="0"/>
      <w:divBdr>
        <w:top w:val="none" w:sz="0" w:space="0" w:color="auto"/>
        <w:left w:val="none" w:sz="0" w:space="0" w:color="auto"/>
        <w:bottom w:val="none" w:sz="0" w:space="0" w:color="auto"/>
        <w:right w:val="none" w:sz="0" w:space="0" w:color="auto"/>
      </w:divBdr>
    </w:div>
    <w:div w:id="432869794">
      <w:bodyDiv w:val="1"/>
      <w:marLeft w:val="0"/>
      <w:marRight w:val="0"/>
      <w:marTop w:val="0"/>
      <w:marBottom w:val="0"/>
      <w:divBdr>
        <w:top w:val="none" w:sz="0" w:space="0" w:color="auto"/>
        <w:left w:val="none" w:sz="0" w:space="0" w:color="auto"/>
        <w:bottom w:val="none" w:sz="0" w:space="0" w:color="auto"/>
        <w:right w:val="none" w:sz="0" w:space="0" w:color="auto"/>
      </w:divBdr>
    </w:div>
    <w:div w:id="579604562">
      <w:bodyDiv w:val="1"/>
      <w:marLeft w:val="0"/>
      <w:marRight w:val="0"/>
      <w:marTop w:val="0"/>
      <w:marBottom w:val="0"/>
      <w:divBdr>
        <w:top w:val="none" w:sz="0" w:space="0" w:color="auto"/>
        <w:left w:val="none" w:sz="0" w:space="0" w:color="auto"/>
        <w:bottom w:val="none" w:sz="0" w:space="0" w:color="auto"/>
        <w:right w:val="none" w:sz="0" w:space="0" w:color="auto"/>
      </w:divBdr>
    </w:div>
    <w:div w:id="66612954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50128063">
      <w:bodyDiv w:val="1"/>
      <w:marLeft w:val="0"/>
      <w:marRight w:val="0"/>
      <w:marTop w:val="0"/>
      <w:marBottom w:val="0"/>
      <w:divBdr>
        <w:top w:val="none" w:sz="0" w:space="0" w:color="auto"/>
        <w:left w:val="none" w:sz="0" w:space="0" w:color="auto"/>
        <w:bottom w:val="none" w:sz="0" w:space="0" w:color="auto"/>
        <w:right w:val="none" w:sz="0" w:space="0" w:color="auto"/>
      </w:divBdr>
    </w:div>
    <w:div w:id="982274758">
      <w:bodyDiv w:val="1"/>
      <w:marLeft w:val="0"/>
      <w:marRight w:val="0"/>
      <w:marTop w:val="0"/>
      <w:marBottom w:val="0"/>
      <w:divBdr>
        <w:top w:val="none" w:sz="0" w:space="0" w:color="auto"/>
        <w:left w:val="none" w:sz="0" w:space="0" w:color="auto"/>
        <w:bottom w:val="none" w:sz="0" w:space="0" w:color="auto"/>
        <w:right w:val="none" w:sz="0" w:space="0" w:color="auto"/>
      </w:divBdr>
    </w:div>
    <w:div w:id="998338789">
      <w:bodyDiv w:val="1"/>
      <w:marLeft w:val="0"/>
      <w:marRight w:val="0"/>
      <w:marTop w:val="0"/>
      <w:marBottom w:val="0"/>
      <w:divBdr>
        <w:top w:val="none" w:sz="0" w:space="0" w:color="auto"/>
        <w:left w:val="none" w:sz="0" w:space="0" w:color="auto"/>
        <w:bottom w:val="none" w:sz="0" w:space="0" w:color="auto"/>
        <w:right w:val="none" w:sz="0" w:space="0" w:color="auto"/>
      </w:divBdr>
    </w:div>
    <w:div w:id="1022786177">
      <w:bodyDiv w:val="1"/>
      <w:marLeft w:val="0"/>
      <w:marRight w:val="0"/>
      <w:marTop w:val="0"/>
      <w:marBottom w:val="0"/>
      <w:divBdr>
        <w:top w:val="none" w:sz="0" w:space="0" w:color="auto"/>
        <w:left w:val="none" w:sz="0" w:space="0" w:color="auto"/>
        <w:bottom w:val="none" w:sz="0" w:space="0" w:color="auto"/>
        <w:right w:val="none" w:sz="0" w:space="0" w:color="auto"/>
      </w:divBdr>
    </w:div>
    <w:div w:id="1156141239">
      <w:bodyDiv w:val="1"/>
      <w:marLeft w:val="0"/>
      <w:marRight w:val="0"/>
      <w:marTop w:val="0"/>
      <w:marBottom w:val="0"/>
      <w:divBdr>
        <w:top w:val="none" w:sz="0" w:space="0" w:color="auto"/>
        <w:left w:val="none" w:sz="0" w:space="0" w:color="auto"/>
        <w:bottom w:val="none" w:sz="0" w:space="0" w:color="auto"/>
        <w:right w:val="none" w:sz="0" w:space="0" w:color="auto"/>
      </w:divBdr>
    </w:div>
    <w:div w:id="1368137151">
      <w:bodyDiv w:val="1"/>
      <w:marLeft w:val="0"/>
      <w:marRight w:val="0"/>
      <w:marTop w:val="0"/>
      <w:marBottom w:val="0"/>
      <w:divBdr>
        <w:top w:val="none" w:sz="0" w:space="0" w:color="auto"/>
        <w:left w:val="none" w:sz="0" w:space="0" w:color="auto"/>
        <w:bottom w:val="none" w:sz="0" w:space="0" w:color="auto"/>
        <w:right w:val="none" w:sz="0" w:space="0" w:color="auto"/>
      </w:divBdr>
    </w:div>
    <w:div w:id="1428118199">
      <w:bodyDiv w:val="1"/>
      <w:marLeft w:val="0"/>
      <w:marRight w:val="0"/>
      <w:marTop w:val="0"/>
      <w:marBottom w:val="0"/>
      <w:divBdr>
        <w:top w:val="none" w:sz="0" w:space="0" w:color="auto"/>
        <w:left w:val="none" w:sz="0" w:space="0" w:color="auto"/>
        <w:bottom w:val="none" w:sz="0" w:space="0" w:color="auto"/>
        <w:right w:val="none" w:sz="0" w:space="0" w:color="auto"/>
      </w:divBdr>
    </w:div>
    <w:div w:id="151194431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cid:image002.png@01D2F643.09CEDF8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dcusa@electralink.co.uk" TargetMode="External"/><Relationship Id="rId7" Type="http://schemas.openxmlformats.org/officeDocument/2006/relationships/endnotes" Target="endnotes.xml"/><Relationship Id="rId12" Type="http://schemas.openxmlformats.org/officeDocument/2006/relationships/hyperlink" Target="mailto:DCUSA@electralink.co.uk" TargetMode="External"/><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cid:image004.png@01D2F643.09CEDF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dcusa.co.uk/Lists/Change%20Proposal%20Register/DispForm.aspx?ID=259&amp;Source=https%3A%2F%2Fwww%2Edcusa%2Eco%2Euk%2FSitePages%2FActivities%2FChange%2DProposal%2DRegister%5FUSL2%2Easpx%23InplviewHasheedde852%2D0231%2D4b85%2D87ff%2D0f14d79826f5%3DPaged%253DTRUE%2DPagedPrev%253DTRUE%2Dp%5FDCP%253D181%2Dp%5FID%253D146%2DPageFirstRow%253D21&amp;ContentTypeId=0x0100684A1DE09E1F9740A444434CF581D435" TargetMode="External"/><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dcusa.co.uk/" TargetMode="External"/><Relationship Id="rId22" Type="http://schemas.openxmlformats.org/officeDocument/2006/relationships/hyperlink" Target="mailto:dcusa@electralink.co.u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ebarchive.nationalarchives.gov.uk/20130402174434/http://ofgem.gov.uk/Networks/ElecDist/Policy/DistChrgs/Documents1/Ofgem_CDCM_consultation%20280909_1.pdf" TargetMode="External"/><Relationship Id="rId1" Type="http://schemas.openxmlformats.org/officeDocument/2006/relationships/hyperlink" Target="http://webarchive.nationalarchives.gov.uk/20130402174434/http:/ofgem.gov.uk/Networks/ElecDist/Policy/DistChrgs/Documents1/Ofgem_CDCM_consultation%20280909_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9E7E6-F44E-4EBF-8ED7-3B626C60B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6866</Words>
  <Characters>39142</Characters>
  <Application>Microsoft Office Word</Application>
  <DocSecurity>4</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45917</CharactersWithSpaces>
  <SharedDoc>false</SharedDoc>
  <HyperlinkBase/>
  <HLinks>
    <vt:vector size="42" baseType="variant">
      <vt:variant>
        <vt:i4>2293841</vt:i4>
      </vt:variant>
      <vt:variant>
        <vt:i4>48</vt:i4>
      </vt:variant>
      <vt:variant>
        <vt:i4>0</vt:i4>
      </vt:variant>
      <vt:variant>
        <vt:i4>5</vt:i4>
      </vt:variant>
      <vt:variant>
        <vt:lpwstr>mailto:dcusa@electralink.co.uk</vt:lpwstr>
      </vt:variant>
      <vt:variant>
        <vt:lpwstr/>
      </vt:variant>
      <vt:variant>
        <vt:i4>2293841</vt:i4>
      </vt:variant>
      <vt:variant>
        <vt:i4>45</vt:i4>
      </vt:variant>
      <vt:variant>
        <vt:i4>0</vt:i4>
      </vt:variant>
      <vt:variant>
        <vt:i4>5</vt:i4>
      </vt:variant>
      <vt:variant>
        <vt:lpwstr>mailto:dcusa@electralink.co.uk</vt:lpwstr>
      </vt:variant>
      <vt:variant>
        <vt:lpwstr/>
      </vt:variant>
      <vt:variant>
        <vt:i4>7995488</vt:i4>
      </vt:variant>
      <vt:variant>
        <vt:i4>39</vt:i4>
      </vt:variant>
      <vt:variant>
        <vt:i4>0</vt:i4>
      </vt:variant>
      <vt:variant>
        <vt:i4>5</vt:i4>
      </vt:variant>
      <vt:variant>
        <vt:lpwstr>https://www.dcusa.co.uk/Lists/Change Proposal Register/DispForm.aspx?ID=259&amp;Source=https%3A%2F%2Fwww%2Edcusa%2Eco%2Euk%2FSitePages%2FActivities%2FChange%2DProposal%2DRegister%5FUSL2%2Easpx%23InplviewHasheedde852%2D0231%2D4b85%2D87ff%2D0f14d79826f5%3DPaged%253DTRUE%2DPagedPrev%253DTRUE%2Dp%5FDCP%253D181%2Dp%5FID%253D146%2DPageFirstRow%253D21&amp;ContentTypeId=0x0100684A1DE09E1F9740A444434CF581D435</vt:lpwstr>
      </vt:variant>
      <vt:variant>
        <vt:lpwstr/>
      </vt:variant>
      <vt:variant>
        <vt:i4>8192116</vt:i4>
      </vt:variant>
      <vt:variant>
        <vt:i4>36</vt:i4>
      </vt:variant>
      <vt:variant>
        <vt:i4>0</vt:i4>
      </vt:variant>
      <vt:variant>
        <vt:i4>5</vt:i4>
      </vt:variant>
      <vt:variant>
        <vt:lpwstr>http://www.dcusa.co.uk/</vt:lpwstr>
      </vt:variant>
      <vt:variant>
        <vt:lpwstr/>
      </vt:variant>
      <vt:variant>
        <vt:i4>3997696</vt:i4>
      </vt:variant>
      <vt:variant>
        <vt:i4>33</vt:i4>
      </vt:variant>
      <vt:variant>
        <vt:i4>0</vt:i4>
      </vt:variant>
      <vt:variant>
        <vt:i4>5</vt:i4>
      </vt:variant>
      <vt:variant>
        <vt:lpwstr>mailto:chris.ong@ukpowernetworks.co.uk</vt:lpwstr>
      </vt:variant>
      <vt:variant>
        <vt:lpwstr/>
      </vt:variant>
      <vt:variant>
        <vt:i4>2293841</vt:i4>
      </vt:variant>
      <vt:variant>
        <vt:i4>30</vt:i4>
      </vt:variant>
      <vt:variant>
        <vt:i4>0</vt:i4>
      </vt:variant>
      <vt:variant>
        <vt:i4>5</vt:i4>
      </vt:variant>
      <vt:variant>
        <vt:lpwstr>mailto:DCUSA@electralink.co.uk</vt:lpwstr>
      </vt:variant>
      <vt:variant>
        <vt:lpwstr/>
      </vt:variant>
      <vt:variant>
        <vt:i4>1835061</vt:i4>
      </vt:variant>
      <vt:variant>
        <vt:i4>0</vt:i4>
      </vt:variant>
      <vt:variant>
        <vt:i4>0</vt:i4>
      </vt:variant>
      <vt:variant>
        <vt:i4>5</vt:i4>
      </vt:variant>
      <vt:variant>
        <vt:lpwstr>http://webarchive.nationalarchives.gov.uk/20130402174434/http:/ofgem.gov.uk/Networks/ElecDist/Policy/DistChrgs/Documents1/Ofgem_CDCM_consultation 280909_1.pdf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cp:lastModifiedBy>Dylan Townsend</cp:lastModifiedBy>
  <cp:revision>2</cp:revision>
  <cp:lastPrinted>2016-11-09T15:59:00Z</cp:lastPrinted>
  <dcterms:created xsi:type="dcterms:W3CDTF">2017-10-05T14:46:00Z</dcterms:created>
  <dcterms:modified xsi:type="dcterms:W3CDTF">2017-10-05T14:46:00Z</dcterms:modified>
</cp:coreProperties>
</file>