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171" w:rsidRPr="00293171" w:rsidRDefault="00E57453" w:rsidP="00293171">
      <w:pPr>
        <w:pStyle w:val="Title"/>
        <w:spacing w:after="0"/>
        <w:rPr>
          <w:rFonts w:ascii="Calibri" w:hAnsi="Calibri"/>
          <w:sz w:val="28"/>
          <w:szCs w:val="22"/>
        </w:rPr>
      </w:pPr>
      <w:bookmarkStart w:id="0" w:name="_InMacro_"/>
      <w:bookmarkEnd w:id="0"/>
      <w:r w:rsidRPr="0097218A">
        <w:rPr>
          <w:rFonts w:ascii="Calibri" w:hAnsi="Calibri"/>
          <w:sz w:val="28"/>
          <w:szCs w:val="22"/>
        </w:rPr>
        <w:t>D</w:t>
      </w:r>
      <w:r w:rsidR="00A64C7C" w:rsidRPr="0097218A">
        <w:rPr>
          <w:rFonts w:ascii="Calibri" w:hAnsi="Calibri"/>
          <w:sz w:val="28"/>
          <w:szCs w:val="22"/>
        </w:rPr>
        <w:t>CUSA DCP 248 Consultation R</w:t>
      </w:r>
      <w:r w:rsidRPr="0097218A">
        <w:rPr>
          <w:rFonts w:ascii="Calibri" w:hAnsi="Calibri"/>
          <w:sz w:val="28"/>
          <w:szCs w:val="22"/>
        </w:rPr>
        <w:t>esponses – collated comments</w:t>
      </w:r>
      <w:bookmarkStart w:id="1" w:name="_GoBack"/>
      <w:bookmarkEnd w:id="1"/>
    </w:p>
    <w:tbl>
      <w:tblPr>
        <w:tblStyle w:val="ElectralinkResponseTable"/>
        <w:tblW w:w="0" w:type="auto"/>
        <w:tblInd w:w="108" w:type="dxa"/>
        <w:tblLayout w:type="fixed"/>
        <w:tblLook w:val="04A0" w:firstRow="1" w:lastRow="0" w:firstColumn="1" w:lastColumn="0" w:noHBand="0" w:noVBand="1"/>
      </w:tblPr>
      <w:tblGrid>
        <w:gridCol w:w="14034"/>
      </w:tblGrid>
      <w:tr w:rsidR="0000034F" w:rsidRPr="0097218A" w:rsidTr="00FE44EB">
        <w:trPr>
          <w:cnfStyle w:val="100000000000" w:firstRow="1" w:lastRow="0" w:firstColumn="0" w:lastColumn="0" w:oddVBand="0" w:evenVBand="0" w:oddHBand="0" w:evenHBand="0" w:firstRowFirstColumn="0" w:firstRowLastColumn="0" w:lastRowFirstColumn="0" w:lastRowLastColumn="0"/>
        </w:trPr>
        <w:tc>
          <w:tcPr>
            <w:tcW w:w="14034" w:type="dxa"/>
          </w:tcPr>
          <w:p w:rsidR="0000034F" w:rsidRPr="0000034F" w:rsidRDefault="0000034F" w:rsidP="0000034F">
            <w:pPr>
              <w:pStyle w:val="Question"/>
              <w:numPr>
                <w:ilvl w:val="0"/>
                <w:numId w:val="16"/>
              </w:numPr>
              <w:rPr>
                <w:rFonts w:ascii="Calibri" w:hAnsi="Calibri"/>
                <w:sz w:val="22"/>
                <w:szCs w:val="22"/>
              </w:rPr>
            </w:pPr>
            <w:bookmarkStart w:id="2" w:name="dcusa_response1"/>
            <w:r w:rsidRPr="0097218A">
              <w:rPr>
                <w:rFonts w:ascii="Calibri" w:hAnsi="Calibri"/>
                <w:sz w:val="22"/>
                <w:szCs w:val="22"/>
              </w:rPr>
              <w:t>Do you understand the intent of the DCP 248?</w:t>
            </w:r>
          </w:p>
        </w:tc>
      </w:tr>
      <w:tr w:rsidR="002307D0" w:rsidRPr="0097218A" w:rsidTr="002609FE">
        <w:tc>
          <w:tcPr>
            <w:tcW w:w="14034" w:type="dxa"/>
          </w:tcPr>
          <w:p w:rsidR="002307D0" w:rsidRDefault="002307D0" w:rsidP="002307D0">
            <w:pPr>
              <w:pStyle w:val="BodyTextNoSpacing"/>
              <w:spacing w:line="240" w:lineRule="auto"/>
              <w:rPr>
                <w:rFonts w:ascii="Calibri" w:hAnsi="Calibri"/>
                <w:sz w:val="22"/>
                <w:szCs w:val="22"/>
              </w:rPr>
            </w:pPr>
            <w:r>
              <w:rPr>
                <w:rFonts w:ascii="Calibri" w:hAnsi="Calibri"/>
                <w:b/>
                <w:sz w:val="22"/>
                <w:szCs w:val="22"/>
              </w:rPr>
              <w:t xml:space="preserve">Response </w:t>
            </w:r>
            <w:r w:rsidRPr="009B36A6">
              <w:rPr>
                <w:rFonts w:ascii="Calibri" w:hAnsi="Calibri"/>
                <w:b/>
                <w:sz w:val="22"/>
                <w:szCs w:val="22"/>
              </w:rPr>
              <w:t>Summary:</w:t>
            </w:r>
            <w:r>
              <w:rPr>
                <w:rFonts w:ascii="Calibri" w:hAnsi="Calibri"/>
                <w:sz w:val="22"/>
                <w:szCs w:val="22"/>
              </w:rPr>
              <w:t xml:space="preserve"> It was noted that all respondents understood the intent of DCP 248. The main additional comment was from ENWL regarding whether Options 2 to 4 meet the intent of the CP. </w:t>
            </w:r>
          </w:p>
          <w:p w:rsidR="002307D0" w:rsidRPr="0097218A" w:rsidRDefault="002307D0" w:rsidP="00DF0191">
            <w:pPr>
              <w:pStyle w:val="BodyTextNoSpacing"/>
              <w:spacing w:line="240" w:lineRule="auto"/>
              <w:rPr>
                <w:rFonts w:ascii="Calibri" w:hAnsi="Calibri"/>
                <w:sz w:val="22"/>
                <w:szCs w:val="22"/>
              </w:rPr>
            </w:pPr>
          </w:p>
        </w:tc>
      </w:tr>
      <w:bookmarkEnd w:id="2"/>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D26CEA" w:rsidRPr="0097218A" w:rsidTr="000369B2">
        <w:trPr>
          <w:cnfStyle w:val="100000000000" w:firstRow="1" w:lastRow="0" w:firstColumn="0" w:lastColumn="0" w:oddVBand="0" w:evenVBand="0" w:oddHBand="0" w:evenHBand="0" w:firstRowFirstColumn="0" w:firstRowLastColumn="0" w:lastRowFirstColumn="0" w:lastRowLastColumn="0"/>
        </w:trPr>
        <w:tc>
          <w:tcPr>
            <w:tcW w:w="14112" w:type="dxa"/>
          </w:tcPr>
          <w:p w:rsidR="00D26CEA" w:rsidRPr="00D26CEA" w:rsidRDefault="00D26CEA" w:rsidP="00D26CEA">
            <w:pPr>
              <w:pStyle w:val="Question"/>
              <w:numPr>
                <w:ilvl w:val="0"/>
                <w:numId w:val="16"/>
              </w:numPr>
              <w:rPr>
                <w:rFonts w:ascii="Calibri" w:hAnsi="Calibri"/>
                <w:sz w:val="22"/>
                <w:szCs w:val="22"/>
              </w:rPr>
            </w:pPr>
            <w:bookmarkStart w:id="3" w:name="dcusa_response2"/>
            <w:r w:rsidRPr="0097218A">
              <w:rPr>
                <w:rFonts w:ascii="Calibri" w:hAnsi="Calibri"/>
                <w:sz w:val="22"/>
                <w:szCs w:val="22"/>
              </w:rPr>
              <w:t>Are you supportive of the principles of DCP 248?</w:t>
            </w:r>
          </w:p>
        </w:tc>
      </w:tr>
      <w:tr w:rsidR="002307D0" w:rsidRPr="0097218A" w:rsidTr="002609FE">
        <w:tc>
          <w:tcPr>
            <w:tcW w:w="14112" w:type="dxa"/>
          </w:tcPr>
          <w:p w:rsidR="002307D0" w:rsidRPr="002307D0" w:rsidRDefault="002307D0" w:rsidP="00DF0191">
            <w:pPr>
              <w:pStyle w:val="BodyTextNoSpacing"/>
              <w:spacing w:line="240" w:lineRule="auto"/>
              <w:rPr>
                <w:rFonts w:ascii="Calibri" w:hAnsi="Calibri"/>
                <w:sz w:val="22"/>
                <w:szCs w:val="22"/>
              </w:rPr>
            </w:pPr>
            <w:r>
              <w:rPr>
                <w:rFonts w:ascii="Calibri" w:hAnsi="Calibri"/>
                <w:b/>
                <w:sz w:val="22"/>
                <w:szCs w:val="22"/>
              </w:rPr>
              <w:t xml:space="preserve">Response </w:t>
            </w:r>
            <w:r w:rsidRPr="009B36A6">
              <w:rPr>
                <w:rFonts w:ascii="Calibri" w:hAnsi="Calibri"/>
                <w:b/>
                <w:sz w:val="22"/>
                <w:szCs w:val="22"/>
              </w:rPr>
              <w:t>Summary:</w:t>
            </w:r>
            <w:r>
              <w:rPr>
                <w:rFonts w:ascii="Calibri" w:hAnsi="Calibri"/>
                <w:b/>
                <w:sz w:val="22"/>
                <w:szCs w:val="22"/>
              </w:rPr>
              <w:t xml:space="preserve"> </w:t>
            </w:r>
            <w:r>
              <w:rPr>
                <w:rFonts w:ascii="Calibri" w:hAnsi="Calibri"/>
                <w:sz w:val="22"/>
                <w:szCs w:val="22"/>
              </w:rPr>
              <w:t xml:space="preserve">The working group noted that there was mixed support for the principles of DCP 248, with some Parties supportive of the proposal whilst others expressed concerns. </w:t>
            </w:r>
          </w:p>
        </w:tc>
      </w:tr>
      <w:bookmarkEnd w:id="3"/>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5F1AC2" w:rsidRPr="0097218A" w:rsidTr="00C91834">
        <w:trPr>
          <w:cnfStyle w:val="100000000000" w:firstRow="1" w:lastRow="0" w:firstColumn="0" w:lastColumn="0" w:oddVBand="0" w:evenVBand="0" w:oddHBand="0" w:evenHBand="0" w:firstRowFirstColumn="0" w:firstRowLastColumn="0" w:lastRowFirstColumn="0" w:lastRowLastColumn="0"/>
        </w:trPr>
        <w:tc>
          <w:tcPr>
            <w:tcW w:w="14112" w:type="dxa"/>
          </w:tcPr>
          <w:p w:rsidR="005F1AC2" w:rsidRPr="0097218A" w:rsidRDefault="005F1AC2" w:rsidP="00DF0191">
            <w:pPr>
              <w:pStyle w:val="Question"/>
              <w:numPr>
                <w:ilvl w:val="0"/>
                <w:numId w:val="16"/>
              </w:numPr>
              <w:rPr>
                <w:rFonts w:ascii="Calibri" w:hAnsi="Calibri"/>
                <w:sz w:val="22"/>
                <w:szCs w:val="22"/>
              </w:rPr>
            </w:pPr>
            <w:bookmarkStart w:id="4" w:name="dcusa_response3"/>
            <w:r w:rsidRPr="0097218A">
              <w:rPr>
                <w:rFonts w:ascii="Calibri" w:hAnsi="Calibri"/>
                <w:sz w:val="22"/>
                <w:szCs w:val="22"/>
              </w:rPr>
              <w:t>What is your preferred option (please provide your rationale):</w:t>
            </w:r>
          </w:p>
          <w:p w:rsidR="005F1AC2" w:rsidRPr="0097218A" w:rsidRDefault="005F1AC2" w:rsidP="00DF0191">
            <w:pPr>
              <w:pStyle w:val="BodyText"/>
              <w:spacing w:after="0" w:line="240" w:lineRule="auto"/>
              <w:rPr>
                <w:rFonts w:ascii="Calibri" w:hAnsi="Calibri"/>
                <w:sz w:val="22"/>
                <w:szCs w:val="22"/>
              </w:rPr>
            </w:pPr>
            <w:r w:rsidRPr="0097218A">
              <w:rPr>
                <w:rFonts w:ascii="Calibri" w:hAnsi="Calibri"/>
                <w:sz w:val="22"/>
                <w:szCs w:val="22"/>
              </w:rPr>
              <w:t>•</w:t>
            </w:r>
            <w:r w:rsidRPr="0097218A">
              <w:rPr>
                <w:rFonts w:ascii="Calibri" w:hAnsi="Calibri"/>
                <w:sz w:val="22"/>
                <w:szCs w:val="22"/>
              </w:rPr>
              <w:tab/>
              <w:t>Option 1 - A 12 month grace period to allow retrospective reductions  to MIC</w:t>
            </w:r>
          </w:p>
          <w:p w:rsidR="005F1AC2" w:rsidRPr="0097218A" w:rsidRDefault="005F1AC2" w:rsidP="00DF0191">
            <w:pPr>
              <w:pStyle w:val="BodyText"/>
              <w:spacing w:after="0" w:line="240" w:lineRule="auto"/>
              <w:rPr>
                <w:rFonts w:ascii="Calibri" w:hAnsi="Calibri"/>
                <w:sz w:val="22"/>
                <w:szCs w:val="22"/>
              </w:rPr>
            </w:pPr>
            <w:r w:rsidRPr="0097218A">
              <w:rPr>
                <w:rFonts w:ascii="Calibri" w:hAnsi="Calibri"/>
                <w:sz w:val="22"/>
                <w:szCs w:val="22"/>
              </w:rPr>
              <w:t>•</w:t>
            </w:r>
            <w:r w:rsidRPr="0097218A">
              <w:rPr>
                <w:rFonts w:ascii="Calibri" w:hAnsi="Calibri"/>
                <w:sz w:val="22"/>
                <w:szCs w:val="22"/>
              </w:rPr>
              <w:tab/>
              <w:t>Option 2 – A 12 month grace period. Setting the MIC to zero for the first month, after which the first month’s maximum demand data could be used</w:t>
            </w:r>
          </w:p>
          <w:p w:rsidR="005F1AC2" w:rsidRPr="0097218A" w:rsidRDefault="005F1AC2" w:rsidP="00DF0191">
            <w:pPr>
              <w:pStyle w:val="BodyText"/>
              <w:spacing w:after="0" w:line="240" w:lineRule="auto"/>
              <w:rPr>
                <w:rFonts w:ascii="Calibri" w:hAnsi="Calibri"/>
                <w:sz w:val="22"/>
                <w:szCs w:val="22"/>
              </w:rPr>
            </w:pPr>
            <w:r w:rsidRPr="0097218A">
              <w:rPr>
                <w:rFonts w:ascii="Calibri" w:hAnsi="Calibri"/>
                <w:sz w:val="22"/>
                <w:szCs w:val="22"/>
              </w:rPr>
              <w:t>•</w:t>
            </w:r>
            <w:r w:rsidRPr="0097218A">
              <w:rPr>
                <w:rFonts w:ascii="Calibri" w:hAnsi="Calibri"/>
                <w:sz w:val="22"/>
                <w:szCs w:val="22"/>
              </w:rPr>
              <w:tab/>
              <w:t>Option 3 – A 12 month grace period. Setting MIC to zero for the duration of the grace period.</w:t>
            </w:r>
          </w:p>
          <w:p w:rsidR="005F1AC2" w:rsidRPr="0097218A" w:rsidRDefault="005F1AC2" w:rsidP="005F1AC2">
            <w:pPr>
              <w:pStyle w:val="BodyText"/>
              <w:spacing w:after="0" w:line="240" w:lineRule="auto"/>
              <w:rPr>
                <w:rFonts w:ascii="Calibri" w:hAnsi="Calibri"/>
                <w:sz w:val="22"/>
                <w:szCs w:val="22"/>
              </w:rPr>
            </w:pPr>
            <w:r w:rsidRPr="0097218A">
              <w:rPr>
                <w:rFonts w:ascii="Calibri" w:hAnsi="Calibri"/>
                <w:sz w:val="22"/>
                <w:szCs w:val="22"/>
              </w:rPr>
              <w:t>•</w:t>
            </w:r>
            <w:r w:rsidRPr="0097218A">
              <w:rPr>
                <w:rFonts w:ascii="Calibri" w:hAnsi="Calibri"/>
                <w:sz w:val="22"/>
                <w:szCs w:val="22"/>
              </w:rPr>
              <w:tab/>
              <w:t>Option 4 – A 12 month grace period setting the MIC using any Maximum Demand data already available or estimated where no Maximum Demand data is available.</w:t>
            </w:r>
          </w:p>
        </w:tc>
      </w:tr>
      <w:tr w:rsidR="002307D0" w:rsidRPr="0097218A" w:rsidTr="002609FE">
        <w:tc>
          <w:tcPr>
            <w:tcW w:w="14112" w:type="dxa"/>
          </w:tcPr>
          <w:p w:rsidR="002307D0" w:rsidRDefault="002307D0" w:rsidP="00A40C67">
            <w:pPr>
              <w:pStyle w:val="Question"/>
              <w:numPr>
                <w:ilvl w:val="0"/>
                <w:numId w:val="0"/>
              </w:numPr>
              <w:ind w:left="567" w:hanging="567"/>
              <w:rPr>
                <w:rFonts w:ascii="Calibri" w:hAnsi="Calibri"/>
                <w:sz w:val="22"/>
                <w:szCs w:val="22"/>
              </w:rPr>
            </w:pPr>
            <w:r w:rsidRPr="002307D0">
              <w:rPr>
                <w:rFonts w:ascii="Calibri" w:hAnsi="Calibri"/>
                <w:sz w:val="22"/>
                <w:szCs w:val="22"/>
              </w:rPr>
              <w:t xml:space="preserve">Response </w:t>
            </w:r>
            <w:r w:rsidRPr="009B36A6">
              <w:rPr>
                <w:rFonts w:ascii="Calibri" w:hAnsi="Calibri"/>
                <w:sz w:val="22"/>
                <w:szCs w:val="22"/>
              </w:rPr>
              <w:t>Summary:</w:t>
            </w:r>
          </w:p>
          <w:p w:rsidR="002307D0" w:rsidRPr="004D12E7" w:rsidRDefault="006371BE" w:rsidP="006371BE">
            <w:pPr>
              <w:pStyle w:val="BodyText"/>
              <w:numPr>
                <w:ilvl w:val="0"/>
                <w:numId w:val="32"/>
              </w:numPr>
              <w:rPr>
                <w:rFonts w:ascii="Calibri" w:hAnsi="Calibri"/>
                <w:sz w:val="22"/>
              </w:rPr>
            </w:pPr>
            <w:r w:rsidRPr="004D12E7">
              <w:rPr>
                <w:rFonts w:ascii="Calibri" w:hAnsi="Calibri"/>
                <w:sz w:val="22"/>
              </w:rPr>
              <w:t>11 respondents prefer Option 1</w:t>
            </w:r>
            <w:r w:rsidR="004D12E7">
              <w:rPr>
                <w:rFonts w:ascii="Calibri" w:hAnsi="Calibri"/>
                <w:sz w:val="22"/>
              </w:rPr>
              <w:t>.</w:t>
            </w:r>
          </w:p>
          <w:p w:rsidR="006371BE" w:rsidRPr="004D12E7" w:rsidRDefault="006371BE" w:rsidP="006371BE">
            <w:pPr>
              <w:pStyle w:val="BodyText"/>
              <w:numPr>
                <w:ilvl w:val="0"/>
                <w:numId w:val="32"/>
              </w:numPr>
              <w:rPr>
                <w:rFonts w:ascii="Calibri" w:hAnsi="Calibri"/>
                <w:sz w:val="22"/>
              </w:rPr>
            </w:pPr>
            <w:r w:rsidRPr="004D12E7">
              <w:rPr>
                <w:rFonts w:ascii="Calibri" w:hAnsi="Calibri"/>
                <w:sz w:val="22"/>
              </w:rPr>
              <w:t>No respondents prefer Option 2</w:t>
            </w:r>
            <w:r w:rsidR="004D12E7">
              <w:rPr>
                <w:rFonts w:ascii="Calibri" w:hAnsi="Calibri"/>
                <w:sz w:val="22"/>
              </w:rPr>
              <w:t>.</w:t>
            </w:r>
          </w:p>
          <w:p w:rsidR="006371BE" w:rsidRPr="004D12E7" w:rsidRDefault="004D12E7" w:rsidP="006371BE">
            <w:pPr>
              <w:pStyle w:val="BodyText"/>
              <w:numPr>
                <w:ilvl w:val="0"/>
                <w:numId w:val="32"/>
              </w:numPr>
              <w:rPr>
                <w:rFonts w:ascii="Calibri" w:hAnsi="Calibri"/>
                <w:sz w:val="22"/>
              </w:rPr>
            </w:pPr>
            <w:r>
              <w:rPr>
                <w:rFonts w:ascii="Calibri" w:hAnsi="Calibri"/>
                <w:sz w:val="22"/>
              </w:rPr>
              <w:t>Three</w:t>
            </w:r>
            <w:r w:rsidR="006371BE" w:rsidRPr="004D12E7">
              <w:rPr>
                <w:rFonts w:ascii="Calibri" w:hAnsi="Calibri"/>
                <w:sz w:val="22"/>
              </w:rPr>
              <w:t xml:space="preserve"> respondents prefer Option 3</w:t>
            </w:r>
            <w:r>
              <w:rPr>
                <w:rFonts w:ascii="Calibri" w:hAnsi="Calibri"/>
                <w:sz w:val="22"/>
              </w:rPr>
              <w:t>.</w:t>
            </w:r>
          </w:p>
          <w:p w:rsidR="006371BE" w:rsidRPr="004D12E7" w:rsidRDefault="006371BE" w:rsidP="006371BE">
            <w:pPr>
              <w:pStyle w:val="BodyText"/>
              <w:numPr>
                <w:ilvl w:val="0"/>
                <w:numId w:val="32"/>
              </w:numPr>
              <w:rPr>
                <w:rFonts w:ascii="Calibri" w:hAnsi="Calibri"/>
                <w:sz w:val="22"/>
              </w:rPr>
            </w:pPr>
            <w:r w:rsidRPr="004D12E7">
              <w:rPr>
                <w:rFonts w:ascii="Calibri" w:hAnsi="Calibri"/>
                <w:sz w:val="22"/>
              </w:rPr>
              <w:t>One respondent prefers Option 4</w:t>
            </w:r>
            <w:r w:rsidR="004D12E7">
              <w:rPr>
                <w:rFonts w:ascii="Calibri" w:hAnsi="Calibri"/>
                <w:sz w:val="22"/>
              </w:rPr>
              <w:t>.</w:t>
            </w:r>
          </w:p>
          <w:p w:rsidR="002307D0" w:rsidRPr="002307D0" w:rsidRDefault="006371BE" w:rsidP="002307D0">
            <w:pPr>
              <w:pStyle w:val="BodyText"/>
              <w:numPr>
                <w:ilvl w:val="0"/>
                <w:numId w:val="32"/>
              </w:numPr>
            </w:pPr>
            <w:r w:rsidRPr="004D12E7">
              <w:rPr>
                <w:rFonts w:ascii="Calibri" w:hAnsi="Calibri"/>
                <w:sz w:val="22"/>
              </w:rPr>
              <w:t>One respondent does not support any of the options.</w:t>
            </w:r>
            <w:r w:rsidRPr="004D12E7">
              <w:rPr>
                <w:sz w:val="22"/>
              </w:rPr>
              <w:t xml:space="preserve"> </w:t>
            </w:r>
          </w:p>
        </w:tc>
      </w:tr>
      <w:bookmarkEnd w:id="4"/>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FC2581" w:rsidRPr="0097218A" w:rsidTr="00014B89">
        <w:trPr>
          <w:cnfStyle w:val="100000000000" w:firstRow="1" w:lastRow="0" w:firstColumn="0" w:lastColumn="0" w:oddVBand="0" w:evenVBand="0" w:oddHBand="0" w:evenHBand="0" w:firstRowFirstColumn="0" w:firstRowLastColumn="0" w:lastRowFirstColumn="0" w:lastRowLastColumn="0"/>
        </w:trPr>
        <w:tc>
          <w:tcPr>
            <w:tcW w:w="14112" w:type="dxa"/>
          </w:tcPr>
          <w:p w:rsidR="00FC2581" w:rsidRPr="00FC2581" w:rsidRDefault="00FC2581" w:rsidP="00FC2581">
            <w:pPr>
              <w:pStyle w:val="Question"/>
              <w:numPr>
                <w:ilvl w:val="0"/>
                <w:numId w:val="16"/>
              </w:numPr>
              <w:rPr>
                <w:rFonts w:ascii="Calibri" w:hAnsi="Calibri"/>
                <w:sz w:val="22"/>
                <w:szCs w:val="22"/>
              </w:rPr>
            </w:pPr>
            <w:bookmarkStart w:id="5" w:name="dcusa_response4"/>
            <w:r w:rsidRPr="0097218A">
              <w:rPr>
                <w:rFonts w:ascii="Calibri" w:hAnsi="Calibri"/>
                <w:sz w:val="22"/>
                <w:szCs w:val="22"/>
              </w:rPr>
              <w:lastRenderedPageBreak/>
              <w:t>Which option do you consider provides the most/least level of protection against inappropriate capacity charges for customers affected by P272?</w:t>
            </w:r>
          </w:p>
        </w:tc>
      </w:tr>
      <w:tr w:rsidR="002307D0" w:rsidRPr="0097218A" w:rsidTr="002609FE">
        <w:tc>
          <w:tcPr>
            <w:tcW w:w="14112" w:type="dxa"/>
          </w:tcPr>
          <w:p w:rsidR="002307D0" w:rsidRDefault="002307D0" w:rsidP="00A40C67">
            <w:pPr>
              <w:pStyle w:val="Question"/>
              <w:numPr>
                <w:ilvl w:val="0"/>
                <w:numId w:val="0"/>
              </w:numPr>
              <w:rPr>
                <w:rFonts w:ascii="Calibri" w:hAnsi="Calibri"/>
                <w:sz w:val="22"/>
                <w:szCs w:val="22"/>
              </w:rPr>
            </w:pPr>
            <w:r w:rsidRPr="002307D0">
              <w:rPr>
                <w:rFonts w:ascii="Calibri" w:hAnsi="Calibri"/>
                <w:sz w:val="22"/>
                <w:szCs w:val="22"/>
              </w:rPr>
              <w:t xml:space="preserve">Response </w:t>
            </w:r>
            <w:r w:rsidRPr="009B36A6">
              <w:rPr>
                <w:rFonts w:ascii="Calibri" w:hAnsi="Calibri"/>
                <w:sz w:val="22"/>
                <w:szCs w:val="22"/>
              </w:rPr>
              <w:t>Summary:</w:t>
            </w:r>
          </w:p>
          <w:p w:rsidR="00D708B6" w:rsidRPr="004D12E7" w:rsidRDefault="004D12E7" w:rsidP="00D708B6">
            <w:pPr>
              <w:pStyle w:val="BodyText"/>
              <w:numPr>
                <w:ilvl w:val="0"/>
                <w:numId w:val="33"/>
              </w:numPr>
              <w:rPr>
                <w:rFonts w:ascii="Calibri" w:hAnsi="Calibri"/>
                <w:sz w:val="22"/>
              </w:rPr>
            </w:pPr>
            <w:r>
              <w:rPr>
                <w:rFonts w:ascii="Calibri" w:hAnsi="Calibri"/>
                <w:sz w:val="22"/>
              </w:rPr>
              <w:t>Eight</w:t>
            </w:r>
            <w:r w:rsidR="00D708B6" w:rsidRPr="004D12E7">
              <w:rPr>
                <w:rFonts w:ascii="Calibri" w:hAnsi="Calibri"/>
                <w:sz w:val="22"/>
              </w:rPr>
              <w:t xml:space="preserve"> respondents believe that option 1 provides the best protection (although some base this view on it being the only workable solution)</w:t>
            </w:r>
            <w:r>
              <w:rPr>
                <w:rFonts w:ascii="Calibri" w:hAnsi="Calibri"/>
                <w:sz w:val="22"/>
              </w:rPr>
              <w:t>.</w:t>
            </w:r>
          </w:p>
          <w:p w:rsidR="002609FE" w:rsidRPr="004D12E7" w:rsidRDefault="004D12E7" w:rsidP="00D708B6">
            <w:pPr>
              <w:pStyle w:val="BodyText"/>
              <w:numPr>
                <w:ilvl w:val="0"/>
                <w:numId w:val="33"/>
              </w:numPr>
              <w:rPr>
                <w:rFonts w:ascii="Calibri" w:hAnsi="Calibri"/>
                <w:sz w:val="22"/>
              </w:rPr>
            </w:pPr>
            <w:r>
              <w:rPr>
                <w:rFonts w:ascii="Calibri" w:hAnsi="Calibri"/>
                <w:sz w:val="22"/>
              </w:rPr>
              <w:t>Four</w:t>
            </w:r>
            <w:r w:rsidR="00D708B6" w:rsidRPr="004D12E7">
              <w:rPr>
                <w:rFonts w:ascii="Calibri" w:hAnsi="Calibri"/>
                <w:sz w:val="22"/>
              </w:rPr>
              <w:t xml:space="preserve"> believe that option 3 provides the best protection</w:t>
            </w:r>
            <w:r>
              <w:rPr>
                <w:rFonts w:ascii="Calibri" w:hAnsi="Calibri"/>
                <w:sz w:val="22"/>
              </w:rPr>
              <w:t>.</w:t>
            </w:r>
            <w:r w:rsidR="00D708B6" w:rsidRPr="004D12E7">
              <w:rPr>
                <w:rFonts w:ascii="Calibri" w:hAnsi="Calibri"/>
                <w:sz w:val="22"/>
              </w:rPr>
              <w:t xml:space="preserve"> </w:t>
            </w:r>
          </w:p>
          <w:p w:rsidR="00D708B6" w:rsidRPr="004D12E7" w:rsidRDefault="00D708B6" w:rsidP="00D708B6">
            <w:pPr>
              <w:pStyle w:val="BodyText"/>
              <w:numPr>
                <w:ilvl w:val="0"/>
                <w:numId w:val="33"/>
              </w:numPr>
              <w:rPr>
                <w:rFonts w:ascii="Calibri" w:hAnsi="Calibri"/>
                <w:sz w:val="22"/>
              </w:rPr>
            </w:pPr>
            <w:r w:rsidRPr="004D12E7">
              <w:rPr>
                <w:rFonts w:ascii="Calibri" w:hAnsi="Calibri"/>
                <w:sz w:val="22"/>
              </w:rPr>
              <w:t>One respondent believes that none provide protection and another that there is no difference between them</w:t>
            </w:r>
            <w:r w:rsidR="004D12E7">
              <w:rPr>
                <w:rFonts w:ascii="Calibri" w:hAnsi="Calibri"/>
                <w:sz w:val="22"/>
              </w:rPr>
              <w:t>.</w:t>
            </w:r>
          </w:p>
          <w:p w:rsidR="00D708B6" w:rsidRPr="004D12E7" w:rsidRDefault="00D708B6" w:rsidP="00D708B6">
            <w:pPr>
              <w:pStyle w:val="BodyText"/>
              <w:numPr>
                <w:ilvl w:val="0"/>
                <w:numId w:val="33"/>
              </w:numPr>
              <w:rPr>
                <w:rFonts w:ascii="Calibri" w:hAnsi="Calibri"/>
                <w:sz w:val="22"/>
              </w:rPr>
            </w:pPr>
            <w:r w:rsidRPr="004D12E7">
              <w:rPr>
                <w:rFonts w:ascii="Calibri" w:hAnsi="Calibri"/>
                <w:sz w:val="22"/>
              </w:rPr>
              <w:t>Two respondents believe that option 1 provides the least protect</w:t>
            </w:r>
            <w:r w:rsidR="004D12E7">
              <w:rPr>
                <w:rFonts w:ascii="Calibri" w:hAnsi="Calibri"/>
                <w:sz w:val="22"/>
              </w:rPr>
              <w:t>.</w:t>
            </w:r>
            <w:r w:rsidRPr="004D12E7">
              <w:rPr>
                <w:rFonts w:ascii="Calibri" w:hAnsi="Calibri"/>
                <w:sz w:val="22"/>
              </w:rPr>
              <w:t xml:space="preserve"> </w:t>
            </w:r>
          </w:p>
          <w:p w:rsidR="002609FE" w:rsidRPr="002609FE" w:rsidRDefault="00D708B6" w:rsidP="002609FE">
            <w:pPr>
              <w:pStyle w:val="BodyText"/>
              <w:numPr>
                <w:ilvl w:val="0"/>
                <w:numId w:val="33"/>
              </w:numPr>
            </w:pPr>
            <w:r w:rsidRPr="004D12E7">
              <w:rPr>
                <w:rFonts w:ascii="Calibri" w:hAnsi="Calibri"/>
                <w:sz w:val="22"/>
              </w:rPr>
              <w:t>One respondent believes that option 2 provides the least protection</w:t>
            </w:r>
            <w:r w:rsidR="004D12E7">
              <w:rPr>
                <w:rFonts w:ascii="Calibri" w:hAnsi="Calibri"/>
                <w:sz w:val="22"/>
              </w:rPr>
              <w:t>.</w:t>
            </w:r>
            <w:r w:rsidRPr="004D12E7">
              <w:rPr>
                <w:sz w:val="22"/>
              </w:rPr>
              <w:t xml:space="preserve"> </w:t>
            </w:r>
          </w:p>
        </w:tc>
      </w:tr>
      <w:bookmarkEnd w:id="5"/>
    </w:tbl>
    <w:p w:rsidR="004D12E7" w:rsidRPr="0097218A" w:rsidRDefault="004D12E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A3710D" w:rsidRPr="0097218A" w:rsidTr="00284116">
        <w:trPr>
          <w:cnfStyle w:val="100000000000" w:firstRow="1" w:lastRow="0" w:firstColumn="0" w:lastColumn="0" w:oddVBand="0" w:evenVBand="0" w:oddHBand="0" w:evenHBand="0" w:firstRowFirstColumn="0" w:firstRowLastColumn="0" w:lastRowFirstColumn="0" w:lastRowLastColumn="0"/>
        </w:trPr>
        <w:tc>
          <w:tcPr>
            <w:tcW w:w="14112" w:type="dxa"/>
          </w:tcPr>
          <w:p w:rsidR="00A3710D" w:rsidRPr="0097218A" w:rsidRDefault="00A3710D" w:rsidP="00A3710D">
            <w:pPr>
              <w:pStyle w:val="Question"/>
              <w:numPr>
                <w:ilvl w:val="0"/>
                <w:numId w:val="16"/>
              </w:numPr>
              <w:rPr>
                <w:rFonts w:ascii="Calibri" w:hAnsi="Calibri"/>
                <w:sz w:val="22"/>
                <w:szCs w:val="22"/>
              </w:rPr>
            </w:pPr>
            <w:bookmarkStart w:id="6" w:name="dcusa_response5"/>
            <w:r w:rsidRPr="0097218A">
              <w:rPr>
                <w:rFonts w:ascii="Calibri" w:hAnsi="Calibri"/>
                <w:sz w:val="22"/>
                <w:szCs w:val="22"/>
              </w:rPr>
              <w:t>Do you have any comments on the proposed legal text for each of the options?</w:t>
            </w:r>
          </w:p>
        </w:tc>
      </w:tr>
      <w:tr w:rsidR="002307D0" w:rsidRPr="0097218A" w:rsidTr="002609FE">
        <w:tc>
          <w:tcPr>
            <w:tcW w:w="14112" w:type="dxa"/>
          </w:tcPr>
          <w:p w:rsidR="002307D0" w:rsidRDefault="002307D0" w:rsidP="002307D0">
            <w:pPr>
              <w:pStyle w:val="Question"/>
              <w:numPr>
                <w:ilvl w:val="0"/>
                <w:numId w:val="0"/>
              </w:numPr>
              <w:ind w:left="567" w:hanging="567"/>
              <w:rPr>
                <w:rFonts w:ascii="Calibri" w:hAnsi="Calibri"/>
                <w:sz w:val="22"/>
                <w:szCs w:val="22"/>
              </w:rPr>
            </w:pPr>
            <w:r w:rsidRPr="002307D0">
              <w:rPr>
                <w:rFonts w:ascii="Calibri" w:hAnsi="Calibri"/>
                <w:sz w:val="22"/>
                <w:szCs w:val="22"/>
              </w:rPr>
              <w:t xml:space="preserve">Response </w:t>
            </w:r>
            <w:r w:rsidRPr="009B36A6">
              <w:rPr>
                <w:rFonts w:ascii="Calibri" w:hAnsi="Calibri"/>
                <w:sz w:val="22"/>
                <w:szCs w:val="22"/>
              </w:rPr>
              <w:t>Summary:</w:t>
            </w:r>
          </w:p>
          <w:p w:rsidR="004D12E7" w:rsidRDefault="004D12E7" w:rsidP="004D12E7">
            <w:pPr>
              <w:pStyle w:val="BodyText"/>
              <w:numPr>
                <w:ilvl w:val="0"/>
                <w:numId w:val="30"/>
              </w:numPr>
              <w:rPr>
                <w:rFonts w:ascii="Calibri" w:hAnsi="Calibri"/>
                <w:sz w:val="22"/>
              </w:rPr>
            </w:pPr>
            <w:r>
              <w:rPr>
                <w:rFonts w:ascii="Calibri" w:hAnsi="Calibri"/>
                <w:sz w:val="22"/>
              </w:rPr>
              <w:t>Seven respondents did not have any comments on the proposed legal text.</w:t>
            </w:r>
          </w:p>
          <w:p w:rsidR="004D12E7" w:rsidRDefault="004D12E7" w:rsidP="004D12E7">
            <w:pPr>
              <w:pStyle w:val="BodyText"/>
              <w:numPr>
                <w:ilvl w:val="0"/>
                <w:numId w:val="30"/>
              </w:numPr>
              <w:rPr>
                <w:rFonts w:ascii="Calibri" w:hAnsi="Calibri"/>
                <w:sz w:val="22"/>
              </w:rPr>
            </w:pPr>
            <w:r>
              <w:rPr>
                <w:rFonts w:ascii="Calibri" w:hAnsi="Calibri"/>
                <w:sz w:val="22"/>
              </w:rPr>
              <w:t>One respondent noted that only option 1 refers to what the MIC will be after 12 months.</w:t>
            </w:r>
          </w:p>
          <w:p w:rsidR="004D12E7" w:rsidRDefault="004D12E7" w:rsidP="004D12E7">
            <w:pPr>
              <w:pStyle w:val="BodyText"/>
              <w:numPr>
                <w:ilvl w:val="0"/>
                <w:numId w:val="30"/>
              </w:numPr>
              <w:rPr>
                <w:rFonts w:ascii="Calibri" w:hAnsi="Calibri"/>
                <w:sz w:val="22"/>
              </w:rPr>
            </w:pPr>
            <w:r>
              <w:rPr>
                <w:rFonts w:ascii="Calibri" w:hAnsi="Calibri"/>
                <w:sz w:val="22"/>
              </w:rPr>
              <w:t>Two respondents provided general comments and suggested amendments to the legal text for option 1.</w:t>
            </w:r>
          </w:p>
          <w:p w:rsidR="004D12E7" w:rsidRDefault="004D12E7" w:rsidP="004D12E7">
            <w:pPr>
              <w:pStyle w:val="BodyText"/>
              <w:numPr>
                <w:ilvl w:val="0"/>
                <w:numId w:val="30"/>
              </w:numPr>
              <w:rPr>
                <w:rFonts w:ascii="Calibri" w:hAnsi="Calibri"/>
                <w:sz w:val="22"/>
              </w:rPr>
            </w:pPr>
            <w:r>
              <w:rPr>
                <w:rFonts w:ascii="Calibri" w:hAnsi="Calibri"/>
                <w:sz w:val="22"/>
              </w:rPr>
              <w:t>Two respondents provided general comments and suggested amendments to the legal text for each of the options.</w:t>
            </w:r>
          </w:p>
          <w:p w:rsidR="00DA042E" w:rsidRPr="004D12E7" w:rsidRDefault="00DA042E" w:rsidP="004D12E7">
            <w:pPr>
              <w:pStyle w:val="BodyText"/>
              <w:numPr>
                <w:ilvl w:val="0"/>
                <w:numId w:val="30"/>
              </w:numPr>
              <w:rPr>
                <w:rFonts w:ascii="Calibri" w:hAnsi="Calibri"/>
                <w:sz w:val="22"/>
              </w:rPr>
            </w:pPr>
            <w:r>
              <w:rPr>
                <w:rFonts w:ascii="Calibri" w:hAnsi="Calibri"/>
                <w:sz w:val="22"/>
              </w:rPr>
              <w:t>One respondent suggested creating a new Schedule in DCUSA rather than amending Schedule 16.</w:t>
            </w:r>
          </w:p>
        </w:tc>
      </w:tr>
      <w:bookmarkEnd w:id="6"/>
    </w:tbl>
    <w:p w:rsidR="00916EB7" w:rsidRDefault="00916EB7" w:rsidP="00DF0191">
      <w:pPr>
        <w:rPr>
          <w:rFonts w:ascii="Calibri" w:hAnsi="Calibri"/>
          <w:sz w:val="22"/>
          <w:szCs w:val="22"/>
        </w:rPr>
      </w:pPr>
    </w:p>
    <w:p w:rsidR="00833A46" w:rsidRDefault="00833A46" w:rsidP="00DF0191">
      <w:pPr>
        <w:rPr>
          <w:rFonts w:ascii="Calibri" w:hAnsi="Calibri"/>
          <w:sz w:val="22"/>
          <w:szCs w:val="22"/>
        </w:rPr>
      </w:pPr>
    </w:p>
    <w:p w:rsidR="00833A46" w:rsidRDefault="00833A46" w:rsidP="00DF0191">
      <w:pPr>
        <w:rPr>
          <w:rFonts w:ascii="Calibri" w:hAnsi="Calibri"/>
          <w:sz w:val="22"/>
          <w:szCs w:val="22"/>
        </w:rPr>
      </w:pPr>
    </w:p>
    <w:p w:rsidR="00833A46" w:rsidRDefault="00833A46" w:rsidP="00DF0191">
      <w:pPr>
        <w:rPr>
          <w:rFonts w:ascii="Calibri" w:hAnsi="Calibri"/>
          <w:sz w:val="22"/>
          <w:szCs w:val="22"/>
        </w:rPr>
      </w:pPr>
    </w:p>
    <w:p w:rsidR="00833A46" w:rsidRDefault="00833A46" w:rsidP="00DF0191">
      <w:pPr>
        <w:rPr>
          <w:rFonts w:ascii="Calibri" w:hAnsi="Calibri"/>
          <w:sz w:val="22"/>
          <w:szCs w:val="22"/>
        </w:rPr>
      </w:pPr>
    </w:p>
    <w:p w:rsidR="00833A46" w:rsidRPr="0097218A" w:rsidRDefault="00833A46"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BD5383" w:rsidRPr="0097218A" w:rsidTr="001A7983">
        <w:trPr>
          <w:cnfStyle w:val="100000000000" w:firstRow="1" w:lastRow="0" w:firstColumn="0" w:lastColumn="0" w:oddVBand="0" w:evenVBand="0" w:oddHBand="0" w:evenHBand="0" w:firstRowFirstColumn="0" w:firstRowLastColumn="0" w:lastRowFirstColumn="0" w:lastRowLastColumn="0"/>
        </w:trPr>
        <w:tc>
          <w:tcPr>
            <w:tcW w:w="14112" w:type="dxa"/>
          </w:tcPr>
          <w:p w:rsidR="00BD5383" w:rsidRPr="00BD5383" w:rsidRDefault="00BD5383" w:rsidP="00BD5383">
            <w:pPr>
              <w:pStyle w:val="Question"/>
              <w:numPr>
                <w:ilvl w:val="0"/>
                <w:numId w:val="16"/>
              </w:numPr>
              <w:rPr>
                <w:rFonts w:ascii="Calibri" w:hAnsi="Calibri"/>
                <w:sz w:val="22"/>
                <w:szCs w:val="22"/>
              </w:rPr>
            </w:pPr>
            <w:bookmarkStart w:id="7" w:name="dcusa_response6"/>
            <w:r w:rsidRPr="0097218A">
              <w:rPr>
                <w:rFonts w:ascii="Calibri" w:hAnsi="Calibri"/>
                <w:sz w:val="22"/>
                <w:szCs w:val="22"/>
              </w:rPr>
              <w:lastRenderedPageBreak/>
              <w:t>Do you consider that each of the four proposals better facilitates the DCUSA Objectives? Please give supporting reasons.</w:t>
            </w:r>
          </w:p>
        </w:tc>
      </w:tr>
      <w:tr w:rsidR="002307D0" w:rsidRPr="0097218A" w:rsidTr="002609FE">
        <w:tc>
          <w:tcPr>
            <w:tcW w:w="14112" w:type="dxa"/>
          </w:tcPr>
          <w:p w:rsidR="002307D0" w:rsidRDefault="002307D0" w:rsidP="002307D0">
            <w:pPr>
              <w:pStyle w:val="Question"/>
              <w:numPr>
                <w:ilvl w:val="0"/>
                <w:numId w:val="0"/>
              </w:numPr>
              <w:rPr>
                <w:rFonts w:ascii="Calibri" w:hAnsi="Calibri"/>
                <w:sz w:val="22"/>
                <w:szCs w:val="22"/>
              </w:rPr>
            </w:pPr>
            <w:r>
              <w:rPr>
                <w:rFonts w:ascii="Calibri" w:hAnsi="Calibri"/>
                <w:sz w:val="22"/>
                <w:szCs w:val="22"/>
              </w:rPr>
              <w:t>Response Summary:</w:t>
            </w:r>
          </w:p>
          <w:p w:rsidR="00C3599A" w:rsidRPr="00C3599A" w:rsidRDefault="00C3599A" w:rsidP="00C3599A">
            <w:pPr>
              <w:pStyle w:val="BodyText"/>
              <w:numPr>
                <w:ilvl w:val="0"/>
                <w:numId w:val="34"/>
              </w:numPr>
              <w:rPr>
                <w:rFonts w:ascii="Calibri" w:hAnsi="Calibri"/>
                <w:sz w:val="22"/>
              </w:rPr>
            </w:pPr>
            <w:r w:rsidRPr="00C3599A">
              <w:rPr>
                <w:rFonts w:ascii="Calibri" w:hAnsi="Calibri"/>
                <w:sz w:val="22"/>
              </w:rPr>
              <w:t>One respondent expected that DNOs would write to customers again to clarify the situation regarding excess capacity charges following the deferral of DCP 161.</w:t>
            </w:r>
          </w:p>
          <w:p w:rsidR="00C3599A" w:rsidRPr="00C3599A" w:rsidRDefault="00C3599A" w:rsidP="00C3599A">
            <w:pPr>
              <w:pStyle w:val="BodyText"/>
              <w:numPr>
                <w:ilvl w:val="0"/>
                <w:numId w:val="34"/>
              </w:numPr>
              <w:rPr>
                <w:rFonts w:ascii="Calibri" w:hAnsi="Calibri"/>
                <w:sz w:val="22"/>
              </w:rPr>
            </w:pPr>
            <w:r w:rsidRPr="00C3599A">
              <w:rPr>
                <w:rFonts w:ascii="Calibri" w:hAnsi="Calibri"/>
                <w:sz w:val="22"/>
              </w:rPr>
              <w:t xml:space="preserve">One respondent suggested that </w:t>
            </w:r>
            <w:r>
              <w:rPr>
                <w:rFonts w:ascii="Calibri" w:hAnsi="Calibri"/>
                <w:sz w:val="22"/>
              </w:rPr>
              <w:t>O</w:t>
            </w:r>
            <w:r w:rsidRPr="00C3599A">
              <w:rPr>
                <w:rFonts w:ascii="Calibri" w:hAnsi="Calibri"/>
                <w:sz w:val="22"/>
              </w:rPr>
              <w:t>ption</w:t>
            </w:r>
            <w:r>
              <w:rPr>
                <w:rFonts w:ascii="Calibri" w:hAnsi="Calibri"/>
                <w:sz w:val="22"/>
              </w:rPr>
              <w:t>s</w:t>
            </w:r>
            <w:r w:rsidRPr="00C3599A">
              <w:rPr>
                <w:rFonts w:ascii="Calibri" w:hAnsi="Calibri"/>
                <w:sz w:val="22"/>
              </w:rPr>
              <w:t xml:space="preserve"> 2</w:t>
            </w:r>
            <w:r>
              <w:rPr>
                <w:rFonts w:ascii="Calibri" w:hAnsi="Calibri"/>
                <w:sz w:val="22"/>
              </w:rPr>
              <w:t xml:space="preserve">, 3 &amp; </w:t>
            </w:r>
            <w:r w:rsidRPr="00C3599A">
              <w:rPr>
                <w:rFonts w:ascii="Calibri" w:hAnsi="Calibri"/>
                <w:sz w:val="22"/>
              </w:rPr>
              <w:t xml:space="preserve">4 better facilitate </w:t>
            </w:r>
            <w:r>
              <w:rPr>
                <w:rFonts w:ascii="Calibri" w:hAnsi="Calibri"/>
                <w:sz w:val="22"/>
              </w:rPr>
              <w:t>C</w:t>
            </w:r>
            <w:r w:rsidRPr="00C3599A">
              <w:rPr>
                <w:rFonts w:ascii="Calibri" w:hAnsi="Calibri"/>
                <w:sz w:val="22"/>
              </w:rPr>
              <w:t xml:space="preserve">harging </w:t>
            </w:r>
            <w:r>
              <w:rPr>
                <w:rFonts w:ascii="Calibri" w:hAnsi="Calibri"/>
                <w:sz w:val="22"/>
              </w:rPr>
              <w:t>O</w:t>
            </w:r>
            <w:r w:rsidRPr="00C3599A">
              <w:rPr>
                <w:rFonts w:ascii="Calibri" w:hAnsi="Calibri"/>
                <w:sz w:val="22"/>
              </w:rPr>
              <w:t xml:space="preserve">bjective 3 than </w:t>
            </w:r>
            <w:r>
              <w:rPr>
                <w:rFonts w:ascii="Calibri" w:hAnsi="Calibri"/>
                <w:sz w:val="22"/>
              </w:rPr>
              <w:t>O</w:t>
            </w:r>
            <w:r w:rsidRPr="00C3599A">
              <w:rPr>
                <w:rFonts w:ascii="Calibri" w:hAnsi="Calibri"/>
                <w:sz w:val="22"/>
              </w:rPr>
              <w:t>ption 1.</w:t>
            </w:r>
          </w:p>
          <w:p w:rsidR="00C3599A" w:rsidRPr="00C3599A" w:rsidRDefault="00C3599A" w:rsidP="00C3599A">
            <w:pPr>
              <w:pStyle w:val="BodyText"/>
              <w:numPr>
                <w:ilvl w:val="0"/>
                <w:numId w:val="34"/>
              </w:numPr>
              <w:rPr>
                <w:rFonts w:ascii="Calibri" w:hAnsi="Calibri"/>
                <w:sz w:val="22"/>
              </w:rPr>
            </w:pPr>
            <w:r w:rsidRPr="00C3599A">
              <w:rPr>
                <w:rFonts w:ascii="Calibri" w:hAnsi="Calibri"/>
                <w:sz w:val="22"/>
              </w:rPr>
              <w:t xml:space="preserve">7 respondents agreed that all of the options better facilitate the DCUSA Objectives, with two of the respondents suggesting that none of the options better facilitate Charging Objective 2 and one of the respondents suggesting that it may be too late to implement </w:t>
            </w:r>
            <w:r>
              <w:rPr>
                <w:rFonts w:ascii="Calibri" w:hAnsi="Calibri"/>
                <w:sz w:val="22"/>
              </w:rPr>
              <w:t>O</w:t>
            </w:r>
            <w:r w:rsidRPr="00C3599A">
              <w:rPr>
                <w:rFonts w:ascii="Calibri" w:hAnsi="Calibri"/>
                <w:sz w:val="22"/>
              </w:rPr>
              <w:t>ption</w:t>
            </w:r>
            <w:r>
              <w:rPr>
                <w:rFonts w:ascii="Calibri" w:hAnsi="Calibri"/>
                <w:sz w:val="22"/>
              </w:rPr>
              <w:t>s</w:t>
            </w:r>
            <w:r w:rsidRPr="00C3599A">
              <w:rPr>
                <w:rFonts w:ascii="Calibri" w:hAnsi="Calibri"/>
                <w:sz w:val="22"/>
              </w:rPr>
              <w:t xml:space="preserve"> 2, 3 &amp; 4.</w:t>
            </w:r>
          </w:p>
          <w:p w:rsidR="00C3599A" w:rsidRPr="00C3599A" w:rsidRDefault="00C3599A" w:rsidP="00C3599A">
            <w:pPr>
              <w:pStyle w:val="BodyText"/>
              <w:numPr>
                <w:ilvl w:val="0"/>
                <w:numId w:val="34"/>
              </w:numPr>
              <w:rPr>
                <w:rFonts w:ascii="Calibri" w:hAnsi="Calibri"/>
                <w:sz w:val="22"/>
              </w:rPr>
            </w:pPr>
            <w:r w:rsidRPr="00C3599A">
              <w:rPr>
                <w:rFonts w:ascii="Calibri" w:hAnsi="Calibri"/>
                <w:sz w:val="22"/>
              </w:rPr>
              <w:t xml:space="preserve">Two respondents suggested that </w:t>
            </w:r>
            <w:r>
              <w:rPr>
                <w:rFonts w:ascii="Calibri" w:hAnsi="Calibri"/>
                <w:sz w:val="22"/>
              </w:rPr>
              <w:t>O</w:t>
            </w:r>
            <w:r w:rsidRPr="00C3599A">
              <w:rPr>
                <w:rFonts w:ascii="Calibri" w:hAnsi="Calibri"/>
                <w:sz w:val="22"/>
              </w:rPr>
              <w:t xml:space="preserve">ptions 2 and 3 do not better facilitate the </w:t>
            </w:r>
            <w:r>
              <w:rPr>
                <w:rFonts w:ascii="Calibri" w:hAnsi="Calibri"/>
                <w:sz w:val="22"/>
              </w:rPr>
              <w:t>DCUSA O</w:t>
            </w:r>
            <w:r w:rsidRPr="00C3599A">
              <w:rPr>
                <w:rFonts w:ascii="Calibri" w:hAnsi="Calibri"/>
                <w:sz w:val="22"/>
              </w:rPr>
              <w:t xml:space="preserve">bjectives, with another respondent noting that </w:t>
            </w:r>
            <w:r>
              <w:rPr>
                <w:rFonts w:ascii="Calibri" w:hAnsi="Calibri"/>
                <w:sz w:val="22"/>
              </w:rPr>
              <w:t>O</w:t>
            </w:r>
            <w:r w:rsidRPr="00C3599A">
              <w:rPr>
                <w:rFonts w:ascii="Calibri" w:hAnsi="Calibri"/>
                <w:sz w:val="22"/>
              </w:rPr>
              <w:t xml:space="preserve">ption 1 best facilitates the </w:t>
            </w:r>
            <w:r>
              <w:rPr>
                <w:rFonts w:ascii="Calibri" w:hAnsi="Calibri"/>
                <w:sz w:val="22"/>
              </w:rPr>
              <w:t>DCUSA O</w:t>
            </w:r>
            <w:r w:rsidRPr="00C3599A">
              <w:rPr>
                <w:rFonts w:ascii="Calibri" w:hAnsi="Calibri"/>
                <w:sz w:val="22"/>
              </w:rPr>
              <w:t>bjectives.</w:t>
            </w:r>
          </w:p>
          <w:p w:rsidR="002307D0" w:rsidRPr="00C3599A" w:rsidRDefault="00C3599A" w:rsidP="002307D0">
            <w:pPr>
              <w:pStyle w:val="BodyText"/>
              <w:numPr>
                <w:ilvl w:val="0"/>
                <w:numId w:val="34"/>
              </w:numPr>
              <w:rPr>
                <w:rFonts w:ascii="Calibri" w:hAnsi="Calibri"/>
                <w:sz w:val="22"/>
              </w:rPr>
            </w:pPr>
            <w:r w:rsidRPr="00C3599A">
              <w:rPr>
                <w:rFonts w:ascii="Calibri" w:hAnsi="Calibri"/>
                <w:sz w:val="22"/>
              </w:rPr>
              <w:t>Three respondents did not agree that the proposals better facilitate the DCUSA Objectives.</w:t>
            </w:r>
          </w:p>
        </w:tc>
      </w:tr>
      <w:bookmarkEnd w:id="7"/>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AC62DD" w:rsidRPr="0097218A" w:rsidTr="006F470F">
        <w:trPr>
          <w:cnfStyle w:val="100000000000" w:firstRow="1" w:lastRow="0" w:firstColumn="0" w:lastColumn="0" w:oddVBand="0" w:evenVBand="0" w:oddHBand="0" w:evenHBand="0" w:firstRowFirstColumn="0" w:firstRowLastColumn="0" w:lastRowFirstColumn="0" w:lastRowLastColumn="0"/>
        </w:trPr>
        <w:tc>
          <w:tcPr>
            <w:tcW w:w="14112" w:type="dxa"/>
          </w:tcPr>
          <w:p w:rsidR="00AC62DD" w:rsidRPr="00AC62DD" w:rsidRDefault="00AC62DD" w:rsidP="00AC62DD">
            <w:pPr>
              <w:pStyle w:val="Question"/>
              <w:numPr>
                <w:ilvl w:val="0"/>
                <w:numId w:val="16"/>
              </w:numPr>
              <w:rPr>
                <w:rFonts w:ascii="Calibri" w:hAnsi="Calibri"/>
                <w:sz w:val="22"/>
                <w:szCs w:val="22"/>
              </w:rPr>
            </w:pPr>
            <w:bookmarkStart w:id="8" w:name="dcusa_response7"/>
            <w:r w:rsidRPr="0097218A">
              <w:rPr>
                <w:rFonts w:ascii="Calibri" w:hAnsi="Calibri"/>
                <w:sz w:val="22"/>
                <w:szCs w:val="22"/>
              </w:rPr>
              <w:t>It is noted that P272 deadline has been extended which gives more time to liaise with customers to agree a MIC but the task is still a significant one. In light of the delay in P272, do you that agree that the protection of DCP 248 is still required?</w:t>
            </w:r>
          </w:p>
        </w:tc>
      </w:tr>
      <w:tr w:rsidR="002307D0" w:rsidRPr="0097218A" w:rsidTr="002609FE">
        <w:tc>
          <w:tcPr>
            <w:tcW w:w="14112" w:type="dxa"/>
          </w:tcPr>
          <w:p w:rsidR="00C3599A" w:rsidRDefault="002307D0" w:rsidP="002307D0">
            <w:pPr>
              <w:pStyle w:val="Question"/>
              <w:numPr>
                <w:ilvl w:val="0"/>
                <w:numId w:val="0"/>
              </w:numPr>
              <w:rPr>
                <w:rFonts w:ascii="Calibri" w:hAnsi="Calibri"/>
                <w:sz w:val="22"/>
                <w:szCs w:val="22"/>
              </w:rPr>
            </w:pPr>
            <w:r>
              <w:rPr>
                <w:rFonts w:ascii="Calibri" w:hAnsi="Calibri"/>
                <w:sz w:val="22"/>
                <w:szCs w:val="22"/>
              </w:rPr>
              <w:t>Response Summary</w:t>
            </w:r>
            <w:r w:rsidR="00C3599A">
              <w:rPr>
                <w:rFonts w:ascii="Calibri" w:hAnsi="Calibri"/>
                <w:sz w:val="22"/>
                <w:szCs w:val="22"/>
              </w:rPr>
              <w:t>:</w:t>
            </w:r>
          </w:p>
          <w:p w:rsidR="00B31D03" w:rsidRPr="00B31D03" w:rsidRDefault="00B31D03" w:rsidP="00B31D03">
            <w:pPr>
              <w:pStyle w:val="Question"/>
              <w:numPr>
                <w:ilvl w:val="0"/>
                <w:numId w:val="34"/>
              </w:numPr>
              <w:rPr>
                <w:rFonts w:ascii="Calibri" w:hAnsi="Calibri"/>
                <w:b w:val="0"/>
                <w:sz w:val="22"/>
                <w:szCs w:val="22"/>
              </w:rPr>
            </w:pPr>
            <w:r w:rsidRPr="00B31D03">
              <w:rPr>
                <w:rFonts w:ascii="Calibri" w:hAnsi="Calibri"/>
                <w:b w:val="0"/>
                <w:sz w:val="22"/>
                <w:szCs w:val="22"/>
              </w:rPr>
              <w:t xml:space="preserve">11 respondents agreed that the protection of DCP 248 is still required, with one respondent suggesting that a retrospective element (i.e. Option 1) would not be required </w:t>
            </w:r>
            <w:r>
              <w:rPr>
                <w:rFonts w:ascii="Calibri" w:hAnsi="Calibri"/>
                <w:b w:val="0"/>
                <w:sz w:val="22"/>
                <w:szCs w:val="22"/>
              </w:rPr>
              <w:t>following</w:t>
            </w:r>
            <w:r w:rsidRPr="00B31D03">
              <w:rPr>
                <w:rFonts w:ascii="Calibri" w:hAnsi="Calibri"/>
                <w:b w:val="0"/>
                <w:sz w:val="22"/>
                <w:szCs w:val="22"/>
              </w:rPr>
              <w:t xml:space="preserve"> the deferral of DCP</w:t>
            </w:r>
            <w:r>
              <w:rPr>
                <w:rFonts w:ascii="Calibri" w:hAnsi="Calibri"/>
                <w:b w:val="0"/>
                <w:sz w:val="22"/>
                <w:szCs w:val="22"/>
              </w:rPr>
              <w:t xml:space="preserve"> 161 and one respondent suggesting </w:t>
            </w:r>
            <w:r w:rsidRPr="00B31D03">
              <w:rPr>
                <w:rFonts w:ascii="Calibri" w:hAnsi="Calibri"/>
                <w:b w:val="0"/>
                <w:sz w:val="22"/>
                <w:szCs w:val="22"/>
              </w:rPr>
              <w:t>that an enduring protection is required.</w:t>
            </w:r>
          </w:p>
          <w:p w:rsidR="00B31D03" w:rsidRPr="00B31D03" w:rsidRDefault="00B31D03" w:rsidP="00B31D03">
            <w:pPr>
              <w:pStyle w:val="Question"/>
              <w:numPr>
                <w:ilvl w:val="0"/>
                <w:numId w:val="34"/>
              </w:numPr>
              <w:rPr>
                <w:rFonts w:ascii="Calibri" w:hAnsi="Calibri"/>
                <w:b w:val="0"/>
                <w:sz w:val="22"/>
                <w:szCs w:val="22"/>
              </w:rPr>
            </w:pPr>
            <w:r w:rsidRPr="00B31D03">
              <w:rPr>
                <w:rFonts w:ascii="Calibri" w:hAnsi="Calibri"/>
                <w:b w:val="0"/>
                <w:sz w:val="22"/>
                <w:szCs w:val="22"/>
              </w:rPr>
              <w:t>Two respondents did not agree that the protection of DCP 248 is still required.</w:t>
            </w:r>
          </w:p>
          <w:p w:rsidR="00B31D03" w:rsidRPr="00B31D03" w:rsidRDefault="00B31D03" w:rsidP="00B31D03">
            <w:pPr>
              <w:pStyle w:val="Question"/>
              <w:numPr>
                <w:ilvl w:val="0"/>
                <w:numId w:val="34"/>
              </w:numPr>
              <w:rPr>
                <w:rFonts w:ascii="Calibri" w:hAnsi="Calibri"/>
                <w:b w:val="0"/>
                <w:sz w:val="22"/>
                <w:szCs w:val="22"/>
              </w:rPr>
            </w:pPr>
            <w:r w:rsidRPr="00B31D03">
              <w:rPr>
                <w:rFonts w:ascii="Calibri" w:hAnsi="Calibri"/>
                <w:b w:val="0"/>
                <w:sz w:val="22"/>
                <w:szCs w:val="22"/>
              </w:rPr>
              <w:t>One respondent suggested that protection of DCP 248 has already been offered to PC5-8 customers when the letters were issued from DNOs.</w:t>
            </w:r>
          </w:p>
          <w:p w:rsidR="002307D0" w:rsidRDefault="00B31D03" w:rsidP="00B31D03">
            <w:pPr>
              <w:pStyle w:val="Question"/>
              <w:numPr>
                <w:ilvl w:val="0"/>
                <w:numId w:val="34"/>
              </w:numPr>
              <w:rPr>
                <w:rFonts w:ascii="Calibri" w:hAnsi="Calibri"/>
                <w:sz w:val="22"/>
                <w:szCs w:val="22"/>
              </w:rPr>
            </w:pPr>
            <w:r w:rsidRPr="00B31D03">
              <w:rPr>
                <w:rFonts w:ascii="Calibri" w:hAnsi="Calibri"/>
                <w:b w:val="0"/>
                <w:sz w:val="22"/>
                <w:szCs w:val="22"/>
              </w:rPr>
              <w:t>One respondent commented on Clause 2.58.</w:t>
            </w:r>
            <w:r w:rsidR="002307D0">
              <w:rPr>
                <w:rFonts w:ascii="Calibri" w:hAnsi="Calibri"/>
                <w:sz w:val="22"/>
                <w:szCs w:val="22"/>
              </w:rPr>
              <w:t xml:space="preserve"> </w:t>
            </w:r>
          </w:p>
        </w:tc>
      </w:tr>
      <w:bookmarkEnd w:id="8"/>
    </w:tbl>
    <w:p w:rsidR="00B31D03" w:rsidRPr="0097218A" w:rsidRDefault="00B31D03"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4E3676" w:rsidRPr="0097218A" w:rsidTr="00B71D93">
        <w:trPr>
          <w:cnfStyle w:val="100000000000" w:firstRow="1" w:lastRow="0" w:firstColumn="0" w:lastColumn="0" w:oddVBand="0" w:evenVBand="0" w:oddHBand="0" w:evenHBand="0" w:firstRowFirstColumn="0" w:firstRowLastColumn="0" w:lastRowFirstColumn="0" w:lastRowLastColumn="0"/>
        </w:trPr>
        <w:tc>
          <w:tcPr>
            <w:tcW w:w="14112" w:type="dxa"/>
          </w:tcPr>
          <w:p w:rsidR="004E3676" w:rsidRPr="004E3676" w:rsidRDefault="004E3676" w:rsidP="004E3676">
            <w:pPr>
              <w:pStyle w:val="Question"/>
              <w:numPr>
                <w:ilvl w:val="0"/>
                <w:numId w:val="16"/>
              </w:numPr>
              <w:rPr>
                <w:rFonts w:ascii="Calibri" w:hAnsi="Calibri"/>
                <w:sz w:val="22"/>
                <w:szCs w:val="22"/>
              </w:rPr>
            </w:pPr>
            <w:bookmarkStart w:id="9" w:name="dcusa_response8"/>
            <w:r w:rsidRPr="0097218A">
              <w:rPr>
                <w:rFonts w:ascii="Calibri" w:hAnsi="Calibri"/>
                <w:sz w:val="22"/>
                <w:szCs w:val="22"/>
              </w:rPr>
              <w:lastRenderedPageBreak/>
              <w:t>Do you think that the current protection offered by the UOS charging statements with regards to incorrect charges offers the level of protection sought by this Change Proposal?</w:t>
            </w:r>
          </w:p>
        </w:tc>
      </w:tr>
      <w:tr w:rsidR="00C74267" w:rsidRPr="0097218A" w:rsidTr="002609FE">
        <w:tc>
          <w:tcPr>
            <w:tcW w:w="14112" w:type="dxa"/>
          </w:tcPr>
          <w:p w:rsidR="00C74267" w:rsidRDefault="00B31D03" w:rsidP="00B31D03">
            <w:pPr>
              <w:pStyle w:val="Question"/>
              <w:numPr>
                <w:ilvl w:val="0"/>
                <w:numId w:val="0"/>
              </w:numPr>
              <w:rPr>
                <w:rFonts w:ascii="Calibri" w:hAnsi="Calibri"/>
                <w:sz w:val="22"/>
                <w:szCs w:val="22"/>
              </w:rPr>
            </w:pPr>
            <w:r>
              <w:rPr>
                <w:rFonts w:ascii="Calibri" w:hAnsi="Calibri"/>
                <w:sz w:val="22"/>
                <w:szCs w:val="22"/>
              </w:rPr>
              <w:t>Response Summary:</w:t>
            </w:r>
          </w:p>
          <w:p w:rsidR="00737CE2" w:rsidRPr="00737CE2" w:rsidRDefault="00737CE2" w:rsidP="00737CE2">
            <w:pPr>
              <w:pStyle w:val="BodyText"/>
              <w:numPr>
                <w:ilvl w:val="0"/>
                <w:numId w:val="29"/>
              </w:numPr>
              <w:rPr>
                <w:rFonts w:ascii="Calibri" w:hAnsi="Calibri"/>
                <w:sz w:val="22"/>
              </w:rPr>
            </w:pPr>
            <w:r w:rsidRPr="00737CE2">
              <w:rPr>
                <w:rFonts w:ascii="Calibri" w:hAnsi="Calibri"/>
                <w:sz w:val="22"/>
              </w:rPr>
              <w:t xml:space="preserve">Eight respondents did not agree that the protection provided by </w:t>
            </w:r>
            <w:proofErr w:type="spellStart"/>
            <w:r w:rsidRPr="00737CE2">
              <w:rPr>
                <w:rFonts w:ascii="Calibri" w:hAnsi="Calibri"/>
                <w:sz w:val="22"/>
              </w:rPr>
              <w:t>UoS</w:t>
            </w:r>
            <w:proofErr w:type="spellEnd"/>
            <w:r w:rsidRPr="00737CE2">
              <w:rPr>
                <w:rFonts w:ascii="Calibri" w:hAnsi="Calibri"/>
                <w:sz w:val="22"/>
              </w:rPr>
              <w:t xml:space="preserve"> charging statements offers the level of protection sought by DCP 248.</w:t>
            </w:r>
          </w:p>
          <w:p w:rsidR="00737CE2" w:rsidRPr="00737CE2" w:rsidRDefault="00737CE2" w:rsidP="00737CE2">
            <w:pPr>
              <w:pStyle w:val="BodyText"/>
              <w:numPr>
                <w:ilvl w:val="0"/>
                <w:numId w:val="29"/>
              </w:numPr>
              <w:rPr>
                <w:rFonts w:ascii="Calibri" w:hAnsi="Calibri"/>
                <w:sz w:val="22"/>
              </w:rPr>
            </w:pPr>
            <w:r w:rsidRPr="00737CE2">
              <w:rPr>
                <w:rFonts w:ascii="Calibri" w:hAnsi="Calibri"/>
                <w:sz w:val="22"/>
              </w:rPr>
              <w:t xml:space="preserve">One respondent agreed that the protection offered by </w:t>
            </w:r>
            <w:proofErr w:type="spellStart"/>
            <w:r w:rsidRPr="00737CE2">
              <w:rPr>
                <w:rFonts w:ascii="Calibri" w:hAnsi="Calibri"/>
                <w:sz w:val="22"/>
              </w:rPr>
              <w:t>UoS</w:t>
            </w:r>
            <w:proofErr w:type="spellEnd"/>
            <w:r w:rsidRPr="00737CE2">
              <w:rPr>
                <w:rFonts w:ascii="Calibri" w:hAnsi="Calibri"/>
                <w:sz w:val="22"/>
              </w:rPr>
              <w:t xml:space="preserve"> charging statements is sufficient.</w:t>
            </w:r>
          </w:p>
          <w:p w:rsidR="00B31D03" w:rsidRPr="00B31D03" w:rsidRDefault="00737CE2" w:rsidP="00737CE2">
            <w:pPr>
              <w:pStyle w:val="BodyText"/>
              <w:numPr>
                <w:ilvl w:val="0"/>
                <w:numId w:val="29"/>
              </w:numPr>
            </w:pPr>
            <w:r w:rsidRPr="00737CE2">
              <w:rPr>
                <w:rFonts w:ascii="Calibri" w:hAnsi="Calibri"/>
                <w:sz w:val="22"/>
              </w:rPr>
              <w:t xml:space="preserve">One respondent suggested that the </w:t>
            </w:r>
            <w:proofErr w:type="spellStart"/>
            <w:r w:rsidRPr="00737CE2">
              <w:rPr>
                <w:rFonts w:ascii="Calibri" w:hAnsi="Calibri"/>
                <w:sz w:val="22"/>
              </w:rPr>
              <w:t>UoS</w:t>
            </w:r>
            <w:proofErr w:type="spellEnd"/>
            <w:r w:rsidRPr="00737CE2">
              <w:rPr>
                <w:rFonts w:ascii="Calibri" w:hAnsi="Calibri"/>
                <w:sz w:val="22"/>
              </w:rPr>
              <w:t xml:space="preserve"> charging statements are not relevant to DCP 248.</w:t>
            </w:r>
          </w:p>
        </w:tc>
      </w:tr>
      <w:bookmarkEnd w:id="9"/>
    </w:tbl>
    <w:p w:rsidR="00737CE2" w:rsidRPr="0097218A" w:rsidRDefault="00737CE2"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7E37CB" w:rsidRPr="0097218A" w:rsidTr="00B44798">
        <w:trPr>
          <w:cnfStyle w:val="100000000000" w:firstRow="1" w:lastRow="0" w:firstColumn="0" w:lastColumn="0" w:oddVBand="0" w:evenVBand="0" w:oddHBand="0" w:evenHBand="0" w:firstRowFirstColumn="0" w:firstRowLastColumn="0" w:lastRowFirstColumn="0" w:lastRowLastColumn="0"/>
        </w:trPr>
        <w:tc>
          <w:tcPr>
            <w:tcW w:w="14112" w:type="dxa"/>
          </w:tcPr>
          <w:p w:rsidR="007E37CB" w:rsidRPr="007E37CB" w:rsidRDefault="007E37CB" w:rsidP="007E37CB">
            <w:pPr>
              <w:pStyle w:val="Question"/>
              <w:numPr>
                <w:ilvl w:val="0"/>
                <w:numId w:val="16"/>
              </w:numPr>
              <w:rPr>
                <w:rFonts w:ascii="Calibri" w:hAnsi="Calibri"/>
                <w:sz w:val="22"/>
                <w:szCs w:val="22"/>
              </w:rPr>
            </w:pPr>
            <w:bookmarkStart w:id="10" w:name="dcusa_response9"/>
            <w:r w:rsidRPr="0097218A">
              <w:rPr>
                <w:rFonts w:ascii="Calibri" w:hAnsi="Calibri"/>
                <w:sz w:val="22"/>
                <w:szCs w:val="22"/>
              </w:rPr>
              <w:t>Are you supportive of the proposed implementation date - as soon as possible following Authority consent which may require an extra-ordinary release?</w:t>
            </w:r>
          </w:p>
        </w:tc>
      </w:tr>
      <w:tr w:rsidR="00C74267" w:rsidRPr="0097218A" w:rsidTr="002609FE">
        <w:tc>
          <w:tcPr>
            <w:tcW w:w="14112" w:type="dxa"/>
          </w:tcPr>
          <w:p w:rsidR="00C74267" w:rsidRDefault="00C74267" w:rsidP="00C74267">
            <w:pPr>
              <w:pStyle w:val="Question"/>
              <w:numPr>
                <w:ilvl w:val="0"/>
                <w:numId w:val="0"/>
              </w:numPr>
              <w:ind w:left="567" w:hanging="567"/>
              <w:rPr>
                <w:rFonts w:ascii="Calibri" w:hAnsi="Calibri"/>
                <w:sz w:val="22"/>
                <w:szCs w:val="22"/>
              </w:rPr>
            </w:pPr>
            <w:r>
              <w:rPr>
                <w:rFonts w:ascii="Calibri" w:hAnsi="Calibri"/>
                <w:sz w:val="22"/>
                <w:szCs w:val="22"/>
              </w:rPr>
              <w:t>Response Summary:</w:t>
            </w:r>
          </w:p>
          <w:p w:rsidR="00D046E3" w:rsidRPr="00D046E3" w:rsidRDefault="00D046E3" w:rsidP="00D046E3">
            <w:pPr>
              <w:pStyle w:val="BodyText"/>
              <w:numPr>
                <w:ilvl w:val="0"/>
                <w:numId w:val="35"/>
              </w:numPr>
              <w:rPr>
                <w:rFonts w:ascii="Calibri" w:hAnsi="Calibri"/>
                <w:sz w:val="22"/>
                <w:szCs w:val="22"/>
              </w:rPr>
            </w:pPr>
            <w:r w:rsidRPr="00D046E3">
              <w:rPr>
                <w:rFonts w:ascii="Calibri" w:hAnsi="Calibri"/>
                <w:sz w:val="22"/>
                <w:szCs w:val="22"/>
              </w:rPr>
              <w:t>13 respondents agreed with the proposed implementation date, with two respondents noting that they agreed as long as DCP 248 did not result in IT changes being required</w:t>
            </w:r>
          </w:p>
          <w:p w:rsidR="00C74267" w:rsidRPr="00C74267" w:rsidRDefault="00D046E3" w:rsidP="00D046E3">
            <w:pPr>
              <w:pStyle w:val="BodyText"/>
              <w:numPr>
                <w:ilvl w:val="0"/>
                <w:numId w:val="35"/>
              </w:numPr>
            </w:pPr>
            <w:r w:rsidRPr="00D046E3">
              <w:rPr>
                <w:rFonts w:ascii="Calibri" w:hAnsi="Calibri"/>
                <w:sz w:val="22"/>
                <w:szCs w:val="22"/>
              </w:rPr>
              <w:t>Two respondents suggested that the implementation date should be determined by the outcome of the consultation.</w:t>
            </w:r>
          </w:p>
        </w:tc>
      </w:tr>
      <w:bookmarkEnd w:id="10"/>
    </w:tbl>
    <w:p w:rsidR="00D046E3" w:rsidRPr="0097218A" w:rsidRDefault="00D046E3"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022F25" w:rsidRPr="0097218A" w:rsidTr="00A138D2">
        <w:trPr>
          <w:cnfStyle w:val="100000000000" w:firstRow="1" w:lastRow="0" w:firstColumn="0" w:lastColumn="0" w:oddVBand="0" w:evenVBand="0" w:oddHBand="0" w:evenHBand="0" w:firstRowFirstColumn="0" w:firstRowLastColumn="0" w:lastRowFirstColumn="0" w:lastRowLastColumn="0"/>
        </w:trPr>
        <w:tc>
          <w:tcPr>
            <w:tcW w:w="14112" w:type="dxa"/>
          </w:tcPr>
          <w:p w:rsidR="00022F25" w:rsidRPr="00022F25" w:rsidRDefault="00022F25" w:rsidP="00022F25">
            <w:pPr>
              <w:pStyle w:val="Question"/>
              <w:numPr>
                <w:ilvl w:val="0"/>
                <w:numId w:val="16"/>
              </w:numPr>
              <w:rPr>
                <w:rFonts w:ascii="Calibri" w:hAnsi="Calibri"/>
                <w:sz w:val="22"/>
                <w:szCs w:val="22"/>
              </w:rPr>
            </w:pPr>
            <w:bookmarkStart w:id="11" w:name="dcusa_response10"/>
            <w:r w:rsidRPr="0097218A">
              <w:rPr>
                <w:rFonts w:ascii="Calibri" w:hAnsi="Calibri"/>
                <w:sz w:val="22"/>
                <w:szCs w:val="22"/>
              </w:rPr>
              <w:t>In the DCP 248 legal text the protection offered by all of the options is limited to 12 months of a change in Measurement Class. Do you agree with this timescale? If not, please provide your rationale.</w:t>
            </w:r>
          </w:p>
        </w:tc>
      </w:tr>
      <w:tr w:rsidR="00C74267" w:rsidRPr="0097218A" w:rsidTr="002609FE">
        <w:tc>
          <w:tcPr>
            <w:tcW w:w="14112" w:type="dxa"/>
          </w:tcPr>
          <w:p w:rsidR="00C74267" w:rsidRPr="00825AB6" w:rsidRDefault="00C74267" w:rsidP="00825AB6">
            <w:pPr>
              <w:pStyle w:val="Question"/>
              <w:numPr>
                <w:ilvl w:val="0"/>
                <w:numId w:val="0"/>
              </w:numPr>
              <w:rPr>
                <w:rFonts w:ascii="Calibri" w:hAnsi="Calibri"/>
                <w:sz w:val="22"/>
                <w:szCs w:val="22"/>
              </w:rPr>
            </w:pPr>
            <w:r>
              <w:rPr>
                <w:rFonts w:ascii="Calibri" w:hAnsi="Calibri"/>
                <w:sz w:val="22"/>
                <w:szCs w:val="22"/>
              </w:rPr>
              <w:t>Response Summary:</w:t>
            </w:r>
            <w:r w:rsidR="00825AB6">
              <w:rPr>
                <w:rFonts w:ascii="Calibri" w:hAnsi="Calibri"/>
                <w:sz w:val="22"/>
                <w:szCs w:val="22"/>
              </w:rPr>
              <w:t xml:space="preserve"> </w:t>
            </w:r>
            <w:r w:rsidR="00825AB6" w:rsidRPr="00825AB6">
              <w:rPr>
                <w:rFonts w:ascii="Calibri" w:hAnsi="Calibri"/>
                <w:b w:val="0"/>
                <w:sz w:val="22"/>
                <w:szCs w:val="22"/>
              </w:rPr>
              <w:t>11 respondents agreed that 12 months is a reasonable and appropriate timescale, with a suggestion made by four respondents to extend the timescale and a suggestion made by one respondent to shorten the timescale.</w:t>
            </w:r>
          </w:p>
        </w:tc>
      </w:tr>
      <w:bookmarkEnd w:id="11"/>
    </w:tbl>
    <w:p w:rsidR="00916EB7" w:rsidRDefault="00916EB7" w:rsidP="00DF0191">
      <w:pPr>
        <w:rPr>
          <w:rFonts w:ascii="Calibri" w:hAnsi="Calibri"/>
          <w:sz w:val="22"/>
          <w:szCs w:val="22"/>
        </w:rPr>
      </w:pPr>
    </w:p>
    <w:p w:rsidR="00704790" w:rsidRDefault="00704790" w:rsidP="00DF0191">
      <w:pPr>
        <w:rPr>
          <w:rFonts w:ascii="Calibri" w:hAnsi="Calibri"/>
          <w:sz w:val="22"/>
          <w:szCs w:val="22"/>
        </w:rPr>
      </w:pPr>
    </w:p>
    <w:p w:rsidR="00704790" w:rsidRDefault="00704790" w:rsidP="00DF0191">
      <w:pPr>
        <w:rPr>
          <w:rFonts w:ascii="Calibri" w:hAnsi="Calibri"/>
          <w:sz w:val="22"/>
          <w:szCs w:val="22"/>
        </w:rPr>
      </w:pPr>
    </w:p>
    <w:p w:rsidR="00704790" w:rsidRDefault="00704790" w:rsidP="00DF0191">
      <w:pPr>
        <w:rPr>
          <w:rFonts w:ascii="Calibri" w:hAnsi="Calibri"/>
          <w:sz w:val="22"/>
          <w:szCs w:val="22"/>
        </w:rPr>
      </w:pPr>
    </w:p>
    <w:p w:rsidR="00704790" w:rsidRPr="0097218A" w:rsidRDefault="00704790"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6100D7" w:rsidRPr="0097218A" w:rsidTr="00820E63">
        <w:trPr>
          <w:cnfStyle w:val="100000000000" w:firstRow="1" w:lastRow="0" w:firstColumn="0" w:lastColumn="0" w:oddVBand="0" w:evenVBand="0" w:oddHBand="0" w:evenHBand="0" w:firstRowFirstColumn="0" w:firstRowLastColumn="0" w:lastRowFirstColumn="0" w:lastRowLastColumn="0"/>
        </w:trPr>
        <w:tc>
          <w:tcPr>
            <w:tcW w:w="14112" w:type="dxa"/>
          </w:tcPr>
          <w:p w:rsidR="006100D7" w:rsidRPr="006100D7" w:rsidRDefault="006100D7" w:rsidP="006100D7">
            <w:pPr>
              <w:pStyle w:val="Question"/>
              <w:numPr>
                <w:ilvl w:val="0"/>
                <w:numId w:val="16"/>
              </w:numPr>
              <w:rPr>
                <w:rFonts w:ascii="Calibri" w:hAnsi="Calibri"/>
                <w:sz w:val="22"/>
                <w:szCs w:val="22"/>
              </w:rPr>
            </w:pPr>
            <w:bookmarkStart w:id="12" w:name="dcusa_response11"/>
            <w:r w:rsidRPr="0097218A">
              <w:rPr>
                <w:rFonts w:ascii="Calibri" w:hAnsi="Calibri"/>
                <w:sz w:val="22"/>
                <w:szCs w:val="22"/>
              </w:rPr>
              <w:lastRenderedPageBreak/>
              <w:t>Do you believe that there should be an end date within the DCP 248 legal text and, if yes, what date should it be?</w:t>
            </w:r>
          </w:p>
        </w:tc>
      </w:tr>
      <w:tr w:rsidR="00C74267" w:rsidRPr="0097218A" w:rsidTr="002609FE">
        <w:tc>
          <w:tcPr>
            <w:tcW w:w="14112" w:type="dxa"/>
          </w:tcPr>
          <w:p w:rsidR="00C74267" w:rsidRDefault="00C74267" w:rsidP="00C74267">
            <w:pPr>
              <w:pStyle w:val="Question"/>
              <w:numPr>
                <w:ilvl w:val="0"/>
                <w:numId w:val="0"/>
              </w:numPr>
              <w:rPr>
                <w:rFonts w:ascii="Calibri" w:hAnsi="Calibri"/>
                <w:sz w:val="22"/>
                <w:szCs w:val="22"/>
              </w:rPr>
            </w:pPr>
            <w:r>
              <w:rPr>
                <w:rFonts w:ascii="Calibri" w:hAnsi="Calibri"/>
                <w:sz w:val="22"/>
                <w:szCs w:val="22"/>
              </w:rPr>
              <w:t>Response Summary:</w:t>
            </w:r>
            <w:r w:rsidR="00825AB6">
              <w:rPr>
                <w:rFonts w:ascii="Calibri" w:hAnsi="Calibri"/>
                <w:sz w:val="22"/>
                <w:szCs w:val="22"/>
              </w:rPr>
              <w:t xml:space="preserve"> </w:t>
            </w:r>
          </w:p>
          <w:p w:rsidR="00825AB6" w:rsidRPr="00261EB1" w:rsidRDefault="00825AB6" w:rsidP="00261EB1">
            <w:pPr>
              <w:pStyle w:val="BodyText"/>
              <w:numPr>
                <w:ilvl w:val="0"/>
                <w:numId w:val="35"/>
              </w:numPr>
              <w:rPr>
                <w:rFonts w:ascii="Calibri" w:hAnsi="Calibri"/>
                <w:sz w:val="22"/>
                <w:szCs w:val="22"/>
              </w:rPr>
            </w:pPr>
            <w:r w:rsidRPr="00261EB1">
              <w:rPr>
                <w:rFonts w:ascii="Calibri" w:hAnsi="Calibri"/>
                <w:sz w:val="22"/>
                <w:szCs w:val="22"/>
              </w:rPr>
              <w:t>7 respondents did not believe there should be an end date within the DCP 248 legal text, with a respondent specifically noting that an end date is not required for Option 1.</w:t>
            </w:r>
          </w:p>
          <w:p w:rsidR="00825AB6" w:rsidRPr="00825AB6" w:rsidRDefault="00825AB6" w:rsidP="00261EB1">
            <w:pPr>
              <w:pStyle w:val="BodyText"/>
              <w:numPr>
                <w:ilvl w:val="0"/>
                <w:numId w:val="35"/>
              </w:numPr>
            </w:pPr>
            <w:r w:rsidRPr="00261EB1">
              <w:rPr>
                <w:rFonts w:ascii="Calibri" w:hAnsi="Calibri"/>
                <w:sz w:val="22"/>
                <w:szCs w:val="22"/>
              </w:rPr>
              <w:t>6 respondents suggested end dates for inclusion within the legal text.</w:t>
            </w:r>
          </w:p>
        </w:tc>
      </w:tr>
      <w:bookmarkEnd w:id="12"/>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6100D7" w:rsidRPr="0097218A" w:rsidTr="007D4160">
        <w:trPr>
          <w:cnfStyle w:val="100000000000" w:firstRow="1" w:lastRow="0" w:firstColumn="0" w:lastColumn="0" w:oddVBand="0" w:evenVBand="0" w:oddHBand="0" w:evenHBand="0" w:firstRowFirstColumn="0" w:firstRowLastColumn="0" w:lastRowFirstColumn="0" w:lastRowLastColumn="0"/>
        </w:trPr>
        <w:tc>
          <w:tcPr>
            <w:tcW w:w="14112" w:type="dxa"/>
          </w:tcPr>
          <w:p w:rsidR="006100D7" w:rsidRPr="006100D7" w:rsidRDefault="006100D7" w:rsidP="006100D7">
            <w:pPr>
              <w:pStyle w:val="Question"/>
              <w:numPr>
                <w:ilvl w:val="0"/>
                <w:numId w:val="16"/>
              </w:numPr>
              <w:rPr>
                <w:rFonts w:ascii="Calibri" w:hAnsi="Calibri"/>
                <w:sz w:val="22"/>
                <w:szCs w:val="22"/>
              </w:rPr>
            </w:pPr>
            <w:bookmarkStart w:id="13" w:name="dcusa_response12"/>
            <w:r w:rsidRPr="0097218A">
              <w:rPr>
                <w:rFonts w:ascii="Calibri" w:hAnsi="Calibri"/>
                <w:sz w:val="22"/>
                <w:szCs w:val="22"/>
              </w:rPr>
              <w:t>With regards to Option 1, do you agree with the Working Group’s view that customers that were not occupying the property at the time of the P272 migration are not entitled to back dating of their MIC?</w:t>
            </w:r>
          </w:p>
        </w:tc>
      </w:tr>
      <w:tr w:rsidR="00C74267" w:rsidRPr="0097218A" w:rsidTr="002609FE">
        <w:tc>
          <w:tcPr>
            <w:tcW w:w="14112" w:type="dxa"/>
          </w:tcPr>
          <w:p w:rsidR="00C74267" w:rsidRDefault="00C74267" w:rsidP="00C74267">
            <w:pPr>
              <w:pStyle w:val="Question"/>
              <w:numPr>
                <w:ilvl w:val="0"/>
                <w:numId w:val="0"/>
              </w:numPr>
              <w:ind w:left="567" w:hanging="567"/>
              <w:rPr>
                <w:rFonts w:ascii="Calibri" w:hAnsi="Calibri"/>
                <w:sz w:val="22"/>
                <w:szCs w:val="22"/>
              </w:rPr>
            </w:pPr>
            <w:r>
              <w:rPr>
                <w:rFonts w:ascii="Calibri" w:hAnsi="Calibri"/>
                <w:sz w:val="22"/>
                <w:szCs w:val="22"/>
              </w:rPr>
              <w:t>Response Summary</w:t>
            </w:r>
            <w:r w:rsidR="00261EB1">
              <w:rPr>
                <w:rFonts w:ascii="Calibri" w:hAnsi="Calibri"/>
                <w:sz w:val="22"/>
                <w:szCs w:val="22"/>
              </w:rPr>
              <w:t>:</w:t>
            </w:r>
          </w:p>
          <w:p w:rsidR="00261EB1" w:rsidRPr="00261EB1" w:rsidRDefault="00261EB1" w:rsidP="00261EB1">
            <w:pPr>
              <w:pStyle w:val="BodyText"/>
              <w:numPr>
                <w:ilvl w:val="0"/>
                <w:numId w:val="35"/>
              </w:numPr>
              <w:rPr>
                <w:rFonts w:ascii="Calibri" w:hAnsi="Calibri"/>
                <w:sz w:val="22"/>
              </w:rPr>
            </w:pPr>
            <w:r w:rsidRPr="00261EB1">
              <w:rPr>
                <w:rFonts w:ascii="Calibri" w:hAnsi="Calibri"/>
                <w:sz w:val="22"/>
              </w:rPr>
              <w:t>Three respondents did not agree that customers that were not occupying the property at the time of the P272 migration should be excluded from back dated MICs.</w:t>
            </w:r>
          </w:p>
          <w:p w:rsidR="00261EB1" w:rsidRPr="00261EB1" w:rsidRDefault="00261EB1" w:rsidP="00261EB1">
            <w:pPr>
              <w:pStyle w:val="BodyText"/>
              <w:numPr>
                <w:ilvl w:val="0"/>
                <w:numId w:val="35"/>
              </w:numPr>
              <w:rPr>
                <w:rFonts w:ascii="Calibri" w:hAnsi="Calibri"/>
                <w:sz w:val="22"/>
              </w:rPr>
            </w:pPr>
            <w:r w:rsidRPr="00261EB1">
              <w:rPr>
                <w:rFonts w:ascii="Calibri" w:hAnsi="Calibri"/>
                <w:sz w:val="22"/>
              </w:rPr>
              <w:t>10 respondents agreed with the Working Group’s view with regarding the back dating the MIC for customers who were not occupying the property at the time of the P272 migration</w:t>
            </w:r>
          </w:p>
          <w:p w:rsidR="00261EB1" w:rsidRPr="00261EB1" w:rsidRDefault="00261EB1" w:rsidP="00261EB1">
            <w:pPr>
              <w:pStyle w:val="BodyText"/>
              <w:numPr>
                <w:ilvl w:val="0"/>
                <w:numId w:val="35"/>
              </w:numPr>
            </w:pPr>
            <w:r w:rsidRPr="00261EB1">
              <w:rPr>
                <w:rFonts w:ascii="Calibri" w:hAnsi="Calibri"/>
                <w:sz w:val="22"/>
              </w:rPr>
              <w:t>One respondent suggested that customers should be able to agree an amended MIC back to the point when they became responsible for paying the energy bill.</w:t>
            </w:r>
          </w:p>
        </w:tc>
      </w:tr>
      <w:bookmarkEnd w:id="13"/>
    </w:tbl>
    <w:p w:rsidR="00261EB1" w:rsidRDefault="00261EB1" w:rsidP="00DF0191">
      <w:pPr>
        <w:rPr>
          <w:rFonts w:ascii="Calibri" w:hAnsi="Calibri"/>
          <w:sz w:val="22"/>
          <w:szCs w:val="22"/>
        </w:rPr>
      </w:pPr>
    </w:p>
    <w:p w:rsidR="006100D7" w:rsidRDefault="006100D7" w:rsidP="00DF0191">
      <w:pPr>
        <w:rPr>
          <w:rFonts w:ascii="Calibri" w:hAnsi="Calibri"/>
          <w:sz w:val="22"/>
          <w:szCs w:val="22"/>
        </w:rPr>
      </w:pPr>
    </w:p>
    <w:p w:rsidR="006100D7" w:rsidRDefault="006100D7" w:rsidP="00DF0191">
      <w:pPr>
        <w:rPr>
          <w:rFonts w:ascii="Calibri" w:hAnsi="Calibri"/>
          <w:sz w:val="22"/>
          <w:szCs w:val="22"/>
        </w:rPr>
      </w:pPr>
    </w:p>
    <w:p w:rsidR="006100D7" w:rsidRDefault="006100D7" w:rsidP="00DF0191">
      <w:pPr>
        <w:rPr>
          <w:rFonts w:ascii="Calibri" w:hAnsi="Calibri"/>
          <w:sz w:val="22"/>
          <w:szCs w:val="22"/>
        </w:rPr>
      </w:pPr>
    </w:p>
    <w:p w:rsidR="006100D7" w:rsidRDefault="006100D7" w:rsidP="00DF0191">
      <w:pPr>
        <w:rPr>
          <w:rFonts w:ascii="Calibri" w:hAnsi="Calibri"/>
          <w:sz w:val="22"/>
          <w:szCs w:val="22"/>
        </w:rPr>
      </w:pPr>
    </w:p>
    <w:p w:rsidR="006100D7" w:rsidRDefault="006100D7" w:rsidP="00DF0191">
      <w:pPr>
        <w:rPr>
          <w:rFonts w:ascii="Calibri" w:hAnsi="Calibri"/>
          <w:sz w:val="22"/>
          <w:szCs w:val="22"/>
        </w:rPr>
      </w:pPr>
    </w:p>
    <w:p w:rsidR="006100D7" w:rsidRDefault="006100D7" w:rsidP="00DF0191">
      <w:pPr>
        <w:rPr>
          <w:rFonts w:ascii="Calibri" w:hAnsi="Calibri"/>
          <w:sz w:val="22"/>
          <w:szCs w:val="22"/>
        </w:rPr>
      </w:pPr>
    </w:p>
    <w:p w:rsidR="006100D7" w:rsidRDefault="006100D7" w:rsidP="00DF0191">
      <w:pPr>
        <w:rPr>
          <w:rFonts w:ascii="Calibri" w:hAnsi="Calibri"/>
          <w:sz w:val="22"/>
          <w:szCs w:val="22"/>
        </w:rPr>
      </w:pPr>
    </w:p>
    <w:p w:rsidR="006100D7" w:rsidRDefault="006100D7" w:rsidP="00DF0191">
      <w:pPr>
        <w:rPr>
          <w:rFonts w:ascii="Calibri" w:hAnsi="Calibri"/>
          <w:sz w:val="22"/>
          <w:szCs w:val="22"/>
        </w:rPr>
      </w:pPr>
    </w:p>
    <w:p w:rsidR="006100D7" w:rsidRPr="0097218A" w:rsidRDefault="006100D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6100D7" w:rsidRPr="0097218A" w:rsidTr="009B79D9">
        <w:trPr>
          <w:cnfStyle w:val="100000000000" w:firstRow="1" w:lastRow="0" w:firstColumn="0" w:lastColumn="0" w:oddVBand="0" w:evenVBand="0" w:oddHBand="0" w:evenHBand="0" w:firstRowFirstColumn="0" w:firstRowLastColumn="0" w:lastRowFirstColumn="0" w:lastRowLastColumn="0"/>
        </w:trPr>
        <w:tc>
          <w:tcPr>
            <w:tcW w:w="14112" w:type="dxa"/>
          </w:tcPr>
          <w:p w:rsidR="006100D7" w:rsidRPr="006100D7" w:rsidRDefault="006100D7" w:rsidP="006100D7">
            <w:pPr>
              <w:pStyle w:val="Question"/>
              <w:numPr>
                <w:ilvl w:val="0"/>
                <w:numId w:val="16"/>
              </w:numPr>
              <w:rPr>
                <w:rFonts w:ascii="Calibri" w:hAnsi="Calibri"/>
                <w:sz w:val="22"/>
                <w:szCs w:val="22"/>
              </w:rPr>
            </w:pPr>
            <w:bookmarkStart w:id="14" w:name="dcusa_response13"/>
            <w:r w:rsidRPr="0097218A">
              <w:rPr>
                <w:rFonts w:ascii="Calibri" w:hAnsi="Calibri"/>
                <w:sz w:val="22"/>
                <w:szCs w:val="22"/>
              </w:rPr>
              <w:lastRenderedPageBreak/>
              <w:t>With regards to Option 1, if a P272 impacted customer requests a change in MIC shortly before moving out of a property, how best do you see managing this process once the customer has left the property? And how significant an issue do you believe this is?</w:t>
            </w:r>
          </w:p>
        </w:tc>
      </w:tr>
      <w:tr w:rsidR="00C74267" w:rsidRPr="0097218A" w:rsidTr="002609FE">
        <w:tc>
          <w:tcPr>
            <w:tcW w:w="14112" w:type="dxa"/>
          </w:tcPr>
          <w:p w:rsidR="0053319B" w:rsidRDefault="00C74267" w:rsidP="0053319B">
            <w:pPr>
              <w:rPr>
                <w:rFonts w:ascii="Calibri" w:hAnsi="Calibri"/>
                <w:sz w:val="22"/>
                <w:szCs w:val="22"/>
              </w:rPr>
            </w:pPr>
            <w:r w:rsidRPr="0053319B">
              <w:rPr>
                <w:rFonts w:ascii="Calibri" w:hAnsi="Calibri"/>
                <w:b/>
                <w:sz w:val="22"/>
                <w:szCs w:val="22"/>
              </w:rPr>
              <w:t>Response Summary:</w:t>
            </w:r>
            <w:r w:rsidR="0053319B" w:rsidRPr="0053319B">
              <w:rPr>
                <w:rFonts w:ascii="Calibri" w:hAnsi="Calibri"/>
                <w:b/>
                <w:sz w:val="22"/>
                <w:szCs w:val="22"/>
              </w:rPr>
              <w:t xml:space="preserve"> </w:t>
            </w:r>
            <w:r w:rsidR="0053319B" w:rsidRPr="0053319B">
              <w:rPr>
                <w:rFonts w:ascii="Calibri" w:hAnsi="Calibri"/>
                <w:sz w:val="22"/>
                <w:szCs w:val="22"/>
              </w:rPr>
              <w:t>The below suggestions were made with regard to managing the process for customers who have changed their MIC shortly before moving out of the property:</w:t>
            </w:r>
          </w:p>
          <w:p w:rsidR="0053319B" w:rsidRPr="0053319B" w:rsidRDefault="0053319B" w:rsidP="0053319B">
            <w:pPr>
              <w:rPr>
                <w:rFonts w:ascii="Calibri" w:hAnsi="Calibri"/>
                <w:sz w:val="22"/>
                <w:szCs w:val="22"/>
              </w:rPr>
            </w:pP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The grace period should not be offered</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Change of MIC should only be offered where the customer occupies the property</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Provisions of Paragraph 151A should apply for customers seeking retrospective amendments</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Credit / re-bills should occur as per the supply contract</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The complexities introduced by Option 1 in terms of backdating, would be mitigated by Option 3</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Cannot be mitigated as DNOs will not receive prior notice of a change of tenancy</w:t>
            </w:r>
          </w:p>
          <w:p w:rsidR="00261EB1" w:rsidRPr="0053319B" w:rsidRDefault="0053319B" w:rsidP="00261EB1">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A number of respondents suggested that this is not a significant issue</w:t>
            </w:r>
          </w:p>
        </w:tc>
      </w:tr>
      <w:bookmarkEnd w:id="14"/>
    </w:tbl>
    <w:p w:rsidR="00D804A9" w:rsidRPr="0097218A" w:rsidRDefault="00D804A9"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FA069D" w:rsidRPr="0097218A" w:rsidTr="001B7F56">
        <w:trPr>
          <w:cnfStyle w:val="100000000000" w:firstRow="1" w:lastRow="0" w:firstColumn="0" w:lastColumn="0" w:oddVBand="0" w:evenVBand="0" w:oddHBand="0" w:evenHBand="0" w:firstRowFirstColumn="0" w:firstRowLastColumn="0" w:lastRowFirstColumn="0" w:lastRowLastColumn="0"/>
        </w:trPr>
        <w:tc>
          <w:tcPr>
            <w:tcW w:w="14112" w:type="dxa"/>
          </w:tcPr>
          <w:p w:rsidR="00FA069D" w:rsidRPr="00FA069D" w:rsidRDefault="00FA069D" w:rsidP="00FA069D">
            <w:pPr>
              <w:pStyle w:val="Question"/>
              <w:numPr>
                <w:ilvl w:val="0"/>
                <w:numId w:val="16"/>
              </w:numPr>
              <w:rPr>
                <w:rFonts w:ascii="Calibri" w:hAnsi="Calibri"/>
                <w:sz w:val="22"/>
                <w:szCs w:val="22"/>
              </w:rPr>
            </w:pPr>
            <w:bookmarkStart w:id="15" w:name="dcusa_response14"/>
            <w:r w:rsidRPr="0097218A">
              <w:rPr>
                <w:rFonts w:ascii="Calibri" w:hAnsi="Calibri"/>
                <w:sz w:val="22"/>
                <w:szCs w:val="22"/>
              </w:rPr>
              <w:t>With regards to each option, are there any technical or resource constraints that need to be taken into consideration (and is there an associated cost)?</w:t>
            </w:r>
          </w:p>
        </w:tc>
      </w:tr>
      <w:tr w:rsidR="00C74267" w:rsidRPr="0097218A" w:rsidTr="002609FE">
        <w:tc>
          <w:tcPr>
            <w:tcW w:w="14112" w:type="dxa"/>
          </w:tcPr>
          <w:p w:rsidR="00D804A9" w:rsidRDefault="00C74267" w:rsidP="00D804A9">
            <w:pPr>
              <w:pStyle w:val="Question"/>
              <w:numPr>
                <w:ilvl w:val="0"/>
                <w:numId w:val="0"/>
              </w:numPr>
              <w:rPr>
                <w:rFonts w:ascii="Calibri" w:hAnsi="Calibri"/>
                <w:b w:val="0"/>
                <w:sz w:val="22"/>
                <w:szCs w:val="22"/>
              </w:rPr>
            </w:pPr>
            <w:r>
              <w:rPr>
                <w:rFonts w:ascii="Calibri" w:hAnsi="Calibri"/>
                <w:sz w:val="22"/>
                <w:szCs w:val="22"/>
              </w:rPr>
              <w:t xml:space="preserve">Response Summary: </w:t>
            </w:r>
            <w:r w:rsidR="00D804A9" w:rsidRPr="00D804A9">
              <w:rPr>
                <w:rFonts w:ascii="Calibri" w:hAnsi="Calibri"/>
                <w:b w:val="0"/>
                <w:sz w:val="22"/>
                <w:szCs w:val="22"/>
              </w:rPr>
              <w:t xml:space="preserve">In terms of technical or resource constraints that need to be taken into consideration and </w:t>
            </w:r>
            <w:proofErr w:type="spellStart"/>
            <w:r w:rsidR="00D804A9" w:rsidRPr="00D804A9">
              <w:rPr>
                <w:rFonts w:ascii="Calibri" w:hAnsi="Calibri"/>
                <w:b w:val="0"/>
                <w:sz w:val="22"/>
                <w:szCs w:val="22"/>
              </w:rPr>
              <w:t>there</w:t>
            </w:r>
            <w:proofErr w:type="spellEnd"/>
            <w:r w:rsidR="00D804A9" w:rsidRPr="00D804A9">
              <w:rPr>
                <w:rFonts w:ascii="Calibri" w:hAnsi="Calibri"/>
                <w:b w:val="0"/>
                <w:sz w:val="22"/>
                <w:szCs w:val="22"/>
              </w:rPr>
              <w:t xml:space="preserve"> associated costs, the responses suggested the below:</w:t>
            </w:r>
          </w:p>
          <w:p w:rsidR="00D804A9" w:rsidRPr="00D804A9" w:rsidRDefault="00D804A9" w:rsidP="00D804A9">
            <w:pPr>
              <w:pStyle w:val="Question"/>
              <w:numPr>
                <w:ilvl w:val="0"/>
                <w:numId w:val="36"/>
              </w:numPr>
              <w:rPr>
                <w:rFonts w:ascii="Calibri" w:hAnsi="Calibri"/>
                <w:b w:val="0"/>
                <w:sz w:val="22"/>
                <w:szCs w:val="22"/>
              </w:rPr>
            </w:pPr>
            <w:r w:rsidRPr="00D804A9">
              <w:rPr>
                <w:rFonts w:ascii="Calibri" w:hAnsi="Calibri"/>
                <w:b w:val="0"/>
                <w:sz w:val="22"/>
                <w:szCs w:val="22"/>
              </w:rPr>
              <w:t>Option 1 could result in additional work for billing and validation systems and increased dispute, complaints and refunds due to the retrospective element. In addition, two respondents noted the manual effort involved in Option 1.</w:t>
            </w:r>
          </w:p>
          <w:p w:rsidR="00D804A9" w:rsidRPr="00D804A9" w:rsidRDefault="00D804A9" w:rsidP="00D804A9">
            <w:pPr>
              <w:pStyle w:val="Question"/>
              <w:numPr>
                <w:ilvl w:val="0"/>
                <w:numId w:val="36"/>
              </w:numPr>
              <w:rPr>
                <w:rFonts w:ascii="Calibri" w:hAnsi="Calibri"/>
                <w:b w:val="0"/>
                <w:sz w:val="22"/>
                <w:szCs w:val="22"/>
              </w:rPr>
            </w:pPr>
            <w:r w:rsidRPr="00D804A9">
              <w:rPr>
                <w:rFonts w:ascii="Calibri" w:hAnsi="Calibri"/>
                <w:b w:val="0"/>
                <w:sz w:val="22"/>
                <w:szCs w:val="22"/>
              </w:rPr>
              <w:t>Two respondents agreed that Options 2 and 3 would be less resource intensive than Option 1</w:t>
            </w:r>
          </w:p>
          <w:p w:rsidR="00D804A9" w:rsidRPr="00D804A9" w:rsidRDefault="00D804A9" w:rsidP="00D804A9">
            <w:pPr>
              <w:pStyle w:val="Question"/>
              <w:numPr>
                <w:ilvl w:val="0"/>
                <w:numId w:val="36"/>
              </w:numPr>
              <w:rPr>
                <w:rFonts w:ascii="Calibri" w:hAnsi="Calibri"/>
                <w:b w:val="0"/>
                <w:sz w:val="22"/>
                <w:szCs w:val="22"/>
              </w:rPr>
            </w:pPr>
            <w:r w:rsidRPr="00D804A9">
              <w:rPr>
                <w:rFonts w:ascii="Calibri" w:hAnsi="Calibri"/>
                <w:b w:val="0"/>
                <w:sz w:val="22"/>
                <w:szCs w:val="22"/>
              </w:rPr>
              <w:t>Four respondents suggested that Options 2, 3 &amp; 4 would lead to additional internal costs, with another respondent suggesting that these options would require significant changes to their billing system.</w:t>
            </w:r>
          </w:p>
          <w:p w:rsidR="00C74267" w:rsidRPr="00FA069D" w:rsidRDefault="00D804A9" w:rsidP="00FA069D">
            <w:pPr>
              <w:pStyle w:val="Question"/>
              <w:numPr>
                <w:ilvl w:val="0"/>
                <w:numId w:val="36"/>
              </w:numPr>
              <w:rPr>
                <w:rFonts w:ascii="Calibri" w:hAnsi="Calibri"/>
                <w:b w:val="0"/>
                <w:sz w:val="22"/>
                <w:szCs w:val="22"/>
              </w:rPr>
            </w:pPr>
            <w:r w:rsidRPr="00D804A9">
              <w:rPr>
                <w:rFonts w:ascii="Calibri" w:hAnsi="Calibri"/>
                <w:b w:val="0"/>
                <w:sz w:val="22"/>
                <w:szCs w:val="22"/>
              </w:rPr>
              <w:t>One respondent noted that additional costs will be incurred as a result of re-negotiating the MICs and issuing new connection agreements.</w:t>
            </w:r>
          </w:p>
        </w:tc>
      </w:tr>
      <w:bookmarkEnd w:id="15"/>
    </w:tbl>
    <w:p w:rsidR="00916EB7" w:rsidRDefault="00916EB7" w:rsidP="00DF0191">
      <w:pPr>
        <w:rPr>
          <w:rFonts w:ascii="Calibri" w:hAnsi="Calibri"/>
          <w:sz w:val="22"/>
          <w:szCs w:val="22"/>
        </w:rPr>
      </w:pPr>
    </w:p>
    <w:p w:rsidR="00A4467D" w:rsidRDefault="00A4467D" w:rsidP="00DF0191">
      <w:pPr>
        <w:rPr>
          <w:rFonts w:ascii="Calibri" w:hAnsi="Calibri"/>
          <w:sz w:val="22"/>
          <w:szCs w:val="22"/>
        </w:rPr>
      </w:pPr>
    </w:p>
    <w:p w:rsidR="00A4467D" w:rsidRPr="0097218A" w:rsidRDefault="00A4467D"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A144C1" w:rsidRPr="0097218A" w:rsidTr="00EF125A">
        <w:trPr>
          <w:cnfStyle w:val="100000000000" w:firstRow="1" w:lastRow="0" w:firstColumn="0" w:lastColumn="0" w:oddVBand="0" w:evenVBand="0" w:oddHBand="0" w:evenHBand="0" w:firstRowFirstColumn="0" w:firstRowLastColumn="0" w:lastRowFirstColumn="0" w:lastRowLastColumn="0"/>
        </w:trPr>
        <w:tc>
          <w:tcPr>
            <w:tcW w:w="14112" w:type="dxa"/>
          </w:tcPr>
          <w:p w:rsidR="00A144C1" w:rsidRPr="00A144C1" w:rsidRDefault="00A144C1" w:rsidP="00A144C1">
            <w:pPr>
              <w:pStyle w:val="Question"/>
              <w:numPr>
                <w:ilvl w:val="0"/>
                <w:numId w:val="16"/>
              </w:numPr>
              <w:rPr>
                <w:rFonts w:ascii="Calibri" w:hAnsi="Calibri"/>
                <w:sz w:val="22"/>
                <w:szCs w:val="22"/>
              </w:rPr>
            </w:pPr>
            <w:r w:rsidRPr="0097218A">
              <w:rPr>
                <w:rFonts w:ascii="Calibri" w:hAnsi="Calibri"/>
                <w:sz w:val="22"/>
                <w:szCs w:val="22"/>
              </w:rPr>
              <w:lastRenderedPageBreak/>
              <w:t>With regards to each option, are there any other constraints, for instance the need for DNOs to potentially agree connection agreements with a large proportion of the customers affected by P272 that you are concerned about?</w:t>
            </w:r>
          </w:p>
        </w:tc>
      </w:tr>
      <w:tr w:rsidR="00C74267" w:rsidRPr="0097218A" w:rsidTr="002609FE">
        <w:tc>
          <w:tcPr>
            <w:tcW w:w="14112" w:type="dxa"/>
          </w:tcPr>
          <w:p w:rsidR="002F0963" w:rsidRDefault="00C74267" w:rsidP="002F0963">
            <w:pPr>
              <w:rPr>
                <w:rFonts w:ascii="Calibri" w:hAnsi="Calibri"/>
                <w:b/>
                <w:sz w:val="22"/>
                <w:szCs w:val="22"/>
              </w:rPr>
            </w:pPr>
            <w:r w:rsidRPr="002F0963">
              <w:rPr>
                <w:rFonts w:ascii="Calibri" w:hAnsi="Calibri"/>
                <w:b/>
                <w:sz w:val="22"/>
                <w:szCs w:val="22"/>
              </w:rPr>
              <w:t>Response Summary:</w:t>
            </w:r>
            <w:r w:rsidR="002F0963" w:rsidRPr="002F0963">
              <w:rPr>
                <w:rFonts w:ascii="Calibri" w:hAnsi="Calibri"/>
                <w:b/>
                <w:sz w:val="22"/>
                <w:szCs w:val="22"/>
              </w:rPr>
              <w:t xml:space="preserve"> </w:t>
            </w:r>
          </w:p>
          <w:p w:rsidR="002F0963"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One respondent raised concerns regarding Option 1, noting that customers need to be protected from the outset rather than required to enter into an agreement within 12 months.</w:t>
            </w:r>
          </w:p>
          <w:p w:rsidR="002F0963"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One respondent did not agree that a new connection agreement needs to be signed for all P272 customers.</w:t>
            </w:r>
          </w:p>
          <w:p w:rsidR="002F0963"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With regard to Options 2, 3 &amp; 4, one respondent suggested that they did not expect such material impacts on the billing process.</w:t>
            </w:r>
          </w:p>
          <w:p w:rsidR="002F0963"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 xml:space="preserve">One respondent noted that their biggest concern was the potential to cause unnecessary and unjustified confusion amongst customers through excessive complexity. </w:t>
            </w:r>
          </w:p>
          <w:p w:rsidR="00C74267"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One respondent suggested that the change is too simplistic in its understanding of the MIC</w:t>
            </w:r>
          </w:p>
        </w:tc>
      </w:tr>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A144C1" w:rsidRPr="0097218A" w:rsidTr="00095588">
        <w:trPr>
          <w:cnfStyle w:val="100000000000" w:firstRow="1" w:lastRow="0" w:firstColumn="0" w:lastColumn="0" w:oddVBand="0" w:evenVBand="0" w:oddHBand="0" w:evenHBand="0" w:firstRowFirstColumn="0" w:firstRowLastColumn="0" w:lastRowFirstColumn="0" w:lastRowLastColumn="0"/>
        </w:trPr>
        <w:tc>
          <w:tcPr>
            <w:tcW w:w="14112" w:type="dxa"/>
          </w:tcPr>
          <w:p w:rsidR="00A144C1" w:rsidRPr="00A144C1" w:rsidRDefault="00A144C1" w:rsidP="00A144C1">
            <w:pPr>
              <w:pStyle w:val="Question"/>
              <w:numPr>
                <w:ilvl w:val="0"/>
                <w:numId w:val="16"/>
              </w:numPr>
              <w:rPr>
                <w:rFonts w:ascii="Calibri" w:hAnsi="Calibri"/>
                <w:sz w:val="22"/>
                <w:szCs w:val="22"/>
              </w:rPr>
            </w:pPr>
            <w:bookmarkStart w:id="16" w:name="dcusa_response16"/>
            <w:r w:rsidRPr="0097218A">
              <w:rPr>
                <w:rFonts w:ascii="Calibri" w:hAnsi="Calibri"/>
                <w:sz w:val="22"/>
                <w:szCs w:val="22"/>
              </w:rPr>
              <w:t>With regards to each option, do you consider there to be a concern in relation to a customer being able to identify the need to amend their maximum import capacity with DNOs? Please provide supporting reasons.</w:t>
            </w:r>
          </w:p>
        </w:tc>
      </w:tr>
      <w:tr w:rsidR="00C74267" w:rsidRPr="0097218A" w:rsidTr="002609FE">
        <w:tc>
          <w:tcPr>
            <w:tcW w:w="14112" w:type="dxa"/>
          </w:tcPr>
          <w:p w:rsidR="00496C36" w:rsidRDefault="00C74267" w:rsidP="00C74267">
            <w:pPr>
              <w:pStyle w:val="Question"/>
              <w:numPr>
                <w:ilvl w:val="0"/>
                <w:numId w:val="0"/>
              </w:numPr>
              <w:rPr>
                <w:rFonts w:ascii="Calibri" w:hAnsi="Calibri"/>
                <w:sz w:val="22"/>
                <w:szCs w:val="22"/>
              </w:rPr>
            </w:pPr>
            <w:r>
              <w:rPr>
                <w:rFonts w:ascii="Calibri" w:hAnsi="Calibri"/>
                <w:sz w:val="22"/>
                <w:szCs w:val="22"/>
              </w:rPr>
              <w:t>Response Summary</w:t>
            </w:r>
            <w:r w:rsidR="002F0963">
              <w:rPr>
                <w:rFonts w:ascii="Calibri" w:hAnsi="Calibri"/>
                <w:sz w:val="22"/>
                <w:szCs w:val="22"/>
              </w:rPr>
              <w:t xml:space="preserve">: </w:t>
            </w:r>
          </w:p>
          <w:p w:rsidR="00496C36" w:rsidRPr="00496C36" w:rsidRDefault="00496C36" w:rsidP="00496C36">
            <w:pPr>
              <w:pStyle w:val="Question"/>
              <w:numPr>
                <w:ilvl w:val="0"/>
                <w:numId w:val="36"/>
              </w:numPr>
              <w:rPr>
                <w:rFonts w:ascii="Calibri" w:hAnsi="Calibri"/>
                <w:b w:val="0"/>
                <w:sz w:val="22"/>
                <w:szCs w:val="22"/>
              </w:rPr>
            </w:pPr>
            <w:r w:rsidRPr="00496C36">
              <w:rPr>
                <w:rFonts w:ascii="Calibri" w:hAnsi="Calibri"/>
                <w:b w:val="0"/>
                <w:sz w:val="22"/>
                <w:szCs w:val="22"/>
              </w:rPr>
              <w:t xml:space="preserve">One respondent noted the difficulties in engaging with EDCM customers on </w:t>
            </w:r>
            <w:proofErr w:type="spellStart"/>
            <w:r w:rsidRPr="00496C36">
              <w:rPr>
                <w:rFonts w:ascii="Calibri" w:hAnsi="Calibri"/>
                <w:b w:val="0"/>
                <w:sz w:val="22"/>
                <w:szCs w:val="22"/>
              </w:rPr>
              <w:t>DUoS</w:t>
            </w:r>
            <w:proofErr w:type="spellEnd"/>
            <w:r w:rsidRPr="00496C36">
              <w:rPr>
                <w:rFonts w:ascii="Calibri" w:hAnsi="Calibri"/>
                <w:b w:val="0"/>
                <w:sz w:val="22"/>
                <w:szCs w:val="22"/>
              </w:rPr>
              <w:t xml:space="preserve"> related matters, with six respondents noting the difficulties with customer understanding the concept of MIC.</w:t>
            </w:r>
          </w:p>
          <w:p w:rsidR="00496C36" w:rsidRPr="00496C36" w:rsidRDefault="00496C36" w:rsidP="00496C36">
            <w:pPr>
              <w:pStyle w:val="Question"/>
              <w:numPr>
                <w:ilvl w:val="0"/>
                <w:numId w:val="36"/>
              </w:numPr>
              <w:rPr>
                <w:rFonts w:ascii="Calibri" w:hAnsi="Calibri"/>
                <w:b w:val="0"/>
                <w:sz w:val="22"/>
                <w:szCs w:val="22"/>
              </w:rPr>
            </w:pPr>
            <w:r w:rsidRPr="00496C36">
              <w:rPr>
                <w:rFonts w:ascii="Calibri" w:hAnsi="Calibri"/>
                <w:b w:val="0"/>
                <w:sz w:val="22"/>
                <w:szCs w:val="22"/>
              </w:rPr>
              <w:t>One respondent suggested that there was not a concern with regard to Option 1 due to all customers having received an initial letter.</w:t>
            </w:r>
          </w:p>
          <w:p w:rsidR="00496C36" w:rsidRPr="00496C36" w:rsidRDefault="00496C36" w:rsidP="00496C36">
            <w:pPr>
              <w:pStyle w:val="Question"/>
              <w:numPr>
                <w:ilvl w:val="0"/>
                <w:numId w:val="36"/>
              </w:numPr>
              <w:rPr>
                <w:rFonts w:ascii="Calibri" w:hAnsi="Calibri"/>
                <w:b w:val="0"/>
                <w:sz w:val="22"/>
                <w:szCs w:val="22"/>
              </w:rPr>
            </w:pPr>
            <w:r w:rsidRPr="00496C36">
              <w:rPr>
                <w:rFonts w:ascii="Calibri" w:hAnsi="Calibri"/>
                <w:b w:val="0"/>
                <w:sz w:val="22"/>
                <w:szCs w:val="22"/>
              </w:rPr>
              <w:t xml:space="preserve">One respondent suggested mitigating the concern via continuous communications with the affected customers. </w:t>
            </w:r>
          </w:p>
          <w:p w:rsidR="00C74267" w:rsidRPr="00A144C1" w:rsidRDefault="00496C36" w:rsidP="00A144C1">
            <w:pPr>
              <w:pStyle w:val="Question"/>
              <w:numPr>
                <w:ilvl w:val="0"/>
                <w:numId w:val="36"/>
              </w:numPr>
              <w:rPr>
                <w:rFonts w:ascii="Calibri" w:hAnsi="Calibri"/>
                <w:b w:val="0"/>
                <w:sz w:val="22"/>
                <w:szCs w:val="22"/>
              </w:rPr>
            </w:pPr>
            <w:r w:rsidRPr="00496C36">
              <w:rPr>
                <w:rFonts w:ascii="Calibri" w:hAnsi="Calibri"/>
                <w:b w:val="0"/>
                <w:sz w:val="22"/>
                <w:szCs w:val="22"/>
              </w:rPr>
              <w:t>Two respondents suggested that if it is not provided, Suppliers should offer guidance to their end customers on the ability to renegotiate the agreed MIC.</w:t>
            </w:r>
          </w:p>
        </w:tc>
      </w:tr>
      <w:bookmarkEnd w:id="16"/>
    </w:tbl>
    <w:p w:rsidR="00916EB7" w:rsidRDefault="00916EB7" w:rsidP="00DF0191">
      <w:pPr>
        <w:rPr>
          <w:rFonts w:ascii="Calibri" w:hAnsi="Calibri"/>
          <w:sz w:val="22"/>
          <w:szCs w:val="22"/>
        </w:rPr>
      </w:pPr>
    </w:p>
    <w:p w:rsidR="00A144C1" w:rsidRDefault="00A144C1" w:rsidP="00DF0191">
      <w:pPr>
        <w:rPr>
          <w:rFonts w:ascii="Calibri" w:hAnsi="Calibri"/>
          <w:sz w:val="22"/>
          <w:szCs w:val="22"/>
        </w:rPr>
      </w:pPr>
    </w:p>
    <w:p w:rsidR="00A144C1" w:rsidRDefault="00A144C1" w:rsidP="00DF0191">
      <w:pPr>
        <w:rPr>
          <w:rFonts w:ascii="Calibri" w:hAnsi="Calibri"/>
          <w:sz w:val="22"/>
          <w:szCs w:val="22"/>
        </w:rPr>
      </w:pPr>
    </w:p>
    <w:p w:rsidR="00A144C1" w:rsidRDefault="00A144C1" w:rsidP="00DF0191">
      <w:pPr>
        <w:rPr>
          <w:rFonts w:ascii="Calibri" w:hAnsi="Calibri"/>
          <w:sz w:val="22"/>
          <w:szCs w:val="22"/>
        </w:rPr>
      </w:pPr>
    </w:p>
    <w:p w:rsidR="00A144C1" w:rsidRDefault="00A144C1" w:rsidP="00DF0191">
      <w:pPr>
        <w:rPr>
          <w:rFonts w:ascii="Calibri" w:hAnsi="Calibri"/>
          <w:sz w:val="22"/>
          <w:szCs w:val="22"/>
        </w:rPr>
      </w:pPr>
    </w:p>
    <w:p w:rsidR="00A144C1" w:rsidRDefault="00A144C1" w:rsidP="00DF0191">
      <w:pPr>
        <w:rPr>
          <w:rFonts w:ascii="Calibri" w:hAnsi="Calibri"/>
          <w:sz w:val="22"/>
          <w:szCs w:val="22"/>
        </w:rPr>
      </w:pPr>
    </w:p>
    <w:p w:rsidR="00A144C1" w:rsidRPr="0097218A" w:rsidRDefault="00A144C1"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A144C1" w:rsidRPr="0097218A" w:rsidTr="005B6212">
        <w:trPr>
          <w:cnfStyle w:val="100000000000" w:firstRow="1" w:lastRow="0" w:firstColumn="0" w:lastColumn="0" w:oddVBand="0" w:evenVBand="0" w:oddHBand="0" w:evenHBand="0" w:firstRowFirstColumn="0" w:firstRowLastColumn="0" w:lastRowFirstColumn="0" w:lastRowLastColumn="0"/>
        </w:trPr>
        <w:tc>
          <w:tcPr>
            <w:tcW w:w="14112" w:type="dxa"/>
          </w:tcPr>
          <w:p w:rsidR="00A144C1" w:rsidRPr="00293171" w:rsidRDefault="00A144C1" w:rsidP="00293171">
            <w:pPr>
              <w:pStyle w:val="Question"/>
              <w:numPr>
                <w:ilvl w:val="0"/>
                <w:numId w:val="16"/>
              </w:numPr>
              <w:rPr>
                <w:rFonts w:ascii="Calibri" w:hAnsi="Calibri"/>
                <w:sz w:val="22"/>
                <w:szCs w:val="22"/>
              </w:rPr>
            </w:pPr>
            <w:bookmarkStart w:id="17" w:name="dcusa_response17"/>
            <w:r w:rsidRPr="0097218A">
              <w:rPr>
                <w:rFonts w:ascii="Calibri" w:hAnsi="Calibri"/>
                <w:sz w:val="22"/>
                <w:szCs w:val="22"/>
              </w:rPr>
              <w:lastRenderedPageBreak/>
              <w:t>With regards to Option 1, do you believe that there should be a materiality threshold such that there will not be a credit rebill if it is less than a certain value?</w:t>
            </w:r>
          </w:p>
        </w:tc>
      </w:tr>
      <w:tr w:rsidR="00C74267" w:rsidRPr="0097218A" w:rsidTr="002609FE">
        <w:tc>
          <w:tcPr>
            <w:tcW w:w="14112" w:type="dxa"/>
          </w:tcPr>
          <w:p w:rsidR="00C74267" w:rsidRDefault="00C74267" w:rsidP="00C74267">
            <w:pPr>
              <w:pStyle w:val="Question"/>
              <w:numPr>
                <w:ilvl w:val="0"/>
                <w:numId w:val="0"/>
              </w:numPr>
              <w:rPr>
                <w:rFonts w:ascii="Calibri" w:hAnsi="Calibri"/>
                <w:sz w:val="22"/>
                <w:szCs w:val="22"/>
              </w:rPr>
            </w:pPr>
            <w:r>
              <w:rPr>
                <w:rFonts w:ascii="Calibri" w:hAnsi="Calibri"/>
                <w:sz w:val="22"/>
                <w:szCs w:val="22"/>
              </w:rPr>
              <w:t>Response Summary:</w:t>
            </w:r>
          </w:p>
          <w:p w:rsidR="00CC1F79" w:rsidRPr="00CC1F79" w:rsidRDefault="00CC1F79" w:rsidP="00CC1F79">
            <w:pPr>
              <w:pStyle w:val="BodyText"/>
              <w:numPr>
                <w:ilvl w:val="0"/>
                <w:numId w:val="36"/>
              </w:numPr>
              <w:rPr>
                <w:rFonts w:ascii="Calibri" w:hAnsi="Calibri"/>
                <w:sz w:val="22"/>
              </w:rPr>
            </w:pPr>
            <w:r w:rsidRPr="00CC1F79">
              <w:rPr>
                <w:rFonts w:ascii="Calibri" w:hAnsi="Calibri"/>
                <w:sz w:val="22"/>
              </w:rPr>
              <w:t>Six respondents agreed that there should be a materiality threshold with regard to Option 1.</w:t>
            </w:r>
          </w:p>
          <w:p w:rsidR="00CC1F79" w:rsidRPr="00CC1F79" w:rsidRDefault="00CC1F79" w:rsidP="00CC1F79">
            <w:pPr>
              <w:pStyle w:val="BodyText"/>
              <w:numPr>
                <w:ilvl w:val="0"/>
                <w:numId w:val="36"/>
              </w:numPr>
              <w:rPr>
                <w:rFonts w:ascii="Calibri" w:hAnsi="Calibri"/>
                <w:sz w:val="22"/>
              </w:rPr>
            </w:pPr>
            <w:r w:rsidRPr="00CC1F79">
              <w:rPr>
                <w:rFonts w:ascii="Calibri" w:hAnsi="Calibri"/>
                <w:sz w:val="22"/>
              </w:rPr>
              <w:t>Five respondents did not agree that there should be a materiality threshold with regard to Option 1.</w:t>
            </w:r>
          </w:p>
          <w:p w:rsidR="00CC1F79" w:rsidRPr="00CC1F79" w:rsidRDefault="00CC1F79" w:rsidP="00CC1F79">
            <w:pPr>
              <w:pStyle w:val="BodyText"/>
              <w:numPr>
                <w:ilvl w:val="0"/>
                <w:numId w:val="36"/>
              </w:numPr>
              <w:rPr>
                <w:rFonts w:ascii="Calibri" w:hAnsi="Calibri"/>
                <w:sz w:val="22"/>
              </w:rPr>
            </w:pPr>
            <w:r w:rsidRPr="00CC1F79">
              <w:rPr>
                <w:rFonts w:ascii="Calibri" w:hAnsi="Calibri"/>
                <w:sz w:val="22"/>
              </w:rPr>
              <w:t>Two respondents suggested that there should be a minimum retrospective adjustment threshold which should quality for re-billing based on kVA.</w:t>
            </w:r>
          </w:p>
          <w:p w:rsidR="00CC1F79" w:rsidRPr="00CC1F79" w:rsidRDefault="00CC1F79" w:rsidP="00CC1F79">
            <w:pPr>
              <w:pStyle w:val="BodyText"/>
              <w:numPr>
                <w:ilvl w:val="0"/>
                <w:numId w:val="36"/>
              </w:numPr>
            </w:pPr>
            <w:r w:rsidRPr="00CC1F79">
              <w:rPr>
                <w:rFonts w:ascii="Calibri" w:hAnsi="Calibri"/>
                <w:sz w:val="22"/>
              </w:rPr>
              <w:t xml:space="preserve">One respondent noted that there already </w:t>
            </w:r>
            <w:proofErr w:type="gramStart"/>
            <w:r w:rsidRPr="00CC1F79">
              <w:rPr>
                <w:rFonts w:ascii="Calibri" w:hAnsi="Calibri"/>
                <w:sz w:val="22"/>
              </w:rPr>
              <w:t>have a materiality threshold</w:t>
            </w:r>
            <w:proofErr w:type="gramEnd"/>
            <w:r w:rsidRPr="00CC1F79">
              <w:rPr>
                <w:rFonts w:ascii="Calibri" w:hAnsi="Calibri"/>
                <w:sz w:val="22"/>
              </w:rPr>
              <w:t xml:space="preserve"> in place which they would not want to change for P272 MPANs.</w:t>
            </w:r>
          </w:p>
        </w:tc>
      </w:tr>
      <w:bookmarkEnd w:id="17"/>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293171" w:rsidRPr="0097218A" w:rsidTr="00C33529">
        <w:trPr>
          <w:cnfStyle w:val="100000000000" w:firstRow="1" w:lastRow="0" w:firstColumn="0" w:lastColumn="0" w:oddVBand="0" w:evenVBand="0" w:oddHBand="0" w:evenHBand="0" w:firstRowFirstColumn="0" w:firstRowLastColumn="0" w:lastRowFirstColumn="0" w:lastRowLastColumn="0"/>
        </w:trPr>
        <w:tc>
          <w:tcPr>
            <w:tcW w:w="14112" w:type="dxa"/>
          </w:tcPr>
          <w:p w:rsidR="00293171" w:rsidRPr="00293171" w:rsidRDefault="00293171" w:rsidP="00293171">
            <w:pPr>
              <w:pStyle w:val="Question"/>
              <w:numPr>
                <w:ilvl w:val="0"/>
                <w:numId w:val="16"/>
              </w:numPr>
              <w:rPr>
                <w:rFonts w:ascii="Calibri" w:hAnsi="Calibri"/>
                <w:sz w:val="22"/>
                <w:szCs w:val="22"/>
              </w:rPr>
            </w:pPr>
            <w:bookmarkStart w:id="18" w:name="dcusa_response18"/>
            <w:r w:rsidRPr="0097218A">
              <w:rPr>
                <w:rFonts w:ascii="Calibri" w:hAnsi="Calibri"/>
                <w:sz w:val="22"/>
                <w:szCs w:val="22"/>
              </w:rPr>
              <w:t>With regards to Option 1, if there were to be a materiality threshold, what do you believe it should be set at?</w:t>
            </w:r>
          </w:p>
        </w:tc>
      </w:tr>
      <w:tr w:rsidR="00C74267" w:rsidRPr="0097218A" w:rsidTr="002609FE">
        <w:tc>
          <w:tcPr>
            <w:tcW w:w="14112" w:type="dxa"/>
          </w:tcPr>
          <w:p w:rsidR="00CC1F79" w:rsidRPr="00293171" w:rsidRDefault="00C74267" w:rsidP="00293171">
            <w:pPr>
              <w:pStyle w:val="Question"/>
              <w:numPr>
                <w:ilvl w:val="0"/>
                <w:numId w:val="0"/>
              </w:numPr>
              <w:rPr>
                <w:rFonts w:ascii="Calibri" w:hAnsi="Calibri"/>
                <w:sz w:val="22"/>
                <w:szCs w:val="22"/>
              </w:rPr>
            </w:pPr>
            <w:r>
              <w:rPr>
                <w:rFonts w:ascii="Calibri" w:hAnsi="Calibri"/>
                <w:sz w:val="22"/>
                <w:szCs w:val="22"/>
              </w:rPr>
              <w:t>Response Summary</w:t>
            </w:r>
            <w:r w:rsidR="00CC1F79">
              <w:rPr>
                <w:rFonts w:ascii="Calibri" w:hAnsi="Calibri"/>
                <w:sz w:val="22"/>
                <w:szCs w:val="22"/>
              </w:rPr>
              <w:t xml:space="preserve">: </w:t>
            </w:r>
            <w:r w:rsidR="00CC1F79" w:rsidRPr="00CC1F79">
              <w:rPr>
                <w:rFonts w:ascii="Calibri" w:hAnsi="Calibri"/>
                <w:b w:val="0"/>
                <w:sz w:val="22"/>
                <w:szCs w:val="22"/>
              </w:rPr>
              <w:t>The b</w:t>
            </w:r>
            <w:r w:rsidR="00CC1F79">
              <w:rPr>
                <w:rFonts w:ascii="Calibri" w:hAnsi="Calibri"/>
                <w:b w:val="0"/>
                <w:sz w:val="22"/>
                <w:szCs w:val="22"/>
              </w:rPr>
              <w:t>elow suggestions were received for materiality thresholds</w:t>
            </w:r>
          </w:p>
          <w:p w:rsidR="00CC1F79" w:rsidRPr="00CC1F79" w:rsidRDefault="00CC1F79" w:rsidP="00CC1F79">
            <w:pPr>
              <w:pStyle w:val="BodyText"/>
              <w:numPr>
                <w:ilvl w:val="0"/>
                <w:numId w:val="36"/>
              </w:numPr>
              <w:rPr>
                <w:rFonts w:ascii="Calibri" w:hAnsi="Calibri"/>
              </w:rPr>
            </w:pPr>
            <w:r>
              <w:rPr>
                <w:rFonts w:ascii="Calibri" w:hAnsi="Calibri"/>
                <w:sz w:val="22"/>
              </w:rPr>
              <w:t>+/- £5</w:t>
            </w:r>
          </w:p>
          <w:p w:rsidR="00CC1F79" w:rsidRPr="00CC1F79" w:rsidRDefault="00CC1F79" w:rsidP="00CC1F79">
            <w:pPr>
              <w:pStyle w:val="BodyText"/>
              <w:numPr>
                <w:ilvl w:val="0"/>
                <w:numId w:val="36"/>
              </w:numPr>
              <w:rPr>
                <w:rFonts w:ascii="Calibri" w:hAnsi="Calibri"/>
              </w:rPr>
            </w:pPr>
            <w:r>
              <w:rPr>
                <w:rFonts w:ascii="Calibri" w:hAnsi="Calibri"/>
              </w:rPr>
              <w:t>£10 – with any smaller amounts being donated to charity</w:t>
            </w:r>
          </w:p>
          <w:p w:rsidR="00CC1F79" w:rsidRPr="00CC1F79" w:rsidRDefault="00CC1F79" w:rsidP="00CC1F79">
            <w:pPr>
              <w:pStyle w:val="BodyText"/>
              <w:numPr>
                <w:ilvl w:val="0"/>
                <w:numId w:val="36"/>
              </w:numPr>
              <w:rPr>
                <w:rFonts w:ascii="Calibri" w:hAnsi="Calibri"/>
              </w:rPr>
            </w:pPr>
            <w:r w:rsidRPr="00CC1F79">
              <w:rPr>
                <w:rFonts w:ascii="Calibri" w:hAnsi="Calibri"/>
                <w:sz w:val="22"/>
              </w:rPr>
              <w:t>£20/month</w:t>
            </w:r>
          </w:p>
          <w:p w:rsidR="00CC1F79" w:rsidRPr="00CC1F79" w:rsidRDefault="00CC1F79" w:rsidP="00CC1F79">
            <w:pPr>
              <w:pStyle w:val="BodyText"/>
              <w:numPr>
                <w:ilvl w:val="0"/>
                <w:numId w:val="36"/>
              </w:numPr>
              <w:rPr>
                <w:rFonts w:ascii="Calibri" w:hAnsi="Calibri"/>
              </w:rPr>
            </w:pPr>
            <w:r>
              <w:rPr>
                <w:rFonts w:ascii="Calibri" w:hAnsi="Calibri"/>
                <w:sz w:val="22"/>
              </w:rPr>
              <w:t>£75</w:t>
            </w:r>
          </w:p>
          <w:p w:rsidR="00CC1F79" w:rsidRPr="00CC1F79" w:rsidRDefault="00CC1F79" w:rsidP="00CC1F79">
            <w:pPr>
              <w:pStyle w:val="BodyText"/>
              <w:numPr>
                <w:ilvl w:val="0"/>
                <w:numId w:val="36"/>
              </w:numPr>
              <w:rPr>
                <w:rFonts w:ascii="Calibri" w:hAnsi="Calibri"/>
              </w:rPr>
            </w:pPr>
            <w:r>
              <w:rPr>
                <w:rFonts w:ascii="Calibri" w:hAnsi="Calibri"/>
              </w:rPr>
              <w:t>£100/MPAN</w:t>
            </w:r>
          </w:p>
          <w:p w:rsidR="00CC1F79" w:rsidRPr="00CC1F79" w:rsidRDefault="00CC1F79" w:rsidP="00CC1F79">
            <w:pPr>
              <w:pStyle w:val="BodyText"/>
              <w:numPr>
                <w:ilvl w:val="0"/>
                <w:numId w:val="36"/>
              </w:numPr>
              <w:rPr>
                <w:rFonts w:ascii="Calibri" w:hAnsi="Calibri"/>
              </w:rPr>
            </w:pPr>
            <w:r>
              <w:rPr>
                <w:rFonts w:ascii="Calibri" w:hAnsi="Calibri"/>
                <w:sz w:val="22"/>
              </w:rPr>
              <w:t>10 kVA</w:t>
            </w:r>
          </w:p>
          <w:p w:rsidR="00CC1F79" w:rsidRPr="00CC1F79" w:rsidRDefault="00CC1F79" w:rsidP="00CC1F79">
            <w:pPr>
              <w:pStyle w:val="BodyText"/>
              <w:numPr>
                <w:ilvl w:val="0"/>
                <w:numId w:val="36"/>
              </w:numPr>
              <w:rPr>
                <w:rFonts w:ascii="Calibri" w:hAnsi="Calibri"/>
              </w:rPr>
            </w:pPr>
            <w:r>
              <w:rPr>
                <w:rFonts w:ascii="Calibri" w:hAnsi="Calibri"/>
                <w:sz w:val="22"/>
              </w:rPr>
              <w:t>11 kVA</w:t>
            </w:r>
          </w:p>
        </w:tc>
      </w:tr>
      <w:bookmarkEnd w:id="18"/>
    </w:tbl>
    <w:p w:rsidR="00916EB7" w:rsidRDefault="00916EB7" w:rsidP="00DF0191">
      <w:pPr>
        <w:rPr>
          <w:rFonts w:ascii="Calibri" w:hAnsi="Calibri"/>
          <w:sz w:val="22"/>
          <w:szCs w:val="22"/>
        </w:rPr>
      </w:pPr>
    </w:p>
    <w:p w:rsidR="00CC1F79" w:rsidRDefault="00CC1F79" w:rsidP="00DF0191">
      <w:pPr>
        <w:rPr>
          <w:rFonts w:ascii="Calibri" w:hAnsi="Calibri"/>
          <w:sz w:val="22"/>
          <w:szCs w:val="22"/>
        </w:rPr>
      </w:pPr>
    </w:p>
    <w:p w:rsidR="00CC1F79" w:rsidRDefault="00CC1F79" w:rsidP="00DF0191">
      <w:pPr>
        <w:rPr>
          <w:rFonts w:ascii="Calibri" w:hAnsi="Calibri"/>
          <w:sz w:val="22"/>
          <w:szCs w:val="22"/>
        </w:rPr>
      </w:pPr>
    </w:p>
    <w:p w:rsidR="00CC1F79" w:rsidRDefault="00CC1F79" w:rsidP="00DF0191">
      <w:pPr>
        <w:rPr>
          <w:rFonts w:ascii="Calibri" w:hAnsi="Calibri"/>
          <w:sz w:val="22"/>
          <w:szCs w:val="22"/>
        </w:rPr>
      </w:pPr>
    </w:p>
    <w:p w:rsidR="00CC1F79" w:rsidRDefault="00CC1F79" w:rsidP="00DF0191">
      <w:pPr>
        <w:rPr>
          <w:rFonts w:ascii="Calibri" w:hAnsi="Calibri"/>
          <w:sz w:val="22"/>
          <w:szCs w:val="22"/>
        </w:rPr>
      </w:pPr>
    </w:p>
    <w:p w:rsidR="00CC1F79" w:rsidRPr="0097218A" w:rsidRDefault="00CC1F79" w:rsidP="00DF0191">
      <w:pPr>
        <w:rPr>
          <w:rFonts w:ascii="Calibri" w:hAnsi="Calibri"/>
          <w:sz w:val="22"/>
          <w:szCs w:val="22"/>
        </w:rPr>
      </w:pPr>
    </w:p>
    <w:tbl>
      <w:tblPr>
        <w:tblStyle w:val="ElectralinkResponseTable"/>
        <w:tblW w:w="0" w:type="auto"/>
        <w:tblInd w:w="108" w:type="dxa"/>
        <w:tblLayout w:type="fixed"/>
        <w:tblLook w:val="04A0" w:firstRow="1" w:lastRow="0" w:firstColumn="1" w:lastColumn="0" w:noHBand="0" w:noVBand="1"/>
      </w:tblPr>
      <w:tblGrid>
        <w:gridCol w:w="14112"/>
      </w:tblGrid>
      <w:tr w:rsidR="00293171" w:rsidRPr="0097218A" w:rsidTr="009C5B45">
        <w:trPr>
          <w:cnfStyle w:val="100000000000" w:firstRow="1" w:lastRow="0" w:firstColumn="0" w:lastColumn="0" w:oddVBand="0" w:evenVBand="0" w:oddHBand="0" w:evenHBand="0" w:firstRowFirstColumn="0" w:firstRowLastColumn="0" w:lastRowFirstColumn="0" w:lastRowLastColumn="0"/>
        </w:trPr>
        <w:tc>
          <w:tcPr>
            <w:tcW w:w="14112" w:type="dxa"/>
          </w:tcPr>
          <w:p w:rsidR="00293171" w:rsidRPr="00293171" w:rsidRDefault="00293171" w:rsidP="00293171">
            <w:pPr>
              <w:pStyle w:val="Question"/>
              <w:numPr>
                <w:ilvl w:val="0"/>
                <w:numId w:val="16"/>
              </w:numPr>
              <w:rPr>
                <w:rFonts w:ascii="Calibri" w:hAnsi="Calibri"/>
                <w:sz w:val="22"/>
                <w:szCs w:val="22"/>
              </w:rPr>
            </w:pPr>
            <w:r w:rsidRPr="0097218A">
              <w:rPr>
                <w:rFonts w:ascii="Calibri" w:hAnsi="Calibri"/>
                <w:sz w:val="22"/>
                <w:szCs w:val="22"/>
              </w:rPr>
              <w:t>Are there any alternative solutions or matters that should be considered by the Working Group? </w:t>
            </w:r>
          </w:p>
        </w:tc>
      </w:tr>
      <w:tr w:rsidR="00C74267" w:rsidRPr="0097218A" w:rsidTr="002609FE">
        <w:tc>
          <w:tcPr>
            <w:tcW w:w="14112" w:type="dxa"/>
          </w:tcPr>
          <w:p w:rsidR="00C74267" w:rsidRDefault="00C74267" w:rsidP="00C74267">
            <w:pPr>
              <w:pStyle w:val="Question"/>
              <w:numPr>
                <w:ilvl w:val="0"/>
                <w:numId w:val="0"/>
              </w:numPr>
              <w:ind w:left="567" w:hanging="567"/>
              <w:rPr>
                <w:rFonts w:ascii="Calibri" w:hAnsi="Calibri"/>
                <w:sz w:val="22"/>
                <w:szCs w:val="22"/>
              </w:rPr>
            </w:pPr>
            <w:r>
              <w:rPr>
                <w:rFonts w:ascii="Calibri" w:hAnsi="Calibri"/>
                <w:sz w:val="22"/>
                <w:szCs w:val="22"/>
              </w:rPr>
              <w:t>Response Summary:</w:t>
            </w:r>
          </w:p>
          <w:p w:rsidR="00CC1F79" w:rsidRPr="00CC1F79" w:rsidRDefault="00CC1F79" w:rsidP="00CC1F79">
            <w:pPr>
              <w:pStyle w:val="BodyText"/>
              <w:numPr>
                <w:ilvl w:val="0"/>
                <w:numId w:val="36"/>
              </w:numPr>
              <w:rPr>
                <w:rFonts w:ascii="Calibri" w:hAnsi="Calibri"/>
              </w:rPr>
            </w:pPr>
            <w:r>
              <w:rPr>
                <w:rFonts w:ascii="Calibri" w:hAnsi="Calibri"/>
                <w:sz w:val="22"/>
              </w:rPr>
              <w:t>Three</w:t>
            </w:r>
            <w:r w:rsidRPr="00CC1F79">
              <w:rPr>
                <w:rFonts w:ascii="Calibri" w:hAnsi="Calibri"/>
                <w:sz w:val="22"/>
              </w:rPr>
              <w:t xml:space="preserve"> res</w:t>
            </w:r>
            <w:r>
              <w:rPr>
                <w:rFonts w:ascii="Calibri" w:hAnsi="Calibri"/>
                <w:sz w:val="22"/>
              </w:rPr>
              <w:t>pondents did not have any alternative solutions or matters that should be considered by the Working Group.</w:t>
            </w:r>
          </w:p>
          <w:p w:rsidR="00CC1F79" w:rsidRDefault="00CC1F79" w:rsidP="00CC1F79">
            <w:pPr>
              <w:pStyle w:val="BodyText"/>
              <w:numPr>
                <w:ilvl w:val="0"/>
                <w:numId w:val="36"/>
              </w:numPr>
              <w:rPr>
                <w:rFonts w:ascii="Calibri" w:hAnsi="Calibri"/>
              </w:rPr>
            </w:pPr>
            <w:r>
              <w:rPr>
                <w:rFonts w:ascii="Calibri" w:hAnsi="Calibri"/>
              </w:rPr>
              <w:t>One respondent queried whether the change intends to apply to DNOs only and not to IDNOs.</w:t>
            </w:r>
          </w:p>
          <w:p w:rsidR="00486BAB" w:rsidRPr="00CC1F79" w:rsidRDefault="00486BAB" w:rsidP="00CC1F79">
            <w:pPr>
              <w:pStyle w:val="BodyText"/>
              <w:numPr>
                <w:ilvl w:val="0"/>
                <w:numId w:val="36"/>
              </w:numPr>
              <w:rPr>
                <w:rFonts w:ascii="Calibri" w:hAnsi="Calibri"/>
              </w:rPr>
            </w:pPr>
            <w:r>
              <w:rPr>
                <w:rFonts w:ascii="Calibri" w:hAnsi="Calibri"/>
              </w:rPr>
              <w:t>Five respondents provided comments for the Working Group to consider.</w:t>
            </w:r>
          </w:p>
        </w:tc>
      </w:tr>
    </w:tbl>
    <w:p w:rsidR="00CD1596" w:rsidRPr="0097218A" w:rsidRDefault="00CD1596" w:rsidP="00DF0191">
      <w:pPr>
        <w:rPr>
          <w:rFonts w:ascii="Calibri" w:hAnsi="Calibri"/>
          <w:sz w:val="22"/>
          <w:szCs w:val="22"/>
        </w:rPr>
      </w:pPr>
    </w:p>
    <w:sectPr w:rsidR="00CD1596" w:rsidRPr="0097218A" w:rsidSect="00802E3D">
      <w:headerReference w:type="default" r:id="rId9"/>
      <w:footerReference w:type="default" r:id="rId10"/>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419" w:rsidRDefault="00B54419" w:rsidP="00802E3D">
      <w:r>
        <w:separator/>
      </w:r>
    </w:p>
  </w:endnote>
  <w:endnote w:type="continuationSeparator" w:id="0">
    <w:p w:rsidR="00B54419" w:rsidRDefault="00B54419"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419" w:rsidRDefault="00B54419" w:rsidP="00802E3D">
    <w:pPr>
      <w:pStyle w:val="Footer"/>
    </w:pPr>
    <w:r>
      <w:t>1</w:t>
    </w:r>
    <w:r w:rsidR="001C6432">
      <w:t>8</w:t>
    </w:r>
    <w:r>
      <w:t xml:space="preserve"> December 2015</w:t>
    </w:r>
    <w:r>
      <w:tab/>
      <w:t xml:space="preserve">Page </w:t>
    </w:r>
    <w:r>
      <w:fldChar w:fldCharType="begin"/>
    </w:r>
    <w:r>
      <w:instrText xml:space="preserve"> page </w:instrText>
    </w:r>
    <w:r>
      <w:fldChar w:fldCharType="separate"/>
    </w:r>
    <w:r w:rsidR="00293171">
      <w:rPr>
        <w:noProof/>
      </w:rPr>
      <w:t>1</w:t>
    </w:r>
    <w:r>
      <w:fldChar w:fldCharType="end"/>
    </w:r>
    <w:r>
      <w:t xml:space="preserve"> of </w:t>
    </w:r>
    <w:r>
      <w:fldChar w:fldCharType="begin"/>
    </w:r>
    <w:r>
      <w:instrText xml:space="preserve"> numpages </w:instrText>
    </w:r>
    <w:r>
      <w:fldChar w:fldCharType="separate"/>
    </w:r>
    <w:r w:rsidR="00293171">
      <w:rPr>
        <w:noProof/>
      </w:rPr>
      <w:t>9</w:t>
    </w:r>
    <w:r>
      <w:fldChar w:fldCharType="end"/>
    </w:r>
    <w: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419" w:rsidRDefault="00B54419" w:rsidP="00802E3D">
      <w:r>
        <w:separator/>
      </w:r>
    </w:p>
  </w:footnote>
  <w:footnote w:type="continuationSeparator" w:id="0">
    <w:p w:rsidR="00B54419" w:rsidRDefault="00B54419" w:rsidP="00802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419" w:rsidRDefault="00B54419">
    <w:pPr>
      <w:pStyle w:val="Header"/>
    </w:pPr>
    <w:r>
      <w:t>DCUSA Consultation</w:t>
    </w:r>
    <w:r>
      <w:tab/>
      <w:t>DCP248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D3730F7"/>
    <w:multiLevelType w:val="hybridMultilevel"/>
    <w:tmpl w:val="6D9A3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1085820"/>
    <w:multiLevelType w:val="hybridMultilevel"/>
    <w:tmpl w:val="569C247A"/>
    <w:lvl w:ilvl="0" w:tplc="0C7EC43A">
      <w:start w:val="1"/>
      <w:numFmt w:val="lowerRoman"/>
      <w:lvlText w:val="(%1)"/>
      <w:lvlJc w:val="left"/>
      <w:pPr>
        <w:ind w:left="1440" w:hanging="720"/>
      </w:pPr>
      <w:rPr>
        <w:rFonts w:hint="default"/>
        <w:color w:val="FF0000"/>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B005717"/>
    <w:multiLevelType w:val="hybridMultilevel"/>
    <w:tmpl w:val="97F078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4EF356C"/>
    <w:multiLevelType w:val="hybridMultilevel"/>
    <w:tmpl w:val="78A27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7484E77"/>
    <w:multiLevelType w:val="hybridMultilevel"/>
    <w:tmpl w:val="C8A28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CAA6B55"/>
    <w:multiLevelType w:val="hybridMultilevel"/>
    <w:tmpl w:val="AE382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DC36779"/>
    <w:multiLevelType w:val="hybridMultilevel"/>
    <w:tmpl w:val="92487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1262E12"/>
    <w:multiLevelType w:val="hybridMultilevel"/>
    <w:tmpl w:val="7556E54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5814E73"/>
    <w:multiLevelType w:val="hybridMultilevel"/>
    <w:tmpl w:val="BDA87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6B58D1"/>
    <w:multiLevelType w:val="hybridMultilevel"/>
    <w:tmpl w:val="288A8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6C14631"/>
    <w:multiLevelType w:val="hybridMultilevel"/>
    <w:tmpl w:val="33CC7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B9C50C4"/>
    <w:multiLevelType w:val="hybridMultilevel"/>
    <w:tmpl w:val="612C6B74"/>
    <w:lvl w:ilvl="0" w:tplc="7AC20B7E">
      <w:start w:val="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E4A2364"/>
    <w:multiLevelType w:val="hybridMultilevel"/>
    <w:tmpl w:val="EFECDD4E"/>
    <w:lvl w:ilvl="0" w:tplc="0809000F">
      <w:start w:val="1"/>
      <w:numFmt w:val="decimal"/>
      <w:lvlText w:val="%1."/>
      <w:lvlJc w:val="left"/>
      <w:pPr>
        <w:ind w:left="781" w:hanging="360"/>
      </w:pPr>
    </w:lvl>
    <w:lvl w:ilvl="1" w:tplc="08090019" w:tentative="1">
      <w:start w:val="1"/>
      <w:numFmt w:val="lowerLetter"/>
      <w:lvlText w:val="%2."/>
      <w:lvlJc w:val="left"/>
      <w:pPr>
        <w:ind w:left="1501" w:hanging="360"/>
      </w:pPr>
    </w:lvl>
    <w:lvl w:ilvl="2" w:tplc="0809001B" w:tentative="1">
      <w:start w:val="1"/>
      <w:numFmt w:val="lowerRoman"/>
      <w:lvlText w:val="%3."/>
      <w:lvlJc w:val="right"/>
      <w:pPr>
        <w:ind w:left="2221" w:hanging="180"/>
      </w:pPr>
    </w:lvl>
    <w:lvl w:ilvl="3" w:tplc="0809000F" w:tentative="1">
      <w:start w:val="1"/>
      <w:numFmt w:val="decimal"/>
      <w:lvlText w:val="%4."/>
      <w:lvlJc w:val="left"/>
      <w:pPr>
        <w:ind w:left="2941" w:hanging="360"/>
      </w:pPr>
    </w:lvl>
    <w:lvl w:ilvl="4" w:tplc="08090019" w:tentative="1">
      <w:start w:val="1"/>
      <w:numFmt w:val="lowerLetter"/>
      <w:lvlText w:val="%5."/>
      <w:lvlJc w:val="left"/>
      <w:pPr>
        <w:ind w:left="3661" w:hanging="360"/>
      </w:pPr>
    </w:lvl>
    <w:lvl w:ilvl="5" w:tplc="0809001B" w:tentative="1">
      <w:start w:val="1"/>
      <w:numFmt w:val="lowerRoman"/>
      <w:lvlText w:val="%6."/>
      <w:lvlJc w:val="right"/>
      <w:pPr>
        <w:ind w:left="4381" w:hanging="180"/>
      </w:pPr>
    </w:lvl>
    <w:lvl w:ilvl="6" w:tplc="0809000F" w:tentative="1">
      <w:start w:val="1"/>
      <w:numFmt w:val="decimal"/>
      <w:lvlText w:val="%7."/>
      <w:lvlJc w:val="left"/>
      <w:pPr>
        <w:ind w:left="5101" w:hanging="360"/>
      </w:pPr>
    </w:lvl>
    <w:lvl w:ilvl="7" w:tplc="08090019" w:tentative="1">
      <w:start w:val="1"/>
      <w:numFmt w:val="lowerLetter"/>
      <w:lvlText w:val="%8."/>
      <w:lvlJc w:val="left"/>
      <w:pPr>
        <w:ind w:left="5821" w:hanging="360"/>
      </w:pPr>
    </w:lvl>
    <w:lvl w:ilvl="8" w:tplc="0809001B" w:tentative="1">
      <w:start w:val="1"/>
      <w:numFmt w:val="lowerRoman"/>
      <w:lvlText w:val="%9."/>
      <w:lvlJc w:val="right"/>
      <w:pPr>
        <w:ind w:left="6541" w:hanging="180"/>
      </w:pPr>
    </w:lvl>
  </w:abstractNum>
  <w:num w:numId="1">
    <w:abstractNumId w:val="16"/>
  </w:num>
  <w:num w:numId="2">
    <w:abstractNumId w:val="5"/>
  </w:num>
  <w:num w:numId="3">
    <w:abstractNumId w:val="16"/>
  </w:num>
  <w:num w:numId="4">
    <w:abstractNumId w:val="3"/>
  </w:num>
  <w:num w:numId="5">
    <w:abstractNumId w:val="16"/>
  </w:num>
  <w:num w:numId="6">
    <w:abstractNumId w:val="2"/>
  </w:num>
  <w:num w:numId="7">
    <w:abstractNumId w:val="16"/>
  </w:num>
  <w:num w:numId="8">
    <w:abstractNumId w:val="4"/>
  </w:num>
  <w:num w:numId="9">
    <w:abstractNumId w:val="8"/>
  </w:num>
  <w:num w:numId="10">
    <w:abstractNumId w:val="1"/>
  </w:num>
  <w:num w:numId="11">
    <w:abstractNumId w:val="8"/>
  </w:num>
  <w:num w:numId="12">
    <w:abstractNumId w:val="0"/>
  </w:num>
  <w:num w:numId="13">
    <w:abstractNumId w:val="8"/>
  </w:num>
  <w:num w:numId="14">
    <w:abstractNumId w:val="11"/>
  </w:num>
  <w:num w:numId="15">
    <w:abstractNumId w:val="16"/>
  </w:num>
  <w:num w:numId="16">
    <w:abstractNumId w:val="6"/>
    <w:lvlOverride w:ilvl="0">
      <w:lvl w:ilvl="0">
        <w:start w:val="1"/>
        <w:numFmt w:val="decimal"/>
        <w:pStyle w:val="Question"/>
        <w:lvlText w:val="%1."/>
        <w:lvlJc w:val="left"/>
        <w:pPr>
          <w:tabs>
            <w:tab w:val="num" w:pos="567"/>
          </w:tabs>
          <w:ind w:left="567" w:hanging="567"/>
        </w:pPr>
        <w:rPr>
          <w:rFonts w:hint="default"/>
        </w:rPr>
      </w:lvl>
    </w:lvlOverride>
  </w:num>
  <w:num w:numId="17">
    <w:abstractNumId w:val="16"/>
  </w:num>
  <w:num w:numId="18">
    <w:abstractNumId w:val="16"/>
  </w:num>
  <w:num w:numId="19">
    <w:abstractNumId w:val="11"/>
  </w:num>
  <w:num w:numId="20">
    <w:abstractNumId w:val="11"/>
  </w:num>
  <w:num w:numId="21">
    <w:abstractNumId w:val="11"/>
  </w:num>
  <w:num w:numId="22">
    <w:abstractNumId w:val="11"/>
  </w:num>
  <w:num w:numId="23">
    <w:abstractNumId w:val="6"/>
  </w:num>
  <w:num w:numId="24">
    <w:abstractNumId w:val="22"/>
  </w:num>
  <w:num w:numId="25">
    <w:abstractNumId w:val="19"/>
  </w:num>
  <w:num w:numId="26">
    <w:abstractNumId w:val="17"/>
  </w:num>
  <w:num w:numId="27">
    <w:abstractNumId w:val="9"/>
  </w:num>
  <w:num w:numId="28">
    <w:abstractNumId w:val="10"/>
  </w:num>
  <w:num w:numId="29">
    <w:abstractNumId w:val="18"/>
  </w:num>
  <w:num w:numId="30">
    <w:abstractNumId w:val="7"/>
  </w:num>
  <w:num w:numId="31">
    <w:abstractNumId w:val="20"/>
  </w:num>
  <w:num w:numId="32">
    <w:abstractNumId w:val="13"/>
  </w:num>
  <w:num w:numId="33">
    <w:abstractNumId w:val="14"/>
  </w:num>
  <w:num w:numId="34">
    <w:abstractNumId w:val="12"/>
  </w:num>
  <w:num w:numId="35">
    <w:abstractNumId w:val="15"/>
  </w:num>
  <w:num w:numId="36">
    <w:abstractNumId w:val="21"/>
  </w:num>
  <w:num w:numId="37">
    <w:abstractNumId w:val="6"/>
  </w:num>
  <w:num w:numId="38">
    <w:abstractNumId w:val="6"/>
  </w:num>
  <w:num w:numId="39">
    <w:abstractNumId w:val="6"/>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EB7"/>
    <w:rsid w:val="0000034F"/>
    <w:rsid w:val="00022F25"/>
    <w:rsid w:val="00035F0E"/>
    <w:rsid w:val="000433ED"/>
    <w:rsid w:val="000635F9"/>
    <w:rsid w:val="000774CA"/>
    <w:rsid w:val="00077D80"/>
    <w:rsid w:val="000869F1"/>
    <w:rsid w:val="000B331E"/>
    <w:rsid w:val="000D101E"/>
    <w:rsid w:val="000F0968"/>
    <w:rsid w:val="001109F3"/>
    <w:rsid w:val="00167938"/>
    <w:rsid w:val="00170E3F"/>
    <w:rsid w:val="001A1960"/>
    <w:rsid w:val="001C5C3B"/>
    <w:rsid w:val="001C6432"/>
    <w:rsid w:val="001E03C5"/>
    <w:rsid w:val="001F2C2C"/>
    <w:rsid w:val="002307D0"/>
    <w:rsid w:val="002609FE"/>
    <w:rsid w:val="00261EB1"/>
    <w:rsid w:val="002757AC"/>
    <w:rsid w:val="00276BEB"/>
    <w:rsid w:val="00293171"/>
    <w:rsid w:val="002C01A3"/>
    <w:rsid w:val="002E6A2C"/>
    <w:rsid w:val="002F0963"/>
    <w:rsid w:val="00383DF0"/>
    <w:rsid w:val="00386F75"/>
    <w:rsid w:val="003A3FCF"/>
    <w:rsid w:val="00486BAB"/>
    <w:rsid w:val="00496C36"/>
    <w:rsid w:val="004D12E7"/>
    <w:rsid w:val="004E3676"/>
    <w:rsid w:val="004E7C25"/>
    <w:rsid w:val="004F67E9"/>
    <w:rsid w:val="00502EFF"/>
    <w:rsid w:val="0053319B"/>
    <w:rsid w:val="00554409"/>
    <w:rsid w:val="0055791F"/>
    <w:rsid w:val="00587D65"/>
    <w:rsid w:val="005F1AC2"/>
    <w:rsid w:val="006100D7"/>
    <w:rsid w:val="006136A8"/>
    <w:rsid w:val="00613B02"/>
    <w:rsid w:val="006235AB"/>
    <w:rsid w:val="006244FD"/>
    <w:rsid w:val="00626CCE"/>
    <w:rsid w:val="006371BE"/>
    <w:rsid w:val="006618ED"/>
    <w:rsid w:val="006826AD"/>
    <w:rsid w:val="00684DB0"/>
    <w:rsid w:val="006B3BC7"/>
    <w:rsid w:val="00704790"/>
    <w:rsid w:val="007048E4"/>
    <w:rsid w:val="00711B18"/>
    <w:rsid w:val="00713332"/>
    <w:rsid w:val="00737CE2"/>
    <w:rsid w:val="0078297A"/>
    <w:rsid w:val="007A74DE"/>
    <w:rsid w:val="007C0538"/>
    <w:rsid w:val="007E37CB"/>
    <w:rsid w:val="00802E3D"/>
    <w:rsid w:val="00825AB6"/>
    <w:rsid w:val="00833A46"/>
    <w:rsid w:val="00884177"/>
    <w:rsid w:val="00893B31"/>
    <w:rsid w:val="008C4993"/>
    <w:rsid w:val="008D444A"/>
    <w:rsid w:val="008F22A5"/>
    <w:rsid w:val="00900C60"/>
    <w:rsid w:val="00903F8C"/>
    <w:rsid w:val="00916EB7"/>
    <w:rsid w:val="0092030B"/>
    <w:rsid w:val="009204BE"/>
    <w:rsid w:val="00963762"/>
    <w:rsid w:val="0097218A"/>
    <w:rsid w:val="00986109"/>
    <w:rsid w:val="009A3EA3"/>
    <w:rsid w:val="009B36A6"/>
    <w:rsid w:val="009F1AFC"/>
    <w:rsid w:val="00A1388F"/>
    <w:rsid w:val="00A144C1"/>
    <w:rsid w:val="00A3569A"/>
    <w:rsid w:val="00A3710D"/>
    <w:rsid w:val="00A40C67"/>
    <w:rsid w:val="00A43133"/>
    <w:rsid w:val="00A4467D"/>
    <w:rsid w:val="00A64C7C"/>
    <w:rsid w:val="00A817E9"/>
    <w:rsid w:val="00AC62DD"/>
    <w:rsid w:val="00AD5BAF"/>
    <w:rsid w:val="00B30F6C"/>
    <w:rsid w:val="00B31D03"/>
    <w:rsid w:val="00B40AD4"/>
    <w:rsid w:val="00B54419"/>
    <w:rsid w:val="00B61ECC"/>
    <w:rsid w:val="00B767ED"/>
    <w:rsid w:val="00BD5383"/>
    <w:rsid w:val="00C01797"/>
    <w:rsid w:val="00C24862"/>
    <w:rsid w:val="00C3599A"/>
    <w:rsid w:val="00C74267"/>
    <w:rsid w:val="00CB0692"/>
    <w:rsid w:val="00CB211C"/>
    <w:rsid w:val="00CC1F79"/>
    <w:rsid w:val="00CC72BB"/>
    <w:rsid w:val="00CD1596"/>
    <w:rsid w:val="00CE437F"/>
    <w:rsid w:val="00D046E3"/>
    <w:rsid w:val="00D05634"/>
    <w:rsid w:val="00D26CEA"/>
    <w:rsid w:val="00D3542C"/>
    <w:rsid w:val="00D708B6"/>
    <w:rsid w:val="00D804A9"/>
    <w:rsid w:val="00DA042E"/>
    <w:rsid w:val="00DB7C19"/>
    <w:rsid w:val="00DF0191"/>
    <w:rsid w:val="00E345F4"/>
    <w:rsid w:val="00E47E2F"/>
    <w:rsid w:val="00E5401A"/>
    <w:rsid w:val="00E5668A"/>
    <w:rsid w:val="00E572C1"/>
    <w:rsid w:val="00E57453"/>
    <w:rsid w:val="00E76F57"/>
    <w:rsid w:val="00EB590D"/>
    <w:rsid w:val="00EC41EE"/>
    <w:rsid w:val="00EC72EC"/>
    <w:rsid w:val="00F150DF"/>
    <w:rsid w:val="00F22E39"/>
    <w:rsid w:val="00F31D2F"/>
    <w:rsid w:val="00F37CDB"/>
    <w:rsid w:val="00FA069D"/>
    <w:rsid w:val="00FB6FBB"/>
    <w:rsid w:val="00FC2581"/>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qFormat="1"/>
    <w:lsdException w:name="Date"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qFormat="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 w:type="paragraph" w:customStyle="1" w:styleId="Default">
    <w:name w:val="Default"/>
    <w:rsid w:val="00916EB7"/>
    <w:pPr>
      <w:autoSpaceDE w:val="0"/>
      <w:autoSpaceDN w:val="0"/>
      <w:adjustRightInd w:val="0"/>
      <w:spacing w:line="240" w:lineRule="auto"/>
    </w:pPr>
    <w:rPr>
      <w:rFonts w:ascii="Calibri" w:hAnsi="Calibri" w:cs="Calibri"/>
      <w:color w:val="000000"/>
      <w:lang w:val="en-GB"/>
    </w:rPr>
  </w:style>
  <w:style w:type="paragraph" w:styleId="CommentText">
    <w:name w:val="annotation text"/>
    <w:basedOn w:val="Normal"/>
    <w:link w:val="CommentTextChar"/>
    <w:rsid w:val="00916EB7"/>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rsid w:val="00916EB7"/>
    <w:rPr>
      <w:rFonts w:eastAsia="Times New Roman" w:cs="Times New Roman"/>
      <w:sz w:val="20"/>
      <w:szCs w:val="20"/>
      <w:lang w:val="en-GB" w:eastAsia="en-GB"/>
    </w:rPr>
  </w:style>
  <w:style w:type="paragraph" w:styleId="BalloonText">
    <w:name w:val="Balloon Text"/>
    <w:basedOn w:val="Normal"/>
    <w:link w:val="BalloonTextChar"/>
    <w:uiPriority w:val="99"/>
    <w:semiHidden/>
    <w:unhideWhenUsed/>
    <w:rsid w:val="00DF0191"/>
    <w:rPr>
      <w:rFonts w:ascii="Tahoma" w:hAnsi="Tahoma" w:cs="Tahoma"/>
      <w:sz w:val="16"/>
      <w:szCs w:val="16"/>
    </w:rPr>
  </w:style>
  <w:style w:type="character" w:customStyle="1" w:styleId="BalloonTextChar">
    <w:name w:val="Balloon Text Char"/>
    <w:basedOn w:val="DefaultParagraphFont"/>
    <w:link w:val="BalloonText"/>
    <w:uiPriority w:val="99"/>
    <w:semiHidden/>
    <w:rsid w:val="00DF0191"/>
    <w:rPr>
      <w:rFonts w:ascii="Tahoma" w:hAnsi="Tahoma" w:cs="Tahoma"/>
      <w:sz w:val="16"/>
      <w:szCs w:val="16"/>
      <w:lang w:val="en-GB"/>
    </w:rPr>
  </w:style>
  <w:style w:type="paragraph" w:styleId="ListParagraph">
    <w:name w:val="List Paragraph"/>
    <w:basedOn w:val="Normal"/>
    <w:uiPriority w:val="34"/>
    <w:qFormat/>
    <w:rsid w:val="00825A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qFormat="1"/>
    <w:lsdException w:name="Date"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qFormat="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 w:type="paragraph" w:customStyle="1" w:styleId="Default">
    <w:name w:val="Default"/>
    <w:rsid w:val="00916EB7"/>
    <w:pPr>
      <w:autoSpaceDE w:val="0"/>
      <w:autoSpaceDN w:val="0"/>
      <w:adjustRightInd w:val="0"/>
      <w:spacing w:line="240" w:lineRule="auto"/>
    </w:pPr>
    <w:rPr>
      <w:rFonts w:ascii="Calibri" w:hAnsi="Calibri" w:cs="Calibri"/>
      <w:color w:val="000000"/>
      <w:lang w:val="en-GB"/>
    </w:rPr>
  </w:style>
  <w:style w:type="paragraph" w:styleId="CommentText">
    <w:name w:val="annotation text"/>
    <w:basedOn w:val="Normal"/>
    <w:link w:val="CommentTextChar"/>
    <w:rsid w:val="00916EB7"/>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rsid w:val="00916EB7"/>
    <w:rPr>
      <w:rFonts w:eastAsia="Times New Roman" w:cs="Times New Roman"/>
      <w:sz w:val="20"/>
      <w:szCs w:val="20"/>
      <w:lang w:val="en-GB" w:eastAsia="en-GB"/>
    </w:rPr>
  </w:style>
  <w:style w:type="paragraph" w:styleId="BalloonText">
    <w:name w:val="Balloon Text"/>
    <w:basedOn w:val="Normal"/>
    <w:link w:val="BalloonTextChar"/>
    <w:uiPriority w:val="99"/>
    <w:semiHidden/>
    <w:unhideWhenUsed/>
    <w:rsid w:val="00DF0191"/>
    <w:rPr>
      <w:rFonts w:ascii="Tahoma" w:hAnsi="Tahoma" w:cs="Tahoma"/>
      <w:sz w:val="16"/>
      <w:szCs w:val="16"/>
    </w:rPr>
  </w:style>
  <w:style w:type="character" w:customStyle="1" w:styleId="BalloonTextChar">
    <w:name w:val="Balloon Text Char"/>
    <w:basedOn w:val="DefaultParagraphFont"/>
    <w:link w:val="BalloonText"/>
    <w:uiPriority w:val="99"/>
    <w:semiHidden/>
    <w:rsid w:val="00DF0191"/>
    <w:rPr>
      <w:rFonts w:ascii="Tahoma" w:hAnsi="Tahoma" w:cs="Tahoma"/>
      <w:sz w:val="16"/>
      <w:szCs w:val="16"/>
      <w:lang w:val="en-GB"/>
    </w:rPr>
  </w:style>
  <w:style w:type="paragraph" w:styleId="ListParagraph">
    <w:name w:val="List Paragraph"/>
    <w:basedOn w:val="Normal"/>
    <w:uiPriority w:val="34"/>
    <w:qFormat/>
    <w:rsid w:val="00825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l\AppData\Roaming\Microsoft\Templates\DCUSA%20Collated%20Respons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FD27A-1830-49CB-A2F4-DD8594D1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Collated Responses Template</Template>
  <TotalTime>20</TotalTime>
  <Pages>9</Pages>
  <Words>1749</Words>
  <Characters>9973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11699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Fungai Madzivadondo</dc:creator>
  <cp:lastModifiedBy>Lauren Nicholls</cp:lastModifiedBy>
  <cp:revision>22</cp:revision>
  <cp:lastPrinted>2015-12-17T17:06:00Z</cp:lastPrinted>
  <dcterms:created xsi:type="dcterms:W3CDTF">2015-12-18T15:16:00Z</dcterms:created>
  <dcterms:modified xsi:type="dcterms:W3CDTF">2015-12-18T15:39:00Z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