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CA655F" w14:textId="1BB4E1A1" w:rsidR="00F20CFA" w:rsidRDefault="006848A1" w:rsidP="00F20CFA">
      <w:pPr>
        <w:pStyle w:val="Heading1"/>
        <w:numPr>
          <w:ilvl w:val="0"/>
          <w:numId w:val="3"/>
        </w:numPr>
      </w:pPr>
      <w:r>
        <w:t xml:space="preserve">EDCM Method M </w:t>
      </w:r>
      <w:r w:rsidR="00F77650">
        <w:t xml:space="preserve">model </w:t>
      </w:r>
      <w:r w:rsidR="002910E4">
        <w:t>r6906</w:t>
      </w:r>
      <w:r w:rsidR="001F7C0A">
        <w:t xml:space="preserve"> for DCP 231</w:t>
      </w:r>
    </w:p>
    <w:p w14:paraId="68E11FF0" w14:textId="40890046" w:rsidR="00FA1961" w:rsidRDefault="00FA1961" w:rsidP="00FA1961">
      <w:pPr>
        <w:pStyle w:val="Byline"/>
        <w:numPr>
          <w:ilvl w:val="0"/>
          <w:numId w:val="3"/>
        </w:numPr>
      </w:pPr>
      <w:r>
        <w:rPr>
          <w:color w:val="808080"/>
        </w:rPr>
        <w:t>Report to the</w:t>
      </w:r>
      <w:r w:rsidRPr="00AB6F30">
        <w:t xml:space="preserve"> </w:t>
      </w:r>
      <w:r>
        <w:t xml:space="preserve">DCP </w:t>
      </w:r>
      <w:r>
        <w:t>231</w:t>
      </w:r>
      <w:r>
        <w:t xml:space="preserve"> Working Group </w:t>
      </w:r>
      <w:r w:rsidRPr="00AB6F30">
        <w:rPr>
          <w:color w:val="808080"/>
        </w:rPr>
        <w:t>on</w:t>
      </w:r>
      <w:r w:rsidRPr="00AB6F30">
        <w:t xml:space="preserve"> </w:t>
      </w:r>
      <w:r>
        <w:rPr>
          <w:noProof/>
        </w:rPr>
        <w:t>9</w:t>
      </w:r>
      <w:r>
        <w:rPr>
          <w:noProof/>
        </w:rPr>
        <w:t xml:space="preserve"> May 2015</w:t>
      </w:r>
    </w:p>
    <w:p w14:paraId="379FD3DD" w14:textId="32E4A09A" w:rsidR="00F20CFA" w:rsidRDefault="00F20CFA" w:rsidP="00F20CFA">
      <w:pPr>
        <w:pStyle w:val="Text"/>
        <w:numPr>
          <w:ilvl w:val="1"/>
          <w:numId w:val="3"/>
        </w:numPr>
      </w:pPr>
      <w:r>
        <w:t>This document describes an EDCM method M model developed for the DCP 231 Working Group</w:t>
      </w:r>
      <w:r w:rsidR="00635D0B">
        <w:t xml:space="preserve">.  The reference version for comparison is the extended price control disaggregation model published by </w:t>
      </w:r>
      <w:r>
        <w:t>the DCUSA Panel</w:t>
      </w:r>
      <w:r w:rsidR="00635D0B">
        <w:t xml:space="preserve"> in 2013</w:t>
      </w:r>
      <w:r>
        <w:t>.</w:t>
      </w:r>
    </w:p>
    <w:p w14:paraId="098FA3C6" w14:textId="77777777" w:rsidR="00F20CFA" w:rsidRDefault="00F20CFA" w:rsidP="00F20CFA">
      <w:pPr>
        <w:pStyle w:val="Heading2"/>
      </w:pPr>
      <w:r>
        <w:t>Cosmetic and structural changes</w:t>
      </w:r>
    </w:p>
    <w:p w14:paraId="668A9847" w14:textId="0F0A7D89" w:rsidR="00F20CFA" w:rsidRDefault="00F20CFA" w:rsidP="00F20CFA">
      <w:pPr>
        <w:pStyle w:val="Text"/>
      </w:pPr>
      <w:r>
        <w:t>The cosmetic and structural changes made in recent versions of the CDCM method M model have been applied</w:t>
      </w:r>
      <w:r w:rsidR="00635D0B">
        <w:t xml:space="preserve"> to create the DCP 231 model</w:t>
      </w:r>
      <w:r>
        <w:t xml:space="preserve">, </w:t>
      </w:r>
      <w:r w:rsidR="00635D0B">
        <w:t xml:space="preserve">with the </w:t>
      </w:r>
      <w:r>
        <w:t>except</w:t>
      </w:r>
      <w:r w:rsidR="00635D0B">
        <w:t xml:space="preserve">ion of changes </w:t>
      </w:r>
      <w:r>
        <w:t xml:space="preserve">related to DCP 118 (DCP 118 does not apply to EDCM method M, and there is no other change with an equivalent effect). </w:t>
      </w:r>
    </w:p>
    <w:p w14:paraId="207EA931" w14:textId="362D8E06" w:rsidR="00635D0B" w:rsidRPr="00F20CFA" w:rsidRDefault="00635D0B" w:rsidP="00F20CFA">
      <w:pPr>
        <w:pStyle w:val="Text"/>
      </w:pPr>
      <w:r>
        <w:t>In particular:</w:t>
      </w:r>
    </w:p>
    <w:p w14:paraId="16915637" w14:textId="77777777" w:rsidR="00635D0B" w:rsidRDefault="00F20CFA" w:rsidP="00635D0B">
      <w:pPr>
        <w:pStyle w:val="Text"/>
        <w:numPr>
          <w:ilvl w:val="2"/>
          <w:numId w:val="10"/>
        </w:numPr>
      </w:pPr>
      <w:r>
        <w:t>The calculations are now linked through the model so that changes in input data feed directly through to the results (provided that Microsoft Excel is configured for automatic calcu</w:t>
      </w:r>
      <w:r w:rsidR="00635D0B">
        <w:t>lation, which is the default).</w:t>
      </w:r>
    </w:p>
    <w:p w14:paraId="6E00C238" w14:textId="60A5457C" w:rsidR="00F20CFA" w:rsidRDefault="00F20CFA" w:rsidP="00635D0B">
      <w:pPr>
        <w:pStyle w:val="Text"/>
        <w:numPr>
          <w:ilvl w:val="2"/>
          <w:numId w:val="10"/>
        </w:numPr>
      </w:pPr>
      <w:r>
        <w:t>VBA macros have been removed.</w:t>
      </w:r>
    </w:p>
    <w:p w14:paraId="2E27C3CC" w14:textId="77777777" w:rsidR="00F20CFA" w:rsidRDefault="00F20CFA" w:rsidP="00635D0B">
      <w:pPr>
        <w:pStyle w:val="Text"/>
        <w:numPr>
          <w:ilvl w:val="2"/>
          <w:numId w:val="10"/>
        </w:numPr>
      </w:pPr>
      <w:r>
        <w:t xml:space="preserve">ActiveX controls (which only work with Microsoft Excel for x86/x64 versions of Windows) have been replaced with ordinary Microsoft Excel form controls (compatible with all versions of Microsoft Excel). </w:t>
      </w:r>
    </w:p>
    <w:p w14:paraId="00B7B993" w14:textId="01B8CC99" w:rsidR="00F20CFA" w:rsidRDefault="00635D0B" w:rsidP="00F20CFA">
      <w:pPr>
        <w:pStyle w:val="Text"/>
        <w:numPr>
          <w:ilvl w:val="2"/>
          <w:numId w:val="3"/>
        </w:numPr>
      </w:pPr>
      <w:r>
        <w:t xml:space="preserve">The </w:t>
      </w:r>
      <w:r w:rsidR="00F20CFA" w:rsidRPr="00E23022">
        <w:t>Change Log</w:t>
      </w:r>
      <w:r>
        <w:t xml:space="preserve"> sheet has been removed</w:t>
      </w:r>
      <w:r w:rsidR="00F20CFA">
        <w:t>.  This seemed inaccurate, and could not in any event be updated given that version numbers and publication dates are not known at the time of developing the model.</w:t>
      </w:r>
    </w:p>
    <w:p w14:paraId="186EB646" w14:textId="77777777" w:rsidR="00635D0B" w:rsidRDefault="00635D0B" w:rsidP="00635D0B">
      <w:pPr>
        <w:pStyle w:val="Text"/>
        <w:numPr>
          <w:ilvl w:val="2"/>
          <w:numId w:val="3"/>
        </w:numPr>
      </w:pPr>
      <w:r>
        <w:t>There is a new Index sheet, which also contains some workbook operating instructions.</w:t>
      </w:r>
    </w:p>
    <w:p w14:paraId="59379CAB" w14:textId="2FD96BD2" w:rsidR="00F20CFA" w:rsidRDefault="00635D0B" w:rsidP="00F20CFA">
      <w:pPr>
        <w:pStyle w:val="Text"/>
        <w:numPr>
          <w:ilvl w:val="2"/>
          <w:numId w:val="3"/>
        </w:numPr>
      </w:pPr>
      <w:r>
        <w:t xml:space="preserve">The </w:t>
      </w:r>
      <w:r w:rsidR="00F20CFA">
        <w:t>LR1 Refs</w:t>
      </w:r>
      <w:r>
        <w:t xml:space="preserve"> sheet has been removed.  The relevant calculations are now included in the </w:t>
      </w:r>
      <w:r w:rsidR="00F20CFA">
        <w:t>Calc-Net capex to improve structure.</w:t>
      </w:r>
    </w:p>
    <w:p w14:paraId="0B69EBCF" w14:textId="282CE1BE" w:rsidR="00F20CFA" w:rsidRDefault="00635D0B" w:rsidP="00F20CFA">
      <w:pPr>
        <w:pStyle w:val="Text"/>
        <w:numPr>
          <w:ilvl w:val="2"/>
          <w:numId w:val="3"/>
        </w:numPr>
      </w:pPr>
      <w:r>
        <w:t xml:space="preserve">There is a new </w:t>
      </w:r>
      <w:r w:rsidR="00F20CFA">
        <w:t>Data-MEAV</w:t>
      </w:r>
      <w:r>
        <w:t xml:space="preserve"> sheet, which </w:t>
      </w:r>
      <w:r w:rsidR="00F20CFA">
        <w:t>contains input data that were previously on Calc-MEAV.</w:t>
      </w:r>
    </w:p>
    <w:p w14:paraId="79880A8F" w14:textId="2509D93F" w:rsidR="00F20CFA" w:rsidRDefault="00635D0B" w:rsidP="00F20CFA">
      <w:pPr>
        <w:pStyle w:val="Text"/>
        <w:numPr>
          <w:ilvl w:val="2"/>
          <w:numId w:val="3"/>
        </w:numPr>
      </w:pPr>
      <w:r>
        <w:t xml:space="preserve">There is a new </w:t>
      </w:r>
      <w:r w:rsidR="00F20CFA" w:rsidRPr="00E23022">
        <w:t>Reductions to net capex</w:t>
      </w:r>
      <w:r>
        <w:t xml:space="preserve"> sheet, which </w:t>
      </w:r>
      <w:r w:rsidR="00F20CFA">
        <w:t>contains input data that were previously on Calc-Net capex of the UKPN models.</w:t>
      </w:r>
    </w:p>
    <w:p w14:paraId="641A79EA" w14:textId="338A8019" w:rsidR="00F20CFA" w:rsidRDefault="00F20CFA" w:rsidP="00635D0B">
      <w:pPr>
        <w:pStyle w:val="Text"/>
        <w:numPr>
          <w:ilvl w:val="2"/>
          <w:numId w:val="3"/>
        </w:numPr>
      </w:pPr>
      <w:r>
        <w:t>The sheet “Outputs” has been renamed “</w:t>
      </w:r>
      <w:r w:rsidR="00635D0B">
        <w:t>EDCM discounts</w:t>
      </w:r>
      <w:r>
        <w:t xml:space="preserve">” and </w:t>
      </w:r>
      <w:r w:rsidR="00635D0B">
        <w:t>relocated</w:t>
      </w:r>
      <w:r>
        <w:t xml:space="preserve"> to the right end of the workbook.</w:t>
      </w:r>
    </w:p>
    <w:p w14:paraId="66C3E670" w14:textId="68B8ACA6" w:rsidR="00F20CFA" w:rsidRPr="00F20CFA" w:rsidRDefault="00F20CFA" w:rsidP="00635D0B">
      <w:pPr>
        <w:pStyle w:val="Text"/>
        <w:numPr>
          <w:ilvl w:val="2"/>
          <w:numId w:val="3"/>
        </w:numPr>
      </w:pPr>
      <w:r>
        <w:t xml:space="preserve">The “Input” sheet and all calculation sheets are now protected.  </w:t>
      </w:r>
      <w:r w:rsidR="00635D0B">
        <w:t>Cells that</w:t>
      </w:r>
      <w:r>
        <w:t xml:space="preserve"> are for input data are unlocked.  </w:t>
      </w:r>
      <w:r w:rsidR="00635D0B">
        <w:t>Note that t</w:t>
      </w:r>
      <w:r w:rsidRPr="00F20CFA">
        <w:t>he [Network length split for 132kV] and [Network length split for EHV], which are set to 100 per cent by paragraph 25.17 of the methodology, are not treated as input data.</w:t>
      </w:r>
    </w:p>
    <w:p w14:paraId="046C4E21" w14:textId="6B415E1D" w:rsidR="00F20CFA" w:rsidRDefault="00F20CFA" w:rsidP="00F20CFA">
      <w:pPr>
        <w:pStyle w:val="Heading2"/>
      </w:pPr>
      <w:r>
        <w:lastRenderedPageBreak/>
        <w:t xml:space="preserve">Substantive changes </w:t>
      </w:r>
      <w:r w:rsidR="00635D0B">
        <w:t>to implement</w:t>
      </w:r>
      <w:r>
        <w:t xml:space="preserve"> DCP 231</w:t>
      </w:r>
    </w:p>
    <w:p w14:paraId="49FDE9A1" w14:textId="01FE9CC1" w:rsidR="00F20CFA" w:rsidRDefault="00F20CFA" w:rsidP="00F20CFA">
      <w:pPr>
        <w:pStyle w:val="Text"/>
      </w:pPr>
      <w:r>
        <w:t>In sheet Calc-Opex, row 7, the follo</w:t>
      </w:r>
      <w:r w:rsidR="00A72838">
        <w:t>wing formulas have been changed (cell references are to the locations in the new model):</w:t>
      </w:r>
    </w:p>
    <w:p w14:paraId="2CF8B4AF" w14:textId="22DF65D9" w:rsidR="00F20CFA" w:rsidRDefault="00F20CFA" w:rsidP="00F20CFA">
      <w:pPr>
        <w:pStyle w:val="Caption"/>
      </w:pPr>
      <w:r>
        <w:t xml:space="preserve">Table </w:t>
      </w:r>
      <w:r>
        <w:fldChar w:fldCharType="begin"/>
      </w:r>
      <w:r>
        <w:instrText xml:space="preserve"> SEQ Table \* ARABIC </w:instrText>
      </w:r>
      <w:r>
        <w:fldChar w:fldCharType="separate"/>
      </w:r>
      <w:r>
        <w:rPr>
          <w:noProof/>
        </w:rPr>
        <w:t>1</w:t>
      </w:r>
      <w:r>
        <w:fldChar w:fldCharType="end"/>
      </w:r>
      <w:r w:rsidR="00F77650">
        <w:tab/>
        <w:t>First set of c</w:t>
      </w:r>
      <w:r>
        <w:t>hanges to row 7 of Calc-Opex</w:t>
      </w:r>
      <w:r w:rsidR="002D0FC6">
        <w:t xml:space="preserve"> sheet</w:t>
      </w:r>
    </w:p>
    <w:tbl>
      <w:tblPr>
        <w:tblStyle w:val="TableGrid"/>
        <w:tblW w:w="0" w:type="auto"/>
        <w:tblLook w:val="04A0" w:firstRow="1" w:lastRow="0" w:firstColumn="1" w:lastColumn="0" w:noHBand="0" w:noVBand="1"/>
      </w:tblPr>
      <w:tblGrid>
        <w:gridCol w:w="595"/>
        <w:gridCol w:w="4176"/>
        <w:gridCol w:w="4176"/>
      </w:tblGrid>
      <w:tr w:rsidR="00F20CFA" w:rsidRPr="00F20CFA" w14:paraId="34F8F284" w14:textId="77777777" w:rsidTr="00211910">
        <w:tc>
          <w:tcPr>
            <w:tcW w:w="595" w:type="dxa"/>
          </w:tcPr>
          <w:p w14:paraId="5C386654" w14:textId="77777777" w:rsidR="00F20CFA" w:rsidRPr="00F20CFA" w:rsidRDefault="00F20CFA" w:rsidP="00F20CFA">
            <w:pPr>
              <w:pStyle w:val="Table"/>
              <w:rPr>
                <w:b/>
              </w:rPr>
            </w:pPr>
            <w:r w:rsidRPr="00F20CFA">
              <w:rPr>
                <w:b/>
              </w:rPr>
              <w:t>Cell</w:t>
            </w:r>
          </w:p>
        </w:tc>
        <w:tc>
          <w:tcPr>
            <w:tcW w:w="4176" w:type="dxa"/>
          </w:tcPr>
          <w:p w14:paraId="7ABA8CAA" w14:textId="77777777" w:rsidR="00F20CFA" w:rsidRPr="00F20CFA" w:rsidRDefault="00F20CFA" w:rsidP="00F20CFA">
            <w:pPr>
              <w:pStyle w:val="Table"/>
              <w:rPr>
                <w:b/>
              </w:rPr>
            </w:pPr>
            <w:r w:rsidRPr="00F20CFA">
              <w:rPr>
                <w:b/>
              </w:rPr>
              <w:t>Previously</w:t>
            </w:r>
          </w:p>
        </w:tc>
        <w:tc>
          <w:tcPr>
            <w:tcW w:w="4176" w:type="dxa"/>
          </w:tcPr>
          <w:p w14:paraId="61B34207" w14:textId="77777777" w:rsidR="00F20CFA" w:rsidRPr="00F20CFA" w:rsidRDefault="00F20CFA" w:rsidP="00F20CFA">
            <w:pPr>
              <w:pStyle w:val="Table"/>
              <w:rPr>
                <w:b/>
              </w:rPr>
            </w:pPr>
            <w:r w:rsidRPr="00F20CFA">
              <w:rPr>
                <w:b/>
              </w:rPr>
              <w:t>Now</w:t>
            </w:r>
          </w:p>
        </w:tc>
      </w:tr>
      <w:tr w:rsidR="00F20CFA" w14:paraId="33168401" w14:textId="77777777" w:rsidTr="00211910">
        <w:tc>
          <w:tcPr>
            <w:tcW w:w="595" w:type="dxa"/>
          </w:tcPr>
          <w:p w14:paraId="4D7C81FA" w14:textId="77777777" w:rsidR="00F20CFA" w:rsidRDefault="00211910" w:rsidP="00F20CFA">
            <w:pPr>
              <w:pStyle w:val="Table"/>
            </w:pPr>
            <w:r>
              <w:t>E7</w:t>
            </w:r>
          </w:p>
        </w:tc>
        <w:tc>
          <w:tcPr>
            <w:tcW w:w="4176" w:type="dxa"/>
          </w:tcPr>
          <w:p w14:paraId="3C932D5C" w14:textId="77777777" w:rsidR="00F20CFA" w:rsidRDefault="00211910" w:rsidP="00F20CFA">
            <w:pPr>
              <w:pStyle w:val="Table"/>
            </w:pPr>
            <w:r w:rsidRPr="00211910">
              <w:t>='RRP 2.4'!L13+'RRP 2.4'!L14+'RRP 2.4'!L18+'RRP 2.4'!L19</w:t>
            </w:r>
          </w:p>
        </w:tc>
        <w:tc>
          <w:tcPr>
            <w:tcW w:w="4176" w:type="dxa"/>
          </w:tcPr>
          <w:p w14:paraId="753FFE95" w14:textId="77777777" w:rsidR="00F20CFA" w:rsidRDefault="00211910" w:rsidP="00F20CFA">
            <w:pPr>
              <w:pStyle w:val="Table"/>
            </w:pPr>
            <w:r>
              <w:t>=</w:t>
            </w:r>
            <w:r w:rsidRPr="00211910">
              <w:t>MAX(0,'Calc-Net capex'!C21+'Calc-Net capex'!C22)/10+'RRP 2.4'!L18+'RRP 2.4'!L19</w:t>
            </w:r>
          </w:p>
        </w:tc>
      </w:tr>
      <w:tr w:rsidR="00211910" w14:paraId="27123457" w14:textId="77777777" w:rsidTr="00211910">
        <w:tc>
          <w:tcPr>
            <w:tcW w:w="595" w:type="dxa"/>
          </w:tcPr>
          <w:p w14:paraId="01D2E72B" w14:textId="77777777" w:rsidR="00211910" w:rsidRDefault="00211910" w:rsidP="00F20CFA">
            <w:pPr>
              <w:pStyle w:val="Table"/>
            </w:pPr>
            <w:r>
              <w:t>F7</w:t>
            </w:r>
          </w:p>
        </w:tc>
        <w:tc>
          <w:tcPr>
            <w:tcW w:w="4176" w:type="dxa"/>
          </w:tcPr>
          <w:p w14:paraId="12FB1711" w14:textId="77777777" w:rsidR="00211910" w:rsidRPr="00211910" w:rsidRDefault="00211910" w:rsidP="00F20CFA">
            <w:pPr>
              <w:pStyle w:val="Table"/>
            </w:pPr>
            <w:r w:rsidRPr="00211910">
              <w:t>='RRP 2.4'!L12+'RRP 2.4'!L17-'Calc-Opex'!G7</w:t>
            </w:r>
          </w:p>
        </w:tc>
        <w:tc>
          <w:tcPr>
            <w:tcW w:w="4176" w:type="dxa"/>
          </w:tcPr>
          <w:p w14:paraId="45B0B4BB" w14:textId="001CB02F" w:rsidR="00211910" w:rsidRDefault="00211910" w:rsidP="000754AD">
            <w:pPr>
              <w:pStyle w:val="Table"/>
            </w:pPr>
            <w:r w:rsidRPr="00211910">
              <w:t>=MAX(0,'Calc-Net capex'!C20)/10+'RRP 2.4'!L17</w:t>
            </w:r>
          </w:p>
        </w:tc>
      </w:tr>
      <w:tr w:rsidR="00211910" w14:paraId="75D50AD5" w14:textId="77777777" w:rsidTr="00211910">
        <w:tc>
          <w:tcPr>
            <w:tcW w:w="595" w:type="dxa"/>
          </w:tcPr>
          <w:p w14:paraId="006EAF3F" w14:textId="77777777" w:rsidR="00211910" w:rsidRDefault="00211910" w:rsidP="00F20CFA">
            <w:pPr>
              <w:pStyle w:val="Table"/>
            </w:pPr>
            <w:r>
              <w:t>H7</w:t>
            </w:r>
          </w:p>
        </w:tc>
        <w:tc>
          <w:tcPr>
            <w:tcW w:w="4176" w:type="dxa"/>
          </w:tcPr>
          <w:p w14:paraId="3145BBDC" w14:textId="77777777" w:rsidR="00211910" w:rsidRPr="00211910" w:rsidRDefault="00211910" w:rsidP="00F20CFA">
            <w:pPr>
              <w:pStyle w:val="Table"/>
            </w:pPr>
            <w:r w:rsidRPr="00211910">
              <w:t>='RRP 2.4'!L11+'RRP 2.4'!L16+'RRP 2.4'!L24</w:t>
            </w:r>
          </w:p>
        </w:tc>
        <w:tc>
          <w:tcPr>
            <w:tcW w:w="4176" w:type="dxa"/>
          </w:tcPr>
          <w:p w14:paraId="5B44B4B3" w14:textId="754B59A2" w:rsidR="00211910" w:rsidRDefault="000754AD" w:rsidP="00F20CFA">
            <w:pPr>
              <w:pStyle w:val="Table"/>
            </w:pPr>
            <w:r w:rsidRPr="00211910">
              <w:t>=MAX(0,'Calc-Net capex'!C19)/10+'RRP 2.4'!L16+'RRP 2.4'!L24</w:t>
            </w:r>
          </w:p>
        </w:tc>
      </w:tr>
    </w:tbl>
    <w:p w14:paraId="000BFC40" w14:textId="77777777" w:rsidR="00F20CFA" w:rsidRDefault="00F20CFA" w:rsidP="00F20CFA"/>
    <w:p w14:paraId="203CC38E" w14:textId="2B0E4851" w:rsidR="00F77650" w:rsidRDefault="00347175" w:rsidP="00F77650">
      <w:pPr>
        <w:pStyle w:val="Text"/>
      </w:pPr>
      <w:r>
        <w:t xml:space="preserve">The purpose of the changes in table </w:t>
      </w:r>
      <w:r>
        <w:fldChar w:fldCharType="begin"/>
      </w:r>
      <w:r>
        <w:instrText xml:space="preserve"> =0+</w:instrText>
      </w:r>
      <w:r>
        <w:fldChar w:fldCharType="begin"/>
      </w:r>
      <w:r>
        <w:instrText xml:space="preserve"> SEQ \c Table \* ARABIC </w:instrText>
      </w:r>
      <w:r>
        <w:fldChar w:fldCharType="separate"/>
      </w:r>
      <w:r>
        <w:rPr>
          <w:noProof/>
        </w:rPr>
        <w:instrText>1</w:instrText>
      </w:r>
      <w:r>
        <w:fldChar w:fldCharType="end"/>
      </w:r>
      <w:r>
        <w:fldChar w:fldCharType="separate"/>
      </w:r>
      <w:r>
        <w:rPr>
          <w:noProof/>
        </w:rPr>
        <w:t>1</w:t>
      </w:r>
      <w:r>
        <w:fldChar w:fldCharType="end"/>
      </w:r>
      <w:r>
        <w:t xml:space="preserve"> i</w:t>
      </w:r>
      <w:r w:rsidR="00F77650">
        <w:t>s to implement the following steps in the DCP 117/DCP 231 method:</w:t>
      </w:r>
    </w:p>
    <w:p w14:paraId="6110525E" w14:textId="3A96BE26" w:rsidR="00F77650" w:rsidRPr="00F77650" w:rsidRDefault="00F77650" w:rsidP="00F77650">
      <w:pPr>
        <w:pStyle w:val="Text"/>
        <w:numPr>
          <w:ilvl w:val="2"/>
          <w:numId w:val="10"/>
        </w:numPr>
      </w:pPr>
      <w:r w:rsidRPr="00F77650">
        <w:t>Use data from the FBPQ LR1 tables to calculate “Load related new connections &amp; customer specific reinforcement” for each network tier. (This excludes general reinforcement). Where customer contributions are greater than the direct costs (i.e. the value is negative) then treat the result as zero.  Aggregates over the 10-year period 2005–2015 are converted into an annual figure by dividing by 10.</w:t>
      </w:r>
    </w:p>
    <w:p w14:paraId="6459EA5F" w14:textId="2E2CBA01" w:rsidR="00F77650" w:rsidRPr="00F77650" w:rsidRDefault="00F77650" w:rsidP="00F77650">
      <w:pPr>
        <w:pStyle w:val="ListBullet"/>
        <w:rPr>
          <w:lang w:val="en-US" w:bidi="ar-SA"/>
        </w:rPr>
      </w:pPr>
      <w:r w:rsidRPr="00F77650">
        <w:rPr>
          <w:lang w:val="en-US" w:bidi="ar-SA"/>
        </w:rPr>
        <w:t>Add the result to the general reinforcement value for the relevant network tier derived from RRP table 2.4.  This gives a net cost for each network tier in respect of the costs described as “Load related new connections &amp; reinforcement (net of contributions)”.</w:t>
      </w:r>
    </w:p>
    <w:p w14:paraId="6D0C70EB" w14:textId="74B4E939" w:rsidR="00F77650" w:rsidRDefault="00F77650" w:rsidP="00F77650">
      <w:pPr>
        <w:pStyle w:val="Text"/>
      </w:pPr>
      <w:r>
        <w:t>In sheet Calc-Allocation, row 70, the following formula has been added:</w:t>
      </w:r>
    </w:p>
    <w:p w14:paraId="1154E302" w14:textId="39DDC8A3" w:rsidR="00F77650" w:rsidRDefault="00F77650" w:rsidP="00F77650">
      <w:pPr>
        <w:pStyle w:val="Caption"/>
      </w:pPr>
      <w:r>
        <w:t xml:space="preserve">Table </w:t>
      </w:r>
      <w:r>
        <w:fldChar w:fldCharType="begin"/>
      </w:r>
      <w:r>
        <w:instrText xml:space="preserve"> SEQ Table \* ARABIC </w:instrText>
      </w:r>
      <w:r>
        <w:fldChar w:fldCharType="separate"/>
      </w:r>
      <w:r>
        <w:rPr>
          <w:noProof/>
        </w:rPr>
        <w:t>2</w:t>
      </w:r>
      <w:r>
        <w:fldChar w:fldCharType="end"/>
      </w:r>
      <w:r>
        <w:tab/>
        <w:t>Addition to row 70 of Calc-Allocation sheet</w:t>
      </w:r>
    </w:p>
    <w:tbl>
      <w:tblPr>
        <w:tblStyle w:val="TableGrid"/>
        <w:tblW w:w="0" w:type="auto"/>
        <w:tblLook w:val="04A0" w:firstRow="1" w:lastRow="0" w:firstColumn="1" w:lastColumn="0" w:noHBand="0" w:noVBand="1"/>
      </w:tblPr>
      <w:tblGrid>
        <w:gridCol w:w="595"/>
        <w:gridCol w:w="8333"/>
      </w:tblGrid>
      <w:tr w:rsidR="00F77650" w:rsidRPr="00F20CFA" w14:paraId="65F6DD38" w14:textId="77777777" w:rsidTr="00F77650">
        <w:tc>
          <w:tcPr>
            <w:tcW w:w="595" w:type="dxa"/>
          </w:tcPr>
          <w:p w14:paraId="00956C1E" w14:textId="77777777" w:rsidR="00F77650" w:rsidRPr="00F20CFA" w:rsidRDefault="00F77650" w:rsidP="00650CDC">
            <w:pPr>
              <w:pStyle w:val="Table"/>
              <w:rPr>
                <w:b/>
              </w:rPr>
            </w:pPr>
            <w:r w:rsidRPr="00F20CFA">
              <w:rPr>
                <w:b/>
              </w:rPr>
              <w:t>Cell</w:t>
            </w:r>
          </w:p>
        </w:tc>
        <w:tc>
          <w:tcPr>
            <w:tcW w:w="8333" w:type="dxa"/>
          </w:tcPr>
          <w:p w14:paraId="574750E2" w14:textId="0D52AC3A" w:rsidR="00F77650" w:rsidRPr="00F20CFA" w:rsidRDefault="00F77650" w:rsidP="00650CDC">
            <w:pPr>
              <w:pStyle w:val="Table"/>
              <w:rPr>
                <w:b/>
              </w:rPr>
            </w:pPr>
            <w:r w:rsidRPr="00F20CFA">
              <w:rPr>
                <w:b/>
              </w:rPr>
              <w:t>N</w:t>
            </w:r>
            <w:r>
              <w:rPr>
                <w:b/>
              </w:rPr>
              <w:t>ew formula</w:t>
            </w:r>
          </w:p>
        </w:tc>
      </w:tr>
      <w:tr w:rsidR="00F77650" w14:paraId="124E6E40" w14:textId="77777777" w:rsidTr="00F77650">
        <w:tc>
          <w:tcPr>
            <w:tcW w:w="595" w:type="dxa"/>
          </w:tcPr>
          <w:p w14:paraId="4A91957E" w14:textId="77777777" w:rsidR="00F77650" w:rsidRDefault="00F77650" w:rsidP="00650CDC">
            <w:pPr>
              <w:pStyle w:val="Table"/>
            </w:pPr>
            <w:r>
              <w:t>G70</w:t>
            </w:r>
          </w:p>
        </w:tc>
        <w:tc>
          <w:tcPr>
            <w:tcW w:w="8333" w:type="dxa"/>
          </w:tcPr>
          <w:p w14:paraId="607F64E4" w14:textId="77777777" w:rsidR="00F77650" w:rsidRDefault="00F77650" w:rsidP="00650CDC">
            <w:pPr>
              <w:pStyle w:val="Table"/>
            </w:pPr>
            <w:r w:rsidRPr="002D0FC6">
              <w:t>=(SUM('FBPQ LR1'!D13:M13)-MIN(0,'Calc-Net capex'!C19)-MIN(0,'Calc-Net capex'!C20)-MIN(0,'Calc-Net capex'!C21+'Calc-Net capex'!C22))/10</w:t>
            </w:r>
          </w:p>
        </w:tc>
      </w:tr>
    </w:tbl>
    <w:p w14:paraId="0BA81F89" w14:textId="77777777" w:rsidR="00F77650" w:rsidRDefault="00F77650" w:rsidP="00F77650"/>
    <w:p w14:paraId="4BCE9519" w14:textId="5EDA5094" w:rsidR="00F77650" w:rsidRDefault="00F77650" w:rsidP="00F77650">
      <w:pPr>
        <w:pStyle w:val="Text"/>
      </w:pPr>
      <w:r>
        <w:t xml:space="preserve">In sheet Calc-Allocation, rows 70 and 75, the following formulas have been </w:t>
      </w:r>
      <w:r w:rsidR="00A72838">
        <w:t>changed (cell references are to the locations in the new model)</w:t>
      </w:r>
      <w:r>
        <w:t>:</w:t>
      </w:r>
    </w:p>
    <w:p w14:paraId="4F3AC11D" w14:textId="6C4ACDF6" w:rsidR="00F77650" w:rsidRDefault="00F77650" w:rsidP="00F77650">
      <w:pPr>
        <w:pStyle w:val="Caption"/>
      </w:pPr>
      <w:r>
        <w:lastRenderedPageBreak/>
        <w:t xml:space="preserve">Table </w:t>
      </w:r>
      <w:r>
        <w:fldChar w:fldCharType="begin"/>
      </w:r>
      <w:r>
        <w:instrText xml:space="preserve"> SEQ Table \* ARABIC </w:instrText>
      </w:r>
      <w:r>
        <w:fldChar w:fldCharType="separate"/>
      </w:r>
      <w:r>
        <w:rPr>
          <w:noProof/>
        </w:rPr>
        <w:t>3</w:t>
      </w:r>
      <w:r>
        <w:fldChar w:fldCharType="end"/>
      </w:r>
      <w:r>
        <w:tab/>
        <w:t>Changes to row 75 of Calc-Allocation sheet</w:t>
      </w:r>
    </w:p>
    <w:tbl>
      <w:tblPr>
        <w:tblStyle w:val="TableGrid"/>
        <w:tblW w:w="0" w:type="auto"/>
        <w:tblLook w:val="04A0" w:firstRow="1" w:lastRow="0" w:firstColumn="1" w:lastColumn="0" w:noHBand="0" w:noVBand="1"/>
      </w:tblPr>
      <w:tblGrid>
        <w:gridCol w:w="595"/>
        <w:gridCol w:w="4176"/>
        <w:gridCol w:w="4176"/>
      </w:tblGrid>
      <w:tr w:rsidR="00F77650" w:rsidRPr="00F20CFA" w14:paraId="3FE4CFCB" w14:textId="77777777" w:rsidTr="00650CDC">
        <w:tc>
          <w:tcPr>
            <w:tcW w:w="595" w:type="dxa"/>
          </w:tcPr>
          <w:p w14:paraId="1C0F57FE" w14:textId="77777777" w:rsidR="00F77650" w:rsidRPr="00F20CFA" w:rsidRDefault="00F77650" w:rsidP="00650CDC">
            <w:pPr>
              <w:pStyle w:val="Table"/>
              <w:rPr>
                <w:b/>
              </w:rPr>
            </w:pPr>
            <w:r w:rsidRPr="00F20CFA">
              <w:rPr>
                <w:b/>
              </w:rPr>
              <w:t>Cell</w:t>
            </w:r>
          </w:p>
        </w:tc>
        <w:tc>
          <w:tcPr>
            <w:tcW w:w="4176" w:type="dxa"/>
          </w:tcPr>
          <w:p w14:paraId="13AF78AD" w14:textId="77777777" w:rsidR="00F77650" w:rsidRPr="00F20CFA" w:rsidRDefault="00F77650" w:rsidP="00650CDC">
            <w:pPr>
              <w:pStyle w:val="Table"/>
              <w:rPr>
                <w:b/>
              </w:rPr>
            </w:pPr>
            <w:r w:rsidRPr="00F20CFA">
              <w:rPr>
                <w:b/>
              </w:rPr>
              <w:t>Previously</w:t>
            </w:r>
          </w:p>
        </w:tc>
        <w:tc>
          <w:tcPr>
            <w:tcW w:w="4176" w:type="dxa"/>
          </w:tcPr>
          <w:p w14:paraId="4DB550AD" w14:textId="77777777" w:rsidR="00F77650" w:rsidRPr="00F20CFA" w:rsidRDefault="00F77650" w:rsidP="00650CDC">
            <w:pPr>
              <w:pStyle w:val="Table"/>
              <w:rPr>
                <w:b/>
              </w:rPr>
            </w:pPr>
            <w:r w:rsidRPr="00F20CFA">
              <w:rPr>
                <w:b/>
              </w:rPr>
              <w:t>Now</w:t>
            </w:r>
          </w:p>
        </w:tc>
      </w:tr>
      <w:tr w:rsidR="00F77650" w14:paraId="63E7B3B6" w14:textId="77777777" w:rsidTr="00650CDC">
        <w:tc>
          <w:tcPr>
            <w:tcW w:w="595" w:type="dxa"/>
          </w:tcPr>
          <w:p w14:paraId="28BFEA8D" w14:textId="77777777" w:rsidR="00F77650" w:rsidRDefault="00F77650" w:rsidP="00F77650">
            <w:pPr>
              <w:pStyle w:val="Table"/>
            </w:pPr>
            <w:r>
              <w:t>F75</w:t>
            </w:r>
          </w:p>
        </w:tc>
        <w:tc>
          <w:tcPr>
            <w:tcW w:w="4176" w:type="dxa"/>
          </w:tcPr>
          <w:p w14:paraId="6595F139" w14:textId="77777777" w:rsidR="00F77650" w:rsidRDefault="00F77650" w:rsidP="00650CDC">
            <w:pPr>
              <w:pStyle w:val="Table"/>
            </w:pPr>
            <w:r w:rsidRPr="002D0FC6">
              <w:t>=$P$69*K52</w:t>
            </w:r>
          </w:p>
        </w:tc>
        <w:tc>
          <w:tcPr>
            <w:tcW w:w="4176" w:type="dxa"/>
          </w:tcPr>
          <w:p w14:paraId="4453F4EB" w14:textId="77777777" w:rsidR="00F77650" w:rsidRPr="002D0FC6" w:rsidRDefault="00F77650" w:rsidP="00650CDC">
            <w:pPr>
              <w:pStyle w:val="Table"/>
            </w:pPr>
            <w:r w:rsidRPr="002D0FC6">
              <w:t>=$P$69*K52+$G70*E49</w:t>
            </w:r>
          </w:p>
        </w:tc>
      </w:tr>
      <w:tr w:rsidR="00F77650" w14:paraId="37972668" w14:textId="77777777" w:rsidTr="00650CDC">
        <w:tc>
          <w:tcPr>
            <w:tcW w:w="595" w:type="dxa"/>
          </w:tcPr>
          <w:p w14:paraId="4AE62CE0" w14:textId="77777777" w:rsidR="00F77650" w:rsidRDefault="00F77650" w:rsidP="00650CDC">
            <w:pPr>
              <w:pStyle w:val="Table"/>
            </w:pPr>
            <w:r>
              <w:t>G75</w:t>
            </w:r>
          </w:p>
        </w:tc>
        <w:tc>
          <w:tcPr>
            <w:tcW w:w="4176" w:type="dxa"/>
          </w:tcPr>
          <w:p w14:paraId="7B546C75" w14:textId="77777777" w:rsidR="00F77650" w:rsidRDefault="00F77650" w:rsidP="00650CDC">
            <w:pPr>
              <w:pStyle w:val="Table"/>
            </w:pPr>
            <w:r w:rsidRPr="002D0FC6">
              <w:t>=$P$69*L52</w:t>
            </w:r>
          </w:p>
        </w:tc>
        <w:tc>
          <w:tcPr>
            <w:tcW w:w="4176" w:type="dxa"/>
          </w:tcPr>
          <w:p w14:paraId="70D1B199" w14:textId="77777777" w:rsidR="00F77650" w:rsidRPr="002D0FC6" w:rsidRDefault="00F77650" w:rsidP="00650CDC">
            <w:pPr>
              <w:pStyle w:val="Table"/>
            </w:pPr>
            <w:r w:rsidRPr="002D0FC6">
              <w:t>=$P$69*L52+$G70*G49</w:t>
            </w:r>
          </w:p>
        </w:tc>
      </w:tr>
      <w:tr w:rsidR="00F77650" w14:paraId="6979A7A1" w14:textId="77777777" w:rsidTr="00650CDC">
        <w:tc>
          <w:tcPr>
            <w:tcW w:w="595" w:type="dxa"/>
          </w:tcPr>
          <w:p w14:paraId="3CA925F2" w14:textId="77777777" w:rsidR="00F77650" w:rsidRDefault="00F77650" w:rsidP="00650CDC">
            <w:pPr>
              <w:pStyle w:val="Table"/>
            </w:pPr>
            <w:r>
              <w:t>H75</w:t>
            </w:r>
          </w:p>
        </w:tc>
        <w:tc>
          <w:tcPr>
            <w:tcW w:w="4176" w:type="dxa"/>
          </w:tcPr>
          <w:p w14:paraId="4021774D" w14:textId="77777777" w:rsidR="00F77650" w:rsidRDefault="00F77650" w:rsidP="00650CDC">
            <w:pPr>
              <w:pStyle w:val="Table"/>
            </w:pPr>
            <w:r>
              <w:t>=$P$69*M</w:t>
            </w:r>
            <w:r w:rsidRPr="002D0FC6">
              <w:t>5</w:t>
            </w:r>
            <w:r>
              <w:t>2</w:t>
            </w:r>
          </w:p>
        </w:tc>
        <w:tc>
          <w:tcPr>
            <w:tcW w:w="4176" w:type="dxa"/>
          </w:tcPr>
          <w:p w14:paraId="5EEA9C43" w14:textId="77777777" w:rsidR="00F77650" w:rsidRPr="002D0FC6" w:rsidRDefault="00F77650" w:rsidP="00650CDC">
            <w:pPr>
              <w:pStyle w:val="Table"/>
            </w:pPr>
            <w:r>
              <w:t>=$P$69*M</w:t>
            </w:r>
            <w:r w:rsidRPr="002D0FC6">
              <w:t>5</w:t>
            </w:r>
            <w:r>
              <w:t>2+$G70*H</w:t>
            </w:r>
            <w:r w:rsidRPr="002D0FC6">
              <w:t>49</w:t>
            </w:r>
          </w:p>
        </w:tc>
      </w:tr>
      <w:tr w:rsidR="00F77650" w14:paraId="2D02987E" w14:textId="77777777" w:rsidTr="00650CDC">
        <w:tc>
          <w:tcPr>
            <w:tcW w:w="595" w:type="dxa"/>
          </w:tcPr>
          <w:p w14:paraId="7B20BDE7" w14:textId="77777777" w:rsidR="00F77650" w:rsidRDefault="00F77650" w:rsidP="00650CDC">
            <w:pPr>
              <w:pStyle w:val="Table"/>
            </w:pPr>
            <w:r>
              <w:t>I75</w:t>
            </w:r>
          </w:p>
        </w:tc>
        <w:tc>
          <w:tcPr>
            <w:tcW w:w="4176" w:type="dxa"/>
          </w:tcPr>
          <w:p w14:paraId="32222EC5" w14:textId="77777777" w:rsidR="00F77650" w:rsidRDefault="00F77650" w:rsidP="00650CDC">
            <w:pPr>
              <w:pStyle w:val="Table"/>
            </w:pPr>
            <w:r w:rsidRPr="002D0FC6">
              <w:t>=$P$69*(N52+O52)</w:t>
            </w:r>
          </w:p>
        </w:tc>
        <w:tc>
          <w:tcPr>
            <w:tcW w:w="4176" w:type="dxa"/>
          </w:tcPr>
          <w:p w14:paraId="64690C1D" w14:textId="77777777" w:rsidR="00F77650" w:rsidRPr="002D0FC6" w:rsidRDefault="00F77650" w:rsidP="00650CDC">
            <w:pPr>
              <w:pStyle w:val="Table"/>
            </w:pPr>
            <w:r w:rsidRPr="002D0FC6">
              <w:t>=$P$69*(N52+O52)+$G70*(I49+J49</w:t>
            </w:r>
            <w:r>
              <w:t>)</w:t>
            </w:r>
          </w:p>
        </w:tc>
      </w:tr>
    </w:tbl>
    <w:p w14:paraId="57A0D916" w14:textId="77777777" w:rsidR="00F77650" w:rsidRDefault="00F77650" w:rsidP="00F77650"/>
    <w:p w14:paraId="2131F1C1" w14:textId="7B8372FF" w:rsidR="00F77650" w:rsidRPr="00F77650" w:rsidRDefault="00F77650" w:rsidP="00F77650">
      <w:pPr>
        <w:pStyle w:val="Text"/>
      </w:pPr>
      <w:r w:rsidRPr="00F77650">
        <w:t xml:space="preserve">The purpose of the changes in tables </w:t>
      </w:r>
      <w:r w:rsidRPr="00F77650">
        <w:fldChar w:fldCharType="begin"/>
      </w:r>
      <w:r w:rsidRPr="00F77650">
        <w:instrText xml:space="preserve"> =-1+</w:instrText>
      </w:r>
      <w:r w:rsidRPr="00F77650">
        <w:fldChar w:fldCharType="begin"/>
      </w:r>
      <w:r w:rsidRPr="00F77650">
        <w:instrText xml:space="preserve"> SEQ \c Table \* ARABIC </w:instrText>
      </w:r>
      <w:r w:rsidRPr="00F77650">
        <w:fldChar w:fldCharType="separate"/>
      </w:r>
      <w:r w:rsidR="000922BE">
        <w:rPr>
          <w:noProof/>
        </w:rPr>
        <w:instrText>3</w:instrText>
      </w:r>
      <w:r w:rsidRPr="00F77650">
        <w:fldChar w:fldCharType="end"/>
      </w:r>
      <w:r w:rsidRPr="00F77650">
        <w:fldChar w:fldCharType="separate"/>
      </w:r>
      <w:r w:rsidR="000922BE">
        <w:rPr>
          <w:noProof/>
        </w:rPr>
        <w:t>2</w:t>
      </w:r>
      <w:r w:rsidRPr="00F77650">
        <w:fldChar w:fldCharType="end"/>
      </w:r>
      <w:r w:rsidRPr="00F77650">
        <w:t xml:space="preserve"> and </w:t>
      </w:r>
      <w:r w:rsidRPr="00F77650">
        <w:fldChar w:fldCharType="begin"/>
      </w:r>
      <w:r w:rsidRPr="00F77650">
        <w:instrText xml:space="preserve"> =0+</w:instrText>
      </w:r>
      <w:r w:rsidRPr="00F77650">
        <w:fldChar w:fldCharType="begin"/>
      </w:r>
      <w:r w:rsidRPr="00F77650">
        <w:instrText xml:space="preserve"> SEQ \c Table \* ARABIC </w:instrText>
      </w:r>
      <w:r w:rsidRPr="00F77650">
        <w:fldChar w:fldCharType="separate"/>
      </w:r>
      <w:r w:rsidR="000922BE">
        <w:rPr>
          <w:noProof/>
        </w:rPr>
        <w:instrText>3</w:instrText>
      </w:r>
      <w:r w:rsidRPr="00F77650">
        <w:fldChar w:fldCharType="end"/>
      </w:r>
      <w:r w:rsidRPr="00F77650">
        <w:fldChar w:fldCharType="separate"/>
      </w:r>
      <w:r w:rsidR="000922BE">
        <w:rPr>
          <w:noProof/>
        </w:rPr>
        <w:t>3</w:t>
      </w:r>
      <w:r w:rsidRPr="00F77650">
        <w:fldChar w:fldCharType="end"/>
      </w:r>
      <w:r w:rsidRPr="00F77650">
        <w:t xml:space="preserve"> is to implement the following treatment of excess contributions in the DCP 117/DCP 231 method:</w:t>
      </w:r>
    </w:p>
    <w:p w14:paraId="0F0D0206" w14:textId="582E1725" w:rsidR="00F77650" w:rsidRPr="00F77650" w:rsidRDefault="00F77650" w:rsidP="00F77650">
      <w:pPr>
        <w:pStyle w:val="ListBullet"/>
      </w:pPr>
      <w:r w:rsidRPr="00F77650">
        <w:t>Customer Contributions (reported in FBPQ table LR1) for each network tier that are in excess of the direct costs of “Load related new connections &amp; customer specific reinforcement” are not considered in</w:t>
      </w:r>
      <w:r>
        <w:t xml:space="preserve"> the allocation of “</w:t>
      </w:r>
      <w:r w:rsidRPr="00F77650">
        <w:t>Load related new connections &amp; customer specific reinforcement</w:t>
      </w:r>
      <w:r>
        <w:t xml:space="preserve">” to network tiers.  </w:t>
      </w:r>
      <w:r w:rsidRPr="00F77650">
        <w:t>Additionally table LR1 includes customer contributions which are categorised as indirect costs and which are not allocated to a specific network tier.</w:t>
      </w:r>
    </w:p>
    <w:p w14:paraId="5180FED8" w14:textId="77777777" w:rsidR="00F77650" w:rsidRDefault="00F77650" w:rsidP="00F77650">
      <w:pPr>
        <w:pStyle w:val="ListBullet"/>
      </w:pPr>
      <w:r>
        <w:t xml:space="preserve">These </w:t>
      </w:r>
      <w:r w:rsidRPr="00F77650">
        <w:t>excess contributions and customer contributions in respect of indirect costs are treated as “income” and added to the income</w:t>
      </w:r>
      <w:r>
        <w:t xml:space="preserve"> (from use of system charges) allocated by the model.</w:t>
      </w:r>
    </w:p>
    <w:p w14:paraId="1142FA7E" w14:textId="77777777" w:rsidR="00F77650" w:rsidRDefault="00F77650" w:rsidP="00F77650">
      <w:pPr>
        <w:pStyle w:val="ListBullet"/>
      </w:pPr>
      <w:r>
        <w:t xml:space="preserve">As </w:t>
      </w:r>
      <w:r w:rsidRPr="00F77650">
        <w:t>the bulk of these costs relate to indirect costs</w:t>
      </w:r>
      <w:r>
        <w:t xml:space="preserve">, these </w:t>
      </w:r>
      <w:r w:rsidRPr="00F77650">
        <w:t>contributions are aggregated together and allocated to each network tier using the opex cost driver</w:t>
      </w:r>
      <w:r>
        <w:t>.</w:t>
      </w:r>
    </w:p>
    <w:p w14:paraId="11A2DF74" w14:textId="5F882FF8" w:rsidR="00F77650" w:rsidRDefault="00F77650" w:rsidP="00F77650">
      <w:pPr>
        <w:pStyle w:val="Text"/>
      </w:pPr>
      <w:r>
        <w:t>In sheet Calc-Opex, row 7, the fol</w:t>
      </w:r>
      <w:r w:rsidR="00A72838">
        <w:t>lowing formula has been changed (the cell reference is to the location in the new model):</w:t>
      </w:r>
    </w:p>
    <w:p w14:paraId="30632787" w14:textId="0E375DAD" w:rsidR="00F77650" w:rsidRDefault="00F77650" w:rsidP="00F77650">
      <w:pPr>
        <w:pStyle w:val="Caption"/>
      </w:pPr>
      <w:r>
        <w:t xml:space="preserve">Table </w:t>
      </w:r>
      <w:r>
        <w:fldChar w:fldCharType="begin"/>
      </w:r>
      <w:r>
        <w:instrText xml:space="preserve"> SEQ Table \* ARABIC </w:instrText>
      </w:r>
      <w:r>
        <w:fldChar w:fldCharType="separate"/>
      </w:r>
      <w:r>
        <w:rPr>
          <w:noProof/>
        </w:rPr>
        <w:t>4</w:t>
      </w:r>
      <w:r>
        <w:fldChar w:fldCharType="end"/>
      </w:r>
      <w:r>
        <w:tab/>
        <w:t>Additional change to row 7 of Calc-Opex sheet</w:t>
      </w:r>
    </w:p>
    <w:tbl>
      <w:tblPr>
        <w:tblStyle w:val="TableGrid"/>
        <w:tblW w:w="0" w:type="auto"/>
        <w:tblLook w:val="04A0" w:firstRow="1" w:lastRow="0" w:firstColumn="1" w:lastColumn="0" w:noHBand="0" w:noVBand="1"/>
      </w:tblPr>
      <w:tblGrid>
        <w:gridCol w:w="595"/>
        <w:gridCol w:w="4176"/>
        <w:gridCol w:w="4176"/>
      </w:tblGrid>
      <w:tr w:rsidR="00F77650" w:rsidRPr="00F20CFA" w14:paraId="59EA641E" w14:textId="77777777" w:rsidTr="00650CDC">
        <w:tc>
          <w:tcPr>
            <w:tcW w:w="595" w:type="dxa"/>
          </w:tcPr>
          <w:p w14:paraId="66F03D55" w14:textId="77777777" w:rsidR="00F77650" w:rsidRPr="00F20CFA" w:rsidRDefault="00F77650" w:rsidP="00650CDC">
            <w:pPr>
              <w:pStyle w:val="Table"/>
              <w:rPr>
                <w:b/>
              </w:rPr>
            </w:pPr>
            <w:r w:rsidRPr="00F20CFA">
              <w:rPr>
                <w:b/>
              </w:rPr>
              <w:t>Cell</w:t>
            </w:r>
          </w:p>
        </w:tc>
        <w:tc>
          <w:tcPr>
            <w:tcW w:w="4176" w:type="dxa"/>
          </w:tcPr>
          <w:p w14:paraId="296DD72C" w14:textId="77777777" w:rsidR="00F77650" w:rsidRPr="00F20CFA" w:rsidRDefault="00F77650" w:rsidP="00650CDC">
            <w:pPr>
              <w:pStyle w:val="Table"/>
              <w:rPr>
                <w:b/>
              </w:rPr>
            </w:pPr>
            <w:r w:rsidRPr="00F20CFA">
              <w:rPr>
                <w:b/>
              </w:rPr>
              <w:t>Previously</w:t>
            </w:r>
          </w:p>
        </w:tc>
        <w:tc>
          <w:tcPr>
            <w:tcW w:w="4176" w:type="dxa"/>
          </w:tcPr>
          <w:p w14:paraId="75E47F09" w14:textId="77777777" w:rsidR="00F77650" w:rsidRPr="00F20CFA" w:rsidRDefault="00F77650" w:rsidP="00650CDC">
            <w:pPr>
              <w:pStyle w:val="Table"/>
              <w:rPr>
                <w:b/>
              </w:rPr>
            </w:pPr>
            <w:r w:rsidRPr="00F20CFA">
              <w:rPr>
                <w:b/>
              </w:rPr>
              <w:t>Now</w:t>
            </w:r>
          </w:p>
        </w:tc>
      </w:tr>
      <w:tr w:rsidR="00F77650" w14:paraId="0CC65B12" w14:textId="77777777" w:rsidTr="00650CDC">
        <w:tc>
          <w:tcPr>
            <w:tcW w:w="595" w:type="dxa"/>
          </w:tcPr>
          <w:p w14:paraId="406488A1" w14:textId="77777777" w:rsidR="00F77650" w:rsidRDefault="00F77650" w:rsidP="00650CDC">
            <w:pPr>
              <w:pStyle w:val="Table"/>
            </w:pPr>
            <w:r>
              <w:t>I7</w:t>
            </w:r>
          </w:p>
        </w:tc>
        <w:tc>
          <w:tcPr>
            <w:tcW w:w="4176" w:type="dxa"/>
          </w:tcPr>
          <w:p w14:paraId="6BDA51C4" w14:textId="77777777" w:rsidR="00F77650" w:rsidRPr="00211910" w:rsidRDefault="00F77650" w:rsidP="00650CDC">
            <w:pPr>
              <w:pStyle w:val="Table"/>
            </w:pPr>
            <w:r w:rsidRPr="00211910">
              <w:t>=D7-E7-F7-G7-H7</w:t>
            </w:r>
          </w:p>
        </w:tc>
        <w:tc>
          <w:tcPr>
            <w:tcW w:w="4176" w:type="dxa"/>
          </w:tcPr>
          <w:p w14:paraId="317FBEC5" w14:textId="77777777" w:rsidR="00F77650" w:rsidRDefault="00F77650" w:rsidP="00650CDC">
            <w:pPr>
              <w:pStyle w:val="Table"/>
            </w:pPr>
            <w:r>
              <w:t>0</w:t>
            </w:r>
          </w:p>
        </w:tc>
      </w:tr>
    </w:tbl>
    <w:p w14:paraId="30A06A4D" w14:textId="77777777" w:rsidR="00F77650" w:rsidRDefault="00F77650" w:rsidP="00F77650"/>
    <w:p w14:paraId="151ADE9F" w14:textId="423E4EEE" w:rsidR="00F77650" w:rsidRDefault="00F77650" w:rsidP="00F77650">
      <w:pPr>
        <w:pStyle w:val="Text"/>
      </w:pPr>
      <w:r>
        <w:t xml:space="preserve">The purpose of the changes in table </w:t>
      </w:r>
      <w:r>
        <w:fldChar w:fldCharType="begin"/>
      </w:r>
      <w:r>
        <w:instrText xml:space="preserve"> =0+</w:instrText>
      </w:r>
      <w:r>
        <w:fldChar w:fldCharType="begin"/>
      </w:r>
      <w:r>
        <w:instrText xml:space="preserve"> SEQ \c Table \* ARABIC </w:instrText>
      </w:r>
      <w:r>
        <w:fldChar w:fldCharType="separate"/>
      </w:r>
      <w:r>
        <w:rPr>
          <w:noProof/>
        </w:rPr>
        <w:instrText>4</w:instrText>
      </w:r>
      <w:r>
        <w:fldChar w:fldCharType="end"/>
      </w:r>
      <w:r>
        <w:fldChar w:fldCharType="separate"/>
      </w:r>
      <w:r>
        <w:rPr>
          <w:noProof/>
        </w:rPr>
        <w:t>4</w:t>
      </w:r>
      <w:r>
        <w:fldChar w:fldCharType="end"/>
      </w:r>
      <w:r>
        <w:t xml:space="preserve"> is to implement the principle in the DCP 117/DCP 231 method that all the “</w:t>
      </w:r>
      <w:r w:rsidRPr="00F77650">
        <w:t>Load related new connections &amp; customer specific reinforcement</w:t>
      </w:r>
      <w:r>
        <w:t>” costs have been allocated either as opex or as additional income as described above, so that there are no residual costs to be allocated in this category.</w:t>
      </w:r>
    </w:p>
    <w:p w14:paraId="7F4E974B" w14:textId="45C47662" w:rsidR="00F20CFA" w:rsidRDefault="00DA3FE7" w:rsidP="00DA3FE7">
      <w:pPr>
        <w:pStyle w:val="Heading2"/>
      </w:pPr>
      <w:r>
        <w:lastRenderedPageBreak/>
        <w:t>Impact of DCP 231</w:t>
      </w:r>
      <w:r w:rsidR="00635D0B">
        <w:t xml:space="preserve"> changes</w:t>
      </w:r>
    </w:p>
    <w:p w14:paraId="4157932E" w14:textId="1E629CEA" w:rsidR="00DA3FE7" w:rsidRDefault="00F77650" w:rsidP="00FA1961">
      <w:pPr>
        <w:pStyle w:val="Text"/>
        <w:keepNext/>
      </w:pPr>
      <w:r>
        <w:t>The attached workbook shows the estimated impact of the above changes on EDCM method M model for each DNO area</w:t>
      </w:r>
      <w:r w:rsidR="000922BE">
        <w:t xml:space="preserve">, using the input data sources detailed in table </w:t>
      </w:r>
      <w:r w:rsidR="000922BE" w:rsidRPr="00F77650">
        <w:fldChar w:fldCharType="begin"/>
      </w:r>
      <w:r w:rsidR="000922BE">
        <w:instrText xml:space="preserve"> =1</w:instrText>
      </w:r>
      <w:r w:rsidR="000922BE" w:rsidRPr="00F77650">
        <w:instrText>+</w:instrText>
      </w:r>
      <w:r w:rsidR="000922BE" w:rsidRPr="00F77650">
        <w:fldChar w:fldCharType="begin"/>
      </w:r>
      <w:r w:rsidR="000922BE" w:rsidRPr="00F77650">
        <w:instrText xml:space="preserve"> SEQ \c Table \* ARABIC </w:instrText>
      </w:r>
      <w:r w:rsidR="000922BE" w:rsidRPr="00F77650">
        <w:fldChar w:fldCharType="separate"/>
      </w:r>
      <w:r w:rsidR="000922BE">
        <w:rPr>
          <w:noProof/>
        </w:rPr>
        <w:instrText>4</w:instrText>
      </w:r>
      <w:r w:rsidR="000922BE" w:rsidRPr="00F77650">
        <w:fldChar w:fldCharType="end"/>
      </w:r>
      <w:r w:rsidR="000922BE" w:rsidRPr="00F77650">
        <w:fldChar w:fldCharType="separate"/>
      </w:r>
      <w:r w:rsidR="000922BE">
        <w:rPr>
          <w:noProof/>
        </w:rPr>
        <w:t>5</w:t>
      </w:r>
      <w:r w:rsidR="000922BE" w:rsidRPr="00F77650">
        <w:fldChar w:fldCharType="end"/>
      </w:r>
      <w:r w:rsidR="000922BE">
        <w:t>.</w:t>
      </w:r>
    </w:p>
    <w:p w14:paraId="6E68221D" w14:textId="58A5EBEB" w:rsidR="000922BE" w:rsidRDefault="000922BE" w:rsidP="000922BE">
      <w:pPr>
        <w:pStyle w:val="Caption"/>
      </w:pPr>
      <w:r>
        <w:t xml:space="preserve">Table </w:t>
      </w:r>
      <w:r>
        <w:fldChar w:fldCharType="begin"/>
      </w:r>
      <w:r>
        <w:instrText xml:space="preserve"> SEQ Table \* ARABIC </w:instrText>
      </w:r>
      <w:r>
        <w:fldChar w:fldCharType="separate"/>
      </w:r>
      <w:r>
        <w:rPr>
          <w:noProof/>
        </w:rPr>
        <w:t>5</w:t>
      </w:r>
      <w:r>
        <w:fldChar w:fldCharType="end"/>
      </w:r>
      <w:r>
        <w:tab/>
        <w:t>Input data sources for impact estimate</w:t>
      </w:r>
      <w:r w:rsidR="0062766B">
        <w:t>s</w:t>
      </w:r>
    </w:p>
    <w:tbl>
      <w:tblPr>
        <w:tblStyle w:val="TableGrid"/>
        <w:tblW w:w="0" w:type="auto"/>
        <w:tblLook w:val="04A0" w:firstRow="1" w:lastRow="0" w:firstColumn="1" w:lastColumn="0" w:noHBand="0" w:noVBand="1"/>
      </w:tblPr>
      <w:tblGrid>
        <w:gridCol w:w="1072"/>
        <w:gridCol w:w="4083"/>
        <w:gridCol w:w="4081"/>
      </w:tblGrid>
      <w:tr w:rsidR="000922BE" w:rsidRPr="00F20CFA" w14:paraId="072FDEFE" w14:textId="77777777" w:rsidTr="0062766B">
        <w:tc>
          <w:tcPr>
            <w:tcW w:w="1072" w:type="dxa"/>
          </w:tcPr>
          <w:p w14:paraId="2BF1ABEC" w14:textId="242C154C" w:rsidR="000922BE" w:rsidRPr="00F20CFA" w:rsidRDefault="000922BE" w:rsidP="004C47BC">
            <w:pPr>
              <w:pStyle w:val="Table"/>
              <w:rPr>
                <w:b/>
              </w:rPr>
            </w:pPr>
            <w:r>
              <w:rPr>
                <w:b/>
              </w:rPr>
              <w:t>Areas</w:t>
            </w:r>
          </w:p>
        </w:tc>
        <w:tc>
          <w:tcPr>
            <w:tcW w:w="4083" w:type="dxa"/>
          </w:tcPr>
          <w:p w14:paraId="715D3A19" w14:textId="6FBBB477" w:rsidR="000922BE" w:rsidRPr="00F20CFA" w:rsidRDefault="000922BE" w:rsidP="004C47BC">
            <w:pPr>
              <w:pStyle w:val="Table"/>
              <w:rPr>
                <w:b/>
              </w:rPr>
            </w:pPr>
            <w:r>
              <w:rPr>
                <w:b/>
              </w:rPr>
              <w:t>Data source used</w:t>
            </w:r>
          </w:p>
        </w:tc>
        <w:tc>
          <w:tcPr>
            <w:tcW w:w="4081" w:type="dxa"/>
          </w:tcPr>
          <w:p w14:paraId="208AC838" w14:textId="417129B2" w:rsidR="000922BE" w:rsidRPr="00F20CFA" w:rsidRDefault="000922BE" w:rsidP="005B1261">
            <w:pPr>
              <w:pStyle w:val="Table"/>
              <w:rPr>
                <w:b/>
              </w:rPr>
            </w:pPr>
            <w:r>
              <w:rPr>
                <w:b/>
              </w:rPr>
              <w:t xml:space="preserve">Validation </w:t>
            </w:r>
            <w:r w:rsidR="005B1261">
              <w:rPr>
                <w:b/>
              </w:rPr>
              <w:t>of baseline results</w:t>
            </w:r>
          </w:p>
        </w:tc>
      </w:tr>
      <w:tr w:rsidR="000922BE" w14:paraId="0D1B60A6" w14:textId="77777777" w:rsidTr="0062766B">
        <w:tc>
          <w:tcPr>
            <w:tcW w:w="1072" w:type="dxa"/>
          </w:tcPr>
          <w:p w14:paraId="528A7729" w14:textId="221695CD" w:rsidR="000922BE" w:rsidRDefault="000922BE" w:rsidP="004C47BC">
            <w:pPr>
              <w:pStyle w:val="Table"/>
            </w:pPr>
            <w:r>
              <w:t>ENWL</w:t>
            </w:r>
          </w:p>
        </w:tc>
        <w:tc>
          <w:tcPr>
            <w:tcW w:w="4083" w:type="dxa"/>
          </w:tcPr>
          <w:p w14:paraId="250A4546" w14:textId="710F76FA" w:rsidR="000922BE" w:rsidRPr="00211910" w:rsidRDefault="000922BE" w:rsidP="005B1261">
            <w:pPr>
              <w:pStyle w:val="Table"/>
            </w:pPr>
            <w:r>
              <w:t>Franck’s pre-existing compilation of data from previous years’</w:t>
            </w:r>
            <w:r w:rsidR="0062766B">
              <w:t xml:space="preserve"> Method M models.</w:t>
            </w:r>
            <w:r w:rsidR="005B1261" w:rsidRPr="00211910">
              <w:t xml:space="preserve"> </w:t>
            </w:r>
          </w:p>
        </w:tc>
        <w:tc>
          <w:tcPr>
            <w:tcW w:w="4081" w:type="dxa"/>
          </w:tcPr>
          <w:p w14:paraId="16105F0E" w14:textId="569DCA23" w:rsidR="000922BE" w:rsidRDefault="00452325" w:rsidP="000922BE">
            <w:pPr>
              <w:pStyle w:val="Table"/>
            </w:pPr>
            <w:r>
              <w:t>N</w:t>
            </w:r>
            <w:r w:rsidR="000922BE">
              <w:t>o 2015 EDCM Method M model found on company website.</w:t>
            </w:r>
          </w:p>
        </w:tc>
      </w:tr>
      <w:tr w:rsidR="0062766B" w14:paraId="3FC25AF6" w14:textId="77777777" w:rsidTr="004C47BC">
        <w:tc>
          <w:tcPr>
            <w:tcW w:w="1072" w:type="dxa"/>
          </w:tcPr>
          <w:p w14:paraId="0EF448E8" w14:textId="16C7D499" w:rsidR="0062766B" w:rsidRDefault="0062766B" w:rsidP="004C47BC">
            <w:pPr>
              <w:pStyle w:val="Table"/>
            </w:pPr>
            <w:r>
              <w:t>NPG (two areas)</w:t>
            </w:r>
          </w:p>
        </w:tc>
        <w:tc>
          <w:tcPr>
            <w:tcW w:w="4083" w:type="dxa"/>
          </w:tcPr>
          <w:p w14:paraId="54491B31" w14:textId="0D9C4940" w:rsidR="0062766B" w:rsidRDefault="0062766B" w:rsidP="005B1261">
            <w:pPr>
              <w:pStyle w:val="Table"/>
            </w:pPr>
            <w:r>
              <w:t>Franck’s pre-existing compilation of data from previous years’ Method M models.</w:t>
            </w:r>
          </w:p>
        </w:tc>
        <w:tc>
          <w:tcPr>
            <w:tcW w:w="4081" w:type="dxa"/>
          </w:tcPr>
          <w:p w14:paraId="13A51925" w14:textId="77C4F96E" w:rsidR="0062766B" w:rsidRDefault="0062766B" w:rsidP="005B1261">
            <w:pPr>
              <w:pStyle w:val="Table"/>
            </w:pPr>
            <w:r>
              <w:t>Baseline results appear consistent</w:t>
            </w:r>
            <w:r w:rsidR="005B1261">
              <w:t xml:space="preserve"> with the published 2015 EDCM Method M model.</w:t>
            </w:r>
          </w:p>
        </w:tc>
      </w:tr>
      <w:tr w:rsidR="0062766B" w14:paraId="5EF972AA" w14:textId="77777777" w:rsidTr="0062766B">
        <w:tc>
          <w:tcPr>
            <w:tcW w:w="1072" w:type="dxa"/>
          </w:tcPr>
          <w:p w14:paraId="678DAB03" w14:textId="7C150647" w:rsidR="0062766B" w:rsidRDefault="0062766B" w:rsidP="004C47BC">
            <w:pPr>
              <w:pStyle w:val="Table"/>
            </w:pPr>
            <w:r>
              <w:t>SPEN (two areas)</w:t>
            </w:r>
          </w:p>
        </w:tc>
        <w:tc>
          <w:tcPr>
            <w:tcW w:w="4083" w:type="dxa"/>
          </w:tcPr>
          <w:p w14:paraId="40E68E3F" w14:textId="107737FA" w:rsidR="0062766B" w:rsidRDefault="0062766B" w:rsidP="004C47BC">
            <w:pPr>
              <w:pStyle w:val="Table"/>
            </w:pPr>
            <w:r>
              <w:t>Franck’s pre-existing compilation of data from previous years’ Method M models.</w:t>
            </w:r>
          </w:p>
        </w:tc>
        <w:tc>
          <w:tcPr>
            <w:tcW w:w="4081" w:type="dxa"/>
          </w:tcPr>
          <w:p w14:paraId="67EBDFE6" w14:textId="6A35BA80" w:rsidR="0062766B" w:rsidRDefault="00452325" w:rsidP="00452325">
            <w:pPr>
              <w:pStyle w:val="Table"/>
            </w:pPr>
            <w:r>
              <w:t>No 2015 EDCM Method M model found on company website.</w:t>
            </w:r>
          </w:p>
        </w:tc>
      </w:tr>
      <w:tr w:rsidR="005B1261" w14:paraId="0A7DFBC5" w14:textId="77777777" w:rsidTr="0062766B">
        <w:tc>
          <w:tcPr>
            <w:tcW w:w="1072" w:type="dxa"/>
          </w:tcPr>
          <w:p w14:paraId="5870ACCB" w14:textId="629D01EE" w:rsidR="005B1261" w:rsidRDefault="005B1261" w:rsidP="004C47BC">
            <w:pPr>
              <w:pStyle w:val="Table"/>
            </w:pPr>
            <w:r>
              <w:t>SSEPD (two areas)</w:t>
            </w:r>
          </w:p>
        </w:tc>
        <w:tc>
          <w:tcPr>
            <w:tcW w:w="4083" w:type="dxa"/>
          </w:tcPr>
          <w:p w14:paraId="75A1BECF" w14:textId="4C8E9132" w:rsidR="005B1261" w:rsidRDefault="005B1261" w:rsidP="004C47BC">
            <w:pPr>
              <w:pStyle w:val="Table"/>
            </w:pPr>
            <w:r>
              <w:t>Franck’s pre-existing compilation of data from previous years’ Method M models.</w:t>
            </w:r>
          </w:p>
        </w:tc>
        <w:tc>
          <w:tcPr>
            <w:tcW w:w="4081" w:type="dxa"/>
          </w:tcPr>
          <w:p w14:paraId="59220DF3" w14:textId="02DCA4C5" w:rsidR="005B1261" w:rsidRDefault="005B1261" w:rsidP="00452325">
            <w:pPr>
              <w:pStyle w:val="Table"/>
            </w:pPr>
            <w:r>
              <w:t>No 2015 EDCM Method M model found on company website.</w:t>
            </w:r>
          </w:p>
        </w:tc>
      </w:tr>
      <w:tr w:rsidR="005B1261" w14:paraId="20ACCB71" w14:textId="77777777" w:rsidTr="0062766B">
        <w:tc>
          <w:tcPr>
            <w:tcW w:w="1072" w:type="dxa"/>
          </w:tcPr>
          <w:p w14:paraId="0EB0D609" w14:textId="200567BF" w:rsidR="005B1261" w:rsidRDefault="005B1261" w:rsidP="004C47BC">
            <w:pPr>
              <w:pStyle w:val="Table"/>
            </w:pPr>
            <w:r>
              <w:t>UKPN EPN</w:t>
            </w:r>
          </w:p>
        </w:tc>
        <w:tc>
          <w:tcPr>
            <w:tcW w:w="4083" w:type="dxa"/>
          </w:tcPr>
          <w:p w14:paraId="20F0B7BD" w14:textId="77777777" w:rsidR="005B1261" w:rsidRDefault="005B1261" w:rsidP="0062766B">
            <w:pPr>
              <w:pStyle w:val="Table"/>
            </w:pPr>
            <w:r>
              <w:t>Franck’s pre-existing compilation of data from previous years’ Method M models.</w:t>
            </w:r>
          </w:p>
          <w:p w14:paraId="310FD5FC" w14:textId="22F56B0C" w:rsidR="005B1261" w:rsidRDefault="005B1261" w:rsidP="00C3007A">
            <w:pPr>
              <w:pStyle w:val="Table"/>
            </w:pPr>
            <w:r>
              <w:t>Analysis of 2007/2008 allowed revenue changed to reflect data in 2015 EDCM Method M model found on company website (incentive revenue changed from £11 million to £2 million).</w:t>
            </w:r>
          </w:p>
        </w:tc>
        <w:tc>
          <w:tcPr>
            <w:tcW w:w="4081" w:type="dxa"/>
          </w:tcPr>
          <w:p w14:paraId="4790FFA9" w14:textId="7F2CA5B1" w:rsidR="005B1261" w:rsidRDefault="005B1261" w:rsidP="000922BE">
            <w:pPr>
              <w:pStyle w:val="Table"/>
            </w:pPr>
            <w:r>
              <w:t>Baseline results appear consistent with the published 2015 EDCM Method M model.</w:t>
            </w:r>
          </w:p>
        </w:tc>
      </w:tr>
      <w:tr w:rsidR="005B1261" w14:paraId="0E21E44B" w14:textId="77777777" w:rsidTr="004C47BC">
        <w:tc>
          <w:tcPr>
            <w:tcW w:w="1072" w:type="dxa"/>
          </w:tcPr>
          <w:p w14:paraId="7EBCAAE5" w14:textId="4CFE13A5" w:rsidR="005B1261" w:rsidRDefault="005B1261" w:rsidP="0062766B">
            <w:pPr>
              <w:pStyle w:val="Table"/>
            </w:pPr>
            <w:r>
              <w:t>UKPN LPN and SPN</w:t>
            </w:r>
          </w:p>
        </w:tc>
        <w:tc>
          <w:tcPr>
            <w:tcW w:w="4083" w:type="dxa"/>
          </w:tcPr>
          <w:p w14:paraId="5D677130" w14:textId="77777777" w:rsidR="005B1261" w:rsidRDefault="005B1261" w:rsidP="00C3007A">
            <w:pPr>
              <w:pStyle w:val="Table"/>
            </w:pPr>
            <w:r>
              <w:t>Franck’s pre-existing compilation of data from previous years’ Method M models.</w:t>
            </w:r>
          </w:p>
          <w:p w14:paraId="26F50B01" w14:textId="1F1DEE79" w:rsidR="005B1261" w:rsidRDefault="005B1261" w:rsidP="00C3007A">
            <w:pPr>
              <w:pStyle w:val="Table"/>
            </w:pPr>
            <w:r>
              <w:t>Analysis of 2007/2008 allowed revenue changed to reflect data in 2015 EDCM Method M model found on company website (incentive revenue changed from £2 million to £6 million in LPN and from £8 million to £3 million in SPN).</w:t>
            </w:r>
          </w:p>
        </w:tc>
        <w:tc>
          <w:tcPr>
            <w:tcW w:w="4081" w:type="dxa"/>
          </w:tcPr>
          <w:p w14:paraId="21B3E9ED" w14:textId="3B0492BC" w:rsidR="005B1261" w:rsidRDefault="005B1261" w:rsidP="005B1261">
            <w:pPr>
              <w:pStyle w:val="Table"/>
            </w:pPr>
            <w:r>
              <w:t>Baseline results are not consistent with the published 2015 EDCM Method M model.  This appe</w:t>
            </w:r>
            <w:r w:rsidR="00FA1961">
              <w:t xml:space="preserve">ars to be because the 2015 EDCM </w:t>
            </w:r>
            <w:bookmarkStart w:id="0" w:name="_GoBack"/>
            <w:bookmarkEnd w:id="0"/>
            <w:r>
              <w:t>Method M model on the company website does not include the “Reduction in net capex” data that are present in both the 2015 CDCM Method M and the 2014 EDCM Method M.</w:t>
            </w:r>
          </w:p>
        </w:tc>
      </w:tr>
      <w:tr w:rsidR="005B1261" w14:paraId="4E660036" w14:textId="77777777" w:rsidTr="0062766B">
        <w:tc>
          <w:tcPr>
            <w:tcW w:w="1072" w:type="dxa"/>
          </w:tcPr>
          <w:p w14:paraId="752DB2D7" w14:textId="3A22ECE3" w:rsidR="005B1261" w:rsidRDefault="005B1261" w:rsidP="004C47BC">
            <w:pPr>
              <w:pStyle w:val="Table"/>
            </w:pPr>
            <w:r>
              <w:t>WPD (four areas)</w:t>
            </w:r>
          </w:p>
        </w:tc>
        <w:tc>
          <w:tcPr>
            <w:tcW w:w="4083" w:type="dxa"/>
          </w:tcPr>
          <w:p w14:paraId="7532CC20" w14:textId="057EF28E" w:rsidR="005B1261" w:rsidRDefault="005B1261" w:rsidP="004C47BC">
            <w:pPr>
              <w:pStyle w:val="Table"/>
            </w:pPr>
            <w:r>
              <w:t>Franck’s pre-existing compilation of data from previous years’ Method M models.</w:t>
            </w:r>
          </w:p>
        </w:tc>
        <w:tc>
          <w:tcPr>
            <w:tcW w:w="4081" w:type="dxa"/>
          </w:tcPr>
          <w:p w14:paraId="38CDE8BA" w14:textId="3F641706" w:rsidR="005B1261" w:rsidRDefault="005B1261" w:rsidP="000922BE">
            <w:pPr>
              <w:pStyle w:val="Table"/>
            </w:pPr>
            <w:r>
              <w:t>Baseline results appear consistent with the published 2015 EDCM Method M model.</w:t>
            </w:r>
          </w:p>
        </w:tc>
      </w:tr>
    </w:tbl>
    <w:p w14:paraId="6E577B7F" w14:textId="00B41ADC" w:rsidR="000922BE" w:rsidRDefault="000922BE" w:rsidP="000922BE"/>
    <w:p w14:paraId="050F0B57" w14:textId="77777777" w:rsidR="00356B9A" w:rsidRPr="00BC24FD" w:rsidRDefault="00356B9A" w:rsidP="00356B9A">
      <w:pPr>
        <w:pStyle w:val="Hidden"/>
      </w:pPr>
    </w:p>
    <w:sectPr w:rsidR="00356B9A" w:rsidRPr="00BC24FD" w:rsidSect="00F51716">
      <w:footerReference w:type="default" r:id="rId9"/>
      <w:pgSz w:w="11900" w:h="16840"/>
      <w:pgMar w:top="1800" w:right="1440" w:bottom="1440" w:left="1440" w:header="1080" w:footer="835"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C97BA8" w14:textId="77777777" w:rsidR="001E2675" w:rsidRDefault="001E2675" w:rsidP="00F51716">
      <w:pPr>
        <w:spacing w:after="0"/>
      </w:pPr>
      <w:r>
        <w:separator/>
      </w:r>
    </w:p>
  </w:endnote>
  <w:endnote w:type="continuationSeparator" w:id="0">
    <w:p w14:paraId="3800ACF2" w14:textId="77777777" w:rsidR="001E2675" w:rsidRDefault="001E2675" w:rsidP="00F5171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Arial Black">
    <w:panose1 w:val="020B0A04020102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MS Mincho">
    <w:altName w:val="ＭＳ 明朝"/>
    <w:panose1 w:val="00000000000000000000"/>
    <w:charset w:val="80"/>
    <w:family w:val="roma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MS Gothic">
    <w:altName w:val="?? ????"/>
    <w:panose1 w:val="00000000000000000000"/>
    <w:charset w:val="80"/>
    <w:family w:val="modern"/>
    <w:notTrueType/>
    <w:pitch w:val="fixed"/>
    <w:sig w:usb0="00000001" w:usb1="08070000" w:usb2="00000010" w:usb3="00000000" w:csb0="00020000" w:csb1="00000000"/>
  </w:font>
  <w:font w:name="Verdana">
    <w:panose1 w:val="020B06040305040402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7E9969" w14:textId="77777777" w:rsidR="00F51716" w:rsidRDefault="009F1DB7">
    <w:pPr>
      <w:pStyle w:val="Footer"/>
    </w:pPr>
    <w:r w:rsidRPr="008021FC">
      <w:tab/>
    </w:r>
    <w:r>
      <w:fldChar w:fldCharType="begin"/>
    </w:r>
    <w:r>
      <w:instrText xml:space="preserve"> PAGE  \* MERGEFORMAT </w:instrText>
    </w:r>
    <w:r>
      <w:fldChar w:fldCharType="separate"/>
    </w:r>
    <w:r w:rsidR="00FA1961">
      <w:rPr>
        <w:noProof/>
      </w:rPr>
      <w:t>1</w:t>
    </w:r>
    <w: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078141" w14:textId="77777777" w:rsidR="001E2675" w:rsidRDefault="001E2675" w:rsidP="00F51716">
      <w:pPr>
        <w:spacing w:after="0"/>
      </w:pPr>
      <w:r>
        <w:separator/>
      </w:r>
    </w:p>
  </w:footnote>
  <w:footnote w:type="continuationSeparator" w:id="0">
    <w:p w14:paraId="12528336" w14:textId="77777777" w:rsidR="001E2675" w:rsidRDefault="001E2675" w:rsidP="00F51716">
      <w:pPr>
        <w:spacing w:after="0"/>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A3BE4C6C"/>
    <w:lvl w:ilvl="0">
      <w:start w:val="1"/>
      <w:numFmt w:val="bullet"/>
      <w:lvlText w:val=""/>
      <w:lvlJc w:val="left"/>
      <w:pPr>
        <w:tabs>
          <w:tab w:val="num" w:pos="643"/>
        </w:tabs>
        <w:ind w:left="643" w:hanging="360"/>
      </w:pPr>
      <w:rPr>
        <w:rFonts w:ascii="Symbol" w:hAnsi="Symbol" w:hint="default"/>
      </w:rPr>
    </w:lvl>
  </w:abstractNum>
  <w:abstractNum w:abstractNumId="1">
    <w:nsid w:val="FFFFFF89"/>
    <w:multiLevelType w:val="singleLevel"/>
    <w:tmpl w:val="B21A3854"/>
    <w:lvl w:ilvl="0">
      <w:start w:val="1"/>
      <w:numFmt w:val="bullet"/>
      <w:lvlText w:val=""/>
      <w:lvlJc w:val="left"/>
      <w:pPr>
        <w:tabs>
          <w:tab w:val="num" w:pos="360"/>
        </w:tabs>
        <w:ind w:left="360" w:hanging="360"/>
      </w:pPr>
      <w:rPr>
        <w:rFonts w:ascii="Symbol" w:hAnsi="Symbol" w:hint="default"/>
      </w:rPr>
    </w:lvl>
  </w:abstractNum>
  <w:abstractNum w:abstractNumId="2">
    <w:nsid w:val="1FB87DBC"/>
    <w:multiLevelType w:val="multilevel"/>
    <w:tmpl w:val="3C283E6E"/>
    <w:lvl w:ilvl="0">
      <w:start w:val="1"/>
      <w:numFmt w:val="none"/>
      <w:pStyle w:val="Heading1"/>
      <w:suff w:val="nothing"/>
      <w:lvlText w:val=""/>
      <w:lvlJc w:val="left"/>
      <w:rPr>
        <w:rFonts w:hint="default"/>
      </w:rPr>
    </w:lvl>
    <w:lvl w:ilvl="1">
      <w:start w:val="1"/>
      <w:numFmt w:val="decimal"/>
      <w:lvlRestart w:val="0"/>
      <w:pStyle w:val="Text"/>
      <w:lvlText w:val="%2."/>
      <w:lvlJc w:val="left"/>
      <w:pPr>
        <w:tabs>
          <w:tab w:val="num" w:pos="720"/>
        </w:tabs>
        <w:ind w:left="720" w:hanging="720"/>
      </w:pPr>
      <w:rPr>
        <w:rFonts w:hint="default"/>
      </w:rPr>
    </w:lvl>
    <w:lvl w:ilvl="2">
      <w:start w:val="1"/>
      <w:numFmt w:val="lowerLetter"/>
      <w:pStyle w:val="ListBullet"/>
      <w:lvlText w:val="(%3)"/>
      <w:lvlJc w:val="left"/>
      <w:pPr>
        <w:tabs>
          <w:tab w:val="num" w:pos="1195"/>
        </w:tabs>
        <w:ind w:left="1195" w:hanging="475"/>
      </w:pPr>
      <w:rPr>
        <w:rFonts w:hint="default"/>
      </w:rPr>
    </w:lvl>
    <w:lvl w:ilvl="3">
      <w:start w:val="1"/>
      <w:numFmt w:val="lowerRoman"/>
      <w:pStyle w:val="ListBullet2"/>
      <w:lvlText w:val="(%4)"/>
      <w:lvlJc w:val="left"/>
      <w:pPr>
        <w:tabs>
          <w:tab w:val="num" w:pos="1685"/>
        </w:tabs>
        <w:ind w:left="1685" w:hanging="490"/>
      </w:pPr>
      <w:rPr>
        <w:rFonts w:hint="default"/>
        <w:color w:val="auto"/>
        <w:sz w:val="24"/>
      </w:rPr>
    </w:lvl>
    <w:lvl w:ilvl="4">
      <w:start w:val="1"/>
      <w:numFmt w:val="bullet"/>
      <w:lvlText w:val=""/>
      <w:lvlJc w:val="left"/>
      <w:pPr>
        <w:tabs>
          <w:tab w:val="num" w:pos="1800"/>
        </w:tabs>
        <w:ind w:left="1800" w:hanging="360"/>
      </w:pPr>
      <w:rPr>
        <w:rFonts w:ascii="Symbol" w:hAnsi="Symbol" w:hint="default"/>
        <w:color w:val="auto"/>
      </w:rPr>
    </w:lvl>
    <w:lvl w:ilvl="5">
      <w:start w:val="1"/>
      <w:numFmt w:val="bullet"/>
      <w:lvlText w:val=""/>
      <w:lvlJc w:val="left"/>
      <w:pPr>
        <w:tabs>
          <w:tab w:val="num" w:pos="2160"/>
        </w:tabs>
        <w:ind w:left="2160" w:hanging="360"/>
      </w:pPr>
      <w:rPr>
        <w:rFonts w:ascii="Symbol" w:hAnsi="Symbol" w:hint="default"/>
        <w:color w:val="auto"/>
      </w:rPr>
    </w:lvl>
    <w:lvl w:ilvl="6">
      <w:start w:val="1"/>
      <w:numFmt w:val="bullet"/>
      <w:lvlText w:val=""/>
      <w:lvlJc w:val="left"/>
      <w:pPr>
        <w:tabs>
          <w:tab w:val="num" w:pos="2520"/>
        </w:tabs>
        <w:ind w:left="2520" w:hanging="360"/>
      </w:pPr>
      <w:rPr>
        <w:rFonts w:ascii="Symbol" w:hAnsi="Symbol" w:hint="default"/>
        <w:color w:val="auto"/>
      </w:rPr>
    </w:lvl>
    <w:lvl w:ilvl="7">
      <w:start w:val="1"/>
      <w:numFmt w:val="bullet"/>
      <w:lvlText w:val=""/>
      <w:lvlJc w:val="left"/>
      <w:pPr>
        <w:tabs>
          <w:tab w:val="num" w:pos="2880"/>
        </w:tabs>
        <w:ind w:left="2880" w:hanging="360"/>
      </w:pPr>
      <w:rPr>
        <w:rFonts w:ascii="Symbol" w:hAnsi="Symbol" w:hint="default"/>
        <w:color w:val="auto"/>
      </w:rPr>
    </w:lvl>
    <w:lvl w:ilvl="8">
      <w:start w:val="1"/>
      <w:numFmt w:val="bullet"/>
      <w:lvlText w:val=""/>
      <w:lvlJc w:val="left"/>
      <w:pPr>
        <w:tabs>
          <w:tab w:val="num" w:pos="3240"/>
        </w:tabs>
        <w:ind w:left="3240" w:hanging="360"/>
      </w:pPr>
      <w:rPr>
        <w:rFonts w:ascii="Symbol" w:hAnsi="Symbol" w:hint="default"/>
        <w:color w:val="auto"/>
      </w:rPr>
    </w:lvl>
  </w:abstractNum>
  <w:num w:numId="1">
    <w:abstractNumId w:val="1"/>
  </w:num>
  <w:num w:numId="2">
    <w:abstractNumId w:val="0"/>
  </w:num>
  <w:num w:numId="3">
    <w:abstractNumId w:val="2"/>
  </w:num>
  <w:num w:numId="4">
    <w:abstractNumId w:val="1"/>
  </w:num>
  <w:num w:numId="5">
    <w:abstractNumId w:val="2"/>
  </w:num>
  <w:num w:numId="6">
    <w:abstractNumId w:val="0"/>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w:rsids>
    <w:rsidRoot w:val="00F20CFA"/>
    <w:rsid w:val="00004594"/>
    <w:rsid w:val="000754AD"/>
    <w:rsid w:val="00087D29"/>
    <w:rsid w:val="000922BE"/>
    <w:rsid w:val="001E2675"/>
    <w:rsid w:val="001F5C32"/>
    <w:rsid w:val="001F7C0A"/>
    <w:rsid w:val="00211910"/>
    <w:rsid w:val="002910E4"/>
    <w:rsid w:val="002D0FC6"/>
    <w:rsid w:val="00347175"/>
    <w:rsid w:val="00356B9A"/>
    <w:rsid w:val="00421734"/>
    <w:rsid w:val="00452325"/>
    <w:rsid w:val="004F03A7"/>
    <w:rsid w:val="005B1261"/>
    <w:rsid w:val="0062766B"/>
    <w:rsid w:val="00635D0B"/>
    <w:rsid w:val="006848A1"/>
    <w:rsid w:val="00726444"/>
    <w:rsid w:val="00727962"/>
    <w:rsid w:val="00747B12"/>
    <w:rsid w:val="007A796F"/>
    <w:rsid w:val="00847DD2"/>
    <w:rsid w:val="008620BE"/>
    <w:rsid w:val="008C216C"/>
    <w:rsid w:val="009C0486"/>
    <w:rsid w:val="009F1DB7"/>
    <w:rsid w:val="00A2421F"/>
    <w:rsid w:val="00A72838"/>
    <w:rsid w:val="00B37B65"/>
    <w:rsid w:val="00BA7AC9"/>
    <w:rsid w:val="00C3007A"/>
    <w:rsid w:val="00CB467A"/>
    <w:rsid w:val="00D018E0"/>
    <w:rsid w:val="00D21AA4"/>
    <w:rsid w:val="00D844C1"/>
    <w:rsid w:val="00DA3FE7"/>
    <w:rsid w:val="00E53B09"/>
    <w:rsid w:val="00F20CFA"/>
    <w:rsid w:val="00F33181"/>
    <w:rsid w:val="00F77650"/>
    <w:rsid w:val="00F85A5C"/>
    <w:rsid w:val="00FA1961"/>
    <w:rsid w:val="00FD6E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C68C46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pPr>
      <w:spacing w:after="240"/>
      <w:jc w:val="both"/>
    </w:pPr>
    <w:rPr>
      <w:kern w:val="14"/>
      <w:sz w:val="24"/>
      <w:lang w:val="en-GB" w:bidi="en-US"/>
    </w:rPr>
  </w:style>
  <w:style w:type="paragraph" w:styleId="Heading1">
    <w:name w:val="heading 1"/>
    <w:basedOn w:val="Normal"/>
    <w:next w:val="Text"/>
    <w:qFormat/>
    <w:pPr>
      <w:keepNext/>
      <w:numPr>
        <w:numId w:val="10"/>
      </w:numPr>
      <w:spacing w:after="180"/>
      <w:jc w:val="left"/>
      <w:outlineLvl w:val="0"/>
    </w:pPr>
    <w:rPr>
      <w:rFonts w:ascii="Arial Black" w:hAnsi="Arial Black"/>
      <w:color w:val="333333"/>
      <w:kern w:val="0"/>
      <w:sz w:val="28"/>
      <w:lang w:eastAsia="ja-JP"/>
    </w:rPr>
  </w:style>
  <w:style w:type="paragraph" w:styleId="Heading2">
    <w:name w:val="heading 2"/>
    <w:basedOn w:val="Normal"/>
    <w:next w:val="Text"/>
    <w:link w:val="Heading2Char"/>
    <w:uiPriority w:val="99"/>
    <w:qFormat/>
    <w:rsid w:val="004F03A7"/>
    <w:pPr>
      <w:keepNext/>
      <w:jc w:val="left"/>
      <w:outlineLvl w:val="1"/>
    </w:pPr>
    <w:rPr>
      <w:rFonts w:ascii="Arial Black" w:hAnsi="Arial Black"/>
      <w:color w:val="333333"/>
      <w:kern w:val="0"/>
      <w:sz w:val="20"/>
    </w:rPr>
  </w:style>
  <w:style w:type="paragraph" w:styleId="Heading3">
    <w:name w:val="heading 3"/>
    <w:basedOn w:val="Normal"/>
    <w:next w:val="Text"/>
    <w:qFormat/>
    <w:rsid w:val="00F51716"/>
    <w:pPr>
      <w:keepNext/>
      <w:jc w:val="left"/>
      <w:outlineLvl w:val="2"/>
    </w:pPr>
    <w:rPr>
      <w:rFonts w:cs="Arial"/>
      <w:b/>
      <w:color w:val="333333"/>
      <w:kern w:val="0"/>
      <w:sz w:val="22"/>
      <w:szCs w:val="18"/>
    </w:rPr>
  </w:style>
  <w:style w:type="paragraph" w:styleId="Heading4">
    <w:name w:val="heading 4"/>
    <w:basedOn w:val="Normal"/>
    <w:next w:val="Normal"/>
    <w:qFormat/>
    <w:pPr>
      <w:keepNext/>
      <w:jc w:val="left"/>
      <w:outlineLvl w:val="3"/>
    </w:pPr>
    <w:rPr>
      <w:i/>
      <w:shd w:val="clear" w:color="FFFFFF" w:fil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0"/>
      <w:jc w:val="left"/>
    </w:pPr>
  </w:style>
  <w:style w:type="paragraph" w:styleId="Caption">
    <w:name w:val="caption"/>
    <w:basedOn w:val="Normal"/>
    <w:next w:val="Table"/>
    <w:qFormat/>
    <w:pPr>
      <w:keepNext/>
      <w:keepLines/>
      <w:tabs>
        <w:tab w:val="left" w:pos="1080"/>
      </w:tabs>
      <w:ind w:left="1080" w:hanging="1080"/>
      <w:jc w:val="left"/>
      <w:outlineLvl w:val="4"/>
    </w:pPr>
    <w:rPr>
      <w:rFonts w:eastAsia="MS Mincho"/>
      <w:b/>
      <w:sz w:val="22"/>
    </w:rPr>
  </w:style>
  <w:style w:type="paragraph" w:customStyle="1" w:styleId="Code">
    <w:name w:val="Code"/>
    <w:basedOn w:val="BodyText"/>
    <w:rPr>
      <w:rFonts w:ascii="Courier" w:hAnsi="Courier"/>
      <w:sz w:val="16"/>
    </w:rPr>
  </w:style>
  <w:style w:type="paragraph" w:customStyle="1" w:styleId="DocumentControl">
    <w:name w:val="Document Control"/>
    <w:basedOn w:val="Normal"/>
    <w:pPr>
      <w:tabs>
        <w:tab w:val="left" w:pos="1786"/>
        <w:tab w:val="left" w:pos="9000"/>
      </w:tabs>
      <w:spacing w:after="0" w:line="240" w:lineRule="exact"/>
      <w:jc w:val="left"/>
    </w:pPr>
    <w:rPr>
      <w:rFonts w:ascii="Arial Black" w:hAnsi="Arial Black"/>
      <w:kern w:val="20"/>
      <w:sz w:val="20"/>
    </w:rPr>
  </w:style>
  <w:style w:type="paragraph" w:styleId="DocumentMap">
    <w:name w:val="Document Map"/>
    <w:basedOn w:val="Normal"/>
    <w:semiHidden/>
    <w:pPr>
      <w:shd w:val="clear" w:color="auto" w:fill="000080"/>
      <w:tabs>
        <w:tab w:val="num" w:pos="720"/>
      </w:tabs>
      <w:ind w:left="720" w:hanging="720"/>
    </w:pPr>
    <w:rPr>
      <w:rFonts w:ascii="Tahoma" w:eastAsia="MS Gothic" w:hAnsi="Tahoma"/>
      <w:sz w:val="18"/>
    </w:rPr>
  </w:style>
  <w:style w:type="paragraph" w:customStyle="1" w:styleId="DraftingNote">
    <w:name w:val="Drafting Note"/>
    <w:basedOn w:val="Normal"/>
    <w:rPr>
      <w:i/>
      <w:color w:val="FF0000"/>
      <w:shd w:val="clear" w:color="FFFFFF" w:fill="FFFF99"/>
    </w:rPr>
  </w:style>
  <w:style w:type="character" w:customStyle="1" w:styleId="DraftingNoteChar">
    <w:name w:val="Drafting Note Char"/>
    <w:basedOn w:val="DefaultParagraphFont"/>
    <w:uiPriority w:val="99"/>
    <w:rPr>
      <w:rFonts w:cs="Times New Roman"/>
      <w:i/>
      <w:color w:val="FF0000"/>
      <w:kern w:val="14"/>
      <w:sz w:val="24"/>
      <w:shd w:val="clear" w:color="FFFFFF" w:fill="FFFF99"/>
      <w:lang w:val="en-GB" w:eastAsia="en-US"/>
    </w:rPr>
  </w:style>
  <w:style w:type="paragraph" w:customStyle="1" w:styleId="Equation">
    <w:name w:val="Equation"/>
    <w:basedOn w:val="BodyText"/>
    <w:pPr>
      <w:tabs>
        <w:tab w:val="right" w:pos="8640"/>
      </w:tabs>
      <w:spacing w:after="240"/>
      <w:ind w:left="1080"/>
    </w:pPr>
  </w:style>
  <w:style w:type="paragraph" w:customStyle="1" w:styleId="Eqwhere">
    <w:name w:val="Eqwhere"/>
    <w:basedOn w:val="BodyText"/>
    <w:pPr>
      <w:spacing w:after="240"/>
      <w:ind w:left="720"/>
    </w:pPr>
  </w:style>
  <w:style w:type="character" w:styleId="FollowedHyperlink">
    <w:name w:val="FollowedHyperlink"/>
    <w:basedOn w:val="DefaultParagraphFont"/>
    <w:rPr>
      <w:rFonts w:cs="Times New Roman"/>
      <w:color w:val="auto"/>
      <w:u w:val="none"/>
    </w:rPr>
  </w:style>
  <w:style w:type="paragraph" w:styleId="Header">
    <w:name w:val="header"/>
    <w:basedOn w:val="Normal"/>
    <w:pPr>
      <w:tabs>
        <w:tab w:val="right" w:pos="9000"/>
      </w:tabs>
      <w:spacing w:after="0" w:line="240" w:lineRule="exact"/>
      <w:jc w:val="left"/>
    </w:pPr>
    <w:rPr>
      <w:rFonts w:ascii="Arial" w:hAnsi="Arial"/>
      <w:color w:val="0066CC"/>
      <w:kern w:val="18"/>
      <w:sz w:val="18"/>
    </w:rPr>
  </w:style>
  <w:style w:type="paragraph" w:styleId="Footer">
    <w:name w:val="footer"/>
    <w:basedOn w:val="Header"/>
    <w:semiHidden/>
  </w:style>
  <w:style w:type="character" w:styleId="FootnoteReference">
    <w:name w:val="footnote reference"/>
    <w:basedOn w:val="DefaultParagraphFont"/>
    <w:semiHidden/>
    <w:rPr>
      <w:rFonts w:cs="Times New Roman"/>
      <w:vertAlign w:val="superscript"/>
    </w:rPr>
  </w:style>
  <w:style w:type="paragraph" w:styleId="FootnoteText">
    <w:name w:val="footnote text"/>
    <w:basedOn w:val="Normal"/>
    <w:semiHidden/>
    <w:pPr>
      <w:tabs>
        <w:tab w:val="left" w:pos="180"/>
      </w:tabs>
      <w:spacing w:after="0"/>
      <w:ind w:left="180" w:hanging="180"/>
      <w:jc w:val="left"/>
    </w:pPr>
    <w:rPr>
      <w:sz w:val="18"/>
    </w:rPr>
  </w:style>
  <w:style w:type="paragraph" w:customStyle="1" w:styleId="Hidden">
    <w:name w:val="Hidden"/>
    <w:basedOn w:val="DocumentControl"/>
    <w:rPr>
      <w:vanish/>
      <w:color w:val="FF6633"/>
    </w:rPr>
  </w:style>
  <w:style w:type="character" w:styleId="Hyperlink">
    <w:name w:val="Hyperlink"/>
    <w:basedOn w:val="DefaultParagraphFont"/>
    <w:rPr>
      <w:rFonts w:cs="Times New Roman"/>
      <w:color w:val="auto"/>
    </w:rPr>
  </w:style>
  <w:style w:type="paragraph" w:styleId="ListBullet">
    <w:name w:val="List Bullet"/>
    <w:basedOn w:val="Normal"/>
    <w:pPr>
      <w:numPr>
        <w:ilvl w:val="2"/>
        <w:numId w:val="10"/>
      </w:numPr>
    </w:pPr>
  </w:style>
  <w:style w:type="paragraph" w:styleId="ListBullet2">
    <w:name w:val="List Bullet 2"/>
    <w:basedOn w:val="Normal"/>
    <w:pPr>
      <w:numPr>
        <w:ilvl w:val="3"/>
        <w:numId w:val="10"/>
      </w:numPr>
    </w:pPr>
  </w:style>
  <w:style w:type="paragraph" w:styleId="PlainText">
    <w:name w:val="Plain Text"/>
    <w:basedOn w:val="Normal"/>
    <w:rPr>
      <w:rFonts w:ascii="Courier" w:hAnsi="Courier"/>
      <w:szCs w:val="24"/>
    </w:rPr>
  </w:style>
  <w:style w:type="paragraph" w:customStyle="1" w:styleId="Quotation">
    <w:name w:val="Quotation"/>
    <w:basedOn w:val="BodyText"/>
    <w:pPr>
      <w:spacing w:after="240"/>
      <w:ind w:left="1080" w:right="360"/>
      <w:jc w:val="both"/>
    </w:pPr>
    <w:rPr>
      <w:spacing w:val="-4"/>
      <w:kern w:val="20"/>
    </w:rPr>
  </w:style>
  <w:style w:type="paragraph" w:customStyle="1" w:styleId="Table">
    <w:name w:val="Table"/>
    <w:basedOn w:val="Normal"/>
    <w:rsid w:val="00F77650"/>
    <w:pPr>
      <w:keepNext/>
      <w:tabs>
        <w:tab w:val="num" w:pos="720"/>
      </w:tabs>
      <w:spacing w:before="120" w:after="120"/>
      <w:jc w:val="left"/>
    </w:pPr>
    <w:rPr>
      <w:sz w:val="22"/>
    </w:rPr>
  </w:style>
  <w:style w:type="table" w:styleId="TableGrid">
    <w:name w:val="Table Grid"/>
    <w:basedOn w:val="TableNormal"/>
    <w:pPr>
      <w:spacing w:after="240"/>
      <w:jc w:val="both"/>
    </w:pPr>
    <w:rPr>
      <w:lang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LastNote">
    <w:name w:val="Table Last Note"/>
    <w:basedOn w:val="Normal"/>
    <w:pPr>
      <w:keepLines/>
      <w:tabs>
        <w:tab w:val="num" w:pos="0"/>
      </w:tabs>
      <w:spacing w:before="40"/>
    </w:pPr>
    <w:rPr>
      <w:rFonts w:cs="Arial"/>
      <w:sz w:val="18"/>
      <w:szCs w:val="24"/>
    </w:rPr>
  </w:style>
  <w:style w:type="paragraph" w:customStyle="1" w:styleId="TableNotes">
    <w:name w:val="Table Notes"/>
    <w:basedOn w:val="Normal"/>
    <w:pPr>
      <w:keepNext/>
      <w:keepLines/>
      <w:tabs>
        <w:tab w:val="num" w:pos="720"/>
      </w:tabs>
      <w:spacing w:before="40" w:after="40"/>
    </w:pPr>
    <w:rPr>
      <w:i/>
      <w:sz w:val="18"/>
    </w:rPr>
  </w:style>
  <w:style w:type="paragraph" w:customStyle="1" w:styleId="Text">
    <w:name w:val="Text"/>
    <w:basedOn w:val="Normal"/>
    <w:uiPriority w:val="99"/>
    <w:pPr>
      <w:numPr>
        <w:ilvl w:val="1"/>
        <w:numId w:val="10"/>
      </w:numPr>
    </w:pPr>
  </w:style>
  <w:style w:type="paragraph" w:styleId="TOC1">
    <w:name w:val="toc 1"/>
    <w:basedOn w:val="Normal"/>
    <w:next w:val="Normal"/>
    <w:autoRedefine/>
    <w:semiHidden/>
    <w:pPr>
      <w:keepNext/>
      <w:tabs>
        <w:tab w:val="left" w:pos="353"/>
        <w:tab w:val="right" w:leader="dot" w:pos="9000"/>
      </w:tabs>
      <w:spacing w:before="180" w:after="0"/>
      <w:ind w:left="360" w:right="374" w:hanging="360"/>
      <w:jc w:val="left"/>
    </w:pPr>
    <w:rPr>
      <w:rFonts w:ascii="Arial" w:hAnsi="Arial"/>
      <w:b/>
      <w:noProof/>
      <w:kern w:val="0"/>
      <w:sz w:val="22"/>
    </w:rPr>
  </w:style>
  <w:style w:type="paragraph" w:styleId="TOC2">
    <w:name w:val="toc 2"/>
    <w:basedOn w:val="Normal"/>
    <w:next w:val="Normal"/>
    <w:autoRedefine/>
    <w:semiHidden/>
    <w:pPr>
      <w:tabs>
        <w:tab w:val="right" w:leader="dot" w:pos="9000"/>
      </w:tabs>
      <w:spacing w:before="240" w:after="0"/>
      <w:ind w:right="360"/>
      <w:jc w:val="left"/>
    </w:pPr>
    <w:rPr>
      <w:b/>
      <w:noProof/>
      <w:kern w:val="0"/>
      <w:sz w:val="22"/>
    </w:rPr>
  </w:style>
  <w:style w:type="paragraph" w:styleId="TOC3">
    <w:name w:val="toc 3"/>
    <w:basedOn w:val="Normal"/>
    <w:next w:val="Normal"/>
    <w:autoRedefine/>
    <w:semiHidden/>
    <w:pPr>
      <w:tabs>
        <w:tab w:val="right" w:leader="dot" w:pos="9000"/>
      </w:tabs>
      <w:spacing w:after="0"/>
      <w:ind w:right="380"/>
    </w:pPr>
    <w:rPr>
      <w:noProof/>
      <w:sz w:val="18"/>
    </w:rPr>
  </w:style>
  <w:style w:type="paragraph" w:styleId="TOCHeading">
    <w:name w:val="TOC Heading"/>
    <w:basedOn w:val="TOC1"/>
    <w:qFormat/>
    <w:pPr>
      <w:ind w:right="0"/>
    </w:pPr>
  </w:style>
  <w:style w:type="paragraph" w:customStyle="1" w:styleId="Default">
    <w:name w:val="Default"/>
    <w:rsid w:val="008A3EC3"/>
    <w:pPr>
      <w:autoSpaceDE w:val="0"/>
      <w:autoSpaceDN w:val="0"/>
      <w:adjustRightInd w:val="0"/>
    </w:pPr>
    <w:rPr>
      <w:rFonts w:ascii="Verdana" w:hAnsi="Verdana" w:cs="Verdana"/>
      <w:color w:val="000000"/>
      <w:sz w:val="24"/>
      <w:szCs w:val="24"/>
      <w:lang w:bidi="en-US"/>
    </w:rPr>
  </w:style>
  <w:style w:type="character" w:customStyle="1" w:styleId="legaddition">
    <w:name w:val="legaddition"/>
    <w:basedOn w:val="DefaultParagraphFont"/>
    <w:rsid w:val="00784EED"/>
    <w:rPr>
      <w:rFonts w:cs="Times New Roman"/>
    </w:rPr>
  </w:style>
  <w:style w:type="paragraph" w:customStyle="1" w:styleId="Byline">
    <w:name w:val="Byline"/>
    <w:basedOn w:val="Heading3"/>
    <w:uiPriority w:val="99"/>
    <w:rsid w:val="004F03A7"/>
    <w:pPr>
      <w:outlineLvl w:val="4"/>
    </w:pPr>
  </w:style>
  <w:style w:type="character" w:customStyle="1" w:styleId="Heading2Char">
    <w:name w:val="Heading 2 Char"/>
    <w:basedOn w:val="DefaultParagraphFont"/>
    <w:link w:val="Heading2"/>
    <w:uiPriority w:val="99"/>
    <w:locked/>
    <w:rsid w:val="00F20CFA"/>
    <w:rPr>
      <w:rFonts w:ascii="Arial Black" w:hAnsi="Arial Black"/>
      <w:color w:val="333333"/>
      <w:lang w:val="en-GB" w:bidi="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pPr>
      <w:spacing w:after="240"/>
      <w:jc w:val="both"/>
    </w:pPr>
    <w:rPr>
      <w:kern w:val="14"/>
      <w:sz w:val="24"/>
      <w:lang w:val="en-GB" w:bidi="en-US"/>
    </w:rPr>
  </w:style>
  <w:style w:type="paragraph" w:styleId="Heading1">
    <w:name w:val="heading 1"/>
    <w:basedOn w:val="Normal"/>
    <w:next w:val="Text"/>
    <w:qFormat/>
    <w:pPr>
      <w:keepNext/>
      <w:numPr>
        <w:numId w:val="10"/>
      </w:numPr>
      <w:spacing w:after="180"/>
      <w:jc w:val="left"/>
      <w:outlineLvl w:val="0"/>
    </w:pPr>
    <w:rPr>
      <w:rFonts w:ascii="Arial Black" w:hAnsi="Arial Black"/>
      <w:color w:val="333333"/>
      <w:kern w:val="0"/>
      <w:sz w:val="28"/>
      <w:lang w:eastAsia="ja-JP"/>
    </w:rPr>
  </w:style>
  <w:style w:type="paragraph" w:styleId="Heading2">
    <w:name w:val="heading 2"/>
    <w:basedOn w:val="Normal"/>
    <w:next w:val="Text"/>
    <w:link w:val="Heading2Char"/>
    <w:uiPriority w:val="99"/>
    <w:qFormat/>
    <w:rsid w:val="004F03A7"/>
    <w:pPr>
      <w:keepNext/>
      <w:jc w:val="left"/>
      <w:outlineLvl w:val="1"/>
    </w:pPr>
    <w:rPr>
      <w:rFonts w:ascii="Arial Black" w:hAnsi="Arial Black"/>
      <w:color w:val="333333"/>
      <w:kern w:val="0"/>
      <w:sz w:val="20"/>
    </w:rPr>
  </w:style>
  <w:style w:type="paragraph" w:styleId="Heading3">
    <w:name w:val="heading 3"/>
    <w:basedOn w:val="Normal"/>
    <w:next w:val="Text"/>
    <w:qFormat/>
    <w:rsid w:val="00F51716"/>
    <w:pPr>
      <w:keepNext/>
      <w:jc w:val="left"/>
      <w:outlineLvl w:val="2"/>
    </w:pPr>
    <w:rPr>
      <w:rFonts w:cs="Arial"/>
      <w:b/>
      <w:color w:val="333333"/>
      <w:kern w:val="0"/>
      <w:sz w:val="22"/>
      <w:szCs w:val="18"/>
    </w:rPr>
  </w:style>
  <w:style w:type="paragraph" w:styleId="Heading4">
    <w:name w:val="heading 4"/>
    <w:basedOn w:val="Normal"/>
    <w:next w:val="Normal"/>
    <w:qFormat/>
    <w:pPr>
      <w:keepNext/>
      <w:jc w:val="left"/>
      <w:outlineLvl w:val="3"/>
    </w:pPr>
    <w:rPr>
      <w:i/>
      <w:shd w:val="clear" w:color="FFFFFF" w:fil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0"/>
      <w:jc w:val="left"/>
    </w:pPr>
  </w:style>
  <w:style w:type="paragraph" w:styleId="Caption">
    <w:name w:val="caption"/>
    <w:basedOn w:val="Normal"/>
    <w:next w:val="Table"/>
    <w:qFormat/>
    <w:pPr>
      <w:keepNext/>
      <w:keepLines/>
      <w:tabs>
        <w:tab w:val="left" w:pos="1080"/>
      </w:tabs>
      <w:ind w:left="1080" w:hanging="1080"/>
      <w:jc w:val="left"/>
      <w:outlineLvl w:val="4"/>
    </w:pPr>
    <w:rPr>
      <w:rFonts w:eastAsia="MS Mincho"/>
      <w:b/>
      <w:sz w:val="22"/>
    </w:rPr>
  </w:style>
  <w:style w:type="paragraph" w:customStyle="1" w:styleId="Code">
    <w:name w:val="Code"/>
    <w:basedOn w:val="BodyText"/>
    <w:rPr>
      <w:rFonts w:ascii="Courier" w:hAnsi="Courier"/>
      <w:sz w:val="16"/>
    </w:rPr>
  </w:style>
  <w:style w:type="paragraph" w:customStyle="1" w:styleId="DocumentControl">
    <w:name w:val="Document Control"/>
    <w:basedOn w:val="Normal"/>
    <w:pPr>
      <w:tabs>
        <w:tab w:val="left" w:pos="1786"/>
        <w:tab w:val="left" w:pos="9000"/>
      </w:tabs>
      <w:spacing w:after="0" w:line="240" w:lineRule="exact"/>
      <w:jc w:val="left"/>
    </w:pPr>
    <w:rPr>
      <w:rFonts w:ascii="Arial Black" w:hAnsi="Arial Black"/>
      <w:kern w:val="20"/>
      <w:sz w:val="20"/>
    </w:rPr>
  </w:style>
  <w:style w:type="paragraph" w:styleId="DocumentMap">
    <w:name w:val="Document Map"/>
    <w:basedOn w:val="Normal"/>
    <w:semiHidden/>
    <w:pPr>
      <w:shd w:val="clear" w:color="auto" w:fill="000080"/>
      <w:tabs>
        <w:tab w:val="num" w:pos="720"/>
      </w:tabs>
      <w:ind w:left="720" w:hanging="720"/>
    </w:pPr>
    <w:rPr>
      <w:rFonts w:ascii="Tahoma" w:eastAsia="MS Gothic" w:hAnsi="Tahoma"/>
      <w:sz w:val="18"/>
    </w:rPr>
  </w:style>
  <w:style w:type="paragraph" w:customStyle="1" w:styleId="DraftingNote">
    <w:name w:val="Drafting Note"/>
    <w:basedOn w:val="Normal"/>
    <w:rPr>
      <w:i/>
      <w:color w:val="FF0000"/>
      <w:shd w:val="clear" w:color="FFFFFF" w:fill="FFFF99"/>
    </w:rPr>
  </w:style>
  <w:style w:type="character" w:customStyle="1" w:styleId="DraftingNoteChar">
    <w:name w:val="Drafting Note Char"/>
    <w:basedOn w:val="DefaultParagraphFont"/>
    <w:uiPriority w:val="99"/>
    <w:rPr>
      <w:rFonts w:cs="Times New Roman"/>
      <w:i/>
      <w:color w:val="FF0000"/>
      <w:kern w:val="14"/>
      <w:sz w:val="24"/>
      <w:shd w:val="clear" w:color="FFFFFF" w:fill="FFFF99"/>
      <w:lang w:val="en-GB" w:eastAsia="en-US"/>
    </w:rPr>
  </w:style>
  <w:style w:type="paragraph" w:customStyle="1" w:styleId="Equation">
    <w:name w:val="Equation"/>
    <w:basedOn w:val="BodyText"/>
    <w:pPr>
      <w:tabs>
        <w:tab w:val="right" w:pos="8640"/>
      </w:tabs>
      <w:spacing w:after="240"/>
      <w:ind w:left="1080"/>
    </w:pPr>
  </w:style>
  <w:style w:type="paragraph" w:customStyle="1" w:styleId="Eqwhere">
    <w:name w:val="Eqwhere"/>
    <w:basedOn w:val="BodyText"/>
    <w:pPr>
      <w:spacing w:after="240"/>
      <w:ind w:left="720"/>
    </w:pPr>
  </w:style>
  <w:style w:type="character" w:styleId="FollowedHyperlink">
    <w:name w:val="FollowedHyperlink"/>
    <w:basedOn w:val="DefaultParagraphFont"/>
    <w:rPr>
      <w:rFonts w:cs="Times New Roman"/>
      <w:color w:val="auto"/>
      <w:u w:val="none"/>
    </w:rPr>
  </w:style>
  <w:style w:type="paragraph" w:styleId="Header">
    <w:name w:val="header"/>
    <w:basedOn w:val="Normal"/>
    <w:pPr>
      <w:tabs>
        <w:tab w:val="right" w:pos="9000"/>
      </w:tabs>
      <w:spacing w:after="0" w:line="240" w:lineRule="exact"/>
      <w:jc w:val="left"/>
    </w:pPr>
    <w:rPr>
      <w:rFonts w:ascii="Arial" w:hAnsi="Arial"/>
      <w:color w:val="0066CC"/>
      <w:kern w:val="18"/>
      <w:sz w:val="18"/>
    </w:rPr>
  </w:style>
  <w:style w:type="paragraph" w:styleId="Footer">
    <w:name w:val="footer"/>
    <w:basedOn w:val="Header"/>
    <w:semiHidden/>
  </w:style>
  <w:style w:type="character" w:styleId="FootnoteReference">
    <w:name w:val="footnote reference"/>
    <w:basedOn w:val="DefaultParagraphFont"/>
    <w:semiHidden/>
    <w:rPr>
      <w:rFonts w:cs="Times New Roman"/>
      <w:vertAlign w:val="superscript"/>
    </w:rPr>
  </w:style>
  <w:style w:type="paragraph" w:styleId="FootnoteText">
    <w:name w:val="footnote text"/>
    <w:basedOn w:val="Normal"/>
    <w:semiHidden/>
    <w:pPr>
      <w:tabs>
        <w:tab w:val="left" w:pos="180"/>
      </w:tabs>
      <w:spacing w:after="0"/>
      <w:ind w:left="180" w:hanging="180"/>
      <w:jc w:val="left"/>
    </w:pPr>
    <w:rPr>
      <w:sz w:val="18"/>
    </w:rPr>
  </w:style>
  <w:style w:type="paragraph" w:customStyle="1" w:styleId="Hidden">
    <w:name w:val="Hidden"/>
    <w:basedOn w:val="DocumentControl"/>
    <w:rPr>
      <w:vanish/>
      <w:color w:val="FF6633"/>
    </w:rPr>
  </w:style>
  <w:style w:type="character" w:styleId="Hyperlink">
    <w:name w:val="Hyperlink"/>
    <w:basedOn w:val="DefaultParagraphFont"/>
    <w:rPr>
      <w:rFonts w:cs="Times New Roman"/>
      <w:color w:val="auto"/>
    </w:rPr>
  </w:style>
  <w:style w:type="paragraph" w:styleId="ListBullet">
    <w:name w:val="List Bullet"/>
    <w:basedOn w:val="Normal"/>
    <w:pPr>
      <w:numPr>
        <w:ilvl w:val="2"/>
        <w:numId w:val="10"/>
      </w:numPr>
    </w:pPr>
  </w:style>
  <w:style w:type="paragraph" w:styleId="ListBullet2">
    <w:name w:val="List Bullet 2"/>
    <w:basedOn w:val="Normal"/>
    <w:pPr>
      <w:numPr>
        <w:ilvl w:val="3"/>
        <w:numId w:val="10"/>
      </w:numPr>
    </w:pPr>
  </w:style>
  <w:style w:type="paragraph" w:styleId="PlainText">
    <w:name w:val="Plain Text"/>
    <w:basedOn w:val="Normal"/>
    <w:rPr>
      <w:rFonts w:ascii="Courier" w:hAnsi="Courier"/>
      <w:szCs w:val="24"/>
    </w:rPr>
  </w:style>
  <w:style w:type="paragraph" w:customStyle="1" w:styleId="Quotation">
    <w:name w:val="Quotation"/>
    <w:basedOn w:val="BodyText"/>
    <w:pPr>
      <w:spacing w:after="240"/>
      <w:ind w:left="1080" w:right="360"/>
      <w:jc w:val="both"/>
    </w:pPr>
    <w:rPr>
      <w:spacing w:val="-4"/>
      <w:kern w:val="20"/>
    </w:rPr>
  </w:style>
  <w:style w:type="paragraph" w:customStyle="1" w:styleId="Table">
    <w:name w:val="Table"/>
    <w:basedOn w:val="Normal"/>
    <w:rsid w:val="00F77650"/>
    <w:pPr>
      <w:keepNext/>
      <w:tabs>
        <w:tab w:val="num" w:pos="720"/>
      </w:tabs>
      <w:spacing w:before="120" w:after="120"/>
      <w:jc w:val="left"/>
    </w:pPr>
    <w:rPr>
      <w:sz w:val="22"/>
    </w:rPr>
  </w:style>
  <w:style w:type="table" w:styleId="TableGrid">
    <w:name w:val="Table Grid"/>
    <w:basedOn w:val="TableNormal"/>
    <w:pPr>
      <w:spacing w:after="240"/>
      <w:jc w:val="both"/>
    </w:pPr>
    <w:rPr>
      <w:lang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LastNote">
    <w:name w:val="Table Last Note"/>
    <w:basedOn w:val="Normal"/>
    <w:pPr>
      <w:keepLines/>
      <w:tabs>
        <w:tab w:val="num" w:pos="0"/>
      </w:tabs>
      <w:spacing w:before="40"/>
    </w:pPr>
    <w:rPr>
      <w:rFonts w:cs="Arial"/>
      <w:sz w:val="18"/>
      <w:szCs w:val="24"/>
    </w:rPr>
  </w:style>
  <w:style w:type="paragraph" w:customStyle="1" w:styleId="TableNotes">
    <w:name w:val="Table Notes"/>
    <w:basedOn w:val="Normal"/>
    <w:pPr>
      <w:keepNext/>
      <w:keepLines/>
      <w:tabs>
        <w:tab w:val="num" w:pos="720"/>
      </w:tabs>
      <w:spacing w:before="40" w:after="40"/>
    </w:pPr>
    <w:rPr>
      <w:i/>
      <w:sz w:val="18"/>
    </w:rPr>
  </w:style>
  <w:style w:type="paragraph" w:customStyle="1" w:styleId="Text">
    <w:name w:val="Text"/>
    <w:basedOn w:val="Normal"/>
    <w:uiPriority w:val="99"/>
    <w:pPr>
      <w:numPr>
        <w:ilvl w:val="1"/>
        <w:numId w:val="10"/>
      </w:numPr>
    </w:pPr>
  </w:style>
  <w:style w:type="paragraph" w:styleId="TOC1">
    <w:name w:val="toc 1"/>
    <w:basedOn w:val="Normal"/>
    <w:next w:val="Normal"/>
    <w:autoRedefine/>
    <w:semiHidden/>
    <w:pPr>
      <w:keepNext/>
      <w:tabs>
        <w:tab w:val="left" w:pos="353"/>
        <w:tab w:val="right" w:leader="dot" w:pos="9000"/>
      </w:tabs>
      <w:spacing w:before="180" w:after="0"/>
      <w:ind w:left="360" w:right="374" w:hanging="360"/>
      <w:jc w:val="left"/>
    </w:pPr>
    <w:rPr>
      <w:rFonts w:ascii="Arial" w:hAnsi="Arial"/>
      <w:b/>
      <w:noProof/>
      <w:kern w:val="0"/>
      <w:sz w:val="22"/>
    </w:rPr>
  </w:style>
  <w:style w:type="paragraph" w:styleId="TOC2">
    <w:name w:val="toc 2"/>
    <w:basedOn w:val="Normal"/>
    <w:next w:val="Normal"/>
    <w:autoRedefine/>
    <w:semiHidden/>
    <w:pPr>
      <w:tabs>
        <w:tab w:val="right" w:leader="dot" w:pos="9000"/>
      </w:tabs>
      <w:spacing w:before="240" w:after="0"/>
      <w:ind w:right="360"/>
      <w:jc w:val="left"/>
    </w:pPr>
    <w:rPr>
      <w:b/>
      <w:noProof/>
      <w:kern w:val="0"/>
      <w:sz w:val="22"/>
    </w:rPr>
  </w:style>
  <w:style w:type="paragraph" w:styleId="TOC3">
    <w:name w:val="toc 3"/>
    <w:basedOn w:val="Normal"/>
    <w:next w:val="Normal"/>
    <w:autoRedefine/>
    <w:semiHidden/>
    <w:pPr>
      <w:tabs>
        <w:tab w:val="right" w:leader="dot" w:pos="9000"/>
      </w:tabs>
      <w:spacing w:after="0"/>
      <w:ind w:right="380"/>
    </w:pPr>
    <w:rPr>
      <w:noProof/>
      <w:sz w:val="18"/>
    </w:rPr>
  </w:style>
  <w:style w:type="paragraph" w:styleId="TOCHeading">
    <w:name w:val="TOC Heading"/>
    <w:basedOn w:val="TOC1"/>
    <w:qFormat/>
    <w:pPr>
      <w:ind w:right="0"/>
    </w:pPr>
  </w:style>
  <w:style w:type="paragraph" w:customStyle="1" w:styleId="Default">
    <w:name w:val="Default"/>
    <w:rsid w:val="008A3EC3"/>
    <w:pPr>
      <w:autoSpaceDE w:val="0"/>
      <w:autoSpaceDN w:val="0"/>
      <w:adjustRightInd w:val="0"/>
    </w:pPr>
    <w:rPr>
      <w:rFonts w:ascii="Verdana" w:hAnsi="Verdana" w:cs="Verdana"/>
      <w:color w:val="000000"/>
      <w:sz w:val="24"/>
      <w:szCs w:val="24"/>
      <w:lang w:bidi="en-US"/>
    </w:rPr>
  </w:style>
  <w:style w:type="character" w:customStyle="1" w:styleId="legaddition">
    <w:name w:val="legaddition"/>
    <w:basedOn w:val="DefaultParagraphFont"/>
    <w:rsid w:val="00784EED"/>
    <w:rPr>
      <w:rFonts w:cs="Times New Roman"/>
    </w:rPr>
  </w:style>
  <w:style w:type="paragraph" w:customStyle="1" w:styleId="Byline">
    <w:name w:val="Byline"/>
    <w:basedOn w:val="Heading3"/>
    <w:uiPriority w:val="99"/>
    <w:rsid w:val="004F03A7"/>
    <w:pPr>
      <w:outlineLvl w:val="4"/>
    </w:pPr>
  </w:style>
  <w:style w:type="character" w:customStyle="1" w:styleId="Heading2Char">
    <w:name w:val="Heading 2 Char"/>
    <w:basedOn w:val="DefaultParagraphFont"/>
    <w:link w:val="Heading2"/>
    <w:uiPriority w:val="99"/>
    <w:locked/>
    <w:rsid w:val="00F20CFA"/>
    <w:rPr>
      <w:rFonts w:ascii="Arial Black" w:hAnsi="Arial Black"/>
      <w:color w:val="333333"/>
      <w:lang w:val="en-GB"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EFAEE8-A803-644D-A365-C9B0BD41BE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1187</Words>
  <Characters>6769</Characters>
  <Application>Microsoft Macintosh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7941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Franck Latrémolière (Reckon)</dc:creator>
  <cp:keywords/>
  <dc:description/>
  <cp:lastModifiedBy>Franck Latrémolière (Reckon)</cp:lastModifiedBy>
  <cp:revision>4</cp:revision>
  <cp:lastPrinted>2015-04-05T17:34:00Z</cp:lastPrinted>
  <dcterms:created xsi:type="dcterms:W3CDTF">2015-05-09T13:22:00Z</dcterms:created>
  <dcterms:modified xsi:type="dcterms:W3CDTF">2015-05-09T13:25:00Z</dcterms:modified>
  <cp:category/>
</cp:coreProperties>
</file>