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77" w:rsidRPr="008A7057" w:rsidRDefault="00565E77" w:rsidP="0065223E">
      <w:pPr>
        <w:rPr>
          <w:rFonts w:asciiTheme="minorHAnsi" w:hAnsiTheme="minorHAnsi"/>
          <w:color w:val="FF0000"/>
          <w:sz w:val="22"/>
          <w:szCs w:val="20"/>
        </w:rPr>
      </w:pPr>
    </w:p>
    <w:p w:rsidR="00565E77" w:rsidRPr="008A7057" w:rsidRDefault="00565E77" w:rsidP="00A1447E">
      <w:pPr>
        <w:ind w:hanging="851"/>
        <w:rPr>
          <w:rFonts w:asciiTheme="minorHAnsi" w:hAnsiTheme="minorHAnsi"/>
          <w:noProof/>
          <w:color w:val="FF0000"/>
          <w:sz w:val="28"/>
          <w:lang w:val="en-US"/>
        </w:rPr>
      </w:pPr>
      <w:r w:rsidRPr="008A7057">
        <w:rPr>
          <w:rFonts w:asciiTheme="minorHAnsi" w:hAnsiTheme="minorHAnsi"/>
          <w:color w:val="FF0000"/>
          <w:sz w:val="22"/>
          <w:szCs w:val="20"/>
        </w:rPr>
        <w:t xml:space="preserve"> </w:t>
      </w:r>
      <w:r w:rsidR="00867564" w:rsidRPr="008A7057">
        <w:rPr>
          <w:rFonts w:asciiTheme="minorHAnsi" w:hAnsiTheme="minorHAnsi"/>
          <w:noProof/>
          <w:color w:val="FF0000"/>
          <w:sz w:val="28"/>
        </w:rPr>
        <w:drawing>
          <wp:inline distT="0" distB="0" distL="0" distR="0" wp14:anchorId="1C4E054B" wp14:editId="782DC6E4">
            <wp:extent cx="2573655" cy="8128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655" cy="812800"/>
                    </a:xfrm>
                    <a:prstGeom prst="rect">
                      <a:avLst/>
                    </a:prstGeom>
                    <a:noFill/>
                    <a:ln>
                      <a:noFill/>
                    </a:ln>
                  </pic:spPr>
                </pic:pic>
              </a:graphicData>
            </a:graphic>
          </wp:inline>
        </w:drawing>
      </w:r>
    </w:p>
    <w:p w:rsidR="00565E77" w:rsidRPr="008A7057" w:rsidRDefault="00565E77" w:rsidP="00A1447E">
      <w:pPr>
        <w:rPr>
          <w:rFonts w:asciiTheme="minorHAnsi" w:hAnsiTheme="minorHAnsi"/>
          <w:noProof/>
          <w:color w:val="FF0000"/>
          <w:sz w:val="28"/>
          <w:lang w:val="en-US"/>
        </w:rPr>
      </w:pPr>
    </w:p>
    <w:p w:rsidR="00565E77" w:rsidRPr="008A7057" w:rsidRDefault="00565E77" w:rsidP="00A1447E">
      <w:pPr>
        <w:rPr>
          <w:rFonts w:asciiTheme="minorHAnsi" w:hAnsiTheme="minorHAnsi"/>
          <w:noProof/>
          <w:color w:val="FF0000"/>
          <w:sz w:val="28"/>
          <w:lang w:val="en-US"/>
        </w:rPr>
      </w:pPr>
    </w:p>
    <w:p w:rsidR="00565E77" w:rsidRPr="008A7057" w:rsidRDefault="0020120A" w:rsidP="00B239C0">
      <w:pPr>
        <w:rPr>
          <w:rFonts w:asciiTheme="minorHAnsi" w:hAnsiTheme="minorHAnsi"/>
          <w:color w:val="FF0000"/>
          <w:sz w:val="28"/>
        </w:rPr>
      </w:pPr>
      <w:r w:rsidRPr="008A7057">
        <w:rPr>
          <w:noProof/>
          <w:color w:val="FF0000"/>
        </w:rPr>
        <mc:AlternateContent>
          <mc:Choice Requires="wps">
            <w:drawing>
              <wp:anchor distT="0" distB="0" distL="114300" distR="114300" simplePos="0" relativeHeight="251661312" behindDoc="0" locked="0" layoutInCell="1" allowOverlap="1" wp14:anchorId="3A95377C" wp14:editId="097E6A7D">
                <wp:simplePos x="0" y="0"/>
                <wp:positionH relativeFrom="column">
                  <wp:posOffset>-492509</wp:posOffset>
                </wp:positionH>
                <wp:positionV relativeFrom="paragraph">
                  <wp:posOffset>2591154</wp:posOffset>
                </wp:positionV>
                <wp:extent cx="5981700" cy="1392866"/>
                <wp:effectExtent l="0" t="0" r="19050" b="1714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392866"/>
                        </a:xfrm>
                        <a:prstGeom prst="rect">
                          <a:avLst/>
                        </a:prstGeom>
                        <a:solidFill>
                          <a:srgbClr val="FFFFFF"/>
                        </a:solidFill>
                        <a:ln w="9525">
                          <a:solidFill>
                            <a:srgbClr val="000000"/>
                          </a:solidFill>
                          <a:miter lim="800000"/>
                          <a:headEnd/>
                          <a:tailEnd/>
                        </a:ln>
                      </wps:spPr>
                      <wps:txbx>
                        <w:txbxContent>
                          <w:p w:rsidR="006D3789" w:rsidRDefault="006D3789" w:rsidP="00A03C28">
                            <w:pPr>
                              <w:rPr>
                                <w:rFonts w:asciiTheme="minorHAnsi" w:hAnsiTheme="minorHAnsi"/>
                                <w:b/>
                              </w:rPr>
                            </w:pPr>
                            <w:r w:rsidRPr="00F23E8A">
                              <w:rPr>
                                <w:rFonts w:asciiTheme="minorHAnsi" w:hAnsiTheme="minorHAnsi"/>
                                <w:b/>
                              </w:rPr>
                              <w:t>Executive Summary</w:t>
                            </w:r>
                          </w:p>
                          <w:p w:rsidR="006D3789" w:rsidRDefault="006D3789" w:rsidP="00A03C28">
                            <w:pPr>
                              <w:rPr>
                                <w:rFonts w:asciiTheme="minorHAnsi" w:hAnsiTheme="minorHAnsi"/>
                              </w:rPr>
                            </w:pPr>
                          </w:p>
                          <w:p w:rsidR="006D3789" w:rsidRPr="00514C48" w:rsidRDefault="006D3789" w:rsidP="00DB0177">
                            <w:pPr>
                              <w:jc w:val="both"/>
                              <w:rPr>
                                <w:rFonts w:asciiTheme="minorHAnsi" w:hAnsiTheme="minorHAnsi"/>
                                <w:sz w:val="22"/>
                                <w:szCs w:val="22"/>
                              </w:rPr>
                            </w:pPr>
                            <w:r>
                              <w:rPr>
                                <w:rFonts w:asciiTheme="minorHAnsi" w:hAnsiTheme="minorHAnsi"/>
                                <w:sz w:val="22"/>
                                <w:szCs w:val="22"/>
                              </w:rPr>
                              <w:t xml:space="preserve">DCP 228 seeks to amend the approach to revenue matching (scaling) in the CDCM. </w:t>
                            </w:r>
                            <w:r w:rsidRPr="00514C48">
                              <w:rPr>
                                <w:rFonts w:asciiTheme="minorHAnsi" w:hAnsiTheme="minorHAnsi"/>
                                <w:sz w:val="22"/>
                                <w:szCs w:val="22"/>
                              </w:rPr>
                              <w:t>This document presen</w:t>
                            </w:r>
                            <w:r>
                              <w:rPr>
                                <w:rFonts w:asciiTheme="minorHAnsi" w:hAnsiTheme="minorHAnsi"/>
                                <w:sz w:val="22"/>
                                <w:szCs w:val="22"/>
                              </w:rPr>
                              <w:t>ts the Change Report for DCP 228</w:t>
                            </w:r>
                            <w:r w:rsidRPr="00514C48">
                              <w:rPr>
                                <w:rFonts w:asciiTheme="minorHAnsi" w:hAnsiTheme="minorHAnsi"/>
                                <w:sz w:val="22"/>
                                <w:szCs w:val="22"/>
                              </w:rPr>
                              <w:t xml:space="preserve"> and invites respondents to vote on the proposed change.</w:t>
                            </w:r>
                          </w:p>
                          <w:p w:rsidR="006D3789" w:rsidRPr="00514C48" w:rsidRDefault="006D3789" w:rsidP="00107348">
                            <w:pPr>
                              <w:rPr>
                                <w:rFonts w:asciiTheme="minorHAnsi" w:hAnsiTheme="minorHAnsi"/>
                                <w:sz w:val="22"/>
                                <w:szCs w:val="22"/>
                              </w:rPr>
                            </w:pPr>
                          </w:p>
                          <w:p w:rsidR="006D3789" w:rsidRDefault="006D3789" w:rsidP="001073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8.8pt;margin-top:204.05pt;width:471pt;height:10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">
                <v:textbox>
                  <w:txbxContent>
                    <w:p w:rsidR="006D3789" w:rsidRDefault="006D3789" w:rsidP="00A03C28">
                      <w:pPr>
                        <w:rPr>
                          <w:rFonts w:asciiTheme="minorHAnsi" w:hAnsiTheme="minorHAnsi"/>
                          <w:b/>
                        </w:rPr>
                      </w:pPr>
                      <w:r w:rsidRPr="00F23E8A">
                        <w:rPr>
                          <w:rFonts w:asciiTheme="minorHAnsi" w:hAnsiTheme="minorHAnsi"/>
                          <w:b/>
                        </w:rPr>
                        <w:t>Executive Summary</w:t>
                      </w:r>
                    </w:p>
                    <w:p w:rsidR="006D3789" w:rsidRDefault="006D3789" w:rsidP="00A03C28">
                      <w:pPr>
                        <w:rPr>
                          <w:rFonts w:asciiTheme="minorHAnsi" w:hAnsiTheme="minorHAnsi"/>
                        </w:rPr>
                      </w:pPr>
                    </w:p>
                    <w:p w:rsidR="006D3789" w:rsidRPr="00514C48" w:rsidRDefault="006D3789" w:rsidP="00DB0177">
                      <w:pPr>
                        <w:jc w:val="both"/>
                        <w:rPr>
                          <w:rFonts w:asciiTheme="minorHAnsi" w:hAnsiTheme="minorHAnsi"/>
                          <w:sz w:val="22"/>
                          <w:szCs w:val="22"/>
                        </w:rPr>
                      </w:pPr>
                      <w:r>
                        <w:rPr>
                          <w:rFonts w:asciiTheme="minorHAnsi" w:hAnsiTheme="minorHAnsi"/>
                          <w:sz w:val="22"/>
                          <w:szCs w:val="22"/>
                        </w:rPr>
                        <w:t xml:space="preserve">DCP 228 seeks to amend the approach to revenue matching (scaling) in the CDCM. </w:t>
                      </w:r>
                      <w:r w:rsidRPr="00514C48">
                        <w:rPr>
                          <w:rFonts w:asciiTheme="minorHAnsi" w:hAnsiTheme="minorHAnsi"/>
                          <w:sz w:val="22"/>
                          <w:szCs w:val="22"/>
                        </w:rPr>
                        <w:t>This document presen</w:t>
                      </w:r>
                      <w:r>
                        <w:rPr>
                          <w:rFonts w:asciiTheme="minorHAnsi" w:hAnsiTheme="minorHAnsi"/>
                          <w:sz w:val="22"/>
                          <w:szCs w:val="22"/>
                        </w:rPr>
                        <w:t>ts the Change Report for DCP 228</w:t>
                      </w:r>
                      <w:r w:rsidRPr="00514C48">
                        <w:rPr>
                          <w:rFonts w:asciiTheme="minorHAnsi" w:hAnsiTheme="minorHAnsi"/>
                          <w:sz w:val="22"/>
                          <w:szCs w:val="22"/>
                        </w:rPr>
                        <w:t xml:space="preserve"> and invites respondents to vote on the proposed change.</w:t>
                      </w:r>
                    </w:p>
                    <w:p w:rsidR="006D3789" w:rsidRPr="00514C48" w:rsidRDefault="006D3789" w:rsidP="00107348">
                      <w:pPr>
                        <w:rPr>
                          <w:rFonts w:asciiTheme="minorHAnsi" w:hAnsiTheme="minorHAnsi"/>
                          <w:sz w:val="22"/>
                          <w:szCs w:val="22"/>
                        </w:rPr>
                      </w:pPr>
                    </w:p>
                    <w:p w:rsidR="006D3789" w:rsidRDefault="006D3789" w:rsidP="00107348"/>
                  </w:txbxContent>
                </v:textbox>
              </v:shape>
            </w:pict>
          </mc:Fallback>
        </mc:AlternateContent>
      </w:r>
      <w:r w:rsidRPr="008A7057">
        <w:rPr>
          <w:rFonts w:asciiTheme="minorHAnsi" w:hAnsiTheme="minorHAnsi"/>
          <w:noProof/>
          <w:color w:val="FF0000"/>
          <w:sz w:val="28"/>
        </w:rPr>
        <mc:AlternateContent>
          <mc:Choice Requires="wpg">
            <w:drawing>
              <wp:anchor distT="0" distB="0" distL="114300" distR="114300" simplePos="0" relativeHeight="251659264" behindDoc="1" locked="0" layoutInCell="1" allowOverlap="1" wp14:anchorId="0EC8D0A7" wp14:editId="48F95169">
                <wp:simplePos x="0" y="0"/>
                <wp:positionH relativeFrom="column">
                  <wp:posOffset>-503555</wp:posOffset>
                </wp:positionH>
                <wp:positionV relativeFrom="paragraph">
                  <wp:posOffset>581025</wp:posOffset>
                </wp:positionV>
                <wp:extent cx="6477000" cy="1908810"/>
                <wp:effectExtent l="0" t="0" r="19050" b="0"/>
                <wp:wrapTight wrapText="bothSides">
                  <wp:wrapPolygon edited="0">
                    <wp:start x="127" y="647"/>
                    <wp:lineTo x="127" y="20910"/>
                    <wp:lineTo x="19122" y="20910"/>
                    <wp:lineTo x="19249" y="8407"/>
                    <wp:lineTo x="21600" y="7545"/>
                    <wp:lineTo x="21600" y="7329"/>
                    <wp:lineTo x="20012" y="4527"/>
                    <wp:lineTo x="20012" y="647"/>
                    <wp:lineTo x="127" y="647"/>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908810"/>
                          <a:chOff x="1678" y="11011"/>
                          <a:chExt cx="9619" cy="2647"/>
                        </a:xfrm>
                      </wpg:grpSpPr>
                      <wps:wsp>
                        <wps:cNvPr id="3" name="Text Box 3"/>
                        <wps:cNvSpPr txBox="1">
                          <a:spLocks noChangeArrowheads="1"/>
                        </wps:cNvSpPr>
                        <wps:spPr bwMode="auto">
                          <a:xfrm>
                            <a:off x="1678" y="11011"/>
                            <a:ext cx="9000"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789" w:rsidRPr="00F81E60" w:rsidRDefault="006D3789" w:rsidP="00A1447E">
                              <w:pPr>
                                <w:rPr>
                                  <w:rFonts w:asciiTheme="minorHAnsi" w:hAnsiTheme="minorHAnsi"/>
                                  <w:b/>
                                  <w:sz w:val="44"/>
                                  <w:szCs w:val="36"/>
                                </w:rPr>
                              </w:pPr>
                              <w:r w:rsidRPr="00F81E60">
                                <w:rPr>
                                  <w:rFonts w:asciiTheme="minorHAnsi" w:hAnsiTheme="minorHAnsi"/>
                                  <w:b/>
                                  <w:sz w:val="44"/>
                                  <w:szCs w:val="36"/>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789" w:rsidRPr="00F81E60" w:rsidRDefault="006D3789" w:rsidP="00A1447E">
                              <w:pPr>
                                <w:rPr>
                                  <w:rFonts w:asciiTheme="minorHAnsi" w:hAnsiTheme="minorHAnsi"/>
                                  <w:sz w:val="40"/>
                                  <w:szCs w:val="36"/>
                                </w:rPr>
                              </w:pPr>
                              <w:r>
                                <w:rPr>
                                  <w:rFonts w:ascii="Calibri" w:hAnsi="Calibri"/>
                                  <w:sz w:val="36"/>
                                  <w:szCs w:val="36"/>
                                </w:rPr>
                                <w:t>DCP 2</w:t>
                              </w:r>
                              <w:r w:rsidRPr="00CE56E9">
                                <w:rPr>
                                  <w:rFonts w:ascii="Calibri" w:hAnsi="Calibri"/>
                                  <w:sz w:val="36"/>
                                  <w:szCs w:val="36"/>
                                </w:rPr>
                                <w:t>28 -</w:t>
                              </w:r>
                              <w:r w:rsidRPr="00CE56E9">
                                <w:rPr>
                                  <w:rFonts w:ascii="Calibri" w:hAnsi="Calibri"/>
                                </w:rPr>
                                <w:t xml:space="preserve"> </w:t>
                              </w:r>
                              <w:r w:rsidRPr="003D4DC2">
                                <w:rPr>
                                  <w:rFonts w:ascii="Calibri" w:hAnsi="Calibri"/>
                                  <w:sz w:val="36"/>
                                  <w:szCs w:val="36"/>
                                </w:rPr>
                                <w:t>Revenue Matching in the CDCM</w:t>
                              </w:r>
                            </w:p>
                          </w:txbxContent>
                        </wps:txbx>
                        <wps:bodyPr rot="0" vert="horz" wrap="square" lIns="91440" tIns="91440" rIns="91440" bIns="91440" anchor="t" anchorCtr="0" upright="1">
                          <a:noAutofit/>
                        </wps:bodyPr>
                      </wps:wsp>
                      <wps:wsp>
                        <wps:cNvPr id="5" name="Line 5"/>
                        <wps:cNvCnPr/>
                        <wps:spPr bwMode="auto">
                          <a:xfrm>
                            <a:off x="1803" y="1192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39.65pt;margin-top:45.75pt;width:510pt;height:150.3pt;z-index:-251657216"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">
                <v:shape id="Text Box 3" o:spid="_x0000_s1028" type="#_x0000_t202" style="position:absolute;left:1678;top:11011;width:900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6D3789" w:rsidRPr="00F81E60" w:rsidRDefault="006D3789" w:rsidP="00A1447E">
                        <w:pPr>
                          <w:rPr>
                            <w:rFonts w:asciiTheme="minorHAnsi" w:hAnsiTheme="minorHAnsi"/>
                            <w:b/>
                            <w:sz w:val="44"/>
                            <w:szCs w:val="36"/>
                          </w:rPr>
                        </w:pPr>
                        <w:r w:rsidRPr="00F81E60">
                          <w:rPr>
                            <w:rFonts w:asciiTheme="minorHAnsi" w:hAnsiTheme="minorHAnsi"/>
                            <w:b/>
                            <w:sz w:val="44"/>
                            <w:szCs w:val="36"/>
                          </w:rPr>
                          <w:t>DCUSA Change Report</w:t>
                        </w:r>
                      </w:p>
                    </w:txbxContent>
                  </v:textbox>
                </v:shape>
                <v:shape id="Text Box 4" o:spid="_x0000_s1029"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6D3789" w:rsidRPr="00F81E60" w:rsidRDefault="006D3789" w:rsidP="00A1447E">
                        <w:pPr>
                          <w:rPr>
                            <w:rFonts w:asciiTheme="minorHAnsi" w:hAnsiTheme="minorHAnsi"/>
                            <w:sz w:val="40"/>
                            <w:szCs w:val="36"/>
                          </w:rPr>
                        </w:pPr>
                        <w:r>
                          <w:rPr>
                            <w:rFonts w:ascii="Calibri" w:hAnsi="Calibri"/>
                            <w:sz w:val="36"/>
                            <w:szCs w:val="36"/>
                          </w:rPr>
                          <w:t>DCP 2</w:t>
                        </w:r>
                        <w:r w:rsidRPr="00CE56E9">
                          <w:rPr>
                            <w:rFonts w:ascii="Calibri" w:hAnsi="Calibri"/>
                            <w:sz w:val="36"/>
                            <w:szCs w:val="36"/>
                          </w:rPr>
                          <w:t>28 -</w:t>
                        </w:r>
                        <w:r w:rsidRPr="00CE56E9">
                          <w:rPr>
                            <w:rFonts w:ascii="Calibri" w:hAnsi="Calibri"/>
                          </w:rPr>
                          <w:t xml:space="preserve"> </w:t>
                        </w:r>
                        <w:r w:rsidRPr="003D4DC2">
                          <w:rPr>
                            <w:rFonts w:ascii="Calibri" w:hAnsi="Calibri"/>
                            <w:sz w:val="36"/>
                            <w:szCs w:val="36"/>
                          </w:rPr>
                          <w:t>Revenue Matching in the CDCM</w:t>
                        </w:r>
                      </w:p>
                    </w:txbxContent>
                  </v:textbox>
                </v:shape>
                <v:line id="Line 5" o:spid="_x0000_s1030" style="position:absolute;visibility:visible;mso-wrap-style:square" from="1803,11922" to="11297,1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565E77" w:rsidRPr="008A7057">
        <w:rPr>
          <w:rFonts w:asciiTheme="minorHAnsi" w:hAnsiTheme="minorHAnsi"/>
          <w:color w:val="FF0000"/>
          <w:sz w:val="28"/>
        </w:rPr>
        <w:br w:type="page"/>
      </w:r>
    </w:p>
    <w:p w:rsidR="00565E77" w:rsidRPr="008A7057" w:rsidRDefault="00565E77" w:rsidP="00D823B3">
      <w:pPr>
        <w:pStyle w:val="Heading1"/>
        <w:numPr>
          <w:ilvl w:val="0"/>
          <w:numId w:val="1"/>
        </w:numPr>
        <w:spacing w:line="360" w:lineRule="auto"/>
        <w:jc w:val="both"/>
        <w:rPr>
          <w:rFonts w:asciiTheme="minorHAnsi" w:hAnsiTheme="minorHAnsi"/>
          <w:sz w:val="22"/>
        </w:rPr>
      </w:pPr>
      <w:r w:rsidRPr="008A7057">
        <w:rPr>
          <w:rFonts w:asciiTheme="minorHAnsi" w:hAnsiTheme="minorHAnsi"/>
          <w:sz w:val="22"/>
        </w:rPr>
        <w:lastRenderedPageBreak/>
        <w:t>PURPOSE</w:t>
      </w:r>
    </w:p>
    <w:p w:rsidR="00565E77" w:rsidRPr="008A7057" w:rsidRDefault="00565E77" w:rsidP="00D823B3">
      <w:pPr>
        <w:pStyle w:val="Heading2"/>
        <w:numPr>
          <w:ilvl w:val="1"/>
          <w:numId w:val="1"/>
        </w:numPr>
        <w:tabs>
          <w:tab w:val="clear" w:pos="576"/>
          <w:tab w:val="num" w:pos="567"/>
        </w:tabs>
        <w:spacing w:line="360" w:lineRule="auto"/>
        <w:ind w:left="567" w:hanging="567"/>
        <w:jc w:val="both"/>
        <w:rPr>
          <w:rFonts w:asciiTheme="minorHAnsi" w:hAnsiTheme="minorHAnsi"/>
          <w:sz w:val="22"/>
        </w:rPr>
      </w:pPr>
      <w:r w:rsidRPr="008A7057">
        <w:rPr>
          <w:rFonts w:asciiTheme="minorHAnsi" w:hAnsiTheme="minorHAnsi"/>
          <w:sz w:val="22"/>
        </w:rPr>
        <w:t xml:space="preserve">This document is issued in accordance with Clause 11.20 of the DCUSA and details DCP </w:t>
      </w:r>
      <w:r w:rsidR="008A7057" w:rsidRPr="008A7057">
        <w:rPr>
          <w:rFonts w:asciiTheme="minorHAnsi" w:hAnsiTheme="minorHAnsi"/>
          <w:sz w:val="22"/>
        </w:rPr>
        <w:t xml:space="preserve">228 ‘Revenue Matching in the </w:t>
      </w:r>
      <w:proofErr w:type="gramStart"/>
      <w:r w:rsidR="008A7057" w:rsidRPr="008A7057">
        <w:rPr>
          <w:rFonts w:asciiTheme="minorHAnsi" w:hAnsiTheme="minorHAnsi"/>
          <w:sz w:val="22"/>
        </w:rPr>
        <w:t>CDCM’</w:t>
      </w:r>
      <w:r w:rsidR="0071651E" w:rsidRPr="008A7057">
        <w:rPr>
          <w:rFonts w:asciiTheme="minorHAnsi" w:hAnsiTheme="minorHAnsi"/>
          <w:sz w:val="22"/>
        </w:rPr>
        <w:t xml:space="preserve"> </w:t>
      </w:r>
      <w:r w:rsidR="008A7057" w:rsidRPr="008A7057">
        <w:rPr>
          <w:rFonts w:asciiTheme="minorHAnsi" w:hAnsiTheme="minorHAnsi"/>
          <w:sz w:val="22"/>
        </w:rPr>
        <w:t>.</w:t>
      </w:r>
      <w:proofErr w:type="gramEnd"/>
    </w:p>
    <w:p w:rsidR="00565E77" w:rsidRPr="008A7057" w:rsidRDefault="00565E77" w:rsidP="00D823B3">
      <w:pPr>
        <w:pStyle w:val="Heading2"/>
        <w:numPr>
          <w:ilvl w:val="1"/>
          <w:numId w:val="1"/>
        </w:numPr>
        <w:tabs>
          <w:tab w:val="clear" w:pos="576"/>
          <w:tab w:val="num" w:pos="567"/>
        </w:tabs>
        <w:spacing w:line="360" w:lineRule="auto"/>
        <w:ind w:left="567" w:hanging="567"/>
        <w:jc w:val="both"/>
        <w:rPr>
          <w:rFonts w:asciiTheme="minorHAnsi" w:hAnsiTheme="minorHAnsi"/>
          <w:sz w:val="22"/>
        </w:rPr>
      </w:pPr>
      <w:r w:rsidRPr="008A7057">
        <w:rPr>
          <w:rFonts w:asciiTheme="minorHAnsi" w:hAnsiTheme="minorHAnsi"/>
          <w:sz w:val="22"/>
        </w:rPr>
        <w:t xml:space="preserve">The voting process for the proposed variation and the timetable of the progression of the Change Proposal (CP) through the DCUSA Change Control Process is set out in this document. </w:t>
      </w:r>
    </w:p>
    <w:p w:rsidR="00565E77" w:rsidRPr="008A7057" w:rsidRDefault="00565E77" w:rsidP="00D823B3">
      <w:pPr>
        <w:pStyle w:val="Heading2"/>
        <w:numPr>
          <w:ilvl w:val="1"/>
          <w:numId w:val="1"/>
        </w:numPr>
        <w:tabs>
          <w:tab w:val="clear" w:pos="576"/>
          <w:tab w:val="num" w:pos="567"/>
        </w:tabs>
        <w:spacing w:line="360" w:lineRule="auto"/>
        <w:ind w:left="567" w:hanging="567"/>
        <w:jc w:val="both"/>
        <w:rPr>
          <w:rFonts w:asciiTheme="minorHAnsi" w:hAnsiTheme="minorHAnsi"/>
          <w:sz w:val="22"/>
        </w:rPr>
      </w:pPr>
      <w:r w:rsidRPr="008A7057">
        <w:rPr>
          <w:rFonts w:asciiTheme="minorHAnsi" w:hAnsiTheme="minorHAnsi"/>
          <w:sz w:val="22"/>
        </w:rPr>
        <w:t>Parties are invited to consider the proposed lega</w:t>
      </w:r>
      <w:r w:rsidR="003A6558" w:rsidRPr="008A7057">
        <w:rPr>
          <w:rFonts w:asciiTheme="minorHAnsi" w:hAnsiTheme="minorHAnsi"/>
          <w:sz w:val="22"/>
        </w:rPr>
        <w:t>l drafting amendments (Attachment 1)</w:t>
      </w:r>
      <w:r w:rsidRPr="008A7057">
        <w:rPr>
          <w:rFonts w:asciiTheme="minorHAnsi" w:hAnsiTheme="minorHAnsi"/>
          <w:sz w:val="22"/>
        </w:rPr>
        <w:t xml:space="preserve"> and submit their votes usi</w:t>
      </w:r>
      <w:r w:rsidR="003A6558" w:rsidRPr="008A7057">
        <w:rPr>
          <w:rFonts w:asciiTheme="minorHAnsi" w:hAnsiTheme="minorHAnsi"/>
          <w:sz w:val="22"/>
        </w:rPr>
        <w:t xml:space="preserve">ng the </w:t>
      </w:r>
      <w:r w:rsidR="00DB0177" w:rsidRPr="008A7057">
        <w:rPr>
          <w:rFonts w:asciiTheme="minorHAnsi" w:hAnsiTheme="minorHAnsi"/>
          <w:sz w:val="22"/>
        </w:rPr>
        <w:t xml:space="preserve">voting </w:t>
      </w:r>
      <w:r w:rsidR="003A6558" w:rsidRPr="008A7057">
        <w:rPr>
          <w:rFonts w:asciiTheme="minorHAnsi" w:hAnsiTheme="minorHAnsi"/>
          <w:sz w:val="22"/>
        </w:rPr>
        <w:t xml:space="preserve">form </w:t>
      </w:r>
      <w:r w:rsidR="00DB0177" w:rsidRPr="008A7057">
        <w:rPr>
          <w:rFonts w:asciiTheme="minorHAnsi" w:hAnsiTheme="minorHAnsi"/>
          <w:sz w:val="22"/>
        </w:rPr>
        <w:t>(</w:t>
      </w:r>
      <w:r w:rsidR="003A6558" w:rsidRPr="008A7057">
        <w:rPr>
          <w:rFonts w:asciiTheme="minorHAnsi" w:hAnsiTheme="minorHAnsi"/>
          <w:sz w:val="22"/>
        </w:rPr>
        <w:t>Attachment 2</w:t>
      </w:r>
      <w:r w:rsidR="00DB0177" w:rsidRPr="008A7057">
        <w:rPr>
          <w:rFonts w:asciiTheme="minorHAnsi" w:hAnsiTheme="minorHAnsi"/>
          <w:sz w:val="22"/>
        </w:rPr>
        <w:t>)</w:t>
      </w:r>
      <w:r w:rsidRPr="008A7057">
        <w:rPr>
          <w:rFonts w:asciiTheme="minorHAnsi" w:hAnsiTheme="minorHAnsi"/>
          <w:sz w:val="22"/>
        </w:rPr>
        <w:t xml:space="preserve"> to </w:t>
      </w:r>
      <w:r w:rsidRPr="008A7057">
        <w:rPr>
          <w:rFonts w:asciiTheme="minorHAnsi" w:hAnsiTheme="minorHAnsi"/>
          <w:color w:val="002060"/>
          <w:sz w:val="22"/>
          <w:u w:val="single"/>
        </w:rPr>
        <w:t>dcusa@electralink.co.uk</w:t>
      </w:r>
      <w:r w:rsidRPr="008A7057">
        <w:rPr>
          <w:rFonts w:asciiTheme="minorHAnsi" w:hAnsiTheme="minorHAnsi"/>
          <w:color w:val="002060"/>
          <w:sz w:val="22"/>
        </w:rPr>
        <w:t xml:space="preserve"> </w:t>
      </w:r>
      <w:r w:rsidRPr="008A7057">
        <w:rPr>
          <w:rFonts w:asciiTheme="minorHAnsi" w:hAnsiTheme="minorHAnsi"/>
          <w:sz w:val="22"/>
        </w:rPr>
        <w:t xml:space="preserve">no later than </w:t>
      </w:r>
      <w:r w:rsidR="00BD13A6">
        <w:rPr>
          <w:rFonts w:asciiTheme="minorHAnsi" w:hAnsiTheme="minorHAnsi"/>
          <w:b/>
          <w:sz w:val="22"/>
        </w:rPr>
        <w:t>7 August 2015</w:t>
      </w:r>
      <w:r w:rsidR="00BD13A6" w:rsidRPr="00F35F4B">
        <w:rPr>
          <w:rFonts w:asciiTheme="minorHAnsi" w:hAnsiTheme="minorHAnsi"/>
          <w:b/>
          <w:sz w:val="22"/>
        </w:rPr>
        <w:t>.</w:t>
      </w:r>
    </w:p>
    <w:p w:rsidR="00565E77" w:rsidRPr="008A7057" w:rsidRDefault="00565E77" w:rsidP="00D823B3">
      <w:pPr>
        <w:pStyle w:val="Heading1"/>
        <w:numPr>
          <w:ilvl w:val="0"/>
          <w:numId w:val="1"/>
        </w:numPr>
        <w:spacing w:line="360" w:lineRule="auto"/>
        <w:jc w:val="both"/>
        <w:rPr>
          <w:rFonts w:asciiTheme="minorHAnsi" w:hAnsiTheme="minorHAnsi"/>
          <w:color w:val="002060"/>
          <w:sz w:val="22"/>
        </w:rPr>
      </w:pPr>
      <w:r w:rsidRPr="006D3789">
        <w:rPr>
          <w:rFonts w:asciiTheme="minorHAnsi" w:hAnsiTheme="minorHAnsi"/>
          <w:sz w:val="22"/>
        </w:rPr>
        <w:t>BACKGROUND</w:t>
      </w:r>
    </w:p>
    <w:p w:rsidR="008A7057" w:rsidRPr="00087464" w:rsidRDefault="008A7057" w:rsidP="008A7057">
      <w:pPr>
        <w:pStyle w:val="Heading2"/>
        <w:numPr>
          <w:ilvl w:val="1"/>
          <w:numId w:val="1"/>
        </w:numPr>
        <w:spacing w:line="360" w:lineRule="auto"/>
        <w:ind w:left="567" w:hanging="567"/>
        <w:jc w:val="both"/>
        <w:rPr>
          <w:rFonts w:ascii="Calibri" w:hAnsi="Calibri"/>
          <w:sz w:val="22"/>
        </w:rPr>
      </w:pPr>
      <w:r w:rsidRPr="00CE56E9">
        <w:rPr>
          <w:rFonts w:ascii="Calibri" w:hAnsi="Calibri"/>
          <w:sz w:val="22"/>
        </w:rPr>
        <w:t xml:space="preserve">DCP 228 has been raised by British Gas. The CP seeks to change the way revenue matching (scaling) is achieved within the CDCM </w:t>
      </w:r>
      <w:r>
        <w:rPr>
          <w:rFonts w:ascii="Calibri" w:hAnsi="Calibri"/>
          <w:sz w:val="22"/>
        </w:rPr>
        <w:t>so that</w:t>
      </w:r>
      <w:r w:rsidRPr="00CE56E9">
        <w:rPr>
          <w:rFonts w:ascii="Calibri" w:hAnsi="Calibri"/>
          <w:sz w:val="22"/>
        </w:rPr>
        <w:t xml:space="preserve"> the price differentials produced </w:t>
      </w:r>
      <w:r>
        <w:rPr>
          <w:rFonts w:ascii="Calibri" w:hAnsi="Calibri"/>
          <w:sz w:val="22"/>
        </w:rPr>
        <w:t xml:space="preserve">between the pre-scaled yardstick tariff unit rates are maintained in the post-scaled final tariff unit rates that are set to enable recovery of the DNO’s allowed revenue. </w:t>
      </w:r>
      <w:r w:rsidRPr="00CE56E9">
        <w:rPr>
          <w:rFonts w:ascii="Calibri" w:hAnsi="Calibri"/>
          <w:sz w:val="22"/>
        </w:rPr>
        <w:t xml:space="preserve">Currently this </w:t>
      </w:r>
      <w:r>
        <w:rPr>
          <w:rFonts w:ascii="Calibri" w:hAnsi="Calibri"/>
          <w:sz w:val="22"/>
        </w:rPr>
        <w:t xml:space="preserve">revenue matching </w:t>
      </w:r>
      <w:r w:rsidRPr="00CE56E9">
        <w:rPr>
          <w:rFonts w:ascii="Calibri" w:hAnsi="Calibri"/>
          <w:sz w:val="22"/>
        </w:rPr>
        <w:t>is achieved in a manner which primarily affects only the day/red unit prices</w:t>
      </w:r>
      <w:r>
        <w:rPr>
          <w:rFonts w:ascii="Calibri" w:hAnsi="Calibri"/>
          <w:sz w:val="22"/>
        </w:rPr>
        <w:t xml:space="preserve"> which distorts the unit rate differential</w:t>
      </w:r>
      <w:r w:rsidRPr="00CE56E9">
        <w:rPr>
          <w:rFonts w:ascii="Calibri" w:hAnsi="Calibri"/>
          <w:sz w:val="22"/>
        </w:rPr>
        <w:t>. This change proposal seeks to replace the current method of revenue matching such that all unit rates face the same absolute p/kWh adjustment (except where any unit rates are subject to a floor price).</w:t>
      </w:r>
      <w:r>
        <w:rPr>
          <w:rFonts w:ascii="Calibri" w:hAnsi="Calibri"/>
          <w:sz w:val="22"/>
        </w:rPr>
        <w:t xml:space="preserve"> </w:t>
      </w:r>
    </w:p>
    <w:p w:rsidR="008A7057" w:rsidRPr="0006661C" w:rsidRDefault="008A7057" w:rsidP="008A7057">
      <w:pPr>
        <w:pStyle w:val="Heading2"/>
        <w:numPr>
          <w:ilvl w:val="1"/>
          <w:numId w:val="1"/>
        </w:numPr>
        <w:spacing w:line="360" w:lineRule="auto"/>
        <w:ind w:left="567" w:hanging="567"/>
        <w:jc w:val="both"/>
        <w:rPr>
          <w:rFonts w:ascii="Calibri" w:hAnsi="Calibri"/>
          <w:sz w:val="22"/>
        </w:rPr>
      </w:pPr>
      <w:r w:rsidRPr="00CE56E9">
        <w:rPr>
          <w:rFonts w:ascii="Calibri" w:hAnsi="Calibri"/>
          <w:sz w:val="22"/>
        </w:rPr>
        <w:t>The proposed DCP 228 solution is to remove the fixed £/kW/year adder currently applied at the transmission exit level, as detailed in paragraphs 92 to 93 of Schedule 16, and replace this with a fixed p/kWh applied to the calculated pre-scaled unit rates.</w:t>
      </w:r>
      <w:r>
        <w:rPr>
          <w:rFonts w:ascii="Calibri" w:hAnsi="Calibri"/>
          <w:sz w:val="22"/>
        </w:rPr>
        <w:t xml:space="preserve"> </w:t>
      </w:r>
      <w:r w:rsidRPr="00087464">
        <w:rPr>
          <w:rFonts w:ascii="Calibri" w:hAnsi="Calibri"/>
          <w:sz w:val="22"/>
        </w:rPr>
        <w:t xml:space="preserve">The current CDCM does not apply scaling to generation tariffs and applies a floor price to demand tariffs of 0.000p/kWh. Under DCP 228 both of these rules will be maintained.  </w:t>
      </w:r>
    </w:p>
    <w:p w:rsidR="008B3F9C" w:rsidRPr="008A7057" w:rsidRDefault="008A7057" w:rsidP="008A7057">
      <w:pPr>
        <w:pStyle w:val="Heading2"/>
        <w:numPr>
          <w:ilvl w:val="1"/>
          <w:numId w:val="1"/>
        </w:numPr>
        <w:tabs>
          <w:tab w:val="num" w:pos="360"/>
        </w:tabs>
        <w:spacing w:line="360" w:lineRule="auto"/>
        <w:ind w:left="567" w:hanging="567"/>
        <w:jc w:val="both"/>
        <w:rPr>
          <w:rFonts w:ascii="Calibri" w:hAnsi="Calibri"/>
          <w:sz w:val="22"/>
        </w:rPr>
      </w:pPr>
      <w:r>
        <w:rPr>
          <w:rFonts w:ascii="Calibri" w:hAnsi="Calibri"/>
          <w:sz w:val="22"/>
        </w:rPr>
        <w:t xml:space="preserve">Additional information on the CP is contained within the CP form provided as Attachment 3. </w:t>
      </w:r>
    </w:p>
    <w:p w:rsidR="00565E77" w:rsidRPr="006D3789" w:rsidRDefault="008A7057" w:rsidP="00D823B3">
      <w:pPr>
        <w:pStyle w:val="Heading1"/>
        <w:numPr>
          <w:ilvl w:val="0"/>
          <w:numId w:val="1"/>
        </w:numPr>
        <w:spacing w:line="360" w:lineRule="auto"/>
        <w:jc w:val="both"/>
        <w:rPr>
          <w:rFonts w:asciiTheme="minorHAnsi" w:hAnsiTheme="minorHAnsi"/>
          <w:sz w:val="22"/>
        </w:rPr>
      </w:pPr>
      <w:r w:rsidRPr="006D3789">
        <w:rPr>
          <w:rFonts w:asciiTheme="minorHAnsi" w:hAnsiTheme="minorHAnsi"/>
          <w:sz w:val="22"/>
        </w:rPr>
        <w:t>DCP 228</w:t>
      </w:r>
      <w:r w:rsidR="008D3C49" w:rsidRPr="006D3789">
        <w:rPr>
          <w:rFonts w:asciiTheme="minorHAnsi" w:hAnsiTheme="minorHAnsi"/>
          <w:sz w:val="22"/>
        </w:rPr>
        <w:t xml:space="preserve"> W</w:t>
      </w:r>
      <w:r w:rsidR="0091392B" w:rsidRPr="006D3789">
        <w:rPr>
          <w:rFonts w:asciiTheme="minorHAnsi" w:hAnsiTheme="minorHAnsi"/>
          <w:sz w:val="22"/>
        </w:rPr>
        <w:t>ORKING GROUP</w:t>
      </w:r>
    </w:p>
    <w:p w:rsidR="006D3789" w:rsidRPr="006D3789" w:rsidRDefault="008A7057" w:rsidP="006D3789">
      <w:pPr>
        <w:pStyle w:val="Heading2"/>
        <w:numPr>
          <w:ilvl w:val="1"/>
          <w:numId w:val="1"/>
        </w:numPr>
        <w:spacing w:line="360" w:lineRule="auto"/>
        <w:jc w:val="both"/>
        <w:rPr>
          <w:rFonts w:asciiTheme="minorHAnsi" w:hAnsiTheme="minorHAnsi"/>
          <w:color w:val="002060"/>
          <w:sz w:val="22"/>
        </w:rPr>
      </w:pPr>
      <w:r w:rsidRPr="008A7057">
        <w:rPr>
          <w:rFonts w:asciiTheme="minorHAnsi" w:hAnsiTheme="minorHAnsi"/>
          <w:sz w:val="22"/>
        </w:rPr>
        <w:lastRenderedPageBreak/>
        <w:t xml:space="preserve">The DCUSA Panel established a Working Group to assess DCP 228. The group consists of Distributor, Supplier and Ofgem representatives. </w:t>
      </w:r>
      <w:r w:rsidR="00565E77" w:rsidRPr="008A7057">
        <w:rPr>
          <w:rFonts w:asciiTheme="minorHAnsi" w:hAnsiTheme="minorHAnsi"/>
          <w:sz w:val="22"/>
        </w:rPr>
        <w:t xml:space="preserve">Meetings were held in open session and the minutes and papers of each meeting are available on the DCUSA website – </w:t>
      </w:r>
      <w:hyperlink r:id="rId10" w:history="1">
        <w:r w:rsidR="00565E77" w:rsidRPr="008A7057">
          <w:rPr>
            <w:rFonts w:asciiTheme="minorHAnsi" w:hAnsiTheme="minorHAnsi"/>
            <w:color w:val="002060"/>
            <w:sz w:val="22"/>
            <w:u w:val="single"/>
          </w:rPr>
          <w:t>www.dcusa.co.uk</w:t>
        </w:r>
      </w:hyperlink>
      <w:r w:rsidR="00565E77" w:rsidRPr="008A7057">
        <w:rPr>
          <w:rFonts w:asciiTheme="minorHAnsi" w:hAnsiTheme="minorHAnsi"/>
          <w:color w:val="002060"/>
          <w:sz w:val="22"/>
        </w:rPr>
        <w:t>.</w:t>
      </w:r>
      <w:r w:rsidR="006D3789">
        <w:rPr>
          <w:rFonts w:asciiTheme="minorHAnsi" w:hAnsiTheme="minorHAnsi"/>
          <w:color w:val="002060"/>
          <w:sz w:val="22"/>
        </w:rPr>
        <w:t xml:space="preserve"> </w:t>
      </w:r>
      <w:r w:rsidR="006D3789" w:rsidRPr="006D3789">
        <w:rPr>
          <w:rFonts w:ascii="Calibri" w:hAnsi="Calibri"/>
          <w:sz w:val="22"/>
        </w:rPr>
        <w:t xml:space="preserve">The topics discussed by the </w:t>
      </w:r>
      <w:r w:rsidR="006D3789" w:rsidRPr="006D3789">
        <w:rPr>
          <w:rFonts w:asciiTheme="minorHAnsi" w:hAnsiTheme="minorHAnsi"/>
          <w:sz w:val="22"/>
        </w:rPr>
        <w:t>Working</w:t>
      </w:r>
      <w:r w:rsidR="006D3789" w:rsidRPr="006D3789">
        <w:rPr>
          <w:rFonts w:ascii="Calibri" w:hAnsi="Calibri"/>
          <w:sz w:val="22"/>
        </w:rPr>
        <w:t xml:space="preserve"> Group are detailed below.</w:t>
      </w:r>
    </w:p>
    <w:p w:rsidR="006D3789" w:rsidRPr="006D3789" w:rsidRDefault="006D3789" w:rsidP="006D3789">
      <w:pPr>
        <w:pStyle w:val="Heading1"/>
        <w:spacing w:line="360" w:lineRule="auto"/>
        <w:rPr>
          <w:rFonts w:ascii="Calibri" w:hAnsi="Calibri"/>
          <w:sz w:val="22"/>
          <w:u w:val="single"/>
        </w:rPr>
      </w:pPr>
      <w:r w:rsidRPr="006D3789">
        <w:rPr>
          <w:rFonts w:ascii="Calibri" w:hAnsi="Calibri"/>
          <w:sz w:val="22"/>
          <w:u w:val="single"/>
        </w:rPr>
        <w:t>Related Change DCP 123</w:t>
      </w:r>
    </w:p>
    <w:p w:rsidR="006D3789" w:rsidRPr="00D03195" w:rsidRDefault="006D3789" w:rsidP="006D3789">
      <w:pPr>
        <w:pStyle w:val="Heading2"/>
        <w:numPr>
          <w:ilvl w:val="1"/>
          <w:numId w:val="1"/>
        </w:numPr>
        <w:spacing w:line="360" w:lineRule="auto"/>
        <w:jc w:val="both"/>
        <w:rPr>
          <w:rFonts w:ascii="Calibri" w:hAnsi="Calibri"/>
          <w:sz w:val="22"/>
        </w:rPr>
      </w:pPr>
      <w:r>
        <w:rPr>
          <w:rFonts w:ascii="Calibri" w:hAnsi="Calibri"/>
          <w:sz w:val="22"/>
        </w:rPr>
        <w:t xml:space="preserve">The DCP 228 Working Group </w:t>
      </w:r>
      <w:r w:rsidRPr="006D3789">
        <w:rPr>
          <w:rFonts w:asciiTheme="minorHAnsi" w:hAnsiTheme="minorHAnsi"/>
          <w:sz w:val="22"/>
        </w:rPr>
        <w:t>noted</w:t>
      </w:r>
      <w:r>
        <w:rPr>
          <w:rFonts w:ascii="Calibri" w:hAnsi="Calibri"/>
          <w:sz w:val="22"/>
        </w:rPr>
        <w:t xml:space="preserve"> that </w:t>
      </w:r>
      <w:r w:rsidRPr="00CE56E9">
        <w:rPr>
          <w:rFonts w:ascii="Calibri" w:hAnsi="Calibri"/>
          <w:sz w:val="22"/>
        </w:rPr>
        <w:t>DCP 123 ‘Revenue Matching Methodology Change’</w:t>
      </w:r>
      <w:r w:rsidRPr="00D03195">
        <w:rPr>
          <w:rFonts w:ascii="Calibri" w:hAnsi="Calibri"/>
          <w:sz w:val="22"/>
        </w:rPr>
        <w:t xml:space="preserve"> </w:t>
      </w:r>
      <w:r w:rsidRPr="00CE56E9">
        <w:rPr>
          <w:rFonts w:ascii="Calibri" w:hAnsi="Calibri"/>
          <w:sz w:val="22"/>
        </w:rPr>
        <w:t>also sought to change the method of scaling in the CDCM to one which better maintained the incremental cost signals of the CDCM</w:t>
      </w:r>
      <w:r>
        <w:rPr>
          <w:rFonts w:ascii="Calibri" w:hAnsi="Calibri"/>
          <w:sz w:val="22"/>
        </w:rPr>
        <w:t xml:space="preserve">. This CP was rejected by the Authority on 12 August 2014. </w:t>
      </w:r>
      <w:r w:rsidRPr="00D03195">
        <w:rPr>
          <w:rFonts w:ascii="Calibri" w:hAnsi="Calibri"/>
          <w:sz w:val="22"/>
        </w:rPr>
        <w:t xml:space="preserve">The DCP 123 Authority Decision letter and Change Report are provided as Attachment </w:t>
      </w:r>
      <w:r>
        <w:rPr>
          <w:rFonts w:ascii="Calibri" w:hAnsi="Calibri"/>
          <w:sz w:val="22"/>
        </w:rPr>
        <w:t>4</w:t>
      </w:r>
      <w:r w:rsidRPr="00D03195">
        <w:rPr>
          <w:rFonts w:ascii="Calibri" w:hAnsi="Calibri"/>
          <w:sz w:val="22"/>
        </w:rPr>
        <w:t xml:space="preserve">. </w:t>
      </w:r>
    </w:p>
    <w:p w:rsidR="006D3789" w:rsidRDefault="006D3789" w:rsidP="006D3789">
      <w:pPr>
        <w:pStyle w:val="Heading2"/>
        <w:numPr>
          <w:ilvl w:val="1"/>
          <w:numId w:val="1"/>
        </w:numPr>
        <w:spacing w:line="360" w:lineRule="auto"/>
        <w:jc w:val="both"/>
        <w:rPr>
          <w:rFonts w:ascii="Calibri" w:hAnsi="Calibri"/>
          <w:sz w:val="22"/>
        </w:rPr>
      </w:pPr>
      <w:r w:rsidRPr="00CE56E9">
        <w:rPr>
          <w:rFonts w:ascii="Calibri" w:hAnsi="Calibri"/>
          <w:sz w:val="22"/>
        </w:rPr>
        <w:t>In rejecting DCP 123 the Authority felt the change failed to demonstrate that scaling has been spread in a more cost reflective way, and that without a detailed comparison of costs determined through the 500MW model and costs allowed for in the price control it wasn’t possible for the Authority to be sufficiently satisfied that the change was more cost reflective. The Authority did, however, recommend that the industry develop the proposal further.</w:t>
      </w:r>
    </w:p>
    <w:p w:rsidR="006D3789" w:rsidRPr="00CE56E9" w:rsidRDefault="006D3789" w:rsidP="006D3789">
      <w:pPr>
        <w:pStyle w:val="Heading2"/>
        <w:numPr>
          <w:ilvl w:val="1"/>
          <w:numId w:val="1"/>
        </w:numPr>
        <w:spacing w:line="360" w:lineRule="auto"/>
        <w:jc w:val="both"/>
        <w:rPr>
          <w:rFonts w:ascii="Calibri" w:hAnsi="Calibri"/>
          <w:sz w:val="22"/>
        </w:rPr>
      </w:pPr>
      <w:r w:rsidRPr="00CE56E9">
        <w:rPr>
          <w:rFonts w:ascii="Calibri" w:hAnsi="Calibri"/>
          <w:sz w:val="22"/>
        </w:rPr>
        <w:t xml:space="preserve">It is the view of the proposer of DCP 228 that, in retrospect, DCP 123 failed to adequately explain the purpose of scaling applied to the incremental cost signals. For instance the DCP 123 change proposal form explained scaling as a shortfall or excess which is </w:t>
      </w:r>
      <w:r w:rsidRPr="00CE56E9">
        <w:rPr>
          <w:rFonts w:ascii="Calibri" w:hAnsi="Calibri"/>
          <w:i/>
          <w:sz w:val="22"/>
        </w:rPr>
        <w:t>“to a large extent unidentified and therefore unallocated allowed income within the CDCM”</w:t>
      </w:r>
      <w:r w:rsidRPr="00CE56E9">
        <w:rPr>
          <w:rFonts w:ascii="Calibri" w:hAnsi="Calibri"/>
          <w:sz w:val="22"/>
        </w:rPr>
        <w:t xml:space="preserve"> and that, </w:t>
      </w:r>
      <w:r w:rsidRPr="00CE56E9">
        <w:rPr>
          <w:rFonts w:ascii="Calibri" w:hAnsi="Calibri"/>
          <w:i/>
          <w:sz w:val="22"/>
        </w:rPr>
        <w:t>“as such, it has not been identified that these costs relate to peak time band consumption”</w:t>
      </w:r>
      <w:r w:rsidRPr="00CE56E9">
        <w:rPr>
          <w:rFonts w:ascii="Calibri" w:hAnsi="Calibri"/>
          <w:sz w:val="22"/>
        </w:rPr>
        <w:t xml:space="preserve">.  This implies that DCP 123 was attempting </w:t>
      </w:r>
      <w:proofErr w:type="gramStart"/>
      <w:r w:rsidRPr="00CE56E9">
        <w:rPr>
          <w:rFonts w:ascii="Calibri" w:hAnsi="Calibri"/>
          <w:sz w:val="22"/>
        </w:rPr>
        <w:t>to ‘re</w:t>
      </w:r>
      <w:proofErr w:type="gramEnd"/>
      <w:r w:rsidRPr="00CE56E9">
        <w:rPr>
          <w:rFonts w:ascii="Calibri" w:hAnsi="Calibri"/>
          <w:sz w:val="22"/>
        </w:rPr>
        <w:t>-allocate’ costs away from peak time and, in this context, more evidence would be required if considering cost allocation. Howeve</w:t>
      </w:r>
      <w:r>
        <w:rPr>
          <w:rFonts w:ascii="Calibri" w:hAnsi="Calibri"/>
          <w:sz w:val="22"/>
        </w:rPr>
        <w:t>r,</w:t>
      </w:r>
      <w:r w:rsidRPr="00CE56E9">
        <w:rPr>
          <w:rFonts w:ascii="Calibri" w:hAnsi="Calibri"/>
          <w:sz w:val="22"/>
        </w:rPr>
        <w:t xml:space="preserve"> DCP 228 is not seeking to allocate overall costs, as this is not appropriate or possible within an incremental model, and so Ofgem’s reason for rejecting DCP 123 should not apply to this proposal.</w:t>
      </w:r>
    </w:p>
    <w:p w:rsidR="006D3789" w:rsidRDefault="006D3789" w:rsidP="00F50EEE">
      <w:pPr>
        <w:pStyle w:val="Heading2"/>
        <w:numPr>
          <w:ilvl w:val="1"/>
          <w:numId w:val="1"/>
        </w:numPr>
        <w:spacing w:line="360" w:lineRule="auto"/>
        <w:jc w:val="both"/>
        <w:rPr>
          <w:rFonts w:ascii="Calibri" w:hAnsi="Calibri"/>
          <w:sz w:val="22"/>
        </w:rPr>
      </w:pPr>
      <w:r w:rsidRPr="00E61D3A">
        <w:rPr>
          <w:rFonts w:ascii="Calibri" w:hAnsi="Calibri"/>
          <w:sz w:val="22"/>
        </w:rPr>
        <w:t xml:space="preserve">DCP 228 is intended to be clearer in explaining that the shortfall or excess of revenue recovered from pre-scaled </w:t>
      </w:r>
      <w:r>
        <w:rPr>
          <w:rFonts w:ascii="Calibri" w:hAnsi="Calibri"/>
          <w:sz w:val="22"/>
        </w:rPr>
        <w:t xml:space="preserve">yardstick </w:t>
      </w:r>
      <w:r w:rsidRPr="00E61D3A">
        <w:rPr>
          <w:rFonts w:ascii="Calibri" w:hAnsi="Calibri"/>
          <w:sz w:val="22"/>
        </w:rPr>
        <w:t xml:space="preserve">tariffs is a natural consequence of the incremental design of the CDCM. As the accompanying spreadsheet (Attachment </w:t>
      </w:r>
      <w:r w:rsidR="001C0E4B">
        <w:rPr>
          <w:rFonts w:ascii="Calibri" w:hAnsi="Calibri"/>
          <w:sz w:val="22"/>
        </w:rPr>
        <w:t>5</w:t>
      </w:r>
      <w:r w:rsidRPr="00E61D3A">
        <w:rPr>
          <w:rFonts w:ascii="Calibri" w:hAnsi="Calibri"/>
          <w:sz w:val="22"/>
        </w:rPr>
        <w:t xml:space="preserve">) demonstrates, the CDCM recovers significantly more in peak charges than DNOs expect to spend on network reinforcement for the foreseeable future. This is because </w:t>
      </w:r>
      <w:r w:rsidRPr="00E61D3A">
        <w:rPr>
          <w:rFonts w:ascii="Calibri" w:hAnsi="Calibri"/>
          <w:sz w:val="22"/>
        </w:rPr>
        <w:lastRenderedPageBreak/>
        <w:t xml:space="preserve">the CDCM provides incremental cost signals rather than total cost signals. Similarly, there are DNO costs which are not included in the CDCM (such as replacement costs and a portion of indirect costs), however these are not ‘unidentified’ as the DCP 123 form suggested, but rather they are </w:t>
      </w:r>
      <w:r w:rsidRPr="00E61D3A">
        <w:rPr>
          <w:rFonts w:ascii="Calibri" w:hAnsi="Calibri"/>
          <w:b/>
          <w:sz w:val="22"/>
        </w:rPr>
        <w:t>intentionally</w:t>
      </w:r>
      <w:r w:rsidRPr="00E61D3A">
        <w:rPr>
          <w:rFonts w:ascii="Calibri" w:hAnsi="Calibri"/>
          <w:sz w:val="22"/>
        </w:rPr>
        <w:t xml:space="preserve"> excluded from the CDCM for the purpose of deriving the desired incremental cost signals. This change proposal is therefore clear in its intent that scaling should not be used to allocate any cost not included within the CDCM, but should rather be applied in a way which maintains the incremental cost signals produced by the pre-scaled tariffs.</w:t>
      </w:r>
    </w:p>
    <w:p w:rsidR="006D3789" w:rsidRPr="00D238E8" w:rsidRDefault="006D3789" w:rsidP="00F50EEE">
      <w:pPr>
        <w:pStyle w:val="Heading2"/>
        <w:numPr>
          <w:ilvl w:val="1"/>
          <w:numId w:val="1"/>
        </w:numPr>
        <w:spacing w:line="360" w:lineRule="auto"/>
        <w:jc w:val="both"/>
        <w:rPr>
          <w:rFonts w:ascii="Calibri" w:hAnsi="Calibri" w:cs="Calibri"/>
          <w:sz w:val="22"/>
          <w:szCs w:val="22"/>
        </w:rPr>
      </w:pPr>
      <w:r w:rsidRPr="00D238E8">
        <w:rPr>
          <w:rFonts w:ascii="Calibri" w:hAnsi="Calibri" w:cs="Calibri"/>
          <w:sz w:val="22"/>
          <w:szCs w:val="22"/>
        </w:rPr>
        <w:t>DCP 228 also follows on from the final DCP 123 solution in maintaining the fixed adder approach to scaling unit rates. The options for this were discussed in the course of DCP 123, with the alternative being a percentage scalar on unit rates. The DCP 228 Working Group discussed this, and agreed that the fixed adder approach agreed in DCP 123 remains appropriate. This is because of the incremental nature of the CDCM, with the absolute difference between pre-scaled unit rates repr</w:t>
      </w:r>
      <w:r>
        <w:rPr>
          <w:rFonts w:ascii="Calibri" w:hAnsi="Calibri" w:cs="Calibri"/>
          <w:sz w:val="22"/>
          <w:szCs w:val="22"/>
        </w:rPr>
        <w:t xml:space="preserve">esenting the cost differential </w:t>
      </w:r>
      <w:r w:rsidRPr="00D238E8">
        <w:rPr>
          <w:rFonts w:ascii="Calibri" w:hAnsi="Calibri" w:cs="Calibri"/>
          <w:sz w:val="22"/>
          <w:szCs w:val="22"/>
        </w:rPr>
        <w:t>of distributing at different times. A fixed adder would maintain this cost signal</w:t>
      </w:r>
      <w:r>
        <w:rPr>
          <w:rFonts w:ascii="Calibri" w:hAnsi="Calibri" w:cs="Calibri"/>
          <w:sz w:val="22"/>
          <w:szCs w:val="22"/>
        </w:rPr>
        <w:t xml:space="preserve"> </w:t>
      </w:r>
      <w:proofErr w:type="spellStart"/>
      <w:r>
        <w:rPr>
          <w:rFonts w:ascii="Calibri" w:hAnsi="Calibri" w:cs="Calibri"/>
          <w:sz w:val="22"/>
          <w:szCs w:val="22"/>
        </w:rPr>
        <w:t>differntial</w:t>
      </w:r>
      <w:proofErr w:type="spellEnd"/>
      <w:r w:rsidRPr="00D238E8">
        <w:rPr>
          <w:rFonts w:ascii="Calibri" w:hAnsi="Calibri" w:cs="Calibri"/>
          <w:sz w:val="22"/>
          <w:szCs w:val="22"/>
        </w:rPr>
        <w:t xml:space="preserve"> in the resulting scaled tariff</w:t>
      </w:r>
      <w:r>
        <w:rPr>
          <w:rFonts w:ascii="Calibri" w:hAnsi="Calibri" w:cs="Calibri"/>
          <w:sz w:val="22"/>
          <w:szCs w:val="22"/>
        </w:rPr>
        <w:t>’</w:t>
      </w:r>
      <w:r w:rsidRPr="00D238E8">
        <w:rPr>
          <w:rFonts w:ascii="Calibri" w:hAnsi="Calibri" w:cs="Calibri"/>
          <w:sz w:val="22"/>
          <w:szCs w:val="22"/>
        </w:rPr>
        <w:t>s</w:t>
      </w:r>
      <w:r>
        <w:rPr>
          <w:rFonts w:ascii="Calibri" w:hAnsi="Calibri" w:cs="Calibri"/>
          <w:sz w:val="22"/>
          <w:szCs w:val="22"/>
        </w:rPr>
        <w:t xml:space="preserve"> unit rates</w:t>
      </w:r>
      <w:r w:rsidRPr="00D238E8">
        <w:rPr>
          <w:rFonts w:ascii="Calibri" w:hAnsi="Calibri" w:cs="Calibri"/>
          <w:sz w:val="22"/>
          <w:szCs w:val="22"/>
        </w:rPr>
        <w:t xml:space="preserve">, whilst a percentage scalar could potentially distort </w:t>
      </w:r>
      <w:r>
        <w:rPr>
          <w:rFonts w:ascii="Calibri" w:hAnsi="Calibri" w:cs="Calibri"/>
          <w:sz w:val="22"/>
          <w:szCs w:val="22"/>
        </w:rPr>
        <w:t>the differential in the unit rates</w:t>
      </w:r>
      <w:r w:rsidRPr="00D238E8">
        <w:rPr>
          <w:rFonts w:ascii="Calibri" w:hAnsi="Calibri" w:cs="Calibri"/>
          <w:sz w:val="22"/>
          <w:szCs w:val="22"/>
        </w:rPr>
        <w:t>.</w:t>
      </w:r>
    </w:p>
    <w:p w:rsidR="006D3789" w:rsidRPr="00D238E8" w:rsidRDefault="006D3789" w:rsidP="00F50EEE">
      <w:pPr>
        <w:pStyle w:val="Heading2"/>
        <w:numPr>
          <w:ilvl w:val="1"/>
          <w:numId w:val="1"/>
        </w:numPr>
        <w:spacing w:line="360" w:lineRule="auto"/>
        <w:jc w:val="both"/>
        <w:rPr>
          <w:rFonts w:ascii="Calibri" w:hAnsi="Calibri" w:cs="Calibri"/>
          <w:sz w:val="22"/>
          <w:szCs w:val="22"/>
        </w:rPr>
      </w:pPr>
      <w:r w:rsidRPr="00D238E8">
        <w:rPr>
          <w:rFonts w:ascii="Calibri" w:hAnsi="Calibri" w:cs="Calibri"/>
          <w:sz w:val="22"/>
          <w:szCs w:val="22"/>
        </w:rPr>
        <w:t xml:space="preserve">For example, </w:t>
      </w:r>
      <w:r w:rsidRPr="001B7B8B">
        <w:rPr>
          <w:rFonts w:ascii="Calibri" w:hAnsi="Calibri" w:cs="Calibri"/>
          <w:sz w:val="22"/>
          <w:szCs w:val="22"/>
        </w:rPr>
        <w:t>pre-scaled tariffs of 2 p/kWh for consumption in a peak time band compared to 1 p/kWh for consumption in an off-peak time band could either be scaled to 5 p/kWh and 4 p/kWh under a fixed adder approach, or potentially 6 p/kWh and  3 p/kWh under a percentage scalar approach. The first of these maintains the 1 p/kWh absolute differential between pre-scaled tariffs, maintaining the intended signal that it costs the DNO 1 p/kWh more to distribute in the peak band than the off-peak, whilst the second would distort this cost signal by implying that the cost to the DNO of distributing in the peak band is 3 p/kWh higher than in the off-peak band.</w:t>
      </w:r>
    </w:p>
    <w:p w:rsidR="006D3789" w:rsidRPr="00F50EEE" w:rsidRDefault="00F50EEE" w:rsidP="006D3789">
      <w:pPr>
        <w:pStyle w:val="Heading1"/>
        <w:spacing w:line="360" w:lineRule="auto"/>
        <w:rPr>
          <w:rFonts w:ascii="Calibri" w:hAnsi="Calibri"/>
          <w:sz w:val="22"/>
          <w:u w:val="single"/>
        </w:rPr>
      </w:pPr>
      <w:r w:rsidRPr="00F50EEE">
        <w:rPr>
          <w:rFonts w:ascii="Calibri" w:hAnsi="Calibri"/>
          <w:sz w:val="22"/>
          <w:u w:val="single"/>
        </w:rPr>
        <w:t>Interaction with DCP 179</w:t>
      </w:r>
    </w:p>
    <w:p w:rsidR="006D3789" w:rsidRDefault="006D3789" w:rsidP="00F50EEE">
      <w:pPr>
        <w:pStyle w:val="Heading2"/>
        <w:numPr>
          <w:ilvl w:val="1"/>
          <w:numId w:val="1"/>
        </w:numPr>
        <w:spacing w:line="360" w:lineRule="auto"/>
        <w:jc w:val="both"/>
        <w:rPr>
          <w:rFonts w:ascii="Calibri" w:hAnsi="Calibri"/>
          <w:sz w:val="22"/>
        </w:rPr>
      </w:pPr>
      <w:r w:rsidRPr="0006661C">
        <w:rPr>
          <w:rFonts w:ascii="Calibri" w:hAnsi="Calibri"/>
          <w:sz w:val="22"/>
        </w:rPr>
        <w:t>The</w:t>
      </w:r>
      <w:r>
        <w:rPr>
          <w:rFonts w:ascii="Calibri" w:hAnsi="Calibri"/>
          <w:sz w:val="22"/>
        </w:rPr>
        <w:t xml:space="preserve"> DCP 228 Working Group noted</w:t>
      </w:r>
      <w:r w:rsidRPr="0006661C">
        <w:rPr>
          <w:rFonts w:ascii="Calibri" w:hAnsi="Calibri"/>
          <w:sz w:val="22"/>
        </w:rPr>
        <w:t xml:space="preserve"> that </w:t>
      </w:r>
      <w:r w:rsidR="00F50EEE">
        <w:rPr>
          <w:rFonts w:ascii="Calibri" w:hAnsi="Calibri"/>
          <w:sz w:val="22"/>
        </w:rPr>
        <w:t xml:space="preserve">approved </w:t>
      </w:r>
      <w:r>
        <w:rPr>
          <w:rFonts w:ascii="Calibri" w:hAnsi="Calibri"/>
          <w:sz w:val="22"/>
        </w:rPr>
        <w:t xml:space="preserve">Change Proposal </w:t>
      </w:r>
      <w:r w:rsidRPr="0006661C">
        <w:rPr>
          <w:rFonts w:ascii="Calibri" w:hAnsi="Calibri"/>
          <w:sz w:val="22"/>
        </w:rPr>
        <w:t xml:space="preserve">DCP 179 ‘Amending the CDCM tariff structure’ </w:t>
      </w:r>
      <w:r>
        <w:rPr>
          <w:rFonts w:ascii="Calibri" w:hAnsi="Calibri"/>
          <w:sz w:val="22"/>
        </w:rPr>
        <w:t xml:space="preserve">will result in Time of Use signals being more widely used within the CDCM. This increases the importance of ensuring that the </w:t>
      </w:r>
      <w:r w:rsidRPr="001B1E01">
        <w:rPr>
          <w:rFonts w:ascii="Calibri" w:hAnsi="Calibri"/>
          <w:sz w:val="22"/>
        </w:rPr>
        <w:t>economic signal of the incremental models are not distorted by scaling</w:t>
      </w:r>
      <w:r>
        <w:rPr>
          <w:rFonts w:ascii="Calibri" w:hAnsi="Calibri"/>
          <w:sz w:val="22"/>
        </w:rPr>
        <w:t>,</w:t>
      </w:r>
      <w:r w:rsidRPr="001B1E01">
        <w:rPr>
          <w:rFonts w:ascii="Calibri" w:hAnsi="Calibri"/>
          <w:sz w:val="22"/>
        </w:rPr>
        <w:t xml:space="preserve"> as this could lead to inefficient actions being taken by users</w:t>
      </w:r>
      <w:r>
        <w:rPr>
          <w:rFonts w:ascii="Calibri" w:hAnsi="Calibri"/>
          <w:sz w:val="22"/>
        </w:rPr>
        <w:t>.</w:t>
      </w:r>
    </w:p>
    <w:p w:rsidR="00F50EEE" w:rsidRDefault="00F50EEE" w:rsidP="00F50EEE"/>
    <w:p w:rsidR="00F50EEE" w:rsidRPr="00F50EEE" w:rsidRDefault="00F50EEE" w:rsidP="00F50EEE">
      <w:pPr>
        <w:pStyle w:val="Heading1"/>
        <w:spacing w:line="360" w:lineRule="auto"/>
        <w:rPr>
          <w:rFonts w:ascii="Calibri" w:hAnsi="Calibri"/>
          <w:sz w:val="22"/>
          <w:u w:val="single"/>
        </w:rPr>
      </w:pPr>
      <w:r w:rsidRPr="00F50EEE">
        <w:rPr>
          <w:rFonts w:ascii="Calibri" w:hAnsi="Calibri"/>
          <w:sz w:val="22"/>
          <w:u w:val="single"/>
        </w:rPr>
        <w:lastRenderedPageBreak/>
        <w:t xml:space="preserve">The CDCM Floor Price </w:t>
      </w:r>
    </w:p>
    <w:p w:rsidR="00F50EEE" w:rsidRDefault="00F50EEE" w:rsidP="00F50EEE">
      <w:pPr>
        <w:pStyle w:val="Heading2"/>
        <w:numPr>
          <w:ilvl w:val="1"/>
          <w:numId w:val="1"/>
        </w:numPr>
        <w:spacing w:line="360" w:lineRule="auto"/>
        <w:jc w:val="both"/>
        <w:rPr>
          <w:rFonts w:ascii="Calibri" w:hAnsi="Calibri"/>
          <w:sz w:val="22"/>
        </w:rPr>
      </w:pPr>
      <w:r>
        <w:rPr>
          <w:rFonts w:ascii="Calibri" w:hAnsi="Calibri"/>
          <w:sz w:val="22"/>
        </w:rPr>
        <w:t xml:space="preserve">The Working Group noted that industry parties were consulted on whether there should be a floor price during the progression of DCP 123. The DCP 123 Working Group </w:t>
      </w:r>
      <w:r w:rsidRPr="00293EB3">
        <w:rPr>
          <w:rFonts w:ascii="Calibri" w:hAnsi="Calibri"/>
          <w:sz w:val="22"/>
        </w:rPr>
        <w:t xml:space="preserve">observed that if prices were permitted to be negative then it might imply that putting energy onto the network at that point in time is benefiting the Distributor. The </w:t>
      </w:r>
      <w:r>
        <w:rPr>
          <w:rFonts w:ascii="Calibri" w:hAnsi="Calibri"/>
          <w:sz w:val="22"/>
        </w:rPr>
        <w:t>DCP 123 Working Group was</w:t>
      </w:r>
      <w:r w:rsidRPr="00293EB3">
        <w:rPr>
          <w:rFonts w:ascii="Calibri" w:hAnsi="Calibri"/>
          <w:sz w:val="22"/>
        </w:rPr>
        <w:t xml:space="preserve"> concerned that this might not be the appropriate signal to give as the negative price would be the result of the scaling rather than because this was the cost signal produced by the model. </w:t>
      </w:r>
      <w:r>
        <w:rPr>
          <w:rFonts w:ascii="Calibri" w:hAnsi="Calibri"/>
          <w:sz w:val="22"/>
        </w:rPr>
        <w:t xml:space="preserve">Counter to this, it was noted that </w:t>
      </w:r>
      <w:r w:rsidRPr="00293EB3">
        <w:rPr>
          <w:rFonts w:ascii="Calibri" w:hAnsi="Calibri"/>
          <w:sz w:val="22"/>
        </w:rPr>
        <w:t>a floor price of 0.000 p/kWh means that the pre-scaled differential between tarif</w:t>
      </w:r>
      <w:r>
        <w:rPr>
          <w:rFonts w:ascii="Calibri" w:hAnsi="Calibri"/>
          <w:sz w:val="22"/>
        </w:rPr>
        <w:t xml:space="preserve">fs would not be maintained which would work </w:t>
      </w:r>
      <w:r w:rsidRPr="00293EB3">
        <w:rPr>
          <w:rFonts w:ascii="Calibri" w:hAnsi="Calibri"/>
          <w:sz w:val="22"/>
        </w:rPr>
        <w:t xml:space="preserve">against the principle </w:t>
      </w:r>
      <w:r>
        <w:rPr>
          <w:rFonts w:ascii="Calibri" w:hAnsi="Calibri"/>
          <w:sz w:val="22"/>
        </w:rPr>
        <w:t xml:space="preserve">of the proposal. </w:t>
      </w:r>
    </w:p>
    <w:p w:rsidR="00F50EEE" w:rsidRDefault="00F50EEE" w:rsidP="00F50EEE">
      <w:pPr>
        <w:pStyle w:val="Heading2"/>
        <w:numPr>
          <w:ilvl w:val="1"/>
          <w:numId w:val="1"/>
        </w:numPr>
        <w:spacing w:line="360" w:lineRule="auto"/>
        <w:jc w:val="both"/>
        <w:rPr>
          <w:rFonts w:ascii="Calibri" w:hAnsi="Calibri"/>
          <w:sz w:val="22"/>
        </w:rPr>
      </w:pPr>
      <w:r>
        <w:rPr>
          <w:rFonts w:ascii="Calibri" w:hAnsi="Calibri"/>
          <w:sz w:val="22"/>
        </w:rPr>
        <w:t xml:space="preserve">Amongst respondents to the DCP 123 industry consultation </w:t>
      </w:r>
      <w:r w:rsidRPr="004D3DD4">
        <w:rPr>
          <w:rFonts w:ascii="Calibri" w:hAnsi="Calibri"/>
          <w:sz w:val="22"/>
        </w:rPr>
        <w:t xml:space="preserve">there was a slight majority in favour of not having negative prices. </w:t>
      </w:r>
      <w:r w:rsidRPr="00662998">
        <w:rPr>
          <w:rFonts w:ascii="Calibri" w:hAnsi="Calibri"/>
          <w:sz w:val="22"/>
        </w:rPr>
        <w:t xml:space="preserve">Although at the time Ofgem indicated </w:t>
      </w:r>
      <w:r w:rsidRPr="004D3DD4">
        <w:rPr>
          <w:rFonts w:ascii="Calibri" w:hAnsi="Calibri"/>
          <w:sz w:val="22"/>
        </w:rPr>
        <w:t>a preference for there not to be negative prices</w:t>
      </w:r>
      <w:r w:rsidRPr="00662998">
        <w:rPr>
          <w:rFonts w:ascii="Calibri" w:hAnsi="Calibri"/>
          <w:sz w:val="22"/>
        </w:rPr>
        <w:t>, they are open to re-evaluating this, in light of any evidence presented by industry.</w:t>
      </w:r>
      <w:r>
        <w:rPr>
          <w:rFonts w:ascii="Calibri" w:hAnsi="Calibri"/>
          <w:sz w:val="22"/>
        </w:rPr>
        <w:t xml:space="preserve"> The responses to the DCP 123 consultation are included within the DCP 123 Change Report, w</w:t>
      </w:r>
      <w:r w:rsidR="001C0E4B">
        <w:rPr>
          <w:rFonts w:ascii="Calibri" w:hAnsi="Calibri"/>
          <w:sz w:val="22"/>
        </w:rPr>
        <w:t>hich is provided as Attachment 4</w:t>
      </w:r>
      <w:r>
        <w:rPr>
          <w:rFonts w:ascii="Calibri" w:hAnsi="Calibri"/>
          <w:sz w:val="22"/>
        </w:rPr>
        <w:t xml:space="preserve">. </w:t>
      </w:r>
    </w:p>
    <w:p w:rsidR="00F50EEE" w:rsidRDefault="00F50EEE" w:rsidP="00F50EEE">
      <w:pPr>
        <w:pStyle w:val="Heading2"/>
        <w:numPr>
          <w:ilvl w:val="1"/>
          <w:numId w:val="1"/>
        </w:numPr>
        <w:spacing w:line="360" w:lineRule="auto"/>
        <w:jc w:val="both"/>
        <w:rPr>
          <w:rFonts w:ascii="Calibri" w:hAnsi="Calibri"/>
          <w:sz w:val="22"/>
        </w:rPr>
      </w:pPr>
      <w:r w:rsidRPr="005841F6">
        <w:rPr>
          <w:rFonts w:ascii="Calibri" w:hAnsi="Calibri"/>
          <w:sz w:val="22"/>
        </w:rPr>
        <w:t xml:space="preserve">The DCP 228 Working Group has agreed that this area should not be re-opened under DCP 228 and that the decision of the DCP 123 Working Group to retain the floor price </w:t>
      </w:r>
      <w:proofErr w:type="gramStart"/>
      <w:r w:rsidRPr="005841F6">
        <w:rPr>
          <w:rFonts w:ascii="Calibri" w:hAnsi="Calibri"/>
          <w:sz w:val="22"/>
        </w:rPr>
        <w:t>of 0.000 p/kWh</w:t>
      </w:r>
      <w:proofErr w:type="gramEnd"/>
      <w:r w:rsidRPr="005841F6">
        <w:rPr>
          <w:rFonts w:ascii="Calibri" w:hAnsi="Calibri"/>
          <w:sz w:val="22"/>
        </w:rPr>
        <w:t xml:space="preserve"> should stand. </w:t>
      </w:r>
    </w:p>
    <w:p w:rsidR="00F50EEE" w:rsidRPr="00AE53E0" w:rsidRDefault="00F50EEE" w:rsidP="00F50EEE">
      <w:pPr>
        <w:pStyle w:val="Heading2"/>
        <w:numPr>
          <w:ilvl w:val="1"/>
          <w:numId w:val="1"/>
        </w:numPr>
        <w:spacing w:line="360" w:lineRule="auto"/>
        <w:jc w:val="both"/>
        <w:rPr>
          <w:rFonts w:ascii="Calibri" w:hAnsi="Calibri"/>
          <w:sz w:val="22"/>
        </w:rPr>
      </w:pPr>
      <w:r w:rsidRPr="00E82F6B">
        <w:rPr>
          <w:rFonts w:ascii="Calibri" w:hAnsi="Calibri"/>
          <w:sz w:val="22"/>
        </w:rPr>
        <w:t xml:space="preserve">When making this decision the DCP 228 Working Group carried out analysis using data from </w:t>
      </w:r>
      <w:r>
        <w:rPr>
          <w:rFonts w:ascii="Calibri" w:hAnsi="Calibri"/>
          <w:sz w:val="22"/>
        </w:rPr>
        <w:t>London Power Networks model</w:t>
      </w:r>
      <w:r w:rsidRPr="00E82F6B">
        <w:rPr>
          <w:rFonts w:ascii="Calibri" w:hAnsi="Calibri"/>
          <w:sz w:val="22"/>
        </w:rPr>
        <w:t xml:space="preserve"> to check that even with a floor price of 0.000p/kWh, DCP 228 tariffs better maintain the pre-scaled differential than the current baseline approach. This anal</w:t>
      </w:r>
      <w:r w:rsidR="001C0E4B">
        <w:rPr>
          <w:rFonts w:ascii="Calibri" w:hAnsi="Calibri"/>
          <w:sz w:val="22"/>
        </w:rPr>
        <w:t>ysis is provided as Attachment 6</w:t>
      </w:r>
      <w:r w:rsidRPr="00E82F6B">
        <w:rPr>
          <w:rFonts w:ascii="Calibri" w:hAnsi="Calibri"/>
          <w:sz w:val="22"/>
        </w:rPr>
        <w:t>. Note, the baseline (pre-scaled) charges are taken from the final 2015/16 CDCM model and so have not been updated to reflect the changes to some input values</w:t>
      </w:r>
      <w:r>
        <w:rPr>
          <w:rFonts w:ascii="Calibri" w:hAnsi="Calibri"/>
          <w:sz w:val="22"/>
        </w:rPr>
        <w:t xml:space="preserve"> under DCP 161</w:t>
      </w:r>
      <w:r w:rsidRPr="00E82F6B">
        <w:rPr>
          <w:rFonts w:ascii="Calibri" w:hAnsi="Calibri"/>
          <w:sz w:val="22"/>
        </w:rPr>
        <w:t>, this explains some of the unexpected small differences to other tariff elements (</w:t>
      </w:r>
      <w:r>
        <w:rPr>
          <w:rFonts w:ascii="Calibri" w:hAnsi="Calibri"/>
          <w:sz w:val="22"/>
        </w:rPr>
        <w:t>e.g. fixed charge</w:t>
      </w:r>
      <w:r w:rsidRPr="00E82F6B">
        <w:rPr>
          <w:rFonts w:ascii="Calibri" w:hAnsi="Calibri"/>
          <w:sz w:val="22"/>
        </w:rPr>
        <w:t>)</w:t>
      </w:r>
      <w:r>
        <w:rPr>
          <w:rFonts w:ascii="Calibri" w:hAnsi="Calibri"/>
          <w:sz w:val="22"/>
        </w:rPr>
        <w:t>.</w:t>
      </w:r>
    </w:p>
    <w:p w:rsidR="00F50EEE" w:rsidRPr="00F50EEE" w:rsidRDefault="00F50EEE" w:rsidP="00F50EEE"/>
    <w:p w:rsidR="006D3789" w:rsidRPr="00F50EEE" w:rsidRDefault="006D3789" w:rsidP="00F50EEE">
      <w:pPr>
        <w:pStyle w:val="Heading1"/>
        <w:numPr>
          <w:ilvl w:val="0"/>
          <w:numId w:val="1"/>
        </w:numPr>
        <w:spacing w:line="360" w:lineRule="auto"/>
        <w:jc w:val="both"/>
        <w:rPr>
          <w:rFonts w:asciiTheme="minorHAnsi" w:hAnsiTheme="minorHAnsi"/>
          <w:sz w:val="22"/>
        </w:rPr>
      </w:pPr>
      <w:r w:rsidRPr="00F50EEE">
        <w:rPr>
          <w:rFonts w:asciiTheme="minorHAnsi" w:hAnsiTheme="minorHAnsi"/>
          <w:sz w:val="22"/>
        </w:rPr>
        <w:lastRenderedPageBreak/>
        <w:t xml:space="preserve">UPDATED CDCM MODEL </w:t>
      </w:r>
    </w:p>
    <w:p w:rsidR="006D3789" w:rsidRDefault="006D3789" w:rsidP="00F50EEE">
      <w:pPr>
        <w:pStyle w:val="Heading2"/>
        <w:numPr>
          <w:ilvl w:val="1"/>
          <w:numId w:val="1"/>
        </w:numPr>
        <w:spacing w:line="360" w:lineRule="auto"/>
        <w:jc w:val="both"/>
        <w:rPr>
          <w:rFonts w:ascii="Calibri" w:hAnsi="Calibri"/>
          <w:sz w:val="22"/>
        </w:rPr>
      </w:pPr>
      <w:r w:rsidRPr="00DC1C7A">
        <w:rPr>
          <w:rFonts w:ascii="Calibri" w:hAnsi="Calibri"/>
          <w:sz w:val="22"/>
        </w:rPr>
        <w:t xml:space="preserve">The </w:t>
      </w:r>
      <w:r>
        <w:rPr>
          <w:rFonts w:ascii="Calibri" w:hAnsi="Calibri"/>
          <w:sz w:val="22"/>
        </w:rPr>
        <w:t xml:space="preserve">Working Group </w:t>
      </w:r>
      <w:r w:rsidRPr="000A37C0">
        <w:rPr>
          <w:rFonts w:ascii="Calibri" w:hAnsi="Calibri"/>
          <w:sz w:val="22"/>
        </w:rPr>
        <w:t>updated</w:t>
      </w:r>
      <w:r>
        <w:rPr>
          <w:rFonts w:ascii="Calibri" w:hAnsi="Calibri"/>
          <w:sz w:val="22"/>
        </w:rPr>
        <w:t xml:space="preserve"> the CDCM model</w:t>
      </w:r>
      <w:r w:rsidRPr="000A37C0">
        <w:rPr>
          <w:rFonts w:ascii="Calibri" w:hAnsi="Calibri"/>
          <w:sz w:val="22"/>
        </w:rPr>
        <w:t xml:space="preserve"> to reflect the propo</w:t>
      </w:r>
      <w:r>
        <w:rPr>
          <w:rFonts w:ascii="Calibri" w:hAnsi="Calibri"/>
          <w:sz w:val="22"/>
        </w:rPr>
        <w:t xml:space="preserve">sed solution. The updated model is </w:t>
      </w:r>
      <w:r w:rsidRPr="000A37C0">
        <w:rPr>
          <w:rFonts w:ascii="Calibri" w:hAnsi="Calibri"/>
          <w:sz w:val="22"/>
        </w:rPr>
        <w:t xml:space="preserve">provided as Attachment </w:t>
      </w:r>
      <w:r w:rsidR="001C0E4B">
        <w:rPr>
          <w:rFonts w:ascii="Calibri" w:hAnsi="Calibri"/>
          <w:sz w:val="22"/>
        </w:rPr>
        <w:t>7</w:t>
      </w:r>
      <w:r w:rsidRPr="000A37C0">
        <w:rPr>
          <w:rFonts w:ascii="Calibri" w:hAnsi="Calibri"/>
          <w:sz w:val="22"/>
        </w:rPr>
        <w:t xml:space="preserve"> along with a description of the changes made.</w:t>
      </w:r>
    </w:p>
    <w:p w:rsidR="006D3789" w:rsidRDefault="006D3789" w:rsidP="00F50EEE">
      <w:pPr>
        <w:pStyle w:val="Heading2"/>
        <w:numPr>
          <w:ilvl w:val="1"/>
          <w:numId w:val="1"/>
        </w:numPr>
        <w:spacing w:line="360" w:lineRule="auto"/>
        <w:jc w:val="both"/>
        <w:rPr>
          <w:rFonts w:ascii="Calibri" w:hAnsi="Calibri"/>
          <w:sz w:val="22"/>
        </w:rPr>
      </w:pPr>
      <w:r w:rsidRPr="008F193F">
        <w:rPr>
          <w:rFonts w:ascii="Calibri" w:hAnsi="Calibri"/>
          <w:sz w:val="22"/>
        </w:rPr>
        <w:t>When applying the DCP 228 solution to the CDCM, the Working Group used</w:t>
      </w:r>
      <w:r>
        <w:rPr>
          <w:rFonts w:ascii="Calibri" w:hAnsi="Calibri"/>
          <w:sz w:val="22"/>
        </w:rPr>
        <w:t xml:space="preserve"> a baseline model which incorporated both of the following approved DCUSA CPs:</w:t>
      </w:r>
    </w:p>
    <w:p w:rsidR="006D3789" w:rsidRPr="004B1B86" w:rsidRDefault="006D3789" w:rsidP="006D3789">
      <w:pPr>
        <w:pStyle w:val="Heading2"/>
        <w:keepNext w:val="0"/>
        <w:widowControl w:val="0"/>
        <w:numPr>
          <w:ilvl w:val="0"/>
          <w:numId w:val="22"/>
        </w:numPr>
        <w:spacing w:line="360" w:lineRule="auto"/>
        <w:ind w:left="709" w:hanging="142"/>
        <w:rPr>
          <w:rFonts w:ascii="Calibri" w:hAnsi="Calibri"/>
          <w:sz w:val="22"/>
        </w:rPr>
      </w:pPr>
      <w:r w:rsidRPr="0006661C">
        <w:rPr>
          <w:rFonts w:ascii="Calibri" w:hAnsi="Calibri"/>
          <w:sz w:val="22"/>
        </w:rPr>
        <w:t>DCP 179 ‘Amending the CDCM tariff structure’</w:t>
      </w:r>
      <w:r>
        <w:rPr>
          <w:rFonts w:ascii="Calibri" w:hAnsi="Calibri"/>
          <w:sz w:val="22"/>
        </w:rPr>
        <w:t xml:space="preserve"> – this CP was implemented on 1 April 2015</w:t>
      </w:r>
    </w:p>
    <w:p w:rsidR="006D3789" w:rsidRPr="008F193F" w:rsidRDefault="006D3789" w:rsidP="006D3789">
      <w:pPr>
        <w:pStyle w:val="Heading2"/>
        <w:keepNext w:val="0"/>
        <w:widowControl w:val="0"/>
        <w:numPr>
          <w:ilvl w:val="0"/>
          <w:numId w:val="22"/>
        </w:numPr>
        <w:spacing w:line="360" w:lineRule="auto"/>
        <w:ind w:left="709" w:hanging="142"/>
        <w:rPr>
          <w:rFonts w:ascii="Calibri" w:hAnsi="Calibri"/>
          <w:sz w:val="22"/>
        </w:rPr>
      </w:pPr>
      <w:r>
        <w:rPr>
          <w:rFonts w:ascii="Calibri" w:hAnsi="Calibri"/>
          <w:sz w:val="22"/>
        </w:rPr>
        <w:t>DCP 161 ‘Excess Capacity Charges’ - this CP has been approved for implementation on 1 April 2016</w:t>
      </w:r>
    </w:p>
    <w:p w:rsidR="006D3789" w:rsidRPr="004B1B86" w:rsidRDefault="006D3789" w:rsidP="00F50EEE">
      <w:pPr>
        <w:pStyle w:val="Heading2"/>
        <w:numPr>
          <w:ilvl w:val="1"/>
          <w:numId w:val="1"/>
        </w:numPr>
        <w:spacing w:line="360" w:lineRule="auto"/>
        <w:jc w:val="both"/>
        <w:rPr>
          <w:rFonts w:ascii="Calibri" w:hAnsi="Calibri"/>
          <w:sz w:val="22"/>
        </w:rPr>
      </w:pPr>
      <w:r>
        <w:rPr>
          <w:rFonts w:ascii="Calibri" w:hAnsi="Calibri"/>
          <w:sz w:val="22"/>
        </w:rPr>
        <w:t xml:space="preserve">The reason for this is that the earliest that DCP 228 could be implemented is 1 April 2016, by which time both DCP 179 and DCP 161 will have been implemented. </w:t>
      </w:r>
    </w:p>
    <w:p w:rsidR="006D3789" w:rsidRDefault="006D3789" w:rsidP="006D3789">
      <w:pPr>
        <w:rPr>
          <w:lang w:eastAsia="x-none"/>
        </w:rPr>
      </w:pPr>
    </w:p>
    <w:p w:rsidR="006D3789" w:rsidRPr="00F50EEE" w:rsidRDefault="006D3789" w:rsidP="00F50EEE">
      <w:pPr>
        <w:pStyle w:val="Heading1"/>
        <w:numPr>
          <w:ilvl w:val="0"/>
          <w:numId w:val="1"/>
        </w:numPr>
        <w:spacing w:line="360" w:lineRule="auto"/>
        <w:jc w:val="both"/>
        <w:rPr>
          <w:rFonts w:asciiTheme="minorHAnsi" w:hAnsiTheme="minorHAnsi"/>
          <w:sz w:val="22"/>
        </w:rPr>
      </w:pPr>
      <w:r w:rsidRPr="00F50EEE">
        <w:rPr>
          <w:rFonts w:asciiTheme="minorHAnsi" w:hAnsiTheme="minorHAnsi"/>
          <w:sz w:val="22"/>
        </w:rPr>
        <w:t>IMPACT ASSESSMENT</w:t>
      </w:r>
    </w:p>
    <w:p w:rsidR="006D3789" w:rsidRDefault="006D3789" w:rsidP="00F50EEE">
      <w:pPr>
        <w:pStyle w:val="Heading2"/>
        <w:numPr>
          <w:ilvl w:val="1"/>
          <w:numId w:val="1"/>
        </w:numPr>
        <w:spacing w:line="360" w:lineRule="auto"/>
        <w:jc w:val="both"/>
        <w:rPr>
          <w:rFonts w:ascii="Calibri" w:hAnsi="Calibri"/>
          <w:sz w:val="22"/>
          <w:szCs w:val="22"/>
        </w:rPr>
      </w:pPr>
      <w:r>
        <w:rPr>
          <w:rFonts w:ascii="Calibri" w:hAnsi="Calibri"/>
          <w:sz w:val="22"/>
        </w:rPr>
        <w:t xml:space="preserve">The Working Group noted that the CDCM tariffs for the </w:t>
      </w:r>
      <w:r w:rsidRPr="005B4B1E">
        <w:rPr>
          <w:rFonts w:ascii="Calibri" w:hAnsi="Calibri"/>
          <w:sz w:val="22"/>
          <w:szCs w:val="22"/>
        </w:rPr>
        <w:t>2015/16 charging yea</w:t>
      </w:r>
      <w:r>
        <w:rPr>
          <w:rFonts w:ascii="Calibri" w:hAnsi="Calibri"/>
          <w:sz w:val="22"/>
          <w:szCs w:val="22"/>
        </w:rPr>
        <w:t xml:space="preserve">r do not incorporate DCP 161. It would therefore not be appropriate to compare the results of the DCP 228 updated CDCM model with the </w:t>
      </w:r>
      <w:r>
        <w:rPr>
          <w:rFonts w:ascii="Calibri" w:hAnsi="Calibri"/>
          <w:sz w:val="22"/>
        </w:rPr>
        <w:t xml:space="preserve">tariffs for the </w:t>
      </w:r>
      <w:r w:rsidRPr="005B4B1E">
        <w:rPr>
          <w:rFonts w:ascii="Calibri" w:hAnsi="Calibri"/>
          <w:sz w:val="22"/>
          <w:szCs w:val="22"/>
        </w:rPr>
        <w:t>2015/16 charging</w:t>
      </w:r>
      <w:r>
        <w:rPr>
          <w:rFonts w:ascii="Calibri" w:hAnsi="Calibri"/>
          <w:sz w:val="22"/>
          <w:szCs w:val="22"/>
        </w:rPr>
        <w:t xml:space="preserve"> year. The Working Group instead prepared the </w:t>
      </w:r>
      <w:r w:rsidRPr="005B4B1E">
        <w:rPr>
          <w:rFonts w:ascii="Calibri" w:hAnsi="Calibri"/>
          <w:sz w:val="22"/>
          <w:szCs w:val="22"/>
        </w:rPr>
        <w:t xml:space="preserve">impact assessment </w:t>
      </w:r>
      <w:r>
        <w:rPr>
          <w:rFonts w:ascii="Calibri" w:hAnsi="Calibri"/>
          <w:sz w:val="22"/>
          <w:szCs w:val="22"/>
        </w:rPr>
        <w:t>on a 2016/17 tariff basis. The impact assessment includes the following tariffs:</w:t>
      </w:r>
    </w:p>
    <w:p w:rsidR="006D3789" w:rsidRDefault="006D3789" w:rsidP="006D3789">
      <w:pPr>
        <w:pStyle w:val="Heading2"/>
        <w:keepNext w:val="0"/>
        <w:widowControl w:val="0"/>
        <w:numPr>
          <w:ilvl w:val="0"/>
          <w:numId w:val="22"/>
        </w:numPr>
        <w:spacing w:line="360" w:lineRule="auto"/>
        <w:ind w:left="851" w:hanging="142"/>
        <w:rPr>
          <w:rFonts w:ascii="Calibri" w:hAnsi="Calibri"/>
          <w:sz w:val="22"/>
        </w:rPr>
      </w:pPr>
      <w:r>
        <w:rPr>
          <w:rFonts w:ascii="Calibri" w:hAnsi="Calibri"/>
          <w:sz w:val="22"/>
        </w:rPr>
        <w:t xml:space="preserve">Baseline </w:t>
      </w:r>
      <w:r>
        <w:rPr>
          <w:rFonts w:ascii="Calibri" w:hAnsi="Calibri"/>
          <w:sz w:val="22"/>
          <w:szCs w:val="22"/>
        </w:rPr>
        <w:t xml:space="preserve">2016/17 </w:t>
      </w:r>
      <w:r>
        <w:rPr>
          <w:rFonts w:ascii="Calibri" w:hAnsi="Calibri"/>
          <w:sz w:val="22"/>
        </w:rPr>
        <w:t>tariffs (calculated using a CDCM model that includes DCP 179 and DCP 161)</w:t>
      </w:r>
    </w:p>
    <w:p w:rsidR="006D3789" w:rsidRDefault="006D3789" w:rsidP="006D3789">
      <w:pPr>
        <w:pStyle w:val="Heading2"/>
        <w:keepNext w:val="0"/>
        <w:widowControl w:val="0"/>
        <w:numPr>
          <w:ilvl w:val="0"/>
          <w:numId w:val="22"/>
        </w:numPr>
        <w:spacing w:line="360" w:lineRule="auto"/>
        <w:ind w:left="851" w:hanging="142"/>
        <w:rPr>
          <w:rFonts w:ascii="Calibri" w:hAnsi="Calibri"/>
          <w:sz w:val="22"/>
        </w:rPr>
      </w:pPr>
      <w:r w:rsidRPr="00B43E77">
        <w:rPr>
          <w:rFonts w:ascii="Calibri" w:hAnsi="Calibri"/>
          <w:sz w:val="22"/>
        </w:rPr>
        <w:t xml:space="preserve">DCP 228 2016/17 tariffs </w:t>
      </w:r>
      <w:r>
        <w:rPr>
          <w:rFonts w:ascii="Calibri" w:hAnsi="Calibri"/>
          <w:sz w:val="22"/>
        </w:rPr>
        <w:t>(calculated using a CDCM model that includes DCP 179, DCP 161 and the proposed DCP 228 solution)</w:t>
      </w:r>
    </w:p>
    <w:p w:rsidR="006D3789" w:rsidRDefault="006D3789" w:rsidP="00F50EEE">
      <w:pPr>
        <w:pStyle w:val="Heading2"/>
        <w:numPr>
          <w:ilvl w:val="1"/>
          <w:numId w:val="1"/>
        </w:numPr>
        <w:spacing w:line="360" w:lineRule="auto"/>
        <w:jc w:val="both"/>
        <w:rPr>
          <w:rFonts w:ascii="Calibri" w:hAnsi="Calibri"/>
          <w:sz w:val="22"/>
          <w:szCs w:val="22"/>
        </w:rPr>
      </w:pPr>
      <w:r>
        <w:rPr>
          <w:rFonts w:ascii="Calibri" w:hAnsi="Calibri"/>
          <w:sz w:val="22"/>
          <w:szCs w:val="22"/>
        </w:rPr>
        <w:t>T</w:t>
      </w:r>
      <w:r w:rsidRPr="00C6387F">
        <w:rPr>
          <w:rFonts w:ascii="Calibri" w:hAnsi="Calibri"/>
          <w:sz w:val="22"/>
          <w:szCs w:val="22"/>
        </w:rPr>
        <w:t xml:space="preserve">his impact assessment is provided as Attachment </w:t>
      </w:r>
      <w:r w:rsidR="001C0E4B">
        <w:rPr>
          <w:rFonts w:ascii="Calibri" w:hAnsi="Calibri"/>
          <w:sz w:val="22"/>
          <w:szCs w:val="22"/>
        </w:rPr>
        <w:t>8</w:t>
      </w:r>
      <w:r w:rsidRPr="00C6387F">
        <w:rPr>
          <w:rFonts w:ascii="Calibri" w:hAnsi="Calibri"/>
          <w:sz w:val="22"/>
          <w:szCs w:val="22"/>
        </w:rPr>
        <w:t xml:space="preserve"> and shows the impact on revenue, tariffs and an </w:t>
      </w:r>
      <w:r w:rsidRPr="00F50EEE">
        <w:rPr>
          <w:rFonts w:ascii="Calibri" w:hAnsi="Calibri"/>
          <w:sz w:val="22"/>
        </w:rPr>
        <w:t>average</w:t>
      </w:r>
      <w:r w:rsidRPr="00C6387F">
        <w:rPr>
          <w:rFonts w:ascii="Calibri" w:hAnsi="Calibri"/>
          <w:sz w:val="22"/>
          <w:szCs w:val="22"/>
        </w:rPr>
        <w:t xml:space="preserve"> bill.</w:t>
      </w:r>
      <w:r>
        <w:rPr>
          <w:rFonts w:ascii="Calibri" w:hAnsi="Calibri"/>
          <w:sz w:val="22"/>
          <w:szCs w:val="22"/>
        </w:rPr>
        <w:t xml:space="preserve"> </w:t>
      </w:r>
    </w:p>
    <w:p w:rsidR="006D3789" w:rsidRPr="00A97510" w:rsidRDefault="006D3789" w:rsidP="00F50EEE">
      <w:pPr>
        <w:pStyle w:val="Heading2"/>
        <w:numPr>
          <w:ilvl w:val="1"/>
          <w:numId w:val="1"/>
        </w:numPr>
        <w:spacing w:line="360" w:lineRule="auto"/>
        <w:jc w:val="both"/>
        <w:rPr>
          <w:rFonts w:ascii="Calibri" w:hAnsi="Calibri"/>
          <w:sz w:val="22"/>
          <w:szCs w:val="22"/>
        </w:rPr>
      </w:pPr>
      <w:r w:rsidRPr="00A97510">
        <w:rPr>
          <w:rFonts w:ascii="Calibri" w:hAnsi="Calibri"/>
          <w:sz w:val="22"/>
          <w:szCs w:val="22"/>
        </w:rPr>
        <w:t>The Working Group notes the impact of DCP 228 is broadly similar across all DNO areas with the exception</w:t>
      </w:r>
      <w:r>
        <w:rPr>
          <w:rFonts w:ascii="Calibri" w:hAnsi="Calibri"/>
          <w:sz w:val="22"/>
          <w:szCs w:val="22"/>
        </w:rPr>
        <w:t xml:space="preserve"> </w:t>
      </w:r>
      <w:r w:rsidRPr="00F50EEE">
        <w:rPr>
          <w:rFonts w:ascii="Calibri" w:hAnsi="Calibri"/>
          <w:sz w:val="22"/>
        </w:rPr>
        <w:t>of</w:t>
      </w:r>
      <w:r>
        <w:rPr>
          <w:rFonts w:ascii="Calibri" w:hAnsi="Calibri"/>
          <w:sz w:val="22"/>
          <w:szCs w:val="22"/>
        </w:rPr>
        <w:t xml:space="preserve"> where the scaling is negative</w:t>
      </w:r>
      <w:r w:rsidRPr="00A97510">
        <w:rPr>
          <w:rFonts w:ascii="Calibri" w:hAnsi="Calibri"/>
          <w:sz w:val="22"/>
          <w:szCs w:val="22"/>
        </w:rPr>
        <w:t xml:space="preserve">. </w:t>
      </w:r>
      <w:r>
        <w:rPr>
          <w:rFonts w:ascii="Calibri" w:hAnsi="Calibri"/>
          <w:sz w:val="22"/>
          <w:szCs w:val="22"/>
        </w:rPr>
        <w:t xml:space="preserve"> When negative scaling occurs, it can result </w:t>
      </w:r>
      <w:r w:rsidRPr="00A97510">
        <w:rPr>
          <w:rFonts w:ascii="Calibri" w:hAnsi="Calibri"/>
          <w:sz w:val="22"/>
          <w:szCs w:val="22"/>
        </w:rPr>
        <w:t>in Unit Rate</w:t>
      </w:r>
      <w:r>
        <w:rPr>
          <w:rFonts w:ascii="Calibri" w:hAnsi="Calibri"/>
          <w:sz w:val="22"/>
          <w:szCs w:val="22"/>
        </w:rPr>
        <w:t xml:space="preserve"> </w:t>
      </w:r>
      <w:r w:rsidRPr="00A97510">
        <w:rPr>
          <w:rFonts w:ascii="Calibri" w:hAnsi="Calibri"/>
          <w:sz w:val="22"/>
          <w:szCs w:val="22"/>
        </w:rPr>
        <w:t xml:space="preserve">prices </w:t>
      </w:r>
      <w:proofErr w:type="gramStart"/>
      <w:r w:rsidRPr="00A97510">
        <w:rPr>
          <w:rFonts w:ascii="Calibri" w:hAnsi="Calibri"/>
          <w:sz w:val="22"/>
          <w:szCs w:val="22"/>
        </w:rPr>
        <w:t>of 0</w:t>
      </w:r>
      <w:r>
        <w:rPr>
          <w:rFonts w:ascii="Calibri" w:hAnsi="Calibri"/>
          <w:sz w:val="22"/>
          <w:szCs w:val="22"/>
        </w:rPr>
        <w:t>.000</w:t>
      </w:r>
      <w:r w:rsidRPr="00A97510">
        <w:rPr>
          <w:rFonts w:ascii="Calibri" w:hAnsi="Calibri"/>
          <w:sz w:val="22"/>
          <w:szCs w:val="22"/>
        </w:rPr>
        <w:t xml:space="preserve"> p/kWh</w:t>
      </w:r>
      <w:proofErr w:type="gramEnd"/>
      <w:r w:rsidRPr="00A97510">
        <w:rPr>
          <w:rFonts w:ascii="Calibri" w:hAnsi="Calibri"/>
          <w:sz w:val="22"/>
          <w:szCs w:val="22"/>
        </w:rPr>
        <w:t>.</w:t>
      </w:r>
      <w:r w:rsidRPr="00AA65B8">
        <w:rPr>
          <w:rFonts w:ascii="Calibri" w:hAnsi="Calibri"/>
          <w:sz w:val="22"/>
          <w:szCs w:val="22"/>
        </w:rPr>
        <w:t xml:space="preserve"> This occurs because in areas </w:t>
      </w:r>
      <w:r w:rsidRPr="00AA65B8">
        <w:rPr>
          <w:rFonts w:ascii="Calibri" w:hAnsi="Calibri"/>
          <w:sz w:val="22"/>
          <w:szCs w:val="22"/>
        </w:rPr>
        <w:lastRenderedPageBreak/>
        <w:t>with negative scaling the unit rates are scaled downwards. Those rates that are relatively low to begin with are scaled by an amount which is large enough to take them to zero or below. The CDCM model does not permit negative demand</w:t>
      </w:r>
      <w:r w:rsidRPr="004D3DD4">
        <w:rPr>
          <w:rFonts w:ascii="Calibri" w:hAnsi="Calibri"/>
          <w:sz w:val="22"/>
        </w:rPr>
        <w:t xml:space="preserve"> tariffs and </w:t>
      </w:r>
      <w:r w:rsidRPr="00AA65B8">
        <w:rPr>
          <w:rFonts w:ascii="Calibri" w:hAnsi="Calibri"/>
          <w:sz w:val="22"/>
          <w:szCs w:val="22"/>
        </w:rPr>
        <w:t xml:space="preserve">therefore the rates are capped at a floor price </w:t>
      </w:r>
      <w:proofErr w:type="gramStart"/>
      <w:r w:rsidRPr="00AA65B8">
        <w:rPr>
          <w:rFonts w:ascii="Calibri" w:hAnsi="Calibri"/>
          <w:sz w:val="22"/>
          <w:szCs w:val="22"/>
        </w:rPr>
        <w:t>of 0.000 p/kWh</w:t>
      </w:r>
      <w:proofErr w:type="gramEnd"/>
      <w:r w:rsidRPr="00AA65B8">
        <w:rPr>
          <w:rFonts w:ascii="Calibri" w:hAnsi="Calibri"/>
          <w:sz w:val="22"/>
          <w:szCs w:val="22"/>
        </w:rPr>
        <w:t>.</w:t>
      </w:r>
    </w:p>
    <w:p w:rsidR="006D3789" w:rsidRPr="00A86A91" w:rsidRDefault="006D3789" w:rsidP="006D3789">
      <w:pPr>
        <w:pStyle w:val="Heading2"/>
        <w:numPr>
          <w:ilvl w:val="1"/>
          <w:numId w:val="1"/>
        </w:numPr>
        <w:spacing w:line="360" w:lineRule="auto"/>
        <w:jc w:val="both"/>
        <w:rPr>
          <w:rFonts w:ascii="Calibri" w:hAnsi="Calibri"/>
          <w:sz w:val="22"/>
          <w:szCs w:val="22"/>
        </w:rPr>
      </w:pPr>
      <w:r w:rsidRPr="00AA65B8">
        <w:rPr>
          <w:rFonts w:ascii="Calibri" w:hAnsi="Calibri"/>
          <w:sz w:val="22"/>
          <w:szCs w:val="22"/>
        </w:rPr>
        <w:t xml:space="preserve">In the DCP 228 impact assessment </w:t>
      </w:r>
      <w:r>
        <w:rPr>
          <w:rFonts w:ascii="Calibri" w:hAnsi="Calibri"/>
          <w:sz w:val="22"/>
          <w:szCs w:val="22"/>
        </w:rPr>
        <w:t>UK Power Networks’ London Power Networks is</w:t>
      </w:r>
      <w:r w:rsidRPr="00AA65B8">
        <w:rPr>
          <w:rFonts w:ascii="Calibri" w:hAnsi="Calibri"/>
          <w:sz w:val="22"/>
          <w:szCs w:val="22"/>
        </w:rPr>
        <w:t xml:space="preserve"> the only DNO area </w:t>
      </w:r>
      <w:r>
        <w:rPr>
          <w:rFonts w:ascii="Calibri" w:hAnsi="Calibri"/>
          <w:sz w:val="22"/>
          <w:szCs w:val="22"/>
        </w:rPr>
        <w:t>that currently has</w:t>
      </w:r>
      <w:r w:rsidRPr="00AA65B8">
        <w:rPr>
          <w:rFonts w:ascii="Calibri" w:hAnsi="Calibri"/>
          <w:sz w:val="22"/>
          <w:szCs w:val="22"/>
        </w:rPr>
        <w:t xml:space="preserve"> negative scaling. However, the Working Group noted that future CDCM changes (for instance, if asset replacement were to be included within the CDCM) may increase the likelihood of negative scaling occurring. Therefore, if DCP 228 is implemented there may be other DNO areas also affected in the future. </w:t>
      </w:r>
    </w:p>
    <w:p w:rsidR="00565E77" w:rsidRPr="008A7057" w:rsidRDefault="008A7057" w:rsidP="00D823B3">
      <w:pPr>
        <w:pStyle w:val="Heading1"/>
        <w:numPr>
          <w:ilvl w:val="0"/>
          <w:numId w:val="1"/>
        </w:numPr>
        <w:spacing w:line="360" w:lineRule="auto"/>
        <w:jc w:val="both"/>
        <w:rPr>
          <w:rFonts w:asciiTheme="minorHAnsi" w:hAnsiTheme="minorHAnsi"/>
          <w:sz w:val="22"/>
        </w:rPr>
      </w:pPr>
      <w:r w:rsidRPr="008A7057">
        <w:rPr>
          <w:rFonts w:asciiTheme="minorHAnsi" w:hAnsiTheme="minorHAnsi"/>
          <w:sz w:val="22"/>
        </w:rPr>
        <w:t>DCP 228</w:t>
      </w:r>
      <w:r w:rsidR="00887974" w:rsidRPr="008A7057">
        <w:rPr>
          <w:rFonts w:asciiTheme="minorHAnsi" w:hAnsiTheme="minorHAnsi"/>
          <w:sz w:val="22"/>
        </w:rPr>
        <w:t xml:space="preserve"> </w:t>
      </w:r>
      <w:r w:rsidR="009C05C8" w:rsidRPr="008A7057">
        <w:rPr>
          <w:rFonts w:asciiTheme="minorHAnsi" w:hAnsiTheme="minorHAnsi"/>
          <w:sz w:val="22"/>
        </w:rPr>
        <w:t>CONSULTATION</w:t>
      </w:r>
    </w:p>
    <w:p w:rsidR="00A86A91" w:rsidRPr="001C0E4B" w:rsidRDefault="00A86A91" w:rsidP="00A86A91">
      <w:pPr>
        <w:pStyle w:val="Heading2"/>
        <w:numPr>
          <w:ilvl w:val="1"/>
          <w:numId w:val="1"/>
        </w:numPr>
        <w:tabs>
          <w:tab w:val="clear" w:pos="576"/>
          <w:tab w:val="num" w:pos="567"/>
        </w:tabs>
        <w:spacing w:line="360" w:lineRule="auto"/>
        <w:ind w:left="567" w:hanging="567"/>
        <w:jc w:val="both"/>
        <w:rPr>
          <w:rFonts w:asciiTheme="minorHAnsi" w:hAnsiTheme="minorHAnsi"/>
          <w:sz w:val="22"/>
        </w:rPr>
      </w:pPr>
      <w:r w:rsidRPr="001C0E4B">
        <w:rPr>
          <w:rFonts w:asciiTheme="minorHAnsi" w:hAnsiTheme="minorHAnsi"/>
          <w:sz w:val="22"/>
        </w:rPr>
        <w:t xml:space="preserve">Following its discussions on the CP, the Working Group developed a consultation document (Attachment </w:t>
      </w:r>
      <w:r w:rsidR="001C0E4B" w:rsidRPr="001C0E4B">
        <w:rPr>
          <w:rFonts w:asciiTheme="minorHAnsi" w:hAnsiTheme="minorHAnsi"/>
          <w:sz w:val="22"/>
        </w:rPr>
        <w:t>9</w:t>
      </w:r>
      <w:r w:rsidRPr="001C0E4B">
        <w:rPr>
          <w:rFonts w:asciiTheme="minorHAnsi" w:hAnsiTheme="minorHAnsi"/>
          <w:sz w:val="22"/>
        </w:rPr>
        <w:t xml:space="preserve">) to gather information and feedback from market participants. </w:t>
      </w:r>
    </w:p>
    <w:p w:rsidR="007A685F" w:rsidRPr="001C0E4B" w:rsidRDefault="00565E77" w:rsidP="00D823B3">
      <w:pPr>
        <w:pStyle w:val="Heading2"/>
        <w:widowControl w:val="0"/>
        <w:numPr>
          <w:ilvl w:val="1"/>
          <w:numId w:val="1"/>
        </w:numPr>
        <w:spacing w:line="360" w:lineRule="auto"/>
        <w:ind w:left="567" w:hanging="567"/>
        <w:jc w:val="both"/>
        <w:rPr>
          <w:rFonts w:asciiTheme="minorHAnsi" w:hAnsiTheme="minorHAnsi"/>
          <w:sz w:val="22"/>
        </w:rPr>
      </w:pPr>
      <w:r w:rsidRPr="001C0E4B">
        <w:rPr>
          <w:rFonts w:asciiTheme="minorHAnsi" w:hAnsiTheme="minorHAnsi"/>
          <w:sz w:val="22"/>
        </w:rPr>
        <w:t xml:space="preserve">The </w:t>
      </w:r>
      <w:r w:rsidR="008A7057" w:rsidRPr="001C0E4B">
        <w:rPr>
          <w:rFonts w:asciiTheme="minorHAnsi" w:hAnsiTheme="minorHAnsi"/>
          <w:sz w:val="22"/>
        </w:rPr>
        <w:t>DCP 228</w:t>
      </w:r>
      <w:r w:rsidR="00887974" w:rsidRPr="001C0E4B">
        <w:rPr>
          <w:rFonts w:asciiTheme="minorHAnsi" w:hAnsiTheme="minorHAnsi"/>
          <w:sz w:val="22"/>
        </w:rPr>
        <w:t xml:space="preserve"> </w:t>
      </w:r>
      <w:r w:rsidR="009C05C8" w:rsidRPr="001C0E4B">
        <w:rPr>
          <w:rFonts w:asciiTheme="minorHAnsi" w:hAnsiTheme="minorHAnsi"/>
          <w:sz w:val="22"/>
        </w:rPr>
        <w:t>consultation was issued on</w:t>
      </w:r>
      <w:r w:rsidR="00327511" w:rsidRPr="001C0E4B">
        <w:rPr>
          <w:rFonts w:asciiTheme="minorHAnsi" w:hAnsiTheme="minorHAnsi"/>
          <w:sz w:val="22"/>
        </w:rPr>
        <w:t xml:space="preserve"> </w:t>
      </w:r>
      <w:r w:rsidR="001C0E4B" w:rsidRPr="001C0E4B">
        <w:rPr>
          <w:rFonts w:asciiTheme="minorHAnsi" w:hAnsiTheme="minorHAnsi"/>
          <w:sz w:val="22"/>
        </w:rPr>
        <w:t>27 April 2015</w:t>
      </w:r>
      <w:r w:rsidR="00887974" w:rsidRPr="001C0E4B">
        <w:rPr>
          <w:rFonts w:asciiTheme="minorHAnsi" w:hAnsiTheme="minorHAnsi"/>
          <w:sz w:val="22"/>
        </w:rPr>
        <w:t xml:space="preserve"> and there were </w:t>
      </w:r>
      <w:r w:rsidR="001C0E4B" w:rsidRPr="001C0E4B">
        <w:rPr>
          <w:rFonts w:asciiTheme="minorHAnsi" w:hAnsiTheme="minorHAnsi"/>
          <w:sz w:val="22"/>
        </w:rPr>
        <w:t>nine</w:t>
      </w:r>
      <w:r w:rsidR="000352F9" w:rsidRPr="001C0E4B">
        <w:rPr>
          <w:rFonts w:asciiTheme="minorHAnsi" w:hAnsiTheme="minorHAnsi"/>
          <w:sz w:val="22"/>
        </w:rPr>
        <w:t xml:space="preserve"> </w:t>
      </w:r>
      <w:r w:rsidR="00327511" w:rsidRPr="001C0E4B">
        <w:rPr>
          <w:rFonts w:asciiTheme="minorHAnsi" w:hAnsiTheme="minorHAnsi"/>
          <w:sz w:val="22"/>
        </w:rPr>
        <w:t xml:space="preserve">responses received. </w:t>
      </w:r>
    </w:p>
    <w:p w:rsidR="00565E77" w:rsidRPr="001C0E4B" w:rsidRDefault="00565E77" w:rsidP="00D823B3">
      <w:pPr>
        <w:pStyle w:val="Heading2"/>
        <w:widowControl w:val="0"/>
        <w:numPr>
          <w:ilvl w:val="1"/>
          <w:numId w:val="1"/>
        </w:numPr>
        <w:spacing w:line="360" w:lineRule="auto"/>
        <w:ind w:left="567" w:hanging="567"/>
        <w:jc w:val="both"/>
        <w:rPr>
          <w:rFonts w:asciiTheme="minorHAnsi" w:hAnsiTheme="minorHAnsi"/>
          <w:sz w:val="22"/>
        </w:rPr>
      </w:pPr>
      <w:r w:rsidRPr="001C0E4B">
        <w:rPr>
          <w:rFonts w:asciiTheme="minorHAnsi" w:hAnsiTheme="minorHAnsi"/>
          <w:sz w:val="22"/>
        </w:rPr>
        <w:t>A summary of the responses received, and the Working Group’</w:t>
      </w:r>
      <w:r w:rsidR="008F1836" w:rsidRPr="001C0E4B">
        <w:rPr>
          <w:rFonts w:asciiTheme="minorHAnsi" w:hAnsiTheme="minorHAnsi"/>
          <w:sz w:val="22"/>
        </w:rPr>
        <w:t>s conclusions are set out below.</w:t>
      </w:r>
      <w:r w:rsidR="00101B07" w:rsidRPr="001C0E4B">
        <w:rPr>
          <w:rFonts w:asciiTheme="minorHAnsi" w:hAnsiTheme="minorHAnsi"/>
          <w:sz w:val="22"/>
        </w:rPr>
        <w:t xml:space="preserve"> The full set of responses and the Working Group’s comments are provided in </w:t>
      </w:r>
      <w:r w:rsidR="001C0E4B" w:rsidRPr="001C0E4B">
        <w:rPr>
          <w:rFonts w:asciiTheme="minorHAnsi" w:hAnsiTheme="minorHAnsi"/>
          <w:sz w:val="22"/>
        </w:rPr>
        <w:t>Attachment 9.</w:t>
      </w:r>
    </w:p>
    <w:p w:rsidR="007C3921" w:rsidRPr="00C85B61" w:rsidRDefault="000D0BC0" w:rsidP="00D823B3">
      <w:pPr>
        <w:keepNext/>
        <w:jc w:val="both"/>
        <w:rPr>
          <w:rFonts w:asciiTheme="minorHAnsi" w:hAnsiTheme="minorHAnsi"/>
          <w:b/>
          <w:bCs/>
          <w:iCs/>
          <w:sz w:val="22"/>
          <w:u w:val="single"/>
        </w:rPr>
      </w:pPr>
      <w:r w:rsidRPr="00C85B61">
        <w:rPr>
          <w:rFonts w:asciiTheme="minorHAnsi" w:hAnsiTheme="minorHAnsi"/>
          <w:b/>
          <w:sz w:val="22"/>
          <w:u w:val="single"/>
        </w:rPr>
        <w:t xml:space="preserve">Question 1 - </w:t>
      </w:r>
      <w:r w:rsidR="00A55FD6" w:rsidRPr="00C85B61">
        <w:rPr>
          <w:rFonts w:asciiTheme="minorHAnsi" w:hAnsiTheme="minorHAnsi"/>
          <w:b/>
          <w:sz w:val="22"/>
          <w:u w:val="single"/>
        </w:rPr>
        <w:t>Do you understand the intent of the CP?</w:t>
      </w:r>
    </w:p>
    <w:p w:rsidR="006D4744" w:rsidRPr="00C85B61" w:rsidRDefault="00FF112E" w:rsidP="00D823B3">
      <w:pPr>
        <w:pStyle w:val="Heading2"/>
        <w:widowControl w:val="0"/>
        <w:numPr>
          <w:ilvl w:val="1"/>
          <w:numId w:val="1"/>
        </w:numPr>
        <w:spacing w:line="360" w:lineRule="auto"/>
        <w:ind w:left="567" w:hanging="567"/>
        <w:jc w:val="both"/>
        <w:rPr>
          <w:rFonts w:asciiTheme="minorHAnsi" w:hAnsiTheme="minorHAnsi"/>
          <w:sz w:val="22"/>
        </w:rPr>
      </w:pPr>
      <w:r w:rsidRPr="00C85B61">
        <w:rPr>
          <w:rFonts w:asciiTheme="minorHAnsi" w:hAnsiTheme="minorHAnsi"/>
          <w:sz w:val="22"/>
        </w:rPr>
        <w:t>The Working Group noted that all consultation respondents understood the intent of the CP.</w:t>
      </w:r>
    </w:p>
    <w:p w:rsidR="00692A99" w:rsidRPr="00C85B61" w:rsidRDefault="00FA562A" w:rsidP="00D823B3">
      <w:pPr>
        <w:keepNext/>
        <w:jc w:val="both"/>
        <w:rPr>
          <w:rFonts w:asciiTheme="minorHAnsi" w:hAnsiTheme="minorHAnsi"/>
          <w:b/>
          <w:bCs/>
          <w:iCs/>
          <w:sz w:val="22"/>
          <w:u w:val="single"/>
        </w:rPr>
      </w:pPr>
      <w:r w:rsidRPr="00C85B61">
        <w:rPr>
          <w:rFonts w:asciiTheme="minorHAnsi" w:hAnsiTheme="minorHAnsi"/>
          <w:b/>
          <w:sz w:val="22"/>
          <w:u w:val="single"/>
        </w:rPr>
        <w:t xml:space="preserve">Question 2 - </w:t>
      </w:r>
      <w:r w:rsidR="00327511" w:rsidRPr="00C85B61">
        <w:rPr>
          <w:rFonts w:asciiTheme="minorHAnsi" w:hAnsiTheme="minorHAnsi"/>
          <w:b/>
          <w:sz w:val="22"/>
          <w:u w:val="single"/>
        </w:rPr>
        <w:t xml:space="preserve">Are you supportive of the principles </w:t>
      </w:r>
      <w:r w:rsidR="00A86A91" w:rsidRPr="00C85B61">
        <w:rPr>
          <w:rFonts w:asciiTheme="minorHAnsi" w:hAnsiTheme="minorHAnsi"/>
          <w:b/>
          <w:sz w:val="22"/>
          <w:u w:val="single"/>
        </w:rPr>
        <w:t>of DCP 228?</w:t>
      </w:r>
    </w:p>
    <w:p w:rsidR="00C85B61" w:rsidRPr="00EB6DE0" w:rsidRDefault="004515F9" w:rsidP="00A86A91">
      <w:pPr>
        <w:pStyle w:val="Heading2"/>
        <w:widowControl w:val="0"/>
        <w:numPr>
          <w:ilvl w:val="1"/>
          <w:numId w:val="1"/>
        </w:numPr>
        <w:spacing w:line="360" w:lineRule="auto"/>
        <w:ind w:left="567" w:hanging="567"/>
        <w:jc w:val="both"/>
        <w:rPr>
          <w:rFonts w:asciiTheme="minorHAnsi" w:hAnsiTheme="minorHAnsi"/>
          <w:sz w:val="22"/>
        </w:rPr>
      </w:pPr>
      <w:r w:rsidRPr="00EB6DE0">
        <w:rPr>
          <w:rFonts w:asciiTheme="minorHAnsi" w:hAnsiTheme="minorHAnsi"/>
          <w:sz w:val="22"/>
        </w:rPr>
        <w:t xml:space="preserve">The Working Group noted that </w:t>
      </w:r>
      <w:r w:rsidR="00C85B61" w:rsidRPr="00EB6DE0">
        <w:rPr>
          <w:rFonts w:asciiTheme="minorHAnsi" w:hAnsiTheme="minorHAnsi"/>
          <w:sz w:val="22"/>
        </w:rPr>
        <w:t xml:space="preserve">eight of the nine respondents were supportive of the principles of the CP. </w:t>
      </w:r>
    </w:p>
    <w:p w:rsidR="00A86A91" w:rsidRDefault="00C85B61" w:rsidP="00EB6DE0">
      <w:pPr>
        <w:pStyle w:val="Heading2"/>
        <w:widowControl w:val="0"/>
        <w:numPr>
          <w:ilvl w:val="1"/>
          <w:numId w:val="1"/>
        </w:numPr>
        <w:spacing w:line="360" w:lineRule="auto"/>
        <w:jc w:val="both"/>
        <w:rPr>
          <w:rFonts w:asciiTheme="minorHAnsi" w:hAnsiTheme="minorHAnsi"/>
          <w:sz w:val="22"/>
        </w:rPr>
      </w:pPr>
      <w:r w:rsidRPr="00EB6DE0">
        <w:rPr>
          <w:rFonts w:asciiTheme="minorHAnsi" w:hAnsiTheme="minorHAnsi"/>
          <w:sz w:val="22"/>
        </w:rPr>
        <w:t>One of these respondents highlighted that</w:t>
      </w:r>
      <w:r w:rsidR="00EB6DE0" w:rsidRPr="00EB6DE0">
        <w:rPr>
          <w:rFonts w:asciiTheme="minorHAnsi" w:hAnsiTheme="minorHAnsi"/>
          <w:sz w:val="22"/>
        </w:rPr>
        <w:t>, whilst they were supportive,</w:t>
      </w:r>
      <w:r w:rsidRPr="00EB6DE0">
        <w:rPr>
          <w:rFonts w:asciiTheme="minorHAnsi" w:hAnsiTheme="minorHAnsi"/>
          <w:sz w:val="22"/>
        </w:rPr>
        <w:t xml:space="preserve"> they </w:t>
      </w:r>
      <w:r w:rsidR="00EB6DE0" w:rsidRPr="00EB6DE0">
        <w:rPr>
          <w:rFonts w:asciiTheme="minorHAnsi" w:hAnsiTheme="minorHAnsi"/>
          <w:sz w:val="22"/>
        </w:rPr>
        <w:t xml:space="preserve">had concerns that a number of customer groups would experience significant tariff disturbance. The Working Group noted that they were aware of this impact but considered that the propose solution is still more cost reflective than the current approach. </w:t>
      </w:r>
    </w:p>
    <w:p w:rsidR="00EB6DE0" w:rsidRPr="00CA6F49" w:rsidRDefault="00EB6DE0" w:rsidP="00CA6F49">
      <w:pPr>
        <w:pStyle w:val="Heading2"/>
        <w:widowControl w:val="0"/>
        <w:numPr>
          <w:ilvl w:val="1"/>
          <w:numId w:val="1"/>
        </w:numPr>
        <w:spacing w:line="360" w:lineRule="auto"/>
        <w:jc w:val="both"/>
        <w:rPr>
          <w:rFonts w:asciiTheme="minorHAnsi" w:hAnsiTheme="minorHAnsi"/>
          <w:sz w:val="22"/>
        </w:rPr>
      </w:pPr>
      <w:r w:rsidRPr="00EB6DE0">
        <w:rPr>
          <w:rFonts w:asciiTheme="minorHAnsi" w:hAnsiTheme="minorHAnsi"/>
          <w:sz w:val="22"/>
        </w:rPr>
        <w:lastRenderedPageBreak/>
        <w:t xml:space="preserve">The only respondent not to support the principles of the CP voiced concerns that the CP will disproportionality impact base-load industrial and commercial consumers. </w:t>
      </w:r>
      <w:r>
        <w:rPr>
          <w:rFonts w:asciiTheme="minorHAnsi" w:hAnsiTheme="minorHAnsi"/>
          <w:sz w:val="22"/>
        </w:rPr>
        <w:t>The Working Group discussed the respondents concerns and noted that cost allocation should be applied before scaling and that DCP 228 does not seek to allocate costs but rather better maintain the pre-scaled cost profiles. I</w:t>
      </w:r>
      <w:r w:rsidRPr="00EB6DE0">
        <w:rPr>
          <w:rFonts w:asciiTheme="minorHAnsi" w:hAnsiTheme="minorHAnsi"/>
          <w:sz w:val="22"/>
        </w:rPr>
        <w:t xml:space="preserve">t was </w:t>
      </w:r>
      <w:r>
        <w:rPr>
          <w:rFonts w:asciiTheme="minorHAnsi" w:hAnsiTheme="minorHAnsi"/>
          <w:sz w:val="22"/>
        </w:rPr>
        <w:t xml:space="preserve">also </w:t>
      </w:r>
      <w:r w:rsidRPr="00EB6DE0">
        <w:rPr>
          <w:rFonts w:asciiTheme="minorHAnsi" w:hAnsiTheme="minorHAnsi"/>
          <w:sz w:val="22"/>
        </w:rPr>
        <w:t>noted</w:t>
      </w:r>
      <w:r>
        <w:rPr>
          <w:rFonts w:asciiTheme="minorHAnsi" w:hAnsiTheme="minorHAnsi"/>
          <w:sz w:val="22"/>
        </w:rPr>
        <w:t xml:space="preserve"> by the group</w:t>
      </w:r>
      <w:r w:rsidRPr="00EB6DE0">
        <w:rPr>
          <w:rFonts w:asciiTheme="minorHAnsi" w:hAnsiTheme="minorHAnsi"/>
          <w:sz w:val="22"/>
        </w:rPr>
        <w:t xml:space="preserve"> that the spreadsheet prepared by the Proposer of DCP 228 and submitted along-side the CP when it was </w:t>
      </w:r>
      <w:r w:rsidRPr="00A4313A">
        <w:rPr>
          <w:rFonts w:asciiTheme="minorHAnsi" w:hAnsiTheme="minorHAnsi"/>
          <w:sz w:val="22"/>
        </w:rPr>
        <w:t xml:space="preserve">raised </w:t>
      </w:r>
      <w:r w:rsidR="00A4313A" w:rsidRPr="00A4313A">
        <w:rPr>
          <w:rFonts w:asciiTheme="minorHAnsi" w:hAnsiTheme="minorHAnsi"/>
          <w:sz w:val="22"/>
        </w:rPr>
        <w:t>(Attachment 5</w:t>
      </w:r>
      <w:r w:rsidRPr="00A4313A">
        <w:rPr>
          <w:rFonts w:asciiTheme="minorHAnsi" w:hAnsiTheme="minorHAnsi"/>
          <w:sz w:val="22"/>
        </w:rPr>
        <w:t xml:space="preserve">) shows that </w:t>
      </w:r>
      <w:r w:rsidRPr="00EB6DE0">
        <w:rPr>
          <w:rFonts w:asciiTheme="minorHAnsi" w:hAnsiTheme="minorHAnsi"/>
          <w:sz w:val="22"/>
        </w:rPr>
        <w:t xml:space="preserve">the amount of revenue being </w:t>
      </w:r>
      <w:r w:rsidRPr="00CA6F49">
        <w:rPr>
          <w:rFonts w:asciiTheme="minorHAnsi" w:hAnsiTheme="minorHAnsi"/>
          <w:sz w:val="22"/>
        </w:rPr>
        <w:t xml:space="preserve">recovered from peak related charges is significantly greater than the expected peak related reinforcement costs of the network. </w:t>
      </w:r>
    </w:p>
    <w:p w:rsidR="001D0FFF" w:rsidRPr="00CA6F49" w:rsidRDefault="001D0FFF" w:rsidP="00D823B3">
      <w:pPr>
        <w:keepNext/>
        <w:jc w:val="both"/>
      </w:pPr>
    </w:p>
    <w:p w:rsidR="00A86A91" w:rsidRPr="00CA6F49" w:rsidRDefault="00327511" w:rsidP="00A86A91">
      <w:pPr>
        <w:keepNext/>
        <w:jc w:val="both"/>
        <w:rPr>
          <w:rFonts w:asciiTheme="minorHAnsi" w:hAnsiTheme="minorHAnsi"/>
          <w:b/>
          <w:sz w:val="22"/>
          <w:u w:val="single"/>
        </w:rPr>
      </w:pPr>
      <w:r w:rsidRPr="00CA6F49">
        <w:rPr>
          <w:rFonts w:asciiTheme="minorHAnsi" w:hAnsiTheme="minorHAnsi"/>
          <w:b/>
          <w:sz w:val="22"/>
          <w:u w:val="single"/>
        </w:rPr>
        <w:t xml:space="preserve">Question 3 - </w:t>
      </w:r>
      <w:r w:rsidR="00A86A91" w:rsidRPr="00CA6F49">
        <w:rPr>
          <w:rFonts w:asciiTheme="minorHAnsi" w:hAnsiTheme="minorHAnsi"/>
          <w:b/>
          <w:sz w:val="22"/>
          <w:u w:val="single"/>
        </w:rPr>
        <w:t xml:space="preserve">Do you agree with the proposal to not allow negative demand tariffs, by setting a floor price of zero p/KWh? </w:t>
      </w:r>
    </w:p>
    <w:p w:rsidR="00A86A91" w:rsidRPr="00CA6F49" w:rsidRDefault="00C61F14" w:rsidP="00A86A91">
      <w:pPr>
        <w:pStyle w:val="Heading2"/>
        <w:widowControl w:val="0"/>
        <w:numPr>
          <w:ilvl w:val="1"/>
          <w:numId w:val="1"/>
        </w:numPr>
        <w:spacing w:line="360" w:lineRule="auto"/>
        <w:jc w:val="both"/>
        <w:rPr>
          <w:rFonts w:asciiTheme="minorHAnsi" w:hAnsiTheme="minorHAnsi"/>
          <w:sz w:val="22"/>
        </w:rPr>
      </w:pPr>
      <w:r w:rsidRPr="00CA6F49">
        <w:rPr>
          <w:rFonts w:asciiTheme="minorHAnsi" w:hAnsiTheme="minorHAnsi"/>
          <w:sz w:val="22"/>
        </w:rPr>
        <w:t>The Working Group noted th</w:t>
      </w:r>
      <w:r w:rsidR="001B7067" w:rsidRPr="00CA6F49">
        <w:rPr>
          <w:rFonts w:asciiTheme="minorHAnsi" w:hAnsiTheme="minorHAnsi"/>
          <w:sz w:val="22"/>
        </w:rPr>
        <w:t xml:space="preserve">at </w:t>
      </w:r>
      <w:r w:rsidR="00CA6F49" w:rsidRPr="00CA6F49">
        <w:rPr>
          <w:rFonts w:asciiTheme="minorHAnsi" w:hAnsiTheme="minorHAnsi"/>
          <w:sz w:val="22"/>
        </w:rPr>
        <w:t xml:space="preserve">responses to this question were mixed. The following table provides </w:t>
      </w:r>
      <w:r w:rsidR="00CA6F49">
        <w:rPr>
          <w:rFonts w:asciiTheme="minorHAnsi" w:hAnsiTheme="minorHAnsi"/>
          <w:sz w:val="22"/>
        </w:rPr>
        <w:t xml:space="preserve">a summary of the responses received. </w:t>
      </w:r>
    </w:p>
    <w:tbl>
      <w:tblPr>
        <w:tblStyle w:val="TableGrid"/>
        <w:tblW w:w="0" w:type="auto"/>
        <w:tblLook w:val="04A0" w:firstRow="1" w:lastRow="0" w:firstColumn="1" w:lastColumn="0" w:noHBand="0" w:noVBand="1"/>
      </w:tblPr>
      <w:tblGrid>
        <w:gridCol w:w="1403"/>
        <w:gridCol w:w="1682"/>
        <w:gridCol w:w="1559"/>
        <w:gridCol w:w="2268"/>
        <w:gridCol w:w="1616"/>
      </w:tblGrid>
      <w:tr w:rsidR="00CA6F49" w:rsidRPr="008A7057" w:rsidTr="00B714F4">
        <w:tc>
          <w:tcPr>
            <w:tcW w:w="8528" w:type="dxa"/>
            <w:gridSpan w:val="5"/>
          </w:tcPr>
          <w:p w:rsidR="00CA6F49" w:rsidRPr="003D144E" w:rsidRDefault="00CA6F49" w:rsidP="00B714F4">
            <w:pPr>
              <w:keepNext/>
              <w:jc w:val="both"/>
              <w:rPr>
                <w:rFonts w:asciiTheme="minorHAnsi" w:hAnsiTheme="minorHAnsi"/>
                <w:color w:val="FF0000"/>
                <w:sz w:val="22"/>
              </w:rPr>
            </w:pPr>
            <w:r w:rsidRPr="003D144E">
              <w:rPr>
                <w:rFonts w:asciiTheme="minorHAnsi" w:hAnsiTheme="minorHAnsi"/>
                <w:b/>
                <w:sz w:val="22"/>
              </w:rPr>
              <w:t>Do you agree with the proposal to not allow negative demand tariffs, by setting a floor price of zero p/KWh?</w:t>
            </w:r>
          </w:p>
        </w:tc>
      </w:tr>
      <w:tr w:rsidR="00172754" w:rsidRPr="008A7057" w:rsidTr="00871F13">
        <w:trPr>
          <w:trHeight w:val="503"/>
        </w:trPr>
        <w:tc>
          <w:tcPr>
            <w:tcW w:w="1403" w:type="dxa"/>
          </w:tcPr>
          <w:p w:rsidR="00172754" w:rsidRPr="00172754" w:rsidRDefault="00172754" w:rsidP="00B714F4">
            <w:pPr>
              <w:keepNext/>
              <w:jc w:val="both"/>
              <w:rPr>
                <w:rFonts w:asciiTheme="minorHAnsi" w:hAnsiTheme="minorHAnsi"/>
                <w:b/>
                <w:sz w:val="22"/>
              </w:rPr>
            </w:pPr>
            <w:r w:rsidRPr="00172754">
              <w:rPr>
                <w:rFonts w:asciiTheme="minorHAnsi" w:hAnsiTheme="minorHAnsi"/>
                <w:b/>
                <w:sz w:val="22"/>
              </w:rPr>
              <w:t>Respondent type</w:t>
            </w:r>
          </w:p>
        </w:tc>
        <w:tc>
          <w:tcPr>
            <w:tcW w:w="1682" w:type="dxa"/>
          </w:tcPr>
          <w:p w:rsidR="00172754" w:rsidRPr="00172754" w:rsidRDefault="00172754" w:rsidP="00172754">
            <w:pPr>
              <w:keepNext/>
              <w:jc w:val="center"/>
              <w:rPr>
                <w:rFonts w:asciiTheme="minorHAnsi" w:hAnsiTheme="minorHAnsi"/>
                <w:b/>
                <w:sz w:val="22"/>
              </w:rPr>
            </w:pPr>
            <w:r w:rsidRPr="00172754">
              <w:rPr>
                <w:rFonts w:asciiTheme="minorHAnsi" w:hAnsiTheme="minorHAnsi"/>
                <w:b/>
                <w:sz w:val="22"/>
              </w:rPr>
              <w:t>Yes</w:t>
            </w:r>
          </w:p>
        </w:tc>
        <w:tc>
          <w:tcPr>
            <w:tcW w:w="1559" w:type="dxa"/>
          </w:tcPr>
          <w:p w:rsidR="00172754" w:rsidRPr="00172754" w:rsidRDefault="00172754" w:rsidP="00172754">
            <w:pPr>
              <w:keepNext/>
              <w:jc w:val="center"/>
              <w:rPr>
                <w:rFonts w:asciiTheme="minorHAnsi" w:hAnsiTheme="minorHAnsi"/>
                <w:b/>
                <w:sz w:val="22"/>
              </w:rPr>
            </w:pPr>
            <w:r w:rsidRPr="00172754">
              <w:rPr>
                <w:rFonts w:asciiTheme="minorHAnsi" w:hAnsiTheme="minorHAnsi"/>
                <w:b/>
                <w:sz w:val="22"/>
              </w:rPr>
              <w:t>No</w:t>
            </w:r>
          </w:p>
        </w:tc>
        <w:tc>
          <w:tcPr>
            <w:tcW w:w="2268" w:type="dxa"/>
          </w:tcPr>
          <w:p w:rsidR="00172754" w:rsidRPr="00172754" w:rsidRDefault="00172754" w:rsidP="00172754">
            <w:pPr>
              <w:keepNext/>
              <w:jc w:val="center"/>
              <w:rPr>
                <w:rFonts w:asciiTheme="minorHAnsi" w:hAnsiTheme="minorHAnsi"/>
                <w:b/>
                <w:sz w:val="22"/>
              </w:rPr>
            </w:pPr>
            <w:r w:rsidRPr="00172754">
              <w:rPr>
                <w:rFonts w:asciiTheme="minorHAnsi" w:hAnsiTheme="minorHAnsi"/>
                <w:b/>
                <w:sz w:val="22"/>
              </w:rPr>
              <w:t>Further consideration needed</w:t>
            </w:r>
          </w:p>
        </w:tc>
        <w:tc>
          <w:tcPr>
            <w:tcW w:w="1616" w:type="dxa"/>
          </w:tcPr>
          <w:p w:rsidR="00172754" w:rsidRPr="00172754" w:rsidRDefault="00172754" w:rsidP="00172754">
            <w:pPr>
              <w:keepNext/>
              <w:jc w:val="center"/>
              <w:rPr>
                <w:rFonts w:asciiTheme="minorHAnsi" w:hAnsiTheme="minorHAnsi"/>
                <w:b/>
                <w:sz w:val="22"/>
              </w:rPr>
            </w:pPr>
            <w:r w:rsidRPr="00172754">
              <w:rPr>
                <w:rFonts w:asciiTheme="minorHAnsi" w:hAnsiTheme="minorHAnsi"/>
                <w:b/>
                <w:sz w:val="22"/>
              </w:rPr>
              <w:t>Total</w:t>
            </w:r>
          </w:p>
        </w:tc>
      </w:tr>
      <w:tr w:rsidR="00172754" w:rsidRPr="008A7057" w:rsidTr="00871F13">
        <w:tc>
          <w:tcPr>
            <w:tcW w:w="1403" w:type="dxa"/>
          </w:tcPr>
          <w:p w:rsidR="00172754" w:rsidRPr="00172754" w:rsidRDefault="00172754" w:rsidP="00B714F4">
            <w:pPr>
              <w:keepNext/>
              <w:jc w:val="both"/>
              <w:rPr>
                <w:rFonts w:asciiTheme="minorHAnsi" w:hAnsiTheme="minorHAnsi"/>
                <w:b/>
                <w:sz w:val="22"/>
              </w:rPr>
            </w:pPr>
            <w:r w:rsidRPr="00172754">
              <w:rPr>
                <w:rFonts w:asciiTheme="minorHAnsi" w:hAnsiTheme="minorHAnsi"/>
                <w:b/>
                <w:sz w:val="22"/>
              </w:rPr>
              <w:t>DNO</w:t>
            </w:r>
          </w:p>
        </w:tc>
        <w:tc>
          <w:tcPr>
            <w:tcW w:w="1682" w:type="dxa"/>
          </w:tcPr>
          <w:p w:rsidR="00172754" w:rsidRPr="00172754" w:rsidRDefault="003A025F" w:rsidP="00172754">
            <w:pPr>
              <w:keepNext/>
              <w:jc w:val="center"/>
              <w:rPr>
                <w:rFonts w:asciiTheme="minorHAnsi" w:hAnsiTheme="minorHAnsi"/>
                <w:sz w:val="22"/>
              </w:rPr>
            </w:pPr>
            <w:r>
              <w:rPr>
                <w:rFonts w:asciiTheme="minorHAnsi" w:hAnsiTheme="minorHAnsi"/>
                <w:sz w:val="22"/>
              </w:rPr>
              <w:t>5</w:t>
            </w:r>
          </w:p>
        </w:tc>
        <w:tc>
          <w:tcPr>
            <w:tcW w:w="1559" w:type="dxa"/>
          </w:tcPr>
          <w:p w:rsidR="00172754" w:rsidRPr="00172754" w:rsidRDefault="003A025F" w:rsidP="00172754">
            <w:pPr>
              <w:keepNext/>
              <w:jc w:val="center"/>
              <w:rPr>
                <w:rFonts w:asciiTheme="minorHAnsi" w:hAnsiTheme="minorHAnsi"/>
                <w:sz w:val="22"/>
              </w:rPr>
            </w:pPr>
            <w:r>
              <w:rPr>
                <w:rFonts w:asciiTheme="minorHAnsi" w:hAnsiTheme="minorHAnsi"/>
                <w:sz w:val="22"/>
              </w:rPr>
              <w:t>1</w:t>
            </w:r>
          </w:p>
        </w:tc>
        <w:tc>
          <w:tcPr>
            <w:tcW w:w="2268" w:type="dxa"/>
          </w:tcPr>
          <w:p w:rsidR="00172754" w:rsidRPr="00172754" w:rsidRDefault="00172754" w:rsidP="00172754">
            <w:pPr>
              <w:keepNext/>
              <w:jc w:val="center"/>
              <w:rPr>
                <w:rFonts w:asciiTheme="minorHAnsi" w:hAnsiTheme="minorHAnsi"/>
                <w:sz w:val="22"/>
              </w:rPr>
            </w:pPr>
          </w:p>
        </w:tc>
        <w:tc>
          <w:tcPr>
            <w:tcW w:w="1616" w:type="dxa"/>
          </w:tcPr>
          <w:p w:rsidR="00172754" w:rsidRPr="00172754" w:rsidRDefault="003A025F" w:rsidP="00172754">
            <w:pPr>
              <w:keepNext/>
              <w:jc w:val="center"/>
              <w:rPr>
                <w:rFonts w:asciiTheme="minorHAnsi" w:hAnsiTheme="minorHAnsi"/>
                <w:b/>
                <w:sz w:val="22"/>
              </w:rPr>
            </w:pPr>
            <w:r>
              <w:rPr>
                <w:rFonts w:asciiTheme="minorHAnsi" w:hAnsiTheme="minorHAnsi"/>
                <w:b/>
                <w:sz w:val="22"/>
              </w:rPr>
              <w:t>6</w:t>
            </w:r>
          </w:p>
        </w:tc>
      </w:tr>
      <w:tr w:rsidR="00172754" w:rsidRPr="008A7057" w:rsidTr="00871F13">
        <w:tc>
          <w:tcPr>
            <w:tcW w:w="1403" w:type="dxa"/>
          </w:tcPr>
          <w:p w:rsidR="00172754" w:rsidRPr="00172754" w:rsidRDefault="00172754" w:rsidP="00B714F4">
            <w:pPr>
              <w:keepNext/>
              <w:jc w:val="both"/>
              <w:rPr>
                <w:rFonts w:asciiTheme="minorHAnsi" w:hAnsiTheme="minorHAnsi"/>
                <w:b/>
                <w:sz w:val="22"/>
              </w:rPr>
            </w:pPr>
            <w:r w:rsidRPr="00172754">
              <w:rPr>
                <w:rFonts w:asciiTheme="minorHAnsi" w:hAnsiTheme="minorHAnsi"/>
                <w:b/>
                <w:sz w:val="22"/>
              </w:rPr>
              <w:t>Supplier</w:t>
            </w:r>
          </w:p>
        </w:tc>
        <w:tc>
          <w:tcPr>
            <w:tcW w:w="1682" w:type="dxa"/>
          </w:tcPr>
          <w:p w:rsidR="00172754" w:rsidRPr="00172754" w:rsidRDefault="003A025F" w:rsidP="00172754">
            <w:pPr>
              <w:keepNext/>
              <w:jc w:val="center"/>
              <w:rPr>
                <w:rFonts w:asciiTheme="minorHAnsi" w:hAnsiTheme="minorHAnsi"/>
                <w:sz w:val="22"/>
              </w:rPr>
            </w:pPr>
            <w:r>
              <w:rPr>
                <w:rFonts w:asciiTheme="minorHAnsi" w:hAnsiTheme="minorHAnsi"/>
                <w:sz w:val="22"/>
              </w:rPr>
              <w:t>1</w:t>
            </w:r>
          </w:p>
        </w:tc>
        <w:tc>
          <w:tcPr>
            <w:tcW w:w="1559" w:type="dxa"/>
          </w:tcPr>
          <w:p w:rsidR="00172754" w:rsidRPr="00172754" w:rsidRDefault="003A025F" w:rsidP="00172754">
            <w:pPr>
              <w:keepNext/>
              <w:jc w:val="center"/>
              <w:rPr>
                <w:rFonts w:asciiTheme="minorHAnsi" w:hAnsiTheme="minorHAnsi"/>
                <w:sz w:val="22"/>
              </w:rPr>
            </w:pPr>
            <w:r>
              <w:rPr>
                <w:rFonts w:asciiTheme="minorHAnsi" w:hAnsiTheme="minorHAnsi"/>
                <w:sz w:val="22"/>
              </w:rPr>
              <w:t>1</w:t>
            </w:r>
          </w:p>
        </w:tc>
        <w:tc>
          <w:tcPr>
            <w:tcW w:w="2268" w:type="dxa"/>
          </w:tcPr>
          <w:p w:rsidR="00172754" w:rsidRPr="00172754" w:rsidRDefault="003A025F" w:rsidP="00172754">
            <w:pPr>
              <w:keepNext/>
              <w:jc w:val="center"/>
              <w:rPr>
                <w:rFonts w:asciiTheme="minorHAnsi" w:hAnsiTheme="minorHAnsi"/>
                <w:sz w:val="22"/>
              </w:rPr>
            </w:pPr>
            <w:r>
              <w:rPr>
                <w:rFonts w:asciiTheme="minorHAnsi" w:hAnsiTheme="minorHAnsi"/>
                <w:sz w:val="22"/>
              </w:rPr>
              <w:t>1</w:t>
            </w:r>
          </w:p>
        </w:tc>
        <w:tc>
          <w:tcPr>
            <w:tcW w:w="1616" w:type="dxa"/>
          </w:tcPr>
          <w:p w:rsidR="00172754" w:rsidRPr="00172754" w:rsidRDefault="003A025F" w:rsidP="00172754">
            <w:pPr>
              <w:keepNext/>
              <w:jc w:val="center"/>
              <w:rPr>
                <w:rFonts w:asciiTheme="minorHAnsi" w:hAnsiTheme="minorHAnsi"/>
                <w:b/>
                <w:sz w:val="22"/>
              </w:rPr>
            </w:pPr>
            <w:r>
              <w:rPr>
                <w:rFonts w:asciiTheme="minorHAnsi" w:hAnsiTheme="minorHAnsi"/>
                <w:b/>
                <w:sz w:val="22"/>
              </w:rPr>
              <w:t>3</w:t>
            </w:r>
          </w:p>
        </w:tc>
      </w:tr>
      <w:tr w:rsidR="00172754" w:rsidRPr="008A7057" w:rsidTr="00871F13">
        <w:trPr>
          <w:trHeight w:val="77"/>
        </w:trPr>
        <w:tc>
          <w:tcPr>
            <w:tcW w:w="1403" w:type="dxa"/>
          </w:tcPr>
          <w:p w:rsidR="00172754" w:rsidRPr="00172754" w:rsidRDefault="00172754" w:rsidP="00B714F4">
            <w:pPr>
              <w:keepNext/>
              <w:jc w:val="both"/>
              <w:rPr>
                <w:rFonts w:asciiTheme="minorHAnsi" w:hAnsiTheme="minorHAnsi"/>
                <w:b/>
                <w:sz w:val="22"/>
              </w:rPr>
            </w:pPr>
            <w:r w:rsidRPr="00172754">
              <w:rPr>
                <w:rFonts w:asciiTheme="minorHAnsi" w:hAnsiTheme="minorHAnsi"/>
                <w:b/>
                <w:sz w:val="22"/>
              </w:rPr>
              <w:t xml:space="preserve">Total </w:t>
            </w:r>
          </w:p>
        </w:tc>
        <w:tc>
          <w:tcPr>
            <w:tcW w:w="1682" w:type="dxa"/>
          </w:tcPr>
          <w:p w:rsidR="00172754" w:rsidRPr="00172754" w:rsidRDefault="003A025F" w:rsidP="00172754">
            <w:pPr>
              <w:keepNext/>
              <w:jc w:val="center"/>
              <w:rPr>
                <w:rFonts w:asciiTheme="minorHAnsi" w:hAnsiTheme="minorHAnsi"/>
                <w:b/>
                <w:sz w:val="22"/>
              </w:rPr>
            </w:pPr>
            <w:r>
              <w:rPr>
                <w:rFonts w:asciiTheme="minorHAnsi" w:hAnsiTheme="minorHAnsi"/>
                <w:b/>
                <w:sz w:val="22"/>
              </w:rPr>
              <w:t>6</w:t>
            </w:r>
          </w:p>
        </w:tc>
        <w:tc>
          <w:tcPr>
            <w:tcW w:w="1559" w:type="dxa"/>
          </w:tcPr>
          <w:p w:rsidR="00172754" w:rsidRPr="00172754" w:rsidRDefault="003A025F" w:rsidP="00172754">
            <w:pPr>
              <w:keepNext/>
              <w:jc w:val="center"/>
              <w:rPr>
                <w:rFonts w:asciiTheme="minorHAnsi" w:hAnsiTheme="minorHAnsi"/>
                <w:b/>
                <w:sz w:val="22"/>
              </w:rPr>
            </w:pPr>
            <w:r>
              <w:rPr>
                <w:rFonts w:asciiTheme="minorHAnsi" w:hAnsiTheme="minorHAnsi"/>
                <w:b/>
                <w:sz w:val="22"/>
              </w:rPr>
              <w:t>2</w:t>
            </w:r>
          </w:p>
        </w:tc>
        <w:tc>
          <w:tcPr>
            <w:tcW w:w="2268" w:type="dxa"/>
          </w:tcPr>
          <w:p w:rsidR="00172754" w:rsidRPr="00172754" w:rsidRDefault="003A025F" w:rsidP="00172754">
            <w:pPr>
              <w:keepNext/>
              <w:jc w:val="center"/>
              <w:rPr>
                <w:rFonts w:asciiTheme="minorHAnsi" w:hAnsiTheme="minorHAnsi"/>
                <w:b/>
                <w:sz w:val="22"/>
              </w:rPr>
            </w:pPr>
            <w:r>
              <w:rPr>
                <w:rFonts w:asciiTheme="minorHAnsi" w:hAnsiTheme="minorHAnsi"/>
                <w:b/>
                <w:sz w:val="22"/>
              </w:rPr>
              <w:t>1</w:t>
            </w:r>
          </w:p>
        </w:tc>
        <w:tc>
          <w:tcPr>
            <w:tcW w:w="1616" w:type="dxa"/>
          </w:tcPr>
          <w:p w:rsidR="00172754" w:rsidRPr="00172754" w:rsidRDefault="003A025F" w:rsidP="00172754">
            <w:pPr>
              <w:keepNext/>
              <w:jc w:val="center"/>
              <w:rPr>
                <w:rFonts w:asciiTheme="minorHAnsi" w:hAnsiTheme="minorHAnsi"/>
                <w:b/>
                <w:sz w:val="22"/>
              </w:rPr>
            </w:pPr>
            <w:r>
              <w:rPr>
                <w:rFonts w:asciiTheme="minorHAnsi" w:hAnsiTheme="minorHAnsi"/>
                <w:b/>
                <w:sz w:val="22"/>
              </w:rPr>
              <w:t>9</w:t>
            </w:r>
          </w:p>
        </w:tc>
      </w:tr>
    </w:tbl>
    <w:p w:rsidR="00172754" w:rsidRDefault="00172754" w:rsidP="003A025F">
      <w:pPr>
        <w:pStyle w:val="Heading2"/>
        <w:widowControl w:val="0"/>
        <w:numPr>
          <w:ilvl w:val="1"/>
          <w:numId w:val="1"/>
        </w:numPr>
        <w:spacing w:line="360" w:lineRule="auto"/>
        <w:jc w:val="both"/>
        <w:rPr>
          <w:rFonts w:asciiTheme="minorHAnsi" w:hAnsiTheme="minorHAnsi"/>
          <w:sz w:val="22"/>
        </w:rPr>
      </w:pPr>
      <w:r w:rsidRPr="003A025F">
        <w:rPr>
          <w:rFonts w:asciiTheme="minorHAnsi" w:hAnsiTheme="minorHAnsi"/>
          <w:sz w:val="22"/>
        </w:rPr>
        <w:t xml:space="preserve">Those respondents that agreed with the proposal that there should be a floor price of </w:t>
      </w:r>
      <w:r w:rsidR="003A025F" w:rsidRPr="003A025F">
        <w:rPr>
          <w:rFonts w:asciiTheme="minorHAnsi" w:hAnsiTheme="minorHAnsi"/>
          <w:sz w:val="22"/>
        </w:rPr>
        <w:t>zero p/KWh</w:t>
      </w:r>
      <w:r w:rsidR="00871F13">
        <w:rPr>
          <w:rFonts w:asciiTheme="minorHAnsi" w:hAnsiTheme="minorHAnsi"/>
          <w:sz w:val="22"/>
        </w:rPr>
        <w:t xml:space="preserve"> raised a number of points in support of this proposal, including:</w:t>
      </w:r>
    </w:p>
    <w:p w:rsidR="00871F13" w:rsidRPr="00871F13" w:rsidRDefault="00871F13" w:rsidP="00871F13">
      <w:pPr>
        <w:pStyle w:val="ListParagraph"/>
        <w:numPr>
          <w:ilvl w:val="0"/>
          <w:numId w:val="25"/>
        </w:numPr>
        <w:spacing w:before="120" w:after="120"/>
        <w:ind w:left="851" w:hanging="284"/>
        <w:contextualSpacing w:val="0"/>
        <w:rPr>
          <w:rFonts w:asciiTheme="minorHAnsi" w:hAnsiTheme="minorHAnsi"/>
          <w:sz w:val="22"/>
        </w:rPr>
      </w:pPr>
      <w:proofErr w:type="gramStart"/>
      <w:r w:rsidRPr="00871F13">
        <w:rPr>
          <w:rFonts w:asciiTheme="minorHAnsi" w:hAnsiTheme="minorHAnsi"/>
          <w:sz w:val="22"/>
        </w:rPr>
        <w:t>a</w:t>
      </w:r>
      <w:proofErr w:type="gramEnd"/>
      <w:r w:rsidRPr="00871F13">
        <w:rPr>
          <w:rFonts w:asciiTheme="minorHAnsi" w:hAnsiTheme="minorHAnsi"/>
          <w:sz w:val="22"/>
        </w:rPr>
        <w:t xml:space="preserve"> negative unit rate for demand customers is counter intuitive: it implies (a) the customer is providing a benefit to the network and no costs; and (b) if one customer group has benefits from negative tariffs, others may be </w:t>
      </w:r>
      <w:proofErr w:type="spellStart"/>
      <w:r w:rsidRPr="00871F13">
        <w:rPr>
          <w:rFonts w:asciiTheme="minorHAnsi" w:hAnsiTheme="minorHAnsi"/>
          <w:sz w:val="22"/>
        </w:rPr>
        <w:t>subsidising</w:t>
      </w:r>
      <w:proofErr w:type="spellEnd"/>
      <w:r w:rsidRPr="00871F13">
        <w:rPr>
          <w:rFonts w:asciiTheme="minorHAnsi" w:hAnsiTheme="minorHAnsi"/>
          <w:sz w:val="22"/>
        </w:rPr>
        <w:t xml:space="preserve"> these payments.</w:t>
      </w:r>
    </w:p>
    <w:p w:rsidR="00871F13" w:rsidRPr="00871F13" w:rsidRDefault="00871F13" w:rsidP="00871F13">
      <w:pPr>
        <w:pStyle w:val="ListParagraph"/>
        <w:numPr>
          <w:ilvl w:val="0"/>
          <w:numId w:val="25"/>
        </w:numPr>
        <w:spacing w:before="120" w:after="120"/>
        <w:ind w:left="851" w:hanging="284"/>
        <w:contextualSpacing w:val="0"/>
        <w:rPr>
          <w:rFonts w:asciiTheme="minorHAnsi" w:hAnsiTheme="minorHAnsi"/>
          <w:sz w:val="22"/>
        </w:rPr>
      </w:pPr>
      <w:r w:rsidRPr="00871F13">
        <w:rPr>
          <w:rFonts w:asciiTheme="minorHAnsi" w:hAnsiTheme="minorHAnsi" w:cs="Arial"/>
          <w:sz w:val="22"/>
          <w:szCs w:val="20"/>
        </w:rPr>
        <w:t>The pre-scaled tariffs resulted in a charge not a credit for the affected tariffs. Allowing scaling to change a charge to a credit rate conflicts with the intent of the model (had scaling not been required a credit would never have been calculated for the tariffs affected.)</w:t>
      </w:r>
    </w:p>
    <w:p w:rsidR="00871F13" w:rsidRPr="00871F13" w:rsidRDefault="00871F13" w:rsidP="00871F13">
      <w:pPr>
        <w:pStyle w:val="ListParagraph"/>
        <w:numPr>
          <w:ilvl w:val="0"/>
          <w:numId w:val="25"/>
        </w:numPr>
        <w:spacing w:before="120" w:after="120"/>
        <w:ind w:left="851" w:hanging="284"/>
        <w:contextualSpacing w:val="0"/>
        <w:rPr>
          <w:rFonts w:asciiTheme="minorHAnsi" w:hAnsiTheme="minorHAnsi"/>
          <w:sz w:val="22"/>
        </w:rPr>
      </w:pPr>
      <w:r w:rsidRPr="00871F13">
        <w:rPr>
          <w:rFonts w:asciiTheme="minorHAnsi" w:hAnsiTheme="minorHAnsi"/>
          <w:sz w:val="22"/>
        </w:rPr>
        <w:t xml:space="preserve">To allow tariffs to become negative would potentially </w:t>
      </w:r>
      <w:proofErr w:type="spellStart"/>
      <w:r w:rsidRPr="00871F13">
        <w:rPr>
          <w:rFonts w:asciiTheme="minorHAnsi" w:hAnsiTheme="minorHAnsi"/>
          <w:sz w:val="22"/>
        </w:rPr>
        <w:t>incentivise</w:t>
      </w:r>
      <w:proofErr w:type="spellEnd"/>
      <w:r w:rsidRPr="00871F13">
        <w:rPr>
          <w:rFonts w:asciiTheme="minorHAnsi" w:hAnsiTheme="minorHAnsi"/>
          <w:sz w:val="22"/>
        </w:rPr>
        <w:t xml:space="preserve"> consumers to increase consumption rather than move consumption away from peak.  This would conflict with the move to a low carbon economy.</w:t>
      </w:r>
    </w:p>
    <w:p w:rsidR="00871F13" w:rsidRDefault="00871F13" w:rsidP="00871F13">
      <w:pPr>
        <w:pStyle w:val="Heading2"/>
        <w:widowControl w:val="0"/>
        <w:numPr>
          <w:ilvl w:val="1"/>
          <w:numId w:val="1"/>
        </w:numPr>
        <w:spacing w:line="360" w:lineRule="auto"/>
        <w:jc w:val="both"/>
        <w:rPr>
          <w:rFonts w:asciiTheme="minorHAnsi" w:hAnsiTheme="minorHAnsi"/>
          <w:sz w:val="22"/>
        </w:rPr>
      </w:pPr>
      <w:r w:rsidRPr="003A025F">
        <w:rPr>
          <w:rFonts w:asciiTheme="minorHAnsi" w:hAnsiTheme="minorHAnsi"/>
          <w:sz w:val="22"/>
        </w:rPr>
        <w:t xml:space="preserve">Those respondents that </w:t>
      </w:r>
      <w:r>
        <w:rPr>
          <w:rFonts w:asciiTheme="minorHAnsi" w:hAnsiTheme="minorHAnsi"/>
          <w:sz w:val="22"/>
        </w:rPr>
        <w:t>disagreed with the proposal not to</w:t>
      </w:r>
      <w:r w:rsidRPr="00871F13">
        <w:rPr>
          <w:rFonts w:asciiTheme="minorHAnsi" w:hAnsiTheme="minorHAnsi"/>
          <w:sz w:val="22"/>
        </w:rPr>
        <w:t xml:space="preserve"> not allow negative demand tariffs</w:t>
      </w:r>
      <w:r w:rsidR="002B4F83">
        <w:rPr>
          <w:rFonts w:asciiTheme="minorHAnsi" w:hAnsiTheme="minorHAnsi"/>
          <w:sz w:val="22"/>
        </w:rPr>
        <w:t xml:space="preserve"> noted the following points:</w:t>
      </w:r>
    </w:p>
    <w:p w:rsidR="002B4F83" w:rsidRPr="002B4F83" w:rsidRDefault="002B4F83" w:rsidP="002B4F83">
      <w:pPr>
        <w:pStyle w:val="ListParagraph"/>
        <w:numPr>
          <w:ilvl w:val="0"/>
          <w:numId w:val="25"/>
        </w:numPr>
        <w:spacing w:before="120" w:after="120"/>
        <w:ind w:left="851" w:hanging="284"/>
        <w:contextualSpacing w:val="0"/>
        <w:rPr>
          <w:rFonts w:asciiTheme="minorHAnsi" w:hAnsiTheme="minorHAnsi"/>
          <w:sz w:val="22"/>
        </w:rPr>
      </w:pPr>
      <w:r w:rsidRPr="002B4F83">
        <w:rPr>
          <w:rFonts w:asciiTheme="minorHAnsi" w:hAnsiTheme="minorHAnsi"/>
          <w:sz w:val="22"/>
        </w:rPr>
        <w:t xml:space="preserve">Where a floor price of zero is imposed, the absolute differential between unit rates of pre-scaled and scaled tariffs is not maintained; hence the guiding principle of the change is lost. By imposing the floor price of zero to (for example) the green unit </w:t>
      </w:r>
      <w:r w:rsidRPr="002B4F83">
        <w:rPr>
          <w:rFonts w:asciiTheme="minorHAnsi" w:hAnsiTheme="minorHAnsi"/>
          <w:sz w:val="22"/>
        </w:rPr>
        <w:lastRenderedPageBreak/>
        <w:t>rate only, the amber and red unit rates would be moved closer to the green rate, and hence the price signal generated by the pre-scaled tariffs would be reduced</w:t>
      </w:r>
    </w:p>
    <w:p w:rsidR="005F3A9E" w:rsidRDefault="005F3A9E" w:rsidP="002B4F83">
      <w:pPr>
        <w:pStyle w:val="ListParagraph"/>
        <w:numPr>
          <w:ilvl w:val="0"/>
          <w:numId w:val="25"/>
        </w:numPr>
        <w:spacing w:before="120" w:after="120"/>
        <w:ind w:left="851" w:hanging="284"/>
        <w:contextualSpacing w:val="0"/>
        <w:rPr>
          <w:rFonts w:asciiTheme="minorHAnsi" w:hAnsiTheme="minorHAnsi"/>
          <w:sz w:val="22"/>
        </w:rPr>
      </w:pPr>
      <w:r w:rsidRPr="005F3A9E">
        <w:rPr>
          <w:rFonts w:asciiTheme="minorHAnsi" w:hAnsiTheme="minorHAnsi"/>
          <w:sz w:val="22"/>
        </w:rPr>
        <w:t>Setting a floor price to tariffs would mean that scalin</w:t>
      </w:r>
      <w:r>
        <w:rPr>
          <w:rFonts w:asciiTheme="minorHAnsi" w:hAnsiTheme="minorHAnsi"/>
          <w:sz w:val="22"/>
        </w:rPr>
        <w:t>g is being applied selectively.</w:t>
      </w:r>
    </w:p>
    <w:p w:rsidR="00871F13" w:rsidRPr="002B4F83" w:rsidRDefault="005F3A9E" w:rsidP="002B4F83">
      <w:pPr>
        <w:pStyle w:val="ListParagraph"/>
        <w:numPr>
          <w:ilvl w:val="0"/>
          <w:numId w:val="25"/>
        </w:numPr>
        <w:spacing w:before="120" w:after="120"/>
        <w:ind w:left="851" w:hanging="284"/>
        <w:contextualSpacing w:val="0"/>
        <w:rPr>
          <w:rFonts w:asciiTheme="minorHAnsi" w:hAnsiTheme="minorHAnsi"/>
          <w:sz w:val="22"/>
        </w:rPr>
      </w:pPr>
      <w:r>
        <w:rPr>
          <w:rFonts w:asciiTheme="minorHAnsi" w:hAnsiTheme="minorHAnsi"/>
          <w:sz w:val="22"/>
        </w:rPr>
        <w:t xml:space="preserve">The </w:t>
      </w:r>
      <w:r w:rsidRPr="005F3A9E">
        <w:rPr>
          <w:rFonts w:asciiTheme="minorHAnsi" w:hAnsiTheme="minorHAnsi"/>
          <w:sz w:val="22"/>
        </w:rPr>
        <w:t>fully delivered costs of supplying energy at off peak times will remain positive inclusive of wholesale energy costs and the wider industry charges.</w:t>
      </w:r>
    </w:p>
    <w:p w:rsidR="001D0FFF" w:rsidRPr="005F3A9E" w:rsidRDefault="005F3A9E" w:rsidP="005F3A9E">
      <w:pPr>
        <w:pStyle w:val="Heading2"/>
        <w:widowControl w:val="0"/>
        <w:numPr>
          <w:ilvl w:val="1"/>
          <w:numId w:val="1"/>
        </w:numPr>
        <w:spacing w:line="360" w:lineRule="auto"/>
        <w:jc w:val="both"/>
        <w:rPr>
          <w:rFonts w:asciiTheme="minorHAnsi" w:hAnsiTheme="minorHAnsi"/>
          <w:sz w:val="22"/>
        </w:rPr>
      </w:pPr>
      <w:r w:rsidRPr="005F3A9E">
        <w:rPr>
          <w:rFonts w:asciiTheme="minorHAnsi" w:hAnsiTheme="minorHAnsi"/>
          <w:sz w:val="22"/>
        </w:rPr>
        <w:t xml:space="preserve">One respondent suggested that further consideration should be given to this area. For instance, with the growth in embedded generation might the most cost reflective response to this be to encourage demand at certain times.  </w:t>
      </w:r>
    </w:p>
    <w:p w:rsidR="005F3A9E" w:rsidRPr="00697CE2" w:rsidRDefault="005F3A9E" w:rsidP="005F3A9E">
      <w:pPr>
        <w:pStyle w:val="Heading2"/>
        <w:widowControl w:val="0"/>
        <w:numPr>
          <w:ilvl w:val="1"/>
          <w:numId w:val="1"/>
        </w:numPr>
        <w:spacing w:line="360" w:lineRule="auto"/>
        <w:jc w:val="both"/>
        <w:rPr>
          <w:rFonts w:asciiTheme="minorHAnsi" w:hAnsiTheme="minorHAnsi"/>
          <w:sz w:val="22"/>
        </w:rPr>
      </w:pPr>
      <w:r>
        <w:rPr>
          <w:rFonts w:asciiTheme="minorHAnsi" w:hAnsiTheme="minorHAnsi"/>
          <w:sz w:val="22"/>
        </w:rPr>
        <w:t>The Working Group</w:t>
      </w:r>
      <w:r w:rsidRPr="005F3A9E">
        <w:rPr>
          <w:rFonts w:asciiTheme="minorHAnsi" w:hAnsiTheme="minorHAnsi"/>
          <w:sz w:val="22"/>
        </w:rPr>
        <w:t xml:space="preserve"> observed that </w:t>
      </w:r>
      <w:r>
        <w:rPr>
          <w:rFonts w:asciiTheme="minorHAnsi" w:hAnsiTheme="minorHAnsi"/>
          <w:sz w:val="22"/>
        </w:rPr>
        <w:t xml:space="preserve">while </w:t>
      </w:r>
      <w:r w:rsidRPr="005F3A9E">
        <w:rPr>
          <w:rFonts w:asciiTheme="minorHAnsi" w:hAnsiTheme="minorHAnsi"/>
          <w:sz w:val="22"/>
        </w:rPr>
        <w:t>responses</w:t>
      </w:r>
      <w:r>
        <w:rPr>
          <w:rFonts w:asciiTheme="minorHAnsi" w:hAnsiTheme="minorHAnsi"/>
          <w:sz w:val="22"/>
        </w:rPr>
        <w:t xml:space="preserve"> to this consultation question are mixed </w:t>
      </w:r>
      <w:r w:rsidRPr="005F3A9E">
        <w:rPr>
          <w:rFonts w:asciiTheme="minorHAnsi" w:hAnsiTheme="minorHAnsi"/>
          <w:sz w:val="22"/>
        </w:rPr>
        <w:t xml:space="preserve">the majority of respondents are comfortable with the decision made during the progression of DCP 123 that the floor price should be maintained. </w:t>
      </w:r>
      <w:r>
        <w:rPr>
          <w:rFonts w:asciiTheme="minorHAnsi" w:hAnsiTheme="minorHAnsi"/>
          <w:sz w:val="22"/>
        </w:rPr>
        <w:t xml:space="preserve">The group noted that there may be merit in keeping this area under review, as at present negative scaling is not a common occurrence. </w:t>
      </w:r>
    </w:p>
    <w:p w:rsidR="005F3A9E" w:rsidRPr="00697CE2" w:rsidRDefault="005F3A9E" w:rsidP="005F3A9E"/>
    <w:p w:rsidR="00330BE8" w:rsidRPr="00697CE2" w:rsidRDefault="00C61F14" w:rsidP="00D823B3">
      <w:pPr>
        <w:keepNext/>
        <w:jc w:val="both"/>
        <w:rPr>
          <w:rFonts w:asciiTheme="minorHAnsi" w:hAnsiTheme="minorHAnsi"/>
          <w:b/>
          <w:bCs/>
          <w:iCs/>
          <w:sz w:val="22"/>
          <w:u w:val="single"/>
        </w:rPr>
      </w:pPr>
      <w:r w:rsidRPr="00697CE2">
        <w:rPr>
          <w:rFonts w:asciiTheme="minorHAnsi" w:hAnsiTheme="minorHAnsi"/>
          <w:b/>
          <w:sz w:val="22"/>
          <w:u w:val="single"/>
        </w:rPr>
        <w:t>Question 4</w:t>
      </w:r>
      <w:r w:rsidR="004C6CAC" w:rsidRPr="00697CE2">
        <w:rPr>
          <w:rFonts w:asciiTheme="minorHAnsi" w:hAnsiTheme="minorHAnsi"/>
          <w:b/>
          <w:sz w:val="22"/>
          <w:u w:val="single"/>
        </w:rPr>
        <w:t xml:space="preserve"> - </w:t>
      </w:r>
      <w:r w:rsidR="002A0C92" w:rsidRPr="00697CE2">
        <w:rPr>
          <w:rFonts w:asciiTheme="minorHAnsi" w:hAnsiTheme="minorHAnsi"/>
          <w:b/>
          <w:sz w:val="22"/>
          <w:u w:val="single"/>
        </w:rPr>
        <w:t>Do you consider that the proposal better facilitates the DCUSA general objectives?</w:t>
      </w:r>
    </w:p>
    <w:p w:rsidR="00811B98" w:rsidRPr="00697CE2" w:rsidRDefault="00C61F14" w:rsidP="00D823B3">
      <w:pPr>
        <w:pStyle w:val="Heading2"/>
        <w:widowControl w:val="0"/>
        <w:numPr>
          <w:ilvl w:val="1"/>
          <w:numId w:val="1"/>
        </w:numPr>
        <w:spacing w:line="360" w:lineRule="auto"/>
        <w:ind w:left="567" w:hanging="567"/>
        <w:jc w:val="both"/>
        <w:rPr>
          <w:rFonts w:asciiTheme="minorHAnsi" w:hAnsiTheme="minorHAnsi"/>
          <w:sz w:val="22"/>
        </w:rPr>
      </w:pPr>
      <w:r w:rsidRPr="00697CE2">
        <w:rPr>
          <w:rFonts w:asciiTheme="minorHAnsi" w:hAnsiTheme="minorHAnsi"/>
          <w:sz w:val="22"/>
        </w:rPr>
        <w:t>T</w:t>
      </w:r>
      <w:r w:rsidR="00030B42" w:rsidRPr="00697CE2">
        <w:rPr>
          <w:rFonts w:asciiTheme="minorHAnsi" w:hAnsiTheme="minorHAnsi"/>
          <w:sz w:val="22"/>
        </w:rPr>
        <w:t xml:space="preserve">he Working Group noted </w:t>
      </w:r>
      <w:r w:rsidR="005F3A9E" w:rsidRPr="00697CE2">
        <w:rPr>
          <w:rFonts w:asciiTheme="minorHAnsi" w:hAnsiTheme="minorHAnsi"/>
          <w:sz w:val="22"/>
        </w:rPr>
        <w:t xml:space="preserve">that eight of the nine consultation respondents </w:t>
      </w:r>
      <w:r w:rsidRPr="00697CE2">
        <w:rPr>
          <w:rFonts w:asciiTheme="minorHAnsi" w:hAnsiTheme="minorHAnsi"/>
          <w:sz w:val="22"/>
        </w:rPr>
        <w:t xml:space="preserve">agreed that the proposal better facilitates the DCUSA objectives. </w:t>
      </w:r>
      <w:r w:rsidR="00692A99" w:rsidRPr="00697CE2">
        <w:rPr>
          <w:rFonts w:asciiTheme="minorHAnsi" w:hAnsiTheme="minorHAnsi"/>
          <w:sz w:val="22"/>
        </w:rPr>
        <w:t>The following table outlines which DCUSA Objectives</w:t>
      </w:r>
      <w:r w:rsidR="00AE7F47" w:rsidRPr="00697CE2">
        <w:rPr>
          <w:rFonts w:asciiTheme="minorHAnsi" w:hAnsiTheme="minorHAnsi"/>
          <w:sz w:val="22"/>
        </w:rPr>
        <w:t xml:space="preserve"> respondents specifically stated as being </w:t>
      </w:r>
      <w:r w:rsidR="00692A99" w:rsidRPr="00697CE2">
        <w:rPr>
          <w:rFonts w:asciiTheme="minorHAnsi" w:hAnsiTheme="minorHAnsi"/>
          <w:sz w:val="22"/>
        </w:rPr>
        <w:t>better facilitated by the CP:</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tblGrid>
      <w:tr w:rsidR="00697CE2" w:rsidRPr="00697CE2" w:rsidTr="00F21F11">
        <w:trPr>
          <w:jc w:val="center"/>
        </w:trPr>
        <w:tc>
          <w:tcPr>
            <w:tcW w:w="1899"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DCUSA General Objectives</w:t>
            </w:r>
          </w:p>
        </w:tc>
        <w:tc>
          <w:tcPr>
            <w:tcW w:w="2552"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No. Of Respondents that agree it is better facilitated</w:t>
            </w:r>
          </w:p>
        </w:tc>
      </w:tr>
      <w:tr w:rsidR="00697CE2" w:rsidRPr="00697CE2" w:rsidTr="00F21F11">
        <w:trPr>
          <w:trHeight w:val="263"/>
          <w:jc w:val="center"/>
        </w:trPr>
        <w:tc>
          <w:tcPr>
            <w:tcW w:w="1899"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Objective 1</w:t>
            </w:r>
          </w:p>
        </w:tc>
        <w:tc>
          <w:tcPr>
            <w:tcW w:w="2552" w:type="dxa"/>
          </w:tcPr>
          <w:p w:rsidR="002A0C92" w:rsidRPr="00697CE2" w:rsidRDefault="005F3A9E" w:rsidP="005F3A9E">
            <w:pPr>
              <w:keepNext/>
              <w:jc w:val="center"/>
              <w:rPr>
                <w:rFonts w:asciiTheme="minorHAnsi" w:hAnsiTheme="minorHAnsi" w:cs="Arial"/>
                <w:bCs/>
                <w:iCs/>
                <w:sz w:val="22"/>
              </w:rPr>
            </w:pPr>
            <w:r w:rsidRPr="00697CE2">
              <w:rPr>
                <w:rFonts w:asciiTheme="minorHAnsi" w:hAnsiTheme="minorHAnsi" w:cs="Arial"/>
                <w:bCs/>
                <w:iCs/>
                <w:sz w:val="22"/>
              </w:rPr>
              <w:t>0</w:t>
            </w:r>
          </w:p>
        </w:tc>
      </w:tr>
      <w:tr w:rsidR="00697CE2" w:rsidRPr="00697CE2" w:rsidTr="00F21F11">
        <w:trPr>
          <w:jc w:val="center"/>
        </w:trPr>
        <w:tc>
          <w:tcPr>
            <w:tcW w:w="1899"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Objective 2</w:t>
            </w:r>
          </w:p>
        </w:tc>
        <w:tc>
          <w:tcPr>
            <w:tcW w:w="2552" w:type="dxa"/>
          </w:tcPr>
          <w:p w:rsidR="002A0C92" w:rsidRPr="00697CE2" w:rsidRDefault="005F3A9E" w:rsidP="005F3A9E">
            <w:pPr>
              <w:keepNext/>
              <w:jc w:val="center"/>
              <w:rPr>
                <w:rFonts w:asciiTheme="minorHAnsi" w:hAnsiTheme="minorHAnsi" w:cs="Arial"/>
                <w:bCs/>
                <w:iCs/>
                <w:sz w:val="22"/>
              </w:rPr>
            </w:pPr>
            <w:r w:rsidRPr="00697CE2">
              <w:rPr>
                <w:rFonts w:asciiTheme="minorHAnsi" w:hAnsiTheme="minorHAnsi" w:cs="Arial"/>
                <w:bCs/>
                <w:iCs/>
                <w:sz w:val="22"/>
              </w:rPr>
              <w:t>0</w:t>
            </w:r>
          </w:p>
        </w:tc>
      </w:tr>
      <w:tr w:rsidR="00697CE2" w:rsidRPr="00697CE2" w:rsidTr="00F21F11">
        <w:trPr>
          <w:jc w:val="center"/>
        </w:trPr>
        <w:tc>
          <w:tcPr>
            <w:tcW w:w="1899"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Objective 3</w:t>
            </w:r>
          </w:p>
        </w:tc>
        <w:tc>
          <w:tcPr>
            <w:tcW w:w="2552" w:type="dxa"/>
          </w:tcPr>
          <w:p w:rsidR="002A0C92" w:rsidRPr="00697CE2" w:rsidRDefault="005F3A9E" w:rsidP="005F3A9E">
            <w:pPr>
              <w:keepNext/>
              <w:jc w:val="center"/>
              <w:rPr>
                <w:rFonts w:asciiTheme="minorHAnsi" w:hAnsiTheme="minorHAnsi" w:cs="Arial"/>
                <w:bCs/>
                <w:iCs/>
                <w:sz w:val="22"/>
              </w:rPr>
            </w:pPr>
            <w:r w:rsidRPr="00697CE2">
              <w:rPr>
                <w:rFonts w:asciiTheme="minorHAnsi" w:hAnsiTheme="minorHAnsi" w:cs="Arial"/>
                <w:bCs/>
                <w:iCs/>
                <w:sz w:val="22"/>
              </w:rPr>
              <w:t>6</w:t>
            </w:r>
          </w:p>
        </w:tc>
      </w:tr>
      <w:tr w:rsidR="00697CE2" w:rsidRPr="00697CE2" w:rsidTr="00F21F11">
        <w:trPr>
          <w:trHeight w:val="70"/>
          <w:jc w:val="center"/>
        </w:trPr>
        <w:tc>
          <w:tcPr>
            <w:tcW w:w="1899"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Objective 4</w:t>
            </w:r>
          </w:p>
        </w:tc>
        <w:tc>
          <w:tcPr>
            <w:tcW w:w="2552" w:type="dxa"/>
          </w:tcPr>
          <w:p w:rsidR="002A0C92" w:rsidRPr="00697CE2" w:rsidRDefault="005F3A9E" w:rsidP="005F3A9E">
            <w:pPr>
              <w:keepNext/>
              <w:jc w:val="center"/>
              <w:rPr>
                <w:rFonts w:asciiTheme="minorHAnsi" w:hAnsiTheme="minorHAnsi" w:cs="Arial"/>
                <w:bCs/>
                <w:iCs/>
                <w:sz w:val="22"/>
              </w:rPr>
            </w:pPr>
            <w:r w:rsidRPr="00697CE2">
              <w:rPr>
                <w:rFonts w:asciiTheme="minorHAnsi" w:hAnsiTheme="minorHAnsi" w:cs="Arial"/>
                <w:bCs/>
                <w:iCs/>
                <w:sz w:val="22"/>
              </w:rPr>
              <w:t>0</w:t>
            </w:r>
          </w:p>
        </w:tc>
      </w:tr>
      <w:tr w:rsidR="00697CE2" w:rsidRPr="00697CE2" w:rsidTr="00F21F11">
        <w:trPr>
          <w:jc w:val="center"/>
        </w:trPr>
        <w:tc>
          <w:tcPr>
            <w:tcW w:w="1899" w:type="dxa"/>
          </w:tcPr>
          <w:p w:rsidR="002A0C92" w:rsidRPr="00697CE2" w:rsidRDefault="002A0C92" w:rsidP="00D823B3">
            <w:pPr>
              <w:keepNext/>
              <w:jc w:val="both"/>
              <w:rPr>
                <w:rFonts w:asciiTheme="minorHAnsi" w:hAnsiTheme="minorHAnsi" w:cs="Arial"/>
                <w:b/>
                <w:bCs/>
                <w:iCs/>
              </w:rPr>
            </w:pPr>
            <w:r w:rsidRPr="00697CE2">
              <w:rPr>
                <w:rFonts w:asciiTheme="minorHAnsi" w:hAnsiTheme="minorHAnsi" w:cs="Arial"/>
                <w:b/>
                <w:bCs/>
                <w:iCs/>
                <w:sz w:val="22"/>
                <w:szCs w:val="22"/>
              </w:rPr>
              <w:t>Objective 5</w:t>
            </w:r>
          </w:p>
        </w:tc>
        <w:tc>
          <w:tcPr>
            <w:tcW w:w="2552" w:type="dxa"/>
          </w:tcPr>
          <w:p w:rsidR="002A0C92" w:rsidRPr="00697CE2" w:rsidRDefault="005F3A9E" w:rsidP="005F3A9E">
            <w:pPr>
              <w:keepNext/>
              <w:jc w:val="center"/>
              <w:rPr>
                <w:rFonts w:asciiTheme="minorHAnsi" w:hAnsiTheme="minorHAnsi" w:cs="Arial"/>
                <w:bCs/>
                <w:iCs/>
                <w:sz w:val="22"/>
              </w:rPr>
            </w:pPr>
            <w:r w:rsidRPr="00697CE2">
              <w:rPr>
                <w:rFonts w:asciiTheme="minorHAnsi" w:hAnsiTheme="minorHAnsi" w:cs="Arial"/>
                <w:bCs/>
                <w:iCs/>
                <w:sz w:val="22"/>
              </w:rPr>
              <w:t>0</w:t>
            </w:r>
          </w:p>
        </w:tc>
      </w:tr>
    </w:tbl>
    <w:p w:rsidR="00030B42" w:rsidRDefault="00697CE2" w:rsidP="00697CE2">
      <w:pPr>
        <w:pStyle w:val="Heading2"/>
        <w:widowControl w:val="0"/>
        <w:numPr>
          <w:ilvl w:val="1"/>
          <w:numId w:val="1"/>
        </w:numPr>
        <w:spacing w:line="360" w:lineRule="auto"/>
        <w:jc w:val="both"/>
        <w:rPr>
          <w:rFonts w:asciiTheme="minorHAnsi" w:hAnsiTheme="minorHAnsi"/>
          <w:sz w:val="22"/>
        </w:rPr>
      </w:pPr>
      <w:r w:rsidRPr="00697CE2">
        <w:rPr>
          <w:rFonts w:asciiTheme="minorHAnsi" w:hAnsiTheme="minorHAnsi"/>
          <w:sz w:val="22"/>
        </w:rPr>
        <w:t xml:space="preserve">The Working group noted that the majority view of consultation respondents was that the CP better facilitates the DUCSA Objectives. </w:t>
      </w:r>
      <w:r w:rsidR="00491847">
        <w:rPr>
          <w:rFonts w:asciiTheme="minorHAnsi" w:hAnsiTheme="minorHAnsi"/>
          <w:sz w:val="22"/>
        </w:rPr>
        <w:t xml:space="preserve">It was noted that the concerns of the one respondent that did not agree that the proposal better facilitates the DCUSA objectives had been discussed during the review of earlier consultation questions. </w:t>
      </w:r>
    </w:p>
    <w:p w:rsidR="00697CE2" w:rsidRPr="00697CE2" w:rsidRDefault="00697CE2" w:rsidP="00697CE2"/>
    <w:p w:rsidR="00C61F14" w:rsidRPr="00491847" w:rsidRDefault="00C61F14" w:rsidP="00D823B3">
      <w:pPr>
        <w:keepNext/>
        <w:jc w:val="both"/>
        <w:rPr>
          <w:rFonts w:asciiTheme="minorHAnsi" w:hAnsiTheme="minorHAnsi"/>
          <w:b/>
          <w:bCs/>
          <w:iCs/>
          <w:sz w:val="22"/>
          <w:u w:val="single"/>
        </w:rPr>
      </w:pPr>
      <w:r w:rsidRPr="00491847">
        <w:rPr>
          <w:rFonts w:asciiTheme="minorHAnsi" w:hAnsiTheme="minorHAnsi"/>
          <w:b/>
          <w:sz w:val="22"/>
          <w:u w:val="single"/>
        </w:rPr>
        <w:t xml:space="preserve">Question 5 - </w:t>
      </w:r>
      <w:r w:rsidR="00A86A91" w:rsidRPr="00491847">
        <w:rPr>
          <w:rFonts w:asciiTheme="minorHAnsi" w:hAnsiTheme="minorHAnsi"/>
          <w:b/>
          <w:sz w:val="22"/>
          <w:u w:val="single"/>
        </w:rPr>
        <w:t>Do you have any comments on the proposed legal text?</w:t>
      </w:r>
    </w:p>
    <w:p w:rsidR="00491847" w:rsidRPr="00491847" w:rsidRDefault="00491847" w:rsidP="00491847">
      <w:pPr>
        <w:pStyle w:val="Heading2"/>
        <w:widowControl w:val="0"/>
        <w:numPr>
          <w:ilvl w:val="1"/>
          <w:numId w:val="1"/>
        </w:numPr>
        <w:spacing w:line="360" w:lineRule="auto"/>
        <w:jc w:val="both"/>
        <w:rPr>
          <w:rFonts w:asciiTheme="minorHAnsi" w:hAnsiTheme="minorHAnsi"/>
          <w:sz w:val="22"/>
        </w:rPr>
      </w:pPr>
      <w:r w:rsidRPr="00491847">
        <w:rPr>
          <w:rFonts w:asciiTheme="minorHAnsi" w:hAnsiTheme="minorHAnsi"/>
          <w:sz w:val="22"/>
        </w:rPr>
        <w:t xml:space="preserve">Eight of the respondents had no comments on the legal text. </w:t>
      </w:r>
    </w:p>
    <w:p w:rsidR="00491847" w:rsidRPr="001459A1" w:rsidRDefault="00491847" w:rsidP="00491847">
      <w:pPr>
        <w:pStyle w:val="Heading2"/>
        <w:widowControl w:val="0"/>
        <w:numPr>
          <w:ilvl w:val="1"/>
          <w:numId w:val="1"/>
        </w:numPr>
        <w:spacing w:line="360" w:lineRule="auto"/>
        <w:jc w:val="both"/>
        <w:rPr>
          <w:rFonts w:asciiTheme="minorHAnsi" w:hAnsiTheme="minorHAnsi"/>
          <w:sz w:val="22"/>
        </w:rPr>
      </w:pPr>
      <w:r w:rsidRPr="00491847">
        <w:rPr>
          <w:rFonts w:asciiTheme="minorHAnsi" w:hAnsiTheme="minorHAnsi"/>
          <w:sz w:val="22"/>
        </w:rPr>
        <w:t xml:space="preserve">One respondent suggested that in Clause 94 ‘tariff component’ should be replaced by </w:t>
      </w:r>
      <w:r w:rsidRPr="00491847">
        <w:rPr>
          <w:rFonts w:asciiTheme="minorHAnsi" w:hAnsiTheme="minorHAnsi"/>
          <w:sz w:val="22"/>
        </w:rPr>
        <w:lastRenderedPageBreak/>
        <w:t xml:space="preserve">‘unit rate’ and ‘target revenues’ should be changed to ‘relevant revenues’ for consistency with other Clauses in Schedule 16. </w:t>
      </w:r>
      <w:proofErr w:type="gramStart"/>
      <w:r w:rsidRPr="00491847">
        <w:rPr>
          <w:rFonts w:asciiTheme="minorHAnsi" w:hAnsiTheme="minorHAnsi"/>
          <w:sz w:val="22"/>
        </w:rPr>
        <w:t>group</w:t>
      </w:r>
      <w:proofErr w:type="gramEnd"/>
      <w:r w:rsidRPr="00491847">
        <w:rPr>
          <w:rFonts w:asciiTheme="minorHAnsi" w:hAnsiTheme="minorHAnsi"/>
          <w:sz w:val="22"/>
        </w:rPr>
        <w:t xml:space="preserve"> noted that there are different </w:t>
      </w:r>
      <w:r w:rsidRPr="001459A1">
        <w:rPr>
          <w:rFonts w:asciiTheme="minorHAnsi" w:hAnsiTheme="minorHAnsi"/>
          <w:sz w:val="22"/>
        </w:rPr>
        <w:t xml:space="preserve">ways in which revenues are described (e.g. “target revenue”, “allowed revenue” and “relevant revenue”). It was agreed that these descriptions should not be amended in the DCP 228 legal text as they have been in place since 2010 without issue. </w:t>
      </w:r>
    </w:p>
    <w:p w:rsidR="00646541" w:rsidRPr="001459A1" w:rsidRDefault="00C61F14" w:rsidP="001459A1">
      <w:pPr>
        <w:pStyle w:val="GSBodyParawithnumb"/>
        <w:numPr>
          <w:ilvl w:val="0"/>
          <w:numId w:val="0"/>
        </w:numPr>
        <w:spacing w:before="120" w:line="360" w:lineRule="auto"/>
        <w:jc w:val="both"/>
        <w:rPr>
          <w:rFonts w:asciiTheme="minorHAnsi" w:hAnsiTheme="minorHAnsi"/>
          <w:b/>
          <w:sz w:val="22"/>
          <w:u w:val="single"/>
        </w:rPr>
      </w:pPr>
      <w:r w:rsidRPr="001459A1">
        <w:rPr>
          <w:rFonts w:asciiTheme="minorHAnsi" w:hAnsiTheme="minorHAnsi"/>
          <w:b/>
          <w:sz w:val="22"/>
          <w:u w:val="single"/>
        </w:rPr>
        <w:t xml:space="preserve">Question 6 - </w:t>
      </w:r>
      <w:r w:rsidR="00A86A91" w:rsidRPr="001459A1">
        <w:rPr>
          <w:rFonts w:asciiTheme="minorHAnsi" w:hAnsiTheme="minorHAnsi"/>
          <w:b/>
          <w:sz w:val="22"/>
          <w:u w:val="single"/>
        </w:rPr>
        <w:t>Are you supportive of the proposed implementation date of April 2016?</w:t>
      </w:r>
    </w:p>
    <w:p w:rsidR="003D144E" w:rsidRPr="00CA6F49" w:rsidRDefault="003D144E" w:rsidP="003D144E">
      <w:pPr>
        <w:pStyle w:val="Heading2"/>
        <w:widowControl w:val="0"/>
        <w:numPr>
          <w:ilvl w:val="1"/>
          <w:numId w:val="1"/>
        </w:numPr>
        <w:spacing w:line="360" w:lineRule="auto"/>
        <w:jc w:val="both"/>
        <w:rPr>
          <w:rFonts w:asciiTheme="minorHAnsi" w:hAnsiTheme="minorHAnsi"/>
          <w:sz w:val="22"/>
        </w:rPr>
      </w:pPr>
      <w:r w:rsidRPr="001459A1">
        <w:rPr>
          <w:rFonts w:asciiTheme="minorHAnsi" w:hAnsiTheme="minorHAnsi"/>
          <w:sz w:val="22"/>
        </w:rPr>
        <w:t xml:space="preserve">The Working Group noted that responses to this question were </w:t>
      </w:r>
      <w:r w:rsidRPr="00CA6F49">
        <w:rPr>
          <w:rFonts w:asciiTheme="minorHAnsi" w:hAnsiTheme="minorHAnsi"/>
          <w:sz w:val="22"/>
        </w:rPr>
        <w:t xml:space="preserve">mixed. The following table provides </w:t>
      </w:r>
      <w:r>
        <w:rPr>
          <w:rFonts w:asciiTheme="minorHAnsi" w:hAnsiTheme="minorHAnsi"/>
          <w:sz w:val="22"/>
        </w:rPr>
        <w:t xml:space="preserve">a summary of the responses received. </w:t>
      </w:r>
    </w:p>
    <w:tbl>
      <w:tblPr>
        <w:tblStyle w:val="TableGrid"/>
        <w:tblW w:w="0" w:type="auto"/>
        <w:tblLook w:val="04A0" w:firstRow="1" w:lastRow="0" w:firstColumn="1" w:lastColumn="0" w:noHBand="0" w:noVBand="1"/>
      </w:tblPr>
      <w:tblGrid>
        <w:gridCol w:w="1403"/>
        <w:gridCol w:w="2375"/>
        <w:gridCol w:w="2375"/>
        <w:gridCol w:w="2375"/>
      </w:tblGrid>
      <w:tr w:rsidR="003D144E" w:rsidRPr="008A7057" w:rsidTr="00B714F4">
        <w:tc>
          <w:tcPr>
            <w:tcW w:w="8528" w:type="dxa"/>
            <w:gridSpan w:val="4"/>
          </w:tcPr>
          <w:p w:rsidR="003D144E" w:rsidRPr="003D144E" w:rsidRDefault="003D144E" w:rsidP="00B714F4">
            <w:pPr>
              <w:keepNext/>
              <w:jc w:val="both"/>
              <w:rPr>
                <w:rFonts w:asciiTheme="minorHAnsi" w:hAnsiTheme="minorHAnsi"/>
                <w:color w:val="FF0000"/>
                <w:sz w:val="22"/>
              </w:rPr>
            </w:pPr>
            <w:r w:rsidRPr="003D144E">
              <w:rPr>
                <w:rFonts w:asciiTheme="minorHAnsi" w:hAnsiTheme="minorHAnsi"/>
                <w:b/>
                <w:sz w:val="22"/>
              </w:rPr>
              <w:t>Are you supportive of the proposed implementation date of April 2016?</w:t>
            </w:r>
          </w:p>
        </w:tc>
      </w:tr>
      <w:tr w:rsidR="00426BFF" w:rsidRPr="008A7057" w:rsidTr="00426BFF">
        <w:trPr>
          <w:trHeight w:val="503"/>
        </w:trPr>
        <w:tc>
          <w:tcPr>
            <w:tcW w:w="1403" w:type="dxa"/>
          </w:tcPr>
          <w:p w:rsidR="00426BFF" w:rsidRPr="00172754" w:rsidRDefault="00426BFF" w:rsidP="00B714F4">
            <w:pPr>
              <w:keepNext/>
              <w:jc w:val="both"/>
              <w:rPr>
                <w:rFonts w:asciiTheme="minorHAnsi" w:hAnsiTheme="minorHAnsi"/>
                <w:b/>
                <w:sz w:val="22"/>
              </w:rPr>
            </w:pPr>
            <w:r w:rsidRPr="00172754">
              <w:rPr>
                <w:rFonts w:asciiTheme="minorHAnsi" w:hAnsiTheme="minorHAnsi"/>
                <w:b/>
                <w:sz w:val="22"/>
              </w:rPr>
              <w:t>Respondent type</w:t>
            </w:r>
          </w:p>
        </w:tc>
        <w:tc>
          <w:tcPr>
            <w:tcW w:w="2375" w:type="dxa"/>
          </w:tcPr>
          <w:p w:rsidR="00426BFF" w:rsidRPr="00172754" w:rsidRDefault="00426BFF" w:rsidP="00B714F4">
            <w:pPr>
              <w:keepNext/>
              <w:jc w:val="center"/>
              <w:rPr>
                <w:rFonts w:asciiTheme="minorHAnsi" w:hAnsiTheme="minorHAnsi"/>
                <w:b/>
                <w:sz w:val="22"/>
              </w:rPr>
            </w:pPr>
            <w:r w:rsidRPr="00172754">
              <w:rPr>
                <w:rFonts w:asciiTheme="minorHAnsi" w:hAnsiTheme="minorHAnsi"/>
                <w:b/>
                <w:sz w:val="22"/>
              </w:rPr>
              <w:t>Yes</w:t>
            </w:r>
          </w:p>
        </w:tc>
        <w:tc>
          <w:tcPr>
            <w:tcW w:w="2375" w:type="dxa"/>
          </w:tcPr>
          <w:p w:rsidR="00426BFF" w:rsidRPr="00172754" w:rsidRDefault="00426BFF" w:rsidP="00B714F4">
            <w:pPr>
              <w:keepNext/>
              <w:jc w:val="center"/>
              <w:rPr>
                <w:rFonts w:asciiTheme="minorHAnsi" w:hAnsiTheme="minorHAnsi"/>
                <w:b/>
                <w:sz w:val="22"/>
              </w:rPr>
            </w:pPr>
            <w:r w:rsidRPr="00172754">
              <w:rPr>
                <w:rFonts w:asciiTheme="minorHAnsi" w:hAnsiTheme="minorHAnsi"/>
                <w:b/>
                <w:sz w:val="22"/>
              </w:rPr>
              <w:t>No</w:t>
            </w:r>
          </w:p>
        </w:tc>
        <w:tc>
          <w:tcPr>
            <w:tcW w:w="2375" w:type="dxa"/>
          </w:tcPr>
          <w:p w:rsidR="00426BFF" w:rsidRPr="00172754" w:rsidRDefault="00426BFF" w:rsidP="00B714F4">
            <w:pPr>
              <w:keepNext/>
              <w:jc w:val="center"/>
              <w:rPr>
                <w:rFonts w:asciiTheme="minorHAnsi" w:hAnsiTheme="minorHAnsi"/>
                <w:b/>
                <w:sz w:val="22"/>
              </w:rPr>
            </w:pPr>
            <w:r w:rsidRPr="00172754">
              <w:rPr>
                <w:rFonts w:asciiTheme="minorHAnsi" w:hAnsiTheme="minorHAnsi"/>
                <w:b/>
                <w:sz w:val="22"/>
              </w:rPr>
              <w:t>Total</w:t>
            </w:r>
          </w:p>
        </w:tc>
      </w:tr>
      <w:tr w:rsidR="00426BFF" w:rsidRPr="008A7057" w:rsidTr="00426BFF">
        <w:tc>
          <w:tcPr>
            <w:tcW w:w="1403" w:type="dxa"/>
          </w:tcPr>
          <w:p w:rsidR="00426BFF" w:rsidRPr="00172754" w:rsidRDefault="00426BFF" w:rsidP="00B714F4">
            <w:pPr>
              <w:keepNext/>
              <w:jc w:val="both"/>
              <w:rPr>
                <w:rFonts w:asciiTheme="minorHAnsi" w:hAnsiTheme="minorHAnsi"/>
                <w:b/>
                <w:sz w:val="22"/>
              </w:rPr>
            </w:pPr>
            <w:r w:rsidRPr="00172754">
              <w:rPr>
                <w:rFonts w:asciiTheme="minorHAnsi" w:hAnsiTheme="minorHAnsi"/>
                <w:b/>
                <w:sz w:val="22"/>
              </w:rPr>
              <w:t>DNO</w:t>
            </w:r>
          </w:p>
        </w:tc>
        <w:tc>
          <w:tcPr>
            <w:tcW w:w="2375" w:type="dxa"/>
          </w:tcPr>
          <w:p w:rsidR="00426BFF" w:rsidRPr="00172754" w:rsidRDefault="00426BFF" w:rsidP="00B714F4">
            <w:pPr>
              <w:keepNext/>
              <w:jc w:val="center"/>
              <w:rPr>
                <w:rFonts w:asciiTheme="minorHAnsi" w:hAnsiTheme="minorHAnsi"/>
                <w:sz w:val="22"/>
              </w:rPr>
            </w:pPr>
            <w:r>
              <w:rPr>
                <w:rFonts w:asciiTheme="minorHAnsi" w:hAnsiTheme="minorHAnsi"/>
                <w:sz w:val="22"/>
              </w:rPr>
              <w:t>5</w:t>
            </w:r>
          </w:p>
        </w:tc>
        <w:tc>
          <w:tcPr>
            <w:tcW w:w="2375" w:type="dxa"/>
          </w:tcPr>
          <w:p w:rsidR="00426BFF" w:rsidRPr="00172754" w:rsidRDefault="00426BFF" w:rsidP="00B714F4">
            <w:pPr>
              <w:keepNext/>
              <w:jc w:val="center"/>
              <w:rPr>
                <w:rFonts w:asciiTheme="minorHAnsi" w:hAnsiTheme="minorHAnsi"/>
                <w:sz w:val="22"/>
              </w:rPr>
            </w:pPr>
            <w:r>
              <w:rPr>
                <w:rFonts w:asciiTheme="minorHAnsi" w:hAnsiTheme="minorHAnsi"/>
                <w:sz w:val="22"/>
              </w:rPr>
              <w:t>1</w:t>
            </w:r>
          </w:p>
        </w:tc>
        <w:tc>
          <w:tcPr>
            <w:tcW w:w="2375" w:type="dxa"/>
          </w:tcPr>
          <w:p w:rsidR="00426BFF" w:rsidRPr="00172754" w:rsidRDefault="00426BFF" w:rsidP="00B714F4">
            <w:pPr>
              <w:keepNext/>
              <w:jc w:val="center"/>
              <w:rPr>
                <w:rFonts w:asciiTheme="minorHAnsi" w:hAnsiTheme="minorHAnsi"/>
                <w:b/>
                <w:sz w:val="22"/>
              </w:rPr>
            </w:pPr>
            <w:r>
              <w:rPr>
                <w:rFonts w:asciiTheme="minorHAnsi" w:hAnsiTheme="minorHAnsi"/>
                <w:b/>
                <w:sz w:val="22"/>
              </w:rPr>
              <w:t>6</w:t>
            </w:r>
          </w:p>
        </w:tc>
      </w:tr>
      <w:tr w:rsidR="00426BFF" w:rsidRPr="008A7057" w:rsidTr="00426BFF">
        <w:tc>
          <w:tcPr>
            <w:tcW w:w="1403" w:type="dxa"/>
          </w:tcPr>
          <w:p w:rsidR="00426BFF" w:rsidRPr="00172754" w:rsidRDefault="00426BFF" w:rsidP="00B714F4">
            <w:pPr>
              <w:keepNext/>
              <w:jc w:val="both"/>
              <w:rPr>
                <w:rFonts w:asciiTheme="minorHAnsi" w:hAnsiTheme="minorHAnsi"/>
                <w:b/>
                <w:sz w:val="22"/>
              </w:rPr>
            </w:pPr>
            <w:r w:rsidRPr="00172754">
              <w:rPr>
                <w:rFonts w:asciiTheme="minorHAnsi" w:hAnsiTheme="minorHAnsi"/>
                <w:b/>
                <w:sz w:val="22"/>
              </w:rPr>
              <w:t>Supplier</w:t>
            </w:r>
          </w:p>
        </w:tc>
        <w:tc>
          <w:tcPr>
            <w:tcW w:w="2375" w:type="dxa"/>
          </w:tcPr>
          <w:p w:rsidR="00426BFF" w:rsidRPr="00172754" w:rsidRDefault="00426BFF" w:rsidP="00B714F4">
            <w:pPr>
              <w:keepNext/>
              <w:jc w:val="center"/>
              <w:rPr>
                <w:rFonts w:asciiTheme="minorHAnsi" w:hAnsiTheme="minorHAnsi"/>
                <w:sz w:val="22"/>
              </w:rPr>
            </w:pPr>
          </w:p>
        </w:tc>
        <w:tc>
          <w:tcPr>
            <w:tcW w:w="2375" w:type="dxa"/>
          </w:tcPr>
          <w:p w:rsidR="00426BFF" w:rsidRPr="00172754" w:rsidRDefault="00426BFF" w:rsidP="00B714F4">
            <w:pPr>
              <w:keepNext/>
              <w:jc w:val="center"/>
              <w:rPr>
                <w:rFonts w:asciiTheme="minorHAnsi" w:hAnsiTheme="minorHAnsi"/>
                <w:sz w:val="22"/>
              </w:rPr>
            </w:pPr>
            <w:r>
              <w:rPr>
                <w:rFonts w:asciiTheme="minorHAnsi" w:hAnsiTheme="minorHAnsi"/>
                <w:sz w:val="22"/>
              </w:rPr>
              <w:t>3</w:t>
            </w:r>
          </w:p>
        </w:tc>
        <w:tc>
          <w:tcPr>
            <w:tcW w:w="2375" w:type="dxa"/>
          </w:tcPr>
          <w:p w:rsidR="00426BFF" w:rsidRPr="00172754" w:rsidRDefault="00426BFF" w:rsidP="00B714F4">
            <w:pPr>
              <w:keepNext/>
              <w:jc w:val="center"/>
              <w:rPr>
                <w:rFonts w:asciiTheme="minorHAnsi" w:hAnsiTheme="minorHAnsi"/>
                <w:b/>
                <w:sz w:val="22"/>
              </w:rPr>
            </w:pPr>
            <w:r>
              <w:rPr>
                <w:rFonts w:asciiTheme="minorHAnsi" w:hAnsiTheme="minorHAnsi"/>
                <w:b/>
                <w:sz w:val="22"/>
              </w:rPr>
              <w:t>3</w:t>
            </w:r>
          </w:p>
        </w:tc>
      </w:tr>
      <w:tr w:rsidR="00426BFF" w:rsidRPr="008A7057" w:rsidTr="00426BFF">
        <w:trPr>
          <w:trHeight w:val="77"/>
        </w:trPr>
        <w:tc>
          <w:tcPr>
            <w:tcW w:w="1403" w:type="dxa"/>
          </w:tcPr>
          <w:p w:rsidR="00426BFF" w:rsidRPr="00172754" w:rsidRDefault="00426BFF" w:rsidP="00B714F4">
            <w:pPr>
              <w:keepNext/>
              <w:jc w:val="both"/>
              <w:rPr>
                <w:rFonts w:asciiTheme="minorHAnsi" w:hAnsiTheme="minorHAnsi"/>
                <w:b/>
                <w:sz w:val="22"/>
              </w:rPr>
            </w:pPr>
            <w:r w:rsidRPr="00172754">
              <w:rPr>
                <w:rFonts w:asciiTheme="minorHAnsi" w:hAnsiTheme="minorHAnsi"/>
                <w:b/>
                <w:sz w:val="22"/>
              </w:rPr>
              <w:t xml:space="preserve">Total </w:t>
            </w:r>
          </w:p>
        </w:tc>
        <w:tc>
          <w:tcPr>
            <w:tcW w:w="2375" w:type="dxa"/>
          </w:tcPr>
          <w:p w:rsidR="00426BFF" w:rsidRPr="00172754" w:rsidRDefault="00426BFF" w:rsidP="00B714F4">
            <w:pPr>
              <w:keepNext/>
              <w:jc w:val="center"/>
              <w:rPr>
                <w:rFonts w:asciiTheme="minorHAnsi" w:hAnsiTheme="minorHAnsi"/>
                <w:b/>
                <w:sz w:val="22"/>
              </w:rPr>
            </w:pPr>
            <w:r>
              <w:rPr>
                <w:rFonts w:asciiTheme="minorHAnsi" w:hAnsiTheme="minorHAnsi"/>
                <w:b/>
                <w:sz w:val="22"/>
              </w:rPr>
              <w:t>5</w:t>
            </w:r>
          </w:p>
        </w:tc>
        <w:tc>
          <w:tcPr>
            <w:tcW w:w="2375" w:type="dxa"/>
          </w:tcPr>
          <w:p w:rsidR="00426BFF" w:rsidRPr="00172754" w:rsidRDefault="00426BFF" w:rsidP="00B714F4">
            <w:pPr>
              <w:keepNext/>
              <w:jc w:val="center"/>
              <w:rPr>
                <w:rFonts w:asciiTheme="minorHAnsi" w:hAnsiTheme="minorHAnsi"/>
                <w:b/>
                <w:sz w:val="22"/>
              </w:rPr>
            </w:pPr>
            <w:r>
              <w:rPr>
                <w:rFonts w:asciiTheme="minorHAnsi" w:hAnsiTheme="minorHAnsi"/>
                <w:b/>
                <w:sz w:val="22"/>
              </w:rPr>
              <w:t>4</w:t>
            </w:r>
          </w:p>
        </w:tc>
        <w:tc>
          <w:tcPr>
            <w:tcW w:w="2375" w:type="dxa"/>
          </w:tcPr>
          <w:p w:rsidR="00426BFF" w:rsidRPr="00172754" w:rsidRDefault="00426BFF" w:rsidP="00B714F4">
            <w:pPr>
              <w:keepNext/>
              <w:jc w:val="center"/>
              <w:rPr>
                <w:rFonts w:asciiTheme="minorHAnsi" w:hAnsiTheme="minorHAnsi"/>
                <w:b/>
                <w:sz w:val="22"/>
              </w:rPr>
            </w:pPr>
            <w:r>
              <w:rPr>
                <w:rFonts w:asciiTheme="minorHAnsi" w:hAnsiTheme="minorHAnsi"/>
                <w:b/>
                <w:sz w:val="22"/>
              </w:rPr>
              <w:t>9</w:t>
            </w:r>
          </w:p>
        </w:tc>
      </w:tr>
    </w:tbl>
    <w:p w:rsidR="00C61F14" w:rsidRPr="00426BFF" w:rsidRDefault="00426BFF" w:rsidP="00426BFF">
      <w:pPr>
        <w:pStyle w:val="Heading2"/>
        <w:widowControl w:val="0"/>
        <w:numPr>
          <w:ilvl w:val="1"/>
          <w:numId w:val="1"/>
        </w:numPr>
        <w:spacing w:line="360" w:lineRule="auto"/>
        <w:jc w:val="both"/>
        <w:rPr>
          <w:rFonts w:asciiTheme="minorHAnsi" w:hAnsiTheme="minorHAnsi"/>
          <w:sz w:val="22"/>
        </w:rPr>
      </w:pPr>
      <w:r>
        <w:rPr>
          <w:rFonts w:asciiTheme="minorHAnsi" w:hAnsiTheme="minorHAnsi"/>
          <w:sz w:val="22"/>
        </w:rPr>
        <w:t xml:space="preserve">The Working Group noted that a majority of respondents supported April 2016. However, it was observed that several other respondents had raised concerns about this date not providing sufficient notice for impacted customers, particularly given the material impact of the Change. </w:t>
      </w:r>
      <w:r w:rsidRPr="00426BFF">
        <w:rPr>
          <w:rFonts w:asciiTheme="minorHAnsi" w:hAnsiTheme="minorHAnsi"/>
          <w:sz w:val="22"/>
        </w:rPr>
        <w:t>The group discussed the responses received and agreed that the proposed implementation date for DCP 228 should be April 2017 to give customers sufficient notice.</w:t>
      </w:r>
    </w:p>
    <w:p w:rsidR="00C61F14" w:rsidRPr="001459A1" w:rsidRDefault="00F26925" w:rsidP="00D823B3">
      <w:pPr>
        <w:keepNext/>
        <w:jc w:val="both"/>
        <w:rPr>
          <w:rFonts w:asciiTheme="minorHAnsi" w:hAnsiTheme="minorHAnsi"/>
          <w:b/>
          <w:bCs/>
          <w:iCs/>
          <w:sz w:val="22"/>
          <w:u w:val="single"/>
        </w:rPr>
      </w:pPr>
      <w:r w:rsidRPr="001459A1">
        <w:rPr>
          <w:rFonts w:asciiTheme="minorHAnsi" w:hAnsiTheme="minorHAnsi"/>
          <w:b/>
          <w:sz w:val="22"/>
          <w:u w:val="single"/>
        </w:rPr>
        <w:t xml:space="preserve">Question 7 - </w:t>
      </w:r>
      <w:r w:rsidR="00A86A91" w:rsidRPr="001459A1">
        <w:rPr>
          <w:rFonts w:asciiTheme="minorHAnsi" w:hAnsiTheme="minorHAnsi"/>
          <w:b/>
          <w:sz w:val="22"/>
          <w:u w:val="single"/>
        </w:rPr>
        <w:t>Are there any alternative solutions or matters that should be considered by the Working Group?</w:t>
      </w:r>
    </w:p>
    <w:p w:rsidR="001459A1" w:rsidRDefault="00F03ADA" w:rsidP="00A86A91">
      <w:pPr>
        <w:pStyle w:val="Heading2"/>
        <w:widowControl w:val="0"/>
        <w:numPr>
          <w:ilvl w:val="1"/>
          <w:numId w:val="1"/>
        </w:numPr>
        <w:spacing w:line="360" w:lineRule="auto"/>
        <w:ind w:left="567" w:hanging="567"/>
        <w:jc w:val="both"/>
        <w:rPr>
          <w:rFonts w:asciiTheme="minorHAnsi" w:hAnsiTheme="minorHAnsi"/>
          <w:sz w:val="22"/>
        </w:rPr>
      </w:pPr>
      <w:r w:rsidRPr="001459A1">
        <w:rPr>
          <w:rFonts w:asciiTheme="minorHAnsi" w:hAnsiTheme="minorHAnsi"/>
          <w:sz w:val="22"/>
        </w:rPr>
        <w:t>Six respondents did not identify any alternative solutions or matters.</w:t>
      </w:r>
    </w:p>
    <w:p w:rsidR="00811B38" w:rsidRDefault="001459A1" w:rsidP="001459A1">
      <w:pPr>
        <w:pStyle w:val="Heading2"/>
        <w:widowControl w:val="0"/>
        <w:numPr>
          <w:ilvl w:val="1"/>
          <w:numId w:val="1"/>
        </w:numPr>
        <w:spacing w:line="360" w:lineRule="auto"/>
        <w:jc w:val="both"/>
        <w:rPr>
          <w:rFonts w:asciiTheme="minorHAnsi" w:hAnsiTheme="minorHAnsi"/>
          <w:sz w:val="22"/>
        </w:rPr>
      </w:pPr>
      <w:r>
        <w:rPr>
          <w:rFonts w:asciiTheme="minorHAnsi" w:hAnsiTheme="minorHAnsi"/>
          <w:sz w:val="22"/>
        </w:rPr>
        <w:t xml:space="preserve">One respondent explained that they </w:t>
      </w:r>
      <w:r w:rsidRPr="001459A1">
        <w:rPr>
          <w:rFonts w:asciiTheme="minorHAnsi" w:hAnsiTheme="minorHAnsi"/>
          <w:sz w:val="22"/>
        </w:rPr>
        <w:t xml:space="preserve">would not mind the </w:t>
      </w:r>
      <w:r>
        <w:rPr>
          <w:rFonts w:asciiTheme="minorHAnsi" w:hAnsiTheme="minorHAnsi"/>
          <w:sz w:val="22"/>
        </w:rPr>
        <w:t xml:space="preserve">application of a scaling factor that shifted </w:t>
      </w:r>
      <w:r w:rsidRPr="001459A1">
        <w:rPr>
          <w:rFonts w:asciiTheme="minorHAnsi" w:hAnsiTheme="minorHAnsi"/>
          <w:sz w:val="22"/>
        </w:rPr>
        <w:t>all the c</w:t>
      </w:r>
      <w:r>
        <w:rPr>
          <w:rFonts w:asciiTheme="minorHAnsi" w:hAnsiTheme="minorHAnsi"/>
          <w:sz w:val="22"/>
        </w:rPr>
        <w:t>osts up/down proportionally. However, DCP 228</w:t>
      </w:r>
      <w:r w:rsidRPr="001459A1">
        <w:rPr>
          <w:rFonts w:asciiTheme="minorHAnsi" w:hAnsiTheme="minorHAnsi"/>
          <w:sz w:val="22"/>
        </w:rPr>
        <w:t xml:space="preserve"> as it stands shifts the balance around customer groups without any justification.</w:t>
      </w:r>
      <w:r>
        <w:rPr>
          <w:rFonts w:asciiTheme="minorHAnsi" w:hAnsiTheme="minorHAnsi"/>
          <w:sz w:val="22"/>
        </w:rPr>
        <w:t xml:space="preserve"> The Working Group noted the respondent’s view.</w:t>
      </w:r>
    </w:p>
    <w:p w:rsidR="00F03ADA" w:rsidRDefault="001459A1" w:rsidP="001459A1">
      <w:pPr>
        <w:pStyle w:val="Heading2"/>
        <w:widowControl w:val="0"/>
        <w:numPr>
          <w:ilvl w:val="1"/>
          <w:numId w:val="1"/>
        </w:numPr>
        <w:spacing w:line="360" w:lineRule="auto"/>
        <w:jc w:val="both"/>
        <w:rPr>
          <w:rFonts w:asciiTheme="minorHAnsi" w:hAnsiTheme="minorHAnsi"/>
          <w:i/>
          <w:sz w:val="22"/>
        </w:rPr>
      </w:pPr>
      <w:r w:rsidRPr="001459A1">
        <w:rPr>
          <w:rFonts w:asciiTheme="minorHAnsi" w:hAnsiTheme="minorHAnsi"/>
          <w:sz w:val="22"/>
        </w:rPr>
        <w:t>Another respondent questioned whether the intent of DCP 228 to   ‘</w:t>
      </w:r>
      <w:r w:rsidRPr="001459A1">
        <w:rPr>
          <w:rFonts w:asciiTheme="minorHAnsi" w:hAnsiTheme="minorHAnsi"/>
          <w:i/>
          <w:sz w:val="22"/>
        </w:rPr>
        <w:t>accurately reflect the price differentials produced by the cost-reflective incremental 500MW model…….such that all unit rates face the same absolute p/kWh adjustment’</w:t>
      </w:r>
      <w:r>
        <w:rPr>
          <w:rFonts w:asciiTheme="minorHAnsi" w:hAnsiTheme="minorHAnsi"/>
          <w:i/>
          <w:sz w:val="22"/>
        </w:rPr>
        <w:t xml:space="preserve"> </w:t>
      </w:r>
      <w:r w:rsidRPr="001459A1">
        <w:rPr>
          <w:rFonts w:asciiTheme="minorHAnsi" w:hAnsiTheme="minorHAnsi"/>
          <w:sz w:val="22"/>
        </w:rPr>
        <w:t xml:space="preserve">given </w:t>
      </w:r>
      <w:r>
        <w:rPr>
          <w:rFonts w:asciiTheme="minorHAnsi" w:hAnsiTheme="minorHAnsi"/>
          <w:sz w:val="22"/>
        </w:rPr>
        <w:t xml:space="preserve">that the floor price will prevent tariffs becoming negative in instances where there is negative scaling. </w:t>
      </w:r>
      <w:r w:rsidR="00F3679A">
        <w:rPr>
          <w:rFonts w:asciiTheme="minorHAnsi" w:hAnsiTheme="minorHAnsi"/>
          <w:sz w:val="22"/>
        </w:rPr>
        <w:t xml:space="preserve">The Working Group discussed this comment and noted that the intent of the CP is being met as the intent expressly states </w:t>
      </w:r>
      <w:r w:rsidR="00F3679A" w:rsidRPr="00F3679A">
        <w:rPr>
          <w:rFonts w:asciiTheme="minorHAnsi" w:hAnsiTheme="minorHAnsi"/>
          <w:i/>
          <w:sz w:val="22"/>
        </w:rPr>
        <w:t xml:space="preserve">“except where subject to a </w:t>
      </w:r>
      <w:r w:rsidR="00F3679A" w:rsidRPr="00F3679A">
        <w:rPr>
          <w:rFonts w:asciiTheme="minorHAnsi" w:hAnsiTheme="minorHAnsi"/>
          <w:i/>
          <w:sz w:val="22"/>
        </w:rPr>
        <w:lastRenderedPageBreak/>
        <w:t>floor price”</w:t>
      </w:r>
      <w:r w:rsidR="00F3679A">
        <w:rPr>
          <w:rFonts w:asciiTheme="minorHAnsi" w:hAnsiTheme="minorHAnsi"/>
          <w:i/>
          <w:sz w:val="22"/>
        </w:rPr>
        <w:t>.</w:t>
      </w:r>
    </w:p>
    <w:p w:rsidR="00EE3A5B" w:rsidRPr="00EE3A5B" w:rsidRDefault="00EE3A5B" w:rsidP="00EE3A5B">
      <w:pPr>
        <w:pStyle w:val="Heading2"/>
        <w:widowControl w:val="0"/>
        <w:numPr>
          <w:ilvl w:val="1"/>
          <w:numId w:val="1"/>
        </w:numPr>
        <w:spacing w:line="360" w:lineRule="auto"/>
        <w:jc w:val="both"/>
        <w:rPr>
          <w:rFonts w:asciiTheme="minorHAnsi" w:hAnsiTheme="minorHAnsi"/>
          <w:sz w:val="22"/>
        </w:rPr>
      </w:pPr>
      <w:r w:rsidRPr="00EE3A5B">
        <w:rPr>
          <w:rFonts w:asciiTheme="minorHAnsi" w:hAnsiTheme="minorHAnsi"/>
          <w:sz w:val="22"/>
        </w:rPr>
        <w:t xml:space="preserve">Another respondent suggested that </w:t>
      </w:r>
      <w:r>
        <w:rPr>
          <w:rFonts w:asciiTheme="minorHAnsi" w:hAnsiTheme="minorHAnsi"/>
          <w:sz w:val="22"/>
        </w:rPr>
        <w:t xml:space="preserve">whilst </w:t>
      </w:r>
      <w:r w:rsidRPr="00EE3A5B">
        <w:rPr>
          <w:rFonts w:asciiTheme="minorHAnsi" w:hAnsiTheme="minorHAnsi"/>
          <w:sz w:val="22"/>
        </w:rPr>
        <w:t xml:space="preserve">the DCP 228 approach to scaling maintains the absolute differences between the pre scaled prices </w:t>
      </w:r>
      <w:r>
        <w:rPr>
          <w:rFonts w:asciiTheme="minorHAnsi" w:hAnsiTheme="minorHAnsi"/>
          <w:sz w:val="22"/>
        </w:rPr>
        <w:t xml:space="preserve">it </w:t>
      </w:r>
      <w:r w:rsidRPr="00EE3A5B">
        <w:rPr>
          <w:rFonts w:asciiTheme="minorHAnsi" w:hAnsiTheme="minorHAnsi"/>
          <w:sz w:val="22"/>
        </w:rPr>
        <w:t xml:space="preserve">means that when scaling is high the original </w:t>
      </w:r>
      <w:r>
        <w:rPr>
          <w:rFonts w:asciiTheme="minorHAnsi" w:hAnsiTheme="minorHAnsi"/>
          <w:sz w:val="22"/>
        </w:rPr>
        <w:t>cost signal is lost. The respondent suggested that an</w:t>
      </w:r>
      <w:r w:rsidRPr="00EE3A5B">
        <w:rPr>
          <w:rFonts w:asciiTheme="minorHAnsi" w:hAnsiTheme="minorHAnsi"/>
          <w:sz w:val="22"/>
        </w:rPr>
        <w:t xml:space="preserve"> even more cost reflective way to apply scaling is to increase the pre scaled tariffs by a percentage of the pre scaled tariffs.</w:t>
      </w:r>
      <w:r>
        <w:rPr>
          <w:rFonts w:asciiTheme="minorHAnsi" w:hAnsiTheme="minorHAnsi"/>
          <w:sz w:val="22"/>
        </w:rPr>
        <w:t xml:space="preserve"> </w:t>
      </w:r>
      <w:commentRangeStart w:id="0"/>
      <w:r>
        <w:rPr>
          <w:rFonts w:asciiTheme="minorHAnsi" w:hAnsiTheme="minorHAnsi"/>
          <w:sz w:val="22"/>
        </w:rPr>
        <w:t xml:space="preserve">The Group noted the respondent’s suggestion. </w:t>
      </w:r>
      <w:commentRangeEnd w:id="0"/>
      <w:r>
        <w:rPr>
          <w:rStyle w:val="CommentReference"/>
          <w:rFonts w:ascii="Times New Roman" w:hAnsi="Times New Roman"/>
          <w:bCs w:val="0"/>
          <w:iCs w:val="0"/>
        </w:rPr>
        <w:commentReference w:id="0"/>
      </w:r>
    </w:p>
    <w:p w:rsidR="00C50CB9" w:rsidRPr="008A7057" w:rsidRDefault="00C50CB9" w:rsidP="00D823B3">
      <w:pPr>
        <w:keepNext/>
        <w:jc w:val="both"/>
        <w:rPr>
          <w:color w:val="FF0000"/>
        </w:rPr>
      </w:pPr>
    </w:p>
    <w:p w:rsidR="003834CB" w:rsidRPr="001F6C24" w:rsidRDefault="003834CB" w:rsidP="00D823B3">
      <w:pPr>
        <w:pStyle w:val="Heading1"/>
        <w:numPr>
          <w:ilvl w:val="0"/>
          <w:numId w:val="1"/>
        </w:numPr>
        <w:spacing w:line="360" w:lineRule="auto"/>
        <w:jc w:val="both"/>
        <w:rPr>
          <w:rFonts w:asciiTheme="minorHAnsi" w:hAnsiTheme="minorHAnsi"/>
          <w:sz w:val="22"/>
        </w:rPr>
      </w:pPr>
      <w:r w:rsidRPr="001F6C24">
        <w:rPr>
          <w:rFonts w:asciiTheme="minorHAnsi" w:hAnsiTheme="minorHAnsi"/>
          <w:sz w:val="22"/>
        </w:rPr>
        <w:t>PROPOSED LEGAL TEXT</w:t>
      </w:r>
    </w:p>
    <w:p w:rsidR="001F6C24" w:rsidRPr="001F6C24" w:rsidRDefault="003834CB" w:rsidP="00D823B3">
      <w:pPr>
        <w:pStyle w:val="Heading2"/>
        <w:widowControl w:val="0"/>
        <w:numPr>
          <w:ilvl w:val="1"/>
          <w:numId w:val="1"/>
        </w:numPr>
        <w:spacing w:line="360" w:lineRule="auto"/>
        <w:ind w:left="567" w:hanging="567"/>
        <w:jc w:val="both"/>
        <w:rPr>
          <w:rFonts w:asciiTheme="minorHAnsi" w:hAnsiTheme="minorHAnsi"/>
          <w:sz w:val="22"/>
        </w:rPr>
      </w:pPr>
      <w:r w:rsidRPr="001F6C24">
        <w:rPr>
          <w:rFonts w:asciiTheme="minorHAnsi" w:hAnsiTheme="minorHAnsi"/>
          <w:sz w:val="22"/>
        </w:rPr>
        <w:t xml:space="preserve">The proposed legal drafting of </w:t>
      </w:r>
      <w:r w:rsidR="00A86A91" w:rsidRPr="001F6C24">
        <w:rPr>
          <w:rFonts w:asciiTheme="minorHAnsi" w:hAnsiTheme="minorHAnsi"/>
          <w:sz w:val="22"/>
        </w:rPr>
        <w:t>DCP 228</w:t>
      </w:r>
      <w:r w:rsidRPr="001F6C24">
        <w:rPr>
          <w:rFonts w:asciiTheme="minorHAnsi" w:hAnsiTheme="minorHAnsi"/>
          <w:sz w:val="22"/>
        </w:rPr>
        <w:t xml:space="preserve"> has been considered by the Working Group, and reviewed</w:t>
      </w:r>
      <w:r w:rsidR="00692A99" w:rsidRPr="001F6C24">
        <w:rPr>
          <w:rFonts w:asciiTheme="minorHAnsi" w:hAnsiTheme="minorHAnsi"/>
          <w:sz w:val="22"/>
        </w:rPr>
        <w:t xml:space="preserve"> by Wragge &amp; Co, and is provided</w:t>
      </w:r>
      <w:r w:rsidRPr="001F6C24">
        <w:rPr>
          <w:rFonts w:asciiTheme="minorHAnsi" w:hAnsiTheme="minorHAnsi"/>
          <w:sz w:val="22"/>
        </w:rPr>
        <w:t xml:space="preserve"> as </w:t>
      </w:r>
      <w:r w:rsidR="00643076" w:rsidRPr="001F6C24">
        <w:rPr>
          <w:rFonts w:asciiTheme="minorHAnsi" w:hAnsiTheme="minorHAnsi"/>
          <w:sz w:val="22"/>
        </w:rPr>
        <w:t>Attachment 1.</w:t>
      </w:r>
      <w:r w:rsidR="00992EB7" w:rsidRPr="001F6C24">
        <w:rPr>
          <w:rFonts w:asciiTheme="minorHAnsi" w:hAnsiTheme="minorHAnsi"/>
          <w:sz w:val="22"/>
        </w:rPr>
        <w:t xml:space="preserve"> </w:t>
      </w:r>
    </w:p>
    <w:p w:rsidR="00992EB7" w:rsidRPr="001F6C24" w:rsidRDefault="001F6C24" w:rsidP="00D823B3">
      <w:pPr>
        <w:pStyle w:val="Heading2"/>
        <w:widowControl w:val="0"/>
        <w:numPr>
          <w:ilvl w:val="1"/>
          <w:numId w:val="1"/>
        </w:numPr>
        <w:spacing w:line="360" w:lineRule="auto"/>
        <w:ind w:left="567" w:hanging="567"/>
        <w:jc w:val="both"/>
        <w:rPr>
          <w:rFonts w:asciiTheme="minorHAnsi" w:hAnsiTheme="minorHAnsi"/>
          <w:sz w:val="22"/>
        </w:rPr>
      </w:pPr>
      <w:r w:rsidRPr="001F6C24">
        <w:rPr>
          <w:rFonts w:asciiTheme="minorHAnsi" w:hAnsiTheme="minorHAnsi"/>
          <w:sz w:val="22"/>
        </w:rPr>
        <w:t xml:space="preserve">This text amends the revenue matching </w:t>
      </w:r>
      <w:r>
        <w:rPr>
          <w:rFonts w:asciiTheme="minorHAnsi" w:hAnsiTheme="minorHAnsi"/>
          <w:sz w:val="22"/>
        </w:rPr>
        <w:t>approach as set out in Schedule 16 in line with the DCP 228 proposed solution.</w:t>
      </w:r>
    </w:p>
    <w:p w:rsidR="00565E77" w:rsidRPr="00A86A91" w:rsidRDefault="00565E77" w:rsidP="00D823B3">
      <w:pPr>
        <w:pStyle w:val="Heading1"/>
        <w:numPr>
          <w:ilvl w:val="0"/>
          <w:numId w:val="1"/>
        </w:numPr>
        <w:spacing w:line="360" w:lineRule="auto"/>
        <w:jc w:val="both"/>
        <w:rPr>
          <w:rFonts w:asciiTheme="minorHAnsi" w:hAnsiTheme="minorHAnsi"/>
          <w:sz w:val="22"/>
        </w:rPr>
      </w:pPr>
      <w:r w:rsidRPr="00A86A91">
        <w:rPr>
          <w:rFonts w:asciiTheme="minorHAnsi" w:hAnsiTheme="minorHAnsi"/>
          <w:sz w:val="22"/>
        </w:rPr>
        <w:t>EVALUATION AGAINST THE DCUSA OBJECTIVES</w:t>
      </w:r>
    </w:p>
    <w:p w:rsidR="00A86A91" w:rsidRPr="00127B42" w:rsidRDefault="00A86A91" w:rsidP="00A86A91">
      <w:pPr>
        <w:pStyle w:val="Heading2"/>
        <w:widowControl w:val="0"/>
        <w:numPr>
          <w:ilvl w:val="1"/>
          <w:numId w:val="1"/>
        </w:numPr>
        <w:spacing w:line="360" w:lineRule="auto"/>
        <w:ind w:left="567" w:hanging="567"/>
        <w:jc w:val="both"/>
        <w:rPr>
          <w:rFonts w:ascii="Calibri" w:hAnsi="Calibri"/>
          <w:sz w:val="22"/>
          <w:szCs w:val="22"/>
        </w:rPr>
      </w:pPr>
      <w:r w:rsidRPr="00A86A91">
        <w:rPr>
          <w:rFonts w:ascii="Calibri" w:hAnsi="Calibri"/>
          <w:sz w:val="22"/>
          <w:szCs w:val="22"/>
        </w:rPr>
        <w:t xml:space="preserve">For a DCUSA </w:t>
      </w:r>
      <w:r w:rsidRPr="00A86A91">
        <w:rPr>
          <w:rFonts w:asciiTheme="minorHAnsi" w:hAnsiTheme="minorHAnsi"/>
          <w:sz w:val="22"/>
        </w:rPr>
        <w:t>Change</w:t>
      </w:r>
      <w:r w:rsidRPr="00A86A91">
        <w:rPr>
          <w:rFonts w:ascii="Calibri" w:hAnsi="Calibri"/>
          <w:sz w:val="22"/>
          <w:szCs w:val="22"/>
        </w:rPr>
        <w:t xml:space="preserve"> Proposal to be </w:t>
      </w:r>
      <w:r w:rsidRPr="00127B42">
        <w:rPr>
          <w:rFonts w:ascii="Calibri" w:hAnsi="Calibri"/>
          <w:sz w:val="22"/>
          <w:szCs w:val="22"/>
        </w:rPr>
        <w:t>approved it must be demonstrated that it better meets the DCUSA Objectives. There are five General DCUSA Objectives and five Charging Objectives. The full list of objectives is documented in the CP form provided as Attachment</w:t>
      </w:r>
      <w:r>
        <w:rPr>
          <w:rFonts w:ascii="Calibri" w:hAnsi="Calibri"/>
          <w:sz w:val="22"/>
          <w:szCs w:val="22"/>
        </w:rPr>
        <w:t xml:space="preserve"> 2</w:t>
      </w:r>
      <w:r w:rsidRPr="00127B42">
        <w:rPr>
          <w:rFonts w:ascii="Calibri" w:hAnsi="Calibri"/>
          <w:sz w:val="22"/>
          <w:szCs w:val="22"/>
        </w:rPr>
        <w:t>.</w:t>
      </w:r>
    </w:p>
    <w:p w:rsidR="00A86A91" w:rsidRPr="00127B42" w:rsidRDefault="00A86A91" w:rsidP="00A86A91">
      <w:pPr>
        <w:pStyle w:val="Heading2"/>
        <w:widowControl w:val="0"/>
        <w:numPr>
          <w:ilvl w:val="1"/>
          <w:numId w:val="1"/>
        </w:numPr>
        <w:spacing w:line="360" w:lineRule="auto"/>
        <w:ind w:left="567" w:hanging="567"/>
        <w:jc w:val="both"/>
        <w:rPr>
          <w:rFonts w:ascii="Calibri" w:hAnsi="Calibri"/>
          <w:sz w:val="22"/>
          <w:szCs w:val="22"/>
        </w:rPr>
      </w:pPr>
      <w:r w:rsidRPr="00127B42">
        <w:rPr>
          <w:rFonts w:ascii="Calibri" w:hAnsi="Calibri"/>
          <w:sz w:val="22"/>
          <w:szCs w:val="22"/>
        </w:rPr>
        <w:t>The Working Group has assessed the CP against the DCUSA objectives and the Working Group members agree that the following DCUSA Objectives a</w:t>
      </w:r>
      <w:r>
        <w:rPr>
          <w:rFonts w:ascii="Calibri" w:hAnsi="Calibri"/>
          <w:sz w:val="22"/>
          <w:szCs w:val="22"/>
        </w:rPr>
        <w:t>re better facilitated by DCP 228</w:t>
      </w:r>
      <w:r w:rsidRPr="00127B42">
        <w:rPr>
          <w:rFonts w:ascii="Calibri" w:hAnsi="Calibri"/>
          <w:sz w:val="22"/>
          <w:szCs w:val="22"/>
        </w:rPr>
        <w:t>.</w:t>
      </w:r>
    </w:p>
    <w:p w:rsidR="00A86A91" w:rsidRPr="00127B42" w:rsidRDefault="00A86A91" w:rsidP="00A86A91">
      <w:pPr>
        <w:pStyle w:val="Heading2"/>
        <w:tabs>
          <w:tab w:val="clear" w:pos="360"/>
        </w:tabs>
        <w:spacing w:line="360" w:lineRule="auto"/>
        <w:ind w:left="0" w:firstLine="0"/>
        <w:rPr>
          <w:rFonts w:ascii="Calibri" w:hAnsi="Calibri"/>
          <w:sz w:val="22"/>
          <w:u w:val="single"/>
        </w:rPr>
      </w:pPr>
      <w:r w:rsidRPr="00127B42">
        <w:rPr>
          <w:rFonts w:ascii="Calibri" w:hAnsi="Calibri"/>
          <w:b/>
          <w:sz w:val="22"/>
          <w:u w:val="single"/>
        </w:rPr>
        <w:t>Charging Objective Three –</w:t>
      </w:r>
      <w:r w:rsidRPr="00127B42">
        <w:rPr>
          <w:rFonts w:ascii="Calibri" w:hAnsi="Calibri"/>
          <w:sz w:val="22"/>
          <w:u w:val="single"/>
        </w:rPr>
        <w:t xml:space="preserve">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A86A91" w:rsidRPr="00127B42" w:rsidRDefault="00A86A91" w:rsidP="00F35F4B">
      <w:pPr>
        <w:pStyle w:val="Heading2"/>
        <w:widowControl w:val="0"/>
        <w:numPr>
          <w:ilvl w:val="1"/>
          <w:numId w:val="1"/>
        </w:numPr>
        <w:spacing w:line="360" w:lineRule="auto"/>
        <w:ind w:left="567" w:hanging="567"/>
        <w:jc w:val="both"/>
        <w:rPr>
          <w:rFonts w:ascii="Calibri" w:hAnsi="Calibri"/>
          <w:sz w:val="22"/>
          <w:szCs w:val="22"/>
        </w:rPr>
      </w:pPr>
      <w:r w:rsidRPr="00127B42">
        <w:rPr>
          <w:rFonts w:ascii="Calibri" w:hAnsi="Calibri"/>
          <w:sz w:val="22"/>
          <w:szCs w:val="22"/>
        </w:rPr>
        <w:t xml:space="preserve">The Working Group has identified </w:t>
      </w:r>
      <w:proofErr w:type="gramStart"/>
      <w:r w:rsidRPr="00127B42">
        <w:rPr>
          <w:rFonts w:ascii="Calibri" w:hAnsi="Calibri"/>
          <w:sz w:val="22"/>
          <w:szCs w:val="22"/>
        </w:rPr>
        <w:t>that DCP 228 better facil</w:t>
      </w:r>
      <w:r>
        <w:rPr>
          <w:rFonts w:ascii="Calibri" w:hAnsi="Calibri"/>
          <w:sz w:val="22"/>
          <w:szCs w:val="22"/>
        </w:rPr>
        <w:t>ities</w:t>
      </w:r>
      <w:proofErr w:type="gramEnd"/>
      <w:r>
        <w:rPr>
          <w:rFonts w:ascii="Calibri" w:hAnsi="Calibri"/>
          <w:sz w:val="22"/>
          <w:szCs w:val="22"/>
        </w:rPr>
        <w:t xml:space="preserve"> DCUSA Charging Objective Three</w:t>
      </w:r>
      <w:r w:rsidRPr="00127B42">
        <w:rPr>
          <w:rFonts w:ascii="Calibri" w:hAnsi="Calibri"/>
          <w:sz w:val="22"/>
          <w:szCs w:val="22"/>
        </w:rPr>
        <w:t>. The incremental cost signals produced by the pre-scaled tariffs in the CDCM are currently distorted by applying scaling primarily into one time</w:t>
      </w:r>
      <w:r>
        <w:rPr>
          <w:rFonts w:ascii="Calibri" w:hAnsi="Calibri"/>
          <w:sz w:val="22"/>
          <w:szCs w:val="22"/>
        </w:rPr>
        <w:t xml:space="preserve"> </w:t>
      </w:r>
      <w:r w:rsidRPr="00127B42">
        <w:rPr>
          <w:rFonts w:ascii="Calibri" w:hAnsi="Calibri"/>
          <w:sz w:val="22"/>
          <w:szCs w:val="22"/>
        </w:rPr>
        <w:t xml:space="preserve">band. By allocating unallocated allowed revenue across each of the unit rates on a fixed adder basis, this change improves cost reflectivity by maintaining the incremental cost </w:t>
      </w:r>
      <w:r w:rsidRPr="00127B42">
        <w:rPr>
          <w:rFonts w:ascii="Calibri" w:hAnsi="Calibri"/>
          <w:sz w:val="22"/>
          <w:szCs w:val="22"/>
        </w:rPr>
        <w:lastRenderedPageBreak/>
        <w:t>differential between unit rates across all tariffs and all timebands. The change also ensures that the unit costs in peak time bands (day or Red unit rates) will better reflect the underlying cost message by virtue of being distorted less than the current method of scaling.</w:t>
      </w:r>
    </w:p>
    <w:p w:rsidR="00565E77" w:rsidRPr="00F35F4B" w:rsidRDefault="00565E77" w:rsidP="00D823B3">
      <w:pPr>
        <w:pStyle w:val="Heading1"/>
        <w:numPr>
          <w:ilvl w:val="0"/>
          <w:numId w:val="1"/>
        </w:numPr>
        <w:spacing w:line="360" w:lineRule="auto"/>
        <w:jc w:val="both"/>
        <w:rPr>
          <w:rFonts w:asciiTheme="minorHAnsi" w:hAnsiTheme="minorHAnsi"/>
          <w:sz w:val="22"/>
        </w:rPr>
      </w:pPr>
      <w:r w:rsidRPr="00F35F4B">
        <w:rPr>
          <w:rFonts w:asciiTheme="minorHAnsi" w:hAnsiTheme="minorHAnsi"/>
          <w:sz w:val="22"/>
        </w:rPr>
        <w:t>IMPLEMENTATION</w:t>
      </w:r>
    </w:p>
    <w:p w:rsidR="00C31AEF" w:rsidRPr="00F35F4B" w:rsidRDefault="00D84133" w:rsidP="00D823B3">
      <w:pPr>
        <w:pStyle w:val="Heading2"/>
        <w:widowControl w:val="0"/>
        <w:numPr>
          <w:ilvl w:val="1"/>
          <w:numId w:val="1"/>
        </w:numPr>
        <w:spacing w:line="360" w:lineRule="auto"/>
        <w:ind w:left="567" w:hanging="567"/>
        <w:jc w:val="both"/>
      </w:pPr>
      <w:r w:rsidRPr="00F35F4B">
        <w:rPr>
          <w:rFonts w:asciiTheme="minorHAnsi" w:hAnsiTheme="minorHAnsi" w:cs="Verdana"/>
          <w:sz w:val="22"/>
        </w:rPr>
        <w:t xml:space="preserve">The </w:t>
      </w:r>
      <w:r w:rsidRPr="00F35F4B">
        <w:rPr>
          <w:rFonts w:asciiTheme="minorHAnsi" w:hAnsiTheme="minorHAnsi"/>
          <w:sz w:val="22"/>
        </w:rPr>
        <w:t>proposed</w:t>
      </w:r>
      <w:r w:rsidRPr="00F35F4B">
        <w:rPr>
          <w:rFonts w:asciiTheme="minorHAnsi" w:hAnsiTheme="minorHAnsi" w:cs="Verdana"/>
          <w:sz w:val="22"/>
        </w:rPr>
        <w:t xml:space="preserve"> implementation date </w:t>
      </w:r>
      <w:r w:rsidR="00DB1296">
        <w:rPr>
          <w:rFonts w:asciiTheme="minorHAnsi" w:hAnsiTheme="minorHAnsi" w:cs="Verdana"/>
          <w:sz w:val="22"/>
        </w:rPr>
        <w:t>DCP 228</w:t>
      </w:r>
      <w:r w:rsidR="003600E2" w:rsidRPr="00F35F4B">
        <w:rPr>
          <w:rFonts w:asciiTheme="minorHAnsi" w:hAnsiTheme="minorHAnsi" w:cs="Verdana"/>
          <w:sz w:val="22"/>
        </w:rPr>
        <w:t xml:space="preserve"> is</w:t>
      </w:r>
      <w:r w:rsidR="00426BFF">
        <w:rPr>
          <w:rFonts w:asciiTheme="minorHAnsi" w:hAnsiTheme="minorHAnsi" w:cs="Verdana"/>
          <w:sz w:val="22"/>
        </w:rPr>
        <w:t xml:space="preserve"> 1 April 2017</w:t>
      </w:r>
      <w:r w:rsidR="000420A7" w:rsidRPr="00F35F4B">
        <w:rPr>
          <w:rFonts w:asciiTheme="minorHAnsi" w:hAnsiTheme="minorHAnsi" w:cs="Verdana"/>
          <w:sz w:val="22"/>
        </w:rPr>
        <w:t xml:space="preserve">. </w:t>
      </w:r>
      <w:r w:rsidR="00426BFF">
        <w:rPr>
          <w:rFonts w:asciiTheme="minorHAnsi" w:hAnsiTheme="minorHAnsi" w:cs="Verdana"/>
          <w:sz w:val="22"/>
        </w:rPr>
        <w:t xml:space="preserve">The Working Group has selected this date to ensure that there is a sufficient notice period for customers. </w:t>
      </w:r>
      <w:r w:rsidR="00653950">
        <w:rPr>
          <w:rFonts w:asciiTheme="minorHAnsi" w:hAnsiTheme="minorHAnsi" w:cs="Verdana"/>
          <w:sz w:val="22"/>
        </w:rPr>
        <w:t xml:space="preserve">It is noted that the tariffs for April 2017 will be published in December 2015, in line with the publication timescales introduced by </w:t>
      </w:r>
      <w:r w:rsidR="00653950" w:rsidRPr="00DB1296">
        <w:rPr>
          <w:rFonts w:asciiTheme="minorHAnsi" w:hAnsiTheme="minorHAnsi" w:cs="Verdana"/>
          <w:sz w:val="22"/>
        </w:rPr>
        <w:t>DCP 178</w:t>
      </w:r>
      <w:r w:rsidR="00DB1296">
        <w:rPr>
          <w:rStyle w:val="FootnoteReference"/>
          <w:rFonts w:asciiTheme="minorHAnsi" w:hAnsiTheme="minorHAnsi"/>
          <w:sz w:val="22"/>
        </w:rPr>
        <w:footnoteReference w:id="1"/>
      </w:r>
      <w:r w:rsidR="00653950" w:rsidRPr="00DB1296">
        <w:rPr>
          <w:rFonts w:asciiTheme="minorHAnsi" w:hAnsiTheme="minorHAnsi" w:cs="Verdana"/>
          <w:sz w:val="22"/>
        </w:rPr>
        <w:t>.</w:t>
      </w:r>
      <w:r w:rsidR="00653950">
        <w:rPr>
          <w:rFonts w:asciiTheme="minorHAnsi" w:hAnsiTheme="minorHAnsi" w:cs="Verdana"/>
          <w:sz w:val="22"/>
        </w:rPr>
        <w:t xml:space="preserve"> </w:t>
      </w:r>
    </w:p>
    <w:p w:rsidR="00955A71" w:rsidRPr="00F35F4B" w:rsidRDefault="00F35F4B"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 xml:space="preserve">DCP 228 </w:t>
      </w:r>
      <w:r w:rsidR="00955A71" w:rsidRPr="00F35F4B">
        <w:rPr>
          <w:rFonts w:asciiTheme="minorHAnsi" w:hAnsiTheme="minorHAnsi" w:cs="Verdana"/>
          <w:sz w:val="22"/>
        </w:rPr>
        <w:t>is classified as a Part 1 matter and therefore will go to the Authority for determination after the voting process has completed.</w:t>
      </w:r>
    </w:p>
    <w:p w:rsidR="00D10E6B" w:rsidRPr="00F35F4B" w:rsidRDefault="00D10E6B" w:rsidP="00D823B3">
      <w:pPr>
        <w:pStyle w:val="Heading1"/>
        <w:numPr>
          <w:ilvl w:val="0"/>
          <w:numId w:val="1"/>
        </w:numPr>
        <w:spacing w:line="360" w:lineRule="auto"/>
        <w:jc w:val="both"/>
        <w:rPr>
          <w:rFonts w:asciiTheme="minorHAnsi" w:hAnsiTheme="minorHAnsi"/>
          <w:sz w:val="22"/>
        </w:rPr>
      </w:pPr>
      <w:r w:rsidRPr="00F35F4B">
        <w:rPr>
          <w:rFonts w:asciiTheme="minorHAnsi" w:hAnsiTheme="minorHAnsi"/>
          <w:sz w:val="22"/>
        </w:rPr>
        <w:t>WORKING GROUP CONCLUSIONS</w:t>
      </w:r>
    </w:p>
    <w:p w:rsidR="00E256AD" w:rsidRPr="00F35F4B" w:rsidRDefault="00F35F4B"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 xml:space="preserve">The DCP 228 </w:t>
      </w:r>
      <w:r w:rsidR="00082C0B" w:rsidRPr="00F35F4B">
        <w:rPr>
          <w:rFonts w:asciiTheme="minorHAnsi" w:hAnsiTheme="minorHAnsi" w:cs="Verdana"/>
          <w:sz w:val="22"/>
        </w:rPr>
        <w:t>Working Group has</w:t>
      </w:r>
      <w:r w:rsidR="00D10E6B" w:rsidRPr="00F35F4B">
        <w:rPr>
          <w:rFonts w:asciiTheme="minorHAnsi" w:hAnsiTheme="minorHAnsi" w:cs="Verdana"/>
          <w:sz w:val="22"/>
        </w:rPr>
        <w:t xml:space="preserve"> discussed the propos</w:t>
      </w:r>
      <w:r w:rsidR="00775090" w:rsidRPr="00F35F4B">
        <w:rPr>
          <w:rFonts w:asciiTheme="minorHAnsi" w:hAnsiTheme="minorHAnsi" w:cs="Verdana"/>
          <w:sz w:val="22"/>
        </w:rPr>
        <w:t xml:space="preserve">ed amendment to DCUSA. </w:t>
      </w:r>
      <w:r w:rsidR="00D10E6B" w:rsidRPr="00F35F4B">
        <w:rPr>
          <w:rFonts w:asciiTheme="minorHAnsi" w:hAnsiTheme="minorHAnsi" w:cs="Verdana"/>
          <w:sz w:val="22"/>
        </w:rPr>
        <w:t xml:space="preserve">The </w:t>
      </w:r>
      <w:r w:rsidR="009C0A74" w:rsidRPr="00F35F4B">
        <w:rPr>
          <w:rFonts w:asciiTheme="minorHAnsi" w:hAnsiTheme="minorHAnsi" w:cs="Verdana"/>
          <w:sz w:val="22"/>
        </w:rPr>
        <w:t>Working G</w:t>
      </w:r>
      <w:r w:rsidR="00D10E6B" w:rsidRPr="00F35F4B">
        <w:rPr>
          <w:rFonts w:asciiTheme="minorHAnsi" w:hAnsiTheme="minorHAnsi" w:cs="Verdana"/>
          <w:sz w:val="22"/>
        </w:rPr>
        <w:t>roup unanimously agree</w:t>
      </w:r>
      <w:r w:rsidR="00082C0B" w:rsidRPr="00F35F4B">
        <w:rPr>
          <w:rFonts w:asciiTheme="minorHAnsi" w:hAnsiTheme="minorHAnsi" w:cs="Verdana"/>
          <w:sz w:val="22"/>
        </w:rPr>
        <w:t>s</w:t>
      </w:r>
      <w:r w:rsidR="00D10E6B" w:rsidRPr="00F35F4B">
        <w:rPr>
          <w:rFonts w:asciiTheme="minorHAnsi" w:hAnsiTheme="minorHAnsi" w:cs="Verdana"/>
          <w:sz w:val="22"/>
        </w:rPr>
        <w:t xml:space="preserve"> that the legal text developed better facilitates the DCUSA Objectives.</w:t>
      </w:r>
      <w:r w:rsidR="00E256AD" w:rsidRPr="00F35F4B">
        <w:rPr>
          <w:rFonts w:asciiTheme="minorHAnsi" w:hAnsiTheme="minorHAnsi" w:cs="Verdana"/>
          <w:sz w:val="22"/>
        </w:rPr>
        <w:t xml:space="preserve"> The Working Group agrees that the CP should be issued for industry voting. </w:t>
      </w:r>
    </w:p>
    <w:p w:rsidR="00955A71" w:rsidRPr="00F35F4B" w:rsidRDefault="00955A71" w:rsidP="00D823B3">
      <w:pPr>
        <w:pStyle w:val="Heading1"/>
        <w:numPr>
          <w:ilvl w:val="0"/>
          <w:numId w:val="1"/>
        </w:numPr>
        <w:spacing w:line="360" w:lineRule="auto"/>
        <w:jc w:val="both"/>
        <w:rPr>
          <w:rFonts w:asciiTheme="minorHAnsi" w:hAnsiTheme="minorHAnsi"/>
          <w:sz w:val="22"/>
        </w:rPr>
      </w:pPr>
      <w:r w:rsidRPr="00F35F4B">
        <w:rPr>
          <w:rFonts w:asciiTheme="minorHAnsi" w:hAnsiTheme="minorHAnsi"/>
          <w:sz w:val="22"/>
        </w:rPr>
        <w:t>ENGAGEMENT WITH THE AUTHORITY</w:t>
      </w:r>
    </w:p>
    <w:p w:rsidR="00955A71" w:rsidRPr="00F35F4B" w:rsidRDefault="00955A71"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 xml:space="preserve">Ofgem has been fully engaged throughout the development of </w:t>
      </w:r>
      <w:r w:rsidR="00F35F4B" w:rsidRPr="00F35F4B">
        <w:rPr>
          <w:rFonts w:asciiTheme="minorHAnsi" w:hAnsiTheme="minorHAnsi" w:cs="Verdana"/>
          <w:sz w:val="22"/>
        </w:rPr>
        <w:t>DCP 228</w:t>
      </w:r>
      <w:r w:rsidR="00992EB7" w:rsidRPr="00F35F4B">
        <w:rPr>
          <w:rFonts w:asciiTheme="minorHAnsi" w:hAnsiTheme="minorHAnsi" w:cs="Verdana"/>
          <w:sz w:val="22"/>
        </w:rPr>
        <w:t xml:space="preserve"> </w:t>
      </w:r>
      <w:r w:rsidRPr="00F35F4B">
        <w:rPr>
          <w:rFonts w:asciiTheme="minorHAnsi" w:hAnsiTheme="minorHAnsi" w:cs="Verdana"/>
          <w:sz w:val="22"/>
        </w:rPr>
        <w:t>as a member of the Working Group.</w:t>
      </w:r>
    </w:p>
    <w:p w:rsidR="00F75D66" w:rsidRPr="00F35F4B" w:rsidRDefault="00F75D66" w:rsidP="00D823B3">
      <w:pPr>
        <w:pStyle w:val="Heading1"/>
        <w:numPr>
          <w:ilvl w:val="0"/>
          <w:numId w:val="1"/>
        </w:numPr>
        <w:spacing w:line="360" w:lineRule="auto"/>
        <w:jc w:val="both"/>
        <w:rPr>
          <w:rFonts w:asciiTheme="minorHAnsi" w:hAnsiTheme="minorHAnsi"/>
          <w:sz w:val="22"/>
        </w:rPr>
      </w:pPr>
      <w:r w:rsidRPr="00F35F4B">
        <w:rPr>
          <w:rFonts w:asciiTheme="minorHAnsi" w:hAnsiTheme="minorHAnsi"/>
          <w:sz w:val="22"/>
        </w:rPr>
        <w:t>ENVIRONMENTAL IMPACT</w:t>
      </w:r>
    </w:p>
    <w:p w:rsidR="00F75D66" w:rsidRPr="00F35F4B" w:rsidRDefault="00F75D66"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In accordance with DCUSA clause 11.14.6, the Working Group assessed whether there would be a material impact on gr</w:t>
      </w:r>
      <w:r w:rsidR="00775090" w:rsidRPr="00F35F4B">
        <w:rPr>
          <w:rFonts w:asciiTheme="minorHAnsi" w:hAnsiTheme="minorHAnsi" w:cs="Verdana"/>
          <w:sz w:val="22"/>
        </w:rPr>
        <w:t>eenhouse g</w:t>
      </w:r>
      <w:r w:rsidR="00F35F4B" w:rsidRPr="00F35F4B">
        <w:rPr>
          <w:rFonts w:asciiTheme="minorHAnsi" w:hAnsiTheme="minorHAnsi" w:cs="Verdana"/>
          <w:sz w:val="22"/>
        </w:rPr>
        <w:t>as emissions if DCP 228</w:t>
      </w:r>
      <w:r w:rsidRPr="00F35F4B">
        <w:rPr>
          <w:rFonts w:asciiTheme="minorHAnsi" w:hAnsiTheme="minorHAnsi" w:cs="Verdana"/>
          <w:sz w:val="22"/>
        </w:rPr>
        <w:t xml:space="preserve"> were implemented. The Working Group did not identify any material impact on greenhouse gas emissions from the implementation of this Change Proposal.</w:t>
      </w:r>
    </w:p>
    <w:p w:rsidR="00565E77" w:rsidRPr="00F35F4B" w:rsidRDefault="00565E77" w:rsidP="00D823B3">
      <w:pPr>
        <w:pStyle w:val="Heading1"/>
        <w:numPr>
          <w:ilvl w:val="0"/>
          <w:numId w:val="1"/>
        </w:numPr>
        <w:spacing w:line="360" w:lineRule="auto"/>
        <w:jc w:val="both"/>
        <w:rPr>
          <w:rFonts w:asciiTheme="minorHAnsi" w:hAnsiTheme="minorHAnsi"/>
          <w:sz w:val="22"/>
        </w:rPr>
      </w:pPr>
      <w:r w:rsidRPr="00F35F4B">
        <w:rPr>
          <w:rFonts w:asciiTheme="minorHAnsi" w:hAnsiTheme="minorHAnsi"/>
          <w:sz w:val="22"/>
        </w:rPr>
        <w:t>PANEL RECOMMENDATION</w:t>
      </w:r>
    </w:p>
    <w:p w:rsidR="00565E77" w:rsidRPr="00F35F4B" w:rsidRDefault="00565E77"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 xml:space="preserve">The Panel approved this </w:t>
      </w:r>
      <w:r w:rsidRPr="00787C9A">
        <w:rPr>
          <w:rFonts w:asciiTheme="minorHAnsi" w:hAnsiTheme="minorHAnsi" w:cs="Verdana"/>
          <w:sz w:val="22"/>
        </w:rPr>
        <w:t xml:space="preserve">Change Report </w:t>
      </w:r>
      <w:r w:rsidR="00C03FD5" w:rsidRPr="00787C9A">
        <w:rPr>
          <w:rFonts w:asciiTheme="minorHAnsi" w:hAnsiTheme="minorHAnsi" w:cs="Verdana"/>
          <w:sz w:val="22"/>
        </w:rPr>
        <w:t>on</w:t>
      </w:r>
      <w:r w:rsidR="00F96626" w:rsidRPr="00787C9A">
        <w:rPr>
          <w:rFonts w:asciiTheme="minorHAnsi" w:hAnsiTheme="minorHAnsi" w:cs="Verdana"/>
          <w:sz w:val="22"/>
        </w:rPr>
        <w:t xml:space="preserve"> </w:t>
      </w:r>
      <w:r w:rsidR="00787C9A" w:rsidRPr="00787C9A">
        <w:rPr>
          <w:rFonts w:asciiTheme="minorHAnsi" w:hAnsiTheme="minorHAnsi" w:cs="Verdana"/>
          <w:sz w:val="22"/>
        </w:rPr>
        <w:t>15 July 2015.</w:t>
      </w:r>
      <w:r w:rsidR="009658E5" w:rsidRPr="00787C9A">
        <w:rPr>
          <w:rFonts w:asciiTheme="minorHAnsi" w:hAnsiTheme="minorHAnsi" w:cs="Verdana"/>
          <w:sz w:val="22"/>
        </w:rPr>
        <w:t xml:space="preserve"> </w:t>
      </w:r>
      <w:r w:rsidRPr="00787C9A">
        <w:rPr>
          <w:rFonts w:asciiTheme="minorHAnsi" w:hAnsiTheme="minorHAnsi" w:cs="Verdana"/>
          <w:sz w:val="22"/>
        </w:rPr>
        <w:t xml:space="preserve">The Panel </w:t>
      </w:r>
      <w:r w:rsidRPr="00F35F4B">
        <w:rPr>
          <w:rFonts w:asciiTheme="minorHAnsi" w:hAnsiTheme="minorHAnsi" w:cs="Verdana"/>
          <w:sz w:val="22"/>
        </w:rPr>
        <w:t xml:space="preserve">considered that the Working Group had carried out the level of analysis required to enable Parties to </w:t>
      </w:r>
      <w:r w:rsidRPr="00F35F4B">
        <w:rPr>
          <w:rFonts w:asciiTheme="minorHAnsi" w:hAnsiTheme="minorHAnsi" w:cs="Verdana"/>
          <w:sz w:val="22"/>
        </w:rPr>
        <w:lastRenderedPageBreak/>
        <w:t xml:space="preserve">understand the impact of the proposed amendment and to vote on </w:t>
      </w:r>
      <w:r w:rsidR="00F35F4B">
        <w:rPr>
          <w:rFonts w:asciiTheme="minorHAnsi" w:hAnsiTheme="minorHAnsi" w:cs="Verdana"/>
          <w:sz w:val="22"/>
        </w:rPr>
        <w:t>DCP 228.</w:t>
      </w:r>
    </w:p>
    <w:p w:rsidR="00565E77" w:rsidRPr="00F35F4B" w:rsidRDefault="00565E77"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The timetable for the progression of the Change Proposals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2259"/>
      </w:tblGrid>
      <w:tr w:rsidR="008A7057" w:rsidRPr="008A7057" w:rsidTr="00B578E4">
        <w:trPr>
          <w:trHeight w:val="257"/>
          <w:jc w:val="center"/>
        </w:trPr>
        <w:tc>
          <w:tcPr>
            <w:tcW w:w="5287" w:type="dxa"/>
          </w:tcPr>
          <w:p w:rsidR="00565E77" w:rsidRPr="00BD13A6" w:rsidRDefault="00565E77" w:rsidP="00D823B3">
            <w:pPr>
              <w:keepNext/>
              <w:jc w:val="both"/>
              <w:rPr>
                <w:rFonts w:asciiTheme="minorHAnsi" w:hAnsiTheme="minorHAnsi"/>
                <w:b/>
                <w:szCs w:val="20"/>
              </w:rPr>
            </w:pPr>
            <w:r w:rsidRPr="00BD13A6">
              <w:rPr>
                <w:rFonts w:asciiTheme="minorHAnsi" w:hAnsiTheme="minorHAnsi"/>
                <w:b/>
                <w:sz w:val="22"/>
                <w:szCs w:val="20"/>
              </w:rPr>
              <w:t>Activity</w:t>
            </w:r>
          </w:p>
        </w:tc>
        <w:tc>
          <w:tcPr>
            <w:tcW w:w="2259" w:type="dxa"/>
          </w:tcPr>
          <w:p w:rsidR="00565E77" w:rsidRPr="00BD13A6" w:rsidRDefault="00565E77" w:rsidP="00D823B3">
            <w:pPr>
              <w:keepNext/>
              <w:jc w:val="both"/>
              <w:rPr>
                <w:rFonts w:asciiTheme="minorHAnsi" w:hAnsiTheme="minorHAnsi"/>
                <w:b/>
                <w:szCs w:val="20"/>
              </w:rPr>
            </w:pPr>
            <w:r w:rsidRPr="00BD13A6">
              <w:rPr>
                <w:rFonts w:asciiTheme="minorHAnsi" w:hAnsiTheme="minorHAnsi"/>
                <w:b/>
                <w:sz w:val="22"/>
                <w:szCs w:val="20"/>
              </w:rPr>
              <w:t>Date</w:t>
            </w:r>
          </w:p>
        </w:tc>
      </w:tr>
      <w:tr w:rsidR="008A7057" w:rsidRPr="008A7057" w:rsidTr="00B578E4">
        <w:trPr>
          <w:trHeight w:val="257"/>
          <w:jc w:val="center"/>
        </w:trPr>
        <w:tc>
          <w:tcPr>
            <w:tcW w:w="5287" w:type="dxa"/>
          </w:tcPr>
          <w:p w:rsidR="00565E77" w:rsidRPr="00BD13A6" w:rsidRDefault="0050462C" w:rsidP="00787C9A">
            <w:pPr>
              <w:keepNext/>
              <w:jc w:val="both"/>
              <w:rPr>
                <w:rFonts w:asciiTheme="minorHAnsi" w:hAnsiTheme="minorHAnsi" w:cs="Arial"/>
                <w:bCs/>
                <w:iCs/>
                <w:szCs w:val="20"/>
              </w:rPr>
            </w:pPr>
            <w:r w:rsidRPr="00BD13A6">
              <w:rPr>
                <w:rFonts w:asciiTheme="minorHAnsi" w:hAnsiTheme="minorHAnsi" w:cs="Arial"/>
                <w:bCs/>
                <w:iCs/>
                <w:sz w:val="22"/>
                <w:szCs w:val="20"/>
              </w:rPr>
              <w:t>Change Report approved by DCUSA Panel</w:t>
            </w:r>
          </w:p>
        </w:tc>
        <w:tc>
          <w:tcPr>
            <w:tcW w:w="2259" w:type="dxa"/>
          </w:tcPr>
          <w:p w:rsidR="000A50A2" w:rsidRPr="00BD13A6" w:rsidRDefault="00BD13A6" w:rsidP="00787C9A">
            <w:pPr>
              <w:keepNext/>
              <w:jc w:val="both"/>
              <w:rPr>
                <w:rFonts w:asciiTheme="minorHAnsi" w:hAnsiTheme="minorHAnsi" w:cs="Arial"/>
                <w:bCs/>
                <w:iCs/>
                <w:sz w:val="22"/>
                <w:szCs w:val="20"/>
              </w:rPr>
            </w:pPr>
            <w:r w:rsidRPr="00BD13A6">
              <w:rPr>
                <w:rFonts w:asciiTheme="minorHAnsi" w:hAnsiTheme="minorHAnsi" w:cs="Arial"/>
                <w:bCs/>
                <w:iCs/>
                <w:sz w:val="22"/>
                <w:szCs w:val="20"/>
              </w:rPr>
              <w:t>15 July 2015</w:t>
            </w:r>
          </w:p>
        </w:tc>
      </w:tr>
      <w:tr w:rsidR="00BD13A6" w:rsidRPr="008A7057" w:rsidTr="00B578E4">
        <w:trPr>
          <w:trHeight w:val="257"/>
          <w:jc w:val="center"/>
        </w:trPr>
        <w:tc>
          <w:tcPr>
            <w:tcW w:w="5287" w:type="dxa"/>
          </w:tcPr>
          <w:p w:rsidR="00BD13A6" w:rsidRPr="00BD13A6" w:rsidRDefault="00BD13A6" w:rsidP="00787C9A">
            <w:pPr>
              <w:keepNext/>
              <w:jc w:val="both"/>
              <w:rPr>
                <w:rFonts w:asciiTheme="minorHAnsi" w:hAnsiTheme="minorHAnsi" w:cs="Arial"/>
                <w:bCs/>
                <w:iCs/>
                <w:sz w:val="22"/>
                <w:szCs w:val="20"/>
              </w:rPr>
            </w:pPr>
            <w:r w:rsidRPr="00BD13A6">
              <w:rPr>
                <w:rFonts w:asciiTheme="minorHAnsi" w:hAnsiTheme="minorHAnsi" w:cs="Arial"/>
                <w:bCs/>
                <w:iCs/>
                <w:sz w:val="22"/>
                <w:szCs w:val="20"/>
              </w:rPr>
              <w:t>Change Report issued for voting</w:t>
            </w:r>
          </w:p>
        </w:tc>
        <w:tc>
          <w:tcPr>
            <w:tcW w:w="2259" w:type="dxa"/>
          </w:tcPr>
          <w:p w:rsidR="00BD13A6" w:rsidRPr="00BD13A6" w:rsidRDefault="00BD13A6" w:rsidP="00787C9A">
            <w:pPr>
              <w:widowControl w:val="0"/>
              <w:rPr>
                <w:rFonts w:asciiTheme="minorHAnsi" w:hAnsiTheme="minorHAnsi" w:cs="Arial"/>
                <w:bCs/>
                <w:iCs/>
                <w:sz w:val="22"/>
                <w:szCs w:val="20"/>
              </w:rPr>
            </w:pPr>
            <w:r w:rsidRPr="00BD13A6">
              <w:rPr>
                <w:rFonts w:asciiTheme="minorHAnsi" w:hAnsiTheme="minorHAnsi" w:cs="Arial"/>
                <w:bCs/>
                <w:iCs/>
                <w:sz w:val="22"/>
                <w:szCs w:val="20"/>
              </w:rPr>
              <w:t>17 July 2015</w:t>
            </w:r>
          </w:p>
        </w:tc>
      </w:tr>
      <w:tr w:rsidR="00BD13A6" w:rsidRPr="008A7057" w:rsidTr="00B578E4">
        <w:trPr>
          <w:trHeight w:val="241"/>
          <w:jc w:val="center"/>
        </w:trPr>
        <w:tc>
          <w:tcPr>
            <w:tcW w:w="5287" w:type="dxa"/>
          </w:tcPr>
          <w:p w:rsidR="00BD13A6" w:rsidRPr="00BD13A6" w:rsidRDefault="00BD13A6" w:rsidP="00787C9A">
            <w:pPr>
              <w:keepNext/>
              <w:jc w:val="both"/>
              <w:rPr>
                <w:rFonts w:asciiTheme="minorHAnsi" w:hAnsiTheme="minorHAnsi" w:cs="Arial"/>
                <w:bCs/>
                <w:iCs/>
                <w:sz w:val="22"/>
                <w:szCs w:val="20"/>
              </w:rPr>
            </w:pPr>
            <w:r w:rsidRPr="00BD13A6">
              <w:rPr>
                <w:rFonts w:asciiTheme="minorHAnsi" w:hAnsiTheme="minorHAnsi" w:cs="Arial"/>
                <w:bCs/>
                <w:iCs/>
                <w:sz w:val="22"/>
                <w:szCs w:val="20"/>
              </w:rPr>
              <w:t>Voting closes</w:t>
            </w:r>
          </w:p>
        </w:tc>
        <w:tc>
          <w:tcPr>
            <w:tcW w:w="2259" w:type="dxa"/>
          </w:tcPr>
          <w:p w:rsidR="00BD13A6" w:rsidRPr="00BD13A6" w:rsidRDefault="00BD13A6" w:rsidP="00787C9A">
            <w:pPr>
              <w:widowControl w:val="0"/>
              <w:rPr>
                <w:rFonts w:asciiTheme="minorHAnsi" w:hAnsiTheme="minorHAnsi" w:cs="Arial"/>
                <w:bCs/>
                <w:iCs/>
                <w:sz w:val="22"/>
                <w:szCs w:val="20"/>
              </w:rPr>
            </w:pPr>
            <w:r w:rsidRPr="00BD13A6">
              <w:rPr>
                <w:rFonts w:asciiTheme="minorHAnsi" w:hAnsiTheme="minorHAnsi" w:cs="Arial"/>
                <w:bCs/>
                <w:iCs/>
                <w:sz w:val="22"/>
                <w:szCs w:val="20"/>
              </w:rPr>
              <w:t>7 August 2015</w:t>
            </w:r>
          </w:p>
        </w:tc>
      </w:tr>
      <w:tr w:rsidR="00BD13A6" w:rsidRPr="008A7057" w:rsidTr="00B578E4">
        <w:trPr>
          <w:trHeight w:val="257"/>
          <w:jc w:val="center"/>
        </w:trPr>
        <w:tc>
          <w:tcPr>
            <w:tcW w:w="5287" w:type="dxa"/>
          </w:tcPr>
          <w:p w:rsidR="00BD13A6" w:rsidRPr="00BD13A6" w:rsidRDefault="00BD13A6" w:rsidP="00787C9A">
            <w:pPr>
              <w:keepNext/>
              <w:jc w:val="both"/>
              <w:rPr>
                <w:rFonts w:asciiTheme="minorHAnsi" w:hAnsiTheme="minorHAnsi" w:cs="Arial"/>
                <w:bCs/>
                <w:iCs/>
                <w:sz w:val="22"/>
                <w:szCs w:val="20"/>
              </w:rPr>
            </w:pPr>
            <w:r w:rsidRPr="00BD13A6">
              <w:rPr>
                <w:rFonts w:asciiTheme="minorHAnsi" w:hAnsiTheme="minorHAnsi" w:cs="Arial"/>
                <w:bCs/>
                <w:iCs/>
                <w:sz w:val="22"/>
                <w:szCs w:val="20"/>
              </w:rPr>
              <w:t>Change Declaration</w:t>
            </w:r>
          </w:p>
        </w:tc>
        <w:tc>
          <w:tcPr>
            <w:tcW w:w="2259" w:type="dxa"/>
          </w:tcPr>
          <w:p w:rsidR="00BD13A6" w:rsidRPr="00BD13A6" w:rsidRDefault="00BD13A6" w:rsidP="00787C9A">
            <w:pPr>
              <w:widowControl w:val="0"/>
              <w:rPr>
                <w:rFonts w:asciiTheme="minorHAnsi" w:hAnsiTheme="minorHAnsi" w:cs="Arial"/>
                <w:bCs/>
                <w:iCs/>
                <w:sz w:val="22"/>
                <w:szCs w:val="20"/>
              </w:rPr>
            </w:pPr>
            <w:r w:rsidRPr="00BD13A6">
              <w:rPr>
                <w:rFonts w:asciiTheme="minorHAnsi" w:hAnsiTheme="minorHAnsi" w:cs="Arial"/>
                <w:bCs/>
                <w:iCs/>
                <w:sz w:val="22"/>
                <w:szCs w:val="20"/>
              </w:rPr>
              <w:t>11 August 2015</w:t>
            </w:r>
          </w:p>
        </w:tc>
      </w:tr>
      <w:tr w:rsidR="00BD13A6" w:rsidRPr="008A7057" w:rsidTr="00B578E4">
        <w:trPr>
          <w:trHeight w:val="273"/>
          <w:jc w:val="center"/>
        </w:trPr>
        <w:tc>
          <w:tcPr>
            <w:tcW w:w="5287" w:type="dxa"/>
          </w:tcPr>
          <w:p w:rsidR="00BD13A6" w:rsidRPr="00BD13A6" w:rsidRDefault="00BD13A6" w:rsidP="00787C9A">
            <w:pPr>
              <w:keepNext/>
              <w:jc w:val="both"/>
              <w:rPr>
                <w:rFonts w:asciiTheme="minorHAnsi" w:hAnsiTheme="minorHAnsi" w:cs="Arial"/>
                <w:bCs/>
                <w:iCs/>
                <w:sz w:val="22"/>
                <w:szCs w:val="20"/>
              </w:rPr>
            </w:pPr>
            <w:r w:rsidRPr="00BD13A6">
              <w:rPr>
                <w:rFonts w:asciiTheme="minorHAnsi" w:hAnsiTheme="minorHAnsi" w:cs="Arial"/>
                <w:bCs/>
                <w:iCs/>
                <w:sz w:val="22"/>
                <w:szCs w:val="20"/>
              </w:rPr>
              <w:t>Authority Decision</w:t>
            </w:r>
          </w:p>
        </w:tc>
        <w:tc>
          <w:tcPr>
            <w:tcW w:w="2259" w:type="dxa"/>
          </w:tcPr>
          <w:p w:rsidR="00BD13A6" w:rsidRPr="00BD13A6" w:rsidRDefault="00BD13A6" w:rsidP="00787C9A">
            <w:pPr>
              <w:widowControl w:val="0"/>
              <w:rPr>
                <w:rFonts w:asciiTheme="minorHAnsi" w:hAnsiTheme="minorHAnsi" w:cs="Arial"/>
                <w:bCs/>
                <w:iCs/>
                <w:sz w:val="22"/>
                <w:szCs w:val="20"/>
              </w:rPr>
            </w:pPr>
            <w:r w:rsidRPr="00BD13A6">
              <w:rPr>
                <w:rFonts w:asciiTheme="minorHAnsi" w:hAnsiTheme="minorHAnsi" w:cs="Arial"/>
                <w:bCs/>
                <w:iCs/>
                <w:sz w:val="22"/>
                <w:szCs w:val="20"/>
              </w:rPr>
              <w:t>16 September 2015</w:t>
            </w:r>
          </w:p>
        </w:tc>
      </w:tr>
      <w:tr w:rsidR="00BD13A6" w:rsidRPr="008A7057" w:rsidTr="00B578E4">
        <w:trPr>
          <w:trHeight w:val="273"/>
          <w:jc w:val="center"/>
        </w:trPr>
        <w:tc>
          <w:tcPr>
            <w:tcW w:w="5287" w:type="dxa"/>
          </w:tcPr>
          <w:p w:rsidR="00BD13A6" w:rsidRPr="00BD13A6" w:rsidRDefault="00A4313A" w:rsidP="00787C9A">
            <w:pPr>
              <w:keepNext/>
              <w:jc w:val="both"/>
              <w:rPr>
                <w:rFonts w:asciiTheme="minorHAnsi" w:hAnsiTheme="minorHAnsi" w:cs="Arial"/>
                <w:bCs/>
                <w:iCs/>
                <w:sz w:val="22"/>
                <w:szCs w:val="20"/>
              </w:rPr>
            </w:pPr>
            <w:r>
              <w:rPr>
                <w:rFonts w:asciiTheme="minorHAnsi" w:hAnsiTheme="minorHAnsi" w:cs="Arial"/>
                <w:bCs/>
                <w:iCs/>
                <w:sz w:val="22"/>
                <w:szCs w:val="20"/>
              </w:rPr>
              <w:t>DCP 228</w:t>
            </w:r>
            <w:r w:rsidR="00BD13A6" w:rsidRPr="00BD13A6">
              <w:rPr>
                <w:rFonts w:asciiTheme="minorHAnsi" w:hAnsiTheme="minorHAnsi" w:cs="Arial"/>
                <w:bCs/>
                <w:iCs/>
                <w:sz w:val="22"/>
                <w:szCs w:val="20"/>
              </w:rPr>
              <w:t xml:space="preserve"> Implemented</w:t>
            </w:r>
          </w:p>
        </w:tc>
        <w:tc>
          <w:tcPr>
            <w:tcW w:w="2259" w:type="dxa"/>
          </w:tcPr>
          <w:p w:rsidR="00BD13A6" w:rsidRPr="00BD13A6" w:rsidRDefault="00BD13A6" w:rsidP="00787C9A">
            <w:pPr>
              <w:widowControl w:val="0"/>
              <w:rPr>
                <w:rFonts w:asciiTheme="minorHAnsi" w:hAnsiTheme="minorHAnsi" w:cs="Arial"/>
                <w:bCs/>
                <w:iCs/>
                <w:sz w:val="22"/>
                <w:szCs w:val="20"/>
              </w:rPr>
            </w:pPr>
            <w:r w:rsidRPr="00BD13A6">
              <w:rPr>
                <w:rFonts w:asciiTheme="minorHAnsi" w:hAnsiTheme="minorHAnsi" w:cs="Arial"/>
                <w:bCs/>
                <w:iCs/>
                <w:sz w:val="22"/>
                <w:szCs w:val="20"/>
              </w:rPr>
              <w:t>1 April 2017</w:t>
            </w:r>
          </w:p>
        </w:tc>
      </w:tr>
    </w:tbl>
    <w:p w:rsidR="005F3A7F" w:rsidRPr="00F35F4B" w:rsidRDefault="005F3A7F" w:rsidP="00D823B3">
      <w:pPr>
        <w:pStyle w:val="Heading1"/>
        <w:numPr>
          <w:ilvl w:val="0"/>
          <w:numId w:val="1"/>
        </w:numPr>
        <w:spacing w:line="360" w:lineRule="auto"/>
        <w:jc w:val="both"/>
        <w:rPr>
          <w:rFonts w:asciiTheme="minorHAnsi" w:hAnsiTheme="minorHAnsi"/>
          <w:sz w:val="22"/>
        </w:rPr>
      </w:pPr>
      <w:r w:rsidRPr="00F35F4B">
        <w:rPr>
          <w:rFonts w:asciiTheme="minorHAnsi" w:hAnsiTheme="minorHAnsi"/>
          <w:sz w:val="22"/>
        </w:rPr>
        <w:t>NEXT STEPS</w:t>
      </w:r>
    </w:p>
    <w:p w:rsidR="005F3A7F" w:rsidRPr="00F35F4B" w:rsidRDefault="005F3A7F"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Parties are invited to consider the proposed amendment (</w:t>
      </w:r>
      <w:r w:rsidR="00AD0EFB" w:rsidRPr="00F35F4B">
        <w:rPr>
          <w:rFonts w:asciiTheme="minorHAnsi" w:hAnsiTheme="minorHAnsi" w:cs="Verdana"/>
          <w:sz w:val="22"/>
        </w:rPr>
        <w:t>Attachment 1</w:t>
      </w:r>
      <w:r w:rsidRPr="00F35F4B">
        <w:rPr>
          <w:rFonts w:asciiTheme="minorHAnsi" w:hAnsiTheme="minorHAnsi" w:cs="Verdana"/>
          <w:sz w:val="22"/>
        </w:rPr>
        <w:t>) and submit their votes u</w:t>
      </w:r>
      <w:r w:rsidR="00AD0EFB" w:rsidRPr="00F35F4B">
        <w:rPr>
          <w:rFonts w:asciiTheme="minorHAnsi" w:hAnsiTheme="minorHAnsi" w:cs="Verdana"/>
          <w:sz w:val="22"/>
        </w:rPr>
        <w:t>sing the Voting form (Attachment 2</w:t>
      </w:r>
      <w:r w:rsidRPr="00F35F4B">
        <w:rPr>
          <w:rFonts w:asciiTheme="minorHAnsi" w:hAnsiTheme="minorHAnsi" w:cs="Verdana"/>
          <w:sz w:val="22"/>
        </w:rPr>
        <w:t>) t</w:t>
      </w:r>
      <w:r w:rsidR="003B328F" w:rsidRPr="00F35F4B">
        <w:rPr>
          <w:rFonts w:asciiTheme="minorHAnsi" w:hAnsiTheme="minorHAnsi" w:cs="Verdana"/>
          <w:sz w:val="22"/>
        </w:rPr>
        <w:t xml:space="preserve">o </w:t>
      </w:r>
      <w:hyperlink r:id="rId12" w:history="1">
        <w:r w:rsidR="003B328F" w:rsidRPr="00F35F4B">
          <w:rPr>
            <w:rStyle w:val="Hyperlink"/>
            <w:rFonts w:asciiTheme="minorHAnsi" w:hAnsiTheme="minorHAnsi" w:cs="Verdana"/>
            <w:color w:val="0070C0"/>
            <w:sz w:val="22"/>
          </w:rPr>
          <w:t>DCUSA@electralink.co.uk</w:t>
        </w:r>
      </w:hyperlink>
      <w:r w:rsidR="003B328F" w:rsidRPr="00F35F4B">
        <w:rPr>
          <w:rFonts w:asciiTheme="minorHAnsi" w:hAnsiTheme="minorHAnsi" w:cs="Verdana"/>
          <w:sz w:val="22"/>
        </w:rPr>
        <w:t xml:space="preserve"> b</w:t>
      </w:r>
      <w:r w:rsidR="008C0A79" w:rsidRPr="00F35F4B">
        <w:rPr>
          <w:rFonts w:asciiTheme="minorHAnsi" w:hAnsiTheme="minorHAnsi" w:cs="Verdana"/>
          <w:sz w:val="22"/>
        </w:rPr>
        <w:t xml:space="preserve">y </w:t>
      </w:r>
      <w:r w:rsidR="00BD13A6">
        <w:rPr>
          <w:rFonts w:asciiTheme="minorHAnsi" w:hAnsiTheme="minorHAnsi"/>
          <w:b/>
          <w:sz w:val="22"/>
        </w:rPr>
        <w:t>7 August 2015</w:t>
      </w:r>
      <w:r w:rsidR="00F35F4B" w:rsidRPr="00F35F4B">
        <w:rPr>
          <w:rFonts w:asciiTheme="minorHAnsi" w:hAnsiTheme="minorHAnsi"/>
          <w:b/>
          <w:sz w:val="22"/>
        </w:rPr>
        <w:t>.</w:t>
      </w:r>
    </w:p>
    <w:p w:rsidR="005F3A7F" w:rsidRPr="00F35F4B" w:rsidRDefault="005F3A7F" w:rsidP="00D823B3">
      <w:pPr>
        <w:pStyle w:val="Heading2"/>
        <w:widowControl w:val="0"/>
        <w:numPr>
          <w:ilvl w:val="1"/>
          <w:numId w:val="1"/>
        </w:numPr>
        <w:spacing w:line="360" w:lineRule="auto"/>
        <w:ind w:left="567" w:hanging="567"/>
        <w:jc w:val="both"/>
        <w:rPr>
          <w:rFonts w:asciiTheme="minorHAnsi" w:hAnsiTheme="minorHAnsi" w:cs="Verdana"/>
          <w:sz w:val="22"/>
        </w:rPr>
      </w:pPr>
      <w:r w:rsidRPr="00F35F4B">
        <w:rPr>
          <w:rFonts w:asciiTheme="minorHAnsi" w:hAnsiTheme="minorHAnsi" w:cs="Verdana"/>
          <w:sz w:val="22"/>
        </w:rPr>
        <w:t>If you have any questions about this paper or the DCUSA Change Process please contact the DCUSA by email</w:t>
      </w:r>
      <w:r w:rsidR="00AD0EFB" w:rsidRPr="00F35F4B">
        <w:rPr>
          <w:rFonts w:asciiTheme="minorHAnsi" w:hAnsiTheme="minorHAnsi" w:cs="Verdana"/>
          <w:sz w:val="22"/>
        </w:rPr>
        <w:t xml:space="preserve"> </w:t>
      </w:r>
      <w:hyperlink r:id="rId13" w:history="1">
        <w:r w:rsidR="003B328F" w:rsidRPr="00F35F4B">
          <w:rPr>
            <w:rStyle w:val="Hyperlink"/>
            <w:rFonts w:asciiTheme="minorHAnsi" w:hAnsiTheme="minorHAnsi" w:cs="Verdana"/>
            <w:color w:val="0070C0"/>
            <w:sz w:val="22"/>
          </w:rPr>
          <w:t>DCUSA@electralink.co.uk</w:t>
        </w:r>
      </w:hyperlink>
      <w:r w:rsidR="003B328F" w:rsidRPr="00F35F4B">
        <w:rPr>
          <w:rFonts w:asciiTheme="minorHAnsi" w:hAnsiTheme="minorHAnsi" w:cs="Verdana"/>
          <w:sz w:val="22"/>
        </w:rPr>
        <w:t xml:space="preserve">  </w:t>
      </w:r>
      <w:r w:rsidRPr="00F35F4B">
        <w:rPr>
          <w:rFonts w:asciiTheme="minorHAnsi" w:hAnsiTheme="minorHAnsi" w:cs="Verdana"/>
          <w:sz w:val="22"/>
        </w:rPr>
        <w:t>to or telephone 020 7432 2842.</w:t>
      </w:r>
    </w:p>
    <w:p w:rsidR="00565E77" w:rsidRPr="00650A24" w:rsidRDefault="008E6E48" w:rsidP="00D823B3">
      <w:pPr>
        <w:pStyle w:val="Heading1"/>
        <w:tabs>
          <w:tab w:val="clear" w:pos="432"/>
        </w:tabs>
        <w:spacing w:line="360" w:lineRule="auto"/>
        <w:jc w:val="both"/>
        <w:rPr>
          <w:rFonts w:asciiTheme="minorHAnsi" w:hAnsiTheme="minorHAnsi"/>
          <w:sz w:val="22"/>
        </w:rPr>
      </w:pPr>
      <w:bookmarkStart w:id="1" w:name="_GoBack"/>
      <w:r w:rsidRPr="00650A24">
        <w:rPr>
          <w:rFonts w:asciiTheme="minorHAnsi" w:hAnsiTheme="minorHAnsi"/>
          <w:sz w:val="22"/>
        </w:rPr>
        <w:t>ATTACHMENTS</w:t>
      </w:r>
      <w:r w:rsidR="00565E77" w:rsidRPr="00650A24">
        <w:rPr>
          <w:rFonts w:asciiTheme="minorHAnsi" w:hAnsiTheme="minorHAnsi"/>
          <w:sz w:val="22"/>
        </w:rPr>
        <w:t xml:space="preserve">: </w:t>
      </w:r>
    </w:p>
    <w:p w:rsidR="003A6558" w:rsidRPr="00650A24" w:rsidRDefault="00D84133"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 xml:space="preserve">Attachment 1 </w:t>
      </w:r>
      <w:r w:rsidR="00750392" w:rsidRPr="00650A24">
        <w:rPr>
          <w:rFonts w:asciiTheme="minorHAnsi" w:hAnsiTheme="minorHAnsi"/>
          <w:b w:val="0"/>
          <w:sz w:val="22"/>
        </w:rPr>
        <w:t>–</w:t>
      </w:r>
      <w:r w:rsidRPr="00650A24">
        <w:rPr>
          <w:rFonts w:asciiTheme="minorHAnsi" w:hAnsiTheme="minorHAnsi"/>
          <w:b w:val="0"/>
          <w:sz w:val="22"/>
        </w:rPr>
        <w:t xml:space="preserve"> </w:t>
      </w:r>
      <w:r w:rsidR="00E62C5B" w:rsidRPr="00650A24">
        <w:rPr>
          <w:rFonts w:asciiTheme="minorHAnsi" w:hAnsiTheme="minorHAnsi"/>
          <w:b w:val="0"/>
          <w:sz w:val="22"/>
        </w:rPr>
        <w:t xml:space="preserve">DCP 228 </w:t>
      </w:r>
      <w:r w:rsidR="00750392" w:rsidRPr="00650A24">
        <w:rPr>
          <w:rFonts w:asciiTheme="minorHAnsi" w:hAnsiTheme="minorHAnsi"/>
          <w:b w:val="0"/>
          <w:sz w:val="22"/>
        </w:rPr>
        <w:t>Legal Text</w:t>
      </w:r>
    </w:p>
    <w:p w:rsidR="004F320D" w:rsidRPr="00650A24" w:rsidRDefault="00D84133"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 xml:space="preserve">Attachment 2 – </w:t>
      </w:r>
      <w:r w:rsidR="00750392" w:rsidRPr="00650A24">
        <w:rPr>
          <w:rFonts w:asciiTheme="minorHAnsi" w:hAnsiTheme="minorHAnsi"/>
          <w:b w:val="0"/>
          <w:sz w:val="22"/>
        </w:rPr>
        <w:t>Voting Form</w:t>
      </w:r>
    </w:p>
    <w:p w:rsidR="00750392" w:rsidRPr="00650A24" w:rsidRDefault="004F320D"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 xml:space="preserve">Attachment 3 – </w:t>
      </w:r>
      <w:r w:rsidR="00A4313A" w:rsidRPr="00650A24">
        <w:rPr>
          <w:rFonts w:asciiTheme="minorHAnsi" w:hAnsiTheme="minorHAnsi"/>
          <w:b w:val="0"/>
          <w:sz w:val="22"/>
        </w:rPr>
        <w:t>DCP 228 CP Form</w:t>
      </w:r>
    </w:p>
    <w:p w:rsidR="00BE28D5" w:rsidRPr="00650A24" w:rsidRDefault="00992EB7"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Attachment 4 –</w:t>
      </w:r>
      <w:r w:rsidR="00E62C5B" w:rsidRPr="00650A24">
        <w:rPr>
          <w:rFonts w:asciiTheme="minorHAnsi" w:hAnsiTheme="minorHAnsi"/>
          <w:b w:val="0"/>
          <w:sz w:val="22"/>
        </w:rPr>
        <w:t xml:space="preserve"> </w:t>
      </w:r>
      <w:r w:rsidR="00A4313A" w:rsidRPr="00650A24">
        <w:rPr>
          <w:rFonts w:asciiTheme="minorHAnsi" w:hAnsiTheme="minorHAnsi"/>
          <w:b w:val="0"/>
          <w:sz w:val="22"/>
        </w:rPr>
        <w:t>DCP 123 Authority Decision and Change Report</w:t>
      </w:r>
    </w:p>
    <w:p w:rsidR="00191924" w:rsidRPr="00650A24" w:rsidRDefault="00CC4706"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Attachment 5</w:t>
      </w:r>
      <w:r w:rsidR="00BE28D5" w:rsidRPr="00650A24">
        <w:rPr>
          <w:rFonts w:asciiTheme="minorHAnsi" w:hAnsiTheme="minorHAnsi"/>
          <w:b w:val="0"/>
          <w:sz w:val="22"/>
        </w:rPr>
        <w:t xml:space="preserve"> – </w:t>
      </w:r>
      <w:r w:rsidR="00A4313A" w:rsidRPr="00650A24">
        <w:rPr>
          <w:rFonts w:asciiTheme="minorHAnsi" w:hAnsiTheme="minorHAnsi"/>
          <w:b w:val="0"/>
          <w:sz w:val="22"/>
        </w:rPr>
        <w:t xml:space="preserve">Example Spreadsheet </w:t>
      </w:r>
    </w:p>
    <w:p w:rsidR="00E62C5B" w:rsidRPr="00650A24" w:rsidRDefault="0073629A"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Attachment 6 –</w:t>
      </w:r>
      <w:r w:rsidR="00A4313A" w:rsidRPr="00650A24">
        <w:rPr>
          <w:rFonts w:asciiTheme="minorHAnsi" w:hAnsiTheme="minorHAnsi"/>
          <w:b w:val="0"/>
          <w:sz w:val="22"/>
        </w:rPr>
        <w:t xml:space="preserve"> Floor Price Analysis </w:t>
      </w:r>
    </w:p>
    <w:p w:rsidR="0073629A" w:rsidRPr="00650A24" w:rsidRDefault="0073629A" w:rsidP="00D823B3">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 xml:space="preserve">Attachment 7 – </w:t>
      </w:r>
      <w:r w:rsidR="00A4313A" w:rsidRPr="00650A24">
        <w:rPr>
          <w:rFonts w:asciiTheme="minorHAnsi" w:hAnsiTheme="minorHAnsi"/>
          <w:b w:val="0"/>
          <w:sz w:val="22"/>
        </w:rPr>
        <w:t>DCP 228 Updated CDCM Model</w:t>
      </w:r>
    </w:p>
    <w:p w:rsidR="00A4313A" w:rsidRPr="00650A24" w:rsidRDefault="00A4313A" w:rsidP="00A4313A">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 xml:space="preserve">Attachment 8 – DCP 228 Impact Assessment </w:t>
      </w:r>
    </w:p>
    <w:p w:rsidR="00A4313A" w:rsidRPr="00650A24" w:rsidRDefault="00A4313A" w:rsidP="00A4313A">
      <w:pPr>
        <w:pStyle w:val="Heading1"/>
        <w:numPr>
          <w:ilvl w:val="0"/>
          <w:numId w:val="3"/>
        </w:numPr>
        <w:spacing w:before="0" w:after="120"/>
        <w:ind w:left="714" w:hanging="357"/>
        <w:jc w:val="both"/>
        <w:rPr>
          <w:rFonts w:asciiTheme="minorHAnsi" w:hAnsiTheme="minorHAnsi"/>
          <w:b w:val="0"/>
          <w:sz w:val="22"/>
        </w:rPr>
      </w:pPr>
      <w:r w:rsidRPr="00650A24">
        <w:rPr>
          <w:rFonts w:asciiTheme="minorHAnsi" w:hAnsiTheme="minorHAnsi"/>
          <w:b w:val="0"/>
          <w:sz w:val="22"/>
        </w:rPr>
        <w:t xml:space="preserve">Attachment 9 </w:t>
      </w:r>
      <w:proofErr w:type="gramStart"/>
      <w:r w:rsidR="00BD407C" w:rsidRPr="00650A24">
        <w:rPr>
          <w:rFonts w:asciiTheme="minorHAnsi" w:hAnsiTheme="minorHAnsi"/>
          <w:b w:val="0"/>
          <w:sz w:val="22"/>
        </w:rPr>
        <w:t xml:space="preserve">– </w:t>
      </w:r>
      <w:r w:rsidRPr="00650A24">
        <w:rPr>
          <w:rFonts w:asciiTheme="minorHAnsi" w:hAnsiTheme="minorHAnsi"/>
          <w:b w:val="0"/>
          <w:sz w:val="22"/>
        </w:rPr>
        <w:t xml:space="preserve"> </w:t>
      </w:r>
      <w:r w:rsidRPr="00650A24">
        <w:rPr>
          <w:rFonts w:asciiTheme="minorHAnsi" w:hAnsiTheme="minorHAnsi"/>
          <w:b w:val="0"/>
          <w:sz w:val="22"/>
        </w:rPr>
        <w:t>DCP</w:t>
      </w:r>
      <w:proofErr w:type="gramEnd"/>
      <w:r w:rsidRPr="00650A24">
        <w:rPr>
          <w:rFonts w:asciiTheme="minorHAnsi" w:hAnsiTheme="minorHAnsi"/>
          <w:b w:val="0"/>
          <w:sz w:val="22"/>
        </w:rPr>
        <w:t xml:space="preserve"> 228 Consultation Documents</w:t>
      </w:r>
    </w:p>
    <w:bookmarkEnd w:id="1"/>
    <w:p w:rsidR="00A4313A" w:rsidRPr="00A4313A" w:rsidRDefault="00A4313A" w:rsidP="00A4313A">
      <w:pPr>
        <w:pStyle w:val="Heading1"/>
        <w:tabs>
          <w:tab w:val="clear" w:pos="432"/>
        </w:tabs>
        <w:spacing w:before="0" w:after="120"/>
        <w:ind w:left="714" w:firstLine="0"/>
        <w:jc w:val="both"/>
        <w:rPr>
          <w:rFonts w:asciiTheme="minorHAnsi" w:hAnsiTheme="minorHAnsi"/>
          <w:b w:val="0"/>
          <w:color w:val="FF0000"/>
          <w:sz w:val="22"/>
        </w:rPr>
      </w:pPr>
    </w:p>
    <w:p w:rsidR="0073629A" w:rsidRPr="008A7057" w:rsidRDefault="0073629A" w:rsidP="00DB0177">
      <w:pPr>
        <w:jc w:val="both"/>
        <w:rPr>
          <w:color w:val="FF0000"/>
        </w:rPr>
      </w:pPr>
    </w:p>
    <w:p w:rsidR="00565E77" w:rsidRPr="008A7057" w:rsidRDefault="00565E77" w:rsidP="00DB0177">
      <w:pPr>
        <w:keepNext/>
        <w:jc w:val="both"/>
        <w:rPr>
          <w:rFonts w:asciiTheme="minorHAnsi" w:hAnsiTheme="minorHAnsi" w:cs="Arial"/>
          <w:color w:val="FF0000"/>
          <w:sz w:val="22"/>
          <w:szCs w:val="20"/>
        </w:rPr>
      </w:pPr>
    </w:p>
    <w:sectPr w:rsidR="00565E77" w:rsidRPr="008A7057" w:rsidSect="00C022DA">
      <w:headerReference w:type="default" r:id="rId14"/>
      <w:footerReference w:type="default" r:id="rId15"/>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z" w:date="2015-05-28T12:15:00Z" w:initials="RT">
    <w:p w:rsidR="00EE3A5B" w:rsidRDefault="00EE3A5B">
      <w:pPr>
        <w:pStyle w:val="CommentText"/>
      </w:pPr>
      <w:r>
        <w:rPr>
          <w:rStyle w:val="CommentReference"/>
        </w:rPr>
        <w:annotationRef/>
      </w:r>
      <w:r>
        <w:t>Do we need to add additional working group comments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89" w:rsidRDefault="006D3789">
      <w:r>
        <w:separator/>
      </w:r>
    </w:p>
  </w:endnote>
  <w:endnote w:type="continuationSeparator" w:id="0">
    <w:p w:rsidR="006D3789" w:rsidRDefault="006D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89" w:rsidRPr="004C7511" w:rsidRDefault="004C7F5A">
    <w:pPr>
      <w:pStyle w:val="Footer"/>
      <w:rPr>
        <w:rFonts w:asciiTheme="minorHAnsi" w:hAnsiTheme="minorHAnsi"/>
        <w:sz w:val="16"/>
        <w:szCs w:val="16"/>
      </w:rPr>
    </w:pPr>
    <w:r>
      <w:rPr>
        <w:rFonts w:asciiTheme="minorHAnsi" w:hAnsiTheme="minorHAnsi"/>
        <w:sz w:val="16"/>
        <w:szCs w:val="16"/>
      </w:rPr>
      <w:t>17 July 2015</w:t>
    </w:r>
    <w:r w:rsidR="006D3789" w:rsidRPr="004C7511">
      <w:rPr>
        <w:rFonts w:asciiTheme="minorHAnsi" w:hAnsiTheme="minorHAnsi"/>
        <w:sz w:val="16"/>
        <w:szCs w:val="16"/>
      </w:rPr>
      <w:tab/>
      <w:t xml:space="preserve">Page </w:t>
    </w:r>
    <w:r w:rsidR="006D3789" w:rsidRPr="004C7511">
      <w:rPr>
        <w:rFonts w:asciiTheme="minorHAnsi" w:hAnsiTheme="minorHAnsi"/>
        <w:sz w:val="16"/>
        <w:szCs w:val="16"/>
      </w:rPr>
      <w:fldChar w:fldCharType="begin"/>
    </w:r>
    <w:r w:rsidR="006D3789" w:rsidRPr="004C7511">
      <w:rPr>
        <w:rFonts w:asciiTheme="minorHAnsi" w:hAnsiTheme="minorHAnsi"/>
        <w:sz w:val="16"/>
        <w:szCs w:val="16"/>
      </w:rPr>
      <w:instrText xml:space="preserve"> PAGE </w:instrText>
    </w:r>
    <w:r w:rsidR="006D3789" w:rsidRPr="004C7511">
      <w:rPr>
        <w:rFonts w:asciiTheme="minorHAnsi" w:hAnsiTheme="minorHAnsi"/>
        <w:sz w:val="16"/>
        <w:szCs w:val="16"/>
      </w:rPr>
      <w:fldChar w:fldCharType="separate"/>
    </w:r>
    <w:r w:rsidR="00650A24">
      <w:rPr>
        <w:rFonts w:asciiTheme="minorHAnsi" w:hAnsiTheme="minorHAnsi"/>
        <w:noProof/>
        <w:sz w:val="16"/>
        <w:szCs w:val="16"/>
      </w:rPr>
      <w:t>13</w:t>
    </w:r>
    <w:r w:rsidR="006D3789" w:rsidRPr="004C7511">
      <w:rPr>
        <w:rFonts w:asciiTheme="minorHAnsi" w:hAnsiTheme="minorHAnsi"/>
        <w:sz w:val="16"/>
        <w:szCs w:val="16"/>
      </w:rPr>
      <w:fldChar w:fldCharType="end"/>
    </w:r>
    <w:r w:rsidR="006D3789" w:rsidRPr="004C7511">
      <w:rPr>
        <w:rFonts w:asciiTheme="minorHAnsi" w:hAnsiTheme="minorHAnsi"/>
        <w:sz w:val="16"/>
        <w:szCs w:val="16"/>
      </w:rPr>
      <w:t xml:space="preserve"> of </w:t>
    </w:r>
    <w:r w:rsidR="006D3789" w:rsidRPr="004C7511">
      <w:rPr>
        <w:rFonts w:asciiTheme="minorHAnsi" w:hAnsiTheme="minorHAnsi"/>
        <w:sz w:val="16"/>
        <w:szCs w:val="16"/>
      </w:rPr>
      <w:fldChar w:fldCharType="begin"/>
    </w:r>
    <w:r w:rsidR="006D3789" w:rsidRPr="004C7511">
      <w:rPr>
        <w:rFonts w:asciiTheme="minorHAnsi" w:hAnsiTheme="minorHAnsi"/>
        <w:sz w:val="16"/>
        <w:szCs w:val="16"/>
      </w:rPr>
      <w:instrText xml:space="preserve"> NUMPAGES </w:instrText>
    </w:r>
    <w:r w:rsidR="006D3789" w:rsidRPr="004C7511">
      <w:rPr>
        <w:rFonts w:asciiTheme="minorHAnsi" w:hAnsiTheme="minorHAnsi"/>
        <w:sz w:val="16"/>
        <w:szCs w:val="16"/>
      </w:rPr>
      <w:fldChar w:fldCharType="separate"/>
    </w:r>
    <w:r w:rsidR="00650A24">
      <w:rPr>
        <w:rFonts w:asciiTheme="minorHAnsi" w:hAnsiTheme="minorHAnsi"/>
        <w:noProof/>
        <w:sz w:val="16"/>
        <w:szCs w:val="16"/>
      </w:rPr>
      <w:t>13</w:t>
    </w:r>
    <w:r w:rsidR="006D3789" w:rsidRPr="004C7511">
      <w:rPr>
        <w:rFonts w:asciiTheme="minorHAnsi" w:hAnsiTheme="minorHAnsi"/>
        <w:sz w:val="16"/>
        <w:szCs w:val="16"/>
      </w:rPr>
      <w:fldChar w:fldCharType="end"/>
    </w:r>
    <w:r w:rsidR="006D3789" w:rsidRPr="004C7511">
      <w:rPr>
        <w:rFonts w:asciiTheme="minorHAnsi" w:hAnsiTheme="minorHAnsi"/>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89" w:rsidRDefault="006D3789">
      <w:r>
        <w:separator/>
      </w:r>
    </w:p>
  </w:footnote>
  <w:footnote w:type="continuationSeparator" w:id="0">
    <w:p w:rsidR="006D3789" w:rsidRDefault="006D3789">
      <w:r>
        <w:continuationSeparator/>
      </w:r>
    </w:p>
  </w:footnote>
  <w:footnote w:id="1">
    <w:p w:rsidR="00DB1296" w:rsidRPr="00DB1296" w:rsidRDefault="00DB1296">
      <w:pPr>
        <w:pStyle w:val="FootnoteText"/>
        <w:rPr>
          <w:rFonts w:asciiTheme="minorHAnsi" w:hAnsiTheme="minorHAnsi"/>
        </w:rPr>
      </w:pPr>
      <w:r w:rsidRPr="00DB1296">
        <w:rPr>
          <w:rStyle w:val="FootnoteReference"/>
          <w:rFonts w:asciiTheme="minorHAnsi" w:hAnsiTheme="minorHAnsi"/>
          <w:sz w:val="18"/>
        </w:rPr>
        <w:footnoteRef/>
      </w:r>
      <w:r w:rsidRPr="00DB1296">
        <w:rPr>
          <w:rFonts w:asciiTheme="minorHAnsi" w:hAnsiTheme="minorHAnsi"/>
          <w:sz w:val="18"/>
        </w:rPr>
        <w:t xml:space="preserve"> DCP 178 - Notification Period for Change to use of System Charges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89" w:rsidRPr="003D26C2" w:rsidRDefault="006D3789">
    <w:pPr>
      <w:pStyle w:val="Header"/>
      <w:rPr>
        <w:rFonts w:ascii="Verdana" w:hAnsi="Verdana"/>
        <w:sz w:val="16"/>
        <w:szCs w:val="16"/>
      </w:rPr>
    </w:pPr>
    <w:r>
      <w:rPr>
        <w:rFonts w:ascii="Verdana" w:hAnsi="Verdana"/>
        <w:sz w:val="16"/>
        <w:szCs w:val="16"/>
      </w:rPr>
      <w:t>DCP 228</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2F5"/>
    <w:multiLevelType w:val="multilevel"/>
    <w:tmpl w:val="237820E4"/>
    <w:lvl w:ilvl="0">
      <w:start w:val="1"/>
      <w:numFmt w:val="bullet"/>
      <w:lvlText w:val=""/>
      <w:lvlJc w:val="left"/>
      <w:pPr>
        <w:tabs>
          <w:tab w:val="num" w:pos="864"/>
        </w:tabs>
        <w:ind w:left="864" w:hanging="432"/>
      </w:pPr>
      <w:rPr>
        <w:rFonts w:ascii="Symbol" w:hAnsi="Symbol" w:hint="default"/>
        <w:b/>
        <w:sz w:val="20"/>
        <w:szCs w:val="20"/>
      </w:rPr>
    </w:lvl>
    <w:lvl w:ilvl="1">
      <w:start w:val="1"/>
      <w:numFmt w:val="decimal"/>
      <w:lvlText w:val="%1.%2"/>
      <w:lvlJc w:val="left"/>
      <w:pPr>
        <w:tabs>
          <w:tab w:val="num" w:pos="1008"/>
        </w:tabs>
        <w:ind w:left="1008"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152"/>
        </w:tabs>
        <w:ind w:left="1152" w:hanging="720"/>
      </w:pPr>
      <w:rPr>
        <w:rFonts w:ascii="Symbol" w:hAnsi="Symbol" w:hint="default"/>
      </w:rPr>
    </w:lvl>
    <w:lvl w:ilvl="3">
      <w:start w:val="1"/>
      <w:numFmt w:val="decimal"/>
      <w:lvlText w:val="%1.%2.%3.%4"/>
      <w:lvlJc w:val="left"/>
      <w:pPr>
        <w:tabs>
          <w:tab w:val="num" w:pos="1296"/>
        </w:tabs>
        <w:ind w:left="1296" w:hanging="864"/>
      </w:pPr>
      <w:rPr>
        <w:rFonts w:cs="Times New Roman"/>
      </w:rPr>
    </w:lvl>
    <w:lvl w:ilvl="4">
      <w:start w:val="1"/>
      <w:numFmt w:val="decimal"/>
      <w:lvlText w:val="%1.%2.%3.%4.%5"/>
      <w:lvlJc w:val="left"/>
      <w:pPr>
        <w:tabs>
          <w:tab w:val="num" w:pos="1440"/>
        </w:tabs>
        <w:ind w:left="1440" w:hanging="1008"/>
      </w:pPr>
      <w:rPr>
        <w:rFonts w:cs="Times New Roman"/>
      </w:rPr>
    </w:lvl>
    <w:lvl w:ilvl="5">
      <w:start w:val="1"/>
      <w:numFmt w:val="decimal"/>
      <w:lvlText w:val="%1.%2.%3.%4.%5.%6"/>
      <w:lvlJc w:val="left"/>
      <w:pPr>
        <w:tabs>
          <w:tab w:val="num" w:pos="1584"/>
        </w:tabs>
        <w:ind w:left="1584" w:hanging="1152"/>
      </w:pPr>
      <w:rPr>
        <w:rFonts w:cs="Times New Roman"/>
      </w:rPr>
    </w:lvl>
    <w:lvl w:ilvl="6">
      <w:start w:val="1"/>
      <w:numFmt w:val="decimal"/>
      <w:lvlText w:val="%1.%2.%3.%4.%5.%6.%7"/>
      <w:lvlJc w:val="left"/>
      <w:pPr>
        <w:tabs>
          <w:tab w:val="num" w:pos="1728"/>
        </w:tabs>
        <w:ind w:left="1728" w:hanging="1296"/>
      </w:pPr>
      <w:rPr>
        <w:rFonts w:cs="Times New Roman"/>
      </w:rPr>
    </w:lvl>
    <w:lvl w:ilvl="7">
      <w:start w:val="1"/>
      <w:numFmt w:val="decimal"/>
      <w:lvlText w:val="%1.%2.%3.%4.%5.%6.%7.%8"/>
      <w:lvlJc w:val="left"/>
      <w:pPr>
        <w:tabs>
          <w:tab w:val="num" w:pos="1872"/>
        </w:tabs>
        <w:ind w:left="1872" w:hanging="1440"/>
      </w:pPr>
      <w:rPr>
        <w:rFonts w:cs="Times New Roman"/>
      </w:rPr>
    </w:lvl>
    <w:lvl w:ilvl="8">
      <w:start w:val="1"/>
      <w:numFmt w:val="decimal"/>
      <w:lvlText w:val="%1.%2.%3.%4.%5.%6.%7.%8.%9"/>
      <w:lvlJc w:val="left"/>
      <w:pPr>
        <w:tabs>
          <w:tab w:val="num" w:pos="2016"/>
        </w:tabs>
        <w:ind w:left="2016" w:hanging="1584"/>
      </w:pPr>
      <w:rPr>
        <w:rFonts w:cs="Times New Roman"/>
      </w:rPr>
    </w:lvl>
  </w:abstractNum>
  <w:abstractNum w:abstractNumId="1">
    <w:nsid w:val="1045596D"/>
    <w:multiLevelType w:val="hybridMultilevel"/>
    <w:tmpl w:val="F362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nsid w:val="1A3A6C4B"/>
    <w:multiLevelType w:val="hybridMultilevel"/>
    <w:tmpl w:val="8228C1BE"/>
    <w:lvl w:ilvl="0" w:tplc="0809000F">
      <w:start w:val="1"/>
      <w:numFmt w:val="decimal"/>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
    <w:nsid w:val="2317519D"/>
    <w:multiLevelType w:val="hybridMultilevel"/>
    <w:tmpl w:val="7A822F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8686084"/>
    <w:multiLevelType w:val="hybridMultilevel"/>
    <w:tmpl w:val="E616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CB560F5"/>
    <w:multiLevelType w:val="hybridMultilevel"/>
    <w:tmpl w:val="DF5679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F2A17D5"/>
    <w:multiLevelType w:val="hybridMultilevel"/>
    <w:tmpl w:val="191A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B94BC8"/>
    <w:multiLevelType w:val="hybridMultilevel"/>
    <w:tmpl w:val="DDFA74E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7B97BF7"/>
    <w:multiLevelType w:val="multilevel"/>
    <w:tmpl w:val="F9D85DFE"/>
    <w:lvl w:ilvl="0">
      <w:start w:val="1"/>
      <w:numFmt w:val="bullet"/>
      <w:lvlText w:val="o"/>
      <w:lvlJc w:val="left"/>
      <w:pPr>
        <w:tabs>
          <w:tab w:val="num" w:pos="1296"/>
        </w:tabs>
        <w:ind w:left="1296" w:hanging="432"/>
      </w:pPr>
      <w:rPr>
        <w:rFonts w:ascii="Courier New" w:hAnsi="Courier New" w:hint="default"/>
        <w:b/>
        <w:sz w:val="20"/>
        <w:szCs w:val="20"/>
      </w:rPr>
    </w:lvl>
    <w:lvl w:ilvl="1">
      <w:start w:val="1"/>
      <w:numFmt w:val="decimal"/>
      <w:lvlText w:val="%1.%2"/>
      <w:lvlJc w:val="left"/>
      <w:pPr>
        <w:tabs>
          <w:tab w:val="num" w:pos="1440"/>
        </w:tabs>
        <w:ind w:left="1440"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584"/>
        </w:tabs>
        <w:ind w:left="1584" w:hanging="720"/>
      </w:pPr>
      <w:rPr>
        <w:rFonts w:ascii="Symbol" w:hAnsi="Symbol" w:hint="default"/>
      </w:rPr>
    </w:lvl>
    <w:lvl w:ilvl="3">
      <w:start w:val="1"/>
      <w:numFmt w:val="decimal"/>
      <w:lvlText w:val="%1.%2.%3.%4"/>
      <w:lvlJc w:val="left"/>
      <w:pPr>
        <w:tabs>
          <w:tab w:val="num" w:pos="1728"/>
        </w:tabs>
        <w:ind w:left="1728" w:hanging="864"/>
      </w:pPr>
      <w:rPr>
        <w:rFonts w:cs="Times New Roman"/>
      </w:rPr>
    </w:lvl>
    <w:lvl w:ilvl="4">
      <w:start w:val="1"/>
      <w:numFmt w:val="decimal"/>
      <w:lvlText w:val="%1.%2.%3.%4.%5"/>
      <w:lvlJc w:val="left"/>
      <w:pPr>
        <w:tabs>
          <w:tab w:val="num" w:pos="1872"/>
        </w:tabs>
        <w:ind w:left="1872" w:hanging="1008"/>
      </w:pPr>
      <w:rPr>
        <w:rFonts w:cs="Times New Roman"/>
      </w:rPr>
    </w:lvl>
    <w:lvl w:ilvl="5">
      <w:start w:val="1"/>
      <w:numFmt w:val="decimal"/>
      <w:lvlText w:val="%1.%2.%3.%4.%5.%6"/>
      <w:lvlJc w:val="left"/>
      <w:pPr>
        <w:tabs>
          <w:tab w:val="num" w:pos="2016"/>
        </w:tabs>
        <w:ind w:left="2016" w:hanging="1152"/>
      </w:pPr>
      <w:rPr>
        <w:rFonts w:cs="Times New Roman"/>
      </w:rPr>
    </w:lvl>
    <w:lvl w:ilvl="6">
      <w:start w:val="1"/>
      <w:numFmt w:val="decimal"/>
      <w:lvlText w:val="%1.%2.%3.%4.%5.%6.%7"/>
      <w:lvlJc w:val="left"/>
      <w:pPr>
        <w:tabs>
          <w:tab w:val="num" w:pos="2160"/>
        </w:tabs>
        <w:ind w:left="2160" w:hanging="1296"/>
      </w:pPr>
      <w:rPr>
        <w:rFonts w:cs="Times New Roman"/>
      </w:rPr>
    </w:lvl>
    <w:lvl w:ilvl="7">
      <w:start w:val="1"/>
      <w:numFmt w:val="decimal"/>
      <w:lvlText w:val="%1.%2.%3.%4.%5.%6.%7.%8"/>
      <w:lvlJc w:val="left"/>
      <w:pPr>
        <w:tabs>
          <w:tab w:val="num" w:pos="2304"/>
        </w:tabs>
        <w:ind w:left="2304" w:hanging="1440"/>
      </w:pPr>
      <w:rPr>
        <w:rFonts w:cs="Times New Roman"/>
      </w:rPr>
    </w:lvl>
    <w:lvl w:ilvl="8">
      <w:start w:val="1"/>
      <w:numFmt w:val="decimal"/>
      <w:lvlText w:val="%1.%2.%3.%4.%5.%6.%7.%8.%9"/>
      <w:lvlJc w:val="left"/>
      <w:pPr>
        <w:tabs>
          <w:tab w:val="num" w:pos="2448"/>
        </w:tabs>
        <w:ind w:left="2448" w:hanging="1584"/>
      </w:pPr>
      <w:rPr>
        <w:rFonts w:cs="Times New Roman"/>
      </w:rPr>
    </w:lvl>
  </w:abstractNum>
  <w:abstractNum w:abstractNumId="10">
    <w:nsid w:val="39815413"/>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3BD10702"/>
    <w:multiLevelType w:val="hybridMultilevel"/>
    <w:tmpl w:val="1D186E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3D5F1E84"/>
    <w:multiLevelType w:val="hybridMultilevel"/>
    <w:tmpl w:val="ED6041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7333AC0"/>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A167648"/>
    <w:multiLevelType w:val="hybridMultilevel"/>
    <w:tmpl w:val="F032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423650"/>
    <w:multiLevelType w:val="hybridMultilevel"/>
    <w:tmpl w:val="9B62A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D25606"/>
    <w:multiLevelType w:val="hybridMultilevel"/>
    <w:tmpl w:val="E4063F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5B3B2025"/>
    <w:multiLevelType w:val="hybridMultilevel"/>
    <w:tmpl w:val="D09A570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EF53406"/>
    <w:multiLevelType w:val="hybridMultilevel"/>
    <w:tmpl w:val="FB18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21">
    <w:nsid w:val="6E520E5B"/>
    <w:multiLevelType w:val="hybridMultilevel"/>
    <w:tmpl w:val="F7AE7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7B0D7AC8"/>
    <w:multiLevelType w:val="hybridMultilevel"/>
    <w:tmpl w:val="4A72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EC0ADA"/>
    <w:multiLevelType w:val="multilevel"/>
    <w:tmpl w:val="F11EA806"/>
    <w:lvl w:ilvl="0">
      <w:start w:val="1"/>
      <w:numFmt w:val="decimal"/>
      <w:lvlText w:val="%1"/>
      <w:lvlJc w:val="left"/>
      <w:pPr>
        <w:tabs>
          <w:tab w:val="num" w:pos="432"/>
        </w:tabs>
        <w:ind w:left="432" w:hanging="432"/>
      </w:pPr>
      <w:rPr>
        <w:rFonts w:cs="Times New Roman"/>
        <w:b/>
        <w:sz w:val="22"/>
        <w:szCs w:val="20"/>
      </w:rPr>
    </w:lvl>
    <w:lvl w:ilvl="1">
      <w:start w:val="1"/>
      <w:numFmt w:val="bullet"/>
      <w:lvlText w:val=""/>
      <w:lvlJc w:val="left"/>
      <w:pPr>
        <w:tabs>
          <w:tab w:val="num" w:pos="860"/>
        </w:tabs>
        <w:ind w:left="860"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3"/>
  </w:num>
  <w:num w:numId="2">
    <w:abstractNumId w:val="20"/>
  </w:num>
  <w:num w:numId="3">
    <w:abstractNumId w:val="16"/>
  </w:num>
  <w:num w:numId="4">
    <w:abstractNumId w:val="2"/>
  </w:num>
  <w:num w:numId="5">
    <w:abstractNumId w:val="0"/>
  </w:num>
  <w:num w:numId="6">
    <w:abstractNumId w:val="17"/>
  </w:num>
  <w:num w:numId="7">
    <w:abstractNumId w:val="2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23"/>
  </w:num>
  <w:num w:numId="12">
    <w:abstractNumId w:val="6"/>
  </w:num>
  <w:num w:numId="13">
    <w:abstractNumId w:val="4"/>
  </w:num>
  <w:num w:numId="14">
    <w:abstractNumId w:val="14"/>
  </w:num>
  <w:num w:numId="15">
    <w:abstractNumId w:val="19"/>
  </w:num>
  <w:num w:numId="16">
    <w:abstractNumId w:val="15"/>
  </w:num>
  <w:num w:numId="17">
    <w:abstractNumId w:val="11"/>
  </w:num>
  <w:num w:numId="18">
    <w:abstractNumId w:val="5"/>
  </w:num>
  <w:num w:numId="19">
    <w:abstractNumId w:val="22"/>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3"/>
  </w:num>
  <w:num w:numId="24">
    <w:abstractNumId w:val="2"/>
  </w:num>
  <w:num w:numId="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468"/>
    <w:rsid w:val="0000122A"/>
    <w:rsid w:val="0000162B"/>
    <w:rsid w:val="0000238B"/>
    <w:rsid w:val="00002D4B"/>
    <w:rsid w:val="00003806"/>
    <w:rsid w:val="00003860"/>
    <w:rsid w:val="00003993"/>
    <w:rsid w:val="00003D34"/>
    <w:rsid w:val="0000421C"/>
    <w:rsid w:val="000046FB"/>
    <w:rsid w:val="000047FE"/>
    <w:rsid w:val="00005BE9"/>
    <w:rsid w:val="00005D4A"/>
    <w:rsid w:val="0000606B"/>
    <w:rsid w:val="00006113"/>
    <w:rsid w:val="00006E06"/>
    <w:rsid w:val="00007CB0"/>
    <w:rsid w:val="0001050A"/>
    <w:rsid w:val="00010A51"/>
    <w:rsid w:val="000114A5"/>
    <w:rsid w:val="00011DDD"/>
    <w:rsid w:val="00012876"/>
    <w:rsid w:val="00012C8A"/>
    <w:rsid w:val="000143C6"/>
    <w:rsid w:val="0001483C"/>
    <w:rsid w:val="000148EA"/>
    <w:rsid w:val="00014A9C"/>
    <w:rsid w:val="00015290"/>
    <w:rsid w:val="00015B3D"/>
    <w:rsid w:val="00015E2C"/>
    <w:rsid w:val="00016487"/>
    <w:rsid w:val="00016A2E"/>
    <w:rsid w:val="00016E5C"/>
    <w:rsid w:val="00016ECB"/>
    <w:rsid w:val="00017221"/>
    <w:rsid w:val="0001741B"/>
    <w:rsid w:val="0002057D"/>
    <w:rsid w:val="00021E03"/>
    <w:rsid w:val="000226BD"/>
    <w:rsid w:val="0002377A"/>
    <w:rsid w:val="00023F6F"/>
    <w:rsid w:val="000244AC"/>
    <w:rsid w:val="0002553E"/>
    <w:rsid w:val="00025B24"/>
    <w:rsid w:val="00026010"/>
    <w:rsid w:val="000262FC"/>
    <w:rsid w:val="000265B9"/>
    <w:rsid w:val="00026D5C"/>
    <w:rsid w:val="00030067"/>
    <w:rsid w:val="000307B6"/>
    <w:rsid w:val="00030B15"/>
    <w:rsid w:val="00030B42"/>
    <w:rsid w:val="00030C70"/>
    <w:rsid w:val="00031899"/>
    <w:rsid w:val="00032072"/>
    <w:rsid w:val="000325CB"/>
    <w:rsid w:val="00032705"/>
    <w:rsid w:val="00033531"/>
    <w:rsid w:val="00033919"/>
    <w:rsid w:val="00033AB7"/>
    <w:rsid w:val="00033C8C"/>
    <w:rsid w:val="0003441E"/>
    <w:rsid w:val="00034F41"/>
    <w:rsid w:val="000352F9"/>
    <w:rsid w:val="00035797"/>
    <w:rsid w:val="00035A07"/>
    <w:rsid w:val="0003615B"/>
    <w:rsid w:val="00036C75"/>
    <w:rsid w:val="00037720"/>
    <w:rsid w:val="0003774D"/>
    <w:rsid w:val="00037A9F"/>
    <w:rsid w:val="000402DF"/>
    <w:rsid w:val="000420A7"/>
    <w:rsid w:val="0004212D"/>
    <w:rsid w:val="000431D2"/>
    <w:rsid w:val="00043256"/>
    <w:rsid w:val="00043457"/>
    <w:rsid w:val="000434ED"/>
    <w:rsid w:val="000441D7"/>
    <w:rsid w:val="00044FB5"/>
    <w:rsid w:val="000452CD"/>
    <w:rsid w:val="000458B8"/>
    <w:rsid w:val="00045F1C"/>
    <w:rsid w:val="000463C4"/>
    <w:rsid w:val="0004654A"/>
    <w:rsid w:val="0004692D"/>
    <w:rsid w:val="00046E5E"/>
    <w:rsid w:val="00046E76"/>
    <w:rsid w:val="00047A50"/>
    <w:rsid w:val="00047BF5"/>
    <w:rsid w:val="00047D76"/>
    <w:rsid w:val="00050019"/>
    <w:rsid w:val="000512B2"/>
    <w:rsid w:val="00051A62"/>
    <w:rsid w:val="00051BF9"/>
    <w:rsid w:val="00051C9B"/>
    <w:rsid w:val="00052422"/>
    <w:rsid w:val="00052461"/>
    <w:rsid w:val="00052ABA"/>
    <w:rsid w:val="00052B0F"/>
    <w:rsid w:val="00052FE1"/>
    <w:rsid w:val="0005493D"/>
    <w:rsid w:val="000551E2"/>
    <w:rsid w:val="00055A21"/>
    <w:rsid w:val="00057986"/>
    <w:rsid w:val="00057AA3"/>
    <w:rsid w:val="00057E72"/>
    <w:rsid w:val="00060D57"/>
    <w:rsid w:val="00060D89"/>
    <w:rsid w:val="00061C0B"/>
    <w:rsid w:val="00062E05"/>
    <w:rsid w:val="000631AB"/>
    <w:rsid w:val="00063FD6"/>
    <w:rsid w:val="00064070"/>
    <w:rsid w:val="00064654"/>
    <w:rsid w:val="000649C1"/>
    <w:rsid w:val="0006542F"/>
    <w:rsid w:val="00065571"/>
    <w:rsid w:val="00066BED"/>
    <w:rsid w:val="0006721C"/>
    <w:rsid w:val="00067791"/>
    <w:rsid w:val="00067E59"/>
    <w:rsid w:val="00070763"/>
    <w:rsid w:val="00072CAE"/>
    <w:rsid w:val="000731C1"/>
    <w:rsid w:val="000747F8"/>
    <w:rsid w:val="00074D6B"/>
    <w:rsid w:val="00075B03"/>
    <w:rsid w:val="000760B6"/>
    <w:rsid w:val="000766C9"/>
    <w:rsid w:val="0007679C"/>
    <w:rsid w:val="000769B2"/>
    <w:rsid w:val="00077325"/>
    <w:rsid w:val="00077503"/>
    <w:rsid w:val="00077657"/>
    <w:rsid w:val="000812F2"/>
    <w:rsid w:val="00082C0B"/>
    <w:rsid w:val="00082E31"/>
    <w:rsid w:val="00085602"/>
    <w:rsid w:val="00085643"/>
    <w:rsid w:val="00086A4D"/>
    <w:rsid w:val="00087A3B"/>
    <w:rsid w:val="00087BB7"/>
    <w:rsid w:val="0009030B"/>
    <w:rsid w:val="00090753"/>
    <w:rsid w:val="00090CD7"/>
    <w:rsid w:val="00090F88"/>
    <w:rsid w:val="00090FE5"/>
    <w:rsid w:val="00091A6E"/>
    <w:rsid w:val="00092BAC"/>
    <w:rsid w:val="00092C25"/>
    <w:rsid w:val="00092D69"/>
    <w:rsid w:val="000931CB"/>
    <w:rsid w:val="0009364B"/>
    <w:rsid w:val="00094523"/>
    <w:rsid w:val="000946A4"/>
    <w:rsid w:val="0009498F"/>
    <w:rsid w:val="00095734"/>
    <w:rsid w:val="00095A2E"/>
    <w:rsid w:val="00095B4D"/>
    <w:rsid w:val="00095E4B"/>
    <w:rsid w:val="00096059"/>
    <w:rsid w:val="0009656E"/>
    <w:rsid w:val="00096987"/>
    <w:rsid w:val="00097318"/>
    <w:rsid w:val="000977DC"/>
    <w:rsid w:val="00097B32"/>
    <w:rsid w:val="000A3FC6"/>
    <w:rsid w:val="000A424F"/>
    <w:rsid w:val="000A42A3"/>
    <w:rsid w:val="000A4465"/>
    <w:rsid w:val="000A4858"/>
    <w:rsid w:val="000A4A4A"/>
    <w:rsid w:val="000A4A50"/>
    <w:rsid w:val="000A4DA6"/>
    <w:rsid w:val="000A50A2"/>
    <w:rsid w:val="000A5340"/>
    <w:rsid w:val="000A6209"/>
    <w:rsid w:val="000A63A9"/>
    <w:rsid w:val="000A6CD4"/>
    <w:rsid w:val="000A6E0D"/>
    <w:rsid w:val="000A72ED"/>
    <w:rsid w:val="000A763A"/>
    <w:rsid w:val="000B1307"/>
    <w:rsid w:val="000B14C0"/>
    <w:rsid w:val="000B1872"/>
    <w:rsid w:val="000B1ED1"/>
    <w:rsid w:val="000B215E"/>
    <w:rsid w:val="000B2BEC"/>
    <w:rsid w:val="000B3029"/>
    <w:rsid w:val="000B3041"/>
    <w:rsid w:val="000B33FC"/>
    <w:rsid w:val="000B36F0"/>
    <w:rsid w:val="000B55A7"/>
    <w:rsid w:val="000B5EC7"/>
    <w:rsid w:val="000B62C2"/>
    <w:rsid w:val="000B6478"/>
    <w:rsid w:val="000B6964"/>
    <w:rsid w:val="000B704D"/>
    <w:rsid w:val="000C0176"/>
    <w:rsid w:val="000C0457"/>
    <w:rsid w:val="000C0CB2"/>
    <w:rsid w:val="000C0E4F"/>
    <w:rsid w:val="000C1A46"/>
    <w:rsid w:val="000C1F3F"/>
    <w:rsid w:val="000C29F8"/>
    <w:rsid w:val="000C2D55"/>
    <w:rsid w:val="000C4A56"/>
    <w:rsid w:val="000C57C6"/>
    <w:rsid w:val="000C617B"/>
    <w:rsid w:val="000C64A7"/>
    <w:rsid w:val="000C7616"/>
    <w:rsid w:val="000C777D"/>
    <w:rsid w:val="000C7891"/>
    <w:rsid w:val="000C7DE7"/>
    <w:rsid w:val="000C7E72"/>
    <w:rsid w:val="000D07B0"/>
    <w:rsid w:val="000D0BC0"/>
    <w:rsid w:val="000D1051"/>
    <w:rsid w:val="000D259C"/>
    <w:rsid w:val="000D2F06"/>
    <w:rsid w:val="000D4BC3"/>
    <w:rsid w:val="000D4F84"/>
    <w:rsid w:val="000D6007"/>
    <w:rsid w:val="000D7016"/>
    <w:rsid w:val="000D7259"/>
    <w:rsid w:val="000E02A1"/>
    <w:rsid w:val="000E04CC"/>
    <w:rsid w:val="000E1065"/>
    <w:rsid w:val="000E1164"/>
    <w:rsid w:val="000E16C4"/>
    <w:rsid w:val="000E1AB1"/>
    <w:rsid w:val="000E1ED0"/>
    <w:rsid w:val="000E2169"/>
    <w:rsid w:val="000E2296"/>
    <w:rsid w:val="000E4441"/>
    <w:rsid w:val="000E4820"/>
    <w:rsid w:val="000E4A5D"/>
    <w:rsid w:val="000E6017"/>
    <w:rsid w:val="000E6582"/>
    <w:rsid w:val="000E6AD1"/>
    <w:rsid w:val="000E6FEF"/>
    <w:rsid w:val="000F02CD"/>
    <w:rsid w:val="000F0403"/>
    <w:rsid w:val="000F0707"/>
    <w:rsid w:val="000F0B0F"/>
    <w:rsid w:val="000F3C38"/>
    <w:rsid w:val="000F3F2F"/>
    <w:rsid w:val="000F460E"/>
    <w:rsid w:val="000F465A"/>
    <w:rsid w:val="000F4B61"/>
    <w:rsid w:val="000F51C9"/>
    <w:rsid w:val="000F53C0"/>
    <w:rsid w:val="000F55E5"/>
    <w:rsid w:val="000F59A3"/>
    <w:rsid w:val="000F6265"/>
    <w:rsid w:val="000F6908"/>
    <w:rsid w:val="000F6DB8"/>
    <w:rsid w:val="000F71B5"/>
    <w:rsid w:val="000F754D"/>
    <w:rsid w:val="000F77BE"/>
    <w:rsid w:val="000F7959"/>
    <w:rsid w:val="00100649"/>
    <w:rsid w:val="0010083B"/>
    <w:rsid w:val="00100E0C"/>
    <w:rsid w:val="00101045"/>
    <w:rsid w:val="00101785"/>
    <w:rsid w:val="00101B07"/>
    <w:rsid w:val="001035BE"/>
    <w:rsid w:val="0010370C"/>
    <w:rsid w:val="0010440D"/>
    <w:rsid w:val="00104819"/>
    <w:rsid w:val="0010544B"/>
    <w:rsid w:val="00105C9F"/>
    <w:rsid w:val="00106555"/>
    <w:rsid w:val="00106663"/>
    <w:rsid w:val="00106A4D"/>
    <w:rsid w:val="00107348"/>
    <w:rsid w:val="0010745E"/>
    <w:rsid w:val="0011015C"/>
    <w:rsid w:val="001108D5"/>
    <w:rsid w:val="00111E00"/>
    <w:rsid w:val="001121E7"/>
    <w:rsid w:val="001122EE"/>
    <w:rsid w:val="00112BBF"/>
    <w:rsid w:val="0011309C"/>
    <w:rsid w:val="00113AD6"/>
    <w:rsid w:val="00114173"/>
    <w:rsid w:val="001142DE"/>
    <w:rsid w:val="001142E1"/>
    <w:rsid w:val="00114315"/>
    <w:rsid w:val="00114748"/>
    <w:rsid w:val="00114C87"/>
    <w:rsid w:val="00114EDD"/>
    <w:rsid w:val="00115BFB"/>
    <w:rsid w:val="00116CDB"/>
    <w:rsid w:val="001173C3"/>
    <w:rsid w:val="00117A7D"/>
    <w:rsid w:val="00120408"/>
    <w:rsid w:val="00120B60"/>
    <w:rsid w:val="00120DB4"/>
    <w:rsid w:val="00121111"/>
    <w:rsid w:val="00121582"/>
    <w:rsid w:val="00122AF7"/>
    <w:rsid w:val="00123116"/>
    <w:rsid w:val="00123AB8"/>
    <w:rsid w:val="00124759"/>
    <w:rsid w:val="00124EA6"/>
    <w:rsid w:val="00125169"/>
    <w:rsid w:val="00126360"/>
    <w:rsid w:val="001278AC"/>
    <w:rsid w:val="001279D3"/>
    <w:rsid w:val="001302D8"/>
    <w:rsid w:val="001309DF"/>
    <w:rsid w:val="0013159C"/>
    <w:rsid w:val="0013198C"/>
    <w:rsid w:val="00131A84"/>
    <w:rsid w:val="00131E64"/>
    <w:rsid w:val="00133025"/>
    <w:rsid w:val="001331A5"/>
    <w:rsid w:val="00133647"/>
    <w:rsid w:val="00134722"/>
    <w:rsid w:val="00134963"/>
    <w:rsid w:val="00134FE5"/>
    <w:rsid w:val="00135FA8"/>
    <w:rsid w:val="00136720"/>
    <w:rsid w:val="001369D8"/>
    <w:rsid w:val="0014025D"/>
    <w:rsid w:val="00141499"/>
    <w:rsid w:val="0014182E"/>
    <w:rsid w:val="00141DF7"/>
    <w:rsid w:val="0014227F"/>
    <w:rsid w:val="00142C8B"/>
    <w:rsid w:val="00143794"/>
    <w:rsid w:val="001448C0"/>
    <w:rsid w:val="001459A1"/>
    <w:rsid w:val="001472AD"/>
    <w:rsid w:val="00147F3E"/>
    <w:rsid w:val="00150B07"/>
    <w:rsid w:val="00153D42"/>
    <w:rsid w:val="001540BB"/>
    <w:rsid w:val="00155490"/>
    <w:rsid w:val="001562F2"/>
    <w:rsid w:val="0015687E"/>
    <w:rsid w:val="00156BA5"/>
    <w:rsid w:val="00157950"/>
    <w:rsid w:val="001603A6"/>
    <w:rsid w:val="00160541"/>
    <w:rsid w:val="00160CD8"/>
    <w:rsid w:val="00161BF5"/>
    <w:rsid w:val="00162540"/>
    <w:rsid w:val="00162573"/>
    <w:rsid w:val="001628BB"/>
    <w:rsid w:val="00162E4C"/>
    <w:rsid w:val="00163904"/>
    <w:rsid w:val="0016469C"/>
    <w:rsid w:val="00164C8A"/>
    <w:rsid w:val="00165484"/>
    <w:rsid w:val="00165C23"/>
    <w:rsid w:val="00165D44"/>
    <w:rsid w:val="00165EDE"/>
    <w:rsid w:val="00167B25"/>
    <w:rsid w:val="0017029F"/>
    <w:rsid w:val="001708D9"/>
    <w:rsid w:val="00170EFA"/>
    <w:rsid w:val="00170F5B"/>
    <w:rsid w:val="0017122A"/>
    <w:rsid w:val="0017193F"/>
    <w:rsid w:val="00171DB4"/>
    <w:rsid w:val="00172748"/>
    <w:rsid w:val="00172754"/>
    <w:rsid w:val="00172957"/>
    <w:rsid w:val="00172CAB"/>
    <w:rsid w:val="00173BA7"/>
    <w:rsid w:val="00174757"/>
    <w:rsid w:val="00174E49"/>
    <w:rsid w:val="00175C50"/>
    <w:rsid w:val="00176273"/>
    <w:rsid w:val="00177C08"/>
    <w:rsid w:val="00180BDD"/>
    <w:rsid w:val="00181353"/>
    <w:rsid w:val="00181BCC"/>
    <w:rsid w:val="00181E5E"/>
    <w:rsid w:val="001827DC"/>
    <w:rsid w:val="00184030"/>
    <w:rsid w:val="00185503"/>
    <w:rsid w:val="001863B0"/>
    <w:rsid w:val="00186A02"/>
    <w:rsid w:val="0019026A"/>
    <w:rsid w:val="001904D5"/>
    <w:rsid w:val="00190AE8"/>
    <w:rsid w:val="00190F09"/>
    <w:rsid w:val="0019127B"/>
    <w:rsid w:val="00191709"/>
    <w:rsid w:val="001918F0"/>
    <w:rsid w:val="00191924"/>
    <w:rsid w:val="001924CB"/>
    <w:rsid w:val="001926F2"/>
    <w:rsid w:val="00192A90"/>
    <w:rsid w:val="00193B67"/>
    <w:rsid w:val="00193E26"/>
    <w:rsid w:val="001941BA"/>
    <w:rsid w:val="00194AEE"/>
    <w:rsid w:val="00194FD3"/>
    <w:rsid w:val="001954D2"/>
    <w:rsid w:val="001955F8"/>
    <w:rsid w:val="00196031"/>
    <w:rsid w:val="0019619B"/>
    <w:rsid w:val="0019721F"/>
    <w:rsid w:val="00197661"/>
    <w:rsid w:val="0019772B"/>
    <w:rsid w:val="001A0132"/>
    <w:rsid w:val="001A052C"/>
    <w:rsid w:val="001A0764"/>
    <w:rsid w:val="001A1377"/>
    <w:rsid w:val="001A140F"/>
    <w:rsid w:val="001A1C00"/>
    <w:rsid w:val="001A1DC1"/>
    <w:rsid w:val="001A271E"/>
    <w:rsid w:val="001A4116"/>
    <w:rsid w:val="001A43AF"/>
    <w:rsid w:val="001A4582"/>
    <w:rsid w:val="001A4C25"/>
    <w:rsid w:val="001A4C57"/>
    <w:rsid w:val="001A6F0B"/>
    <w:rsid w:val="001A72E3"/>
    <w:rsid w:val="001A7E29"/>
    <w:rsid w:val="001B0466"/>
    <w:rsid w:val="001B0469"/>
    <w:rsid w:val="001B1008"/>
    <w:rsid w:val="001B19B9"/>
    <w:rsid w:val="001B1CBC"/>
    <w:rsid w:val="001B1ECA"/>
    <w:rsid w:val="001B2C55"/>
    <w:rsid w:val="001B2EA4"/>
    <w:rsid w:val="001B37C9"/>
    <w:rsid w:val="001B3FEC"/>
    <w:rsid w:val="001B4B8B"/>
    <w:rsid w:val="001B4ECB"/>
    <w:rsid w:val="001B55AA"/>
    <w:rsid w:val="001B5C80"/>
    <w:rsid w:val="001B6D00"/>
    <w:rsid w:val="001B6E10"/>
    <w:rsid w:val="001B7067"/>
    <w:rsid w:val="001B7665"/>
    <w:rsid w:val="001B7821"/>
    <w:rsid w:val="001C0A3F"/>
    <w:rsid w:val="001C0A82"/>
    <w:rsid w:val="001C0E4B"/>
    <w:rsid w:val="001C2C0D"/>
    <w:rsid w:val="001C3280"/>
    <w:rsid w:val="001C39C7"/>
    <w:rsid w:val="001C4093"/>
    <w:rsid w:val="001C454E"/>
    <w:rsid w:val="001C48F1"/>
    <w:rsid w:val="001C5F46"/>
    <w:rsid w:val="001C76E9"/>
    <w:rsid w:val="001C7F91"/>
    <w:rsid w:val="001D07F2"/>
    <w:rsid w:val="001D0FFF"/>
    <w:rsid w:val="001D152B"/>
    <w:rsid w:val="001D1E76"/>
    <w:rsid w:val="001D2398"/>
    <w:rsid w:val="001D2D17"/>
    <w:rsid w:val="001D3974"/>
    <w:rsid w:val="001D5A22"/>
    <w:rsid w:val="001D5A4A"/>
    <w:rsid w:val="001D5E74"/>
    <w:rsid w:val="001D673D"/>
    <w:rsid w:val="001D7BAA"/>
    <w:rsid w:val="001D7EBD"/>
    <w:rsid w:val="001E00CF"/>
    <w:rsid w:val="001E0513"/>
    <w:rsid w:val="001E08C3"/>
    <w:rsid w:val="001E09D9"/>
    <w:rsid w:val="001E0A86"/>
    <w:rsid w:val="001E0B25"/>
    <w:rsid w:val="001E0C9E"/>
    <w:rsid w:val="001E1850"/>
    <w:rsid w:val="001E2CF5"/>
    <w:rsid w:val="001E32C5"/>
    <w:rsid w:val="001E33D7"/>
    <w:rsid w:val="001E3E0A"/>
    <w:rsid w:val="001E409D"/>
    <w:rsid w:val="001E47D4"/>
    <w:rsid w:val="001E5BC6"/>
    <w:rsid w:val="001E5C3B"/>
    <w:rsid w:val="001E65F0"/>
    <w:rsid w:val="001E71F8"/>
    <w:rsid w:val="001F0714"/>
    <w:rsid w:val="001F0C6B"/>
    <w:rsid w:val="001F231D"/>
    <w:rsid w:val="001F2C92"/>
    <w:rsid w:val="001F2E1C"/>
    <w:rsid w:val="001F59FD"/>
    <w:rsid w:val="001F5CCE"/>
    <w:rsid w:val="001F6C24"/>
    <w:rsid w:val="001F70A0"/>
    <w:rsid w:val="001F73B3"/>
    <w:rsid w:val="002000C3"/>
    <w:rsid w:val="00200109"/>
    <w:rsid w:val="002004A1"/>
    <w:rsid w:val="00200EA2"/>
    <w:rsid w:val="00201097"/>
    <w:rsid w:val="0020120A"/>
    <w:rsid w:val="002012FA"/>
    <w:rsid w:val="00201780"/>
    <w:rsid w:val="00201C22"/>
    <w:rsid w:val="00201EEF"/>
    <w:rsid w:val="002029C1"/>
    <w:rsid w:val="00203AA2"/>
    <w:rsid w:val="00203B27"/>
    <w:rsid w:val="00204AA8"/>
    <w:rsid w:val="00205218"/>
    <w:rsid w:val="00205B6A"/>
    <w:rsid w:val="00205CEA"/>
    <w:rsid w:val="00205EB8"/>
    <w:rsid w:val="00205F4A"/>
    <w:rsid w:val="00206480"/>
    <w:rsid w:val="00206EF4"/>
    <w:rsid w:val="00207E04"/>
    <w:rsid w:val="00207F0A"/>
    <w:rsid w:val="00211441"/>
    <w:rsid w:val="002122FE"/>
    <w:rsid w:val="00212800"/>
    <w:rsid w:val="00212986"/>
    <w:rsid w:val="0021306F"/>
    <w:rsid w:val="00213F81"/>
    <w:rsid w:val="00214286"/>
    <w:rsid w:val="002146DD"/>
    <w:rsid w:val="00214CB7"/>
    <w:rsid w:val="002157DB"/>
    <w:rsid w:val="0021586E"/>
    <w:rsid w:val="00217257"/>
    <w:rsid w:val="00220B18"/>
    <w:rsid w:val="002214FB"/>
    <w:rsid w:val="002216D2"/>
    <w:rsid w:val="00221C0A"/>
    <w:rsid w:val="00221EC8"/>
    <w:rsid w:val="0022255B"/>
    <w:rsid w:val="0022274C"/>
    <w:rsid w:val="00222753"/>
    <w:rsid w:val="002227A2"/>
    <w:rsid w:val="00222C7E"/>
    <w:rsid w:val="00222F77"/>
    <w:rsid w:val="002242B8"/>
    <w:rsid w:val="00224BF1"/>
    <w:rsid w:val="00224C39"/>
    <w:rsid w:val="00225BED"/>
    <w:rsid w:val="00225D05"/>
    <w:rsid w:val="0022732D"/>
    <w:rsid w:val="00230FE6"/>
    <w:rsid w:val="00231216"/>
    <w:rsid w:val="00231774"/>
    <w:rsid w:val="002320C1"/>
    <w:rsid w:val="00233483"/>
    <w:rsid w:val="002336C4"/>
    <w:rsid w:val="00233CE4"/>
    <w:rsid w:val="00233F99"/>
    <w:rsid w:val="00233FAB"/>
    <w:rsid w:val="00234A47"/>
    <w:rsid w:val="00234AD0"/>
    <w:rsid w:val="002360B0"/>
    <w:rsid w:val="002366AD"/>
    <w:rsid w:val="00236F6A"/>
    <w:rsid w:val="00237994"/>
    <w:rsid w:val="00237D90"/>
    <w:rsid w:val="00237F0F"/>
    <w:rsid w:val="00241261"/>
    <w:rsid w:val="00242092"/>
    <w:rsid w:val="0024340C"/>
    <w:rsid w:val="002437E5"/>
    <w:rsid w:val="002451F3"/>
    <w:rsid w:val="0024591A"/>
    <w:rsid w:val="00245B30"/>
    <w:rsid w:val="002467AF"/>
    <w:rsid w:val="00246E33"/>
    <w:rsid w:val="002475AB"/>
    <w:rsid w:val="0025044C"/>
    <w:rsid w:val="0025055B"/>
    <w:rsid w:val="0025074F"/>
    <w:rsid w:val="00250BEA"/>
    <w:rsid w:val="0025139E"/>
    <w:rsid w:val="00251E61"/>
    <w:rsid w:val="00251F90"/>
    <w:rsid w:val="00253BE8"/>
    <w:rsid w:val="0025418D"/>
    <w:rsid w:val="002545ED"/>
    <w:rsid w:val="0025467E"/>
    <w:rsid w:val="002547A1"/>
    <w:rsid w:val="00255709"/>
    <w:rsid w:val="00255899"/>
    <w:rsid w:val="00255F07"/>
    <w:rsid w:val="0025600F"/>
    <w:rsid w:val="002562FD"/>
    <w:rsid w:val="0025659D"/>
    <w:rsid w:val="00256BC2"/>
    <w:rsid w:val="00260839"/>
    <w:rsid w:val="002631E5"/>
    <w:rsid w:val="002632E0"/>
    <w:rsid w:val="002633A7"/>
    <w:rsid w:val="0026515D"/>
    <w:rsid w:val="00265565"/>
    <w:rsid w:val="002670A8"/>
    <w:rsid w:val="00267A54"/>
    <w:rsid w:val="00270591"/>
    <w:rsid w:val="00270631"/>
    <w:rsid w:val="0027142C"/>
    <w:rsid w:val="0027167B"/>
    <w:rsid w:val="0027199C"/>
    <w:rsid w:val="00272AE0"/>
    <w:rsid w:val="00273145"/>
    <w:rsid w:val="0027402C"/>
    <w:rsid w:val="0027414A"/>
    <w:rsid w:val="002742E2"/>
    <w:rsid w:val="00274377"/>
    <w:rsid w:val="00274467"/>
    <w:rsid w:val="0027466B"/>
    <w:rsid w:val="00274F52"/>
    <w:rsid w:val="00275138"/>
    <w:rsid w:val="00275327"/>
    <w:rsid w:val="002759DD"/>
    <w:rsid w:val="00277210"/>
    <w:rsid w:val="00280D19"/>
    <w:rsid w:val="0028145C"/>
    <w:rsid w:val="002825DB"/>
    <w:rsid w:val="00282C00"/>
    <w:rsid w:val="00283BD7"/>
    <w:rsid w:val="002843BE"/>
    <w:rsid w:val="00285648"/>
    <w:rsid w:val="0028581C"/>
    <w:rsid w:val="00285FB5"/>
    <w:rsid w:val="002861FD"/>
    <w:rsid w:val="00286AE9"/>
    <w:rsid w:val="00287652"/>
    <w:rsid w:val="002913EE"/>
    <w:rsid w:val="0029156C"/>
    <w:rsid w:val="00291DAE"/>
    <w:rsid w:val="00292ADF"/>
    <w:rsid w:val="0029319D"/>
    <w:rsid w:val="00293E64"/>
    <w:rsid w:val="00294099"/>
    <w:rsid w:val="00294FA5"/>
    <w:rsid w:val="00295416"/>
    <w:rsid w:val="0029559B"/>
    <w:rsid w:val="002957AB"/>
    <w:rsid w:val="00295B64"/>
    <w:rsid w:val="00295CC9"/>
    <w:rsid w:val="00295D1E"/>
    <w:rsid w:val="0029715F"/>
    <w:rsid w:val="00297F8C"/>
    <w:rsid w:val="002A0C92"/>
    <w:rsid w:val="002A13AC"/>
    <w:rsid w:val="002A1F8E"/>
    <w:rsid w:val="002A2C61"/>
    <w:rsid w:val="002A3E17"/>
    <w:rsid w:val="002A6A57"/>
    <w:rsid w:val="002A6C4A"/>
    <w:rsid w:val="002B045C"/>
    <w:rsid w:val="002B0A1D"/>
    <w:rsid w:val="002B0A3C"/>
    <w:rsid w:val="002B19E1"/>
    <w:rsid w:val="002B2278"/>
    <w:rsid w:val="002B22C1"/>
    <w:rsid w:val="002B32FA"/>
    <w:rsid w:val="002B4297"/>
    <w:rsid w:val="002B4656"/>
    <w:rsid w:val="002B492D"/>
    <w:rsid w:val="002B4B4F"/>
    <w:rsid w:val="002B4D25"/>
    <w:rsid w:val="002B4F83"/>
    <w:rsid w:val="002B54EE"/>
    <w:rsid w:val="002B586B"/>
    <w:rsid w:val="002B63B8"/>
    <w:rsid w:val="002B6961"/>
    <w:rsid w:val="002B6F09"/>
    <w:rsid w:val="002B7DC2"/>
    <w:rsid w:val="002C134C"/>
    <w:rsid w:val="002C21AA"/>
    <w:rsid w:val="002C2F6D"/>
    <w:rsid w:val="002C3728"/>
    <w:rsid w:val="002C38F5"/>
    <w:rsid w:val="002C3CD0"/>
    <w:rsid w:val="002C4154"/>
    <w:rsid w:val="002C4241"/>
    <w:rsid w:val="002C47E3"/>
    <w:rsid w:val="002C4976"/>
    <w:rsid w:val="002C58FD"/>
    <w:rsid w:val="002C5A18"/>
    <w:rsid w:val="002C5E92"/>
    <w:rsid w:val="002C63FB"/>
    <w:rsid w:val="002C65C2"/>
    <w:rsid w:val="002C65D3"/>
    <w:rsid w:val="002C691B"/>
    <w:rsid w:val="002C6CA3"/>
    <w:rsid w:val="002C708E"/>
    <w:rsid w:val="002C7341"/>
    <w:rsid w:val="002C7EB1"/>
    <w:rsid w:val="002D0A4E"/>
    <w:rsid w:val="002D0D4E"/>
    <w:rsid w:val="002D1597"/>
    <w:rsid w:val="002D171A"/>
    <w:rsid w:val="002D184C"/>
    <w:rsid w:val="002D206B"/>
    <w:rsid w:val="002D20FA"/>
    <w:rsid w:val="002D2644"/>
    <w:rsid w:val="002D2BBA"/>
    <w:rsid w:val="002D2D69"/>
    <w:rsid w:val="002D2DFA"/>
    <w:rsid w:val="002D2FFA"/>
    <w:rsid w:val="002D38FE"/>
    <w:rsid w:val="002D3EFB"/>
    <w:rsid w:val="002D40DE"/>
    <w:rsid w:val="002D45B3"/>
    <w:rsid w:val="002D4C04"/>
    <w:rsid w:val="002D500D"/>
    <w:rsid w:val="002D6123"/>
    <w:rsid w:val="002D6299"/>
    <w:rsid w:val="002D63AB"/>
    <w:rsid w:val="002E053C"/>
    <w:rsid w:val="002E1A32"/>
    <w:rsid w:val="002E20C1"/>
    <w:rsid w:val="002E2C99"/>
    <w:rsid w:val="002E2F2A"/>
    <w:rsid w:val="002E35EF"/>
    <w:rsid w:val="002E38A8"/>
    <w:rsid w:val="002E3D31"/>
    <w:rsid w:val="002E4D30"/>
    <w:rsid w:val="002E5EC3"/>
    <w:rsid w:val="002E620F"/>
    <w:rsid w:val="002F08A7"/>
    <w:rsid w:val="002F08FD"/>
    <w:rsid w:val="002F13C7"/>
    <w:rsid w:val="002F1843"/>
    <w:rsid w:val="002F1A25"/>
    <w:rsid w:val="002F1CA9"/>
    <w:rsid w:val="002F201D"/>
    <w:rsid w:val="002F2408"/>
    <w:rsid w:val="002F2CF7"/>
    <w:rsid w:val="002F30E6"/>
    <w:rsid w:val="002F3710"/>
    <w:rsid w:val="002F4263"/>
    <w:rsid w:val="002F4756"/>
    <w:rsid w:val="002F4FD9"/>
    <w:rsid w:val="002F5310"/>
    <w:rsid w:val="002F6F17"/>
    <w:rsid w:val="002F709C"/>
    <w:rsid w:val="002F70E1"/>
    <w:rsid w:val="002F7164"/>
    <w:rsid w:val="002F7677"/>
    <w:rsid w:val="002F78B1"/>
    <w:rsid w:val="002F7A52"/>
    <w:rsid w:val="003003FF"/>
    <w:rsid w:val="003012A0"/>
    <w:rsid w:val="0030146F"/>
    <w:rsid w:val="00301795"/>
    <w:rsid w:val="00301904"/>
    <w:rsid w:val="00301958"/>
    <w:rsid w:val="00301D83"/>
    <w:rsid w:val="00301E40"/>
    <w:rsid w:val="003020C5"/>
    <w:rsid w:val="00302D84"/>
    <w:rsid w:val="003030D7"/>
    <w:rsid w:val="00303889"/>
    <w:rsid w:val="00303918"/>
    <w:rsid w:val="00303A63"/>
    <w:rsid w:val="00304E99"/>
    <w:rsid w:val="00305283"/>
    <w:rsid w:val="00305417"/>
    <w:rsid w:val="003058A9"/>
    <w:rsid w:val="00305D45"/>
    <w:rsid w:val="003064B8"/>
    <w:rsid w:val="003078BC"/>
    <w:rsid w:val="00307DBD"/>
    <w:rsid w:val="003102D5"/>
    <w:rsid w:val="0031055F"/>
    <w:rsid w:val="003118E9"/>
    <w:rsid w:val="00311C53"/>
    <w:rsid w:val="00312123"/>
    <w:rsid w:val="00312226"/>
    <w:rsid w:val="003131CE"/>
    <w:rsid w:val="00313B2C"/>
    <w:rsid w:val="003140D7"/>
    <w:rsid w:val="00314101"/>
    <w:rsid w:val="003141CB"/>
    <w:rsid w:val="003156C2"/>
    <w:rsid w:val="00315725"/>
    <w:rsid w:val="00316C1B"/>
    <w:rsid w:val="00316F55"/>
    <w:rsid w:val="00317079"/>
    <w:rsid w:val="00317E91"/>
    <w:rsid w:val="0032022F"/>
    <w:rsid w:val="00320BEB"/>
    <w:rsid w:val="003214FD"/>
    <w:rsid w:val="00322159"/>
    <w:rsid w:val="00322244"/>
    <w:rsid w:val="003225F6"/>
    <w:rsid w:val="00322D5E"/>
    <w:rsid w:val="00323688"/>
    <w:rsid w:val="0032395C"/>
    <w:rsid w:val="00323AA0"/>
    <w:rsid w:val="00323F3B"/>
    <w:rsid w:val="00323FAD"/>
    <w:rsid w:val="0032408B"/>
    <w:rsid w:val="00324302"/>
    <w:rsid w:val="0032499F"/>
    <w:rsid w:val="0032547B"/>
    <w:rsid w:val="003257DB"/>
    <w:rsid w:val="00325A3E"/>
    <w:rsid w:val="00325BA4"/>
    <w:rsid w:val="0032670F"/>
    <w:rsid w:val="00326C53"/>
    <w:rsid w:val="00326D14"/>
    <w:rsid w:val="00327354"/>
    <w:rsid w:val="00327511"/>
    <w:rsid w:val="00327965"/>
    <w:rsid w:val="00330BE8"/>
    <w:rsid w:val="003310E7"/>
    <w:rsid w:val="003313D0"/>
    <w:rsid w:val="00331420"/>
    <w:rsid w:val="003320A9"/>
    <w:rsid w:val="0033234D"/>
    <w:rsid w:val="00332DA5"/>
    <w:rsid w:val="00333FE9"/>
    <w:rsid w:val="0033410E"/>
    <w:rsid w:val="003359EE"/>
    <w:rsid w:val="00335C33"/>
    <w:rsid w:val="00335E4C"/>
    <w:rsid w:val="003365FB"/>
    <w:rsid w:val="00337064"/>
    <w:rsid w:val="0033786C"/>
    <w:rsid w:val="00340D4B"/>
    <w:rsid w:val="00341A0E"/>
    <w:rsid w:val="00341D4E"/>
    <w:rsid w:val="00342793"/>
    <w:rsid w:val="003432B5"/>
    <w:rsid w:val="00343394"/>
    <w:rsid w:val="00343FC6"/>
    <w:rsid w:val="0034503F"/>
    <w:rsid w:val="00345202"/>
    <w:rsid w:val="003469A9"/>
    <w:rsid w:val="00347144"/>
    <w:rsid w:val="003471B7"/>
    <w:rsid w:val="00347436"/>
    <w:rsid w:val="00350418"/>
    <w:rsid w:val="00350EB8"/>
    <w:rsid w:val="00353B27"/>
    <w:rsid w:val="00355524"/>
    <w:rsid w:val="00355B69"/>
    <w:rsid w:val="00355D8A"/>
    <w:rsid w:val="003564F4"/>
    <w:rsid w:val="0035672E"/>
    <w:rsid w:val="00356A6B"/>
    <w:rsid w:val="00356ECD"/>
    <w:rsid w:val="003576B8"/>
    <w:rsid w:val="00357A48"/>
    <w:rsid w:val="003600E2"/>
    <w:rsid w:val="00360840"/>
    <w:rsid w:val="00360EE8"/>
    <w:rsid w:val="0036102E"/>
    <w:rsid w:val="00361F13"/>
    <w:rsid w:val="00362F22"/>
    <w:rsid w:val="003638B5"/>
    <w:rsid w:val="00363CAB"/>
    <w:rsid w:val="003641A5"/>
    <w:rsid w:val="003645AE"/>
    <w:rsid w:val="00364E89"/>
    <w:rsid w:val="00365800"/>
    <w:rsid w:val="00365E8D"/>
    <w:rsid w:val="003664EF"/>
    <w:rsid w:val="00366CF1"/>
    <w:rsid w:val="00367273"/>
    <w:rsid w:val="00367295"/>
    <w:rsid w:val="003674F7"/>
    <w:rsid w:val="003675AD"/>
    <w:rsid w:val="0037007D"/>
    <w:rsid w:val="003701C7"/>
    <w:rsid w:val="00370338"/>
    <w:rsid w:val="003709E7"/>
    <w:rsid w:val="00370A61"/>
    <w:rsid w:val="00370C37"/>
    <w:rsid w:val="00370C5C"/>
    <w:rsid w:val="00370E6D"/>
    <w:rsid w:val="0037117E"/>
    <w:rsid w:val="0037176E"/>
    <w:rsid w:val="00372019"/>
    <w:rsid w:val="00372864"/>
    <w:rsid w:val="00372AB3"/>
    <w:rsid w:val="00372C77"/>
    <w:rsid w:val="00372DA9"/>
    <w:rsid w:val="003734BB"/>
    <w:rsid w:val="00373519"/>
    <w:rsid w:val="003738B6"/>
    <w:rsid w:val="00373C7A"/>
    <w:rsid w:val="00373F94"/>
    <w:rsid w:val="00374A63"/>
    <w:rsid w:val="00374AA1"/>
    <w:rsid w:val="0037634E"/>
    <w:rsid w:val="0037687A"/>
    <w:rsid w:val="00376A51"/>
    <w:rsid w:val="00376B08"/>
    <w:rsid w:val="00376F06"/>
    <w:rsid w:val="0037705F"/>
    <w:rsid w:val="00377CF7"/>
    <w:rsid w:val="00380078"/>
    <w:rsid w:val="0038037E"/>
    <w:rsid w:val="0038084E"/>
    <w:rsid w:val="00380C1F"/>
    <w:rsid w:val="00380D14"/>
    <w:rsid w:val="003834CB"/>
    <w:rsid w:val="003835E0"/>
    <w:rsid w:val="00384A47"/>
    <w:rsid w:val="00384B6E"/>
    <w:rsid w:val="00385236"/>
    <w:rsid w:val="003852A7"/>
    <w:rsid w:val="00385CAE"/>
    <w:rsid w:val="00386816"/>
    <w:rsid w:val="00387252"/>
    <w:rsid w:val="00387690"/>
    <w:rsid w:val="003900EC"/>
    <w:rsid w:val="003901CD"/>
    <w:rsid w:val="00390D1B"/>
    <w:rsid w:val="00391357"/>
    <w:rsid w:val="00391546"/>
    <w:rsid w:val="00391654"/>
    <w:rsid w:val="003919FA"/>
    <w:rsid w:val="00391B98"/>
    <w:rsid w:val="003921B3"/>
    <w:rsid w:val="00392330"/>
    <w:rsid w:val="00392741"/>
    <w:rsid w:val="003944DA"/>
    <w:rsid w:val="003952AA"/>
    <w:rsid w:val="00395680"/>
    <w:rsid w:val="0039708C"/>
    <w:rsid w:val="00397810"/>
    <w:rsid w:val="00397DE8"/>
    <w:rsid w:val="003A025F"/>
    <w:rsid w:val="003A0465"/>
    <w:rsid w:val="003A2686"/>
    <w:rsid w:val="003A2F73"/>
    <w:rsid w:val="003A522C"/>
    <w:rsid w:val="003A5971"/>
    <w:rsid w:val="003A6180"/>
    <w:rsid w:val="003A6244"/>
    <w:rsid w:val="003A6558"/>
    <w:rsid w:val="003A72F6"/>
    <w:rsid w:val="003A78EA"/>
    <w:rsid w:val="003B0A5A"/>
    <w:rsid w:val="003B144B"/>
    <w:rsid w:val="003B1B6E"/>
    <w:rsid w:val="003B1E53"/>
    <w:rsid w:val="003B251E"/>
    <w:rsid w:val="003B25CD"/>
    <w:rsid w:val="003B2C08"/>
    <w:rsid w:val="003B326E"/>
    <w:rsid w:val="003B328F"/>
    <w:rsid w:val="003B3593"/>
    <w:rsid w:val="003B3A44"/>
    <w:rsid w:val="003B4E5E"/>
    <w:rsid w:val="003B5D6A"/>
    <w:rsid w:val="003B60BB"/>
    <w:rsid w:val="003B6561"/>
    <w:rsid w:val="003B6654"/>
    <w:rsid w:val="003B6C48"/>
    <w:rsid w:val="003B6C54"/>
    <w:rsid w:val="003B752E"/>
    <w:rsid w:val="003B7E01"/>
    <w:rsid w:val="003B7F69"/>
    <w:rsid w:val="003C0039"/>
    <w:rsid w:val="003C0607"/>
    <w:rsid w:val="003C09F3"/>
    <w:rsid w:val="003C24FC"/>
    <w:rsid w:val="003C3603"/>
    <w:rsid w:val="003C478F"/>
    <w:rsid w:val="003C4AC7"/>
    <w:rsid w:val="003C4D4B"/>
    <w:rsid w:val="003C516A"/>
    <w:rsid w:val="003C541C"/>
    <w:rsid w:val="003C6048"/>
    <w:rsid w:val="003C6C67"/>
    <w:rsid w:val="003C6F3F"/>
    <w:rsid w:val="003C784F"/>
    <w:rsid w:val="003D0474"/>
    <w:rsid w:val="003D083A"/>
    <w:rsid w:val="003D0E83"/>
    <w:rsid w:val="003D144E"/>
    <w:rsid w:val="003D23DE"/>
    <w:rsid w:val="003D26C2"/>
    <w:rsid w:val="003D2ADD"/>
    <w:rsid w:val="003D2D5D"/>
    <w:rsid w:val="003D3444"/>
    <w:rsid w:val="003D3D26"/>
    <w:rsid w:val="003D499B"/>
    <w:rsid w:val="003D4EB9"/>
    <w:rsid w:val="003D501B"/>
    <w:rsid w:val="003D57B1"/>
    <w:rsid w:val="003D59C1"/>
    <w:rsid w:val="003D5B4B"/>
    <w:rsid w:val="003D5EE9"/>
    <w:rsid w:val="003D5EF9"/>
    <w:rsid w:val="003D77EB"/>
    <w:rsid w:val="003E0677"/>
    <w:rsid w:val="003E0883"/>
    <w:rsid w:val="003E128F"/>
    <w:rsid w:val="003E1792"/>
    <w:rsid w:val="003E1A93"/>
    <w:rsid w:val="003E1D7E"/>
    <w:rsid w:val="003E1E16"/>
    <w:rsid w:val="003E1F0E"/>
    <w:rsid w:val="003E2214"/>
    <w:rsid w:val="003E2762"/>
    <w:rsid w:val="003E3048"/>
    <w:rsid w:val="003E363E"/>
    <w:rsid w:val="003E3A4A"/>
    <w:rsid w:val="003E3D15"/>
    <w:rsid w:val="003E437E"/>
    <w:rsid w:val="003E4AD8"/>
    <w:rsid w:val="003E51D6"/>
    <w:rsid w:val="003E5EA1"/>
    <w:rsid w:val="003E63EA"/>
    <w:rsid w:val="003E69EE"/>
    <w:rsid w:val="003E6C2B"/>
    <w:rsid w:val="003E72E4"/>
    <w:rsid w:val="003E731F"/>
    <w:rsid w:val="003E76D9"/>
    <w:rsid w:val="003E7805"/>
    <w:rsid w:val="003F00C9"/>
    <w:rsid w:val="003F0340"/>
    <w:rsid w:val="003F040B"/>
    <w:rsid w:val="003F075C"/>
    <w:rsid w:val="003F0DDA"/>
    <w:rsid w:val="003F12D6"/>
    <w:rsid w:val="003F3554"/>
    <w:rsid w:val="003F38DD"/>
    <w:rsid w:val="003F3B45"/>
    <w:rsid w:val="003F3FDD"/>
    <w:rsid w:val="003F4633"/>
    <w:rsid w:val="003F4713"/>
    <w:rsid w:val="003F4778"/>
    <w:rsid w:val="003F49DC"/>
    <w:rsid w:val="003F51C9"/>
    <w:rsid w:val="003F54E4"/>
    <w:rsid w:val="003F6190"/>
    <w:rsid w:val="003F6818"/>
    <w:rsid w:val="003F6D8A"/>
    <w:rsid w:val="003F6E51"/>
    <w:rsid w:val="003F78FE"/>
    <w:rsid w:val="003F7AA2"/>
    <w:rsid w:val="00401367"/>
    <w:rsid w:val="004025BC"/>
    <w:rsid w:val="00402BB2"/>
    <w:rsid w:val="0040366D"/>
    <w:rsid w:val="004037E6"/>
    <w:rsid w:val="00403908"/>
    <w:rsid w:val="004039C5"/>
    <w:rsid w:val="00403C90"/>
    <w:rsid w:val="004040A8"/>
    <w:rsid w:val="0040429F"/>
    <w:rsid w:val="00405491"/>
    <w:rsid w:val="00405686"/>
    <w:rsid w:val="004059AF"/>
    <w:rsid w:val="00405EC1"/>
    <w:rsid w:val="0040638D"/>
    <w:rsid w:val="00406E4A"/>
    <w:rsid w:val="00410349"/>
    <w:rsid w:val="0041059B"/>
    <w:rsid w:val="004107F7"/>
    <w:rsid w:val="00410908"/>
    <w:rsid w:val="00410BFC"/>
    <w:rsid w:val="00411E6B"/>
    <w:rsid w:val="00411E8C"/>
    <w:rsid w:val="004168D5"/>
    <w:rsid w:val="00417797"/>
    <w:rsid w:val="00417CBA"/>
    <w:rsid w:val="00420343"/>
    <w:rsid w:val="0042170A"/>
    <w:rsid w:val="0042186B"/>
    <w:rsid w:val="0042229D"/>
    <w:rsid w:val="004223FB"/>
    <w:rsid w:val="0042312B"/>
    <w:rsid w:val="00424557"/>
    <w:rsid w:val="00424AC0"/>
    <w:rsid w:val="00425091"/>
    <w:rsid w:val="0042511A"/>
    <w:rsid w:val="00425491"/>
    <w:rsid w:val="00425AD8"/>
    <w:rsid w:val="00425BC4"/>
    <w:rsid w:val="0042675A"/>
    <w:rsid w:val="00426BFF"/>
    <w:rsid w:val="00426CA1"/>
    <w:rsid w:val="00427988"/>
    <w:rsid w:val="00427BF9"/>
    <w:rsid w:val="0043083A"/>
    <w:rsid w:val="004315FB"/>
    <w:rsid w:val="00431AB0"/>
    <w:rsid w:val="0043209C"/>
    <w:rsid w:val="0043290A"/>
    <w:rsid w:val="00432AF1"/>
    <w:rsid w:val="00432C67"/>
    <w:rsid w:val="00432E57"/>
    <w:rsid w:val="004334BA"/>
    <w:rsid w:val="00433BEE"/>
    <w:rsid w:val="004341CE"/>
    <w:rsid w:val="00435032"/>
    <w:rsid w:val="00435098"/>
    <w:rsid w:val="004354F8"/>
    <w:rsid w:val="0043744D"/>
    <w:rsid w:val="004374F2"/>
    <w:rsid w:val="004403AC"/>
    <w:rsid w:val="00440534"/>
    <w:rsid w:val="00440BB7"/>
    <w:rsid w:val="0044198B"/>
    <w:rsid w:val="00441AD2"/>
    <w:rsid w:val="00441F49"/>
    <w:rsid w:val="00442117"/>
    <w:rsid w:val="00442F49"/>
    <w:rsid w:val="00444424"/>
    <w:rsid w:val="00444962"/>
    <w:rsid w:val="004451A1"/>
    <w:rsid w:val="00445278"/>
    <w:rsid w:val="0044530B"/>
    <w:rsid w:val="004460DB"/>
    <w:rsid w:val="004464E2"/>
    <w:rsid w:val="00446BAA"/>
    <w:rsid w:val="0044730E"/>
    <w:rsid w:val="0044742D"/>
    <w:rsid w:val="004475A8"/>
    <w:rsid w:val="0045078B"/>
    <w:rsid w:val="004515F9"/>
    <w:rsid w:val="00451C04"/>
    <w:rsid w:val="00451F97"/>
    <w:rsid w:val="00452692"/>
    <w:rsid w:val="00452D7F"/>
    <w:rsid w:val="00452ED0"/>
    <w:rsid w:val="00452FCD"/>
    <w:rsid w:val="004530DA"/>
    <w:rsid w:val="00453822"/>
    <w:rsid w:val="00454D4E"/>
    <w:rsid w:val="00455208"/>
    <w:rsid w:val="00456250"/>
    <w:rsid w:val="004565E9"/>
    <w:rsid w:val="004571BE"/>
    <w:rsid w:val="0045770E"/>
    <w:rsid w:val="00457ABB"/>
    <w:rsid w:val="00457E78"/>
    <w:rsid w:val="0046029E"/>
    <w:rsid w:val="00460507"/>
    <w:rsid w:val="004608EF"/>
    <w:rsid w:val="0046109D"/>
    <w:rsid w:val="004629C6"/>
    <w:rsid w:val="00462C75"/>
    <w:rsid w:val="004631DE"/>
    <w:rsid w:val="0046503C"/>
    <w:rsid w:val="00465616"/>
    <w:rsid w:val="004656CE"/>
    <w:rsid w:val="00465AE1"/>
    <w:rsid w:val="004667EC"/>
    <w:rsid w:val="00466865"/>
    <w:rsid w:val="004671F3"/>
    <w:rsid w:val="00467565"/>
    <w:rsid w:val="00467924"/>
    <w:rsid w:val="00467F2D"/>
    <w:rsid w:val="0047005D"/>
    <w:rsid w:val="004702A1"/>
    <w:rsid w:val="004709C2"/>
    <w:rsid w:val="00470D2C"/>
    <w:rsid w:val="00471248"/>
    <w:rsid w:val="00471773"/>
    <w:rsid w:val="00471A78"/>
    <w:rsid w:val="004729E1"/>
    <w:rsid w:val="0047372E"/>
    <w:rsid w:val="00473736"/>
    <w:rsid w:val="00473A37"/>
    <w:rsid w:val="00474145"/>
    <w:rsid w:val="004741A9"/>
    <w:rsid w:val="004753C8"/>
    <w:rsid w:val="0047542C"/>
    <w:rsid w:val="004758BC"/>
    <w:rsid w:val="004773F8"/>
    <w:rsid w:val="00477599"/>
    <w:rsid w:val="004779F0"/>
    <w:rsid w:val="00480480"/>
    <w:rsid w:val="00480AA2"/>
    <w:rsid w:val="00480FA0"/>
    <w:rsid w:val="004811F4"/>
    <w:rsid w:val="00481680"/>
    <w:rsid w:val="00481B44"/>
    <w:rsid w:val="0048235C"/>
    <w:rsid w:val="00482CED"/>
    <w:rsid w:val="00483947"/>
    <w:rsid w:val="0048497C"/>
    <w:rsid w:val="00484DA2"/>
    <w:rsid w:val="00485713"/>
    <w:rsid w:val="004859EC"/>
    <w:rsid w:val="00485A13"/>
    <w:rsid w:val="00485ECD"/>
    <w:rsid w:val="00487E57"/>
    <w:rsid w:val="00490682"/>
    <w:rsid w:val="004906BA"/>
    <w:rsid w:val="004911AF"/>
    <w:rsid w:val="00491812"/>
    <w:rsid w:val="00491847"/>
    <w:rsid w:val="00491949"/>
    <w:rsid w:val="00492583"/>
    <w:rsid w:val="00492AFB"/>
    <w:rsid w:val="00493C64"/>
    <w:rsid w:val="004955C7"/>
    <w:rsid w:val="004959FF"/>
    <w:rsid w:val="0049682B"/>
    <w:rsid w:val="00496B88"/>
    <w:rsid w:val="004972C4"/>
    <w:rsid w:val="00497307"/>
    <w:rsid w:val="00497695"/>
    <w:rsid w:val="00497B17"/>
    <w:rsid w:val="004A000A"/>
    <w:rsid w:val="004A0355"/>
    <w:rsid w:val="004A08AB"/>
    <w:rsid w:val="004A0A25"/>
    <w:rsid w:val="004A14F7"/>
    <w:rsid w:val="004A21B5"/>
    <w:rsid w:val="004A2243"/>
    <w:rsid w:val="004A29D6"/>
    <w:rsid w:val="004A2DD0"/>
    <w:rsid w:val="004A3515"/>
    <w:rsid w:val="004A4502"/>
    <w:rsid w:val="004A4894"/>
    <w:rsid w:val="004A4D4B"/>
    <w:rsid w:val="004A4D92"/>
    <w:rsid w:val="004A59FE"/>
    <w:rsid w:val="004A652A"/>
    <w:rsid w:val="004A6B86"/>
    <w:rsid w:val="004A78B1"/>
    <w:rsid w:val="004A78EF"/>
    <w:rsid w:val="004B28FA"/>
    <w:rsid w:val="004B32B6"/>
    <w:rsid w:val="004B33C3"/>
    <w:rsid w:val="004B35AE"/>
    <w:rsid w:val="004B3A28"/>
    <w:rsid w:val="004B3D51"/>
    <w:rsid w:val="004B4B5D"/>
    <w:rsid w:val="004B50AC"/>
    <w:rsid w:val="004B5496"/>
    <w:rsid w:val="004B5916"/>
    <w:rsid w:val="004B621C"/>
    <w:rsid w:val="004B6B9A"/>
    <w:rsid w:val="004B784B"/>
    <w:rsid w:val="004B788C"/>
    <w:rsid w:val="004B7B67"/>
    <w:rsid w:val="004B7E1A"/>
    <w:rsid w:val="004C06C5"/>
    <w:rsid w:val="004C0C70"/>
    <w:rsid w:val="004C0D8A"/>
    <w:rsid w:val="004C10C2"/>
    <w:rsid w:val="004C140A"/>
    <w:rsid w:val="004C140B"/>
    <w:rsid w:val="004C19D7"/>
    <w:rsid w:val="004C2163"/>
    <w:rsid w:val="004C2706"/>
    <w:rsid w:val="004C27D7"/>
    <w:rsid w:val="004C2FF8"/>
    <w:rsid w:val="004C300C"/>
    <w:rsid w:val="004C32DC"/>
    <w:rsid w:val="004C352D"/>
    <w:rsid w:val="004C3688"/>
    <w:rsid w:val="004C39E0"/>
    <w:rsid w:val="004C4841"/>
    <w:rsid w:val="004C4E37"/>
    <w:rsid w:val="004C6AFA"/>
    <w:rsid w:val="004C6CAC"/>
    <w:rsid w:val="004C7511"/>
    <w:rsid w:val="004C7F5A"/>
    <w:rsid w:val="004D0FC6"/>
    <w:rsid w:val="004D1487"/>
    <w:rsid w:val="004D184D"/>
    <w:rsid w:val="004D1F56"/>
    <w:rsid w:val="004D20BC"/>
    <w:rsid w:val="004D2389"/>
    <w:rsid w:val="004D3126"/>
    <w:rsid w:val="004D322C"/>
    <w:rsid w:val="004D32C1"/>
    <w:rsid w:val="004D32C6"/>
    <w:rsid w:val="004D3713"/>
    <w:rsid w:val="004D3739"/>
    <w:rsid w:val="004D42F5"/>
    <w:rsid w:val="004D60AF"/>
    <w:rsid w:val="004D65EA"/>
    <w:rsid w:val="004D67F9"/>
    <w:rsid w:val="004D7021"/>
    <w:rsid w:val="004E0C86"/>
    <w:rsid w:val="004E1375"/>
    <w:rsid w:val="004E3A1E"/>
    <w:rsid w:val="004E409D"/>
    <w:rsid w:val="004E44D3"/>
    <w:rsid w:val="004E4541"/>
    <w:rsid w:val="004E4547"/>
    <w:rsid w:val="004E4870"/>
    <w:rsid w:val="004E4AF7"/>
    <w:rsid w:val="004E4BE4"/>
    <w:rsid w:val="004E575B"/>
    <w:rsid w:val="004E5E1D"/>
    <w:rsid w:val="004E6498"/>
    <w:rsid w:val="004E6E03"/>
    <w:rsid w:val="004F077A"/>
    <w:rsid w:val="004F07C8"/>
    <w:rsid w:val="004F1668"/>
    <w:rsid w:val="004F1B51"/>
    <w:rsid w:val="004F1DAE"/>
    <w:rsid w:val="004F1EB9"/>
    <w:rsid w:val="004F2D8E"/>
    <w:rsid w:val="004F320D"/>
    <w:rsid w:val="004F34FE"/>
    <w:rsid w:val="004F3D1D"/>
    <w:rsid w:val="004F5028"/>
    <w:rsid w:val="004F5074"/>
    <w:rsid w:val="004F529B"/>
    <w:rsid w:val="004F55D3"/>
    <w:rsid w:val="004F56E8"/>
    <w:rsid w:val="004F59A4"/>
    <w:rsid w:val="004F5A72"/>
    <w:rsid w:val="004F5BD3"/>
    <w:rsid w:val="004F5C9B"/>
    <w:rsid w:val="004F62F4"/>
    <w:rsid w:val="004F738A"/>
    <w:rsid w:val="00501368"/>
    <w:rsid w:val="005016D4"/>
    <w:rsid w:val="005017E8"/>
    <w:rsid w:val="005024BD"/>
    <w:rsid w:val="00502679"/>
    <w:rsid w:val="00502C0A"/>
    <w:rsid w:val="00503F73"/>
    <w:rsid w:val="005042DE"/>
    <w:rsid w:val="005045E9"/>
    <w:rsid w:val="0050462C"/>
    <w:rsid w:val="00504771"/>
    <w:rsid w:val="005047FB"/>
    <w:rsid w:val="00504A64"/>
    <w:rsid w:val="005050BA"/>
    <w:rsid w:val="00505976"/>
    <w:rsid w:val="00505C9D"/>
    <w:rsid w:val="00506096"/>
    <w:rsid w:val="005060F3"/>
    <w:rsid w:val="005078E8"/>
    <w:rsid w:val="00511408"/>
    <w:rsid w:val="00511A85"/>
    <w:rsid w:val="00511B91"/>
    <w:rsid w:val="005120F5"/>
    <w:rsid w:val="00512B07"/>
    <w:rsid w:val="0051340F"/>
    <w:rsid w:val="00513DF6"/>
    <w:rsid w:val="0051410F"/>
    <w:rsid w:val="005143AF"/>
    <w:rsid w:val="005144B7"/>
    <w:rsid w:val="005144F4"/>
    <w:rsid w:val="00514620"/>
    <w:rsid w:val="00514751"/>
    <w:rsid w:val="00514C48"/>
    <w:rsid w:val="00514D4C"/>
    <w:rsid w:val="00515029"/>
    <w:rsid w:val="0051514A"/>
    <w:rsid w:val="00515AF7"/>
    <w:rsid w:val="00515C62"/>
    <w:rsid w:val="00515CF2"/>
    <w:rsid w:val="00515DC7"/>
    <w:rsid w:val="00515F46"/>
    <w:rsid w:val="00516461"/>
    <w:rsid w:val="00516C0F"/>
    <w:rsid w:val="00516F88"/>
    <w:rsid w:val="00517556"/>
    <w:rsid w:val="0052016A"/>
    <w:rsid w:val="00520ECC"/>
    <w:rsid w:val="00520F9F"/>
    <w:rsid w:val="005213E9"/>
    <w:rsid w:val="005215CD"/>
    <w:rsid w:val="00521716"/>
    <w:rsid w:val="00521786"/>
    <w:rsid w:val="005218B9"/>
    <w:rsid w:val="00521AC0"/>
    <w:rsid w:val="00522754"/>
    <w:rsid w:val="005228D4"/>
    <w:rsid w:val="0052434A"/>
    <w:rsid w:val="0052458A"/>
    <w:rsid w:val="00524DDA"/>
    <w:rsid w:val="00525037"/>
    <w:rsid w:val="005305A8"/>
    <w:rsid w:val="005311EF"/>
    <w:rsid w:val="00531205"/>
    <w:rsid w:val="00531B57"/>
    <w:rsid w:val="00531D86"/>
    <w:rsid w:val="005338EF"/>
    <w:rsid w:val="00533C00"/>
    <w:rsid w:val="00534D07"/>
    <w:rsid w:val="005352C6"/>
    <w:rsid w:val="00535905"/>
    <w:rsid w:val="00535ABA"/>
    <w:rsid w:val="00536432"/>
    <w:rsid w:val="00536657"/>
    <w:rsid w:val="005366A4"/>
    <w:rsid w:val="0053672F"/>
    <w:rsid w:val="00536FAA"/>
    <w:rsid w:val="0053789D"/>
    <w:rsid w:val="00540217"/>
    <w:rsid w:val="005405D0"/>
    <w:rsid w:val="00540628"/>
    <w:rsid w:val="00540DEF"/>
    <w:rsid w:val="00541BF7"/>
    <w:rsid w:val="00542968"/>
    <w:rsid w:val="00542FEC"/>
    <w:rsid w:val="005431E2"/>
    <w:rsid w:val="005435D3"/>
    <w:rsid w:val="0054364B"/>
    <w:rsid w:val="0054390B"/>
    <w:rsid w:val="00543D61"/>
    <w:rsid w:val="00543E30"/>
    <w:rsid w:val="00544415"/>
    <w:rsid w:val="005446C7"/>
    <w:rsid w:val="005452D7"/>
    <w:rsid w:val="005455DA"/>
    <w:rsid w:val="005456D9"/>
    <w:rsid w:val="00545A0F"/>
    <w:rsid w:val="00546F85"/>
    <w:rsid w:val="00547027"/>
    <w:rsid w:val="00547C1E"/>
    <w:rsid w:val="00547C7D"/>
    <w:rsid w:val="00547CB4"/>
    <w:rsid w:val="00550EF9"/>
    <w:rsid w:val="005518F7"/>
    <w:rsid w:val="00552B3D"/>
    <w:rsid w:val="005530A6"/>
    <w:rsid w:val="00553319"/>
    <w:rsid w:val="00553335"/>
    <w:rsid w:val="005537AD"/>
    <w:rsid w:val="0055444F"/>
    <w:rsid w:val="00554B7A"/>
    <w:rsid w:val="00554CEB"/>
    <w:rsid w:val="00554DB9"/>
    <w:rsid w:val="00555066"/>
    <w:rsid w:val="00555670"/>
    <w:rsid w:val="00555A55"/>
    <w:rsid w:val="005561FD"/>
    <w:rsid w:val="00556876"/>
    <w:rsid w:val="0055694D"/>
    <w:rsid w:val="00556DF7"/>
    <w:rsid w:val="0055708E"/>
    <w:rsid w:val="00557366"/>
    <w:rsid w:val="0055789A"/>
    <w:rsid w:val="00560F1E"/>
    <w:rsid w:val="005610B5"/>
    <w:rsid w:val="005611C4"/>
    <w:rsid w:val="005615C4"/>
    <w:rsid w:val="00561DA4"/>
    <w:rsid w:val="0056465E"/>
    <w:rsid w:val="0056530A"/>
    <w:rsid w:val="00565655"/>
    <w:rsid w:val="00565E77"/>
    <w:rsid w:val="005668D2"/>
    <w:rsid w:val="005673B6"/>
    <w:rsid w:val="00567D35"/>
    <w:rsid w:val="0057062D"/>
    <w:rsid w:val="00570E6C"/>
    <w:rsid w:val="00571B76"/>
    <w:rsid w:val="005721FA"/>
    <w:rsid w:val="005734B2"/>
    <w:rsid w:val="00574C6A"/>
    <w:rsid w:val="00574CF2"/>
    <w:rsid w:val="00574DE5"/>
    <w:rsid w:val="00575171"/>
    <w:rsid w:val="005755FA"/>
    <w:rsid w:val="005755FC"/>
    <w:rsid w:val="00577010"/>
    <w:rsid w:val="005801BE"/>
    <w:rsid w:val="00580B2E"/>
    <w:rsid w:val="00580C17"/>
    <w:rsid w:val="00580EE9"/>
    <w:rsid w:val="00580FAD"/>
    <w:rsid w:val="0058180A"/>
    <w:rsid w:val="005820D4"/>
    <w:rsid w:val="005827BC"/>
    <w:rsid w:val="0058300A"/>
    <w:rsid w:val="005831B3"/>
    <w:rsid w:val="005833B9"/>
    <w:rsid w:val="005833F6"/>
    <w:rsid w:val="005837CF"/>
    <w:rsid w:val="00583B42"/>
    <w:rsid w:val="00583BF2"/>
    <w:rsid w:val="00583C4A"/>
    <w:rsid w:val="00584D25"/>
    <w:rsid w:val="00585148"/>
    <w:rsid w:val="005853A0"/>
    <w:rsid w:val="0058684A"/>
    <w:rsid w:val="005869C4"/>
    <w:rsid w:val="00590277"/>
    <w:rsid w:val="005905C7"/>
    <w:rsid w:val="005909E8"/>
    <w:rsid w:val="005926F4"/>
    <w:rsid w:val="005931BD"/>
    <w:rsid w:val="0059367E"/>
    <w:rsid w:val="00593A36"/>
    <w:rsid w:val="00593B4C"/>
    <w:rsid w:val="00594EE4"/>
    <w:rsid w:val="00595D3D"/>
    <w:rsid w:val="00596272"/>
    <w:rsid w:val="00596B07"/>
    <w:rsid w:val="00597518"/>
    <w:rsid w:val="005A00CB"/>
    <w:rsid w:val="005A0112"/>
    <w:rsid w:val="005A0759"/>
    <w:rsid w:val="005A0A9E"/>
    <w:rsid w:val="005A0AE7"/>
    <w:rsid w:val="005A1511"/>
    <w:rsid w:val="005A2537"/>
    <w:rsid w:val="005A2720"/>
    <w:rsid w:val="005A2AC4"/>
    <w:rsid w:val="005A2B98"/>
    <w:rsid w:val="005A3692"/>
    <w:rsid w:val="005A3E08"/>
    <w:rsid w:val="005A42AA"/>
    <w:rsid w:val="005A4756"/>
    <w:rsid w:val="005A47A1"/>
    <w:rsid w:val="005A5149"/>
    <w:rsid w:val="005A559C"/>
    <w:rsid w:val="005A6709"/>
    <w:rsid w:val="005A6A77"/>
    <w:rsid w:val="005A6BCD"/>
    <w:rsid w:val="005A734B"/>
    <w:rsid w:val="005B078C"/>
    <w:rsid w:val="005B09D2"/>
    <w:rsid w:val="005B0C36"/>
    <w:rsid w:val="005B0E4A"/>
    <w:rsid w:val="005B1E2F"/>
    <w:rsid w:val="005B210F"/>
    <w:rsid w:val="005B22DE"/>
    <w:rsid w:val="005B28AC"/>
    <w:rsid w:val="005B29F8"/>
    <w:rsid w:val="005B2EA2"/>
    <w:rsid w:val="005B305E"/>
    <w:rsid w:val="005B3CAF"/>
    <w:rsid w:val="005B6333"/>
    <w:rsid w:val="005B64B5"/>
    <w:rsid w:val="005B6777"/>
    <w:rsid w:val="005B67B3"/>
    <w:rsid w:val="005B7C10"/>
    <w:rsid w:val="005C0360"/>
    <w:rsid w:val="005C0C7E"/>
    <w:rsid w:val="005C12C9"/>
    <w:rsid w:val="005C14E9"/>
    <w:rsid w:val="005C1DF8"/>
    <w:rsid w:val="005C1F67"/>
    <w:rsid w:val="005C1F8F"/>
    <w:rsid w:val="005C27F1"/>
    <w:rsid w:val="005C2ACE"/>
    <w:rsid w:val="005C2BFF"/>
    <w:rsid w:val="005C3AD7"/>
    <w:rsid w:val="005C3AF8"/>
    <w:rsid w:val="005C476F"/>
    <w:rsid w:val="005C4B14"/>
    <w:rsid w:val="005C515D"/>
    <w:rsid w:val="005C51BF"/>
    <w:rsid w:val="005C56D7"/>
    <w:rsid w:val="005C5E4E"/>
    <w:rsid w:val="005C5F61"/>
    <w:rsid w:val="005C7265"/>
    <w:rsid w:val="005C79D4"/>
    <w:rsid w:val="005D01A4"/>
    <w:rsid w:val="005D0520"/>
    <w:rsid w:val="005D09A9"/>
    <w:rsid w:val="005D0D12"/>
    <w:rsid w:val="005D0EBD"/>
    <w:rsid w:val="005D10AD"/>
    <w:rsid w:val="005D1347"/>
    <w:rsid w:val="005D1581"/>
    <w:rsid w:val="005D2558"/>
    <w:rsid w:val="005D2771"/>
    <w:rsid w:val="005D28DF"/>
    <w:rsid w:val="005D2C42"/>
    <w:rsid w:val="005D3319"/>
    <w:rsid w:val="005D3A1A"/>
    <w:rsid w:val="005D3D5E"/>
    <w:rsid w:val="005D446B"/>
    <w:rsid w:val="005D44FB"/>
    <w:rsid w:val="005D46FC"/>
    <w:rsid w:val="005D4849"/>
    <w:rsid w:val="005D5447"/>
    <w:rsid w:val="005D5610"/>
    <w:rsid w:val="005D5930"/>
    <w:rsid w:val="005D59CF"/>
    <w:rsid w:val="005D59ED"/>
    <w:rsid w:val="005D5CAF"/>
    <w:rsid w:val="005D61A7"/>
    <w:rsid w:val="005D6951"/>
    <w:rsid w:val="005D6F06"/>
    <w:rsid w:val="005E0152"/>
    <w:rsid w:val="005E022E"/>
    <w:rsid w:val="005E0F0E"/>
    <w:rsid w:val="005E1777"/>
    <w:rsid w:val="005E1CD0"/>
    <w:rsid w:val="005E231F"/>
    <w:rsid w:val="005E2EED"/>
    <w:rsid w:val="005E44CD"/>
    <w:rsid w:val="005E4B08"/>
    <w:rsid w:val="005E51CC"/>
    <w:rsid w:val="005E591F"/>
    <w:rsid w:val="005E59EC"/>
    <w:rsid w:val="005E6011"/>
    <w:rsid w:val="005E64C3"/>
    <w:rsid w:val="005E6660"/>
    <w:rsid w:val="005E7005"/>
    <w:rsid w:val="005E7668"/>
    <w:rsid w:val="005E7747"/>
    <w:rsid w:val="005E7D27"/>
    <w:rsid w:val="005F056F"/>
    <w:rsid w:val="005F1518"/>
    <w:rsid w:val="005F164D"/>
    <w:rsid w:val="005F17A8"/>
    <w:rsid w:val="005F187B"/>
    <w:rsid w:val="005F1D81"/>
    <w:rsid w:val="005F1E4B"/>
    <w:rsid w:val="005F1ECF"/>
    <w:rsid w:val="005F2066"/>
    <w:rsid w:val="005F22A7"/>
    <w:rsid w:val="005F26B8"/>
    <w:rsid w:val="005F32AF"/>
    <w:rsid w:val="005F393F"/>
    <w:rsid w:val="005F3A7F"/>
    <w:rsid w:val="005F3A9E"/>
    <w:rsid w:val="005F40BE"/>
    <w:rsid w:val="005F41BD"/>
    <w:rsid w:val="005F4245"/>
    <w:rsid w:val="005F452B"/>
    <w:rsid w:val="005F455A"/>
    <w:rsid w:val="005F46E2"/>
    <w:rsid w:val="005F4C2F"/>
    <w:rsid w:val="005F5058"/>
    <w:rsid w:val="005F5087"/>
    <w:rsid w:val="005F5ADB"/>
    <w:rsid w:val="005F5B9B"/>
    <w:rsid w:val="005F6DFA"/>
    <w:rsid w:val="005F7261"/>
    <w:rsid w:val="005F72D9"/>
    <w:rsid w:val="005F7C61"/>
    <w:rsid w:val="005F7E74"/>
    <w:rsid w:val="00600536"/>
    <w:rsid w:val="006008A0"/>
    <w:rsid w:val="00600BDE"/>
    <w:rsid w:val="00601508"/>
    <w:rsid w:val="006019B1"/>
    <w:rsid w:val="00601BDD"/>
    <w:rsid w:val="00601C79"/>
    <w:rsid w:val="00601EB3"/>
    <w:rsid w:val="00602C86"/>
    <w:rsid w:val="00602CD5"/>
    <w:rsid w:val="006033C1"/>
    <w:rsid w:val="00604084"/>
    <w:rsid w:val="006049F8"/>
    <w:rsid w:val="00605CEB"/>
    <w:rsid w:val="00605E98"/>
    <w:rsid w:val="006065A7"/>
    <w:rsid w:val="00606C0B"/>
    <w:rsid w:val="0060778B"/>
    <w:rsid w:val="0060789A"/>
    <w:rsid w:val="00610AC6"/>
    <w:rsid w:val="00610D45"/>
    <w:rsid w:val="006115F3"/>
    <w:rsid w:val="00611619"/>
    <w:rsid w:val="006133B8"/>
    <w:rsid w:val="00614BE3"/>
    <w:rsid w:val="00614C15"/>
    <w:rsid w:val="00614C6B"/>
    <w:rsid w:val="00614CD5"/>
    <w:rsid w:val="0061525C"/>
    <w:rsid w:val="00615E1D"/>
    <w:rsid w:val="00615FE6"/>
    <w:rsid w:val="0061626F"/>
    <w:rsid w:val="00620261"/>
    <w:rsid w:val="00620BB3"/>
    <w:rsid w:val="00620D05"/>
    <w:rsid w:val="0062200B"/>
    <w:rsid w:val="006220D0"/>
    <w:rsid w:val="00622101"/>
    <w:rsid w:val="00623D34"/>
    <w:rsid w:val="00624078"/>
    <w:rsid w:val="00625A43"/>
    <w:rsid w:val="00626641"/>
    <w:rsid w:val="00626873"/>
    <w:rsid w:val="00626B25"/>
    <w:rsid w:val="00626D5E"/>
    <w:rsid w:val="00626D99"/>
    <w:rsid w:val="00626EB2"/>
    <w:rsid w:val="00627E5C"/>
    <w:rsid w:val="006301B6"/>
    <w:rsid w:val="00630398"/>
    <w:rsid w:val="00630818"/>
    <w:rsid w:val="00630E65"/>
    <w:rsid w:val="006311A6"/>
    <w:rsid w:val="0063271D"/>
    <w:rsid w:val="006342C5"/>
    <w:rsid w:val="00634B7C"/>
    <w:rsid w:val="00634C14"/>
    <w:rsid w:val="006351D8"/>
    <w:rsid w:val="0063578E"/>
    <w:rsid w:val="00635C3A"/>
    <w:rsid w:val="0063690E"/>
    <w:rsid w:val="006369ED"/>
    <w:rsid w:val="00636B5D"/>
    <w:rsid w:val="00636D9C"/>
    <w:rsid w:val="00636DCD"/>
    <w:rsid w:val="0063769D"/>
    <w:rsid w:val="00640112"/>
    <w:rsid w:val="006402CE"/>
    <w:rsid w:val="00640593"/>
    <w:rsid w:val="00642458"/>
    <w:rsid w:val="00642466"/>
    <w:rsid w:val="00642539"/>
    <w:rsid w:val="006429FF"/>
    <w:rsid w:val="00643076"/>
    <w:rsid w:val="006443B1"/>
    <w:rsid w:val="0064460D"/>
    <w:rsid w:val="006447D1"/>
    <w:rsid w:val="00645422"/>
    <w:rsid w:val="00645509"/>
    <w:rsid w:val="00645649"/>
    <w:rsid w:val="006459DA"/>
    <w:rsid w:val="006459F3"/>
    <w:rsid w:val="0064633A"/>
    <w:rsid w:val="006463BE"/>
    <w:rsid w:val="00646541"/>
    <w:rsid w:val="00647854"/>
    <w:rsid w:val="00650874"/>
    <w:rsid w:val="00650A24"/>
    <w:rsid w:val="00651983"/>
    <w:rsid w:val="006519A2"/>
    <w:rsid w:val="006521FB"/>
    <w:rsid w:val="0065223E"/>
    <w:rsid w:val="00652BA7"/>
    <w:rsid w:val="00652E00"/>
    <w:rsid w:val="00652E97"/>
    <w:rsid w:val="00653950"/>
    <w:rsid w:val="00654895"/>
    <w:rsid w:val="00654E6A"/>
    <w:rsid w:val="006558FB"/>
    <w:rsid w:val="00655C58"/>
    <w:rsid w:val="00656843"/>
    <w:rsid w:val="00656E73"/>
    <w:rsid w:val="00656FCA"/>
    <w:rsid w:val="0065722E"/>
    <w:rsid w:val="00657FF4"/>
    <w:rsid w:val="00660A9F"/>
    <w:rsid w:val="00660D16"/>
    <w:rsid w:val="006610DA"/>
    <w:rsid w:val="0066281F"/>
    <w:rsid w:val="006629CF"/>
    <w:rsid w:val="00662D01"/>
    <w:rsid w:val="00662D45"/>
    <w:rsid w:val="00664C04"/>
    <w:rsid w:val="00665200"/>
    <w:rsid w:val="006656AD"/>
    <w:rsid w:val="00665AA7"/>
    <w:rsid w:val="006666F9"/>
    <w:rsid w:val="006667C3"/>
    <w:rsid w:val="006671D5"/>
    <w:rsid w:val="0067006F"/>
    <w:rsid w:val="00670255"/>
    <w:rsid w:val="00670550"/>
    <w:rsid w:val="00670AEC"/>
    <w:rsid w:val="00671499"/>
    <w:rsid w:val="006721AD"/>
    <w:rsid w:val="00674D1C"/>
    <w:rsid w:val="00676A5E"/>
    <w:rsid w:val="006772EE"/>
    <w:rsid w:val="006772F0"/>
    <w:rsid w:val="006777E1"/>
    <w:rsid w:val="00677F18"/>
    <w:rsid w:val="00677FD9"/>
    <w:rsid w:val="006808A7"/>
    <w:rsid w:val="0068203D"/>
    <w:rsid w:val="00682605"/>
    <w:rsid w:val="006826C9"/>
    <w:rsid w:val="00682AC6"/>
    <w:rsid w:val="00682E19"/>
    <w:rsid w:val="00683B83"/>
    <w:rsid w:val="006841F4"/>
    <w:rsid w:val="0068423E"/>
    <w:rsid w:val="006858BF"/>
    <w:rsid w:val="00686165"/>
    <w:rsid w:val="006866E1"/>
    <w:rsid w:val="00686B0E"/>
    <w:rsid w:val="00686CA4"/>
    <w:rsid w:val="006900A4"/>
    <w:rsid w:val="00690D9C"/>
    <w:rsid w:val="006915AE"/>
    <w:rsid w:val="00691A65"/>
    <w:rsid w:val="00691C7E"/>
    <w:rsid w:val="00691F09"/>
    <w:rsid w:val="006922CD"/>
    <w:rsid w:val="00692A99"/>
    <w:rsid w:val="00693293"/>
    <w:rsid w:val="00693727"/>
    <w:rsid w:val="00694C65"/>
    <w:rsid w:val="0069513C"/>
    <w:rsid w:val="006960D6"/>
    <w:rsid w:val="00696B69"/>
    <w:rsid w:val="00696B77"/>
    <w:rsid w:val="006971EB"/>
    <w:rsid w:val="006974A6"/>
    <w:rsid w:val="0069766B"/>
    <w:rsid w:val="00697748"/>
    <w:rsid w:val="00697CE2"/>
    <w:rsid w:val="006A0FDB"/>
    <w:rsid w:val="006A246D"/>
    <w:rsid w:val="006A28A2"/>
    <w:rsid w:val="006A2BE8"/>
    <w:rsid w:val="006A2D9D"/>
    <w:rsid w:val="006A3B33"/>
    <w:rsid w:val="006A4032"/>
    <w:rsid w:val="006A4DF0"/>
    <w:rsid w:val="006A5513"/>
    <w:rsid w:val="006A5FE2"/>
    <w:rsid w:val="006A6547"/>
    <w:rsid w:val="006A7C6F"/>
    <w:rsid w:val="006A7E80"/>
    <w:rsid w:val="006B0B90"/>
    <w:rsid w:val="006B10D4"/>
    <w:rsid w:val="006B1744"/>
    <w:rsid w:val="006B1860"/>
    <w:rsid w:val="006B1CD3"/>
    <w:rsid w:val="006B21FA"/>
    <w:rsid w:val="006B2385"/>
    <w:rsid w:val="006B25DA"/>
    <w:rsid w:val="006B27CD"/>
    <w:rsid w:val="006B2E22"/>
    <w:rsid w:val="006B31FB"/>
    <w:rsid w:val="006B34A4"/>
    <w:rsid w:val="006B38BD"/>
    <w:rsid w:val="006B4974"/>
    <w:rsid w:val="006B6492"/>
    <w:rsid w:val="006B65C2"/>
    <w:rsid w:val="006B6B7D"/>
    <w:rsid w:val="006B73C1"/>
    <w:rsid w:val="006B7470"/>
    <w:rsid w:val="006B77D9"/>
    <w:rsid w:val="006B77F2"/>
    <w:rsid w:val="006B7B91"/>
    <w:rsid w:val="006C0BE1"/>
    <w:rsid w:val="006C1A20"/>
    <w:rsid w:val="006C1BF3"/>
    <w:rsid w:val="006C2927"/>
    <w:rsid w:val="006C2F8B"/>
    <w:rsid w:val="006C39E7"/>
    <w:rsid w:val="006C49A6"/>
    <w:rsid w:val="006C4B9C"/>
    <w:rsid w:val="006C4BCE"/>
    <w:rsid w:val="006C520E"/>
    <w:rsid w:val="006C5DB9"/>
    <w:rsid w:val="006C5E2C"/>
    <w:rsid w:val="006C5F31"/>
    <w:rsid w:val="006C6026"/>
    <w:rsid w:val="006C658F"/>
    <w:rsid w:val="006C689C"/>
    <w:rsid w:val="006D078B"/>
    <w:rsid w:val="006D148F"/>
    <w:rsid w:val="006D16C5"/>
    <w:rsid w:val="006D1DF5"/>
    <w:rsid w:val="006D2F67"/>
    <w:rsid w:val="006D3061"/>
    <w:rsid w:val="006D3474"/>
    <w:rsid w:val="006D3789"/>
    <w:rsid w:val="006D3962"/>
    <w:rsid w:val="006D44A9"/>
    <w:rsid w:val="006D46D9"/>
    <w:rsid w:val="006D4744"/>
    <w:rsid w:val="006D4C40"/>
    <w:rsid w:val="006D4D4C"/>
    <w:rsid w:val="006D4ECF"/>
    <w:rsid w:val="006D4FE2"/>
    <w:rsid w:val="006D54AE"/>
    <w:rsid w:val="006D59EE"/>
    <w:rsid w:val="006D6AD0"/>
    <w:rsid w:val="006D6EEE"/>
    <w:rsid w:val="006E03B4"/>
    <w:rsid w:val="006E0DAE"/>
    <w:rsid w:val="006E0DAF"/>
    <w:rsid w:val="006E2378"/>
    <w:rsid w:val="006E28D7"/>
    <w:rsid w:val="006E2FD3"/>
    <w:rsid w:val="006E3906"/>
    <w:rsid w:val="006E3F01"/>
    <w:rsid w:val="006E3FDA"/>
    <w:rsid w:val="006E403E"/>
    <w:rsid w:val="006E4E37"/>
    <w:rsid w:val="006E550E"/>
    <w:rsid w:val="006E5829"/>
    <w:rsid w:val="006E5E58"/>
    <w:rsid w:val="006E625B"/>
    <w:rsid w:val="006E63C9"/>
    <w:rsid w:val="006E66C5"/>
    <w:rsid w:val="006F0E96"/>
    <w:rsid w:val="006F12C5"/>
    <w:rsid w:val="006F1734"/>
    <w:rsid w:val="006F1DFD"/>
    <w:rsid w:val="006F2016"/>
    <w:rsid w:val="006F2841"/>
    <w:rsid w:val="006F30BC"/>
    <w:rsid w:val="006F3783"/>
    <w:rsid w:val="006F3B59"/>
    <w:rsid w:val="006F48B2"/>
    <w:rsid w:val="006F5063"/>
    <w:rsid w:val="006F5A42"/>
    <w:rsid w:val="006F5E5E"/>
    <w:rsid w:val="006F61FD"/>
    <w:rsid w:val="006F6BB5"/>
    <w:rsid w:val="007009D1"/>
    <w:rsid w:val="007014D2"/>
    <w:rsid w:val="00702348"/>
    <w:rsid w:val="00702E13"/>
    <w:rsid w:val="00702FF3"/>
    <w:rsid w:val="0070374D"/>
    <w:rsid w:val="00703ED1"/>
    <w:rsid w:val="00704E39"/>
    <w:rsid w:val="00705058"/>
    <w:rsid w:val="007060E4"/>
    <w:rsid w:val="00706755"/>
    <w:rsid w:val="00706C16"/>
    <w:rsid w:val="00707DA0"/>
    <w:rsid w:val="00707F3C"/>
    <w:rsid w:val="007104EF"/>
    <w:rsid w:val="00710734"/>
    <w:rsid w:val="00710CE2"/>
    <w:rsid w:val="007110D4"/>
    <w:rsid w:val="007114F9"/>
    <w:rsid w:val="00711B05"/>
    <w:rsid w:val="00711C77"/>
    <w:rsid w:val="00711CEA"/>
    <w:rsid w:val="007128CD"/>
    <w:rsid w:val="007129AF"/>
    <w:rsid w:val="00713C4E"/>
    <w:rsid w:val="007145F4"/>
    <w:rsid w:val="00714BA4"/>
    <w:rsid w:val="00715282"/>
    <w:rsid w:val="007154A7"/>
    <w:rsid w:val="0071559E"/>
    <w:rsid w:val="00715BDD"/>
    <w:rsid w:val="00716307"/>
    <w:rsid w:val="0071651E"/>
    <w:rsid w:val="007170A7"/>
    <w:rsid w:val="007173A8"/>
    <w:rsid w:val="00720734"/>
    <w:rsid w:val="00720AE9"/>
    <w:rsid w:val="007215C2"/>
    <w:rsid w:val="00721721"/>
    <w:rsid w:val="00722221"/>
    <w:rsid w:val="0072263E"/>
    <w:rsid w:val="007227E8"/>
    <w:rsid w:val="007235D7"/>
    <w:rsid w:val="0072493B"/>
    <w:rsid w:val="00724A23"/>
    <w:rsid w:val="00724DDA"/>
    <w:rsid w:val="00724F82"/>
    <w:rsid w:val="00725372"/>
    <w:rsid w:val="00725496"/>
    <w:rsid w:val="007256B1"/>
    <w:rsid w:val="00725AA4"/>
    <w:rsid w:val="00725B82"/>
    <w:rsid w:val="00725D01"/>
    <w:rsid w:val="007262C2"/>
    <w:rsid w:val="00726634"/>
    <w:rsid w:val="007277E9"/>
    <w:rsid w:val="0073060E"/>
    <w:rsid w:val="007310B6"/>
    <w:rsid w:val="00731137"/>
    <w:rsid w:val="0073180F"/>
    <w:rsid w:val="00732458"/>
    <w:rsid w:val="0073282F"/>
    <w:rsid w:val="00732E37"/>
    <w:rsid w:val="00733006"/>
    <w:rsid w:val="007336F3"/>
    <w:rsid w:val="007345B8"/>
    <w:rsid w:val="00734860"/>
    <w:rsid w:val="0073528D"/>
    <w:rsid w:val="007355B8"/>
    <w:rsid w:val="00736262"/>
    <w:rsid w:val="0073629A"/>
    <w:rsid w:val="00736B05"/>
    <w:rsid w:val="00737220"/>
    <w:rsid w:val="007379AD"/>
    <w:rsid w:val="007402AB"/>
    <w:rsid w:val="00740D7B"/>
    <w:rsid w:val="0074130E"/>
    <w:rsid w:val="00741509"/>
    <w:rsid w:val="007418DF"/>
    <w:rsid w:val="00741A6F"/>
    <w:rsid w:val="00741B1F"/>
    <w:rsid w:val="00741FCC"/>
    <w:rsid w:val="00742152"/>
    <w:rsid w:val="007421B0"/>
    <w:rsid w:val="0074251B"/>
    <w:rsid w:val="00742AD7"/>
    <w:rsid w:val="00742DE9"/>
    <w:rsid w:val="00742EFD"/>
    <w:rsid w:val="00743A66"/>
    <w:rsid w:val="00743C4B"/>
    <w:rsid w:val="007446E9"/>
    <w:rsid w:val="00744885"/>
    <w:rsid w:val="007449AB"/>
    <w:rsid w:val="007463FF"/>
    <w:rsid w:val="0074727A"/>
    <w:rsid w:val="00747A18"/>
    <w:rsid w:val="00750392"/>
    <w:rsid w:val="00750898"/>
    <w:rsid w:val="00750C4B"/>
    <w:rsid w:val="00751534"/>
    <w:rsid w:val="0075198C"/>
    <w:rsid w:val="00751B08"/>
    <w:rsid w:val="00754976"/>
    <w:rsid w:val="00754E80"/>
    <w:rsid w:val="007555A1"/>
    <w:rsid w:val="00756E4B"/>
    <w:rsid w:val="00757A74"/>
    <w:rsid w:val="007606BA"/>
    <w:rsid w:val="00760CD3"/>
    <w:rsid w:val="00760DC9"/>
    <w:rsid w:val="00760FB5"/>
    <w:rsid w:val="00761C7F"/>
    <w:rsid w:val="00762063"/>
    <w:rsid w:val="00762B68"/>
    <w:rsid w:val="00762BD2"/>
    <w:rsid w:val="00762F9B"/>
    <w:rsid w:val="0076337F"/>
    <w:rsid w:val="007639E9"/>
    <w:rsid w:val="00763ABE"/>
    <w:rsid w:val="00763C47"/>
    <w:rsid w:val="00764411"/>
    <w:rsid w:val="007648BF"/>
    <w:rsid w:val="00765D43"/>
    <w:rsid w:val="00765E35"/>
    <w:rsid w:val="007665E2"/>
    <w:rsid w:val="00766B7D"/>
    <w:rsid w:val="0076783E"/>
    <w:rsid w:val="00767A47"/>
    <w:rsid w:val="00767B37"/>
    <w:rsid w:val="007701C1"/>
    <w:rsid w:val="00770490"/>
    <w:rsid w:val="00771390"/>
    <w:rsid w:val="00771AF2"/>
    <w:rsid w:val="00771DB1"/>
    <w:rsid w:val="0077219C"/>
    <w:rsid w:val="00772F70"/>
    <w:rsid w:val="00773DC1"/>
    <w:rsid w:val="007740BB"/>
    <w:rsid w:val="00774292"/>
    <w:rsid w:val="00774B31"/>
    <w:rsid w:val="00774D50"/>
    <w:rsid w:val="00775090"/>
    <w:rsid w:val="00775373"/>
    <w:rsid w:val="00775D2D"/>
    <w:rsid w:val="0077692B"/>
    <w:rsid w:val="00776C6D"/>
    <w:rsid w:val="007775D9"/>
    <w:rsid w:val="007778D6"/>
    <w:rsid w:val="007802BD"/>
    <w:rsid w:val="007805D0"/>
    <w:rsid w:val="00780D55"/>
    <w:rsid w:val="00780F1F"/>
    <w:rsid w:val="007822EB"/>
    <w:rsid w:val="007824D7"/>
    <w:rsid w:val="00784530"/>
    <w:rsid w:val="007847A4"/>
    <w:rsid w:val="007850F7"/>
    <w:rsid w:val="0078527C"/>
    <w:rsid w:val="007859FB"/>
    <w:rsid w:val="00787783"/>
    <w:rsid w:val="00787C9A"/>
    <w:rsid w:val="0079000F"/>
    <w:rsid w:val="00790DCA"/>
    <w:rsid w:val="00791029"/>
    <w:rsid w:val="00791ABF"/>
    <w:rsid w:val="00791AF5"/>
    <w:rsid w:val="00791C02"/>
    <w:rsid w:val="00792846"/>
    <w:rsid w:val="007930E7"/>
    <w:rsid w:val="007931D4"/>
    <w:rsid w:val="00793478"/>
    <w:rsid w:val="00793ADF"/>
    <w:rsid w:val="007940F8"/>
    <w:rsid w:val="00794846"/>
    <w:rsid w:val="00794C55"/>
    <w:rsid w:val="00794CEA"/>
    <w:rsid w:val="00794EB9"/>
    <w:rsid w:val="00795643"/>
    <w:rsid w:val="00795FAC"/>
    <w:rsid w:val="00797070"/>
    <w:rsid w:val="007973DB"/>
    <w:rsid w:val="007A01DE"/>
    <w:rsid w:val="007A0505"/>
    <w:rsid w:val="007A1C2F"/>
    <w:rsid w:val="007A2258"/>
    <w:rsid w:val="007A2C92"/>
    <w:rsid w:val="007A304D"/>
    <w:rsid w:val="007A3625"/>
    <w:rsid w:val="007A3807"/>
    <w:rsid w:val="007A41B5"/>
    <w:rsid w:val="007A4AEF"/>
    <w:rsid w:val="007A50B1"/>
    <w:rsid w:val="007A5CF9"/>
    <w:rsid w:val="007A607E"/>
    <w:rsid w:val="007A61BC"/>
    <w:rsid w:val="007A634F"/>
    <w:rsid w:val="007A63B4"/>
    <w:rsid w:val="007A63CE"/>
    <w:rsid w:val="007A6644"/>
    <w:rsid w:val="007A685F"/>
    <w:rsid w:val="007A69C3"/>
    <w:rsid w:val="007A6BC6"/>
    <w:rsid w:val="007A6CF8"/>
    <w:rsid w:val="007A724F"/>
    <w:rsid w:val="007A7B86"/>
    <w:rsid w:val="007B04B2"/>
    <w:rsid w:val="007B0728"/>
    <w:rsid w:val="007B1271"/>
    <w:rsid w:val="007B3451"/>
    <w:rsid w:val="007B3B76"/>
    <w:rsid w:val="007B4AAF"/>
    <w:rsid w:val="007B5543"/>
    <w:rsid w:val="007B5EF4"/>
    <w:rsid w:val="007B6BD3"/>
    <w:rsid w:val="007B6F71"/>
    <w:rsid w:val="007B6FC7"/>
    <w:rsid w:val="007B7460"/>
    <w:rsid w:val="007C06E8"/>
    <w:rsid w:val="007C0842"/>
    <w:rsid w:val="007C09DC"/>
    <w:rsid w:val="007C0A8A"/>
    <w:rsid w:val="007C0AB4"/>
    <w:rsid w:val="007C0DE0"/>
    <w:rsid w:val="007C0F90"/>
    <w:rsid w:val="007C100D"/>
    <w:rsid w:val="007C155B"/>
    <w:rsid w:val="007C2453"/>
    <w:rsid w:val="007C2568"/>
    <w:rsid w:val="007C2EAA"/>
    <w:rsid w:val="007C372F"/>
    <w:rsid w:val="007C3921"/>
    <w:rsid w:val="007C3BAB"/>
    <w:rsid w:val="007C46DE"/>
    <w:rsid w:val="007C4985"/>
    <w:rsid w:val="007C5250"/>
    <w:rsid w:val="007C52EA"/>
    <w:rsid w:val="007C53DC"/>
    <w:rsid w:val="007C5789"/>
    <w:rsid w:val="007C5869"/>
    <w:rsid w:val="007C649D"/>
    <w:rsid w:val="007C6AFB"/>
    <w:rsid w:val="007C6BA5"/>
    <w:rsid w:val="007C6FA4"/>
    <w:rsid w:val="007C6FA9"/>
    <w:rsid w:val="007C703D"/>
    <w:rsid w:val="007D0039"/>
    <w:rsid w:val="007D052E"/>
    <w:rsid w:val="007D054E"/>
    <w:rsid w:val="007D0E9D"/>
    <w:rsid w:val="007D0F10"/>
    <w:rsid w:val="007D1140"/>
    <w:rsid w:val="007D142A"/>
    <w:rsid w:val="007D1606"/>
    <w:rsid w:val="007D2FDF"/>
    <w:rsid w:val="007D3271"/>
    <w:rsid w:val="007D3381"/>
    <w:rsid w:val="007D39AA"/>
    <w:rsid w:val="007D3CEC"/>
    <w:rsid w:val="007D4074"/>
    <w:rsid w:val="007D43E2"/>
    <w:rsid w:val="007D4E02"/>
    <w:rsid w:val="007D5E39"/>
    <w:rsid w:val="007D60A4"/>
    <w:rsid w:val="007D6B23"/>
    <w:rsid w:val="007D6E1F"/>
    <w:rsid w:val="007D70DB"/>
    <w:rsid w:val="007E03B0"/>
    <w:rsid w:val="007E0654"/>
    <w:rsid w:val="007E065A"/>
    <w:rsid w:val="007E0858"/>
    <w:rsid w:val="007E0A74"/>
    <w:rsid w:val="007E0E21"/>
    <w:rsid w:val="007E0EEC"/>
    <w:rsid w:val="007E1402"/>
    <w:rsid w:val="007E1E0C"/>
    <w:rsid w:val="007E3B7C"/>
    <w:rsid w:val="007E3C2F"/>
    <w:rsid w:val="007E506D"/>
    <w:rsid w:val="007E54AC"/>
    <w:rsid w:val="007E54D0"/>
    <w:rsid w:val="007E65FB"/>
    <w:rsid w:val="007E67ED"/>
    <w:rsid w:val="007E6987"/>
    <w:rsid w:val="007E74F8"/>
    <w:rsid w:val="007F007E"/>
    <w:rsid w:val="007F02E5"/>
    <w:rsid w:val="007F04E0"/>
    <w:rsid w:val="007F0B1D"/>
    <w:rsid w:val="007F14AF"/>
    <w:rsid w:val="007F15EF"/>
    <w:rsid w:val="007F1E43"/>
    <w:rsid w:val="007F20AE"/>
    <w:rsid w:val="007F249F"/>
    <w:rsid w:val="007F28C8"/>
    <w:rsid w:val="007F41D1"/>
    <w:rsid w:val="007F4487"/>
    <w:rsid w:val="007F572E"/>
    <w:rsid w:val="007F5EA3"/>
    <w:rsid w:val="007F5F15"/>
    <w:rsid w:val="007F60C2"/>
    <w:rsid w:val="007F732F"/>
    <w:rsid w:val="007F7416"/>
    <w:rsid w:val="007F7497"/>
    <w:rsid w:val="007F74C7"/>
    <w:rsid w:val="007F79DE"/>
    <w:rsid w:val="007F7FDC"/>
    <w:rsid w:val="008010A4"/>
    <w:rsid w:val="00801AA2"/>
    <w:rsid w:val="008027A0"/>
    <w:rsid w:val="00802AFA"/>
    <w:rsid w:val="00803993"/>
    <w:rsid w:val="0080450F"/>
    <w:rsid w:val="008058A7"/>
    <w:rsid w:val="00806249"/>
    <w:rsid w:val="00806623"/>
    <w:rsid w:val="00807138"/>
    <w:rsid w:val="00807A60"/>
    <w:rsid w:val="00807BE8"/>
    <w:rsid w:val="0081048D"/>
    <w:rsid w:val="0081078F"/>
    <w:rsid w:val="00810E46"/>
    <w:rsid w:val="00811054"/>
    <w:rsid w:val="008111C0"/>
    <w:rsid w:val="00811B38"/>
    <w:rsid w:val="00811B98"/>
    <w:rsid w:val="00812C25"/>
    <w:rsid w:val="00812F7A"/>
    <w:rsid w:val="00813096"/>
    <w:rsid w:val="00813B61"/>
    <w:rsid w:val="00813C8A"/>
    <w:rsid w:val="0081451B"/>
    <w:rsid w:val="00814ACD"/>
    <w:rsid w:val="008158D3"/>
    <w:rsid w:val="00816C9D"/>
    <w:rsid w:val="00817000"/>
    <w:rsid w:val="00817ECB"/>
    <w:rsid w:val="00820D72"/>
    <w:rsid w:val="008221A4"/>
    <w:rsid w:val="00822D22"/>
    <w:rsid w:val="00823B2B"/>
    <w:rsid w:val="00823C90"/>
    <w:rsid w:val="00824844"/>
    <w:rsid w:val="00825722"/>
    <w:rsid w:val="00825849"/>
    <w:rsid w:val="00825B41"/>
    <w:rsid w:val="00825CAD"/>
    <w:rsid w:val="008260A2"/>
    <w:rsid w:val="008260A8"/>
    <w:rsid w:val="008269FB"/>
    <w:rsid w:val="00826A68"/>
    <w:rsid w:val="008276EA"/>
    <w:rsid w:val="008305AC"/>
    <w:rsid w:val="00830DA6"/>
    <w:rsid w:val="0083179E"/>
    <w:rsid w:val="008325F0"/>
    <w:rsid w:val="00832B6B"/>
    <w:rsid w:val="00832E23"/>
    <w:rsid w:val="008331AF"/>
    <w:rsid w:val="008333A8"/>
    <w:rsid w:val="008339EA"/>
    <w:rsid w:val="00833B2D"/>
    <w:rsid w:val="00833CA6"/>
    <w:rsid w:val="00833EFB"/>
    <w:rsid w:val="00834746"/>
    <w:rsid w:val="008347D0"/>
    <w:rsid w:val="00834998"/>
    <w:rsid w:val="00834D77"/>
    <w:rsid w:val="00835B27"/>
    <w:rsid w:val="00835D51"/>
    <w:rsid w:val="00836825"/>
    <w:rsid w:val="00837406"/>
    <w:rsid w:val="00837708"/>
    <w:rsid w:val="00837F84"/>
    <w:rsid w:val="008407E8"/>
    <w:rsid w:val="00840B9B"/>
    <w:rsid w:val="00841ED4"/>
    <w:rsid w:val="008422A9"/>
    <w:rsid w:val="00842EE6"/>
    <w:rsid w:val="00843C9D"/>
    <w:rsid w:val="00843EAC"/>
    <w:rsid w:val="008446E4"/>
    <w:rsid w:val="008448E6"/>
    <w:rsid w:val="00844970"/>
    <w:rsid w:val="00844D23"/>
    <w:rsid w:val="00844DBC"/>
    <w:rsid w:val="00845AAB"/>
    <w:rsid w:val="00846029"/>
    <w:rsid w:val="00846118"/>
    <w:rsid w:val="00846FBE"/>
    <w:rsid w:val="008510E8"/>
    <w:rsid w:val="00851586"/>
    <w:rsid w:val="008521DD"/>
    <w:rsid w:val="00852241"/>
    <w:rsid w:val="008523FE"/>
    <w:rsid w:val="00852CB7"/>
    <w:rsid w:val="00852F05"/>
    <w:rsid w:val="00853D6D"/>
    <w:rsid w:val="008546BE"/>
    <w:rsid w:val="008554BE"/>
    <w:rsid w:val="008555A8"/>
    <w:rsid w:val="008559D3"/>
    <w:rsid w:val="00856FE5"/>
    <w:rsid w:val="00857428"/>
    <w:rsid w:val="008577F9"/>
    <w:rsid w:val="00860118"/>
    <w:rsid w:val="00860D65"/>
    <w:rsid w:val="0086117C"/>
    <w:rsid w:val="0086120A"/>
    <w:rsid w:val="008612BD"/>
    <w:rsid w:val="008612EE"/>
    <w:rsid w:val="008614F5"/>
    <w:rsid w:val="00861586"/>
    <w:rsid w:val="00861B8E"/>
    <w:rsid w:val="00862D9F"/>
    <w:rsid w:val="0086375A"/>
    <w:rsid w:val="00863A38"/>
    <w:rsid w:val="00864587"/>
    <w:rsid w:val="00865062"/>
    <w:rsid w:val="008652B7"/>
    <w:rsid w:val="00865564"/>
    <w:rsid w:val="00867564"/>
    <w:rsid w:val="0087007A"/>
    <w:rsid w:val="00870683"/>
    <w:rsid w:val="00870D17"/>
    <w:rsid w:val="0087169D"/>
    <w:rsid w:val="008719DB"/>
    <w:rsid w:val="00871E5B"/>
    <w:rsid w:val="00871F13"/>
    <w:rsid w:val="0087321C"/>
    <w:rsid w:val="0087333E"/>
    <w:rsid w:val="00873DEC"/>
    <w:rsid w:val="008740BC"/>
    <w:rsid w:val="008756F2"/>
    <w:rsid w:val="00875795"/>
    <w:rsid w:val="00875A5B"/>
    <w:rsid w:val="008761A9"/>
    <w:rsid w:val="0087695A"/>
    <w:rsid w:val="00876B33"/>
    <w:rsid w:val="00876FD4"/>
    <w:rsid w:val="008771A9"/>
    <w:rsid w:val="00877282"/>
    <w:rsid w:val="0087772E"/>
    <w:rsid w:val="00880466"/>
    <w:rsid w:val="00880766"/>
    <w:rsid w:val="00880E98"/>
    <w:rsid w:val="00881197"/>
    <w:rsid w:val="008826CE"/>
    <w:rsid w:val="00883171"/>
    <w:rsid w:val="008832B3"/>
    <w:rsid w:val="0088365C"/>
    <w:rsid w:val="008838DC"/>
    <w:rsid w:val="0088414E"/>
    <w:rsid w:val="00884607"/>
    <w:rsid w:val="00884EAA"/>
    <w:rsid w:val="00885044"/>
    <w:rsid w:val="0088777E"/>
    <w:rsid w:val="00887947"/>
    <w:rsid w:val="00887974"/>
    <w:rsid w:val="008911CD"/>
    <w:rsid w:val="0089128D"/>
    <w:rsid w:val="008919B7"/>
    <w:rsid w:val="00891C50"/>
    <w:rsid w:val="00891CF6"/>
    <w:rsid w:val="00891F43"/>
    <w:rsid w:val="00891FCC"/>
    <w:rsid w:val="00892A25"/>
    <w:rsid w:val="00893C5F"/>
    <w:rsid w:val="00893EBC"/>
    <w:rsid w:val="00893F18"/>
    <w:rsid w:val="00894171"/>
    <w:rsid w:val="0089509C"/>
    <w:rsid w:val="008976A4"/>
    <w:rsid w:val="00897974"/>
    <w:rsid w:val="00897E78"/>
    <w:rsid w:val="008A0FEA"/>
    <w:rsid w:val="008A3507"/>
    <w:rsid w:val="008A36DA"/>
    <w:rsid w:val="008A40A3"/>
    <w:rsid w:val="008A4BE7"/>
    <w:rsid w:val="008A4DFF"/>
    <w:rsid w:val="008A4EB1"/>
    <w:rsid w:val="008A4F7C"/>
    <w:rsid w:val="008A533C"/>
    <w:rsid w:val="008A53F5"/>
    <w:rsid w:val="008A6512"/>
    <w:rsid w:val="008A6A9C"/>
    <w:rsid w:val="008A7057"/>
    <w:rsid w:val="008A7F83"/>
    <w:rsid w:val="008B052E"/>
    <w:rsid w:val="008B38A9"/>
    <w:rsid w:val="008B3B41"/>
    <w:rsid w:val="008B3F9C"/>
    <w:rsid w:val="008B4729"/>
    <w:rsid w:val="008B4CDA"/>
    <w:rsid w:val="008B5229"/>
    <w:rsid w:val="008B5BA0"/>
    <w:rsid w:val="008B6690"/>
    <w:rsid w:val="008B6896"/>
    <w:rsid w:val="008B6C3F"/>
    <w:rsid w:val="008B72E2"/>
    <w:rsid w:val="008B7E33"/>
    <w:rsid w:val="008C03D0"/>
    <w:rsid w:val="008C0A79"/>
    <w:rsid w:val="008C1334"/>
    <w:rsid w:val="008C1571"/>
    <w:rsid w:val="008C1E49"/>
    <w:rsid w:val="008C223E"/>
    <w:rsid w:val="008C264E"/>
    <w:rsid w:val="008C295E"/>
    <w:rsid w:val="008C29F9"/>
    <w:rsid w:val="008C37B8"/>
    <w:rsid w:val="008C3DDB"/>
    <w:rsid w:val="008C4B70"/>
    <w:rsid w:val="008C5CD4"/>
    <w:rsid w:val="008C5FD2"/>
    <w:rsid w:val="008C6591"/>
    <w:rsid w:val="008C6735"/>
    <w:rsid w:val="008C6B62"/>
    <w:rsid w:val="008C6E6B"/>
    <w:rsid w:val="008C73B9"/>
    <w:rsid w:val="008D015C"/>
    <w:rsid w:val="008D01F2"/>
    <w:rsid w:val="008D0572"/>
    <w:rsid w:val="008D0673"/>
    <w:rsid w:val="008D0860"/>
    <w:rsid w:val="008D0AAC"/>
    <w:rsid w:val="008D0DD3"/>
    <w:rsid w:val="008D18F2"/>
    <w:rsid w:val="008D2DF6"/>
    <w:rsid w:val="008D3C49"/>
    <w:rsid w:val="008D3D5D"/>
    <w:rsid w:val="008D3E3F"/>
    <w:rsid w:val="008D3E7F"/>
    <w:rsid w:val="008D466B"/>
    <w:rsid w:val="008D4E02"/>
    <w:rsid w:val="008D5905"/>
    <w:rsid w:val="008D5FC1"/>
    <w:rsid w:val="008D6B8E"/>
    <w:rsid w:val="008D72D1"/>
    <w:rsid w:val="008D779F"/>
    <w:rsid w:val="008E028E"/>
    <w:rsid w:val="008E03FF"/>
    <w:rsid w:val="008E04D3"/>
    <w:rsid w:val="008E0751"/>
    <w:rsid w:val="008E0919"/>
    <w:rsid w:val="008E17DD"/>
    <w:rsid w:val="008E2D4D"/>
    <w:rsid w:val="008E2DEE"/>
    <w:rsid w:val="008E4075"/>
    <w:rsid w:val="008E43D6"/>
    <w:rsid w:val="008E545B"/>
    <w:rsid w:val="008E6E48"/>
    <w:rsid w:val="008E75B8"/>
    <w:rsid w:val="008E775A"/>
    <w:rsid w:val="008E7FAC"/>
    <w:rsid w:val="008F0069"/>
    <w:rsid w:val="008F05EA"/>
    <w:rsid w:val="008F07BD"/>
    <w:rsid w:val="008F11A3"/>
    <w:rsid w:val="008F1628"/>
    <w:rsid w:val="008F1836"/>
    <w:rsid w:val="008F2160"/>
    <w:rsid w:val="008F237C"/>
    <w:rsid w:val="008F265D"/>
    <w:rsid w:val="008F51F8"/>
    <w:rsid w:val="008F6F2E"/>
    <w:rsid w:val="008F7A95"/>
    <w:rsid w:val="009004E9"/>
    <w:rsid w:val="00900DA4"/>
    <w:rsid w:val="0090140E"/>
    <w:rsid w:val="0090158F"/>
    <w:rsid w:val="00901D67"/>
    <w:rsid w:val="00901ECC"/>
    <w:rsid w:val="00902246"/>
    <w:rsid w:val="00902D02"/>
    <w:rsid w:val="00903C8A"/>
    <w:rsid w:val="00904117"/>
    <w:rsid w:val="00904888"/>
    <w:rsid w:val="009048EA"/>
    <w:rsid w:val="00904F4E"/>
    <w:rsid w:val="0090629F"/>
    <w:rsid w:val="00906967"/>
    <w:rsid w:val="0090700A"/>
    <w:rsid w:val="009075A1"/>
    <w:rsid w:val="00907843"/>
    <w:rsid w:val="009078BC"/>
    <w:rsid w:val="00910EC5"/>
    <w:rsid w:val="00911DB3"/>
    <w:rsid w:val="009122BF"/>
    <w:rsid w:val="00912442"/>
    <w:rsid w:val="0091247F"/>
    <w:rsid w:val="00912859"/>
    <w:rsid w:val="009128D2"/>
    <w:rsid w:val="00912F2C"/>
    <w:rsid w:val="0091392B"/>
    <w:rsid w:val="00913BD4"/>
    <w:rsid w:val="00913BEC"/>
    <w:rsid w:val="00913E0D"/>
    <w:rsid w:val="00914D31"/>
    <w:rsid w:val="00915713"/>
    <w:rsid w:val="009158D9"/>
    <w:rsid w:val="00915EFD"/>
    <w:rsid w:val="00915F87"/>
    <w:rsid w:val="00916571"/>
    <w:rsid w:val="009169E7"/>
    <w:rsid w:val="00916A67"/>
    <w:rsid w:val="00917190"/>
    <w:rsid w:val="0091798A"/>
    <w:rsid w:val="00917CF8"/>
    <w:rsid w:val="009219C9"/>
    <w:rsid w:val="00922038"/>
    <w:rsid w:val="00923520"/>
    <w:rsid w:val="00923EA5"/>
    <w:rsid w:val="0092474C"/>
    <w:rsid w:val="009248FD"/>
    <w:rsid w:val="009255BE"/>
    <w:rsid w:val="009263C4"/>
    <w:rsid w:val="00926627"/>
    <w:rsid w:val="009269C6"/>
    <w:rsid w:val="00926AB9"/>
    <w:rsid w:val="00926E87"/>
    <w:rsid w:val="0092768E"/>
    <w:rsid w:val="009305D9"/>
    <w:rsid w:val="00930674"/>
    <w:rsid w:val="009318A8"/>
    <w:rsid w:val="00931C08"/>
    <w:rsid w:val="00932A5D"/>
    <w:rsid w:val="00932F46"/>
    <w:rsid w:val="00932F6D"/>
    <w:rsid w:val="0093658B"/>
    <w:rsid w:val="00936AF1"/>
    <w:rsid w:val="00936D96"/>
    <w:rsid w:val="00937773"/>
    <w:rsid w:val="0094081A"/>
    <w:rsid w:val="00940BEF"/>
    <w:rsid w:val="009420CE"/>
    <w:rsid w:val="0094265D"/>
    <w:rsid w:val="00942766"/>
    <w:rsid w:val="00942BA9"/>
    <w:rsid w:val="009439F6"/>
    <w:rsid w:val="00943D26"/>
    <w:rsid w:val="009452F3"/>
    <w:rsid w:val="00945A05"/>
    <w:rsid w:val="00945FFB"/>
    <w:rsid w:val="0094615F"/>
    <w:rsid w:val="00946341"/>
    <w:rsid w:val="00946700"/>
    <w:rsid w:val="00950120"/>
    <w:rsid w:val="00950B0C"/>
    <w:rsid w:val="009514F4"/>
    <w:rsid w:val="00951CF4"/>
    <w:rsid w:val="00953618"/>
    <w:rsid w:val="00953A47"/>
    <w:rsid w:val="00953EA2"/>
    <w:rsid w:val="009554CA"/>
    <w:rsid w:val="00955A71"/>
    <w:rsid w:val="009562DF"/>
    <w:rsid w:val="00956356"/>
    <w:rsid w:val="009569FB"/>
    <w:rsid w:val="00956E65"/>
    <w:rsid w:val="00957092"/>
    <w:rsid w:val="00957BA7"/>
    <w:rsid w:val="00957C45"/>
    <w:rsid w:val="00960919"/>
    <w:rsid w:val="00961348"/>
    <w:rsid w:val="009617FF"/>
    <w:rsid w:val="00961871"/>
    <w:rsid w:val="009619FA"/>
    <w:rsid w:val="0096283D"/>
    <w:rsid w:val="009636D0"/>
    <w:rsid w:val="00963CAE"/>
    <w:rsid w:val="00964010"/>
    <w:rsid w:val="009658E5"/>
    <w:rsid w:val="00965FD5"/>
    <w:rsid w:val="0096606D"/>
    <w:rsid w:val="009671CD"/>
    <w:rsid w:val="009701DF"/>
    <w:rsid w:val="00970734"/>
    <w:rsid w:val="0097153F"/>
    <w:rsid w:val="00971741"/>
    <w:rsid w:val="009721B3"/>
    <w:rsid w:val="00972626"/>
    <w:rsid w:val="00972B6D"/>
    <w:rsid w:val="00972F73"/>
    <w:rsid w:val="00973750"/>
    <w:rsid w:val="00973C0A"/>
    <w:rsid w:val="009742E5"/>
    <w:rsid w:val="009745B9"/>
    <w:rsid w:val="009749A8"/>
    <w:rsid w:val="00974AA2"/>
    <w:rsid w:val="00974B61"/>
    <w:rsid w:val="00975D7B"/>
    <w:rsid w:val="00975F9B"/>
    <w:rsid w:val="009762EC"/>
    <w:rsid w:val="0097642C"/>
    <w:rsid w:val="00976694"/>
    <w:rsid w:val="0097669F"/>
    <w:rsid w:val="00976DCD"/>
    <w:rsid w:val="009775EC"/>
    <w:rsid w:val="00977FC7"/>
    <w:rsid w:val="0098027C"/>
    <w:rsid w:val="009809EB"/>
    <w:rsid w:val="00980B17"/>
    <w:rsid w:val="00980DD8"/>
    <w:rsid w:val="00980FD4"/>
    <w:rsid w:val="009815C6"/>
    <w:rsid w:val="00981E93"/>
    <w:rsid w:val="0098228D"/>
    <w:rsid w:val="00982716"/>
    <w:rsid w:val="00982787"/>
    <w:rsid w:val="00984C72"/>
    <w:rsid w:val="009854F9"/>
    <w:rsid w:val="00985916"/>
    <w:rsid w:val="00987113"/>
    <w:rsid w:val="0098740B"/>
    <w:rsid w:val="00987869"/>
    <w:rsid w:val="009879C8"/>
    <w:rsid w:val="00990DEF"/>
    <w:rsid w:val="009915ED"/>
    <w:rsid w:val="00991F4C"/>
    <w:rsid w:val="00992EB7"/>
    <w:rsid w:val="009938BA"/>
    <w:rsid w:val="009941A7"/>
    <w:rsid w:val="00994323"/>
    <w:rsid w:val="00994471"/>
    <w:rsid w:val="0099492C"/>
    <w:rsid w:val="009955B2"/>
    <w:rsid w:val="009956F8"/>
    <w:rsid w:val="00995EE8"/>
    <w:rsid w:val="00996976"/>
    <w:rsid w:val="009973D3"/>
    <w:rsid w:val="009975EE"/>
    <w:rsid w:val="009A0261"/>
    <w:rsid w:val="009A10CB"/>
    <w:rsid w:val="009A11F1"/>
    <w:rsid w:val="009A126C"/>
    <w:rsid w:val="009A1F1C"/>
    <w:rsid w:val="009A2CBA"/>
    <w:rsid w:val="009A2DE7"/>
    <w:rsid w:val="009A332F"/>
    <w:rsid w:val="009A357E"/>
    <w:rsid w:val="009A3752"/>
    <w:rsid w:val="009A37F2"/>
    <w:rsid w:val="009A38A2"/>
    <w:rsid w:val="009A390C"/>
    <w:rsid w:val="009A3E50"/>
    <w:rsid w:val="009A3E9C"/>
    <w:rsid w:val="009A3FD1"/>
    <w:rsid w:val="009A4439"/>
    <w:rsid w:val="009A44E8"/>
    <w:rsid w:val="009A5908"/>
    <w:rsid w:val="009A5CDD"/>
    <w:rsid w:val="009A601E"/>
    <w:rsid w:val="009A75B3"/>
    <w:rsid w:val="009A7BB4"/>
    <w:rsid w:val="009B0375"/>
    <w:rsid w:val="009B06D7"/>
    <w:rsid w:val="009B0973"/>
    <w:rsid w:val="009B1593"/>
    <w:rsid w:val="009B18DD"/>
    <w:rsid w:val="009B2723"/>
    <w:rsid w:val="009B2847"/>
    <w:rsid w:val="009B3262"/>
    <w:rsid w:val="009B32B5"/>
    <w:rsid w:val="009B3605"/>
    <w:rsid w:val="009B38F8"/>
    <w:rsid w:val="009B3A08"/>
    <w:rsid w:val="009B4DB3"/>
    <w:rsid w:val="009B57E2"/>
    <w:rsid w:val="009B6F95"/>
    <w:rsid w:val="009B7310"/>
    <w:rsid w:val="009C0301"/>
    <w:rsid w:val="009C05C8"/>
    <w:rsid w:val="009C0874"/>
    <w:rsid w:val="009C0A74"/>
    <w:rsid w:val="009C0CE2"/>
    <w:rsid w:val="009C1105"/>
    <w:rsid w:val="009C1644"/>
    <w:rsid w:val="009C28A4"/>
    <w:rsid w:val="009C2FC2"/>
    <w:rsid w:val="009C3264"/>
    <w:rsid w:val="009C4369"/>
    <w:rsid w:val="009C4397"/>
    <w:rsid w:val="009C4945"/>
    <w:rsid w:val="009C497B"/>
    <w:rsid w:val="009C4EDE"/>
    <w:rsid w:val="009C5776"/>
    <w:rsid w:val="009C5C68"/>
    <w:rsid w:val="009C5E12"/>
    <w:rsid w:val="009C5E81"/>
    <w:rsid w:val="009C5E8E"/>
    <w:rsid w:val="009C5FC1"/>
    <w:rsid w:val="009C6051"/>
    <w:rsid w:val="009C60E3"/>
    <w:rsid w:val="009C68D4"/>
    <w:rsid w:val="009C6C54"/>
    <w:rsid w:val="009D01B7"/>
    <w:rsid w:val="009D1756"/>
    <w:rsid w:val="009D1A15"/>
    <w:rsid w:val="009D43AC"/>
    <w:rsid w:val="009D4650"/>
    <w:rsid w:val="009D4F58"/>
    <w:rsid w:val="009D5D38"/>
    <w:rsid w:val="009D5EC6"/>
    <w:rsid w:val="009D6362"/>
    <w:rsid w:val="009D68B2"/>
    <w:rsid w:val="009D7F19"/>
    <w:rsid w:val="009E06C8"/>
    <w:rsid w:val="009E15F9"/>
    <w:rsid w:val="009E15FC"/>
    <w:rsid w:val="009E2988"/>
    <w:rsid w:val="009E2BCE"/>
    <w:rsid w:val="009E3257"/>
    <w:rsid w:val="009E49E1"/>
    <w:rsid w:val="009E5A87"/>
    <w:rsid w:val="009E6018"/>
    <w:rsid w:val="009E60CE"/>
    <w:rsid w:val="009E610A"/>
    <w:rsid w:val="009E6554"/>
    <w:rsid w:val="009E6D0A"/>
    <w:rsid w:val="009E6E4C"/>
    <w:rsid w:val="009E6E95"/>
    <w:rsid w:val="009E702E"/>
    <w:rsid w:val="009E7354"/>
    <w:rsid w:val="009F08E2"/>
    <w:rsid w:val="009F1320"/>
    <w:rsid w:val="009F137C"/>
    <w:rsid w:val="009F1548"/>
    <w:rsid w:val="009F1777"/>
    <w:rsid w:val="009F2B13"/>
    <w:rsid w:val="009F2B2F"/>
    <w:rsid w:val="009F2C1E"/>
    <w:rsid w:val="009F2F71"/>
    <w:rsid w:val="009F45B8"/>
    <w:rsid w:val="009F5068"/>
    <w:rsid w:val="009F59B5"/>
    <w:rsid w:val="009F622B"/>
    <w:rsid w:val="009F70E4"/>
    <w:rsid w:val="009F7D89"/>
    <w:rsid w:val="009F7E02"/>
    <w:rsid w:val="009F7E42"/>
    <w:rsid w:val="009F7ED6"/>
    <w:rsid w:val="00A0025A"/>
    <w:rsid w:val="00A003A3"/>
    <w:rsid w:val="00A00441"/>
    <w:rsid w:val="00A009D6"/>
    <w:rsid w:val="00A00B5F"/>
    <w:rsid w:val="00A02908"/>
    <w:rsid w:val="00A0347B"/>
    <w:rsid w:val="00A03875"/>
    <w:rsid w:val="00A03A38"/>
    <w:rsid w:val="00A03C28"/>
    <w:rsid w:val="00A0431C"/>
    <w:rsid w:val="00A04478"/>
    <w:rsid w:val="00A04513"/>
    <w:rsid w:val="00A0472F"/>
    <w:rsid w:val="00A04929"/>
    <w:rsid w:val="00A05306"/>
    <w:rsid w:val="00A053F3"/>
    <w:rsid w:val="00A05B7F"/>
    <w:rsid w:val="00A063B2"/>
    <w:rsid w:val="00A069BA"/>
    <w:rsid w:val="00A07CD6"/>
    <w:rsid w:val="00A1166A"/>
    <w:rsid w:val="00A11F2A"/>
    <w:rsid w:val="00A12107"/>
    <w:rsid w:val="00A12545"/>
    <w:rsid w:val="00A12A08"/>
    <w:rsid w:val="00A13554"/>
    <w:rsid w:val="00A1356A"/>
    <w:rsid w:val="00A143CC"/>
    <w:rsid w:val="00A1447E"/>
    <w:rsid w:val="00A14C15"/>
    <w:rsid w:val="00A14DEF"/>
    <w:rsid w:val="00A16192"/>
    <w:rsid w:val="00A164CD"/>
    <w:rsid w:val="00A16892"/>
    <w:rsid w:val="00A17384"/>
    <w:rsid w:val="00A179A1"/>
    <w:rsid w:val="00A17AF7"/>
    <w:rsid w:val="00A17ED5"/>
    <w:rsid w:val="00A207B1"/>
    <w:rsid w:val="00A20CD6"/>
    <w:rsid w:val="00A21337"/>
    <w:rsid w:val="00A217AC"/>
    <w:rsid w:val="00A224B1"/>
    <w:rsid w:val="00A225FF"/>
    <w:rsid w:val="00A227B3"/>
    <w:rsid w:val="00A23B31"/>
    <w:rsid w:val="00A242F4"/>
    <w:rsid w:val="00A24C8B"/>
    <w:rsid w:val="00A24C9E"/>
    <w:rsid w:val="00A25A9C"/>
    <w:rsid w:val="00A26175"/>
    <w:rsid w:val="00A26BA6"/>
    <w:rsid w:val="00A26E0F"/>
    <w:rsid w:val="00A27077"/>
    <w:rsid w:val="00A27534"/>
    <w:rsid w:val="00A27AC6"/>
    <w:rsid w:val="00A30137"/>
    <w:rsid w:val="00A3023D"/>
    <w:rsid w:val="00A30851"/>
    <w:rsid w:val="00A30E59"/>
    <w:rsid w:val="00A31A43"/>
    <w:rsid w:val="00A31ACF"/>
    <w:rsid w:val="00A31C62"/>
    <w:rsid w:val="00A31EA3"/>
    <w:rsid w:val="00A32E08"/>
    <w:rsid w:val="00A3317B"/>
    <w:rsid w:val="00A331C7"/>
    <w:rsid w:val="00A3361D"/>
    <w:rsid w:val="00A33A2C"/>
    <w:rsid w:val="00A34A38"/>
    <w:rsid w:val="00A34DB0"/>
    <w:rsid w:val="00A361CD"/>
    <w:rsid w:val="00A371BB"/>
    <w:rsid w:val="00A4131D"/>
    <w:rsid w:val="00A41507"/>
    <w:rsid w:val="00A41646"/>
    <w:rsid w:val="00A4186F"/>
    <w:rsid w:val="00A419A4"/>
    <w:rsid w:val="00A42001"/>
    <w:rsid w:val="00A42577"/>
    <w:rsid w:val="00A42953"/>
    <w:rsid w:val="00A42978"/>
    <w:rsid w:val="00A42FB5"/>
    <w:rsid w:val="00A43049"/>
    <w:rsid w:val="00A4313A"/>
    <w:rsid w:val="00A4464A"/>
    <w:rsid w:val="00A44BC9"/>
    <w:rsid w:val="00A44F56"/>
    <w:rsid w:val="00A45079"/>
    <w:rsid w:val="00A456C4"/>
    <w:rsid w:val="00A45B40"/>
    <w:rsid w:val="00A45EB0"/>
    <w:rsid w:val="00A46B8E"/>
    <w:rsid w:val="00A46BE3"/>
    <w:rsid w:val="00A46ECA"/>
    <w:rsid w:val="00A47703"/>
    <w:rsid w:val="00A500F3"/>
    <w:rsid w:val="00A5011B"/>
    <w:rsid w:val="00A504C8"/>
    <w:rsid w:val="00A50A24"/>
    <w:rsid w:val="00A50B38"/>
    <w:rsid w:val="00A51D5A"/>
    <w:rsid w:val="00A51D90"/>
    <w:rsid w:val="00A52799"/>
    <w:rsid w:val="00A52A7D"/>
    <w:rsid w:val="00A530F8"/>
    <w:rsid w:val="00A53A3C"/>
    <w:rsid w:val="00A54009"/>
    <w:rsid w:val="00A54046"/>
    <w:rsid w:val="00A540AF"/>
    <w:rsid w:val="00A55C51"/>
    <w:rsid w:val="00A55FD6"/>
    <w:rsid w:val="00A56AFA"/>
    <w:rsid w:val="00A56DFB"/>
    <w:rsid w:val="00A56EDE"/>
    <w:rsid w:val="00A577C5"/>
    <w:rsid w:val="00A605A4"/>
    <w:rsid w:val="00A6093C"/>
    <w:rsid w:val="00A60F06"/>
    <w:rsid w:val="00A61E99"/>
    <w:rsid w:val="00A62012"/>
    <w:rsid w:val="00A62192"/>
    <w:rsid w:val="00A62353"/>
    <w:rsid w:val="00A6279C"/>
    <w:rsid w:val="00A62825"/>
    <w:rsid w:val="00A62F32"/>
    <w:rsid w:val="00A6437D"/>
    <w:rsid w:val="00A64E7F"/>
    <w:rsid w:val="00A65AEA"/>
    <w:rsid w:val="00A65EF5"/>
    <w:rsid w:val="00A669AB"/>
    <w:rsid w:val="00A672B7"/>
    <w:rsid w:val="00A67458"/>
    <w:rsid w:val="00A67908"/>
    <w:rsid w:val="00A679D0"/>
    <w:rsid w:val="00A67FCE"/>
    <w:rsid w:val="00A702E7"/>
    <w:rsid w:val="00A704A2"/>
    <w:rsid w:val="00A71969"/>
    <w:rsid w:val="00A7279E"/>
    <w:rsid w:val="00A72C9E"/>
    <w:rsid w:val="00A7301F"/>
    <w:rsid w:val="00A74363"/>
    <w:rsid w:val="00A7476C"/>
    <w:rsid w:val="00A74B13"/>
    <w:rsid w:val="00A754F5"/>
    <w:rsid w:val="00A76032"/>
    <w:rsid w:val="00A76094"/>
    <w:rsid w:val="00A764A0"/>
    <w:rsid w:val="00A76881"/>
    <w:rsid w:val="00A7747F"/>
    <w:rsid w:val="00A774A8"/>
    <w:rsid w:val="00A806D0"/>
    <w:rsid w:val="00A808F5"/>
    <w:rsid w:val="00A80BA5"/>
    <w:rsid w:val="00A81991"/>
    <w:rsid w:val="00A826B8"/>
    <w:rsid w:val="00A82F39"/>
    <w:rsid w:val="00A83940"/>
    <w:rsid w:val="00A83B50"/>
    <w:rsid w:val="00A8656B"/>
    <w:rsid w:val="00A86A91"/>
    <w:rsid w:val="00A86BD3"/>
    <w:rsid w:val="00A86CBF"/>
    <w:rsid w:val="00A86E92"/>
    <w:rsid w:val="00A87DD3"/>
    <w:rsid w:val="00A9057F"/>
    <w:rsid w:val="00A91014"/>
    <w:rsid w:val="00A91A6C"/>
    <w:rsid w:val="00A937C0"/>
    <w:rsid w:val="00A9453E"/>
    <w:rsid w:val="00A94F32"/>
    <w:rsid w:val="00A95229"/>
    <w:rsid w:val="00A957C8"/>
    <w:rsid w:val="00A958F1"/>
    <w:rsid w:val="00A95902"/>
    <w:rsid w:val="00A9726E"/>
    <w:rsid w:val="00A97523"/>
    <w:rsid w:val="00A979C4"/>
    <w:rsid w:val="00A97FF1"/>
    <w:rsid w:val="00AA00A3"/>
    <w:rsid w:val="00AA0129"/>
    <w:rsid w:val="00AA06B9"/>
    <w:rsid w:val="00AA0F21"/>
    <w:rsid w:val="00AA0F5D"/>
    <w:rsid w:val="00AA0FCA"/>
    <w:rsid w:val="00AA1699"/>
    <w:rsid w:val="00AA18FA"/>
    <w:rsid w:val="00AA2644"/>
    <w:rsid w:val="00AA2D93"/>
    <w:rsid w:val="00AA369C"/>
    <w:rsid w:val="00AA3977"/>
    <w:rsid w:val="00AA39F6"/>
    <w:rsid w:val="00AA470F"/>
    <w:rsid w:val="00AA4990"/>
    <w:rsid w:val="00AA4CC8"/>
    <w:rsid w:val="00AA4D23"/>
    <w:rsid w:val="00AA4FCB"/>
    <w:rsid w:val="00AA5FB7"/>
    <w:rsid w:val="00AA603D"/>
    <w:rsid w:val="00AA6197"/>
    <w:rsid w:val="00AA6987"/>
    <w:rsid w:val="00AA6B84"/>
    <w:rsid w:val="00AA73FE"/>
    <w:rsid w:val="00AB0A1C"/>
    <w:rsid w:val="00AB19DB"/>
    <w:rsid w:val="00AB268A"/>
    <w:rsid w:val="00AB27FF"/>
    <w:rsid w:val="00AB2C35"/>
    <w:rsid w:val="00AB2E52"/>
    <w:rsid w:val="00AB32B0"/>
    <w:rsid w:val="00AB3348"/>
    <w:rsid w:val="00AB37FD"/>
    <w:rsid w:val="00AB4059"/>
    <w:rsid w:val="00AB40F9"/>
    <w:rsid w:val="00AB4D19"/>
    <w:rsid w:val="00AB4DCE"/>
    <w:rsid w:val="00AB50F2"/>
    <w:rsid w:val="00AB5347"/>
    <w:rsid w:val="00AB5A03"/>
    <w:rsid w:val="00AB5C09"/>
    <w:rsid w:val="00AB641B"/>
    <w:rsid w:val="00AB6B67"/>
    <w:rsid w:val="00AB6E36"/>
    <w:rsid w:val="00AB6ED7"/>
    <w:rsid w:val="00AB7BEF"/>
    <w:rsid w:val="00AB7E89"/>
    <w:rsid w:val="00AC0CFF"/>
    <w:rsid w:val="00AC180E"/>
    <w:rsid w:val="00AC1D0F"/>
    <w:rsid w:val="00AC1D61"/>
    <w:rsid w:val="00AC1F2A"/>
    <w:rsid w:val="00AC26DD"/>
    <w:rsid w:val="00AC2B30"/>
    <w:rsid w:val="00AC3A8F"/>
    <w:rsid w:val="00AC3B1B"/>
    <w:rsid w:val="00AC4899"/>
    <w:rsid w:val="00AC4D5A"/>
    <w:rsid w:val="00AC5B9A"/>
    <w:rsid w:val="00AC5F27"/>
    <w:rsid w:val="00AC5F32"/>
    <w:rsid w:val="00AC6016"/>
    <w:rsid w:val="00AC684D"/>
    <w:rsid w:val="00AD0462"/>
    <w:rsid w:val="00AD0CF3"/>
    <w:rsid w:val="00AD0EFB"/>
    <w:rsid w:val="00AD0F14"/>
    <w:rsid w:val="00AD1208"/>
    <w:rsid w:val="00AD16B8"/>
    <w:rsid w:val="00AD1FD7"/>
    <w:rsid w:val="00AD2345"/>
    <w:rsid w:val="00AD2492"/>
    <w:rsid w:val="00AD291D"/>
    <w:rsid w:val="00AD36C8"/>
    <w:rsid w:val="00AD3DDD"/>
    <w:rsid w:val="00AD48F8"/>
    <w:rsid w:val="00AD4ADF"/>
    <w:rsid w:val="00AD4B96"/>
    <w:rsid w:val="00AD5A21"/>
    <w:rsid w:val="00AD605E"/>
    <w:rsid w:val="00AD6AEF"/>
    <w:rsid w:val="00AD6E15"/>
    <w:rsid w:val="00AD6F74"/>
    <w:rsid w:val="00AD6FBB"/>
    <w:rsid w:val="00AD74BA"/>
    <w:rsid w:val="00AD75C8"/>
    <w:rsid w:val="00AD7F3C"/>
    <w:rsid w:val="00AE0936"/>
    <w:rsid w:val="00AE0F8E"/>
    <w:rsid w:val="00AE1410"/>
    <w:rsid w:val="00AE16DE"/>
    <w:rsid w:val="00AE1B78"/>
    <w:rsid w:val="00AE1DEE"/>
    <w:rsid w:val="00AE1F52"/>
    <w:rsid w:val="00AE2060"/>
    <w:rsid w:val="00AE2192"/>
    <w:rsid w:val="00AE2ECE"/>
    <w:rsid w:val="00AE48EB"/>
    <w:rsid w:val="00AE54BD"/>
    <w:rsid w:val="00AE61D4"/>
    <w:rsid w:val="00AE6354"/>
    <w:rsid w:val="00AE64AE"/>
    <w:rsid w:val="00AE6794"/>
    <w:rsid w:val="00AE6A6E"/>
    <w:rsid w:val="00AE7BE5"/>
    <w:rsid w:val="00AE7F47"/>
    <w:rsid w:val="00AF067F"/>
    <w:rsid w:val="00AF0A2C"/>
    <w:rsid w:val="00AF1517"/>
    <w:rsid w:val="00AF1ECD"/>
    <w:rsid w:val="00AF217B"/>
    <w:rsid w:val="00AF2434"/>
    <w:rsid w:val="00AF28AE"/>
    <w:rsid w:val="00AF3DA0"/>
    <w:rsid w:val="00AF44A8"/>
    <w:rsid w:val="00AF5479"/>
    <w:rsid w:val="00AF610F"/>
    <w:rsid w:val="00AF70D5"/>
    <w:rsid w:val="00B00C20"/>
    <w:rsid w:val="00B01022"/>
    <w:rsid w:val="00B012CA"/>
    <w:rsid w:val="00B016EC"/>
    <w:rsid w:val="00B01D66"/>
    <w:rsid w:val="00B01DD9"/>
    <w:rsid w:val="00B028DC"/>
    <w:rsid w:val="00B028E0"/>
    <w:rsid w:val="00B02B81"/>
    <w:rsid w:val="00B0316D"/>
    <w:rsid w:val="00B04507"/>
    <w:rsid w:val="00B046A4"/>
    <w:rsid w:val="00B04D3D"/>
    <w:rsid w:val="00B0500B"/>
    <w:rsid w:val="00B05ACD"/>
    <w:rsid w:val="00B06D86"/>
    <w:rsid w:val="00B06DA7"/>
    <w:rsid w:val="00B0707E"/>
    <w:rsid w:val="00B07A0C"/>
    <w:rsid w:val="00B101A5"/>
    <w:rsid w:val="00B10CC6"/>
    <w:rsid w:val="00B1107D"/>
    <w:rsid w:val="00B11512"/>
    <w:rsid w:val="00B12123"/>
    <w:rsid w:val="00B1266C"/>
    <w:rsid w:val="00B12BA7"/>
    <w:rsid w:val="00B133FE"/>
    <w:rsid w:val="00B13409"/>
    <w:rsid w:val="00B137B6"/>
    <w:rsid w:val="00B14DEC"/>
    <w:rsid w:val="00B150C7"/>
    <w:rsid w:val="00B15763"/>
    <w:rsid w:val="00B16262"/>
    <w:rsid w:val="00B17DE9"/>
    <w:rsid w:val="00B17E27"/>
    <w:rsid w:val="00B17FEA"/>
    <w:rsid w:val="00B203A0"/>
    <w:rsid w:val="00B205A0"/>
    <w:rsid w:val="00B20EA1"/>
    <w:rsid w:val="00B2115B"/>
    <w:rsid w:val="00B21EFD"/>
    <w:rsid w:val="00B22118"/>
    <w:rsid w:val="00B239C0"/>
    <w:rsid w:val="00B23E5B"/>
    <w:rsid w:val="00B243DB"/>
    <w:rsid w:val="00B2465F"/>
    <w:rsid w:val="00B248E4"/>
    <w:rsid w:val="00B2545B"/>
    <w:rsid w:val="00B25770"/>
    <w:rsid w:val="00B25EC0"/>
    <w:rsid w:val="00B263A3"/>
    <w:rsid w:val="00B26A4B"/>
    <w:rsid w:val="00B26E42"/>
    <w:rsid w:val="00B2701A"/>
    <w:rsid w:val="00B27B9C"/>
    <w:rsid w:val="00B30848"/>
    <w:rsid w:val="00B31E93"/>
    <w:rsid w:val="00B32E6D"/>
    <w:rsid w:val="00B33BC7"/>
    <w:rsid w:val="00B34A62"/>
    <w:rsid w:val="00B34D16"/>
    <w:rsid w:val="00B34E97"/>
    <w:rsid w:val="00B3537D"/>
    <w:rsid w:val="00B35908"/>
    <w:rsid w:val="00B35E3A"/>
    <w:rsid w:val="00B364E9"/>
    <w:rsid w:val="00B36FFA"/>
    <w:rsid w:val="00B40929"/>
    <w:rsid w:val="00B4306B"/>
    <w:rsid w:val="00B431DB"/>
    <w:rsid w:val="00B43374"/>
    <w:rsid w:val="00B43846"/>
    <w:rsid w:val="00B45626"/>
    <w:rsid w:val="00B45D8C"/>
    <w:rsid w:val="00B463F2"/>
    <w:rsid w:val="00B464F8"/>
    <w:rsid w:val="00B46F38"/>
    <w:rsid w:val="00B47379"/>
    <w:rsid w:val="00B47D11"/>
    <w:rsid w:val="00B47F6E"/>
    <w:rsid w:val="00B500CA"/>
    <w:rsid w:val="00B50E8E"/>
    <w:rsid w:val="00B51228"/>
    <w:rsid w:val="00B5146F"/>
    <w:rsid w:val="00B5156A"/>
    <w:rsid w:val="00B51AB6"/>
    <w:rsid w:val="00B51BC1"/>
    <w:rsid w:val="00B51F8A"/>
    <w:rsid w:val="00B52D1D"/>
    <w:rsid w:val="00B5308D"/>
    <w:rsid w:val="00B53E96"/>
    <w:rsid w:val="00B543BB"/>
    <w:rsid w:val="00B54A32"/>
    <w:rsid w:val="00B55000"/>
    <w:rsid w:val="00B55BA7"/>
    <w:rsid w:val="00B561CD"/>
    <w:rsid w:val="00B578E4"/>
    <w:rsid w:val="00B60853"/>
    <w:rsid w:val="00B620E3"/>
    <w:rsid w:val="00B629B1"/>
    <w:rsid w:val="00B62B42"/>
    <w:rsid w:val="00B62F22"/>
    <w:rsid w:val="00B631AC"/>
    <w:rsid w:val="00B63868"/>
    <w:rsid w:val="00B64EDD"/>
    <w:rsid w:val="00B65DCB"/>
    <w:rsid w:val="00B660B2"/>
    <w:rsid w:val="00B660F9"/>
    <w:rsid w:val="00B665EB"/>
    <w:rsid w:val="00B668BC"/>
    <w:rsid w:val="00B66D09"/>
    <w:rsid w:val="00B675D5"/>
    <w:rsid w:val="00B703C0"/>
    <w:rsid w:val="00B704F5"/>
    <w:rsid w:val="00B70D4C"/>
    <w:rsid w:val="00B71708"/>
    <w:rsid w:val="00B72136"/>
    <w:rsid w:val="00B72D94"/>
    <w:rsid w:val="00B72E93"/>
    <w:rsid w:val="00B745DB"/>
    <w:rsid w:val="00B74691"/>
    <w:rsid w:val="00B746C9"/>
    <w:rsid w:val="00B74DF3"/>
    <w:rsid w:val="00B7513A"/>
    <w:rsid w:val="00B75B79"/>
    <w:rsid w:val="00B760BD"/>
    <w:rsid w:val="00B76F23"/>
    <w:rsid w:val="00B77031"/>
    <w:rsid w:val="00B80381"/>
    <w:rsid w:val="00B8081B"/>
    <w:rsid w:val="00B81371"/>
    <w:rsid w:val="00B81BB9"/>
    <w:rsid w:val="00B82928"/>
    <w:rsid w:val="00B8292D"/>
    <w:rsid w:val="00B82ED3"/>
    <w:rsid w:val="00B83AC3"/>
    <w:rsid w:val="00B84883"/>
    <w:rsid w:val="00B84943"/>
    <w:rsid w:val="00B8740E"/>
    <w:rsid w:val="00B875AE"/>
    <w:rsid w:val="00B8766A"/>
    <w:rsid w:val="00B8787C"/>
    <w:rsid w:val="00B87940"/>
    <w:rsid w:val="00B87B60"/>
    <w:rsid w:val="00B87CF7"/>
    <w:rsid w:val="00B9067E"/>
    <w:rsid w:val="00B90A7E"/>
    <w:rsid w:val="00B9188B"/>
    <w:rsid w:val="00B934AC"/>
    <w:rsid w:val="00B950E7"/>
    <w:rsid w:val="00B9575A"/>
    <w:rsid w:val="00B95C58"/>
    <w:rsid w:val="00B96172"/>
    <w:rsid w:val="00B967F4"/>
    <w:rsid w:val="00B9695D"/>
    <w:rsid w:val="00B96C8A"/>
    <w:rsid w:val="00B970A4"/>
    <w:rsid w:val="00B979D1"/>
    <w:rsid w:val="00B97D81"/>
    <w:rsid w:val="00BA075A"/>
    <w:rsid w:val="00BA0A88"/>
    <w:rsid w:val="00BA0C97"/>
    <w:rsid w:val="00BA0E06"/>
    <w:rsid w:val="00BA122E"/>
    <w:rsid w:val="00BA1588"/>
    <w:rsid w:val="00BA1929"/>
    <w:rsid w:val="00BA1AA2"/>
    <w:rsid w:val="00BA1AB6"/>
    <w:rsid w:val="00BA1B23"/>
    <w:rsid w:val="00BA1DA5"/>
    <w:rsid w:val="00BA20E4"/>
    <w:rsid w:val="00BA24EC"/>
    <w:rsid w:val="00BA3C7C"/>
    <w:rsid w:val="00BA3DC6"/>
    <w:rsid w:val="00BA4410"/>
    <w:rsid w:val="00BA5FC2"/>
    <w:rsid w:val="00BA6750"/>
    <w:rsid w:val="00BA6AF0"/>
    <w:rsid w:val="00BA72F5"/>
    <w:rsid w:val="00BA7AFF"/>
    <w:rsid w:val="00BA7F89"/>
    <w:rsid w:val="00BB09E3"/>
    <w:rsid w:val="00BB0FB0"/>
    <w:rsid w:val="00BB1028"/>
    <w:rsid w:val="00BB1E7B"/>
    <w:rsid w:val="00BB29F4"/>
    <w:rsid w:val="00BB31A2"/>
    <w:rsid w:val="00BB33D1"/>
    <w:rsid w:val="00BB357D"/>
    <w:rsid w:val="00BB5405"/>
    <w:rsid w:val="00BB6C15"/>
    <w:rsid w:val="00BB7988"/>
    <w:rsid w:val="00BB7999"/>
    <w:rsid w:val="00BC0129"/>
    <w:rsid w:val="00BC0329"/>
    <w:rsid w:val="00BC05CA"/>
    <w:rsid w:val="00BC0FB5"/>
    <w:rsid w:val="00BC11A4"/>
    <w:rsid w:val="00BC186D"/>
    <w:rsid w:val="00BC2C13"/>
    <w:rsid w:val="00BC308C"/>
    <w:rsid w:val="00BC33D3"/>
    <w:rsid w:val="00BC3583"/>
    <w:rsid w:val="00BC358B"/>
    <w:rsid w:val="00BC3A71"/>
    <w:rsid w:val="00BC3B57"/>
    <w:rsid w:val="00BC3F13"/>
    <w:rsid w:val="00BC428C"/>
    <w:rsid w:val="00BC4738"/>
    <w:rsid w:val="00BC4FF2"/>
    <w:rsid w:val="00BC52C4"/>
    <w:rsid w:val="00BC5793"/>
    <w:rsid w:val="00BC5E07"/>
    <w:rsid w:val="00BC6268"/>
    <w:rsid w:val="00BC6497"/>
    <w:rsid w:val="00BC6D4A"/>
    <w:rsid w:val="00BC7512"/>
    <w:rsid w:val="00BC75BC"/>
    <w:rsid w:val="00BC77DB"/>
    <w:rsid w:val="00BC7FF2"/>
    <w:rsid w:val="00BD022C"/>
    <w:rsid w:val="00BD05FE"/>
    <w:rsid w:val="00BD093B"/>
    <w:rsid w:val="00BD13A6"/>
    <w:rsid w:val="00BD1A6C"/>
    <w:rsid w:val="00BD229B"/>
    <w:rsid w:val="00BD2E9D"/>
    <w:rsid w:val="00BD345A"/>
    <w:rsid w:val="00BD407C"/>
    <w:rsid w:val="00BD42CA"/>
    <w:rsid w:val="00BD543F"/>
    <w:rsid w:val="00BD5FCF"/>
    <w:rsid w:val="00BD66B4"/>
    <w:rsid w:val="00BD6EFE"/>
    <w:rsid w:val="00BD7601"/>
    <w:rsid w:val="00BE00FA"/>
    <w:rsid w:val="00BE036A"/>
    <w:rsid w:val="00BE142B"/>
    <w:rsid w:val="00BE1FC1"/>
    <w:rsid w:val="00BE2798"/>
    <w:rsid w:val="00BE28D5"/>
    <w:rsid w:val="00BE36D7"/>
    <w:rsid w:val="00BE36DB"/>
    <w:rsid w:val="00BE39FE"/>
    <w:rsid w:val="00BE3C24"/>
    <w:rsid w:val="00BE3C8F"/>
    <w:rsid w:val="00BE42B7"/>
    <w:rsid w:val="00BE4B55"/>
    <w:rsid w:val="00BE58FF"/>
    <w:rsid w:val="00BE592F"/>
    <w:rsid w:val="00BE6B3F"/>
    <w:rsid w:val="00BE7FA0"/>
    <w:rsid w:val="00BF0246"/>
    <w:rsid w:val="00BF07F9"/>
    <w:rsid w:val="00BF0D4C"/>
    <w:rsid w:val="00BF1389"/>
    <w:rsid w:val="00BF1937"/>
    <w:rsid w:val="00BF19BB"/>
    <w:rsid w:val="00BF19C5"/>
    <w:rsid w:val="00BF31D8"/>
    <w:rsid w:val="00BF36F3"/>
    <w:rsid w:val="00BF56F9"/>
    <w:rsid w:val="00BF5FF1"/>
    <w:rsid w:val="00BF641F"/>
    <w:rsid w:val="00BF6933"/>
    <w:rsid w:val="00BF6EC1"/>
    <w:rsid w:val="00BF7465"/>
    <w:rsid w:val="00BF74C9"/>
    <w:rsid w:val="00BF7971"/>
    <w:rsid w:val="00C015B5"/>
    <w:rsid w:val="00C01B29"/>
    <w:rsid w:val="00C01DD8"/>
    <w:rsid w:val="00C022DA"/>
    <w:rsid w:val="00C03FD5"/>
    <w:rsid w:val="00C045FD"/>
    <w:rsid w:val="00C048C1"/>
    <w:rsid w:val="00C04AA0"/>
    <w:rsid w:val="00C052C1"/>
    <w:rsid w:val="00C055B2"/>
    <w:rsid w:val="00C057C2"/>
    <w:rsid w:val="00C05AA1"/>
    <w:rsid w:val="00C06277"/>
    <w:rsid w:val="00C07840"/>
    <w:rsid w:val="00C10B98"/>
    <w:rsid w:val="00C10F18"/>
    <w:rsid w:val="00C11393"/>
    <w:rsid w:val="00C12357"/>
    <w:rsid w:val="00C12E1C"/>
    <w:rsid w:val="00C12F61"/>
    <w:rsid w:val="00C15C4D"/>
    <w:rsid w:val="00C17315"/>
    <w:rsid w:val="00C179B9"/>
    <w:rsid w:val="00C17EA7"/>
    <w:rsid w:val="00C20321"/>
    <w:rsid w:val="00C21064"/>
    <w:rsid w:val="00C22B71"/>
    <w:rsid w:val="00C24B1D"/>
    <w:rsid w:val="00C254FA"/>
    <w:rsid w:val="00C2600B"/>
    <w:rsid w:val="00C26623"/>
    <w:rsid w:val="00C274D3"/>
    <w:rsid w:val="00C27CBE"/>
    <w:rsid w:val="00C301EA"/>
    <w:rsid w:val="00C303DF"/>
    <w:rsid w:val="00C30801"/>
    <w:rsid w:val="00C31AEF"/>
    <w:rsid w:val="00C31BF8"/>
    <w:rsid w:val="00C31D12"/>
    <w:rsid w:val="00C3296B"/>
    <w:rsid w:val="00C333CE"/>
    <w:rsid w:val="00C3400B"/>
    <w:rsid w:val="00C34363"/>
    <w:rsid w:val="00C34E97"/>
    <w:rsid w:val="00C34FEF"/>
    <w:rsid w:val="00C35176"/>
    <w:rsid w:val="00C3528E"/>
    <w:rsid w:val="00C35A29"/>
    <w:rsid w:val="00C3627D"/>
    <w:rsid w:val="00C3677D"/>
    <w:rsid w:val="00C373F9"/>
    <w:rsid w:val="00C4048F"/>
    <w:rsid w:val="00C4084B"/>
    <w:rsid w:val="00C40EB4"/>
    <w:rsid w:val="00C413DD"/>
    <w:rsid w:val="00C41627"/>
    <w:rsid w:val="00C41BE5"/>
    <w:rsid w:val="00C41F62"/>
    <w:rsid w:val="00C41F67"/>
    <w:rsid w:val="00C42BCF"/>
    <w:rsid w:val="00C42E5F"/>
    <w:rsid w:val="00C43C99"/>
    <w:rsid w:val="00C43E5C"/>
    <w:rsid w:val="00C45F31"/>
    <w:rsid w:val="00C468C0"/>
    <w:rsid w:val="00C46DFA"/>
    <w:rsid w:val="00C46FA4"/>
    <w:rsid w:val="00C4719D"/>
    <w:rsid w:val="00C474B2"/>
    <w:rsid w:val="00C47541"/>
    <w:rsid w:val="00C4759F"/>
    <w:rsid w:val="00C47662"/>
    <w:rsid w:val="00C4775D"/>
    <w:rsid w:val="00C47850"/>
    <w:rsid w:val="00C47CE3"/>
    <w:rsid w:val="00C47DE8"/>
    <w:rsid w:val="00C502E9"/>
    <w:rsid w:val="00C50CB9"/>
    <w:rsid w:val="00C50DD0"/>
    <w:rsid w:val="00C513B6"/>
    <w:rsid w:val="00C51FC3"/>
    <w:rsid w:val="00C52253"/>
    <w:rsid w:val="00C52D1D"/>
    <w:rsid w:val="00C533C0"/>
    <w:rsid w:val="00C5347A"/>
    <w:rsid w:val="00C538F5"/>
    <w:rsid w:val="00C53901"/>
    <w:rsid w:val="00C54245"/>
    <w:rsid w:val="00C54437"/>
    <w:rsid w:val="00C54E48"/>
    <w:rsid w:val="00C55342"/>
    <w:rsid w:val="00C556EA"/>
    <w:rsid w:val="00C55B70"/>
    <w:rsid w:val="00C55C6D"/>
    <w:rsid w:val="00C563C5"/>
    <w:rsid w:val="00C563E2"/>
    <w:rsid w:val="00C56AE0"/>
    <w:rsid w:val="00C57561"/>
    <w:rsid w:val="00C60127"/>
    <w:rsid w:val="00C60ACA"/>
    <w:rsid w:val="00C61F14"/>
    <w:rsid w:val="00C6262D"/>
    <w:rsid w:val="00C62B03"/>
    <w:rsid w:val="00C62BA4"/>
    <w:rsid w:val="00C63691"/>
    <w:rsid w:val="00C63FD3"/>
    <w:rsid w:val="00C64170"/>
    <w:rsid w:val="00C646D8"/>
    <w:rsid w:val="00C647A4"/>
    <w:rsid w:val="00C64EBB"/>
    <w:rsid w:val="00C65C8A"/>
    <w:rsid w:val="00C65EEC"/>
    <w:rsid w:val="00C66624"/>
    <w:rsid w:val="00C67A63"/>
    <w:rsid w:val="00C70444"/>
    <w:rsid w:val="00C707A7"/>
    <w:rsid w:val="00C70838"/>
    <w:rsid w:val="00C7205E"/>
    <w:rsid w:val="00C72284"/>
    <w:rsid w:val="00C7244F"/>
    <w:rsid w:val="00C72552"/>
    <w:rsid w:val="00C729BA"/>
    <w:rsid w:val="00C72C32"/>
    <w:rsid w:val="00C7317B"/>
    <w:rsid w:val="00C73AD8"/>
    <w:rsid w:val="00C73E5B"/>
    <w:rsid w:val="00C7409B"/>
    <w:rsid w:val="00C7418A"/>
    <w:rsid w:val="00C7445B"/>
    <w:rsid w:val="00C744BA"/>
    <w:rsid w:val="00C7499D"/>
    <w:rsid w:val="00C74B89"/>
    <w:rsid w:val="00C74BCD"/>
    <w:rsid w:val="00C74E0B"/>
    <w:rsid w:val="00C74EC3"/>
    <w:rsid w:val="00C755FD"/>
    <w:rsid w:val="00C7577D"/>
    <w:rsid w:val="00C7603A"/>
    <w:rsid w:val="00C7653E"/>
    <w:rsid w:val="00C76E61"/>
    <w:rsid w:val="00C77A08"/>
    <w:rsid w:val="00C80231"/>
    <w:rsid w:val="00C804D2"/>
    <w:rsid w:val="00C80C74"/>
    <w:rsid w:val="00C8114C"/>
    <w:rsid w:val="00C8118F"/>
    <w:rsid w:val="00C8193A"/>
    <w:rsid w:val="00C82371"/>
    <w:rsid w:val="00C8247D"/>
    <w:rsid w:val="00C82914"/>
    <w:rsid w:val="00C82ED3"/>
    <w:rsid w:val="00C8351E"/>
    <w:rsid w:val="00C83947"/>
    <w:rsid w:val="00C83B52"/>
    <w:rsid w:val="00C85295"/>
    <w:rsid w:val="00C8533C"/>
    <w:rsid w:val="00C854E4"/>
    <w:rsid w:val="00C858DD"/>
    <w:rsid w:val="00C85B61"/>
    <w:rsid w:val="00C86340"/>
    <w:rsid w:val="00C86801"/>
    <w:rsid w:val="00C86D81"/>
    <w:rsid w:val="00C86F33"/>
    <w:rsid w:val="00C87912"/>
    <w:rsid w:val="00C92162"/>
    <w:rsid w:val="00C924AF"/>
    <w:rsid w:val="00C93594"/>
    <w:rsid w:val="00C937D7"/>
    <w:rsid w:val="00C9399B"/>
    <w:rsid w:val="00C940C4"/>
    <w:rsid w:val="00C94339"/>
    <w:rsid w:val="00C94473"/>
    <w:rsid w:val="00C94946"/>
    <w:rsid w:val="00C94F4A"/>
    <w:rsid w:val="00C95292"/>
    <w:rsid w:val="00C95A22"/>
    <w:rsid w:val="00C961B9"/>
    <w:rsid w:val="00C96968"/>
    <w:rsid w:val="00C9701F"/>
    <w:rsid w:val="00C97494"/>
    <w:rsid w:val="00C97829"/>
    <w:rsid w:val="00C97C79"/>
    <w:rsid w:val="00C97EC8"/>
    <w:rsid w:val="00CA00F0"/>
    <w:rsid w:val="00CA022E"/>
    <w:rsid w:val="00CA0531"/>
    <w:rsid w:val="00CA0557"/>
    <w:rsid w:val="00CA0B5B"/>
    <w:rsid w:val="00CA15DF"/>
    <w:rsid w:val="00CA1E82"/>
    <w:rsid w:val="00CA3150"/>
    <w:rsid w:val="00CA3238"/>
    <w:rsid w:val="00CA3774"/>
    <w:rsid w:val="00CA3B51"/>
    <w:rsid w:val="00CA4038"/>
    <w:rsid w:val="00CA67E7"/>
    <w:rsid w:val="00CA6A48"/>
    <w:rsid w:val="00CA6D41"/>
    <w:rsid w:val="00CA6F49"/>
    <w:rsid w:val="00CA6F8E"/>
    <w:rsid w:val="00CA76CB"/>
    <w:rsid w:val="00CA7A5E"/>
    <w:rsid w:val="00CA7C31"/>
    <w:rsid w:val="00CB005A"/>
    <w:rsid w:val="00CB0725"/>
    <w:rsid w:val="00CB10EC"/>
    <w:rsid w:val="00CB1289"/>
    <w:rsid w:val="00CB283A"/>
    <w:rsid w:val="00CB2A75"/>
    <w:rsid w:val="00CB2CE4"/>
    <w:rsid w:val="00CB33E2"/>
    <w:rsid w:val="00CB3492"/>
    <w:rsid w:val="00CB3B8F"/>
    <w:rsid w:val="00CB3BC1"/>
    <w:rsid w:val="00CB40C7"/>
    <w:rsid w:val="00CB46A6"/>
    <w:rsid w:val="00CB4B1B"/>
    <w:rsid w:val="00CB63FC"/>
    <w:rsid w:val="00CB7410"/>
    <w:rsid w:val="00CB77F4"/>
    <w:rsid w:val="00CB7E4B"/>
    <w:rsid w:val="00CC0182"/>
    <w:rsid w:val="00CC0B55"/>
    <w:rsid w:val="00CC145F"/>
    <w:rsid w:val="00CC14D1"/>
    <w:rsid w:val="00CC1929"/>
    <w:rsid w:val="00CC1B3D"/>
    <w:rsid w:val="00CC3085"/>
    <w:rsid w:val="00CC36B8"/>
    <w:rsid w:val="00CC4706"/>
    <w:rsid w:val="00CC4C93"/>
    <w:rsid w:val="00CC55C8"/>
    <w:rsid w:val="00CC5BC7"/>
    <w:rsid w:val="00CC6B8C"/>
    <w:rsid w:val="00CD001F"/>
    <w:rsid w:val="00CD0FE1"/>
    <w:rsid w:val="00CD1600"/>
    <w:rsid w:val="00CD2904"/>
    <w:rsid w:val="00CD297B"/>
    <w:rsid w:val="00CD2EEE"/>
    <w:rsid w:val="00CD33DB"/>
    <w:rsid w:val="00CD359F"/>
    <w:rsid w:val="00CD3A2B"/>
    <w:rsid w:val="00CD3BC2"/>
    <w:rsid w:val="00CD42B7"/>
    <w:rsid w:val="00CD4446"/>
    <w:rsid w:val="00CD4678"/>
    <w:rsid w:val="00CD5BD3"/>
    <w:rsid w:val="00CD5E98"/>
    <w:rsid w:val="00CD6329"/>
    <w:rsid w:val="00CD66E1"/>
    <w:rsid w:val="00CD7227"/>
    <w:rsid w:val="00CE10CA"/>
    <w:rsid w:val="00CE1629"/>
    <w:rsid w:val="00CE1AC1"/>
    <w:rsid w:val="00CE1BE7"/>
    <w:rsid w:val="00CE280C"/>
    <w:rsid w:val="00CE2CF8"/>
    <w:rsid w:val="00CE3638"/>
    <w:rsid w:val="00CE44D0"/>
    <w:rsid w:val="00CE4A84"/>
    <w:rsid w:val="00CE520C"/>
    <w:rsid w:val="00CE5D6A"/>
    <w:rsid w:val="00CE5DD8"/>
    <w:rsid w:val="00CE6017"/>
    <w:rsid w:val="00CE6541"/>
    <w:rsid w:val="00CF0155"/>
    <w:rsid w:val="00CF028E"/>
    <w:rsid w:val="00CF07FF"/>
    <w:rsid w:val="00CF098F"/>
    <w:rsid w:val="00CF0CEA"/>
    <w:rsid w:val="00CF13C0"/>
    <w:rsid w:val="00CF1848"/>
    <w:rsid w:val="00CF23B8"/>
    <w:rsid w:val="00CF243F"/>
    <w:rsid w:val="00CF268B"/>
    <w:rsid w:val="00CF2F81"/>
    <w:rsid w:val="00CF2FF2"/>
    <w:rsid w:val="00CF31D9"/>
    <w:rsid w:val="00CF3CB9"/>
    <w:rsid w:val="00CF4AB9"/>
    <w:rsid w:val="00CF4DA4"/>
    <w:rsid w:val="00CF4FD4"/>
    <w:rsid w:val="00CF60D3"/>
    <w:rsid w:val="00CF64A1"/>
    <w:rsid w:val="00CF7B4B"/>
    <w:rsid w:val="00D0042F"/>
    <w:rsid w:val="00D011EE"/>
    <w:rsid w:val="00D01C20"/>
    <w:rsid w:val="00D01DD8"/>
    <w:rsid w:val="00D0213D"/>
    <w:rsid w:val="00D03610"/>
    <w:rsid w:val="00D0458A"/>
    <w:rsid w:val="00D04A63"/>
    <w:rsid w:val="00D04EAB"/>
    <w:rsid w:val="00D0528C"/>
    <w:rsid w:val="00D05790"/>
    <w:rsid w:val="00D057E2"/>
    <w:rsid w:val="00D06640"/>
    <w:rsid w:val="00D06717"/>
    <w:rsid w:val="00D06D53"/>
    <w:rsid w:val="00D07392"/>
    <w:rsid w:val="00D0757D"/>
    <w:rsid w:val="00D07CDD"/>
    <w:rsid w:val="00D07D07"/>
    <w:rsid w:val="00D10760"/>
    <w:rsid w:val="00D10DA1"/>
    <w:rsid w:val="00D10E6B"/>
    <w:rsid w:val="00D11830"/>
    <w:rsid w:val="00D12355"/>
    <w:rsid w:val="00D1252E"/>
    <w:rsid w:val="00D13900"/>
    <w:rsid w:val="00D1470D"/>
    <w:rsid w:val="00D14F9D"/>
    <w:rsid w:val="00D15051"/>
    <w:rsid w:val="00D15423"/>
    <w:rsid w:val="00D154E0"/>
    <w:rsid w:val="00D15794"/>
    <w:rsid w:val="00D1647A"/>
    <w:rsid w:val="00D16C1D"/>
    <w:rsid w:val="00D20A82"/>
    <w:rsid w:val="00D20BA6"/>
    <w:rsid w:val="00D2128D"/>
    <w:rsid w:val="00D22205"/>
    <w:rsid w:val="00D22FF6"/>
    <w:rsid w:val="00D231E9"/>
    <w:rsid w:val="00D23503"/>
    <w:rsid w:val="00D2438C"/>
    <w:rsid w:val="00D247A3"/>
    <w:rsid w:val="00D2482F"/>
    <w:rsid w:val="00D2646B"/>
    <w:rsid w:val="00D27AD9"/>
    <w:rsid w:val="00D27B33"/>
    <w:rsid w:val="00D27EC2"/>
    <w:rsid w:val="00D27FA5"/>
    <w:rsid w:val="00D3074A"/>
    <w:rsid w:val="00D30BBF"/>
    <w:rsid w:val="00D31917"/>
    <w:rsid w:val="00D31D13"/>
    <w:rsid w:val="00D31F08"/>
    <w:rsid w:val="00D3202D"/>
    <w:rsid w:val="00D33651"/>
    <w:rsid w:val="00D33E0F"/>
    <w:rsid w:val="00D345EE"/>
    <w:rsid w:val="00D34F51"/>
    <w:rsid w:val="00D35035"/>
    <w:rsid w:val="00D356C7"/>
    <w:rsid w:val="00D357E9"/>
    <w:rsid w:val="00D35896"/>
    <w:rsid w:val="00D359CF"/>
    <w:rsid w:val="00D36F21"/>
    <w:rsid w:val="00D37C36"/>
    <w:rsid w:val="00D40491"/>
    <w:rsid w:val="00D408BA"/>
    <w:rsid w:val="00D4113C"/>
    <w:rsid w:val="00D41307"/>
    <w:rsid w:val="00D41C3F"/>
    <w:rsid w:val="00D42555"/>
    <w:rsid w:val="00D426C3"/>
    <w:rsid w:val="00D428FE"/>
    <w:rsid w:val="00D42B46"/>
    <w:rsid w:val="00D434F9"/>
    <w:rsid w:val="00D43AE5"/>
    <w:rsid w:val="00D43DF5"/>
    <w:rsid w:val="00D44C29"/>
    <w:rsid w:val="00D44DF5"/>
    <w:rsid w:val="00D44FD6"/>
    <w:rsid w:val="00D45FEC"/>
    <w:rsid w:val="00D46177"/>
    <w:rsid w:val="00D46408"/>
    <w:rsid w:val="00D46665"/>
    <w:rsid w:val="00D46D03"/>
    <w:rsid w:val="00D476F6"/>
    <w:rsid w:val="00D47B9C"/>
    <w:rsid w:val="00D5005A"/>
    <w:rsid w:val="00D51303"/>
    <w:rsid w:val="00D51AFD"/>
    <w:rsid w:val="00D52880"/>
    <w:rsid w:val="00D52E36"/>
    <w:rsid w:val="00D532CC"/>
    <w:rsid w:val="00D537DD"/>
    <w:rsid w:val="00D53928"/>
    <w:rsid w:val="00D549A1"/>
    <w:rsid w:val="00D54C26"/>
    <w:rsid w:val="00D55688"/>
    <w:rsid w:val="00D563F8"/>
    <w:rsid w:val="00D567F8"/>
    <w:rsid w:val="00D5751B"/>
    <w:rsid w:val="00D576FC"/>
    <w:rsid w:val="00D60249"/>
    <w:rsid w:val="00D61303"/>
    <w:rsid w:val="00D6158D"/>
    <w:rsid w:val="00D61B8C"/>
    <w:rsid w:val="00D621F5"/>
    <w:rsid w:val="00D62400"/>
    <w:rsid w:val="00D63179"/>
    <w:rsid w:val="00D635A7"/>
    <w:rsid w:val="00D63738"/>
    <w:rsid w:val="00D644A8"/>
    <w:rsid w:val="00D655C8"/>
    <w:rsid w:val="00D65BA8"/>
    <w:rsid w:val="00D661DD"/>
    <w:rsid w:val="00D66A86"/>
    <w:rsid w:val="00D66D49"/>
    <w:rsid w:val="00D67B4F"/>
    <w:rsid w:val="00D70067"/>
    <w:rsid w:val="00D701F7"/>
    <w:rsid w:val="00D70222"/>
    <w:rsid w:val="00D70BA3"/>
    <w:rsid w:val="00D71A69"/>
    <w:rsid w:val="00D71BBE"/>
    <w:rsid w:val="00D71F98"/>
    <w:rsid w:val="00D728D9"/>
    <w:rsid w:val="00D7348B"/>
    <w:rsid w:val="00D7452F"/>
    <w:rsid w:val="00D74FA2"/>
    <w:rsid w:val="00D751F1"/>
    <w:rsid w:val="00D77113"/>
    <w:rsid w:val="00D77437"/>
    <w:rsid w:val="00D77539"/>
    <w:rsid w:val="00D77D35"/>
    <w:rsid w:val="00D80112"/>
    <w:rsid w:val="00D80D2E"/>
    <w:rsid w:val="00D80E24"/>
    <w:rsid w:val="00D820ED"/>
    <w:rsid w:val="00D823B3"/>
    <w:rsid w:val="00D823FD"/>
    <w:rsid w:val="00D8328A"/>
    <w:rsid w:val="00D8364E"/>
    <w:rsid w:val="00D83740"/>
    <w:rsid w:val="00D83C2D"/>
    <w:rsid w:val="00D83E82"/>
    <w:rsid w:val="00D83FD5"/>
    <w:rsid w:val="00D84133"/>
    <w:rsid w:val="00D8453E"/>
    <w:rsid w:val="00D84740"/>
    <w:rsid w:val="00D84F75"/>
    <w:rsid w:val="00D85845"/>
    <w:rsid w:val="00D86012"/>
    <w:rsid w:val="00D86AB5"/>
    <w:rsid w:val="00D86AC2"/>
    <w:rsid w:val="00D874EF"/>
    <w:rsid w:val="00D8757C"/>
    <w:rsid w:val="00D8783E"/>
    <w:rsid w:val="00D90003"/>
    <w:rsid w:val="00D90290"/>
    <w:rsid w:val="00D90A75"/>
    <w:rsid w:val="00D91267"/>
    <w:rsid w:val="00D91CA1"/>
    <w:rsid w:val="00D94450"/>
    <w:rsid w:val="00D94746"/>
    <w:rsid w:val="00D95961"/>
    <w:rsid w:val="00D95A03"/>
    <w:rsid w:val="00D95DB2"/>
    <w:rsid w:val="00D966D8"/>
    <w:rsid w:val="00D96F62"/>
    <w:rsid w:val="00D97334"/>
    <w:rsid w:val="00D9776E"/>
    <w:rsid w:val="00D97BFF"/>
    <w:rsid w:val="00DA0F84"/>
    <w:rsid w:val="00DA131D"/>
    <w:rsid w:val="00DA14DC"/>
    <w:rsid w:val="00DA180C"/>
    <w:rsid w:val="00DA1EBD"/>
    <w:rsid w:val="00DA22B2"/>
    <w:rsid w:val="00DA32BE"/>
    <w:rsid w:val="00DA34E8"/>
    <w:rsid w:val="00DA39FF"/>
    <w:rsid w:val="00DA41B6"/>
    <w:rsid w:val="00DA4B3B"/>
    <w:rsid w:val="00DA6BAA"/>
    <w:rsid w:val="00DA6F07"/>
    <w:rsid w:val="00DA7AD1"/>
    <w:rsid w:val="00DA7BB9"/>
    <w:rsid w:val="00DA7EE8"/>
    <w:rsid w:val="00DB0177"/>
    <w:rsid w:val="00DB022A"/>
    <w:rsid w:val="00DB0284"/>
    <w:rsid w:val="00DB0405"/>
    <w:rsid w:val="00DB076D"/>
    <w:rsid w:val="00DB0775"/>
    <w:rsid w:val="00DB08BD"/>
    <w:rsid w:val="00DB097C"/>
    <w:rsid w:val="00DB0D46"/>
    <w:rsid w:val="00DB1296"/>
    <w:rsid w:val="00DB1826"/>
    <w:rsid w:val="00DB24F8"/>
    <w:rsid w:val="00DB2562"/>
    <w:rsid w:val="00DB2771"/>
    <w:rsid w:val="00DB291C"/>
    <w:rsid w:val="00DB2961"/>
    <w:rsid w:val="00DB2DE4"/>
    <w:rsid w:val="00DB2F38"/>
    <w:rsid w:val="00DB3972"/>
    <w:rsid w:val="00DB452B"/>
    <w:rsid w:val="00DB4752"/>
    <w:rsid w:val="00DB58DA"/>
    <w:rsid w:val="00DB58DC"/>
    <w:rsid w:val="00DB5D95"/>
    <w:rsid w:val="00DB5FE8"/>
    <w:rsid w:val="00DB605C"/>
    <w:rsid w:val="00DB6528"/>
    <w:rsid w:val="00DB6AAD"/>
    <w:rsid w:val="00DB7BF7"/>
    <w:rsid w:val="00DB7D57"/>
    <w:rsid w:val="00DC0983"/>
    <w:rsid w:val="00DC13A0"/>
    <w:rsid w:val="00DC25DA"/>
    <w:rsid w:val="00DC27BC"/>
    <w:rsid w:val="00DC2D9D"/>
    <w:rsid w:val="00DC2DA5"/>
    <w:rsid w:val="00DC2FD6"/>
    <w:rsid w:val="00DC3155"/>
    <w:rsid w:val="00DC3B97"/>
    <w:rsid w:val="00DC3D4E"/>
    <w:rsid w:val="00DC5B08"/>
    <w:rsid w:val="00DC7D57"/>
    <w:rsid w:val="00DD03B3"/>
    <w:rsid w:val="00DD0B13"/>
    <w:rsid w:val="00DD1291"/>
    <w:rsid w:val="00DD138C"/>
    <w:rsid w:val="00DD196E"/>
    <w:rsid w:val="00DD2EEA"/>
    <w:rsid w:val="00DD3015"/>
    <w:rsid w:val="00DD3B7D"/>
    <w:rsid w:val="00DD3E4B"/>
    <w:rsid w:val="00DD41E3"/>
    <w:rsid w:val="00DD57B0"/>
    <w:rsid w:val="00DD5919"/>
    <w:rsid w:val="00DD623F"/>
    <w:rsid w:val="00DD67DF"/>
    <w:rsid w:val="00DD7E78"/>
    <w:rsid w:val="00DE0452"/>
    <w:rsid w:val="00DE0B57"/>
    <w:rsid w:val="00DE10F4"/>
    <w:rsid w:val="00DE1158"/>
    <w:rsid w:val="00DE1589"/>
    <w:rsid w:val="00DE24A2"/>
    <w:rsid w:val="00DE3C5B"/>
    <w:rsid w:val="00DE3CE6"/>
    <w:rsid w:val="00DE40E5"/>
    <w:rsid w:val="00DE43B8"/>
    <w:rsid w:val="00DE5D2D"/>
    <w:rsid w:val="00DE5FDD"/>
    <w:rsid w:val="00DE6116"/>
    <w:rsid w:val="00DE6277"/>
    <w:rsid w:val="00DE62A3"/>
    <w:rsid w:val="00DE67A0"/>
    <w:rsid w:val="00DE69C0"/>
    <w:rsid w:val="00DE7749"/>
    <w:rsid w:val="00DE7F9E"/>
    <w:rsid w:val="00DF0EEA"/>
    <w:rsid w:val="00DF10A5"/>
    <w:rsid w:val="00DF1587"/>
    <w:rsid w:val="00DF2B32"/>
    <w:rsid w:val="00DF2D94"/>
    <w:rsid w:val="00DF3298"/>
    <w:rsid w:val="00DF34F9"/>
    <w:rsid w:val="00DF3AB1"/>
    <w:rsid w:val="00DF4389"/>
    <w:rsid w:val="00DF4F74"/>
    <w:rsid w:val="00DF54C3"/>
    <w:rsid w:val="00DF5AFB"/>
    <w:rsid w:val="00DF6ECD"/>
    <w:rsid w:val="00DF743A"/>
    <w:rsid w:val="00DF74C7"/>
    <w:rsid w:val="00DF76AC"/>
    <w:rsid w:val="00DF7A76"/>
    <w:rsid w:val="00DF7C18"/>
    <w:rsid w:val="00DF7EA6"/>
    <w:rsid w:val="00E000DA"/>
    <w:rsid w:val="00E0110B"/>
    <w:rsid w:val="00E0119C"/>
    <w:rsid w:val="00E018DD"/>
    <w:rsid w:val="00E027F9"/>
    <w:rsid w:val="00E02ADF"/>
    <w:rsid w:val="00E03016"/>
    <w:rsid w:val="00E03067"/>
    <w:rsid w:val="00E03A22"/>
    <w:rsid w:val="00E03A5A"/>
    <w:rsid w:val="00E04007"/>
    <w:rsid w:val="00E0463D"/>
    <w:rsid w:val="00E065FC"/>
    <w:rsid w:val="00E06925"/>
    <w:rsid w:val="00E06B81"/>
    <w:rsid w:val="00E07A2B"/>
    <w:rsid w:val="00E07B03"/>
    <w:rsid w:val="00E07F3A"/>
    <w:rsid w:val="00E07FEE"/>
    <w:rsid w:val="00E100ED"/>
    <w:rsid w:val="00E10C7E"/>
    <w:rsid w:val="00E111E6"/>
    <w:rsid w:val="00E116D6"/>
    <w:rsid w:val="00E117C7"/>
    <w:rsid w:val="00E11CA8"/>
    <w:rsid w:val="00E11CDC"/>
    <w:rsid w:val="00E128E9"/>
    <w:rsid w:val="00E12E1D"/>
    <w:rsid w:val="00E13391"/>
    <w:rsid w:val="00E1365D"/>
    <w:rsid w:val="00E13A4D"/>
    <w:rsid w:val="00E13EEE"/>
    <w:rsid w:val="00E14522"/>
    <w:rsid w:val="00E153F5"/>
    <w:rsid w:val="00E16316"/>
    <w:rsid w:val="00E16C84"/>
    <w:rsid w:val="00E16E47"/>
    <w:rsid w:val="00E17319"/>
    <w:rsid w:val="00E17899"/>
    <w:rsid w:val="00E178CC"/>
    <w:rsid w:val="00E17F96"/>
    <w:rsid w:val="00E207DB"/>
    <w:rsid w:val="00E20C05"/>
    <w:rsid w:val="00E21A11"/>
    <w:rsid w:val="00E21EE0"/>
    <w:rsid w:val="00E2243A"/>
    <w:rsid w:val="00E22BD1"/>
    <w:rsid w:val="00E22FC7"/>
    <w:rsid w:val="00E2324D"/>
    <w:rsid w:val="00E2350E"/>
    <w:rsid w:val="00E23CFB"/>
    <w:rsid w:val="00E2423F"/>
    <w:rsid w:val="00E2463E"/>
    <w:rsid w:val="00E24919"/>
    <w:rsid w:val="00E24C29"/>
    <w:rsid w:val="00E252EA"/>
    <w:rsid w:val="00E256AD"/>
    <w:rsid w:val="00E25ACC"/>
    <w:rsid w:val="00E262AC"/>
    <w:rsid w:val="00E26306"/>
    <w:rsid w:val="00E26689"/>
    <w:rsid w:val="00E26A85"/>
    <w:rsid w:val="00E27244"/>
    <w:rsid w:val="00E276DD"/>
    <w:rsid w:val="00E30672"/>
    <w:rsid w:val="00E30A77"/>
    <w:rsid w:val="00E30BA7"/>
    <w:rsid w:val="00E32864"/>
    <w:rsid w:val="00E32AA1"/>
    <w:rsid w:val="00E338C5"/>
    <w:rsid w:val="00E33D60"/>
    <w:rsid w:val="00E3402D"/>
    <w:rsid w:val="00E342FC"/>
    <w:rsid w:val="00E3665A"/>
    <w:rsid w:val="00E3691F"/>
    <w:rsid w:val="00E36A87"/>
    <w:rsid w:val="00E37B2B"/>
    <w:rsid w:val="00E37E18"/>
    <w:rsid w:val="00E402C4"/>
    <w:rsid w:val="00E403E9"/>
    <w:rsid w:val="00E4056F"/>
    <w:rsid w:val="00E40DF5"/>
    <w:rsid w:val="00E410F3"/>
    <w:rsid w:val="00E42A1C"/>
    <w:rsid w:val="00E42B0D"/>
    <w:rsid w:val="00E42BCD"/>
    <w:rsid w:val="00E43804"/>
    <w:rsid w:val="00E43B89"/>
    <w:rsid w:val="00E43E95"/>
    <w:rsid w:val="00E447E1"/>
    <w:rsid w:val="00E44C19"/>
    <w:rsid w:val="00E4560C"/>
    <w:rsid w:val="00E45E53"/>
    <w:rsid w:val="00E4609B"/>
    <w:rsid w:val="00E46107"/>
    <w:rsid w:val="00E46814"/>
    <w:rsid w:val="00E46D33"/>
    <w:rsid w:val="00E477C2"/>
    <w:rsid w:val="00E477E4"/>
    <w:rsid w:val="00E51132"/>
    <w:rsid w:val="00E51368"/>
    <w:rsid w:val="00E5139F"/>
    <w:rsid w:val="00E513EF"/>
    <w:rsid w:val="00E51556"/>
    <w:rsid w:val="00E51D05"/>
    <w:rsid w:val="00E51E2C"/>
    <w:rsid w:val="00E5231C"/>
    <w:rsid w:val="00E524DC"/>
    <w:rsid w:val="00E52802"/>
    <w:rsid w:val="00E53D89"/>
    <w:rsid w:val="00E5402B"/>
    <w:rsid w:val="00E55534"/>
    <w:rsid w:val="00E55C9A"/>
    <w:rsid w:val="00E5605B"/>
    <w:rsid w:val="00E56EFD"/>
    <w:rsid w:val="00E60AE7"/>
    <w:rsid w:val="00E60E27"/>
    <w:rsid w:val="00E61141"/>
    <w:rsid w:val="00E61D4D"/>
    <w:rsid w:val="00E61E12"/>
    <w:rsid w:val="00E623F8"/>
    <w:rsid w:val="00E62C5B"/>
    <w:rsid w:val="00E62F41"/>
    <w:rsid w:val="00E63102"/>
    <w:rsid w:val="00E639AF"/>
    <w:rsid w:val="00E63ACD"/>
    <w:rsid w:val="00E63B26"/>
    <w:rsid w:val="00E6419C"/>
    <w:rsid w:val="00E64456"/>
    <w:rsid w:val="00E64815"/>
    <w:rsid w:val="00E64D67"/>
    <w:rsid w:val="00E65460"/>
    <w:rsid w:val="00E65E9F"/>
    <w:rsid w:val="00E709AB"/>
    <w:rsid w:val="00E7164C"/>
    <w:rsid w:val="00E71DDC"/>
    <w:rsid w:val="00E72F0F"/>
    <w:rsid w:val="00E7300A"/>
    <w:rsid w:val="00E769CE"/>
    <w:rsid w:val="00E76DA5"/>
    <w:rsid w:val="00E76E4E"/>
    <w:rsid w:val="00E7706D"/>
    <w:rsid w:val="00E80132"/>
    <w:rsid w:val="00E80AC0"/>
    <w:rsid w:val="00E80B0D"/>
    <w:rsid w:val="00E80CD5"/>
    <w:rsid w:val="00E80D5A"/>
    <w:rsid w:val="00E8152A"/>
    <w:rsid w:val="00E822D5"/>
    <w:rsid w:val="00E829FE"/>
    <w:rsid w:val="00E82BB0"/>
    <w:rsid w:val="00E839CE"/>
    <w:rsid w:val="00E83F20"/>
    <w:rsid w:val="00E84951"/>
    <w:rsid w:val="00E84C11"/>
    <w:rsid w:val="00E856F3"/>
    <w:rsid w:val="00E870DE"/>
    <w:rsid w:val="00E87A8B"/>
    <w:rsid w:val="00E87BF6"/>
    <w:rsid w:val="00E90139"/>
    <w:rsid w:val="00E90228"/>
    <w:rsid w:val="00E904FD"/>
    <w:rsid w:val="00E90803"/>
    <w:rsid w:val="00E90839"/>
    <w:rsid w:val="00E90EE0"/>
    <w:rsid w:val="00E90F0B"/>
    <w:rsid w:val="00E910E0"/>
    <w:rsid w:val="00E911B7"/>
    <w:rsid w:val="00E917FB"/>
    <w:rsid w:val="00E91B90"/>
    <w:rsid w:val="00E925C0"/>
    <w:rsid w:val="00E92982"/>
    <w:rsid w:val="00E94214"/>
    <w:rsid w:val="00E94919"/>
    <w:rsid w:val="00E94B58"/>
    <w:rsid w:val="00E94D61"/>
    <w:rsid w:val="00E9570A"/>
    <w:rsid w:val="00E96689"/>
    <w:rsid w:val="00E967CB"/>
    <w:rsid w:val="00E97B3A"/>
    <w:rsid w:val="00EA06E6"/>
    <w:rsid w:val="00EA0757"/>
    <w:rsid w:val="00EA0C49"/>
    <w:rsid w:val="00EA0EAE"/>
    <w:rsid w:val="00EA1446"/>
    <w:rsid w:val="00EA1883"/>
    <w:rsid w:val="00EA1B0C"/>
    <w:rsid w:val="00EA2168"/>
    <w:rsid w:val="00EA2606"/>
    <w:rsid w:val="00EA34D1"/>
    <w:rsid w:val="00EA3D64"/>
    <w:rsid w:val="00EA3E4C"/>
    <w:rsid w:val="00EA40D0"/>
    <w:rsid w:val="00EA421A"/>
    <w:rsid w:val="00EA499D"/>
    <w:rsid w:val="00EA4CAA"/>
    <w:rsid w:val="00EA5B4D"/>
    <w:rsid w:val="00EA5D0F"/>
    <w:rsid w:val="00EA5FE5"/>
    <w:rsid w:val="00EA63D5"/>
    <w:rsid w:val="00EA7106"/>
    <w:rsid w:val="00EA7EF0"/>
    <w:rsid w:val="00EB02A6"/>
    <w:rsid w:val="00EB0404"/>
    <w:rsid w:val="00EB1FC7"/>
    <w:rsid w:val="00EB4441"/>
    <w:rsid w:val="00EB4EEC"/>
    <w:rsid w:val="00EB5207"/>
    <w:rsid w:val="00EB5495"/>
    <w:rsid w:val="00EB56C4"/>
    <w:rsid w:val="00EB59CC"/>
    <w:rsid w:val="00EB5A3D"/>
    <w:rsid w:val="00EB63C4"/>
    <w:rsid w:val="00EB6CF2"/>
    <w:rsid w:val="00EB6DE0"/>
    <w:rsid w:val="00EB784E"/>
    <w:rsid w:val="00EB7964"/>
    <w:rsid w:val="00EB7BA6"/>
    <w:rsid w:val="00EB7C31"/>
    <w:rsid w:val="00EC0339"/>
    <w:rsid w:val="00EC106A"/>
    <w:rsid w:val="00EC2170"/>
    <w:rsid w:val="00EC28E2"/>
    <w:rsid w:val="00EC2A96"/>
    <w:rsid w:val="00EC2E91"/>
    <w:rsid w:val="00EC3208"/>
    <w:rsid w:val="00EC33E7"/>
    <w:rsid w:val="00EC465D"/>
    <w:rsid w:val="00EC511D"/>
    <w:rsid w:val="00EC54AE"/>
    <w:rsid w:val="00EC54D0"/>
    <w:rsid w:val="00EC619D"/>
    <w:rsid w:val="00EC62F8"/>
    <w:rsid w:val="00ED0273"/>
    <w:rsid w:val="00ED102F"/>
    <w:rsid w:val="00ED11EA"/>
    <w:rsid w:val="00ED123D"/>
    <w:rsid w:val="00ED20F5"/>
    <w:rsid w:val="00ED3B36"/>
    <w:rsid w:val="00ED4411"/>
    <w:rsid w:val="00ED4733"/>
    <w:rsid w:val="00ED4D0A"/>
    <w:rsid w:val="00ED4FC6"/>
    <w:rsid w:val="00ED58B2"/>
    <w:rsid w:val="00ED5BEA"/>
    <w:rsid w:val="00ED5E90"/>
    <w:rsid w:val="00ED78A4"/>
    <w:rsid w:val="00EE03B8"/>
    <w:rsid w:val="00EE13D7"/>
    <w:rsid w:val="00EE1B46"/>
    <w:rsid w:val="00EE1C05"/>
    <w:rsid w:val="00EE2ABB"/>
    <w:rsid w:val="00EE2C9C"/>
    <w:rsid w:val="00EE3A5B"/>
    <w:rsid w:val="00EE4E1B"/>
    <w:rsid w:val="00EE577A"/>
    <w:rsid w:val="00EE60B6"/>
    <w:rsid w:val="00EE7289"/>
    <w:rsid w:val="00EE7778"/>
    <w:rsid w:val="00EF077E"/>
    <w:rsid w:val="00EF0FD7"/>
    <w:rsid w:val="00EF12BB"/>
    <w:rsid w:val="00EF143E"/>
    <w:rsid w:val="00EF18EF"/>
    <w:rsid w:val="00EF207D"/>
    <w:rsid w:val="00EF21BC"/>
    <w:rsid w:val="00EF2475"/>
    <w:rsid w:val="00EF2E5F"/>
    <w:rsid w:val="00EF5507"/>
    <w:rsid w:val="00EF55CC"/>
    <w:rsid w:val="00EF57C5"/>
    <w:rsid w:val="00EF5F80"/>
    <w:rsid w:val="00EF63B0"/>
    <w:rsid w:val="00EF6748"/>
    <w:rsid w:val="00EF6BF4"/>
    <w:rsid w:val="00EF7B77"/>
    <w:rsid w:val="00EF7CA2"/>
    <w:rsid w:val="00EF7D07"/>
    <w:rsid w:val="00F00A20"/>
    <w:rsid w:val="00F00D6B"/>
    <w:rsid w:val="00F01747"/>
    <w:rsid w:val="00F027AE"/>
    <w:rsid w:val="00F02922"/>
    <w:rsid w:val="00F02B75"/>
    <w:rsid w:val="00F02C9B"/>
    <w:rsid w:val="00F03215"/>
    <w:rsid w:val="00F03ADA"/>
    <w:rsid w:val="00F04247"/>
    <w:rsid w:val="00F05AEA"/>
    <w:rsid w:val="00F05B80"/>
    <w:rsid w:val="00F05BBF"/>
    <w:rsid w:val="00F06A15"/>
    <w:rsid w:val="00F07FBE"/>
    <w:rsid w:val="00F1004C"/>
    <w:rsid w:val="00F10F26"/>
    <w:rsid w:val="00F1144D"/>
    <w:rsid w:val="00F11E6A"/>
    <w:rsid w:val="00F129F5"/>
    <w:rsid w:val="00F12CF9"/>
    <w:rsid w:val="00F142E8"/>
    <w:rsid w:val="00F149D5"/>
    <w:rsid w:val="00F16181"/>
    <w:rsid w:val="00F16E13"/>
    <w:rsid w:val="00F2064F"/>
    <w:rsid w:val="00F20801"/>
    <w:rsid w:val="00F20852"/>
    <w:rsid w:val="00F21F11"/>
    <w:rsid w:val="00F22CAC"/>
    <w:rsid w:val="00F22ED7"/>
    <w:rsid w:val="00F22FFB"/>
    <w:rsid w:val="00F24558"/>
    <w:rsid w:val="00F249ED"/>
    <w:rsid w:val="00F24A22"/>
    <w:rsid w:val="00F25332"/>
    <w:rsid w:val="00F26925"/>
    <w:rsid w:val="00F271BA"/>
    <w:rsid w:val="00F3087E"/>
    <w:rsid w:val="00F3219A"/>
    <w:rsid w:val="00F32714"/>
    <w:rsid w:val="00F33475"/>
    <w:rsid w:val="00F33651"/>
    <w:rsid w:val="00F33730"/>
    <w:rsid w:val="00F33E35"/>
    <w:rsid w:val="00F34D7C"/>
    <w:rsid w:val="00F353F3"/>
    <w:rsid w:val="00F359F8"/>
    <w:rsid w:val="00F35F4B"/>
    <w:rsid w:val="00F35FA1"/>
    <w:rsid w:val="00F3679A"/>
    <w:rsid w:val="00F36D45"/>
    <w:rsid w:val="00F37170"/>
    <w:rsid w:val="00F378F0"/>
    <w:rsid w:val="00F4160E"/>
    <w:rsid w:val="00F41653"/>
    <w:rsid w:val="00F41F4E"/>
    <w:rsid w:val="00F42370"/>
    <w:rsid w:val="00F42589"/>
    <w:rsid w:val="00F4306B"/>
    <w:rsid w:val="00F43080"/>
    <w:rsid w:val="00F43095"/>
    <w:rsid w:val="00F43D64"/>
    <w:rsid w:val="00F44C1C"/>
    <w:rsid w:val="00F44C77"/>
    <w:rsid w:val="00F44D84"/>
    <w:rsid w:val="00F4500B"/>
    <w:rsid w:val="00F45937"/>
    <w:rsid w:val="00F459B8"/>
    <w:rsid w:val="00F45BD7"/>
    <w:rsid w:val="00F45C7D"/>
    <w:rsid w:val="00F46EB4"/>
    <w:rsid w:val="00F47023"/>
    <w:rsid w:val="00F47286"/>
    <w:rsid w:val="00F47BB3"/>
    <w:rsid w:val="00F47CDD"/>
    <w:rsid w:val="00F47DDC"/>
    <w:rsid w:val="00F47FD1"/>
    <w:rsid w:val="00F50EEE"/>
    <w:rsid w:val="00F52195"/>
    <w:rsid w:val="00F536C8"/>
    <w:rsid w:val="00F54595"/>
    <w:rsid w:val="00F54995"/>
    <w:rsid w:val="00F54BBD"/>
    <w:rsid w:val="00F54BE8"/>
    <w:rsid w:val="00F54F00"/>
    <w:rsid w:val="00F5573F"/>
    <w:rsid w:val="00F56DDE"/>
    <w:rsid w:val="00F56F73"/>
    <w:rsid w:val="00F57859"/>
    <w:rsid w:val="00F57C73"/>
    <w:rsid w:val="00F6089E"/>
    <w:rsid w:val="00F60C8D"/>
    <w:rsid w:val="00F60EDA"/>
    <w:rsid w:val="00F62103"/>
    <w:rsid w:val="00F6238E"/>
    <w:rsid w:val="00F62A84"/>
    <w:rsid w:val="00F62F98"/>
    <w:rsid w:val="00F63487"/>
    <w:rsid w:val="00F640A3"/>
    <w:rsid w:val="00F64865"/>
    <w:rsid w:val="00F651BE"/>
    <w:rsid w:val="00F66BC1"/>
    <w:rsid w:val="00F66C21"/>
    <w:rsid w:val="00F67DAD"/>
    <w:rsid w:val="00F67E04"/>
    <w:rsid w:val="00F67F52"/>
    <w:rsid w:val="00F70F69"/>
    <w:rsid w:val="00F70F8E"/>
    <w:rsid w:val="00F715C3"/>
    <w:rsid w:val="00F71B12"/>
    <w:rsid w:val="00F71DFC"/>
    <w:rsid w:val="00F72091"/>
    <w:rsid w:val="00F721AA"/>
    <w:rsid w:val="00F728EB"/>
    <w:rsid w:val="00F73691"/>
    <w:rsid w:val="00F73DF1"/>
    <w:rsid w:val="00F74046"/>
    <w:rsid w:val="00F753ED"/>
    <w:rsid w:val="00F75D66"/>
    <w:rsid w:val="00F77B17"/>
    <w:rsid w:val="00F8035E"/>
    <w:rsid w:val="00F8106C"/>
    <w:rsid w:val="00F811E4"/>
    <w:rsid w:val="00F81497"/>
    <w:rsid w:val="00F81E60"/>
    <w:rsid w:val="00F82FAE"/>
    <w:rsid w:val="00F83D17"/>
    <w:rsid w:val="00F83D5D"/>
    <w:rsid w:val="00F840C5"/>
    <w:rsid w:val="00F84730"/>
    <w:rsid w:val="00F84BBF"/>
    <w:rsid w:val="00F85CC5"/>
    <w:rsid w:val="00F865D9"/>
    <w:rsid w:val="00F870BA"/>
    <w:rsid w:val="00F872EF"/>
    <w:rsid w:val="00F873E8"/>
    <w:rsid w:val="00F8772C"/>
    <w:rsid w:val="00F87912"/>
    <w:rsid w:val="00F87DC0"/>
    <w:rsid w:val="00F87FC1"/>
    <w:rsid w:val="00F90035"/>
    <w:rsid w:val="00F90073"/>
    <w:rsid w:val="00F90540"/>
    <w:rsid w:val="00F90BDC"/>
    <w:rsid w:val="00F911CC"/>
    <w:rsid w:val="00F9237D"/>
    <w:rsid w:val="00F92AEF"/>
    <w:rsid w:val="00F932B7"/>
    <w:rsid w:val="00F93DBA"/>
    <w:rsid w:val="00F947B7"/>
    <w:rsid w:val="00F94D0B"/>
    <w:rsid w:val="00F95003"/>
    <w:rsid w:val="00F95632"/>
    <w:rsid w:val="00F96626"/>
    <w:rsid w:val="00F966BD"/>
    <w:rsid w:val="00F96B69"/>
    <w:rsid w:val="00F97844"/>
    <w:rsid w:val="00F97D8B"/>
    <w:rsid w:val="00FA0721"/>
    <w:rsid w:val="00FA17F2"/>
    <w:rsid w:val="00FA1A79"/>
    <w:rsid w:val="00FA2FAB"/>
    <w:rsid w:val="00FA32DA"/>
    <w:rsid w:val="00FA33C5"/>
    <w:rsid w:val="00FA34C9"/>
    <w:rsid w:val="00FA3823"/>
    <w:rsid w:val="00FA3AB3"/>
    <w:rsid w:val="00FA3C69"/>
    <w:rsid w:val="00FA562A"/>
    <w:rsid w:val="00FA5D06"/>
    <w:rsid w:val="00FA5E6D"/>
    <w:rsid w:val="00FA69DA"/>
    <w:rsid w:val="00FA6AAC"/>
    <w:rsid w:val="00FA720A"/>
    <w:rsid w:val="00FA78CC"/>
    <w:rsid w:val="00FB0A71"/>
    <w:rsid w:val="00FB0B8B"/>
    <w:rsid w:val="00FB0BF2"/>
    <w:rsid w:val="00FB0C70"/>
    <w:rsid w:val="00FB1051"/>
    <w:rsid w:val="00FB1745"/>
    <w:rsid w:val="00FB1C8B"/>
    <w:rsid w:val="00FB2711"/>
    <w:rsid w:val="00FB2DE3"/>
    <w:rsid w:val="00FB356A"/>
    <w:rsid w:val="00FB3CC9"/>
    <w:rsid w:val="00FB3D6B"/>
    <w:rsid w:val="00FB3E2A"/>
    <w:rsid w:val="00FB440D"/>
    <w:rsid w:val="00FB4BA9"/>
    <w:rsid w:val="00FB61E7"/>
    <w:rsid w:val="00FB6BA7"/>
    <w:rsid w:val="00FB7212"/>
    <w:rsid w:val="00FB7CAE"/>
    <w:rsid w:val="00FC0138"/>
    <w:rsid w:val="00FC076B"/>
    <w:rsid w:val="00FC0C73"/>
    <w:rsid w:val="00FC0DFA"/>
    <w:rsid w:val="00FC126C"/>
    <w:rsid w:val="00FC1484"/>
    <w:rsid w:val="00FC204C"/>
    <w:rsid w:val="00FC2106"/>
    <w:rsid w:val="00FC25C7"/>
    <w:rsid w:val="00FC2A57"/>
    <w:rsid w:val="00FC4052"/>
    <w:rsid w:val="00FC55C0"/>
    <w:rsid w:val="00FC57D1"/>
    <w:rsid w:val="00FC5BF2"/>
    <w:rsid w:val="00FC5DA4"/>
    <w:rsid w:val="00FC629D"/>
    <w:rsid w:val="00FC6B6F"/>
    <w:rsid w:val="00FC6E47"/>
    <w:rsid w:val="00FC745E"/>
    <w:rsid w:val="00FC7500"/>
    <w:rsid w:val="00FC7F34"/>
    <w:rsid w:val="00FD0355"/>
    <w:rsid w:val="00FD0947"/>
    <w:rsid w:val="00FD0A3E"/>
    <w:rsid w:val="00FD0B23"/>
    <w:rsid w:val="00FD1100"/>
    <w:rsid w:val="00FD15F2"/>
    <w:rsid w:val="00FD16F6"/>
    <w:rsid w:val="00FD1B31"/>
    <w:rsid w:val="00FD2000"/>
    <w:rsid w:val="00FD33D8"/>
    <w:rsid w:val="00FD3A44"/>
    <w:rsid w:val="00FD3C38"/>
    <w:rsid w:val="00FD3E47"/>
    <w:rsid w:val="00FD4DC2"/>
    <w:rsid w:val="00FD5273"/>
    <w:rsid w:val="00FD56D1"/>
    <w:rsid w:val="00FD5D89"/>
    <w:rsid w:val="00FD5FBA"/>
    <w:rsid w:val="00FD6540"/>
    <w:rsid w:val="00FD7281"/>
    <w:rsid w:val="00FD7777"/>
    <w:rsid w:val="00FD785F"/>
    <w:rsid w:val="00FE1A3A"/>
    <w:rsid w:val="00FE284A"/>
    <w:rsid w:val="00FE303C"/>
    <w:rsid w:val="00FE462D"/>
    <w:rsid w:val="00FE4830"/>
    <w:rsid w:val="00FE4910"/>
    <w:rsid w:val="00FE4A1D"/>
    <w:rsid w:val="00FE4AED"/>
    <w:rsid w:val="00FE56DB"/>
    <w:rsid w:val="00FE5904"/>
    <w:rsid w:val="00FE621D"/>
    <w:rsid w:val="00FE67CC"/>
    <w:rsid w:val="00FE6F04"/>
    <w:rsid w:val="00FE7753"/>
    <w:rsid w:val="00FE7AA4"/>
    <w:rsid w:val="00FF0290"/>
    <w:rsid w:val="00FF0E86"/>
    <w:rsid w:val="00FF112E"/>
    <w:rsid w:val="00FF12C9"/>
    <w:rsid w:val="00FF173F"/>
    <w:rsid w:val="00FF1965"/>
    <w:rsid w:val="00FF250E"/>
    <w:rsid w:val="00FF2689"/>
    <w:rsid w:val="00FF3233"/>
    <w:rsid w:val="00FF3386"/>
    <w:rsid w:val="00FF338D"/>
    <w:rsid w:val="00FF34AE"/>
    <w:rsid w:val="00FF374A"/>
    <w:rsid w:val="00FF448E"/>
    <w:rsid w:val="00FF4653"/>
    <w:rsid w:val="00FF502D"/>
    <w:rsid w:val="00FF50BC"/>
    <w:rsid w:val="00FF54A4"/>
    <w:rsid w:val="00FF5553"/>
    <w:rsid w:val="00FF5721"/>
    <w:rsid w:val="00FF5A19"/>
    <w:rsid w:val="00FF5D7A"/>
    <w:rsid w:val="00FF5DE8"/>
    <w:rsid w:val="00FF6931"/>
    <w:rsid w:val="00FF6D2A"/>
    <w:rsid w:val="00FF6FD1"/>
    <w:rsid w:val="00FF7029"/>
    <w:rsid w:val="00FF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5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
      </w:numPr>
      <w:spacing w:before="240" w:after="240"/>
      <w:outlineLvl w:val="0"/>
    </w:pPr>
    <w:rPr>
      <w:rFonts w:ascii="Calibri" w:eastAsiaTheme="minorHAnsi" w:hAnsi="Calibri" w:cstheme="minorBidi"/>
      <w:b/>
      <w:caps/>
      <w:szCs w:val="22"/>
      <w:lang w:eastAsia="en-US"/>
    </w:rPr>
  </w:style>
  <w:style w:type="character" w:styleId="PlaceholderText">
    <w:name w:val="Placeholder Text"/>
    <w:basedOn w:val="DefaultParagraphFont"/>
    <w:uiPriority w:val="99"/>
    <w:semiHidden/>
    <w:rsid w:val="009F7E02"/>
    <w:rPr>
      <w:color w:val="808080"/>
    </w:rPr>
  </w:style>
  <w:style w:type="character" w:customStyle="1" w:styleId="st">
    <w:name w:val="st"/>
    <w:basedOn w:val="DefaultParagraphFont"/>
    <w:rsid w:val="00F872EF"/>
  </w:style>
  <w:style w:type="paragraph" w:customStyle="1" w:styleId="BodyTextNoSpacing">
    <w:name w:val="Body Text No Spacing"/>
    <w:basedOn w:val="BodyText"/>
    <w:qFormat/>
    <w:rsid w:val="00EB6DE0"/>
    <w:pPr>
      <w:spacing w:before="0" w:after="0" w:line="240" w:lineRule="atLeast"/>
      <w:jc w:val="left"/>
    </w:pPr>
    <w:rPr>
      <w:rFonts w:ascii="Verdana" w:eastAsiaTheme="minorHAnsi" w:hAnsi="Verdana" w:cstheme="minorBidi"/>
      <w:sz w:val="20"/>
    </w:rPr>
  </w:style>
  <w:style w:type="paragraph" w:styleId="EndnoteText">
    <w:name w:val="endnote text"/>
    <w:basedOn w:val="Normal"/>
    <w:link w:val="EndnoteTextChar"/>
    <w:uiPriority w:val="99"/>
    <w:semiHidden/>
    <w:unhideWhenUsed/>
    <w:rsid w:val="00DB1296"/>
    <w:rPr>
      <w:sz w:val="20"/>
      <w:szCs w:val="20"/>
    </w:rPr>
  </w:style>
  <w:style w:type="character" w:customStyle="1" w:styleId="EndnoteTextChar">
    <w:name w:val="Endnote Text Char"/>
    <w:basedOn w:val="DefaultParagraphFont"/>
    <w:link w:val="EndnoteText"/>
    <w:uiPriority w:val="99"/>
    <w:semiHidden/>
    <w:rsid w:val="00DB1296"/>
    <w:rPr>
      <w:sz w:val="20"/>
      <w:szCs w:val="20"/>
    </w:rPr>
  </w:style>
  <w:style w:type="character" w:styleId="EndnoteReference">
    <w:name w:val="endnote reference"/>
    <w:basedOn w:val="DefaultParagraphFont"/>
    <w:uiPriority w:val="99"/>
    <w:semiHidden/>
    <w:unhideWhenUsed/>
    <w:rsid w:val="00DB12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5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
      </w:numPr>
      <w:spacing w:before="240" w:after="240"/>
      <w:outlineLvl w:val="0"/>
    </w:pPr>
    <w:rPr>
      <w:rFonts w:ascii="Calibri" w:eastAsiaTheme="minorHAnsi" w:hAnsi="Calibri" w:cstheme="minorBidi"/>
      <w:b/>
      <w:caps/>
      <w:szCs w:val="22"/>
      <w:lang w:eastAsia="en-US"/>
    </w:rPr>
  </w:style>
  <w:style w:type="character" w:styleId="PlaceholderText">
    <w:name w:val="Placeholder Text"/>
    <w:basedOn w:val="DefaultParagraphFont"/>
    <w:uiPriority w:val="99"/>
    <w:semiHidden/>
    <w:rsid w:val="009F7E02"/>
    <w:rPr>
      <w:color w:val="808080"/>
    </w:rPr>
  </w:style>
  <w:style w:type="character" w:customStyle="1" w:styleId="st">
    <w:name w:val="st"/>
    <w:basedOn w:val="DefaultParagraphFont"/>
    <w:rsid w:val="00F872EF"/>
  </w:style>
  <w:style w:type="paragraph" w:customStyle="1" w:styleId="BodyTextNoSpacing">
    <w:name w:val="Body Text No Spacing"/>
    <w:basedOn w:val="BodyText"/>
    <w:qFormat/>
    <w:rsid w:val="00EB6DE0"/>
    <w:pPr>
      <w:spacing w:before="0" w:after="0" w:line="240" w:lineRule="atLeast"/>
      <w:jc w:val="left"/>
    </w:pPr>
    <w:rPr>
      <w:rFonts w:ascii="Verdana" w:eastAsiaTheme="minorHAnsi" w:hAnsi="Verdana" w:cstheme="minorBidi"/>
      <w:sz w:val="20"/>
    </w:rPr>
  </w:style>
  <w:style w:type="paragraph" w:styleId="EndnoteText">
    <w:name w:val="endnote text"/>
    <w:basedOn w:val="Normal"/>
    <w:link w:val="EndnoteTextChar"/>
    <w:uiPriority w:val="99"/>
    <w:semiHidden/>
    <w:unhideWhenUsed/>
    <w:rsid w:val="00DB1296"/>
    <w:rPr>
      <w:sz w:val="20"/>
      <w:szCs w:val="20"/>
    </w:rPr>
  </w:style>
  <w:style w:type="character" w:customStyle="1" w:styleId="EndnoteTextChar">
    <w:name w:val="Endnote Text Char"/>
    <w:basedOn w:val="DefaultParagraphFont"/>
    <w:link w:val="EndnoteText"/>
    <w:uiPriority w:val="99"/>
    <w:semiHidden/>
    <w:rsid w:val="00DB1296"/>
    <w:rPr>
      <w:sz w:val="20"/>
      <w:szCs w:val="20"/>
    </w:rPr>
  </w:style>
  <w:style w:type="character" w:styleId="EndnoteReference">
    <w:name w:val="endnote reference"/>
    <w:basedOn w:val="DefaultParagraphFont"/>
    <w:uiPriority w:val="99"/>
    <w:semiHidden/>
    <w:unhideWhenUsed/>
    <w:rsid w:val="00DB1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034">
      <w:bodyDiv w:val="1"/>
      <w:marLeft w:val="0"/>
      <w:marRight w:val="0"/>
      <w:marTop w:val="0"/>
      <w:marBottom w:val="0"/>
      <w:divBdr>
        <w:top w:val="none" w:sz="0" w:space="0" w:color="auto"/>
        <w:left w:val="none" w:sz="0" w:space="0" w:color="auto"/>
        <w:bottom w:val="none" w:sz="0" w:space="0" w:color="auto"/>
        <w:right w:val="none" w:sz="0" w:space="0" w:color="auto"/>
      </w:divBdr>
    </w:div>
    <w:div w:id="141896177">
      <w:bodyDiv w:val="1"/>
      <w:marLeft w:val="0"/>
      <w:marRight w:val="0"/>
      <w:marTop w:val="0"/>
      <w:marBottom w:val="0"/>
      <w:divBdr>
        <w:top w:val="none" w:sz="0" w:space="0" w:color="auto"/>
        <w:left w:val="none" w:sz="0" w:space="0" w:color="auto"/>
        <w:bottom w:val="none" w:sz="0" w:space="0" w:color="auto"/>
        <w:right w:val="none" w:sz="0" w:space="0" w:color="auto"/>
      </w:divBdr>
    </w:div>
    <w:div w:id="213153778">
      <w:bodyDiv w:val="1"/>
      <w:marLeft w:val="0"/>
      <w:marRight w:val="0"/>
      <w:marTop w:val="0"/>
      <w:marBottom w:val="0"/>
      <w:divBdr>
        <w:top w:val="none" w:sz="0" w:space="0" w:color="auto"/>
        <w:left w:val="none" w:sz="0" w:space="0" w:color="auto"/>
        <w:bottom w:val="none" w:sz="0" w:space="0" w:color="auto"/>
        <w:right w:val="none" w:sz="0" w:space="0" w:color="auto"/>
      </w:divBdr>
    </w:div>
    <w:div w:id="301279027">
      <w:bodyDiv w:val="1"/>
      <w:marLeft w:val="0"/>
      <w:marRight w:val="0"/>
      <w:marTop w:val="0"/>
      <w:marBottom w:val="0"/>
      <w:divBdr>
        <w:top w:val="none" w:sz="0" w:space="0" w:color="auto"/>
        <w:left w:val="none" w:sz="0" w:space="0" w:color="auto"/>
        <w:bottom w:val="none" w:sz="0" w:space="0" w:color="auto"/>
        <w:right w:val="none" w:sz="0" w:space="0" w:color="auto"/>
      </w:divBdr>
    </w:div>
    <w:div w:id="539585923">
      <w:bodyDiv w:val="1"/>
      <w:marLeft w:val="0"/>
      <w:marRight w:val="0"/>
      <w:marTop w:val="0"/>
      <w:marBottom w:val="0"/>
      <w:divBdr>
        <w:top w:val="none" w:sz="0" w:space="0" w:color="auto"/>
        <w:left w:val="none" w:sz="0" w:space="0" w:color="auto"/>
        <w:bottom w:val="none" w:sz="0" w:space="0" w:color="auto"/>
        <w:right w:val="none" w:sz="0" w:space="0" w:color="auto"/>
      </w:divBdr>
    </w:div>
    <w:div w:id="1083723976">
      <w:bodyDiv w:val="1"/>
      <w:marLeft w:val="0"/>
      <w:marRight w:val="0"/>
      <w:marTop w:val="0"/>
      <w:marBottom w:val="0"/>
      <w:divBdr>
        <w:top w:val="none" w:sz="0" w:space="0" w:color="auto"/>
        <w:left w:val="none" w:sz="0" w:space="0" w:color="auto"/>
        <w:bottom w:val="none" w:sz="0" w:space="0" w:color="auto"/>
        <w:right w:val="none" w:sz="0" w:space="0" w:color="auto"/>
      </w:divBdr>
    </w:div>
    <w:div w:id="1216313288">
      <w:marLeft w:val="0"/>
      <w:marRight w:val="0"/>
      <w:marTop w:val="0"/>
      <w:marBottom w:val="0"/>
      <w:divBdr>
        <w:top w:val="none" w:sz="0" w:space="0" w:color="auto"/>
        <w:left w:val="none" w:sz="0" w:space="0" w:color="auto"/>
        <w:bottom w:val="none" w:sz="0" w:space="0" w:color="auto"/>
        <w:right w:val="none" w:sz="0" w:space="0" w:color="auto"/>
      </w:divBdr>
    </w:div>
    <w:div w:id="1216313289">
      <w:marLeft w:val="0"/>
      <w:marRight w:val="0"/>
      <w:marTop w:val="0"/>
      <w:marBottom w:val="0"/>
      <w:divBdr>
        <w:top w:val="none" w:sz="0" w:space="0" w:color="auto"/>
        <w:left w:val="none" w:sz="0" w:space="0" w:color="auto"/>
        <w:bottom w:val="none" w:sz="0" w:space="0" w:color="auto"/>
        <w:right w:val="none" w:sz="0" w:space="0" w:color="auto"/>
      </w:divBdr>
    </w:div>
    <w:div w:id="1216313290">
      <w:marLeft w:val="0"/>
      <w:marRight w:val="0"/>
      <w:marTop w:val="0"/>
      <w:marBottom w:val="0"/>
      <w:divBdr>
        <w:top w:val="none" w:sz="0" w:space="0" w:color="auto"/>
        <w:left w:val="none" w:sz="0" w:space="0" w:color="auto"/>
        <w:bottom w:val="none" w:sz="0" w:space="0" w:color="auto"/>
        <w:right w:val="none" w:sz="0" w:space="0" w:color="auto"/>
      </w:divBdr>
    </w:div>
    <w:div w:id="1216313291">
      <w:marLeft w:val="0"/>
      <w:marRight w:val="0"/>
      <w:marTop w:val="0"/>
      <w:marBottom w:val="0"/>
      <w:divBdr>
        <w:top w:val="none" w:sz="0" w:space="0" w:color="auto"/>
        <w:left w:val="none" w:sz="0" w:space="0" w:color="auto"/>
        <w:bottom w:val="none" w:sz="0" w:space="0" w:color="auto"/>
        <w:right w:val="none" w:sz="0" w:space="0" w:color="auto"/>
      </w:divBdr>
    </w:div>
    <w:div w:id="1216313292">
      <w:marLeft w:val="0"/>
      <w:marRight w:val="0"/>
      <w:marTop w:val="0"/>
      <w:marBottom w:val="0"/>
      <w:divBdr>
        <w:top w:val="none" w:sz="0" w:space="0" w:color="auto"/>
        <w:left w:val="none" w:sz="0" w:space="0" w:color="auto"/>
        <w:bottom w:val="none" w:sz="0" w:space="0" w:color="auto"/>
        <w:right w:val="none" w:sz="0" w:space="0" w:color="auto"/>
      </w:divBdr>
    </w:div>
    <w:div w:id="1216313293">
      <w:marLeft w:val="0"/>
      <w:marRight w:val="0"/>
      <w:marTop w:val="0"/>
      <w:marBottom w:val="0"/>
      <w:divBdr>
        <w:top w:val="none" w:sz="0" w:space="0" w:color="auto"/>
        <w:left w:val="none" w:sz="0" w:space="0" w:color="auto"/>
        <w:bottom w:val="none" w:sz="0" w:space="0" w:color="auto"/>
        <w:right w:val="none" w:sz="0" w:space="0" w:color="auto"/>
      </w:divBdr>
    </w:div>
    <w:div w:id="1216313294">
      <w:marLeft w:val="0"/>
      <w:marRight w:val="0"/>
      <w:marTop w:val="0"/>
      <w:marBottom w:val="0"/>
      <w:divBdr>
        <w:top w:val="none" w:sz="0" w:space="0" w:color="auto"/>
        <w:left w:val="none" w:sz="0" w:space="0" w:color="auto"/>
        <w:bottom w:val="none" w:sz="0" w:space="0" w:color="auto"/>
        <w:right w:val="none" w:sz="0" w:space="0" w:color="auto"/>
      </w:divBdr>
    </w:div>
    <w:div w:id="1216313295">
      <w:marLeft w:val="0"/>
      <w:marRight w:val="0"/>
      <w:marTop w:val="0"/>
      <w:marBottom w:val="0"/>
      <w:divBdr>
        <w:top w:val="none" w:sz="0" w:space="0" w:color="auto"/>
        <w:left w:val="none" w:sz="0" w:space="0" w:color="auto"/>
        <w:bottom w:val="none" w:sz="0" w:space="0" w:color="auto"/>
        <w:right w:val="none" w:sz="0" w:space="0" w:color="auto"/>
      </w:divBdr>
    </w:div>
    <w:div w:id="1216313296">
      <w:marLeft w:val="0"/>
      <w:marRight w:val="0"/>
      <w:marTop w:val="0"/>
      <w:marBottom w:val="0"/>
      <w:divBdr>
        <w:top w:val="none" w:sz="0" w:space="0" w:color="auto"/>
        <w:left w:val="none" w:sz="0" w:space="0" w:color="auto"/>
        <w:bottom w:val="none" w:sz="0" w:space="0" w:color="auto"/>
        <w:right w:val="none" w:sz="0" w:space="0" w:color="auto"/>
      </w:divBdr>
    </w:div>
    <w:div w:id="1216313297">
      <w:marLeft w:val="0"/>
      <w:marRight w:val="0"/>
      <w:marTop w:val="0"/>
      <w:marBottom w:val="0"/>
      <w:divBdr>
        <w:top w:val="none" w:sz="0" w:space="0" w:color="auto"/>
        <w:left w:val="none" w:sz="0" w:space="0" w:color="auto"/>
        <w:bottom w:val="none" w:sz="0" w:space="0" w:color="auto"/>
        <w:right w:val="none" w:sz="0" w:space="0" w:color="auto"/>
      </w:divBdr>
    </w:div>
    <w:div w:id="1216313298">
      <w:marLeft w:val="0"/>
      <w:marRight w:val="0"/>
      <w:marTop w:val="0"/>
      <w:marBottom w:val="0"/>
      <w:divBdr>
        <w:top w:val="none" w:sz="0" w:space="0" w:color="auto"/>
        <w:left w:val="none" w:sz="0" w:space="0" w:color="auto"/>
        <w:bottom w:val="none" w:sz="0" w:space="0" w:color="auto"/>
        <w:right w:val="none" w:sz="0" w:space="0" w:color="auto"/>
      </w:divBdr>
    </w:div>
    <w:div w:id="1216313299">
      <w:marLeft w:val="0"/>
      <w:marRight w:val="0"/>
      <w:marTop w:val="0"/>
      <w:marBottom w:val="0"/>
      <w:divBdr>
        <w:top w:val="none" w:sz="0" w:space="0" w:color="auto"/>
        <w:left w:val="none" w:sz="0" w:space="0" w:color="auto"/>
        <w:bottom w:val="none" w:sz="0" w:space="0" w:color="auto"/>
        <w:right w:val="none" w:sz="0" w:space="0" w:color="auto"/>
      </w:divBdr>
    </w:div>
    <w:div w:id="1216313300">
      <w:marLeft w:val="0"/>
      <w:marRight w:val="0"/>
      <w:marTop w:val="0"/>
      <w:marBottom w:val="0"/>
      <w:divBdr>
        <w:top w:val="none" w:sz="0" w:space="0" w:color="auto"/>
        <w:left w:val="none" w:sz="0" w:space="0" w:color="auto"/>
        <w:bottom w:val="none" w:sz="0" w:space="0" w:color="auto"/>
        <w:right w:val="none" w:sz="0" w:space="0" w:color="auto"/>
      </w:divBdr>
    </w:div>
    <w:div w:id="1216313301">
      <w:marLeft w:val="0"/>
      <w:marRight w:val="0"/>
      <w:marTop w:val="0"/>
      <w:marBottom w:val="0"/>
      <w:divBdr>
        <w:top w:val="none" w:sz="0" w:space="0" w:color="auto"/>
        <w:left w:val="none" w:sz="0" w:space="0" w:color="auto"/>
        <w:bottom w:val="none" w:sz="0" w:space="0" w:color="auto"/>
        <w:right w:val="none" w:sz="0" w:space="0" w:color="auto"/>
      </w:divBdr>
    </w:div>
    <w:div w:id="1216313302">
      <w:marLeft w:val="0"/>
      <w:marRight w:val="0"/>
      <w:marTop w:val="0"/>
      <w:marBottom w:val="0"/>
      <w:divBdr>
        <w:top w:val="none" w:sz="0" w:space="0" w:color="auto"/>
        <w:left w:val="none" w:sz="0" w:space="0" w:color="auto"/>
        <w:bottom w:val="none" w:sz="0" w:space="0" w:color="auto"/>
        <w:right w:val="none" w:sz="0" w:space="0" w:color="auto"/>
      </w:divBdr>
    </w:div>
    <w:div w:id="1216313303">
      <w:marLeft w:val="0"/>
      <w:marRight w:val="0"/>
      <w:marTop w:val="0"/>
      <w:marBottom w:val="0"/>
      <w:divBdr>
        <w:top w:val="none" w:sz="0" w:space="0" w:color="auto"/>
        <w:left w:val="none" w:sz="0" w:space="0" w:color="auto"/>
        <w:bottom w:val="none" w:sz="0" w:space="0" w:color="auto"/>
        <w:right w:val="none" w:sz="0" w:space="0" w:color="auto"/>
      </w:divBdr>
    </w:div>
    <w:div w:id="1216313304">
      <w:marLeft w:val="0"/>
      <w:marRight w:val="0"/>
      <w:marTop w:val="0"/>
      <w:marBottom w:val="0"/>
      <w:divBdr>
        <w:top w:val="none" w:sz="0" w:space="0" w:color="auto"/>
        <w:left w:val="none" w:sz="0" w:space="0" w:color="auto"/>
        <w:bottom w:val="none" w:sz="0" w:space="0" w:color="auto"/>
        <w:right w:val="none" w:sz="0" w:space="0" w:color="auto"/>
      </w:divBdr>
    </w:div>
    <w:div w:id="1216313305">
      <w:marLeft w:val="0"/>
      <w:marRight w:val="0"/>
      <w:marTop w:val="0"/>
      <w:marBottom w:val="0"/>
      <w:divBdr>
        <w:top w:val="none" w:sz="0" w:space="0" w:color="auto"/>
        <w:left w:val="none" w:sz="0" w:space="0" w:color="auto"/>
        <w:bottom w:val="none" w:sz="0" w:space="0" w:color="auto"/>
        <w:right w:val="none" w:sz="0" w:space="0" w:color="auto"/>
      </w:divBdr>
    </w:div>
    <w:div w:id="1216313306">
      <w:marLeft w:val="0"/>
      <w:marRight w:val="0"/>
      <w:marTop w:val="0"/>
      <w:marBottom w:val="0"/>
      <w:divBdr>
        <w:top w:val="none" w:sz="0" w:space="0" w:color="auto"/>
        <w:left w:val="none" w:sz="0" w:space="0" w:color="auto"/>
        <w:bottom w:val="none" w:sz="0" w:space="0" w:color="auto"/>
        <w:right w:val="none" w:sz="0" w:space="0" w:color="auto"/>
      </w:divBdr>
    </w:div>
    <w:div w:id="1216313307">
      <w:marLeft w:val="0"/>
      <w:marRight w:val="0"/>
      <w:marTop w:val="0"/>
      <w:marBottom w:val="0"/>
      <w:divBdr>
        <w:top w:val="none" w:sz="0" w:space="0" w:color="auto"/>
        <w:left w:val="none" w:sz="0" w:space="0" w:color="auto"/>
        <w:bottom w:val="none" w:sz="0" w:space="0" w:color="auto"/>
        <w:right w:val="none" w:sz="0" w:space="0" w:color="auto"/>
      </w:divBdr>
    </w:div>
    <w:div w:id="1223639146">
      <w:bodyDiv w:val="1"/>
      <w:marLeft w:val="0"/>
      <w:marRight w:val="0"/>
      <w:marTop w:val="0"/>
      <w:marBottom w:val="0"/>
      <w:divBdr>
        <w:top w:val="none" w:sz="0" w:space="0" w:color="auto"/>
        <w:left w:val="none" w:sz="0" w:space="0" w:color="auto"/>
        <w:bottom w:val="none" w:sz="0" w:space="0" w:color="auto"/>
        <w:right w:val="none" w:sz="0" w:space="0" w:color="auto"/>
      </w:divBdr>
    </w:div>
    <w:div w:id="1654795498">
      <w:bodyDiv w:val="1"/>
      <w:marLeft w:val="0"/>
      <w:marRight w:val="0"/>
      <w:marTop w:val="0"/>
      <w:marBottom w:val="0"/>
      <w:divBdr>
        <w:top w:val="none" w:sz="0" w:space="0" w:color="auto"/>
        <w:left w:val="none" w:sz="0" w:space="0" w:color="auto"/>
        <w:bottom w:val="none" w:sz="0" w:space="0" w:color="auto"/>
        <w:right w:val="none" w:sz="0" w:space="0" w:color="auto"/>
      </w:divBdr>
    </w:div>
    <w:div w:id="1877111026">
      <w:bodyDiv w:val="1"/>
      <w:marLeft w:val="0"/>
      <w:marRight w:val="0"/>
      <w:marTop w:val="0"/>
      <w:marBottom w:val="0"/>
      <w:divBdr>
        <w:top w:val="none" w:sz="0" w:space="0" w:color="auto"/>
        <w:left w:val="none" w:sz="0" w:space="0" w:color="auto"/>
        <w:bottom w:val="none" w:sz="0" w:space="0" w:color="auto"/>
        <w:right w:val="none" w:sz="0" w:space="0" w:color="auto"/>
      </w:divBdr>
    </w:div>
    <w:div w:id="19632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cusa.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2015-06-04T13:09:00+00:00</DateLastActivated1>
    <Commitees xmlns="c7312139-f4c2-453d-a4c8-c631b6303d87">
      <Value>175</Value>
    </Commitees>
    <DocNotes xmlns="c7312139-f4c2-453d-a4c8-c631b6303d87" xsi:nil="true"/>
    <Activities xmlns="c7312139-f4c2-453d-a4c8-c631b6303d87">
      <Value>2025</Value>
    </Activities>
    <Issues xmlns="c7312139-f4c2-453d-a4c8-c631b6303d87"/>
    <PublishDate xmlns="c7312139-f4c2-453d-a4c8-c631b6303d87">2015-06-04T12:59:01+00:00</PublishDate>
    <ChangeProposal1 xmlns="c7312139-f4c2-453d-a4c8-c631b6303d87">
      <Value>253</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6B0E8598-7851-4268-B5FB-CC020A56F0D0}"/>
</file>

<file path=customXml/itemProps2.xml><?xml version="1.0" encoding="utf-8"?>
<ds:datastoreItem xmlns:ds="http://schemas.openxmlformats.org/officeDocument/2006/customXml" ds:itemID="{1077D4DE-B22D-4549-A6CD-1432116030DE}"/>
</file>

<file path=customXml/itemProps3.xml><?xml version="1.0" encoding="utf-8"?>
<ds:datastoreItem xmlns:ds="http://schemas.openxmlformats.org/officeDocument/2006/customXml" ds:itemID="{8B6EF4D1-B7F2-4341-A737-2AB985901CC4}"/>
</file>

<file path=customXml/itemProps4.xml><?xml version="1.0" encoding="utf-8"?>
<ds:datastoreItem xmlns:ds="http://schemas.openxmlformats.org/officeDocument/2006/customXml" ds:itemID="{897BE9C0-D507-4204-A81D-6DC3FEBABE70}"/>
</file>

<file path=customXml/itemProps5.xml><?xml version="1.0" encoding="utf-8"?>
<ds:datastoreItem xmlns:ds="http://schemas.openxmlformats.org/officeDocument/2006/customXml" ds:itemID="{8EEB496A-E5CB-42AF-9F7A-47D5879FCF17}"/>
</file>

<file path=docProps/app.xml><?xml version="1.0" encoding="utf-8"?>
<Properties xmlns="http://schemas.openxmlformats.org/officeDocument/2006/extended-properties" xmlns:vt="http://schemas.openxmlformats.org/officeDocument/2006/docPropsVTypes">
  <Template>Normal</Template>
  <TotalTime>253</TotalTime>
  <Pages>13</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DCUSA CHANGE REPORT</vt:lpstr>
    </vt:vector>
  </TitlesOfParts>
  <Company>CE Electric UK</Company>
  <LinksUpToDate>false</LinksUpToDate>
  <CharactersWithSpaces>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Roz</cp:lastModifiedBy>
  <cp:revision>51</cp:revision>
  <cp:lastPrinted>2015-04-08T10:42:00Z</cp:lastPrinted>
  <dcterms:created xsi:type="dcterms:W3CDTF">2015-04-06T10:24:00Z</dcterms:created>
  <dcterms:modified xsi:type="dcterms:W3CDTF">2015-06-04T13:04:00Z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1001700</vt:r8>
  </property>
</Properties>
</file>