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78" w:rsidRPr="00316061" w:rsidRDefault="003D1A78" w:rsidP="00342B85">
      <w:pPr>
        <w:ind w:hanging="851"/>
        <w:jc w:val="both"/>
        <w:rPr>
          <w:rFonts w:asciiTheme="minorHAnsi" w:hAnsiTheme="minorHAnsi"/>
          <w:noProof/>
          <w:sz w:val="22"/>
          <w:szCs w:val="22"/>
          <w:lang w:val="en-US"/>
        </w:rPr>
      </w:pPr>
      <w:r w:rsidRPr="00316061">
        <w:rPr>
          <w:rFonts w:asciiTheme="minorHAnsi" w:hAnsiTheme="minorHAnsi"/>
          <w:sz w:val="22"/>
          <w:szCs w:val="22"/>
        </w:rPr>
        <w:t xml:space="preserve"> </w:t>
      </w:r>
      <w:r w:rsidR="00E629FC" w:rsidRPr="00316061">
        <w:rPr>
          <w:rFonts w:asciiTheme="minorHAnsi" w:hAnsiTheme="minorHAnsi"/>
          <w:noProof/>
          <w:sz w:val="22"/>
          <w:szCs w:val="22"/>
        </w:rPr>
        <w:drawing>
          <wp:inline distT="0" distB="0" distL="0" distR="0" wp14:anchorId="6BC4AEBC" wp14:editId="737048F2">
            <wp:extent cx="2571750" cy="82867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828675"/>
                    </a:xfrm>
                    <a:prstGeom prst="rect">
                      <a:avLst/>
                    </a:prstGeom>
                    <a:noFill/>
                    <a:ln>
                      <a:noFill/>
                    </a:ln>
                  </pic:spPr>
                </pic:pic>
              </a:graphicData>
            </a:graphic>
          </wp:inline>
        </w:drawing>
      </w:r>
    </w:p>
    <w:p w:rsidR="003D1A78" w:rsidRPr="00316061" w:rsidRDefault="003D1A78" w:rsidP="00342B85">
      <w:pPr>
        <w:jc w:val="both"/>
        <w:rPr>
          <w:rFonts w:asciiTheme="minorHAnsi" w:hAnsiTheme="minorHAnsi"/>
          <w:noProof/>
          <w:sz w:val="22"/>
          <w:szCs w:val="22"/>
          <w:lang w:val="en-US"/>
        </w:rPr>
      </w:pPr>
    </w:p>
    <w:p w:rsidR="003D1A78" w:rsidRPr="00316061" w:rsidRDefault="003D1A78" w:rsidP="000076FC">
      <w:pPr>
        <w:tabs>
          <w:tab w:val="left" w:pos="5358"/>
        </w:tabs>
        <w:jc w:val="both"/>
        <w:rPr>
          <w:rFonts w:asciiTheme="minorHAnsi" w:hAnsiTheme="minorHAnsi"/>
          <w:noProof/>
          <w:sz w:val="22"/>
          <w:szCs w:val="22"/>
          <w:lang w:val="en-US"/>
        </w:rPr>
      </w:pPr>
      <w:r w:rsidRPr="00316061">
        <w:rPr>
          <w:rFonts w:asciiTheme="minorHAnsi" w:hAnsiTheme="minorHAnsi"/>
          <w:noProof/>
          <w:sz w:val="22"/>
          <w:szCs w:val="22"/>
          <w:lang w:val="en-US"/>
        </w:rPr>
        <w:tab/>
      </w:r>
    </w:p>
    <w:p w:rsidR="003D1A78" w:rsidRPr="00316061" w:rsidRDefault="00E629FC" w:rsidP="00342B85">
      <w:pPr>
        <w:jc w:val="both"/>
        <w:rPr>
          <w:rFonts w:asciiTheme="minorHAnsi" w:hAnsiTheme="minorHAnsi"/>
          <w:sz w:val="22"/>
          <w:szCs w:val="22"/>
        </w:rPr>
      </w:pPr>
      <w:r w:rsidRPr="00316061">
        <w:rPr>
          <w:rFonts w:asciiTheme="minorHAnsi" w:hAnsiTheme="minorHAnsi"/>
          <w:noProof/>
          <w:sz w:val="22"/>
          <w:szCs w:val="22"/>
        </w:rPr>
        <mc:AlternateContent>
          <mc:Choice Requires="wpg">
            <w:drawing>
              <wp:anchor distT="0" distB="0" distL="114300" distR="114300" simplePos="0" relativeHeight="251659264" behindDoc="1" locked="0" layoutInCell="1" allowOverlap="1" wp14:anchorId="35AB6646" wp14:editId="0B7F56BC">
                <wp:simplePos x="0" y="0"/>
                <wp:positionH relativeFrom="column">
                  <wp:posOffset>-271780</wp:posOffset>
                </wp:positionH>
                <wp:positionV relativeFrom="paragraph">
                  <wp:posOffset>748665</wp:posOffset>
                </wp:positionV>
                <wp:extent cx="5715000" cy="2371725"/>
                <wp:effectExtent l="0" t="0" r="0" b="0"/>
                <wp:wrapTight wrapText="bothSides">
                  <wp:wrapPolygon edited="0">
                    <wp:start x="144" y="520"/>
                    <wp:lineTo x="144" y="20993"/>
                    <wp:lineTo x="20376" y="20993"/>
                    <wp:lineTo x="20376" y="6419"/>
                    <wp:lineTo x="20664" y="6419"/>
                    <wp:lineTo x="21384" y="4337"/>
                    <wp:lineTo x="21384" y="520"/>
                    <wp:lineTo x="144" y="52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371725"/>
                          <a:chOff x="1678" y="11011"/>
                          <a:chExt cx="9000" cy="2647"/>
                        </a:xfrm>
                      </wpg:grpSpPr>
                      <wps:wsp>
                        <wps:cNvPr id="3" name="Text Box 3"/>
                        <wps:cNvSpPr txBox="1">
                          <a:spLocks noChangeArrowheads="1"/>
                        </wps:cNvSpPr>
                        <wps:spPr bwMode="auto">
                          <a:xfrm>
                            <a:off x="1678" y="11011"/>
                            <a:ext cx="900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51E" w:rsidRPr="00767B37" w:rsidRDefault="0002251E" w:rsidP="00E63A20">
                              <w:pPr>
                                <w:ind w:left="-142"/>
                                <w:rPr>
                                  <w:rFonts w:ascii="Verdana" w:hAnsi="Verdana"/>
                                  <w:b/>
                                  <w:sz w:val="32"/>
                                  <w:szCs w:val="32"/>
                                </w:rPr>
                              </w:pPr>
                              <w:r w:rsidRPr="00767B37">
                                <w:rPr>
                                  <w:rFonts w:ascii="Verdana" w:hAnsi="Verdana"/>
                                  <w:b/>
                                  <w:sz w:val="32"/>
                                  <w:szCs w:val="32"/>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521"/>
                            <a:ext cx="8603"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51E" w:rsidRPr="00435098" w:rsidRDefault="0002251E" w:rsidP="00473C23">
                              <w:pPr>
                                <w:ind w:left="-142"/>
                                <w:jc w:val="both"/>
                                <w:rPr>
                                  <w:rFonts w:ascii="Verdana" w:hAnsi="Verdana"/>
                                  <w:sz w:val="36"/>
                                  <w:szCs w:val="36"/>
                                </w:rPr>
                              </w:pPr>
                              <w:r>
                                <w:rPr>
                                  <w:rFonts w:ascii="Verdana" w:hAnsi="Verdana"/>
                                  <w:sz w:val="36"/>
                                  <w:szCs w:val="36"/>
                                </w:rPr>
                                <w:t>DCP 205 - Recovery Of Costs Due To Load And Generation Increases From Existing Customers I</w:t>
                              </w:r>
                              <w:r w:rsidRPr="00AE66D4">
                                <w:rPr>
                                  <w:rFonts w:ascii="Verdana" w:hAnsi="Verdana"/>
                                  <w:sz w:val="36"/>
                                  <w:szCs w:val="36"/>
                                </w:rPr>
                                <w:t>n RIIO-ED1</w:t>
                              </w:r>
                              <w:r w:rsidRPr="00473C23">
                                <w:rPr>
                                  <w:rFonts w:ascii="Verdana" w:hAnsi="Verdana"/>
                                  <w:sz w:val="36"/>
                                  <w:szCs w:val="36"/>
                                </w:rPr>
                                <w:t>.</w:t>
                              </w:r>
                              <w:r>
                                <w:rPr>
                                  <w:rFonts w:ascii="Verdana" w:hAnsi="Verdana"/>
                                  <w:bCs/>
                                  <w:sz w:val="20"/>
                                  <w:szCs w:val="20"/>
                                </w:rPr>
                                <w:t xml:space="preserve"> </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pt;margin-top:58.95pt;width:450pt;height:186.75pt;z-index:-251657216" coordorigin="1678,11011" coordsize="9000,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">
                <v:shapetype id="_x0000_t202" coordsize="21600,21600" o:spt="202" path="m,l,21600r21600,l21600,xe">
                  <v:stroke joinstyle="miter"/>
                  <v:path gradientshapeok="t" o:connecttype="rect"/>
                </v:shapetype>
                <v:shape id="Text Box 3" o:spid="_x0000_s1027" type="#_x0000_t202" style="position:absolute;left:1678;top:11011;width:9000;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02251E" w:rsidRPr="00767B37" w:rsidRDefault="0002251E" w:rsidP="00E63A20">
                        <w:pPr>
                          <w:ind w:left="-142"/>
                          <w:rPr>
                            <w:rFonts w:ascii="Verdana" w:hAnsi="Verdana"/>
                            <w:b/>
                            <w:sz w:val="32"/>
                            <w:szCs w:val="32"/>
                          </w:rPr>
                        </w:pPr>
                        <w:r w:rsidRPr="00767B37">
                          <w:rPr>
                            <w:rFonts w:ascii="Verdana" w:hAnsi="Verdana"/>
                            <w:b/>
                            <w:sz w:val="32"/>
                            <w:szCs w:val="32"/>
                          </w:rPr>
                          <w:t>DCUSA Change Report</w:t>
                        </w:r>
                      </w:p>
                    </w:txbxContent>
                  </v:textbox>
                </v:shape>
                <v:shape id="Text Box 4" o:spid="_x0000_s1028" type="#_x0000_t202" style="position:absolute;left:1678;top:11521;width:8603;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02251E" w:rsidRPr="00435098" w:rsidRDefault="0002251E" w:rsidP="00473C23">
                        <w:pPr>
                          <w:ind w:left="-142"/>
                          <w:jc w:val="both"/>
                          <w:rPr>
                            <w:rFonts w:ascii="Verdana" w:hAnsi="Verdana"/>
                            <w:sz w:val="36"/>
                            <w:szCs w:val="36"/>
                          </w:rPr>
                        </w:pPr>
                        <w:r>
                          <w:rPr>
                            <w:rFonts w:ascii="Verdana" w:hAnsi="Verdana"/>
                            <w:sz w:val="36"/>
                            <w:szCs w:val="36"/>
                          </w:rPr>
                          <w:t>DCP 205 - Recovery Of Costs Due To Load And Generation Increases From Existing Customers I</w:t>
                        </w:r>
                        <w:r w:rsidRPr="00AE66D4">
                          <w:rPr>
                            <w:rFonts w:ascii="Verdana" w:hAnsi="Verdana"/>
                            <w:sz w:val="36"/>
                            <w:szCs w:val="36"/>
                          </w:rPr>
                          <w:t>n RIIO-ED1</w:t>
                        </w:r>
                        <w:r w:rsidRPr="00473C23">
                          <w:rPr>
                            <w:rFonts w:ascii="Verdana" w:hAnsi="Verdana"/>
                            <w:sz w:val="36"/>
                            <w:szCs w:val="36"/>
                          </w:rPr>
                          <w:t>.</w:t>
                        </w:r>
                        <w:r>
                          <w:rPr>
                            <w:rFonts w:ascii="Verdana" w:hAnsi="Verdana"/>
                            <w:bCs/>
                            <w:sz w:val="20"/>
                            <w:szCs w:val="20"/>
                          </w:rPr>
                          <w:t xml:space="preserve"> </w:t>
                        </w:r>
                      </w:p>
                    </w:txbxContent>
                  </v:textbox>
                </v:shape>
                <w10:wrap type="tight"/>
              </v:group>
            </w:pict>
          </mc:Fallback>
        </mc:AlternateContent>
      </w:r>
      <w:r w:rsidR="003D1A78" w:rsidRPr="00316061">
        <w:rPr>
          <w:rFonts w:asciiTheme="minorHAnsi" w:hAnsiTheme="minorHAnsi"/>
          <w:sz w:val="22"/>
          <w:szCs w:val="22"/>
        </w:rPr>
        <w:br w:type="page"/>
      </w:r>
    </w:p>
    <w:p w:rsidR="003D1A78" w:rsidRPr="00316061" w:rsidRDefault="003D1A78" w:rsidP="00891A0B">
      <w:pPr>
        <w:pStyle w:val="Heading1"/>
        <w:numPr>
          <w:ilvl w:val="0"/>
          <w:numId w:val="3"/>
        </w:numPr>
        <w:spacing w:line="360" w:lineRule="auto"/>
        <w:jc w:val="both"/>
        <w:rPr>
          <w:rFonts w:asciiTheme="minorHAnsi" w:hAnsiTheme="minorHAnsi"/>
          <w:sz w:val="22"/>
          <w:szCs w:val="22"/>
        </w:rPr>
      </w:pPr>
      <w:r w:rsidRPr="00316061">
        <w:rPr>
          <w:rFonts w:asciiTheme="minorHAnsi" w:hAnsiTheme="minorHAnsi"/>
          <w:sz w:val="22"/>
          <w:szCs w:val="22"/>
        </w:rPr>
        <w:lastRenderedPageBreak/>
        <w:t>PURPOSE</w:t>
      </w:r>
    </w:p>
    <w:p w:rsidR="003D1A78" w:rsidRPr="00316061" w:rsidRDefault="003D1A78" w:rsidP="00891A0B">
      <w:pPr>
        <w:pStyle w:val="Heading2"/>
        <w:numPr>
          <w:ilvl w:val="1"/>
          <w:numId w:val="3"/>
        </w:numPr>
        <w:spacing w:line="360" w:lineRule="auto"/>
        <w:jc w:val="both"/>
        <w:rPr>
          <w:rFonts w:asciiTheme="minorHAnsi" w:hAnsiTheme="minorHAnsi"/>
          <w:sz w:val="22"/>
          <w:szCs w:val="22"/>
        </w:rPr>
      </w:pPr>
      <w:r w:rsidRPr="00316061">
        <w:rPr>
          <w:rFonts w:asciiTheme="minorHAnsi" w:hAnsiTheme="minorHAnsi"/>
          <w:sz w:val="22"/>
          <w:szCs w:val="22"/>
        </w:rPr>
        <w:t>This document is issued in accordance with Clause 11.2</w:t>
      </w:r>
      <w:r w:rsidR="00AE66D4" w:rsidRPr="00316061">
        <w:rPr>
          <w:rFonts w:asciiTheme="minorHAnsi" w:hAnsiTheme="minorHAnsi"/>
          <w:sz w:val="22"/>
          <w:szCs w:val="22"/>
        </w:rPr>
        <w:t>0 of the DCUSA and details DCP 205 ‘</w:t>
      </w:r>
      <w:r w:rsidR="00864CFA" w:rsidRPr="00316061">
        <w:rPr>
          <w:rFonts w:asciiTheme="minorHAnsi" w:hAnsiTheme="minorHAnsi"/>
          <w:i/>
          <w:sz w:val="22"/>
          <w:szCs w:val="22"/>
        </w:rPr>
        <w:t xml:space="preserve">Recovery </w:t>
      </w:r>
      <w:proofErr w:type="gramStart"/>
      <w:r w:rsidR="00864CFA" w:rsidRPr="00316061">
        <w:rPr>
          <w:rFonts w:asciiTheme="minorHAnsi" w:hAnsiTheme="minorHAnsi"/>
          <w:i/>
          <w:sz w:val="22"/>
          <w:szCs w:val="22"/>
        </w:rPr>
        <w:t>Of Costs Due To Load And Generation Increases From Existing Customers I</w:t>
      </w:r>
      <w:r w:rsidR="00AE66D4" w:rsidRPr="00316061">
        <w:rPr>
          <w:rFonts w:asciiTheme="minorHAnsi" w:hAnsiTheme="minorHAnsi"/>
          <w:i/>
          <w:sz w:val="22"/>
          <w:szCs w:val="22"/>
        </w:rPr>
        <w:t>n</w:t>
      </w:r>
      <w:proofErr w:type="gramEnd"/>
      <w:r w:rsidR="00AE66D4" w:rsidRPr="00316061">
        <w:rPr>
          <w:rFonts w:asciiTheme="minorHAnsi" w:hAnsiTheme="minorHAnsi"/>
          <w:i/>
          <w:sz w:val="22"/>
          <w:szCs w:val="22"/>
        </w:rPr>
        <w:t xml:space="preserve"> RIIO-ED1’</w:t>
      </w:r>
      <w:r w:rsidRPr="00316061">
        <w:rPr>
          <w:rFonts w:asciiTheme="minorHAnsi" w:hAnsiTheme="minorHAnsi"/>
          <w:sz w:val="22"/>
          <w:szCs w:val="22"/>
        </w:rPr>
        <w:t xml:space="preserve"> (Attachment 3). </w:t>
      </w:r>
    </w:p>
    <w:p w:rsidR="003D1A78" w:rsidRPr="00316061" w:rsidRDefault="003D1A78" w:rsidP="006053FF">
      <w:pPr>
        <w:pStyle w:val="Heading2"/>
        <w:numPr>
          <w:ilvl w:val="1"/>
          <w:numId w:val="3"/>
        </w:numPr>
        <w:spacing w:line="360" w:lineRule="auto"/>
        <w:jc w:val="both"/>
        <w:rPr>
          <w:rFonts w:asciiTheme="minorHAnsi" w:hAnsiTheme="minorHAnsi"/>
          <w:sz w:val="22"/>
          <w:szCs w:val="22"/>
        </w:rPr>
      </w:pPr>
      <w:r w:rsidRPr="00316061">
        <w:rPr>
          <w:rFonts w:asciiTheme="minorHAnsi" w:hAnsiTheme="minorHAnsi"/>
          <w:sz w:val="22"/>
          <w:szCs w:val="22"/>
        </w:rPr>
        <w:t xml:space="preserve">The voting process for the proposed variation and the timetable of the progression of the Change Proposal (CP) through the DCUSA Change Control Process is set out in this document. </w:t>
      </w:r>
    </w:p>
    <w:p w:rsidR="003D1A78" w:rsidRPr="00316061" w:rsidRDefault="003D1A78" w:rsidP="00C969E5">
      <w:pPr>
        <w:pStyle w:val="Heading2"/>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 xml:space="preserve">Parties are invited to consider the proposed amendments (Attachment 2) and submit their votes using the form attached as Attachment 1 to </w:t>
      </w:r>
      <w:r w:rsidRPr="00316061">
        <w:rPr>
          <w:rFonts w:asciiTheme="minorHAnsi" w:hAnsiTheme="minorHAnsi"/>
          <w:color w:val="0000FF"/>
          <w:sz w:val="22"/>
          <w:szCs w:val="22"/>
          <w:u w:val="single"/>
        </w:rPr>
        <w:t>dcusa@electralink.co.uk</w:t>
      </w:r>
      <w:r w:rsidRPr="00316061">
        <w:rPr>
          <w:rFonts w:asciiTheme="minorHAnsi" w:hAnsiTheme="minorHAnsi"/>
          <w:sz w:val="22"/>
          <w:szCs w:val="22"/>
        </w:rPr>
        <w:t xml:space="preserve"> no later than </w:t>
      </w:r>
      <w:r w:rsidRPr="00316061">
        <w:rPr>
          <w:rFonts w:asciiTheme="minorHAnsi" w:hAnsiTheme="minorHAnsi"/>
          <w:b/>
          <w:sz w:val="22"/>
          <w:szCs w:val="22"/>
        </w:rPr>
        <w:t>0</w:t>
      </w:r>
      <w:r w:rsidR="00A53A5C" w:rsidRPr="00316061">
        <w:rPr>
          <w:rFonts w:asciiTheme="minorHAnsi" w:hAnsiTheme="minorHAnsi"/>
          <w:b/>
          <w:sz w:val="22"/>
          <w:szCs w:val="22"/>
        </w:rPr>
        <w:t>6 February</w:t>
      </w:r>
      <w:r w:rsidRPr="00316061">
        <w:rPr>
          <w:rFonts w:asciiTheme="minorHAnsi" w:hAnsiTheme="minorHAnsi"/>
          <w:b/>
          <w:sz w:val="22"/>
          <w:szCs w:val="22"/>
        </w:rPr>
        <w:t xml:space="preserve"> 2014</w:t>
      </w:r>
      <w:r w:rsidRPr="00316061">
        <w:rPr>
          <w:rFonts w:asciiTheme="minorHAnsi" w:hAnsiTheme="minorHAnsi"/>
          <w:sz w:val="22"/>
          <w:szCs w:val="22"/>
        </w:rPr>
        <w:t>.</w:t>
      </w:r>
    </w:p>
    <w:p w:rsidR="003D1A78" w:rsidRPr="00316061" w:rsidRDefault="003D1A78" w:rsidP="008D4B1F">
      <w:pPr>
        <w:pStyle w:val="Heading1"/>
        <w:numPr>
          <w:ilvl w:val="0"/>
          <w:numId w:val="3"/>
        </w:numPr>
        <w:spacing w:line="360" w:lineRule="auto"/>
        <w:jc w:val="both"/>
        <w:rPr>
          <w:rFonts w:asciiTheme="minorHAnsi" w:hAnsiTheme="minorHAnsi"/>
          <w:sz w:val="22"/>
          <w:szCs w:val="22"/>
        </w:rPr>
      </w:pPr>
      <w:r w:rsidRPr="00316061">
        <w:rPr>
          <w:rFonts w:asciiTheme="minorHAnsi" w:hAnsiTheme="minorHAnsi"/>
          <w:sz w:val="22"/>
          <w:szCs w:val="22"/>
        </w:rPr>
        <w:t xml:space="preserve">EXECUTIVE SUMMARY </w:t>
      </w:r>
    </w:p>
    <w:p w:rsidR="00864CFA" w:rsidRPr="00316061" w:rsidRDefault="00864CFA" w:rsidP="00864CFA">
      <w:pPr>
        <w:pStyle w:val="Heading2"/>
        <w:keepNext w:val="0"/>
        <w:widowControl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DCP 205</w:t>
      </w:r>
      <w:r w:rsidR="003D1A78" w:rsidRPr="00316061">
        <w:rPr>
          <w:rFonts w:asciiTheme="minorHAnsi" w:hAnsiTheme="minorHAnsi"/>
          <w:sz w:val="22"/>
          <w:szCs w:val="22"/>
        </w:rPr>
        <w:t xml:space="preserve"> was raised by </w:t>
      </w:r>
      <w:r w:rsidRPr="00316061">
        <w:rPr>
          <w:rFonts w:asciiTheme="minorHAnsi" w:hAnsiTheme="minorHAnsi"/>
          <w:sz w:val="22"/>
          <w:szCs w:val="22"/>
        </w:rPr>
        <w:t>Electricity North West on the 12 March 2014</w:t>
      </w:r>
      <w:r w:rsidR="003D1A78" w:rsidRPr="00316061">
        <w:rPr>
          <w:rFonts w:asciiTheme="minorHAnsi" w:hAnsiTheme="minorHAnsi"/>
          <w:sz w:val="22"/>
          <w:szCs w:val="22"/>
        </w:rPr>
        <w:t xml:space="preserve"> to</w:t>
      </w:r>
      <w:r w:rsidRPr="00316061">
        <w:rPr>
          <w:rFonts w:asciiTheme="minorHAnsi" w:hAnsiTheme="minorHAnsi"/>
          <w:sz w:val="22"/>
          <w:szCs w:val="22"/>
        </w:rPr>
        <w:t xml:space="preserve"> make changes to the Common Connections Charging Methodology (CCCM) to take account of </w:t>
      </w:r>
      <w:proofErr w:type="spellStart"/>
      <w:r w:rsidRPr="00316061">
        <w:rPr>
          <w:rFonts w:asciiTheme="minorHAnsi" w:hAnsiTheme="minorHAnsi"/>
          <w:sz w:val="22"/>
          <w:szCs w:val="22"/>
        </w:rPr>
        <w:t>Ofgem</w:t>
      </w:r>
      <w:proofErr w:type="spellEnd"/>
      <w:r w:rsidRPr="00316061">
        <w:rPr>
          <w:rFonts w:asciiTheme="minorHAnsi" w:hAnsiTheme="minorHAnsi"/>
          <w:sz w:val="22"/>
          <w:szCs w:val="22"/>
        </w:rPr>
        <w:t xml:space="preserve"> policy for RIIO-ED1 in relation to recovery of costs due to load and generation increases from existing customers.</w:t>
      </w:r>
    </w:p>
    <w:p w:rsidR="004E48EB" w:rsidRPr="00316061" w:rsidRDefault="0051078E" w:rsidP="000C7D3C">
      <w:pPr>
        <w:pStyle w:val="Heading2"/>
        <w:keepNext w:val="0"/>
        <w:widowControl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The DCP 205 legal drafting looks</w:t>
      </w:r>
      <w:r w:rsidR="000C7D3C" w:rsidRPr="00316061">
        <w:rPr>
          <w:rFonts w:asciiTheme="minorHAnsi" w:hAnsiTheme="minorHAnsi"/>
          <w:sz w:val="22"/>
          <w:szCs w:val="22"/>
        </w:rPr>
        <w:t xml:space="preserve"> to modify </w:t>
      </w:r>
      <w:r w:rsidR="004E48EB" w:rsidRPr="00316061">
        <w:rPr>
          <w:rFonts w:asciiTheme="minorHAnsi" w:hAnsiTheme="minorHAnsi"/>
          <w:sz w:val="22"/>
          <w:szCs w:val="22"/>
        </w:rPr>
        <w:t>Schedule 22 of DCUSA (Common Connection Charging Methodology) with regards to the socialisation of reinforcement costs currently funded by connecting customers.</w:t>
      </w:r>
      <w:r w:rsidRPr="00316061">
        <w:rPr>
          <w:rFonts w:asciiTheme="minorHAnsi" w:hAnsiTheme="minorHAnsi"/>
          <w:sz w:val="22"/>
          <w:szCs w:val="22"/>
        </w:rPr>
        <w:t xml:space="preserve"> </w:t>
      </w:r>
      <w:r w:rsidRPr="00316061">
        <w:rPr>
          <w:rFonts w:asciiTheme="minorHAnsi" w:hAnsiTheme="minorHAnsi"/>
          <w:sz w:val="22"/>
          <w:szCs w:val="22"/>
          <w:lang w:eastAsia="en-US"/>
        </w:rPr>
        <w:t xml:space="preserve">The Working Group considered how to </w:t>
      </w:r>
      <w:r w:rsidRPr="00316061">
        <w:rPr>
          <w:rFonts w:asciiTheme="minorHAnsi" w:hAnsiTheme="minorHAnsi"/>
          <w:sz w:val="22"/>
          <w:szCs w:val="22"/>
        </w:rPr>
        <w:t>clearly set out a common methodology that all DNOs will adhere to in the CCCM to identify</w:t>
      </w:r>
      <w:r w:rsidRPr="00316061">
        <w:rPr>
          <w:rFonts w:asciiTheme="minorHAnsi" w:hAnsiTheme="minorHAnsi"/>
          <w:sz w:val="22"/>
          <w:szCs w:val="22"/>
          <w:lang w:eastAsia="en-US"/>
        </w:rPr>
        <w:t xml:space="preserve"> equipment that a DNO will have a reasonable expectation will fail to meet the equipment standards and how that equipment may be set out in the DCUSA.</w:t>
      </w:r>
    </w:p>
    <w:p w:rsidR="00EB100F" w:rsidRPr="00316061" w:rsidRDefault="004D45CD" w:rsidP="00C969E5">
      <w:pPr>
        <w:pStyle w:val="Heading2"/>
        <w:keepNext w:val="0"/>
        <w:numPr>
          <w:ilvl w:val="1"/>
          <w:numId w:val="3"/>
        </w:numPr>
        <w:tabs>
          <w:tab w:val="num" w:pos="709"/>
        </w:tabs>
        <w:spacing w:line="360" w:lineRule="auto"/>
        <w:jc w:val="both"/>
        <w:rPr>
          <w:rFonts w:asciiTheme="minorHAnsi" w:hAnsiTheme="minorHAnsi" w:cs="Verdana"/>
          <w:color w:val="000000"/>
          <w:sz w:val="22"/>
          <w:szCs w:val="22"/>
        </w:rPr>
      </w:pPr>
      <w:r w:rsidRPr="00316061">
        <w:rPr>
          <w:rFonts w:asciiTheme="minorHAnsi" w:hAnsiTheme="minorHAnsi"/>
          <w:sz w:val="22"/>
          <w:szCs w:val="22"/>
        </w:rPr>
        <w:t xml:space="preserve">Over a period of </w:t>
      </w:r>
      <w:r w:rsidR="00EB100F" w:rsidRPr="00316061">
        <w:rPr>
          <w:rFonts w:asciiTheme="minorHAnsi" w:hAnsiTheme="minorHAnsi"/>
          <w:sz w:val="22"/>
          <w:szCs w:val="22"/>
          <w:highlight w:val="yellow"/>
        </w:rPr>
        <w:t>10</w:t>
      </w:r>
      <w:r w:rsidRPr="00316061">
        <w:rPr>
          <w:rFonts w:asciiTheme="minorHAnsi" w:hAnsiTheme="minorHAnsi"/>
          <w:sz w:val="22"/>
          <w:szCs w:val="22"/>
          <w:highlight w:val="yellow"/>
        </w:rPr>
        <w:t xml:space="preserve"> months</w:t>
      </w:r>
      <w:r w:rsidRPr="00316061">
        <w:rPr>
          <w:rFonts w:asciiTheme="minorHAnsi" w:hAnsiTheme="minorHAnsi"/>
          <w:sz w:val="22"/>
          <w:szCs w:val="22"/>
        </w:rPr>
        <w:t xml:space="preserve"> </w:t>
      </w:r>
      <w:r w:rsidR="003D1A78" w:rsidRPr="00316061">
        <w:rPr>
          <w:rFonts w:asciiTheme="minorHAnsi" w:hAnsiTheme="minorHAnsi"/>
          <w:sz w:val="22"/>
          <w:szCs w:val="22"/>
        </w:rPr>
        <w:t xml:space="preserve">the DCP </w:t>
      </w:r>
      <w:r w:rsidRPr="00316061">
        <w:rPr>
          <w:rFonts w:asciiTheme="minorHAnsi" w:hAnsiTheme="minorHAnsi"/>
          <w:sz w:val="22"/>
          <w:szCs w:val="22"/>
        </w:rPr>
        <w:t>205</w:t>
      </w:r>
      <w:r w:rsidR="003D1A78" w:rsidRPr="00316061">
        <w:rPr>
          <w:rFonts w:asciiTheme="minorHAnsi" w:hAnsiTheme="minorHAnsi"/>
          <w:sz w:val="22"/>
          <w:szCs w:val="22"/>
        </w:rPr>
        <w:t xml:space="preserve"> Working Group met </w:t>
      </w:r>
      <w:r w:rsidRPr="00316061">
        <w:rPr>
          <w:rFonts w:asciiTheme="minorHAnsi" w:hAnsiTheme="minorHAnsi"/>
          <w:sz w:val="22"/>
          <w:szCs w:val="22"/>
          <w:highlight w:val="yellow"/>
        </w:rPr>
        <w:t>s</w:t>
      </w:r>
      <w:r w:rsidR="00EB100F" w:rsidRPr="00316061">
        <w:rPr>
          <w:rFonts w:asciiTheme="minorHAnsi" w:hAnsiTheme="minorHAnsi"/>
          <w:sz w:val="22"/>
          <w:szCs w:val="22"/>
          <w:highlight w:val="yellow"/>
        </w:rPr>
        <w:t>even</w:t>
      </w:r>
      <w:r w:rsidRPr="00316061">
        <w:rPr>
          <w:rFonts w:asciiTheme="minorHAnsi" w:hAnsiTheme="minorHAnsi"/>
          <w:sz w:val="22"/>
          <w:szCs w:val="22"/>
        </w:rPr>
        <w:t xml:space="preserve"> times and issued two</w:t>
      </w:r>
      <w:r w:rsidR="003D1A78" w:rsidRPr="00316061">
        <w:rPr>
          <w:rFonts w:asciiTheme="minorHAnsi" w:hAnsiTheme="minorHAnsi"/>
          <w:sz w:val="22"/>
          <w:szCs w:val="22"/>
        </w:rPr>
        <w:t xml:space="preserve"> consultation</w:t>
      </w:r>
      <w:r w:rsidRPr="00316061">
        <w:rPr>
          <w:rFonts w:asciiTheme="minorHAnsi" w:hAnsiTheme="minorHAnsi"/>
          <w:sz w:val="22"/>
          <w:szCs w:val="22"/>
        </w:rPr>
        <w:t>s</w:t>
      </w:r>
      <w:r w:rsidR="003D1A78" w:rsidRPr="00316061">
        <w:rPr>
          <w:rFonts w:asciiTheme="minorHAnsi" w:hAnsiTheme="minorHAnsi"/>
          <w:sz w:val="22"/>
          <w:szCs w:val="22"/>
        </w:rPr>
        <w:t>.</w:t>
      </w:r>
      <w:r w:rsidR="0051078E" w:rsidRPr="00316061">
        <w:rPr>
          <w:rFonts w:asciiTheme="minorHAnsi" w:hAnsiTheme="minorHAnsi"/>
          <w:sz w:val="22"/>
          <w:szCs w:val="22"/>
        </w:rPr>
        <w:t xml:space="preserve"> </w:t>
      </w:r>
      <w:r w:rsidRPr="00316061">
        <w:rPr>
          <w:rFonts w:asciiTheme="minorHAnsi" w:hAnsiTheme="minorHAnsi"/>
          <w:sz w:val="22"/>
          <w:szCs w:val="22"/>
          <w:lang w:eastAsia="en-US"/>
        </w:rPr>
        <w:t>The</w:t>
      </w:r>
      <w:r w:rsidR="0051078E" w:rsidRPr="00316061">
        <w:rPr>
          <w:rFonts w:asciiTheme="minorHAnsi" w:hAnsiTheme="minorHAnsi"/>
          <w:sz w:val="22"/>
          <w:szCs w:val="22"/>
          <w:lang w:eastAsia="en-US"/>
        </w:rPr>
        <w:t xml:space="preserve"> Working Group developed four solutions for Parties consideration in </w:t>
      </w:r>
      <w:r w:rsidRPr="00316061">
        <w:rPr>
          <w:rFonts w:asciiTheme="minorHAnsi" w:hAnsiTheme="minorHAnsi"/>
          <w:sz w:val="22"/>
          <w:szCs w:val="22"/>
          <w:lang w:eastAsia="en-US"/>
        </w:rPr>
        <w:t xml:space="preserve">consultation </w:t>
      </w:r>
      <w:r w:rsidR="0051078E" w:rsidRPr="00316061">
        <w:rPr>
          <w:rFonts w:asciiTheme="minorHAnsi" w:hAnsiTheme="minorHAnsi"/>
          <w:sz w:val="22"/>
          <w:szCs w:val="22"/>
          <w:lang w:eastAsia="en-US"/>
        </w:rPr>
        <w:t>one. Following the feedback from the consultation one responses, the Working Group agreed to proceed with</w:t>
      </w:r>
      <w:r w:rsidR="00EB100F" w:rsidRPr="00316061">
        <w:rPr>
          <w:rFonts w:asciiTheme="minorHAnsi" w:hAnsiTheme="minorHAnsi"/>
          <w:sz w:val="22"/>
          <w:szCs w:val="22"/>
          <w:lang w:eastAsia="en-US"/>
        </w:rPr>
        <w:t xml:space="preserve"> two Options; </w:t>
      </w:r>
      <w:r w:rsidR="0051078E" w:rsidRPr="00316061">
        <w:rPr>
          <w:rFonts w:asciiTheme="minorHAnsi" w:hAnsiTheme="minorHAnsi"/>
          <w:sz w:val="22"/>
          <w:szCs w:val="22"/>
          <w:lang w:eastAsia="en-US"/>
        </w:rPr>
        <w:t xml:space="preserve">Option C </w:t>
      </w:r>
      <w:r w:rsidR="00EB100F" w:rsidRPr="00316061">
        <w:rPr>
          <w:rFonts w:asciiTheme="minorHAnsi" w:hAnsiTheme="minorHAnsi"/>
          <w:sz w:val="22"/>
          <w:szCs w:val="22"/>
          <w:lang w:eastAsia="en-US"/>
        </w:rPr>
        <w:t>and Option D.</w:t>
      </w:r>
    </w:p>
    <w:p w:rsidR="00EB100F" w:rsidRPr="00316061" w:rsidRDefault="00EB100F" w:rsidP="00C969E5">
      <w:pPr>
        <w:pStyle w:val="Heading2"/>
        <w:keepNext w:val="0"/>
        <w:numPr>
          <w:ilvl w:val="1"/>
          <w:numId w:val="3"/>
        </w:numPr>
        <w:tabs>
          <w:tab w:val="num" w:pos="709"/>
        </w:tabs>
        <w:spacing w:line="360" w:lineRule="auto"/>
        <w:jc w:val="both"/>
        <w:rPr>
          <w:rFonts w:asciiTheme="minorHAnsi" w:hAnsiTheme="minorHAnsi" w:cs="Verdana"/>
          <w:color w:val="000000"/>
          <w:sz w:val="22"/>
          <w:szCs w:val="22"/>
        </w:rPr>
      </w:pPr>
      <w:r w:rsidRPr="00316061">
        <w:rPr>
          <w:rFonts w:asciiTheme="minorHAnsi" w:hAnsiTheme="minorHAnsi"/>
          <w:sz w:val="22"/>
          <w:szCs w:val="22"/>
          <w:lang w:eastAsia="en-US"/>
        </w:rPr>
        <w:t>Option C</w:t>
      </w:r>
      <w:r w:rsidR="0051078E" w:rsidRPr="00316061">
        <w:rPr>
          <w:rFonts w:asciiTheme="minorHAnsi" w:hAnsiTheme="minorHAnsi"/>
          <w:sz w:val="22"/>
          <w:szCs w:val="22"/>
          <w:lang w:eastAsia="en-US"/>
        </w:rPr>
        <w:t xml:space="preserve"> propose</w:t>
      </w:r>
      <w:r w:rsidRPr="00316061">
        <w:rPr>
          <w:rFonts w:asciiTheme="minorHAnsi" w:hAnsiTheme="minorHAnsi"/>
          <w:sz w:val="22"/>
          <w:szCs w:val="22"/>
          <w:lang w:eastAsia="en-US"/>
        </w:rPr>
        <w:t>s</w:t>
      </w:r>
      <w:r w:rsidR="0051078E" w:rsidRPr="00316061">
        <w:rPr>
          <w:rFonts w:asciiTheme="minorHAnsi" w:hAnsiTheme="minorHAnsi"/>
          <w:sz w:val="22"/>
          <w:szCs w:val="22"/>
          <w:lang w:eastAsia="en-US"/>
        </w:rPr>
        <w:t xml:space="preserve"> for costs to be socialised for standard equipment in accordance with a list of specific British Standard or European Union standard</w:t>
      </w:r>
      <w:r w:rsidR="00FA213C" w:rsidRPr="00316061">
        <w:rPr>
          <w:rFonts w:asciiTheme="minorHAnsi" w:hAnsiTheme="minorHAnsi"/>
          <w:sz w:val="22"/>
          <w:szCs w:val="22"/>
          <w:lang w:eastAsia="en-US"/>
        </w:rPr>
        <w:t>s e.</w:t>
      </w:r>
      <w:r w:rsidR="00FA213C" w:rsidRPr="00316061">
        <w:rPr>
          <w:rFonts w:asciiTheme="minorHAnsi" w:hAnsiTheme="minorHAnsi" w:cs="Verdana"/>
          <w:color w:val="000000"/>
          <w:sz w:val="22"/>
          <w:szCs w:val="22"/>
        </w:rPr>
        <w:t>g. BS EN 61000-3-2 and BS EN 61000-3-3 Equipment standards</w:t>
      </w:r>
      <w:r w:rsidRPr="00316061">
        <w:rPr>
          <w:rFonts w:asciiTheme="minorHAnsi" w:hAnsiTheme="minorHAnsi" w:cs="Verdana"/>
          <w:color w:val="000000"/>
          <w:sz w:val="22"/>
          <w:szCs w:val="22"/>
        </w:rPr>
        <w:t>. This is the Working Groups preferred Option and is submitted for consideration as the solution to the originating DCP 205 CP.</w:t>
      </w:r>
    </w:p>
    <w:p w:rsidR="00FA213C" w:rsidRPr="00316061" w:rsidRDefault="00EB100F" w:rsidP="00C969E5">
      <w:pPr>
        <w:pStyle w:val="Heading2"/>
        <w:keepNext w:val="0"/>
        <w:numPr>
          <w:ilvl w:val="1"/>
          <w:numId w:val="3"/>
        </w:numPr>
        <w:tabs>
          <w:tab w:val="num" w:pos="709"/>
        </w:tabs>
        <w:spacing w:line="360" w:lineRule="auto"/>
        <w:jc w:val="both"/>
        <w:rPr>
          <w:rFonts w:asciiTheme="minorHAnsi" w:hAnsiTheme="minorHAnsi" w:cs="Verdana"/>
          <w:color w:val="000000"/>
          <w:sz w:val="22"/>
          <w:szCs w:val="22"/>
        </w:rPr>
      </w:pPr>
      <w:r w:rsidRPr="00316061">
        <w:rPr>
          <w:rFonts w:asciiTheme="minorHAnsi" w:hAnsiTheme="minorHAnsi" w:cs="Verdana"/>
          <w:color w:val="000000"/>
          <w:sz w:val="22"/>
          <w:szCs w:val="22"/>
        </w:rPr>
        <w:lastRenderedPageBreak/>
        <w:t>Option D</w:t>
      </w:r>
      <w:r w:rsidR="003C5B7A" w:rsidRPr="00316061">
        <w:rPr>
          <w:rFonts w:asciiTheme="minorHAnsi" w:hAnsiTheme="minorHAnsi" w:cs="Verdana"/>
          <w:color w:val="000000"/>
          <w:sz w:val="22"/>
          <w:szCs w:val="22"/>
        </w:rPr>
        <w:t xml:space="preserve"> provides a</w:t>
      </w:r>
      <w:r w:rsidR="0081524C" w:rsidRPr="00316061">
        <w:rPr>
          <w:rFonts w:asciiTheme="minorHAnsi" w:hAnsiTheme="minorHAnsi" w:cs="Verdana"/>
          <w:color w:val="000000"/>
          <w:sz w:val="22"/>
          <w:szCs w:val="22"/>
        </w:rPr>
        <w:t xml:space="preserve"> more</w:t>
      </w:r>
      <w:r w:rsidR="003C5B7A" w:rsidRPr="00316061">
        <w:rPr>
          <w:rFonts w:asciiTheme="minorHAnsi" w:hAnsiTheme="minorHAnsi" w:cs="Verdana"/>
          <w:color w:val="000000"/>
          <w:sz w:val="22"/>
          <w:szCs w:val="22"/>
        </w:rPr>
        <w:t xml:space="preserve"> high level approach</w:t>
      </w:r>
      <w:r w:rsidRPr="00316061">
        <w:rPr>
          <w:rFonts w:asciiTheme="minorHAnsi" w:hAnsiTheme="minorHAnsi" w:cs="Verdana"/>
          <w:color w:val="000000"/>
          <w:sz w:val="22"/>
          <w:szCs w:val="22"/>
        </w:rPr>
        <w:t xml:space="preserve"> </w:t>
      </w:r>
      <w:r w:rsidR="0081524C" w:rsidRPr="00316061">
        <w:rPr>
          <w:rFonts w:asciiTheme="minorHAnsi" w:hAnsiTheme="minorHAnsi" w:cs="Verdana"/>
          <w:color w:val="000000"/>
          <w:sz w:val="22"/>
          <w:szCs w:val="22"/>
        </w:rPr>
        <w:t xml:space="preserve">and does not specify that equipment must adhere to any standards. </w:t>
      </w:r>
      <w:r w:rsidRPr="00316061">
        <w:rPr>
          <w:rFonts w:asciiTheme="minorHAnsi" w:hAnsiTheme="minorHAnsi" w:cs="Verdana"/>
          <w:color w:val="000000"/>
          <w:sz w:val="22"/>
          <w:szCs w:val="22"/>
        </w:rPr>
        <w:t xml:space="preserve">This solution is submitted for consideration under the DCP 205A CP </w:t>
      </w:r>
      <w:r w:rsidR="00A53A5C" w:rsidRPr="00316061">
        <w:rPr>
          <w:rFonts w:asciiTheme="minorHAnsi" w:hAnsiTheme="minorHAnsi" w:cs="Verdana"/>
          <w:color w:val="000000"/>
          <w:sz w:val="22"/>
          <w:szCs w:val="22"/>
        </w:rPr>
        <w:t>which was introduced by the Working Group in October 2014 to provide an alternative solution to Parties.</w:t>
      </w:r>
      <w:r w:rsidRPr="00316061">
        <w:rPr>
          <w:rFonts w:asciiTheme="minorHAnsi" w:hAnsiTheme="minorHAnsi" w:cs="Verdana"/>
          <w:color w:val="000000"/>
          <w:sz w:val="22"/>
          <w:szCs w:val="22"/>
        </w:rPr>
        <w:t xml:space="preserve"> </w:t>
      </w:r>
    </w:p>
    <w:p w:rsidR="005D1356" w:rsidRDefault="00A53A5C" w:rsidP="0002251E">
      <w:pPr>
        <w:pStyle w:val="Heading2"/>
        <w:keepNext w:val="0"/>
        <w:numPr>
          <w:ilvl w:val="1"/>
          <w:numId w:val="3"/>
        </w:numPr>
        <w:tabs>
          <w:tab w:val="num" w:pos="709"/>
        </w:tabs>
        <w:spacing w:line="360" w:lineRule="auto"/>
        <w:jc w:val="both"/>
        <w:rPr>
          <w:rFonts w:asciiTheme="minorHAnsi" w:hAnsiTheme="minorHAnsi" w:cs="Verdana"/>
          <w:color w:val="000000"/>
          <w:sz w:val="22"/>
          <w:szCs w:val="22"/>
        </w:rPr>
      </w:pPr>
      <w:r w:rsidRPr="0002251E">
        <w:rPr>
          <w:rFonts w:asciiTheme="minorHAnsi" w:hAnsiTheme="minorHAnsi" w:cs="Verdana"/>
          <w:color w:val="000000"/>
          <w:sz w:val="22"/>
          <w:szCs w:val="22"/>
        </w:rPr>
        <w:t>The Working Group</w:t>
      </w:r>
      <w:r w:rsidR="008A44EF" w:rsidRPr="0002251E">
        <w:rPr>
          <w:rFonts w:asciiTheme="minorHAnsi" w:hAnsiTheme="minorHAnsi" w:cs="Verdana"/>
          <w:color w:val="000000"/>
          <w:sz w:val="22"/>
          <w:szCs w:val="22"/>
        </w:rPr>
        <w:t xml:space="preserve"> draft</w:t>
      </w:r>
      <w:r w:rsidRPr="0002251E">
        <w:rPr>
          <w:rFonts w:asciiTheme="minorHAnsi" w:hAnsiTheme="minorHAnsi" w:cs="Verdana"/>
          <w:color w:val="000000"/>
          <w:sz w:val="22"/>
          <w:szCs w:val="22"/>
        </w:rPr>
        <w:t>ed</w:t>
      </w:r>
      <w:r w:rsidR="008A44EF" w:rsidRPr="0002251E">
        <w:rPr>
          <w:rFonts w:asciiTheme="minorHAnsi" w:hAnsiTheme="minorHAnsi" w:cs="Verdana"/>
          <w:color w:val="000000"/>
          <w:sz w:val="22"/>
          <w:szCs w:val="22"/>
        </w:rPr>
        <w:t xml:space="preserve"> legal text</w:t>
      </w:r>
      <w:r w:rsidRPr="0002251E">
        <w:rPr>
          <w:rFonts w:asciiTheme="minorHAnsi" w:hAnsiTheme="minorHAnsi" w:cs="Verdana"/>
          <w:color w:val="000000"/>
          <w:sz w:val="22"/>
          <w:szCs w:val="22"/>
        </w:rPr>
        <w:t xml:space="preserve"> for both Options which was provided to industry Parties to comment upon under Consultation two</w:t>
      </w:r>
      <w:r w:rsidR="008A44EF" w:rsidRPr="0002251E">
        <w:rPr>
          <w:rFonts w:asciiTheme="minorHAnsi" w:hAnsiTheme="minorHAnsi" w:cs="Verdana"/>
          <w:color w:val="000000"/>
          <w:sz w:val="22"/>
          <w:szCs w:val="22"/>
        </w:rPr>
        <w:t>.</w:t>
      </w:r>
      <w:r w:rsidR="005D1356" w:rsidRPr="0002251E">
        <w:rPr>
          <w:rFonts w:asciiTheme="minorHAnsi" w:hAnsiTheme="minorHAnsi" w:cs="Verdana"/>
          <w:color w:val="000000"/>
          <w:sz w:val="22"/>
          <w:szCs w:val="22"/>
        </w:rPr>
        <w:t xml:space="preserve"> Following the Working Groups consideration of the DCP 205 Consultation two responses</w:t>
      </w:r>
      <w:r w:rsidR="0002251E">
        <w:rPr>
          <w:rFonts w:asciiTheme="minorHAnsi" w:hAnsiTheme="minorHAnsi" w:cs="Verdana"/>
          <w:color w:val="000000"/>
          <w:sz w:val="22"/>
          <w:szCs w:val="22"/>
        </w:rPr>
        <w:t xml:space="preserve"> (Attachment 5)</w:t>
      </w:r>
      <w:r w:rsidR="005D1356" w:rsidRPr="0002251E">
        <w:rPr>
          <w:rFonts w:asciiTheme="minorHAnsi" w:hAnsiTheme="minorHAnsi" w:cs="Verdana"/>
          <w:color w:val="000000"/>
          <w:sz w:val="22"/>
          <w:szCs w:val="22"/>
        </w:rPr>
        <w:t xml:space="preserve">, the Working Group agreed to modify the legal text to refer to </w:t>
      </w:r>
      <w:r w:rsidR="0002251E" w:rsidRPr="0002251E">
        <w:rPr>
          <w:rFonts w:asciiTheme="minorHAnsi" w:hAnsiTheme="minorHAnsi" w:cs="Verdana"/>
          <w:color w:val="000000"/>
          <w:sz w:val="22"/>
          <w:szCs w:val="22"/>
        </w:rPr>
        <w:t xml:space="preserve">electricity generators and to </w:t>
      </w:r>
      <w:r w:rsidR="005D1356" w:rsidRPr="0002251E">
        <w:rPr>
          <w:rFonts w:asciiTheme="minorHAnsi" w:hAnsiTheme="minorHAnsi" w:cs="Verdana"/>
          <w:color w:val="000000"/>
          <w:sz w:val="22"/>
          <w:szCs w:val="22"/>
        </w:rPr>
        <w:t xml:space="preserve">two further British Standards </w:t>
      </w:r>
      <w:r w:rsidR="0002251E">
        <w:rPr>
          <w:rFonts w:asciiTheme="minorHAnsi" w:hAnsiTheme="minorHAnsi" w:cs="Verdana"/>
          <w:color w:val="000000"/>
          <w:sz w:val="22"/>
          <w:szCs w:val="22"/>
        </w:rPr>
        <w:t>(</w:t>
      </w:r>
      <w:r w:rsidR="005D1356" w:rsidRPr="0002251E">
        <w:rPr>
          <w:rFonts w:asciiTheme="minorHAnsi" w:hAnsiTheme="minorHAnsi" w:cs="Verdana"/>
          <w:color w:val="000000"/>
          <w:sz w:val="22"/>
          <w:szCs w:val="22"/>
        </w:rPr>
        <w:t>BS</w:t>
      </w:r>
      <w:r w:rsidR="0002251E">
        <w:rPr>
          <w:rFonts w:asciiTheme="minorHAnsi" w:hAnsiTheme="minorHAnsi" w:cs="Verdana"/>
          <w:color w:val="000000"/>
          <w:sz w:val="22"/>
          <w:szCs w:val="22"/>
        </w:rPr>
        <w:t>)</w:t>
      </w:r>
      <w:r w:rsidR="005D1356" w:rsidRPr="0002251E">
        <w:rPr>
          <w:rFonts w:asciiTheme="minorHAnsi" w:hAnsiTheme="minorHAnsi" w:cs="Verdana"/>
          <w:color w:val="000000"/>
          <w:sz w:val="22"/>
          <w:szCs w:val="22"/>
        </w:rPr>
        <w:t xml:space="preserve"> EN 61000-3-11 and BS EN 61000-3-12. The intent of the addition of these two British standards was to</w:t>
      </w:r>
      <w:r w:rsidR="0002251E" w:rsidRPr="0002251E">
        <w:rPr>
          <w:rFonts w:asciiTheme="minorHAnsi" w:hAnsiTheme="minorHAnsi" w:cs="Verdana"/>
          <w:color w:val="000000"/>
          <w:sz w:val="22"/>
          <w:szCs w:val="22"/>
        </w:rPr>
        <w:t xml:space="preserve"> </w:t>
      </w:r>
      <w:r w:rsidR="005D1356" w:rsidRPr="0002251E">
        <w:rPr>
          <w:rFonts w:asciiTheme="minorHAnsi" w:hAnsiTheme="minorHAnsi" w:cs="Verdana"/>
          <w:color w:val="000000"/>
          <w:sz w:val="22"/>
          <w:szCs w:val="22"/>
        </w:rPr>
        <w:t>allow for the full funding at qua</w:t>
      </w:r>
      <w:r w:rsidR="0002251E" w:rsidRPr="0002251E">
        <w:rPr>
          <w:rFonts w:asciiTheme="minorHAnsi" w:hAnsiTheme="minorHAnsi" w:cs="Verdana"/>
          <w:color w:val="000000"/>
          <w:sz w:val="22"/>
          <w:szCs w:val="22"/>
        </w:rPr>
        <w:t xml:space="preserve">lifying existing connections of </w:t>
      </w:r>
      <w:r w:rsidR="0002251E">
        <w:rPr>
          <w:rFonts w:asciiTheme="minorHAnsi" w:hAnsiTheme="minorHAnsi" w:cs="Verdana"/>
          <w:color w:val="000000"/>
          <w:sz w:val="22"/>
          <w:szCs w:val="22"/>
        </w:rPr>
        <w:t>e</w:t>
      </w:r>
      <w:r w:rsidR="005D1356" w:rsidRPr="0002251E">
        <w:rPr>
          <w:rFonts w:asciiTheme="minorHAnsi" w:hAnsiTheme="minorHAnsi" w:cs="Verdana"/>
          <w:color w:val="000000"/>
          <w:sz w:val="22"/>
          <w:szCs w:val="22"/>
        </w:rPr>
        <w:t>lectricity generators up to 16</w:t>
      </w:r>
      <w:r w:rsidR="0002251E">
        <w:rPr>
          <w:rFonts w:asciiTheme="minorHAnsi" w:hAnsiTheme="minorHAnsi" w:cs="Verdana"/>
          <w:color w:val="000000"/>
          <w:sz w:val="22"/>
          <w:szCs w:val="22"/>
        </w:rPr>
        <w:t xml:space="preserve"> amperes per </w:t>
      </w:r>
      <w:r w:rsidR="005D1356" w:rsidRPr="0002251E">
        <w:rPr>
          <w:rFonts w:asciiTheme="minorHAnsi" w:hAnsiTheme="minorHAnsi" w:cs="Verdana"/>
          <w:color w:val="000000"/>
          <w:sz w:val="22"/>
          <w:szCs w:val="22"/>
        </w:rPr>
        <w:t>phase (“g83”)</w:t>
      </w:r>
      <w:r w:rsidR="0002251E" w:rsidRPr="0002251E">
        <w:rPr>
          <w:rFonts w:asciiTheme="minorHAnsi" w:hAnsiTheme="minorHAnsi" w:cs="Verdana"/>
          <w:color w:val="000000"/>
          <w:sz w:val="22"/>
          <w:szCs w:val="22"/>
        </w:rPr>
        <w:t xml:space="preserve"> a</w:t>
      </w:r>
      <w:r w:rsidR="005D1356" w:rsidRPr="0002251E">
        <w:rPr>
          <w:rFonts w:asciiTheme="minorHAnsi" w:hAnsiTheme="minorHAnsi" w:cs="Verdana"/>
          <w:color w:val="000000"/>
          <w:sz w:val="22"/>
          <w:szCs w:val="22"/>
        </w:rPr>
        <w:t>nd lo</w:t>
      </w:r>
      <w:r w:rsidR="0002251E">
        <w:rPr>
          <w:rFonts w:asciiTheme="minorHAnsi" w:hAnsiTheme="minorHAnsi" w:cs="Verdana"/>
          <w:color w:val="000000"/>
          <w:sz w:val="22"/>
          <w:szCs w:val="22"/>
        </w:rPr>
        <w:t>ad or Demand equipment (such as heat pumps) up to 75 amperes per ph</w:t>
      </w:r>
      <w:r w:rsidR="005D1356" w:rsidRPr="0002251E">
        <w:rPr>
          <w:rFonts w:asciiTheme="minorHAnsi" w:hAnsiTheme="minorHAnsi" w:cs="Verdana"/>
          <w:color w:val="000000"/>
          <w:sz w:val="22"/>
          <w:szCs w:val="22"/>
        </w:rPr>
        <w:t>ase as long as they comply with existing relevant standards for harmonics and flicker.</w:t>
      </w:r>
      <w:r w:rsidR="0002251E">
        <w:rPr>
          <w:rFonts w:asciiTheme="minorHAnsi" w:hAnsiTheme="minorHAnsi" w:cs="Verdana"/>
          <w:color w:val="000000"/>
          <w:sz w:val="22"/>
          <w:szCs w:val="22"/>
        </w:rPr>
        <w:t xml:space="preserve"> The modified legal text was provided to the DCP 205 consultation two respondents for comment upon. The responses to these questions are captured in Attachment 6.</w:t>
      </w:r>
    </w:p>
    <w:p w:rsidR="005D1356" w:rsidRPr="005D1356" w:rsidRDefault="0002251E" w:rsidP="005D1356">
      <w:pPr>
        <w:pStyle w:val="Heading2"/>
        <w:keepNext w:val="0"/>
        <w:numPr>
          <w:ilvl w:val="1"/>
          <w:numId w:val="3"/>
        </w:numPr>
        <w:tabs>
          <w:tab w:val="num" w:pos="709"/>
        </w:tabs>
        <w:spacing w:line="360" w:lineRule="auto"/>
        <w:jc w:val="both"/>
      </w:pPr>
      <w:r w:rsidRPr="0002251E">
        <w:rPr>
          <w:rFonts w:asciiTheme="minorHAnsi" w:hAnsiTheme="minorHAnsi" w:cs="Verdana"/>
          <w:color w:val="000000"/>
          <w:sz w:val="22"/>
          <w:szCs w:val="22"/>
        </w:rPr>
        <w:t xml:space="preserve">The Working Group preferred option is the solution proposed by the DCP 205 change. The Working Group wished to provide </w:t>
      </w:r>
      <w:proofErr w:type="spellStart"/>
      <w:r w:rsidRPr="0002251E">
        <w:rPr>
          <w:rFonts w:asciiTheme="minorHAnsi" w:hAnsiTheme="minorHAnsi" w:cs="Verdana"/>
          <w:color w:val="000000"/>
          <w:sz w:val="22"/>
          <w:szCs w:val="22"/>
        </w:rPr>
        <w:t>Ofgem</w:t>
      </w:r>
      <w:proofErr w:type="spellEnd"/>
      <w:r w:rsidRPr="0002251E">
        <w:rPr>
          <w:rFonts w:asciiTheme="minorHAnsi" w:hAnsiTheme="minorHAnsi" w:cs="Verdana"/>
          <w:color w:val="000000"/>
          <w:sz w:val="22"/>
          <w:szCs w:val="22"/>
        </w:rPr>
        <w:t xml:space="preserve"> with a choice and </w:t>
      </w:r>
      <w:r w:rsidR="00E14812">
        <w:rPr>
          <w:rFonts w:asciiTheme="minorHAnsi" w:hAnsiTheme="minorHAnsi" w:cs="Verdana"/>
          <w:color w:val="000000"/>
          <w:sz w:val="22"/>
          <w:szCs w:val="22"/>
        </w:rPr>
        <w:t xml:space="preserve">as a result </w:t>
      </w:r>
      <w:proofErr w:type="gramStart"/>
      <w:r>
        <w:rPr>
          <w:rFonts w:asciiTheme="minorHAnsi" w:hAnsiTheme="minorHAnsi" w:cs="Verdana"/>
          <w:color w:val="000000"/>
          <w:sz w:val="22"/>
          <w:szCs w:val="22"/>
        </w:rPr>
        <w:t>are</w:t>
      </w:r>
      <w:proofErr w:type="gramEnd"/>
      <w:r>
        <w:rPr>
          <w:rFonts w:asciiTheme="minorHAnsi" w:hAnsiTheme="minorHAnsi" w:cs="Verdana"/>
          <w:color w:val="000000"/>
          <w:sz w:val="22"/>
          <w:szCs w:val="22"/>
        </w:rPr>
        <w:t xml:space="preserve"> </w:t>
      </w:r>
      <w:r w:rsidRPr="0002251E">
        <w:rPr>
          <w:rFonts w:asciiTheme="minorHAnsi" w:hAnsiTheme="minorHAnsi" w:cs="Verdana"/>
          <w:color w:val="000000"/>
          <w:sz w:val="22"/>
          <w:szCs w:val="22"/>
        </w:rPr>
        <w:t>also submitt</w:t>
      </w:r>
      <w:r>
        <w:rPr>
          <w:rFonts w:asciiTheme="minorHAnsi" w:hAnsiTheme="minorHAnsi" w:cs="Verdana"/>
          <w:color w:val="000000"/>
          <w:sz w:val="22"/>
          <w:szCs w:val="22"/>
        </w:rPr>
        <w:t>ing</w:t>
      </w:r>
      <w:r w:rsidRPr="0002251E">
        <w:rPr>
          <w:rFonts w:asciiTheme="minorHAnsi" w:hAnsiTheme="minorHAnsi" w:cs="Verdana"/>
          <w:color w:val="000000"/>
          <w:sz w:val="22"/>
          <w:szCs w:val="22"/>
        </w:rPr>
        <w:t xml:space="preserve"> the DCP 205A change for the Authorities consideration.</w:t>
      </w:r>
    </w:p>
    <w:p w:rsidR="003D1A78" w:rsidRPr="00316061" w:rsidRDefault="00D350DE" w:rsidP="00530605">
      <w:pPr>
        <w:pStyle w:val="Heading1"/>
        <w:keepNext w:val="0"/>
        <w:numPr>
          <w:ilvl w:val="0"/>
          <w:numId w:val="3"/>
        </w:numPr>
        <w:spacing w:line="360" w:lineRule="auto"/>
        <w:jc w:val="both"/>
        <w:rPr>
          <w:rFonts w:asciiTheme="minorHAnsi" w:hAnsiTheme="minorHAnsi"/>
          <w:sz w:val="22"/>
          <w:szCs w:val="22"/>
        </w:rPr>
      </w:pPr>
      <w:r w:rsidRPr="00316061">
        <w:rPr>
          <w:rFonts w:asciiTheme="minorHAnsi" w:hAnsiTheme="minorHAnsi"/>
          <w:sz w:val="22"/>
          <w:szCs w:val="22"/>
        </w:rPr>
        <w:t>INTENT OF DCP 205</w:t>
      </w:r>
      <w:r w:rsidR="003D1A78" w:rsidRPr="00316061">
        <w:rPr>
          <w:rFonts w:asciiTheme="minorHAnsi" w:hAnsiTheme="minorHAnsi"/>
          <w:sz w:val="22"/>
          <w:szCs w:val="22"/>
        </w:rPr>
        <w:t xml:space="preserve"> CHANGE PROPOSAL</w:t>
      </w:r>
    </w:p>
    <w:p w:rsidR="00D350DE" w:rsidRPr="00E14812" w:rsidRDefault="00D350DE" w:rsidP="00C969E5">
      <w:pPr>
        <w:pStyle w:val="Heading2"/>
        <w:numPr>
          <w:ilvl w:val="1"/>
          <w:numId w:val="3"/>
        </w:numPr>
        <w:spacing w:line="360" w:lineRule="auto"/>
        <w:ind w:left="578" w:hanging="578"/>
        <w:jc w:val="both"/>
        <w:rPr>
          <w:rFonts w:asciiTheme="minorHAnsi" w:hAnsiTheme="minorHAnsi"/>
          <w:sz w:val="22"/>
          <w:szCs w:val="22"/>
        </w:rPr>
      </w:pPr>
      <w:r w:rsidRPr="00E14812">
        <w:rPr>
          <w:rFonts w:asciiTheme="minorHAnsi" w:hAnsiTheme="minorHAnsi"/>
          <w:sz w:val="22"/>
          <w:szCs w:val="22"/>
        </w:rPr>
        <w:t>DCP 205</w:t>
      </w:r>
      <w:r w:rsidR="003D1A78" w:rsidRPr="00E14812">
        <w:rPr>
          <w:rFonts w:asciiTheme="minorHAnsi" w:hAnsiTheme="minorHAnsi"/>
          <w:sz w:val="22"/>
          <w:szCs w:val="22"/>
        </w:rPr>
        <w:t xml:space="preserve"> has been raised by E</w:t>
      </w:r>
      <w:r w:rsidRPr="00E14812">
        <w:rPr>
          <w:rFonts w:asciiTheme="minorHAnsi" w:hAnsiTheme="minorHAnsi"/>
          <w:sz w:val="22"/>
          <w:szCs w:val="22"/>
        </w:rPr>
        <w:t>lectricity North West</w:t>
      </w:r>
      <w:r w:rsidR="003D1A78" w:rsidRPr="00E14812">
        <w:rPr>
          <w:rFonts w:asciiTheme="minorHAnsi" w:hAnsiTheme="minorHAnsi"/>
          <w:sz w:val="22"/>
          <w:szCs w:val="22"/>
        </w:rPr>
        <w:t xml:space="preserve"> as a Part 1 matter</w:t>
      </w:r>
      <w:r w:rsidR="003D1A78" w:rsidRPr="00E14812">
        <w:rPr>
          <w:rStyle w:val="FootnoteReference"/>
          <w:rFonts w:asciiTheme="minorHAnsi" w:hAnsiTheme="minorHAnsi"/>
          <w:sz w:val="22"/>
          <w:szCs w:val="22"/>
        </w:rPr>
        <w:footnoteReference w:id="1"/>
      </w:r>
      <w:r w:rsidR="003D1A78" w:rsidRPr="00E14812">
        <w:rPr>
          <w:rFonts w:asciiTheme="minorHAnsi" w:hAnsiTheme="minorHAnsi"/>
          <w:sz w:val="22"/>
          <w:szCs w:val="22"/>
        </w:rPr>
        <w:t xml:space="preserve">, </w:t>
      </w:r>
      <w:r w:rsidRPr="00E14812">
        <w:rPr>
          <w:rFonts w:asciiTheme="minorHAnsi" w:hAnsiTheme="minorHAnsi"/>
          <w:sz w:val="22"/>
          <w:szCs w:val="22"/>
        </w:rPr>
        <w:t xml:space="preserve">to make changes to the Common Connections Charging Methodology (CCCM) to take account of </w:t>
      </w:r>
      <w:proofErr w:type="spellStart"/>
      <w:r w:rsidRPr="00E14812">
        <w:rPr>
          <w:rFonts w:asciiTheme="minorHAnsi" w:hAnsiTheme="minorHAnsi"/>
          <w:sz w:val="22"/>
          <w:szCs w:val="22"/>
        </w:rPr>
        <w:t>Ofgem</w:t>
      </w:r>
      <w:proofErr w:type="spellEnd"/>
      <w:r w:rsidRPr="00E14812">
        <w:rPr>
          <w:rFonts w:asciiTheme="minorHAnsi" w:hAnsiTheme="minorHAnsi"/>
          <w:sz w:val="22"/>
          <w:szCs w:val="22"/>
        </w:rPr>
        <w:t xml:space="preserve"> policy for RIIO-ED1 in relation to recovery of costs due to load and generation increases from existing customers.</w:t>
      </w:r>
    </w:p>
    <w:p w:rsidR="000C7D3C" w:rsidRPr="00316061" w:rsidRDefault="000C7D3C" w:rsidP="000C7D3C">
      <w:pPr>
        <w:pStyle w:val="Heading2"/>
        <w:keepNext w:val="0"/>
        <w:widowControl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The DCP 205 legal drafting aims to modify Schedule 22 of DCUSA (Common Connection Charging Methodology) with regards to the socialisation of reinforcement costs currently funded by connecting customers.</w:t>
      </w:r>
    </w:p>
    <w:p w:rsidR="003D1A78" w:rsidRPr="00316061" w:rsidRDefault="003D1A78" w:rsidP="00A621A9">
      <w:pPr>
        <w:pStyle w:val="Heading1"/>
        <w:keepNext w:val="0"/>
        <w:numPr>
          <w:ilvl w:val="0"/>
          <w:numId w:val="3"/>
        </w:numPr>
        <w:spacing w:line="360" w:lineRule="auto"/>
        <w:jc w:val="both"/>
        <w:rPr>
          <w:rFonts w:asciiTheme="minorHAnsi" w:hAnsiTheme="minorHAnsi"/>
          <w:sz w:val="22"/>
          <w:szCs w:val="22"/>
        </w:rPr>
      </w:pPr>
      <w:r w:rsidRPr="00316061">
        <w:rPr>
          <w:rFonts w:asciiTheme="minorHAnsi" w:hAnsiTheme="minorHAnsi"/>
          <w:sz w:val="22"/>
          <w:szCs w:val="22"/>
        </w:rPr>
        <w:t xml:space="preserve">   D</w:t>
      </w:r>
      <w:r w:rsidR="00D350DE" w:rsidRPr="00316061">
        <w:rPr>
          <w:rFonts w:asciiTheme="minorHAnsi" w:hAnsiTheme="minorHAnsi"/>
          <w:sz w:val="22"/>
          <w:szCs w:val="22"/>
        </w:rPr>
        <w:t>CP 205</w:t>
      </w:r>
      <w:r w:rsidRPr="00316061">
        <w:rPr>
          <w:rFonts w:asciiTheme="minorHAnsi" w:hAnsiTheme="minorHAnsi"/>
          <w:sz w:val="22"/>
          <w:szCs w:val="22"/>
        </w:rPr>
        <w:t xml:space="preserve"> – WORKING GROUP CONSIDERATIONS</w:t>
      </w:r>
    </w:p>
    <w:p w:rsidR="003D1A78" w:rsidRPr="00316061" w:rsidRDefault="003D1A78" w:rsidP="00C969E5">
      <w:pPr>
        <w:pStyle w:val="Heading2"/>
        <w:keepNext w:val="0"/>
        <w:numPr>
          <w:ilvl w:val="1"/>
          <w:numId w:val="3"/>
        </w:numPr>
        <w:spacing w:line="360" w:lineRule="auto"/>
        <w:ind w:left="578" w:hanging="578"/>
        <w:jc w:val="both"/>
        <w:rPr>
          <w:rFonts w:asciiTheme="minorHAnsi" w:hAnsiTheme="minorHAnsi"/>
          <w:sz w:val="22"/>
          <w:szCs w:val="22"/>
          <w:highlight w:val="yellow"/>
        </w:rPr>
      </w:pPr>
      <w:r w:rsidRPr="00316061">
        <w:rPr>
          <w:rFonts w:asciiTheme="minorHAnsi" w:hAnsiTheme="minorHAnsi"/>
          <w:sz w:val="22"/>
          <w:szCs w:val="22"/>
        </w:rPr>
        <w:lastRenderedPageBreak/>
        <w:t>The DCUSA P</w:t>
      </w:r>
      <w:r w:rsidR="008A44EF" w:rsidRPr="00316061">
        <w:rPr>
          <w:rFonts w:asciiTheme="minorHAnsi" w:hAnsiTheme="minorHAnsi"/>
          <w:sz w:val="22"/>
          <w:szCs w:val="22"/>
        </w:rPr>
        <w:t>anel has established the DCP 205</w:t>
      </w:r>
      <w:r w:rsidRPr="00316061">
        <w:rPr>
          <w:rFonts w:asciiTheme="minorHAnsi" w:hAnsiTheme="minorHAnsi"/>
          <w:sz w:val="22"/>
          <w:szCs w:val="22"/>
        </w:rPr>
        <w:t xml:space="preserve"> Working Group which currently consists of representatives from DNOs, </w:t>
      </w:r>
      <w:proofErr w:type="spellStart"/>
      <w:r w:rsidRPr="00316061">
        <w:rPr>
          <w:rFonts w:asciiTheme="minorHAnsi" w:hAnsiTheme="minorHAnsi"/>
          <w:sz w:val="22"/>
          <w:szCs w:val="22"/>
        </w:rPr>
        <w:t>Ofgem</w:t>
      </w:r>
      <w:proofErr w:type="spellEnd"/>
      <w:r w:rsidRPr="00316061">
        <w:rPr>
          <w:rFonts w:asciiTheme="minorHAnsi" w:hAnsiTheme="minorHAnsi"/>
          <w:sz w:val="22"/>
          <w:szCs w:val="22"/>
        </w:rPr>
        <w:t xml:space="preserve"> and other (non-DCUSA) parties whose work involves electricity network connections. </w:t>
      </w:r>
    </w:p>
    <w:p w:rsidR="003D1A78" w:rsidRPr="00316061" w:rsidRDefault="003D1A78" w:rsidP="00C969E5">
      <w:pPr>
        <w:pStyle w:val="Heading2"/>
        <w:keepNext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 xml:space="preserve">The DCUSA Panel established a Working Group to assess </w:t>
      </w:r>
      <w:r w:rsidR="008A44EF" w:rsidRPr="00316061">
        <w:rPr>
          <w:rFonts w:asciiTheme="minorHAnsi" w:hAnsiTheme="minorHAnsi"/>
          <w:sz w:val="22"/>
          <w:szCs w:val="22"/>
        </w:rPr>
        <w:t>DCP 205</w:t>
      </w:r>
      <w:r w:rsidRPr="00316061">
        <w:rPr>
          <w:rFonts w:asciiTheme="minorHAnsi" w:hAnsiTheme="minorHAnsi"/>
          <w:sz w:val="22"/>
          <w:szCs w:val="22"/>
        </w:rPr>
        <w:t xml:space="preserve">. The Working Group met on </w:t>
      </w:r>
      <w:r w:rsidR="004C2DFC" w:rsidRPr="00316061">
        <w:rPr>
          <w:rFonts w:asciiTheme="minorHAnsi" w:hAnsiTheme="minorHAnsi"/>
          <w:sz w:val="22"/>
          <w:szCs w:val="22"/>
          <w:highlight w:val="yellow"/>
        </w:rPr>
        <w:t>seven</w:t>
      </w:r>
      <w:r w:rsidRPr="00316061">
        <w:rPr>
          <w:rFonts w:asciiTheme="minorHAnsi" w:hAnsiTheme="minorHAnsi"/>
          <w:sz w:val="22"/>
          <w:szCs w:val="22"/>
        </w:rPr>
        <w:t xml:space="preserve"> occasions and was comprised of DNOs, </w:t>
      </w:r>
      <w:proofErr w:type="spellStart"/>
      <w:r w:rsidRPr="00316061">
        <w:rPr>
          <w:rFonts w:asciiTheme="minorHAnsi" w:hAnsiTheme="minorHAnsi"/>
          <w:sz w:val="22"/>
          <w:szCs w:val="22"/>
        </w:rPr>
        <w:t>Ofgem</w:t>
      </w:r>
      <w:proofErr w:type="spellEnd"/>
      <w:r w:rsidRPr="00316061">
        <w:rPr>
          <w:rFonts w:asciiTheme="minorHAnsi" w:hAnsiTheme="minorHAnsi"/>
          <w:sz w:val="22"/>
          <w:szCs w:val="22"/>
        </w:rPr>
        <w:t xml:space="preserve"> and other (non-DCUSA) parties whose work involves electricity network connections. </w:t>
      </w:r>
    </w:p>
    <w:p w:rsidR="003D1A78" w:rsidRPr="00316061" w:rsidRDefault="003D1A78" w:rsidP="00C969E5">
      <w:pPr>
        <w:pStyle w:val="Heading2"/>
        <w:keepNext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 xml:space="preserve">Meetings were held in open session and the minutes and papers of each meeting are available on the DCUSA website – </w:t>
      </w:r>
      <w:hyperlink r:id="rId10" w:history="1">
        <w:r w:rsidRPr="00316061">
          <w:rPr>
            <w:rFonts w:asciiTheme="minorHAnsi" w:hAnsiTheme="minorHAnsi"/>
            <w:sz w:val="22"/>
            <w:szCs w:val="22"/>
          </w:rPr>
          <w:t>www.dcusa.co.uk</w:t>
        </w:r>
      </w:hyperlink>
      <w:r w:rsidRPr="00316061">
        <w:rPr>
          <w:rFonts w:asciiTheme="minorHAnsi" w:hAnsiTheme="minorHAnsi"/>
          <w:sz w:val="22"/>
          <w:szCs w:val="22"/>
        </w:rPr>
        <w:t>.</w:t>
      </w:r>
    </w:p>
    <w:p w:rsidR="003D1A78" w:rsidRPr="00316061" w:rsidRDefault="007A741D" w:rsidP="00C969E5">
      <w:pPr>
        <w:pStyle w:val="Heading2"/>
        <w:keepNext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All</w:t>
      </w:r>
      <w:r w:rsidR="002C01E7" w:rsidRPr="00316061">
        <w:rPr>
          <w:rFonts w:asciiTheme="minorHAnsi" w:hAnsiTheme="minorHAnsi"/>
          <w:sz w:val="22"/>
          <w:szCs w:val="22"/>
        </w:rPr>
        <w:t xml:space="preserve"> </w:t>
      </w:r>
      <w:r w:rsidR="003D1A78" w:rsidRPr="00316061">
        <w:rPr>
          <w:rFonts w:asciiTheme="minorHAnsi" w:hAnsiTheme="minorHAnsi"/>
          <w:sz w:val="22"/>
          <w:szCs w:val="22"/>
        </w:rPr>
        <w:t xml:space="preserve">Working Group members were supportive of the general principle of </w:t>
      </w:r>
      <w:r w:rsidR="008A44EF" w:rsidRPr="00316061">
        <w:rPr>
          <w:rFonts w:asciiTheme="minorHAnsi" w:hAnsiTheme="minorHAnsi"/>
          <w:sz w:val="22"/>
          <w:szCs w:val="22"/>
        </w:rPr>
        <w:t>DCP 205</w:t>
      </w:r>
      <w:r w:rsidR="003D1A78" w:rsidRPr="00316061">
        <w:rPr>
          <w:rFonts w:asciiTheme="minorHAnsi" w:hAnsiTheme="minorHAnsi"/>
          <w:sz w:val="22"/>
          <w:szCs w:val="22"/>
        </w:rPr>
        <w:t xml:space="preserve">. </w:t>
      </w:r>
    </w:p>
    <w:p w:rsidR="007A741D" w:rsidRPr="00316061" w:rsidRDefault="007A741D" w:rsidP="007A741D">
      <w:pPr>
        <w:pStyle w:val="Heading2"/>
        <w:keepNext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 xml:space="preserve">The Working Group considered that this change has come about following Ofgem's RIIO-ED1 Final Position (March 2013): </w:t>
      </w:r>
    </w:p>
    <w:p w:rsidR="007A741D" w:rsidRPr="00316061" w:rsidRDefault="007A741D" w:rsidP="007A741D">
      <w:pPr>
        <w:spacing w:line="360" w:lineRule="auto"/>
        <w:ind w:left="1134" w:hanging="567"/>
        <w:rPr>
          <w:rFonts w:asciiTheme="minorHAnsi" w:hAnsiTheme="minorHAnsi"/>
          <w:b/>
          <w:bCs/>
          <w:i/>
          <w:sz w:val="22"/>
          <w:szCs w:val="22"/>
        </w:rPr>
      </w:pPr>
      <w:r w:rsidRPr="00316061">
        <w:rPr>
          <w:rFonts w:asciiTheme="minorHAnsi" w:hAnsiTheme="minorHAnsi"/>
          <w:b/>
          <w:bCs/>
          <w:i/>
          <w:sz w:val="22"/>
          <w:szCs w:val="22"/>
        </w:rPr>
        <w:t>Recovery of costs due to load and generation increases from existing domestic customers</w:t>
      </w:r>
    </w:p>
    <w:p w:rsidR="007A741D" w:rsidRPr="00316061" w:rsidRDefault="007A741D" w:rsidP="007A741D">
      <w:pPr>
        <w:spacing w:line="360" w:lineRule="auto"/>
        <w:ind w:left="1134" w:hanging="567"/>
        <w:rPr>
          <w:rFonts w:asciiTheme="minorHAnsi" w:hAnsiTheme="minorHAnsi"/>
          <w:i/>
          <w:sz w:val="22"/>
          <w:szCs w:val="22"/>
        </w:rPr>
      </w:pPr>
      <w:r w:rsidRPr="00316061">
        <w:rPr>
          <w:rFonts w:asciiTheme="minorHAnsi" w:hAnsiTheme="minorHAnsi"/>
          <w:i/>
          <w:sz w:val="22"/>
          <w:szCs w:val="22"/>
        </w:rPr>
        <w:t xml:space="preserve">3.32. </w:t>
      </w:r>
      <w:r w:rsidRPr="00316061">
        <w:rPr>
          <w:rFonts w:asciiTheme="minorHAnsi" w:hAnsiTheme="minorHAnsi"/>
          <w:i/>
          <w:sz w:val="22"/>
          <w:szCs w:val="22"/>
        </w:rPr>
        <w:tab/>
      </w:r>
      <w:r w:rsidRPr="00316061">
        <w:rPr>
          <w:rFonts w:asciiTheme="minorHAnsi" w:hAnsiTheme="minorHAnsi"/>
          <w:i/>
          <w:sz w:val="22"/>
          <w:szCs w:val="22"/>
        </w:rPr>
        <w:tab/>
        <w:t xml:space="preserve">In practice DNOs currently recover the cost of network reinforcement triggered </w:t>
      </w:r>
      <w:r w:rsidRPr="00316061">
        <w:rPr>
          <w:rFonts w:asciiTheme="minorHAnsi" w:hAnsiTheme="minorHAnsi"/>
          <w:i/>
          <w:sz w:val="22"/>
          <w:szCs w:val="22"/>
        </w:rPr>
        <w:tab/>
        <w:t>by load growth at existing domestic premises through distribution use of system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charges. This is because they are unable to identify which individual customers are driving the costs. However, since they are allowed to charge individual customers, there is the potential for inconsistent treatment across DNOs. </w:t>
      </w:r>
      <w:r w:rsidRPr="00316061">
        <w:rPr>
          <w:rFonts w:asciiTheme="minorHAnsi" w:hAnsiTheme="minorHAnsi"/>
          <w:i/>
          <w:sz w:val="22"/>
          <w:szCs w:val="22"/>
        </w:rPr>
        <w:br/>
      </w:r>
      <w:r w:rsidRPr="00316061">
        <w:rPr>
          <w:rFonts w:asciiTheme="minorHAnsi" w:hAnsiTheme="minorHAnsi"/>
          <w:b/>
          <w:bCs/>
          <w:i/>
          <w:sz w:val="22"/>
          <w:szCs w:val="22"/>
        </w:rPr>
        <w:t xml:space="preserve">Our decision </w:t>
      </w:r>
    </w:p>
    <w:p w:rsidR="007A741D" w:rsidRPr="00316061" w:rsidRDefault="007A741D" w:rsidP="007A741D">
      <w:pPr>
        <w:spacing w:line="360" w:lineRule="auto"/>
        <w:ind w:left="1134" w:hanging="567"/>
        <w:rPr>
          <w:rFonts w:asciiTheme="minorHAnsi" w:hAnsiTheme="minorHAnsi"/>
          <w:i/>
          <w:sz w:val="22"/>
          <w:szCs w:val="22"/>
        </w:rPr>
      </w:pPr>
      <w:r w:rsidRPr="00316061">
        <w:rPr>
          <w:rFonts w:asciiTheme="minorHAnsi" w:hAnsiTheme="minorHAnsi"/>
          <w:i/>
          <w:sz w:val="22"/>
          <w:szCs w:val="22"/>
        </w:rPr>
        <w:t xml:space="preserve">3.33. Ideally, DNOs would recover costs from those customers who impose them. However, since this is currently not practicable we have decided that until DNOs have a means to accurately identify the customers who trigger cost, they will continue to recover the costs of any reinforcement caused by load or generation growth by domestic (as defined in the electricity distribution licence) and small business (profile class 3-4) customers through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charges.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charges are paid by all customers as part of their overall bill to reflect the costs of transporting electricity through the distribution network. </w:t>
      </w:r>
    </w:p>
    <w:p w:rsidR="007A741D" w:rsidRPr="00316061" w:rsidRDefault="007A741D" w:rsidP="007A741D">
      <w:pPr>
        <w:pStyle w:val="NormalWeb"/>
        <w:spacing w:line="360" w:lineRule="auto"/>
        <w:ind w:left="1134" w:hanging="567"/>
        <w:rPr>
          <w:rFonts w:asciiTheme="minorHAnsi" w:hAnsiTheme="minorHAnsi"/>
          <w:i/>
          <w:sz w:val="22"/>
          <w:szCs w:val="22"/>
        </w:rPr>
      </w:pPr>
      <w:r w:rsidRPr="00316061">
        <w:rPr>
          <w:rFonts w:asciiTheme="minorHAnsi" w:hAnsiTheme="minorHAnsi"/>
          <w:i/>
          <w:sz w:val="22"/>
          <w:szCs w:val="22"/>
        </w:rPr>
        <w:t xml:space="preserve">3.34. </w:t>
      </w:r>
      <w:r w:rsidRPr="00316061">
        <w:rPr>
          <w:rFonts w:asciiTheme="minorHAnsi" w:hAnsiTheme="minorHAnsi"/>
          <w:i/>
          <w:sz w:val="22"/>
          <w:szCs w:val="22"/>
        </w:rPr>
        <w:tab/>
        <w:t xml:space="preserve">This decision will apply to all equipment installed in existing domestic or profile class 3-4 properties, including where that equipment is part of multiple installations made by a landlord. </w:t>
      </w:r>
    </w:p>
    <w:p w:rsidR="007A741D" w:rsidRPr="00316061" w:rsidRDefault="007A741D" w:rsidP="007A741D">
      <w:pPr>
        <w:pStyle w:val="NormalWeb"/>
        <w:spacing w:line="360" w:lineRule="auto"/>
        <w:ind w:left="1134" w:hanging="567"/>
        <w:jc w:val="both"/>
        <w:rPr>
          <w:rFonts w:asciiTheme="minorHAnsi" w:hAnsiTheme="minorHAnsi"/>
          <w:i/>
          <w:sz w:val="22"/>
          <w:szCs w:val="22"/>
        </w:rPr>
      </w:pPr>
      <w:r w:rsidRPr="00316061">
        <w:rPr>
          <w:rFonts w:asciiTheme="minorHAnsi" w:hAnsiTheme="minorHAnsi"/>
          <w:i/>
          <w:sz w:val="22"/>
          <w:szCs w:val="22"/>
        </w:rPr>
        <w:t xml:space="preserve">3.35. </w:t>
      </w:r>
      <w:r w:rsidRPr="00316061">
        <w:rPr>
          <w:rFonts w:asciiTheme="minorHAnsi" w:hAnsiTheme="minorHAnsi"/>
          <w:i/>
          <w:sz w:val="22"/>
          <w:szCs w:val="22"/>
        </w:rPr>
        <w:tab/>
        <w:t xml:space="preserve">Given the projected take up of low carbon technologies by domestic customers over time, we consider that there needs to be a consistent policy across all DNOs. </w:t>
      </w:r>
      <w:r w:rsidRPr="00316061">
        <w:rPr>
          <w:rFonts w:asciiTheme="minorHAnsi" w:hAnsiTheme="minorHAnsi"/>
          <w:i/>
          <w:sz w:val="22"/>
          <w:szCs w:val="22"/>
        </w:rPr>
        <w:lastRenderedPageBreak/>
        <w:t xml:space="preserve">Otherwise customers may be unaware of connection charges which they are liable for and face these charges only after they have installed devices. </w:t>
      </w:r>
    </w:p>
    <w:p w:rsidR="007A741D" w:rsidRPr="00316061" w:rsidRDefault="007A741D" w:rsidP="007A741D">
      <w:pPr>
        <w:pStyle w:val="NormalWeb"/>
        <w:spacing w:line="360" w:lineRule="auto"/>
        <w:ind w:left="1134" w:hanging="567"/>
        <w:jc w:val="both"/>
        <w:rPr>
          <w:rFonts w:asciiTheme="minorHAnsi" w:hAnsiTheme="minorHAnsi"/>
          <w:i/>
          <w:sz w:val="22"/>
          <w:szCs w:val="22"/>
        </w:rPr>
      </w:pPr>
      <w:r w:rsidRPr="00316061">
        <w:rPr>
          <w:rFonts w:asciiTheme="minorHAnsi" w:hAnsiTheme="minorHAnsi"/>
          <w:i/>
          <w:sz w:val="22"/>
          <w:szCs w:val="22"/>
        </w:rPr>
        <w:t xml:space="preserve">3.36. </w:t>
      </w:r>
      <w:r w:rsidRPr="00316061">
        <w:rPr>
          <w:rFonts w:asciiTheme="minorHAnsi" w:hAnsiTheme="minorHAnsi"/>
          <w:i/>
          <w:sz w:val="22"/>
          <w:szCs w:val="22"/>
        </w:rPr>
        <w:tab/>
        <w:t xml:space="preserve">At present the only practical policy which can apply across the board is for DNOs to recover the costs of reinforcement from all customers through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charges. Without access to granular data or installing costly monitoring equipment, the only means DNOs have for identifying domestic or small business customers who may trigger reinforcement are through the types of appliances they install. DNOs are working, through the Energy Networks Association (ENA), to receive advanced notification of when certain devices are installed. However, they will not know with confidence when these devices are used and hence whether they are triggering costs. </w:t>
      </w:r>
    </w:p>
    <w:p w:rsidR="007A741D" w:rsidRPr="00316061" w:rsidRDefault="007A741D" w:rsidP="007A741D">
      <w:pPr>
        <w:pStyle w:val="NormalWeb"/>
        <w:spacing w:line="360" w:lineRule="auto"/>
        <w:ind w:left="1134" w:hanging="567"/>
        <w:jc w:val="both"/>
        <w:rPr>
          <w:rFonts w:asciiTheme="minorHAnsi" w:hAnsiTheme="minorHAnsi"/>
          <w:i/>
          <w:sz w:val="22"/>
          <w:szCs w:val="22"/>
        </w:rPr>
      </w:pPr>
      <w:r w:rsidRPr="00316061">
        <w:rPr>
          <w:rFonts w:asciiTheme="minorHAnsi" w:hAnsiTheme="minorHAnsi"/>
          <w:i/>
          <w:sz w:val="22"/>
          <w:szCs w:val="22"/>
        </w:rPr>
        <w:t xml:space="preserve">3.37. </w:t>
      </w:r>
      <w:r w:rsidRPr="00316061">
        <w:rPr>
          <w:rFonts w:asciiTheme="minorHAnsi" w:hAnsiTheme="minorHAnsi"/>
          <w:i/>
          <w:sz w:val="22"/>
          <w:szCs w:val="22"/>
        </w:rPr>
        <w:tab/>
        <w:t xml:space="preserve">Socialising the cost of reinforcement to accommodate domestic growth means that customers who are not adopting high energy consumption equipment may, in effect, be paying for those who do through raised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charges. This reflects current practice of funding reinforcement costs through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charges where DNOs cannot identify the customers who trigger these costs. A system that targets upfront connection costs at individual domestic and small business customers may not only be impracticable, but also costly as DNOs would need to identify and approach individual customers. The impact of that approach would be likely to increase DNOs</w:t>
      </w:r>
      <w:r w:rsidRPr="00316061">
        <w:rPr>
          <w:rFonts w:asciiTheme="minorHAnsi" w:eastAsia="MS Mincho" w:hAnsiTheme="minorHAnsi"/>
          <w:i/>
          <w:sz w:val="22"/>
          <w:szCs w:val="22"/>
        </w:rPr>
        <w:t>‟</w:t>
      </w:r>
      <w:r w:rsidRPr="00316061">
        <w:rPr>
          <w:rFonts w:asciiTheme="minorHAnsi" w:hAnsiTheme="minorHAnsi"/>
          <w:i/>
          <w:sz w:val="22"/>
          <w:szCs w:val="22"/>
        </w:rPr>
        <w:t xml:space="preserve"> overall costs which are passed through to all consumers. </w:t>
      </w:r>
    </w:p>
    <w:p w:rsidR="007A741D" w:rsidRPr="00316061" w:rsidRDefault="007A741D" w:rsidP="007A741D">
      <w:pPr>
        <w:pStyle w:val="NormalWeb"/>
        <w:spacing w:line="360" w:lineRule="auto"/>
        <w:ind w:left="1134" w:hanging="567"/>
        <w:jc w:val="both"/>
        <w:rPr>
          <w:rFonts w:asciiTheme="minorHAnsi" w:hAnsiTheme="minorHAnsi"/>
          <w:i/>
          <w:sz w:val="22"/>
          <w:szCs w:val="22"/>
        </w:rPr>
      </w:pPr>
      <w:r w:rsidRPr="00316061">
        <w:rPr>
          <w:rFonts w:asciiTheme="minorHAnsi" w:hAnsiTheme="minorHAnsi"/>
          <w:i/>
          <w:sz w:val="22"/>
          <w:szCs w:val="22"/>
        </w:rPr>
        <w:t>3.38. We recognise that socialising reinforcement costs may insulate domestic and small business customers from the financial consequences of their actions, rather than actively encouraging them to properly manage their demand. However, this will be an interim measure until sufficient smart metering data is available to identify those who trigger reinforcement and incentivise them to manage their consumption in order to avoid reinforcement. A key element of our smart grid project (outlined above) will be to understand how incentives on these customers to manage demand can be introduced. This goes to the heart of what form a future smart grid should take and how it should interact with customers.</w:t>
      </w:r>
    </w:p>
    <w:p w:rsidR="0042266C" w:rsidRPr="00316061" w:rsidRDefault="003D1A78" w:rsidP="0042266C">
      <w:pPr>
        <w:pStyle w:val="Heading2"/>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lastRenderedPageBreak/>
        <w:t>Th</w:t>
      </w:r>
      <w:r w:rsidR="007A741D" w:rsidRPr="00316061">
        <w:rPr>
          <w:rFonts w:asciiTheme="minorHAnsi" w:hAnsiTheme="minorHAnsi"/>
          <w:sz w:val="22"/>
          <w:szCs w:val="22"/>
        </w:rPr>
        <w:t xml:space="preserve">is change benefits customers by </w:t>
      </w:r>
      <w:r w:rsidR="0042266C" w:rsidRPr="00316061">
        <w:rPr>
          <w:rFonts w:asciiTheme="minorHAnsi" w:hAnsiTheme="minorHAnsi"/>
          <w:sz w:val="22"/>
          <w:szCs w:val="22"/>
        </w:rPr>
        <w:t>explaining how charges would be applied where domestic and small businesses customers request to install equipment that require the network to be reinforced and the situations within which the costs may be socialised.</w:t>
      </w:r>
    </w:p>
    <w:p w:rsidR="0042266C" w:rsidRDefault="00C26661" w:rsidP="0042266C">
      <w:pPr>
        <w:pStyle w:val="Heading2"/>
        <w:numPr>
          <w:ilvl w:val="1"/>
          <w:numId w:val="3"/>
        </w:numPr>
        <w:spacing w:line="360" w:lineRule="auto"/>
        <w:ind w:left="578" w:hanging="578"/>
        <w:jc w:val="both"/>
        <w:rPr>
          <w:rFonts w:asciiTheme="minorHAnsi" w:hAnsiTheme="minorHAnsi"/>
          <w:sz w:val="22"/>
          <w:szCs w:val="22"/>
        </w:rPr>
      </w:pPr>
      <w:r>
        <w:rPr>
          <w:rFonts w:asciiTheme="minorHAnsi" w:hAnsiTheme="minorHAnsi"/>
          <w:sz w:val="22"/>
          <w:szCs w:val="22"/>
        </w:rPr>
        <w:t xml:space="preserve">Following the </w:t>
      </w:r>
      <w:r w:rsidR="0042266C" w:rsidRPr="00316061">
        <w:rPr>
          <w:rFonts w:asciiTheme="minorHAnsi" w:hAnsiTheme="minorHAnsi"/>
          <w:sz w:val="22"/>
          <w:szCs w:val="22"/>
        </w:rPr>
        <w:t>Working Group</w:t>
      </w:r>
      <w:r>
        <w:rPr>
          <w:rFonts w:asciiTheme="minorHAnsi" w:hAnsiTheme="minorHAnsi"/>
          <w:sz w:val="22"/>
          <w:szCs w:val="22"/>
        </w:rPr>
        <w:t>s</w:t>
      </w:r>
      <w:r w:rsidR="0042266C" w:rsidRPr="00316061">
        <w:rPr>
          <w:rFonts w:asciiTheme="minorHAnsi" w:hAnsiTheme="minorHAnsi"/>
          <w:sz w:val="22"/>
          <w:szCs w:val="22"/>
        </w:rPr>
        <w:t xml:space="preserve"> consider</w:t>
      </w:r>
      <w:r>
        <w:rPr>
          <w:rFonts w:asciiTheme="minorHAnsi" w:hAnsiTheme="minorHAnsi"/>
          <w:sz w:val="22"/>
          <w:szCs w:val="22"/>
        </w:rPr>
        <w:t xml:space="preserve">ation of the DCP 205 consultation one responses on </w:t>
      </w:r>
      <w:r w:rsidRPr="00316061">
        <w:rPr>
          <w:rFonts w:asciiTheme="minorHAnsi" w:hAnsiTheme="minorHAnsi"/>
          <w:sz w:val="22"/>
          <w:szCs w:val="22"/>
        </w:rPr>
        <w:t>four</w:t>
      </w:r>
      <w:r w:rsidR="0042266C" w:rsidRPr="00316061">
        <w:rPr>
          <w:rFonts w:asciiTheme="minorHAnsi" w:hAnsiTheme="minorHAnsi"/>
          <w:sz w:val="22"/>
          <w:szCs w:val="22"/>
        </w:rPr>
        <w:t xml:space="preserve"> Option</w:t>
      </w:r>
      <w:r w:rsidR="0081524C" w:rsidRPr="00316061">
        <w:rPr>
          <w:rFonts w:asciiTheme="minorHAnsi" w:hAnsiTheme="minorHAnsi"/>
          <w:sz w:val="22"/>
          <w:szCs w:val="22"/>
        </w:rPr>
        <w:t>s</w:t>
      </w:r>
      <w:r>
        <w:rPr>
          <w:rFonts w:asciiTheme="minorHAnsi" w:hAnsiTheme="minorHAnsi"/>
          <w:sz w:val="22"/>
          <w:szCs w:val="22"/>
        </w:rPr>
        <w:t>,</w:t>
      </w:r>
      <w:r w:rsidR="0042266C" w:rsidRPr="00316061">
        <w:rPr>
          <w:rFonts w:asciiTheme="minorHAnsi" w:hAnsiTheme="minorHAnsi"/>
          <w:sz w:val="22"/>
          <w:szCs w:val="22"/>
        </w:rPr>
        <w:t xml:space="preserve"> </w:t>
      </w:r>
      <w:r>
        <w:rPr>
          <w:rFonts w:asciiTheme="minorHAnsi" w:hAnsiTheme="minorHAnsi"/>
          <w:sz w:val="22"/>
          <w:szCs w:val="22"/>
        </w:rPr>
        <w:t>the Working Group agreed to progress two Options set out in the advantages and disadvantages table below.</w:t>
      </w:r>
      <w:bookmarkStart w:id="0" w:name="_GoBack"/>
      <w:bookmarkEnd w:id="0"/>
    </w:p>
    <w:tbl>
      <w:tblPr>
        <w:tblStyle w:val="TableGrid1"/>
        <w:tblW w:w="5000" w:type="pct"/>
        <w:tblLook w:val="04A0" w:firstRow="1" w:lastRow="0" w:firstColumn="1" w:lastColumn="0" w:noHBand="0" w:noVBand="1"/>
      </w:tblPr>
      <w:tblGrid>
        <w:gridCol w:w="2064"/>
        <w:gridCol w:w="1772"/>
        <w:gridCol w:w="2537"/>
        <w:gridCol w:w="2631"/>
      </w:tblGrid>
      <w:tr w:rsidR="00C26661" w:rsidRPr="00D2568E" w:rsidTr="00A36DD9">
        <w:trPr>
          <w:trHeight w:hRule="exact" w:val="567"/>
        </w:trPr>
        <w:tc>
          <w:tcPr>
            <w:tcW w:w="126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95959" w:themeFill="text1" w:themeFillTint="A6"/>
          </w:tcPr>
          <w:p w:rsidR="00C26661" w:rsidRPr="00D2568E" w:rsidRDefault="00C26661" w:rsidP="00A36DD9">
            <w:pPr>
              <w:spacing w:line="276" w:lineRule="auto"/>
              <w:ind w:right="-107"/>
              <w:jc w:val="center"/>
              <w:rPr>
                <w:rFonts w:asciiTheme="minorHAnsi" w:eastAsia="Times New Roman" w:hAnsiTheme="minorHAnsi"/>
                <w:b/>
                <w:color w:val="FFFFFF"/>
                <w:sz w:val="22"/>
                <w:szCs w:val="22"/>
                <w:lang w:eastAsia="en-GB"/>
              </w:rPr>
            </w:pPr>
            <w:r w:rsidRPr="00D2568E">
              <w:rPr>
                <w:rFonts w:asciiTheme="minorHAnsi" w:hAnsiTheme="minorHAnsi"/>
                <w:b/>
                <w:color w:val="FFFFFF"/>
                <w:sz w:val="22"/>
                <w:szCs w:val="22"/>
              </w:rPr>
              <w:t>Options</w:t>
            </w:r>
          </w:p>
        </w:tc>
        <w:tc>
          <w:tcPr>
            <w:tcW w:w="2161" w:type="pct"/>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95959" w:themeFill="text1" w:themeFillTint="A6"/>
          </w:tcPr>
          <w:p w:rsidR="00C26661" w:rsidRPr="00D2568E" w:rsidRDefault="00C26661" w:rsidP="00A36DD9">
            <w:pPr>
              <w:spacing w:line="276" w:lineRule="auto"/>
              <w:ind w:right="-107"/>
              <w:jc w:val="center"/>
              <w:rPr>
                <w:rFonts w:asciiTheme="minorHAnsi" w:eastAsia="Times New Roman" w:hAnsiTheme="minorHAnsi"/>
                <w:b/>
                <w:color w:val="FFFFFF"/>
                <w:sz w:val="22"/>
                <w:szCs w:val="22"/>
                <w:lang w:eastAsia="en-GB"/>
              </w:rPr>
            </w:pPr>
            <w:r w:rsidRPr="00D2568E">
              <w:rPr>
                <w:rFonts w:asciiTheme="minorHAnsi" w:hAnsiTheme="minorHAnsi"/>
                <w:b/>
                <w:color w:val="FFFFFF"/>
                <w:sz w:val="22"/>
                <w:szCs w:val="22"/>
              </w:rPr>
              <w:t>Advantages</w:t>
            </w:r>
          </w:p>
        </w:tc>
        <w:tc>
          <w:tcPr>
            <w:tcW w:w="1577" w:type="pct"/>
            <w:tcBorders>
              <w:top w:val="single" w:sz="18" w:space="0" w:color="FFFFFF" w:themeColor="background1"/>
              <w:left w:val="single" w:sz="18" w:space="0" w:color="FFFFFF" w:themeColor="background1"/>
              <w:bottom w:val="single" w:sz="18" w:space="0" w:color="FFFFFF" w:themeColor="background1"/>
              <w:right w:val="single" w:sz="18" w:space="0" w:color="595959" w:themeColor="text1" w:themeTint="A6"/>
            </w:tcBorders>
            <w:shd w:val="clear" w:color="auto" w:fill="595959" w:themeFill="text1" w:themeFillTint="A6"/>
          </w:tcPr>
          <w:p w:rsidR="00C26661" w:rsidRPr="00D2568E" w:rsidRDefault="00C26661" w:rsidP="00A36DD9">
            <w:pPr>
              <w:spacing w:line="276" w:lineRule="auto"/>
              <w:jc w:val="center"/>
              <w:rPr>
                <w:rFonts w:asciiTheme="minorHAnsi" w:eastAsia="Times New Roman" w:hAnsiTheme="minorHAnsi"/>
                <w:b/>
                <w:color w:val="FFFFFF"/>
                <w:sz w:val="22"/>
                <w:szCs w:val="22"/>
                <w:lang w:eastAsia="en-GB"/>
              </w:rPr>
            </w:pPr>
            <w:r w:rsidRPr="00D2568E">
              <w:rPr>
                <w:rFonts w:asciiTheme="minorHAnsi" w:hAnsiTheme="minorHAnsi"/>
                <w:b/>
                <w:color w:val="FFFFFF"/>
                <w:sz w:val="22"/>
                <w:szCs w:val="22"/>
              </w:rPr>
              <w:t>Disadvantages</w:t>
            </w:r>
          </w:p>
        </w:tc>
      </w:tr>
      <w:tr w:rsidR="00C26661" w:rsidRPr="00D2568E" w:rsidTr="00A36DD9">
        <w:tc>
          <w:tcPr>
            <w:tcW w:w="126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595959" w:themeFill="text1" w:themeFillTint="A6"/>
            <w:vAlign w:val="center"/>
          </w:tcPr>
          <w:p w:rsidR="00C26661" w:rsidRPr="00D2568E" w:rsidRDefault="00C26661" w:rsidP="00A36DD9">
            <w:pPr>
              <w:spacing w:line="276" w:lineRule="auto"/>
              <w:ind w:right="-107"/>
              <w:jc w:val="center"/>
              <w:rPr>
                <w:rFonts w:asciiTheme="minorHAnsi" w:hAnsiTheme="minorHAnsi"/>
                <w:b/>
                <w:color w:val="FFFFFF"/>
                <w:sz w:val="22"/>
                <w:szCs w:val="22"/>
              </w:rPr>
            </w:pPr>
            <w:r w:rsidRPr="00D2568E">
              <w:rPr>
                <w:rFonts w:asciiTheme="minorHAnsi" w:hAnsiTheme="minorHAnsi"/>
                <w:b/>
                <w:color w:val="FFFFFF"/>
                <w:sz w:val="22"/>
                <w:szCs w:val="22"/>
              </w:rPr>
              <w:t>Option (c)/ DCP 205 CP</w:t>
            </w:r>
          </w:p>
          <w:p w:rsidR="00C26661" w:rsidRPr="00D2568E" w:rsidRDefault="00C26661" w:rsidP="00A36DD9">
            <w:pPr>
              <w:spacing w:line="276" w:lineRule="auto"/>
              <w:ind w:right="-107"/>
              <w:jc w:val="center"/>
              <w:rPr>
                <w:rFonts w:asciiTheme="minorHAnsi" w:eastAsia="Times New Roman" w:hAnsiTheme="minorHAnsi"/>
                <w:b/>
                <w:color w:val="FFFFFF"/>
                <w:sz w:val="22"/>
                <w:szCs w:val="22"/>
                <w:lang w:eastAsia="en-GB"/>
              </w:rPr>
            </w:pPr>
            <w:r w:rsidRPr="00D2568E">
              <w:rPr>
                <w:rFonts w:asciiTheme="minorHAnsi" w:hAnsiTheme="minorHAnsi"/>
                <w:b/>
                <w:color w:val="FFFFFF"/>
                <w:sz w:val="22"/>
                <w:szCs w:val="22"/>
              </w:rPr>
              <w:t>Equipment Standard</w:t>
            </w:r>
          </w:p>
          <w:p w:rsidR="00C26661" w:rsidRPr="00D2568E" w:rsidRDefault="00C26661" w:rsidP="00A36DD9">
            <w:pPr>
              <w:spacing w:line="276" w:lineRule="auto"/>
              <w:ind w:right="-107"/>
              <w:jc w:val="center"/>
              <w:rPr>
                <w:rFonts w:asciiTheme="minorHAnsi" w:hAnsiTheme="minorHAnsi"/>
                <w:b/>
                <w:color w:val="FFFFFF"/>
                <w:sz w:val="22"/>
                <w:szCs w:val="22"/>
              </w:rPr>
            </w:pPr>
          </w:p>
        </w:tc>
        <w:tc>
          <w:tcPr>
            <w:tcW w:w="1100" w:type="pct"/>
            <w:tcBorders>
              <w:top w:val="single" w:sz="18" w:space="0" w:color="595959" w:themeColor="text1" w:themeTint="A6"/>
              <w:left w:val="single" w:sz="18" w:space="0" w:color="FFFFFF" w:themeColor="background1"/>
              <w:bottom w:val="single" w:sz="18" w:space="0" w:color="595959" w:themeColor="text1" w:themeTint="A6"/>
              <w:right w:val="single" w:sz="18" w:space="0" w:color="FFFFFF" w:themeColor="background1"/>
            </w:tcBorders>
          </w:tcPr>
          <w:p w:rsidR="00C26661" w:rsidRDefault="00C26661" w:rsidP="00A36DD9">
            <w:pPr>
              <w:spacing w:line="276" w:lineRule="auto"/>
              <w:contextualSpacing/>
              <w:rPr>
                <w:rFonts w:asciiTheme="minorHAnsi" w:hAnsiTheme="minorHAnsi"/>
                <w:sz w:val="22"/>
                <w:szCs w:val="22"/>
              </w:rPr>
            </w:pPr>
            <w:r>
              <w:rPr>
                <w:rFonts w:asciiTheme="minorHAnsi" w:hAnsiTheme="minorHAnsi"/>
                <w:sz w:val="22"/>
                <w:szCs w:val="22"/>
              </w:rPr>
              <w:t>Definition of qualifying connections.</w:t>
            </w:r>
          </w:p>
          <w:p w:rsidR="00C26661" w:rsidRDefault="00C26661" w:rsidP="00A36DD9">
            <w:pPr>
              <w:spacing w:line="276" w:lineRule="auto"/>
              <w:contextualSpacing/>
              <w:rPr>
                <w:rFonts w:asciiTheme="minorHAnsi" w:hAnsiTheme="minorHAnsi"/>
                <w:sz w:val="22"/>
                <w:szCs w:val="22"/>
              </w:rPr>
            </w:pPr>
            <w:r>
              <w:rPr>
                <w:rFonts w:asciiTheme="minorHAnsi" w:hAnsiTheme="minorHAnsi"/>
                <w:sz w:val="22"/>
                <w:szCs w:val="22"/>
              </w:rPr>
              <w:t>Maximum Generator capacity.</w:t>
            </w:r>
          </w:p>
          <w:p w:rsidR="00C26661" w:rsidRPr="00D2568E" w:rsidRDefault="00C26661" w:rsidP="00A36DD9">
            <w:pPr>
              <w:spacing w:line="276" w:lineRule="auto"/>
              <w:contextualSpacing/>
              <w:rPr>
                <w:rFonts w:asciiTheme="minorHAnsi" w:hAnsiTheme="minorHAnsi"/>
                <w:sz w:val="22"/>
                <w:szCs w:val="22"/>
              </w:rPr>
            </w:pPr>
            <w:r w:rsidRPr="00D2568E">
              <w:rPr>
                <w:rFonts w:asciiTheme="minorHAnsi" w:hAnsiTheme="minorHAnsi"/>
                <w:sz w:val="22"/>
                <w:szCs w:val="22"/>
              </w:rPr>
              <w:t xml:space="preserve">List of specific British Standard or European Union standards that equipment would require to be compliant with (like a kite mark) </w:t>
            </w:r>
          </w:p>
          <w:p w:rsidR="00C26661" w:rsidRPr="00D2568E" w:rsidRDefault="00C26661" w:rsidP="00A36DD9">
            <w:pPr>
              <w:spacing w:line="276" w:lineRule="auto"/>
              <w:contextualSpacing/>
              <w:rPr>
                <w:rFonts w:asciiTheme="minorHAnsi" w:hAnsiTheme="minorHAnsi"/>
                <w:sz w:val="22"/>
                <w:szCs w:val="22"/>
              </w:rPr>
            </w:pPr>
          </w:p>
        </w:tc>
        <w:tc>
          <w:tcPr>
            <w:tcW w:w="1061" w:type="pct"/>
            <w:tcBorders>
              <w:top w:val="single" w:sz="18" w:space="0" w:color="595959" w:themeColor="text1" w:themeTint="A6"/>
              <w:left w:val="single" w:sz="18" w:space="0" w:color="FFFFFF" w:themeColor="background1"/>
              <w:bottom w:val="single" w:sz="18" w:space="0" w:color="595959" w:themeColor="text1" w:themeTint="A6"/>
              <w:right w:val="single" w:sz="18" w:space="0" w:color="595959" w:themeColor="text1" w:themeTint="A6"/>
            </w:tcBorders>
          </w:tcPr>
          <w:p w:rsidR="00C26661" w:rsidRPr="00D2568E" w:rsidRDefault="00C26661" w:rsidP="00C26661">
            <w:pPr>
              <w:numPr>
                <w:ilvl w:val="0"/>
                <w:numId w:val="38"/>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Customers more likely to know before they purchase any equipment as there will be a list of standards</w:t>
            </w:r>
          </w:p>
          <w:p w:rsidR="00C26661" w:rsidRPr="00D2568E" w:rsidRDefault="00C26661" w:rsidP="00C26661">
            <w:pPr>
              <w:numPr>
                <w:ilvl w:val="0"/>
                <w:numId w:val="38"/>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Unambiguous</w:t>
            </w:r>
          </w:p>
          <w:p w:rsidR="00C26661" w:rsidRPr="00D2568E" w:rsidRDefault="00C26661" w:rsidP="00C26661">
            <w:pPr>
              <w:numPr>
                <w:ilvl w:val="0"/>
                <w:numId w:val="38"/>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Consistent</w:t>
            </w:r>
          </w:p>
          <w:p w:rsidR="00C26661" w:rsidRPr="00D2568E" w:rsidRDefault="00C26661" w:rsidP="00C26661">
            <w:pPr>
              <w:numPr>
                <w:ilvl w:val="0"/>
                <w:numId w:val="39"/>
              </w:numPr>
              <w:spacing w:line="276" w:lineRule="auto"/>
              <w:contextualSpacing/>
              <w:rPr>
                <w:rFonts w:asciiTheme="minorHAnsi" w:hAnsiTheme="minorHAnsi"/>
                <w:sz w:val="22"/>
                <w:szCs w:val="22"/>
              </w:rPr>
            </w:pPr>
            <w:r w:rsidRPr="00D2568E">
              <w:rPr>
                <w:rFonts w:asciiTheme="minorHAnsi" w:hAnsiTheme="minorHAnsi"/>
                <w:sz w:val="22"/>
                <w:szCs w:val="22"/>
              </w:rPr>
              <w:t>Greater transparency</w:t>
            </w:r>
          </w:p>
        </w:tc>
        <w:tc>
          <w:tcPr>
            <w:tcW w:w="1577" w:type="pct"/>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tcPr>
          <w:p w:rsidR="00C26661" w:rsidRPr="00D2568E" w:rsidRDefault="00C26661" w:rsidP="00C26661">
            <w:pPr>
              <w:numPr>
                <w:ilvl w:val="0"/>
                <w:numId w:val="37"/>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May take significant time to develop industry standards</w:t>
            </w:r>
          </w:p>
          <w:p w:rsidR="00C26661" w:rsidRPr="00D2568E" w:rsidRDefault="00C26661" w:rsidP="00C26661">
            <w:pPr>
              <w:numPr>
                <w:ilvl w:val="0"/>
                <w:numId w:val="37"/>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Future proofing effort required</w:t>
            </w:r>
          </w:p>
          <w:p w:rsidR="00C26661" w:rsidRPr="00D2568E" w:rsidRDefault="00C26661" w:rsidP="00C26661">
            <w:pPr>
              <w:numPr>
                <w:ilvl w:val="0"/>
                <w:numId w:val="37"/>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Could cause an signal resulting in discouraging adoption of certain equipment</w:t>
            </w:r>
          </w:p>
          <w:p w:rsidR="00C26661" w:rsidRPr="00D2568E" w:rsidRDefault="00C26661" w:rsidP="00C26661">
            <w:pPr>
              <w:numPr>
                <w:ilvl w:val="0"/>
                <w:numId w:val="36"/>
              </w:numPr>
              <w:spacing w:line="276" w:lineRule="auto"/>
              <w:contextualSpacing/>
              <w:rPr>
                <w:rFonts w:asciiTheme="minorHAnsi" w:hAnsiTheme="minorHAnsi"/>
                <w:sz w:val="22"/>
                <w:szCs w:val="22"/>
              </w:rPr>
            </w:pPr>
            <w:r w:rsidRPr="00D2568E">
              <w:rPr>
                <w:rFonts w:asciiTheme="minorHAnsi" w:hAnsiTheme="minorHAnsi"/>
                <w:sz w:val="22"/>
                <w:szCs w:val="22"/>
              </w:rPr>
              <w:t>Removes DNO discretion to act in the customers interest</w:t>
            </w:r>
          </w:p>
        </w:tc>
      </w:tr>
      <w:tr w:rsidR="00C26661" w:rsidRPr="00D2568E" w:rsidTr="00A36DD9">
        <w:tc>
          <w:tcPr>
            <w:tcW w:w="1262" w:type="pct"/>
            <w:tcBorders>
              <w:top w:val="single" w:sz="18" w:space="0" w:color="FFFFFF" w:themeColor="background1"/>
              <w:left w:val="single" w:sz="18" w:space="0" w:color="FFFFFF" w:themeColor="background1"/>
              <w:bottom w:val="single" w:sz="18" w:space="0" w:color="595959" w:themeColor="text1" w:themeTint="A6"/>
              <w:right w:val="single" w:sz="18" w:space="0" w:color="FFFFFF" w:themeColor="background1"/>
            </w:tcBorders>
            <w:shd w:val="clear" w:color="auto" w:fill="595959" w:themeFill="text1" w:themeFillTint="A6"/>
            <w:vAlign w:val="center"/>
          </w:tcPr>
          <w:p w:rsidR="00C26661" w:rsidRPr="00D2568E" w:rsidRDefault="00C26661" w:rsidP="00A36DD9">
            <w:pPr>
              <w:spacing w:line="276" w:lineRule="auto"/>
              <w:ind w:right="-107"/>
              <w:jc w:val="center"/>
              <w:rPr>
                <w:rFonts w:asciiTheme="minorHAnsi" w:hAnsiTheme="minorHAnsi"/>
                <w:b/>
                <w:color w:val="FFFFFF"/>
                <w:sz w:val="22"/>
                <w:szCs w:val="22"/>
              </w:rPr>
            </w:pPr>
            <w:r w:rsidRPr="00D2568E">
              <w:rPr>
                <w:rFonts w:asciiTheme="minorHAnsi" w:hAnsiTheme="minorHAnsi"/>
                <w:b/>
                <w:color w:val="FFFFFF"/>
                <w:sz w:val="22"/>
                <w:szCs w:val="22"/>
              </w:rPr>
              <w:t>Option (d)/DCP 205A Alternate CP</w:t>
            </w:r>
          </w:p>
          <w:p w:rsidR="00C26661" w:rsidRPr="00D2568E" w:rsidRDefault="00C26661" w:rsidP="00A36DD9">
            <w:pPr>
              <w:spacing w:line="276" w:lineRule="auto"/>
              <w:ind w:right="-107"/>
              <w:jc w:val="center"/>
              <w:rPr>
                <w:rFonts w:asciiTheme="minorHAnsi" w:eastAsia="Times New Roman" w:hAnsiTheme="minorHAnsi"/>
                <w:b/>
                <w:color w:val="FFFFFF"/>
                <w:sz w:val="22"/>
                <w:szCs w:val="22"/>
                <w:lang w:eastAsia="en-GB"/>
              </w:rPr>
            </w:pPr>
            <w:r w:rsidRPr="00D2568E">
              <w:rPr>
                <w:rFonts w:asciiTheme="minorHAnsi" w:hAnsiTheme="minorHAnsi"/>
                <w:b/>
                <w:color w:val="FFFFFF"/>
                <w:sz w:val="22"/>
                <w:szCs w:val="22"/>
              </w:rPr>
              <w:t>No exclusion for any equipment installed by existing customers.</w:t>
            </w:r>
          </w:p>
          <w:p w:rsidR="00C26661" w:rsidRPr="00D2568E" w:rsidRDefault="00C26661" w:rsidP="00A36DD9">
            <w:pPr>
              <w:spacing w:line="276" w:lineRule="auto"/>
              <w:ind w:right="-107"/>
              <w:jc w:val="center"/>
              <w:rPr>
                <w:rFonts w:asciiTheme="minorHAnsi" w:eastAsia="Times New Roman" w:hAnsiTheme="minorHAnsi"/>
                <w:b/>
                <w:color w:val="FFFFFF"/>
                <w:sz w:val="22"/>
                <w:szCs w:val="22"/>
                <w:lang w:eastAsia="en-GB"/>
              </w:rPr>
            </w:pPr>
          </w:p>
        </w:tc>
        <w:tc>
          <w:tcPr>
            <w:tcW w:w="1100" w:type="pct"/>
            <w:tcBorders>
              <w:top w:val="single" w:sz="18" w:space="0" w:color="595959" w:themeColor="text1" w:themeTint="A6"/>
              <w:left w:val="single" w:sz="18" w:space="0" w:color="FFFFFF" w:themeColor="background1"/>
              <w:bottom w:val="single" w:sz="18" w:space="0" w:color="595959" w:themeColor="text1" w:themeTint="A6"/>
              <w:right w:val="single" w:sz="18" w:space="0" w:color="FFFFFF" w:themeColor="background1"/>
            </w:tcBorders>
          </w:tcPr>
          <w:p w:rsidR="00C26661" w:rsidRDefault="00C26661" w:rsidP="00A36DD9">
            <w:pPr>
              <w:spacing w:line="276" w:lineRule="auto"/>
              <w:contextualSpacing/>
              <w:rPr>
                <w:rFonts w:asciiTheme="minorHAnsi" w:hAnsiTheme="minorHAnsi"/>
                <w:sz w:val="22"/>
                <w:szCs w:val="22"/>
              </w:rPr>
            </w:pPr>
            <w:r>
              <w:rPr>
                <w:rFonts w:asciiTheme="minorHAnsi" w:hAnsiTheme="minorHAnsi"/>
                <w:sz w:val="22"/>
                <w:szCs w:val="22"/>
              </w:rPr>
              <w:t>Definition of qualifying connections.</w:t>
            </w:r>
          </w:p>
          <w:p w:rsidR="00C26661" w:rsidRDefault="00C26661" w:rsidP="00A36DD9">
            <w:pPr>
              <w:spacing w:line="276" w:lineRule="auto"/>
              <w:contextualSpacing/>
              <w:rPr>
                <w:rFonts w:asciiTheme="minorHAnsi" w:hAnsiTheme="minorHAnsi"/>
                <w:sz w:val="22"/>
                <w:szCs w:val="22"/>
              </w:rPr>
            </w:pPr>
            <w:r>
              <w:rPr>
                <w:rFonts w:asciiTheme="minorHAnsi" w:hAnsiTheme="minorHAnsi"/>
                <w:sz w:val="22"/>
                <w:szCs w:val="22"/>
              </w:rPr>
              <w:t>Maximum Generator capacity.</w:t>
            </w:r>
          </w:p>
          <w:p w:rsidR="00C26661" w:rsidRPr="00D2568E" w:rsidRDefault="00C26661" w:rsidP="00A36DD9">
            <w:pPr>
              <w:spacing w:line="276" w:lineRule="auto"/>
              <w:ind w:left="360"/>
              <w:contextualSpacing/>
              <w:rPr>
                <w:rFonts w:asciiTheme="minorHAnsi" w:hAnsiTheme="minorHAnsi"/>
                <w:sz w:val="22"/>
                <w:szCs w:val="22"/>
              </w:rPr>
            </w:pPr>
          </w:p>
        </w:tc>
        <w:tc>
          <w:tcPr>
            <w:tcW w:w="1061" w:type="pct"/>
            <w:tcBorders>
              <w:top w:val="single" w:sz="18" w:space="0" w:color="595959" w:themeColor="text1" w:themeTint="A6"/>
              <w:left w:val="single" w:sz="18" w:space="0" w:color="FFFFFF" w:themeColor="background1"/>
              <w:bottom w:val="single" w:sz="18" w:space="0" w:color="595959" w:themeColor="text1" w:themeTint="A6"/>
              <w:right w:val="single" w:sz="18" w:space="0" w:color="595959" w:themeColor="text1" w:themeTint="A6"/>
            </w:tcBorders>
          </w:tcPr>
          <w:p w:rsidR="00C26661" w:rsidRPr="00D2568E" w:rsidRDefault="00C26661" w:rsidP="00C26661">
            <w:pPr>
              <w:numPr>
                <w:ilvl w:val="0"/>
                <w:numId w:val="40"/>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Simple</w:t>
            </w:r>
          </w:p>
          <w:p w:rsidR="00C26661" w:rsidRPr="00D2568E" w:rsidRDefault="00C26661" w:rsidP="00C26661">
            <w:pPr>
              <w:numPr>
                <w:ilvl w:val="0"/>
                <w:numId w:val="40"/>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No cost risk for customers purchasing equipment</w:t>
            </w:r>
          </w:p>
          <w:p w:rsidR="00C26661" w:rsidRPr="00D2568E" w:rsidRDefault="00C26661" w:rsidP="00A36DD9">
            <w:pPr>
              <w:spacing w:line="276" w:lineRule="auto"/>
              <w:ind w:left="720"/>
              <w:contextualSpacing/>
              <w:rPr>
                <w:rFonts w:asciiTheme="minorHAnsi" w:eastAsia="Times New Roman" w:hAnsiTheme="minorHAnsi"/>
                <w:sz w:val="22"/>
                <w:szCs w:val="22"/>
                <w:lang w:eastAsia="en-GB"/>
              </w:rPr>
            </w:pPr>
          </w:p>
        </w:tc>
        <w:tc>
          <w:tcPr>
            <w:tcW w:w="1577" w:type="pct"/>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tcPr>
          <w:p w:rsidR="00C26661" w:rsidRPr="00D2568E" w:rsidRDefault="00C26661" w:rsidP="00C26661">
            <w:pPr>
              <w:numPr>
                <w:ilvl w:val="0"/>
                <w:numId w:val="40"/>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Inconsistent with generic charging policy</w:t>
            </w:r>
          </w:p>
          <w:p w:rsidR="00C26661" w:rsidRPr="00D2568E" w:rsidRDefault="00C26661" w:rsidP="00C26661">
            <w:pPr>
              <w:numPr>
                <w:ilvl w:val="0"/>
                <w:numId w:val="40"/>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 xml:space="preserve">More expensive for </w:t>
            </w:r>
            <w:proofErr w:type="spellStart"/>
            <w:r w:rsidRPr="00D2568E">
              <w:rPr>
                <w:rFonts w:asciiTheme="minorHAnsi" w:hAnsiTheme="minorHAnsi"/>
                <w:sz w:val="22"/>
                <w:szCs w:val="22"/>
              </w:rPr>
              <w:t>DUoS</w:t>
            </w:r>
            <w:proofErr w:type="spellEnd"/>
            <w:r w:rsidRPr="00D2568E">
              <w:rPr>
                <w:rFonts w:asciiTheme="minorHAnsi" w:hAnsiTheme="minorHAnsi"/>
                <w:sz w:val="22"/>
                <w:szCs w:val="22"/>
              </w:rPr>
              <w:t xml:space="preserve"> Customers</w:t>
            </w:r>
          </w:p>
          <w:p w:rsidR="00C26661" w:rsidRPr="00D2568E" w:rsidRDefault="00C26661" w:rsidP="00C26661">
            <w:pPr>
              <w:numPr>
                <w:ilvl w:val="0"/>
                <w:numId w:val="40"/>
              </w:numPr>
              <w:spacing w:line="276" w:lineRule="auto"/>
              <w:contextualSpacing/>
              <w:rPr>
                <w:rFonts w:asciiTheme="minorHAnsi" w:eastAsia="Times New Roman" w:hAnsiTheme="minorHAnsi"/>
                <w:sz w:val="22"/>
                <w:szCs w:val="22"/>
                <w:lang w:eastAsia="en-GB"/>
              </w:rPr>
            </w:pPr>
            <w:r w:rsidRPr="00D2568E">
              <w:rPr>
                <w:rFonts w:asciiTheme="minorHAnsi" w:hAnsiTheme="minorHAnsi"/>
                <w:sz w:val="22"/>
                <w:szCs w:val="22"/>
              </w:rPr>
              <w:t>Does not send a price signal</w:t>
            </w:r>
          </w:p>
        </w:tc>
      </w:tr>
    </w:tbl>
    <w:p w:rsidR="00C26661" w:rsidRPr="00C26661" w:rsidRDefault="00C26661" w:rsidP="00C26661"/>
    <w:p w:rsidR="003D1A78" w:rsidRPr="00316061" w:rsidRDefault="008A44EF" w:rsidP="0042266C">
      <w:pPr>
        <w:pStyle w:val="Heading1"/>
        <w:keepNext w:val="0"/>
        <w:numPr>
          <w:ilvl w:val="0"/>
          <w:numId w:val="3"/>
        </w:numPr>
        <w:spacing w:line="360" w:lineRule="auto"/>
        <w:jc w:val="both"/>
        <w:rPr>
          <w:rFonts w:asciiTheme="minorHAnsi" w:hAnsiTheme="minorHAnsi"/>
          <w:sz w:val="22"/>
          <w:szCs w:val="22"/>
        </w:rPr>
      </w:pPr>
      <w:r w:rsidRPr="00316061">
        <w:rPr>
          <w:rFonts w:asciiTheme="minorHAnsi" w:hAnsiTheme="minorHAnsi"/>
          <w:sz w:val="22"/>
          <w:szCs w:val="22"/>
        </w:rPr>
        <w:t>DCP 205</w:t>
      </w:r>
      <w:r w:rsidR="003D1A78" w:rsidRPr="00316061">
        <w:rPr>
          <w:rFonts w:asciiTheme="minorHAnsi" w:hAnsiTheme="minorHAnsi"/>
          <w:sz w:val="22"/>
          <w:szCs w:val="22"/>
        </w:rPr>
        <w:t xml:space="preserve"> CONSULTATION ONE</w:t>
      </w:r>
    </w:p>
    <w:p w:rsidR="003D1A78" w:rsidRPr="00316061" w:rsidRDefault="003D1A78" w:rsidP="0042266C">
      <w:pPr>
        <w:pStyle w:val="Heading2"/>
        <w:keepNext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t xml:space="preserve">The Working Group carried out a Consultation to give DCUSA Parties and other interested organisations (Attachment 4) an opportunity to review and comment on DCP </w:t>
      </w:r>
      <w:r w:rsidR="00091A19" w:rsidRPr="00316061">
        <w:rPr>
          <w:rFonts w:asciiTheme="minorHAnsi" w:hAnsiTheme="minorHAnsi"/>
          <w:sz w:val="22"/>
          <w:szCs w:val="22"/>
        </w:rPr>
        <w:t>205</w:t>
      </w:r>
      <w:r w:rsidRPr="00316061">
        <w:rPr>
          <w:rFonts w:asciiTheme="minorHAnsi" w:hAnsiTheme="minorHAnsi"/>
          <w:sz w:val="22"/>
          <w:szCs w:val="22"/>
        </w:rPr>
        <w:t xml:space="preserve">. There were eight responses received to the consultation. </w:t>
      </w:r>
      <w:r w:rsidR="003A48F8" w:rsidRPr="00316061">
        <w:rPr>
          <w:rFonts w:asciiTheme="minorHAnsi" w:hAnsiTheme="minorHAnsi"/>
          <w:sz w:val="22"/>
          <w:szCs w:val="22"/>
        </w:rPr>
        <w:t>All five respondents were Distributors</w:t>
      </w:r>
      <w:r w:rsidRPr="00316061">
        <w:rPr>
          <w:rFonts w:asciiTheme="minorHAnsi" w:hAnsiTheme="minorHAnsi"/>
          <w:sz w:val="22"/>
          <w:szCs w:val="22"/>
        </w:rPr>
        <w:t xml:space="preserve">. The Working Group discussed each response and its comments are summarised alongside the collated Consultation responses in Attachment 4.  </w:t>
      </w:r>
    </w:p>
    <w:p w:rsidR="003D1A78" w:rsidRPr="00316061" w:rsidRDefault="003D1A78" w:rsidP="0042266C">
      <w:pPr>
        <w:pStyle w:val="Heading2"/>
        <w:keepNext w:val="0"/>
        <w:numPr>
          <w:ilvl w:val="1"/>
          <w:numId w:val="3"/>
        </w:numPr>
        <w:spacing w:line="360" w:lineRule="auto"/>
        <w:ind w:left="578" w:hanging="578"/>
        <w:jc w:val="both"/>
        <w:rPr>
          <w:rFonts w:asciiTheme="minorHAnsi" w:hAnsiTheme="minorHAnsi"/>
          <w:sz w:val="22"/>
          <w:szCs w:val="22"/>
        </w:rPr>
      </w:pPr>
      <w:r w:rsidRPr="00316061">
        <w:rPr>
          <w:rFonts w:asciiTheme="minorHAnsi" w:hAnsiTheme="minorHAnsi"/>
          <w:sz w:val="22"/>
          <w:szCs w:val="22"/>
        </w:rPr>
        <w:lastRenderedPageBreak/>
        <w:t>A summary of the responses received, and the Working Group’s conclusions are set out below:</w:t>
      </w:r>
    </w:p>
    <w:p w:rsidR="003D1A78" w:rsidRPr="00316061" w:rsidRDefault="003D1A78" w:rsidP="001F74D7">
      <w:pPr>
        <w:pStyle w:val="Heading2"/>
        <w:keepNext w:val="0"/>
        <w:widowControl w:val="0"/>
        <w:tabs>
          <w:tab w:val="clear" w:pos="360"/>
        </w:tabs>
        <w:spacing w:line="360" w:lineRule="auto"/>
        <w:ind w:left="851" w:hanging="851"/>
        <w:jc w:val="both"/>
        <w:rPr>
          <w:rFonts w:asciiTheme="minorHAnsi" w:hAnsiTheme="minorHAnsi"/>
          <w:b/>
          <w:bCs w:val="0"/>
          <w:iCs w:val="0"/>
          <w:sz w:val="22"/>
          <w:szCs w:val="22"/>
          <w:u w:val="single"/>
        </w:rPr>
      </w:pPr>
      <w:r w:rsidRPr="00316061">
        <w:rPr>
          <w:rFonts w:asciiTheme="minorHAnsi" w:hAnsiTheme="minorHAnsi"/>
          <w:b/>
          <w:sz w:val="22"/>
          <w:szCs w:val="22"/>
          <w:u w:val="single"/>
        </w:rPr>
        <w:t xml:space="preserve">Question 1: </w:t>
      </w:r>
      <w:r w:rsidRPr="00316061">
        <w:rPr>
          <w:rFonts w:asciiTheme="minorHAnsi" w:hAnsiTheme="minorHAnsi"/>
          <w:b/>
          <w:bCs w:val="0"/>
          <w:iCs w:val="0"/>
          <w:sz w:val="22"/>
          <w:szCs w:val="22"/>
          <w:u w:val="single"/>
        </w:rPr>
        <w:t>Do you understand the intent of the CP?</w:t>
      </w:r>
    </w:p>
    <w:p w:rsidR="003D1A78" w:rsidRPr="00316061" w:rsidRDefault="003D1A78" w:rsidP="000E0234">
      <w:pPr>
        <w:rPr>
          <w:rFonts w:asciiTheme="minorHAnsi" w:hAnsiTheme="minorHAnsi"/>
          <w:sz w:val="22"/>
          <w:szCs w:val="22"/>
        </w:rPr>
      </w:pPr>
    </w:p>
    <w:tbl>
      <w:tblPr>
        <w:tblW w:w="8908" w:type="dxa"/>
        <w:jc w:val="center"/>
        <w:tblInd w:w="2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6"/>
        <w:gridCol w:w="1843"/>
        <w:gridCol w:w="1843"/>
        <w:gridCol w:w="2526"/>
      </w:tblGrid>
      <w:tr w:rsidR="003D1A78" w:rsidRPr="00316061" w:rsidTr="008D4673">
        <w:trPr>
          <w:trHeight w:val="236"/>
          <w:jc w:val="center"/>
        </w:trPr>
        <w:tc>
          <w:tcPr>
            <w:tcW w:w="2696" w:type="dxa"/>
            <w:shd w:val="pct65" w:color="auto" w:fill="auto"/>
          </w:tcPr>
          <w:p w:rsidR="003D1A78" w:rsidRPr="00316061" w:rsidRDefault="003D1A78" w:rsidP="00894B1F">
            <w:pPr>
              <w:ind w:firstLine="26"/>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Respondent Party Type</w:t>
            </w:r>
          </w:p>
        </w:tc>
        <w:tc>
          <w:tcPr>
            <w:tcW w:w="1843"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Yes</w:t>
            </w:r>
          </w:p>
        </w:tc>
        <w:tc>
          <w:tcPr>
            <w:tcW w:w="1843"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No</w:t>
            </w:r>
          </w:p>
        </w:tc>
        <w:tc>
          <w:tcPr>
            <w:tcW w:w="2526"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Undecided</w:t>
            </w:r>
          </w:p>
        </w:tc>
      </w:tr>
      <w:tr w:rsidR="003D1A78" w:rsidRPr="00316061" w:rsidTr="00894B1F">
        <w:trPr>
          <w:trHeight w:val="236"/>
          <w:jc w:val="center"/>
        </w:trPr>
        <w:tc>
          <w:tcPr>
            <w:tcW w:w="2696" w:type="dxa"/>
          </w:tcPr>
          <w:p w:rsidR="003D1A78" w:rsidRPr="00316061" w:rsidRDefault="003D1A78" w:rsidP="00894B1F">
            <w:pPr>
              <w:ind w:firstLine="26"/>
              <w:jc w:val="center"/>
              <w:rPr>
                <w:rFonts w:asciiTheme="minorHAnsi" w:hAnsiTheme="minorHAnsi" w:cs="Arial"/>
                <w:b/>
                <w:bCs/>
                <w:iCs/>
                <w:sz w:val="22"/>
                <w:szCs w:val="22"/>
              </w:rPr>
            </w:pPr>
            <w:r w:rsidRPr="00316061">
              <w:rPr>
                <w:rFonts w:asciiTheme="minorHAnsi" w:hAnsiTheme="minorHAnsi" w:cs="Arial"/>
                <w:b/>
                <w:bCs/>
                <w:iCs/>
                <w:sz w:val="22"/>
                <w:szCs w:val="22"/>
              </w:rPr>
              <w:t>DNOs</w:t>
            </w:r>
          </w:p>
        </w:tc>
        <w:tc>
          <w:tcPr>
            <w:tcW w:w="1843" w:type="dxa"/>
          </w:tcPr>
          <w:p w:rsidR="003D1A78" w:rsidRPr="00316061" w:rsidRDefault="003A48F8" w:rsidP="009E4CF0">
            <w:pPr>
              <w:jc w:val="center"/>
              <w:rPr>
                <w:rFonts w:asciiTheme="minorHAnsi" w:hAnsiTheme="minorHAnsi" w:cs="Arial"/>
                <w:bCs/>
                <w:iCs/>
                <w:sz w:val="22"/>
                <w:szCs w:val="22"/>
              </w:rPr>
            </w:pPr>
            <w:r w:rsidRPr="00316061">
              <w:rPr>
                <w:rFonts w:asciiTheme="minorHAnsi" w:hAnsiTheme="minorHAnsi" w:cs="Arial"/>
                <w:bCs/>
                <w:iCs/>
                <w:sz w:val="22"/>
                <w:szCs w:val="22"/>
              </w:rPr>
              <w:t>5</w:t>
            </w:r>
          </w:p>
        </w:tc>
        <w:tc>
          <w:tcPr>
            <w:tcW w:w="1843" w:type="dxa"/>
          </w:tcPr>
          <w:p w:rsidR="003D1A78" w:rsidRPr="00316061" w:rsidRDefault="003D1A78" w:rsidP="009E4CF0">
            <w:pPr>
              <w:jc w:val="center"/>
              <w:rPr>
                <w:rFonts w:asciiTheme="minorHAnsi" w:hAnsiTheme="minorHAnsi" w:cs="Arial"/>
                <w:bCs/>
                <w:iCs/>
                <w:sz w:val="22"/>
                <w:szCs w:val="22"/>
              </w:rPr>
            </w:pPr>
            <w:r w:rsidRPr="00316061">
              <w:rPr>
                <w:rFonts w:asciiTheme="minorHAnsi" w:hAnsiTheme="minorHAnsi" w:cs="Arial"/>
                <w:bCs/>
                <w:iCs/>
                <w:sz w:val="22"/>
                <w:szCs w:val="22"/>
              </w:rPr>
              <w:t>0</w:t>
            </w:r>
          </w:p>
        </w:tc>
        <w:tc>
          <w:tcPr>
            <w:tcW w:w="2526" w:type="dxa"/>
          </w:tcPr>
          <w:p w:rsidR="003D1A78" w:rsidRPr="00316061" w:rsidRDefault="003D1A78" w:rsidP="009E4CF0">
            <w:pPr>
              <w:jc w:val="center"/>
              <w:rPr>
                <w:rFonts w:asciiTheme="minorHAnsi" w:hAnsiTheme="minorHAnsi" w:cs="Arial"/>
                <w:bCs/>
                <w:iCs/>
                <w:sz w:val="22"/>
                <w:szCs w:val="22"/>
              </w:rPr>
            </w:pPr>
            <w:r w:rsidRPr="00316061">
              <w:rPr>
                <w:rFonts w:asciiTheme="minorHAnsi" w:hAnsiTheme="minorHAnsi" w:cs="Arial"/>
                <w:bCs/>
                <w:iCs/>
                <w:sz w:val="22"/>
                <w:szCs w:val="22"/>
              </w:rPr>
              <w:t>0</w:t>
            </w:r>
          </w:p>
        </w:tc>
      </w:tr>
    </w:tbl>
    <w:p w:rsidR="003D1A78" w:rsidRPr="00316061" w:rsidRDefault="003D1A78" w:rsidP="00894B1F">
      <w:pPr>
        <w:ind w:firstLine="709"/>
        <w:rPr>
          <w:rFonts w:asciiTheme="minorHAnsi" w:hAnsiTheme="minorHAnsi"/>
          <w:sz w:val="22"/>
          <w:szCs w:val="22"/>
        </w:rPr>
      </w:pPr>
    </w:p>
    <w:p w:rsidR="003D1A78" w:rsidRPr="00316061" w:rsidRDefault="003D1A78" w:rsidP="00C969E5">
      <w:pPr>
        <w:pStyle w:val="Heading2"/>
        <w:numPr>
          <w:ilvl w:val="1"/>
          <w:numId w:val="7"/>
        </w:numPr>
        <w:tabs>
          <w:tab w:val="num" w:pos="567"/>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Working Group noted that all respondents understood the intent of the CP.</w:t>
      </w:r>
    </w:p>
    <w:p w:rsidR="003D1A78" w:rsidRPr="00316061" w:rsidRDefault="003D1A78" w:rsidP="001F74D7">
      <w:pPr>
        <w:pStyle w:val="Heading2"/>
        <w:keepNext w:val="0"/>
        <w:widowControl w:val="0"/>
        <w:tabs>
          <w:tab w:val="clear" w:pos="360"/>
        </w:tabs>
        <w:spacing w:line="360" w:lineRule="auto"/>
        <w:ind w:left="851" w:hanging="851"/>
        <w:jc w:val="both"/>
        <w:rPr>
          <w:rFonts w:asciiTheme="minorHAnsi" w:hAnsiTheme="minorHAnsi"/>
          <w:b/>
          <w:sz w:val="22"/>
          <w:szCs w:val="22"/>
          <w:u w:val="single"/>
        </w:rPr>
      </w:pPr>
      <w:r w:rsidRPr="00316061">
        <w:rPr>
          <w:rFonts w:asciiTheme="minorHAnsi" w:hAnsiTheme="minorHAnsi"/>
          <w:b/>
          <w:sz w:val="22"/>
          <w:szCs w:val="22"/>
          <w:u w:val="single"/>
        </w:rPr>
        <w:t>Question 2: Are you supportive of the principles of the CP?</w:t>
      </w:r>
    </w:p>
    <w:p w:rsidR="003D1A78" w:rsidRPr="00316061" w:rsidRDefault="003D1A78" w:rsidP="00A23F68">
      <w:pPr>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3"/>
        <w:gridCol w:w="2227"/>
        <w:gridCol w:w="2210"/>
        <w:gridCol w:w="2174"/>
      </w:tblGrid>
      <w:tr w:rsidR="003D1A78" w:rsidRPr="00316061" w:rsidTr="008D4673">
        <w:trPr>
          <w:trHeight w:val="236"/>
          <w:jc w:val="center"/>
        </w:trPr>
        <w:tc>
          <w:tcPr>
            <w:tcW w:w="2393"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Respondent Party Type</w:t>
            </w:r>
          </w:p>
        </w:tc>
        <w:tc>
          <w:tcPr>
            <w:tcW w:w="2227"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Yes</w:t>
            </w:r>
          </w:p>
        </w:tc>
        <w:tc>
          <w:tcPr>
            <w:tcW w:w="2210"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No</w:t>
            </w:r>
          </w:p>
        </w:tc>
        <w:tc>
          <w:tcPr>
            <w:tcW w:w="2174" w:type="dxa"/>
            <w:shd w:val="pct65" w:color="auto" w:fill="auto"/>
          </w:tcPr>
          <w:p w:rsidR="003D1A78" w:rsidRPr="00316061" w:rsidRDefault="003D1A78" w:rsidP="009E4CF0">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Partially</w:t>
            </w:r>
          </w:p>
        </w:tc>
      </w:tr>
      <w:tr w:rsidR="003D1A78" w:rsidRPr="00316061" w:rsidTr="00330FCD">
        <w:trPr>
          <w:trHeight w:val="236"/>
          <w:jc w:val="center"/>
        </w:trPr>
        <w:tc>
          <w:tcPr>
            <w:tcW w:w="2393" w:type="dxa"/>
          </w:tcPr>
          <w:p w:rsidR="003D1A78" w:rsidRPr="00316061" w:rsidRDefault="003D1A78" w:rsidP="009E4CF0">
            <w:pPr>
              <w:jc w:val="center"/>
              <w:rPr>
                <w:rFonts w:asciiTheme="minorHAnsi" w:hAnsiTheme="minorHAnsi" w:cs="Arial"/>
                <w:b/>
                <w:bCs/>
                <w:iCs/>
                <w:sz w:val="22"/>
                <w:szCs w:val="22"/>
              </w:rPr>
            </w:pPr>
            <w:r w:rsidRPr="00316061">
              <w:rPr>
                <w:rFonts w:asciiTheme="minorHAnsi" w:hAnsiTheme="minorHAnsi" w:cs="Arial"/>
                <w:b/>
                <w:bCs/>
                <w:iCs/>
                <w:sz w:val="22"/>
                <w:szCs w:val="22"/>
              </w:rPr>
              <w:t>DNOs</w:t>
            </w:r>
          </w:p>
        </w:tc>
        <w:tc>
          <w:tcPr>
            <w:tcW w:w="2227" w:type="dxa"/>
          </w:tcPr>
          <w:p w:rsidR="003D1A78" w:rsidRPr="00316061" w:rsidRDefault="003A48F8" w:rsidP="009E4CF0">
            <w:pPr>
              <w:jc w:val="center"/>
              <w:rPr>
                <w:rFonts w:asciiTheme="minorHAnsi" w:hAnsiTheme="minorHAnsi" w:cs="Arial"/>
                <w:bCs/>
                <w:iCs/>
                <w:sz w:val="22"/>
                <w:szCs w:val="22"/>
              </w:rPr>
            </w:pPr>
            <w:r w:rsidRPr="00316061">
              <w:rPr>
                <w:rFonts w:asciiTheme="minorHAnsi" w:hAnsiTheme="minorHAnsi" w:cs="Arial"/>
                <w:bCs/>
                <w:iCs/>
                <w:sz w:val="22"/>
                <w:szCs w:val="22"/>
              </w:rPr>
              <w:t>5</w:t>
            </w:r>
          </w:p>
        </w:tc>
        <w:tc>
          <w:tcPr>
            <w:tcW w:w="2210" w:type="dxa"/>
          </w:tcPr>
          <w:p w:rsidR="003D1A78" w:rsidRPr="00316061" w:rsidRDefault="003D1A78" w:rsidP="009E4CF0">
            <w:pPr>
              <w:jc w:val="center"/>
              <w:rPr>
                <w:rFonts w:asciiTheme="minorHAnsi" w:hAnsiTheme="minorHAnsi" w:cs="Arial"/>
                <w:bCs/>
                <w:iCs/>
                <w:sz w:val="22"/>
                <w:szCs w:val="22"/>
              </w:rPr>
            </w:pPr>
            <w:r w:rsidRPr="00316061">
              <w:rPr>
                <w:rFonts w:asciiTheme="minorHAnsi" w:hAnsiTheme="minorHAnsi" w:cs="Arial"/>
                <w:bCs/>
                <w:iCs/>
                <w:sz w:val="22"/>
                <w:szCs w:val="22"/>
              </w:rPr>
              <w:t>0</w:t>
            </w:r>
          </w:p>
        </w:tc>
        <w:tc>
          <w:tcPr>
            <w:tcW w:w="2174" w:type="dxa"/>
          </w:tcPr>
          <w:p w:rsidR="003D1A78" w:rsidRPr="00316061" w:rsidRDefault="003D1A78" w:rsidP="009E4CF0">
            <w:pPr>
              <w:jc w:val="center"/>
              <w:rPr>
                <w:rFonts w:asciiTheme="minorHAnsi" w:hAnsiTheme="minorHAnsi" w:cs="Arial"/>
                <w:bCs/>
                <w:iCs/>
                <w:sz w:val="22"/>
                <w:szCs w:val="22"/>
              </w:rPr>
            </w:pPr>
            <w:r w:rsidRPr="00316061">
              <w:rPr>
                <w:rFonts w:asciiTheme="minorHAnsi" w:hAnsiTheme="minorHAnsi" w:cs="Arial"/>
                <w:bCs/>
                <w:iCs/>
                <w:sz w:val="22"/>
                <w:szCs w:val="22"/>
              </w:rPr>
              <w:t>0</w:t>
            </w:r>
          </w:p>
        </w:tc>
      </w:tr>
    </w:tbl>
    <w:p w:rsidR="003D1A78" w:rsidRPr="00316061" w:rsidRDefault="003D1A78" w:rsidP="00330FCD">
      <w:pPr>
        <w:rPr>
          <w:rFonts w:asciiTheme="minorHAnsi" w:hAnsiTheme="minorHAnsi"/>
          <w:sz w:val="22"/>
          <w:szCs w:val="22"/>
        </w:rPr>
      </w:pPr>
    </w:p>
    <w:p w:rsidR="003A48F8" w:rsidRPr="00316061" w:rsidRDefault="003A48F8" w:rsidP="003A48F8">
      <w:pPr>
        <w:pStyle w:val="Heading2"/>
        <w:keepNext w:val="0"/>
        <w:numPr>
          <w:ilvl w:val="1"/>
          <w:numId w:val="7"/>
        </w:numPr>
        <w:tabs>
          <w:tab w:val="num" w:pos="567"/>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Working Group noted that all </w:t>
      </w:r>
      <w:r w:rsidR="003D1A78" w:rsidRPr="00316061">
        <w:rPr>
          <w:rFonts w:asciiTheme="minorHAnsi" w:hAnsiTheme="minorHAnsi"/>
          <w:sz w:val="22"/>
          <w:szCs w:val="22"/>
        </w:rPr>
        <w:t>respondents were supportive of the principles of the change.</w:t>
      </w:r>
    </w:p>
    <w:p w:rsidR="003A48F8" w:rsidRPr="00316061" w:rsidRDefault="003D1A78" w:rsidP="003A48F8">
      <w:pPr>
        <w:pStyle w:val="Heading2"/>
        <w:keepNext w:val="0"/>
        <w:widowControl w:val="0"/>
        <w:tabs>
          <w:tab w:val="clear" w:pos="360"/>
        </w:tabs>
        <w:spacing w:line="360" w:lineRule="auto"/>
        <w:ind w:left="1418" w:hanging="1418"/>
        <w:jc w:val="both"/>
        <w:rPr>
          <w:rFonts w:asciiTheme="minorHAnsi" w:hAnsiTheme="minorHAnsi"/>
          <w:b/>
          <w:sz w:val="22"/>
          <w:szCs w:val="22"/>
          <w:u w:val="single"/>
        </w:rPr>
      </w:pPr>
      <w:r w:rsidRPr="00316061">
        <w:rPr>
          <w:rFonts w:asciiTheme="minorHAnsi" w:hAnsiTheme="minorHAnsi"/>
          <w:b/>
          <w:sz w:val="22"/>
          <w:szCs w:val="22"/>
          <w:u w:val="single"/>
        </w:rPr>
        <w:t>Question 3:</w:t>
      </w:r>
      <w:r w:rsidRPr="00316061">
        <w:rPr>
          <w:rFonts w:asciiTheme="minorHAnsi" w:hAnsiTheme="minorHAnsi"/>
          <w:b/>
          <w:sz w:val="22"/>
          <w:szCs w:val="22"/>
          <w:u w:val="single"/>
        </w:rPr>
        <w:tab/>
      </w:r>
      <w:r w:rsidR="003A48F8" w:rsidRPr="00316061">
        <w:rPr>
          <w:rFonts w:asciiTheme="minorHAnsi" w:hAnsiTheme="minorHAnsi"/>
          <w:b/>
          <w:sz w:val="22"/>
          <w:szCs w:val="22"/>
          <w:u w:val="single"/>
        </w:rPr>
        <w:t xml:space="preserve">Do you have any comments and preferences on the four options in order to capture and exclude from this charging change “equipment of an unusual nature or that it would be non-standard in a normal domestic or small business environment”. Please provide comments for each option. </w:t>
      </w:r>
    </w:p>
    <w:p w:rsidR="003A48F8" w:rsidRPr="00316061" w:rsidRDefault="003A48F8" w:rsidP="003A48F8">
      <w:pPr>
        <w:pStyle w:val="ListParagraph"/>
        <w:numPr>
          <w:ilvl w:val="0"/>
          <w:numId w:val="16"/>
        </w:numPr>
        <w:tabs>
          <w:tab w:val="left" w:pos="851"/>
        </w:tabs>
        <w:spacing w:before="240" w:after="120" w:line="276" w:lineRule="auto"/>
        <w:ind w:left="1985" w:hanging="567"/>
        <w:contextualSpacing w:val="0"/>
        <w:jc w:val="both"/>
        <w:outlineLvl w:val="0"/>
        <w:rPr>
          <w:rFonts w:asciiTheme="minorHAnsi" w:hAnsiTheme="minorHAnsi"/>
          <w:b/>
          <w:sz w:val="22"/>
          <w:szCs w:val="22"/>
          <w:u w:val="single"/>
        </w:rPr>
      </w:pPr>
      <w:r w:rsidRPr="00316061">
        <w:rPr>
          <w:rFonts w:asciiTheme="minorHAnsi" w:hAnsiTheme="minorHAnsi"/>
          <w:b/>
          <w:sz w:val="22"/>
          <w:szCs w:val="22"/>
          <w:u w:val="single"/>
        </w:rPr>
        <w:t>Causing disruption to other Users</w:t>
      </w:r>
    </w:p>
    <w:p w:rsidR="003A48F8" w:rsidRPr="00316061" w:rsidRDefault="003A48F8" w:rsidP="003A48F8">
      <w:pPr>
        <w:pStyle w:val="ListParagraph"/>
        <w:numPr>
          <w:ilvl w:val="0"/>
          <w:numId w:val="16"/>
        </w:numPr>
        <w:tabs>
          <w:tab w:val="left" w:pos="851"/>
        </w:tabs>
        <w:spacing w:before="240" w:after="120" w:line="276" w:lineRule="auto"/>
        <w:ind w:left="1985" w:hanging="567"/>
        <w:contextualSpacing w:val="0"/>
        <w:jc w:val="both"/>
        <w:outlineLvl w:val="0"/>
        <w:rPr>
          <w:rFonts w:asciiTheme="minorHAnsi" w:hAnsiTheme="minorHAnsi"/>
          <w:b/>
          <w:sz w:val="22"/>
          <w:szCs w:val="22"/>
          <w:u w:val="single"/>
        </w:rPr>
      </w:pPr>
      <w:r w:rsidRPr="00316061">
        <w:rPr>
          <w:rFonts w:asciiTheme="minorHAnsi" w:hAnsiTheme="minorHAnsi"/>
          <w:b/>
          <w:sz w:val="22"/>
          <w:szCs w:val="22"/>
          <w:u w:val="single"/>
        </w:rPr>
        <w:t>Causing disruption to other Users with costs to rectify in excess of a High Cost Cap</w:t>
      </w:r>
    </w:p>
    <w:p w:rsidR="003A48F8" w:rsidRPr="00316061" w:rsidRDefault="003A48F8" w:rsidP="003A48F8">
      <w:pPr>
        <w:pStyle w:val="ListParagraph"/>
        <w:numPr>
          <w:ilvl w:val="0"/>
          <w:numId w:val="16"/>
        </w:numPr>
        <w:tabs>
          <w:tab w:val="left" w:pos="851"/>
        </w:tabs>
        <w:spacing w:before="240" w:after="120" w:line="276" w:lineRule="auto"/>
        <w:ind w:left="1985" w:hanging="567"/>
        <w:contextualSpacing w:val="0"/>
        <w:jc w:val="both"/>
        <w:outlineLvl w:val="0"/>
        <w:rPr>
          <w:rFonts w:asciiTheme="minorHAnsi" w:hAnsiTheme="minorHAnsi"/>
          <w:b/>
          <w:sz w:val="22"/>
          <w:szCs w:val="22"/>
          <w:u w:val="single"/>
        </w:rPr>
      </w:pPr>
      <w:r w:rsidRPr="00316061">
        <w:rPr>
          <w:rFonts w:asciiTheme="minorHAnsi" w:hAnsiTheme="minorHAnsi"/>
          <w:b/>
          <w:sz w:val="22"/>
          <w:szCs w:val="22"/>
          <w:u w:val="single"/>
        </w:rPr>
        <w:t>Equipment Standard</w:t>
      </w:r>
    </w:p>
    <w:p w:rsidR="003A48F8" w:rsidRPr="00316061" w:rsidRDefault="003A48F8" w:rsidP="000F0F75">
      <w:pPr>
        <w:pStyle w:val="ListParagraph"/>
        <w:numPr>
          <w:ilvl w:val="0"/>
          <w:numId w:val="16"/>
        </w:numPr>
        <w:tabs>
          <w:tab w:val="left" w:pos="851"/>
        </w:tabs>
        <w:spacing w:before="240" w:after="120" w:line="276" w:lineRule="auto"/>
        <w:ind w:left="1985" w:hanging="567"/>
        <w:contextualSpacing w:val="0"/>
        <w:jc w:val="both"/>
        <w:outlineLvl w:val="0"/>
        <w:rPr>
          <w:rFonts w:asciiTheme="minorHAnsi" w:hAnsiTheme="minorHAnsi"/>
          <w:b/>
          <w:sz w:val="22"/>
          <w:szCs w:val="22"/>
          <w:u w:val="single"/>
        </w:rPr>
      </w:pPr>
      <w:r w:rsidRPr="00316061">
        <w:rPr>
          <w:rFonts w:asciiTheme="minorHAnsi" w:hAnsiTheme="minorHAnsi"/>
          <w:b/>
          <w:sz w:val="22"/>
          <w:szCs w:val="22"/>
          <w:u w:val="single"/>
        </w:rPr>
        <w:t>No current exclusion for any equipment installed by existing customers.</w:t>
      </w:r>
    </w:p>
    <w:p w:rsidR="003A48F8" w:rsidRPr="00316061" w:rsidRDefault="003A48F8" w:rsidP="003A48F8">
      <w:pPr>
        <w:rPr>
          <w:rFonts w:asciiTheme="minorHAnsi" w:hAnsi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452"/>
        <w:gridCol w:w="1778"/>
        <w:gridCol w:w="1662"/>
        <w:gridCol w:w="1988"/>
      </w:tblGrid>
      <w:tr w:rsidR="000F0F75" w:rsidRPr="00316061" w:rsidTr="000F0F75">
        <w:trPr>
          <w:trHeight w:val="236"/>
          <w:jc w:val="center"/>
        </w:trPr>
        <w:tc>
          <w:tcPr>
            <w:tcW w:w="1179" w:type="pct"/>
            <w:shd w:val="pct65" w:color="auto" w:fill="auto"/>
          </w:tcPr>
          <w:p w:rsidR="000F0F75" w:rsidRPr="00316061" w:rsidRDefault="000F0F75" w:rsidP="000F0F75">
            <w:pPr>
              <w:ind w:firstLine="26"/>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Respondent Party Type</w:t>
            </w:r>
          </w:p>
        </w:tc>
        <w:tc>
          <w:tcPr>
            <w:tcW w:w="806" w:type="pct"/>
            <w:shd w:val="pct65" w:color="auto" w:fill="auto"/>
          </w:tcPr>
          <w:p w:rsidR="000F0F75" w:rsidRPr="00316061" w:rsidRDefault="000F0F75" w:rsidP="000F0F75">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Option A</w:t>
            </w:r>
          </w:p>
        </w:tc>
        <w:tc>
          <w:tcPr>
            <w:tcW w:w="987" w:type="pct"/>
            <w:shd w:val="pct65" w:color="auto" w:fill="auto"/>
          </w:tcPr>
          <w:p w:rsidR="000F0F75" w:rsidRPr="00316061" w:rsidRDefault="000F0F75" w:rsidP="000F0F75">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Option B</w:t>
            </w:r>
          </w:p>
        </w:tc>
        <w:tc>
          <w:tcPr>
            <w:tcW w:w="923" w:type="pct"/>
            <w:shd w:val="pct65" w:color="auto" w:fill="auto"/>
          </w:tcPr>
          <w:p w:rsidR="000F0F75" w:rsidRPr="00316061" w:rsidRDefault="000F0F75" w:rsidP="000F0F75">
            <w:pPr>
              <w:jc w:val="center"/>
              <w:rPr>
                <w:rFonts w:asciiTheme="minorHAnsi" w:hAnsiTheme="minorHAnsi"/>
                <w:sz w:val="22"/>
                <w:szCs w:val="22"/>
              </w:rPr>
            </w:pPr>
            <w:r w:rsidRPr="00316061">
              <w:rPr>
                <w:rFonts w:asciiTheme="minorHAnsi" w:hAnsiTheme="minorHAnsi" w:cs="Arial"/>
                <w:b/>
                <w:bCs/>
                <w:iCs/>
                <w:color w:val="FFFFFF"/>
                <w:sz w:val="22"/>
                <w:szCs w:val="22"/>
              </w:rPr>
              <w:t>Option C</w:t>
            </w:r>
          </w:p>
        </w:tc>
        <w:tc>
          <w:tcPr>
            <w:tcW w:w="1104" w:type="pct"/>
            <w:shd w:val="pct65" w:color="auto" w:fill="auto"/>
          </w:tcPr>
          <w:p w:rsidR="000F0F75" w:rsidRPr="00316061" w:rsidRDefault="000F0F75" w:rsidP="000F0F75">
            <w:pPr>
              <w:jc w:val="center"/>
              <w:rPr>
                <w:rFonts w:asciiTheme="minorHAnsi" w:hAnsiTheme="minorHAnsi" w:cs="Arial"/>
                <w:b/>
                <w:bCs/>
                <w:iCs/>
                <w:color w:val="FFFFFF"/>
                <w:sz w:val="22"/>
                <w:szCs w:val="22"/>
              </w:rPr>
            </w:pPr>
            <w:r w:rsidRPr="00316061">
              <w:rPr>
                <w:rFonts w:asciiTheme="minorHAnsi" w:hAnsiTheme="minorHAnsi" w:cs="Arial"/>
                <w:b/>
                <w:bCs/>
                <w:iCs/>
                <w:color w:val="FFFFFF"/>
                <w:sz w:val="22"/>
                <w:szCs w:val="22"/>
              </w:rPr>
              <w:t>Option D</w:t>
            </w:r>
          </w:p>
        </w:tc>
      </w:tr>
      <w:tr w:rsidR="000F0F75" w:rsidRPr="00316061" w:rsidTr="000F0F75">
        <w:trPr>
          <w:trHeight w:val="236"/>
          <w:jc w:val="center"/>
        </w:trPr>
        <w:tc>
          <w:tcPr>
            <w:tcW w:w="1179" w:type="pct"/>
          </w:tcPr>
          <w:p w:rsidR="000F0F75" w:rsidRPr="00316061" w:rsidRDefault="000F0F75" w:rsidP="000F0F75">
            <w:pPr>
              <w:ind w:firstLine="26"/>
              <w:jc w:val="center"/>
              <w:rPr>
                <w:rFonts w:asciiTheme="minorHAnsi" w:hAnsiTheme="minorHAnsi" w:cs="Arial"/>
                <w:b/>
                <w:bCs/>
                <w:iCs/>
                <w:sz w:val="22"/>
                <w:szCs w:val="22"/>
              </w:rPr>
            </w:pPr>
            <w:r w:rsidRPr="00316061">
              <w:rPr>
                <w:rFonts w:asciiTheme="minorHAnsi" w:hAnsiTheme="minorHAnsi" w:cs="Arial"/>
                <w:b/>
                <w:bCs/>
                <w:iCs/>
                <w:sz w:val="22"/>
                <w:szCs w:val="22"/>
              </w:rPr>
              <w:t>DNOs</w:t>
            </w:r>
          </w:p>
        </w:tc>
        <w:tc>
          <w:tcPr>
            <w:tcW w:w="806" w:type="pct"/>
          </w:tcPr>
          <w:p w:rsidR="000F0F75" w:rsidRPr="00316061" w:rsidRDefault="000F0F75" w:rsidP="000F0F75">
            <w:pPr>
              <w:jc w:val="center"/>
              <w:rPr>
                <w:rFonts w:asciiTheme="minorHAnsi" w:hAnsiTheme="minorHAnsi" w:cs="Arial"/>
                <w:bCs/>
                <w:iCs/>
                <w:sz w:val="22"/>
                <w:szCs w:val="22"/>
              </w:rPr>
            </w:pPr>
            <w:r w:rsidRPr="00316061">
              <w:rPr>
                <w:rFonts w:asciiTheme="minorHAnsi" w:hAnsiTheme="minorHAnsi" w:cs="Arial"/>
                <w:bCs/>
                <w:iCs/>
                <w:sz w:val="22"/>
                <w:szCs w:val="22"/>
              </w:rPr>
              <w:t>1</w:t>
            </w:r>
          </w:p>
        </w:tc>
        <w:tc>
          <w:tcPr>
            <w:tcW w:w="987" w:type="pct"/>
          </w:tcPr>
          <w:p w:rsidR="000F0F75" w:rsidRPr="00316061" w:rsidRDefault="000F0F75" w:rsidP="000F0F75">
            <w:pPr>
              <w:jc w:val="center"/>
              <w:rPr>
                <w:rFonts w:asciiTheme="minorHAnsi" w:hAnsiTheme="minorHAnsi" w:cs="Arial"/>
                <w:bCs/>
                <w:iCs/>
                <w:sz w:val="22"/>
                <w:szCs w:val="22"/>
              </w:rPr>
            </w:pPr>
            <w:r w:rsidRPr="00316061">
              <w:rPr>
                <w:rFonts w:asciiTheme="minorHAnsi" w:hAnsiTheme="minorHAnsi" w:cs="Arial"/>
                <w:bCs/>
                <w:iCs/>
                <w:sz w:val="22"/>
                <w:szCs w:val="22"/>
              </w:rPr>
              <w:t>1</w:t>
            </w:r>
          </w:p>
        </w:tc>
        <w:tc>
          <w:tcPr>
            <w:tcW w:w="923" w:type="pct"/>
          </w:tcPr>
          <w:p w:rsidR="000F0F75" w:rsidRPr="00316061" w:rsidRDefault="000F0F75" w:rsidP="000F0F75">
            <w:pPr>
              <w:jc w:val="center"/>
              <w:rPr>
                <w:rFonts w:asciiTheme="minorHAnsi" w:hAnsiTheme="minorHAnsi"/>
                <w:sz w:val="22"/>
                <w:szCs w:val="22"/>
              </w:rPr>
            </w:pPr>
            <w:r w:rsidRPr="00316061">
              <w:rPr>
                <w:rFonts w:asciiTheme="minorHAnsi" w:hAnsiTheme="minorHAnsi" w:cs="Arial"/>
                <w:bCs/>
                <w:iCs/>
                <w:sz w:val="22"/>
                <w:szCs w:val="22"/>
              </w:rPr>
              <w:t>2</w:t>
            </w:r>
          </w:p>
        </w:tc>
        <w:tc>
          <w:tcPr>
            <w:tcW w:w="1104" w:type="pct"/>
          </w:tcPr>
          <w:p w:rsidR="000F0F75" w:rsidRPr="00316061" w:rsidRDefault="000F0F75" w:rsidP="000F0F75">
            <w:pPr>
              <w:jc w:val="center"/>
              <w:rPr>
                <w:rFonts w:asciiTheme="minorHAnsi" w:hAnsiTheme="minorHAnsi" w:cs="Arial"/>
                <w:bCs/>
                <w:iCs/>
                <w:sz w:val="22"/>
                <w:szCs w:val="22"/>
              </w:rPr>
            </w:pPr>
            <w:r w:rsidRPr="00316061">
              <w:rPr>
                <w:rFonts w:asciiTheme="minorHAnsi" w:hAnsiTheme="minorHAnsi" w:cs="Arial"/>
                <w:bCs/>
                <w:iCs/>
                <w:sz w:val="22"/>
                <w:szCs w:val="22"/>
              </w:rPr>
              <w:t>1</w:t>
            </w:r>
          </w:p>
        </w:tc>
      </w:tr>
    </w:tbl>
    <w:p w:rsidR="003A48F8" w:rsidRPr="00316061" w:rsidRDefault="003A48F8" w:rsidP="003A48F8">
      <w:pPr>
        <w:rPr>
          <w:rFonts w:asciiTheme="minorHAnsi" w:hAnsiTheme="minorHAnsi"/>
          <w:sz w:val="22"/>
          <w:szCs w:val="22"/>
        </w:rPr>
      </w:pPr>
    </w:p>
    <w:p w:rsidR="0009145C" w:rsidRPr="00316061" w:rsidRDefault="000F0F75" w:rsidP="0009145C">
      <w:pPr>
        <w:pStyle w:val="Heading2"/>
        <w:keepNext w:val="0"/>
        <w:numPr>
          <w:ilvl w:val="1"/>
          <w:numId w:val="7"/>
        </w:numPr>
        <w:tabs>
          <w:tab w:val="num" w:pos="567"/>
        </w:tabs>
        <w:autoSpaceDE w:val="0"/>
        <w:autoSpaceDN w:val="0"/>
        <w:adjustRightInd w:val="0"/>
        <w:spacing w:line="360" w:lineRule="auto"/>
        <w:ind w:left="567" w:hanging="567"/>
        <w:jc w:val="both"/>
        <w:rPr>
          <w:rFonts w:asciiTheme="minorHAnsi" w:hAnsiTheme="minorHAnsi" w:cs="Verdana"/>
          <w:color w:val="000000"/>
          <w:sz w:val="22"/>
          <w:szCs w:val="22"/>
        </w:rPr>
      </w:pPr>
      <w:r w:rsidRPr="00316061">
        <w:rPr>
          <w:rFonts w:asciiTheme="minorHAnsi" w:hAnsiTheme="minorHAnsi"/>
          <w:sz w:val="22"/>
          <w:szCs w:val="22"/>
        </w:rPr>
        <w:t>All five DNOs responded to this question providing their preference for on</w:t>
      </w:r>
      <w:r w:rsidR="0009145C" w:rsidRPr="00316061">
        <w:rPr>
          <w:rFonts w:asciiTheme="minorHAnsi" w:hAnsiTheme="minorHAnsi"/>
          <w:sz w:val="22"/>
          <w:szCs w:val="22"/>
        </w:rPr>
        <w:t xml:space="preserve">e of the four options and their </w:t>
      </w:r>
      <w:r w:rsidRPr="00316061">
        <w:rPr>
          <w:rFonts w:asciiTheme="minorHAnsi" w:hAnsiTheme="minorHAnsi"/>
          <w:sz w:val="22"/>
          <w:szCs w:val="22"/>
        </w:rPr>
        <w:t>rationale as to why the other</w:t>
      </w:r>
      <w:r w:rsidR="0009145C" w:rsidRPr="00316061">
        <w:rPr>
          <w:rFonts w:asciiTheme="minorHAnsi" w:hAnsiTheme="minorHAnsi"/>
          <w:sz w:val="22"/>
          <w:szCs w:val="22"/>
        </w:rPr>
        <w:t xml:space="preserve"> three</w:t>
      </w:r>
      <w:r w:rsidRPr="00316061">
        <w:rPr>
          <w:rFonts w:asciiTheme="minorHAnsi" w:hAnsiTheme="minorHAnsi"/>
          <w:sz w:val="22"/>
          <w:szCs w:val="22"/>
        </w:rPr>
        <w:t xml:space="preserve"> options </w:t>
      </w:r>
      <w:r w:rsidR="0009145C" w:rsidRPr="00316061">
        <w:rPr>
          <w:rFonts w:asciiTheme="minorHAnsi" w:hAnsiTheme="minorHAnsi"/>
          <w:sz w:val="22"/>
          <w:szCs w:val="22"/>
        </w:rPr>
        <w:t>were not the preferred solution to this CP</w:t>
      </w:r>
      <w:r w:rsidRPr="00316061">
        <w:rPr>
          <w:rFonts w:asciiTheme="minorHAnsi" w:hAnsiTheme="minorHAnsi"/>
          <w:sz w:val="22"/>
          <w:szCs w:val="22"/>
        </w:rPr>
        <w:t>.</w:t>
      </w:r>
      <w:r w:rsidR="0009145C" w:rsidRPr="00316061">
        <w:rPr>
          <w:rFonts w:asciiTheme="minorHAnsi" w:hAnsiTheme="minorHAnsi"/>
          <w:sz w:val="22"/>
          <w:szCs w:val="22"/>
        </w:rPr>
        <w:t xml:space="preserve"> One member made a general comment that they did not believe that options A, B and D complied with Ofgem’s expectations as per licence drafting 13C.6 part b.</w:t>
      </w:r>
      <w:r w:rsidR="0009145C" w:rsidRPr="00316061">
        <w:rPr>
          <w:rFonts w:asciiTheme="minorHAnsi" w:hAnsiTheme="minorHAnsi" w:cs="Verdana"/>
          <w:color w:val="000000"/>
          <w:sz w:val="22"/>
          <w:szCs w:val="22"/>
        </w:rPr>
        <w:t xml:space="preserve"> </w:t>
      </w:r>
    </w:p>
    <w:p w:rsidR="0009145C" w:rsidRPr="00316061" w:rsidRDefault="0009145C" w:rsidP="0009145C">
      <w:pPr>
        <w:rPr>
          <w:rFonts w:asciiTheme="minorHAnsi" w:hAnsiTheme="minorHAnsi"/>
          <w:sz w:val="22"/>
          <w:szCs w:val="22"/>
          <w:highlight w:val="yellow"/>
        </w:rPr>
      </w:pPr>
    </w:p>
    <w:p w:rsidR="000F0F75" w:rsidRPr="00316061" w:rsidRDefault="000F0F75" w:rsidP="000F0F75">
      <w:pPr>
        <w:rPr>
          <w:rFonts w:asciiTheme="minorHAnsi" w:hAnsiTheme="minorHAnsi"/>
          <w:sz w:val="22"/>
          <w:szCs w:val="22"/>
          <w:u w:val="single"/>
        </w:rPr>
      </w:pPr>
      <w:r w:rsidRPr="00316061">
        <w:rPr>
          <w:rFonts w:asciiTheme="minorHAnsi" w:hAnsiTheme="minorHAnsi"/>
          <w:sz w:val="22"/>
          <w:szCs w:val="22"/>
          <w:u w:val="single"/>
        </w:rPr>
        <w:t xml:space="preserve">Option </w:t>
      </w:r>
      <w:proofErr w:type="gramStart"/>
      <w:r w:rsidRPr="00316061">
        <w:rPr>
          <w:rFonts w:asciiTheme="minorHAnsi" w:hAnsiTheme="minorHAnsi"/>
          <w:sz w:val="22"/>
          <w:szCs w:val="22"/>
          <w:u w:val="single"/>
        </w:rPr>
        <w:t>A</w:t>
      </w:r>
      <w:proofErr w:type="gramEnd"/>
      <w:r w:rsidR="0009145C" w:rsidRPr="00316061">
        <w:rPr>
          <w:rFonts w:asciiTheme="minorHAnsi" w:hAnsiTheme="minorHAnsi"/>
          <w:sz w:val="22"/>
          <w:szCs w:val="22"/>
          <w:u w:val="single"/>
        </w:rPr>
        <w:t xml:space="preserve"> - Causing Disruption To Other Users</w:t>
      </w:r>
    </w:p>
    <w:p w:rsidR="000F0F75" w:rsidRPr="00316061" w:rsidRDefault="0009145C" w:rsidP="0009145C">
      <w:pPr>
        <w:pStyle w:val="Heading2"/>
        <w:keepNext w:val="0"/>
        <w:numPr>
          <w:ilvl w:val="1"/>
          <w:numId w:val="7"/>
        </w:numPr>
        <w:tabs>
          <w:tab w:val="num" w:pos="567"/>
        </w:tabs>
        <w:autoSpaceDE w:val="0"/>
        <w:autoSpaceDN w:val="0"/>
        <w:adjustRightInd w:val="0"/>
        <w:spacing w:line="360" w:lineRule="auto"/>
        <w:ind w:left="567" w:hanging="567"/>
        <w:jc w:val="both"/>
        <w:rPr>
          <w:rFonts w:asciiTheme="minorHAnsi" w:hAnsiTheme="minorHAnsi"/>
          <w:sz w:val="22"/>
          <w:szCs w:val="22"/>
        </w:rPr>
      </w:pPr>
      <w:r w:rsidRPr="00316061">
        <w:rPr>
          <w:rFonts w:asciiTheme="minorHAnsi" w:hAnsiTheme="minorHAnsi"/>
          <w:sz w:val="22"/>
          <w:szCs w:val="22"/>
        </w:rPr>
        <w:t>One DNO who preferred Option C considered that the overall policy should</w:t>
      </w:r>
      <w:r w:rsidR="000F0F75" w:rsidRPr="00316061">
        <w:rPr>
          <w:rFonts w:asciiTheme="minorHAnsi" w:hAnsiTheme="minorHAnsi"/>
          <w:sz w:val="22"/>
          <w:szCs w:val="22"/>
        </w:rPr>
        <w:t xml:space="preserve"> provide clear signals to influence customer behaviour and be sufficiently aligned with the aims of Ofgem’s smart grid project. </w:t>
      </w:r>
      <w:r w:rsidRPr="00316061">
        <w:rPr>
          <w:rFonts w:asciiTheme="minorHAnsi" w:hAnsiTheme="minorHAnsi"/>
          <w:sz w:val="22"/>
          <w:szCs w:val="22"/>
        </w:rPr>
        <w:t>This r</w:t>
      </w:r>
      <w:r w:rsidR="00514A35" w:rsidRPr="00316061">
        <w:rPr>
          <w:rFonts w:asciiTheme="minorHAnsi" w:hAnsiTheme="minorHAnsi"/>
          <w:sz w:val="22"/>
          <w:szCs w:val="22"/>
        </w:rPr>
        <w:t>espondent did not believe that O</w:t>
      </w:r>
      <w:r w:rsidRPr="00316061">
        <w:rPr>
          <w:rFonts w:asciiTheme="minorHAnsi" w:hAnsiTheme="minorHAnsi"/>
          <w:sz w:val="22"/>
          <w:szCs w:val="22"/>
        </w:rPr>
        <w:t>ption</w:t>
      </w:r>
      <w:r w:rsidR="00514A35" w:rsidRPr="00316061">
        <w:rPr>
          <w:rFonts w:asciiTheme="minorHAnsi" w:hAnsiTheme="minorHAnsi"/>
          <w:sz w:val="22"/>
          <w:szCs w:val="22"/>
        </w:rPr>
        <w:t xml:space="preserve"> A</w:t>
      </w:r>
      <w:r w:rsidRPr="00316061">
        <w:rPr>
          <w:rFonts w:asciiTheme="minorHAnsi" w:hAnsiTheme="minorHAnsi"/>
          <w:sz w:val="22"/>
          <w:szCs w:val="22"/>
        </w:rPr>
        <w:t xml:space="preserve"> was sufficiently descriptive </w:t>
      </w:r>
      <w:r w:rsidR="00514A35" w:rsidRPr="00316061">
        <w:rPr>
          <w:rFonts w:asciiTheme="minorHAnsi" w:hAnsiTheme="minorHAnsi"/>
          <w:i/>
          <w:sz w:val="22"/>
          <w:szCs w:val="22"/>
        </w:rPr>
        <w:t>“</w:t>
      </w:r>
      <w:r w:rsidRPr="00316061">
        <w:rPr>
          <w:rFonts w:asciiTheme="minorHAnsi" w:hAnsiTheme="minorHAnsi" w:cs="Verdana"/>
          <w:i/>
          <w:color w:val="000000"/>
          <w:sz w:val="22"/>
          <w:szCs w:val="22"/>
        </w:rPr>
        <w:t>enough to allow customers to make an informed decision and thus influence behaviour</w:t>
      </w:r>
      <w:r w:rsidR="00514A35" w:rsidRPr="00316061">
        <w:rPr>
          <w:rFonts w:asciiTheme="minorHAnsi" w:hAnsiTheme="minorHAnsi" w:cs="Verdana"/>
          <w:i/>
          <w:color w:val="000000"/>
          <w:sz w:val="22"/>
          <w:szCs w:val="22"/>
        </w:rPr>
        <w:t>”</w:t>
      </w:r>
      <w:r w:rsidRPr="00316061">
        <w:rPr>
          <w:rFonts w:asciiTheme="minorHAnsi" w:hAnsiTheme="minorHAnsi" w:cs="Verdana"/>
          <w:i/>
          <w:color w:val="000000"/>
          <w:sz w:val="22"/>
          <w:szCs w:val="22"/>
        </w:rPr>
        <w:t>.</w:t>
      </w:r>
    </w:p>
    <w:p w:rsidR="0009145C" w:rsidRPr="00316061" w:rsidRDefault="0009145C" w:rsidP="0009145C">
      <w:pPr>
        <w:pStyle w:val="Heading2"/>
        <w:keepNext w:val="0"/>
        <w:numPr>
          <w:ilvl w:val="1"/>
          <w:numId w:val="7"/>
        </w:numPr>
        <w:tabs>
          <w:tab w:val="num" w:pos="567"/>
        </w:tabs>
        <w:autoSpaceDE w:val="0"/>
        <w:autoSpaceDN w:val="0"/>
        <w:adjustRightInd w:val="0"/>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Another DNO respondent noted that Option A was simple to apply and would fairly reflect the costs incurred. A third DNO respondent preferred Option A </w:t>
      </w:r>
      <w:r w:rsidR="00514A35" w:rsidRPr="00316061">
        <w:rPr>
          <w:rFonts w:asciiTheme="minorHAnsi" w:hAnsiTheme="minorHAnsi"/>
          <w:sz w:val="22"/>
          <w:szCs w:val="22"/>
        </w:rPr>
        <w:t>as the solution could be applied on a consistent basis in conjunction with the detail provided in the CCCM. This member proposed that Clauses 1.11 and 1.18 could be modified to implement this Option.</w:t>
      </w:r>
    </w:p>
    <w:p w:rsidR="0009145C" w:rsidRPr="00316061" w:rsidRDefault="0009145C" w:rsidP="0009145C">
      <w:pPr>
        <w:autoSpaceDE w:val="0"/>
        <w:autoSpaceDN w:val="0"/>
        <w:adjustRightInd w:val="0"/>
        <w:rPr>
          <w:rFonts w:asciiTheme="minorHAnsi" w:hAnsiTheme="minorHAnsi"/>
          <w:sz w:val="22"/>
          <w:szCs w:val="22"/>
        </w:rPr>
      </w:pPr>
    </w:p>
    <w:p w:rsidR="000F0F75" w:rsidRPr="00316061" w:rsidRDefault="000F0F75" w:rsidP="000F0F75">
      <w:pPr>
        <w:rPr>
          <w:rFonts w:asciiTheme="minorHAnsi" w:hAnsiTheme="minorHAnsi"/>
          <w:sz w:val="22"/>
          <w:szCs w:val="22"/>
          <w:u w:val="single"/>
        </w:rPr>
      </w:pPr>
    </w:p>
    <w:p w:rsidR="00514A35" w:rsidRPr="00316061" w:rsidRDefault="000F0F75" w:rsidP="00514A35">
      <w:pPr>
        <w:rPr>
          <w:rFonts w:asciiTheme="minorHAnsi" w:hAnsiTheme="minorHAnsi"/>
          <w:sz w:val="22"/>
          <w:szCs w:val="22"/>
          <w:u w:val="single"/>
        </w:rPr>
      </w:pPr>
      <w:r w:rsidRPr="00316061">
        <w:rPr>
          <w:rFonts w:asciiTheme="minorHAnsi" w:hAnsiTheme="minorHAnsi"/>
          <w:sz w:val="22"/>
          <w:szCs w:val="22"/>
          <w:u w:val="single"/>
        </w:rPr>
        <w:t>Option B</w:t>
      </w:r>
      <w:r w:rsidR="00514A35" w:rsidRPr="00316061">
        <w:rPr>
          <w:rFonts w:asciiTheme="minorHAnsi" w:hAnsiTheme="minorHAnsi"/>
          <w:sz w:val="22"/>
          <w:szCs w:val="22"/>
          <w:u w:val="single"/>
        </w:rPr>
        <w:t xml:space="preserve"> - Causing disruption To Other Users </w:t>
      </w:r>
      <w:proofErr w:type="gramStart"/>
      <w:r w:rsidR="00514A35" w:rsidRPr="00316061">
        <w:rPr>
          <w:rFonts w:asciiTheme="minorHAnsi" w:hAnsiTheme="minorHAnsi"/>
          <w:sz w:val="22"/>
          <w:szCs w:val="22"/>
          <w:u w:val="single"/>
        </w:rPr>
        <w:t>With Costs To Rectify In Excess Of A</w:t>
      </w:r>
      <w:proofErr w:type="gramEnd"/>
      <w:r w:rsidR="00514A35" w:rsidRPr="00316061">
        <w:rPr>
          <w:rFonts w:asciiTheme="minorHAnsi" w:hAnsiTheme="minorHAnsi"/>
          <w:sz w:val="22"/>
          <w:szCs w:val="22"/>
          <w:u w:val="single"/>
        </w:rPr>
        <w:t xml:space="preserve"> High Cost Cap</w:t>
      </w:r>
    </w:p>
    <w:p w:rsidR="000F0F75" w:rsidRPr="00316061" w:rsidRDefault="000F0F75" w:rsidP="000F0F75">
      <w:pPr>
        <w:rPr>
          <w:rFonts w:asciiTheme="minorHAnsi" w:hAnsiTheme="minorHAnsi"/>
          <w:sz w:val="22"/>
          <w:szCs w:val="22"/>
          <w:u w:val="single"/>
        </w:rPr>
      </w:pPr>
    </w:p>
    <w:p w:rsidR="0009145C" w:rsidRPr="00316061" w:rsidRDefault="00D52272" w:rsidP="0009145C">
      <w:pPr>
        <w:pStyle w:val="Heading2"/>
        <w:keepNext w:val="0"/>
        <w:numPr>
          <w:ilvl w:val="1"/>
          <w:numId w:val="7"/>
        </w:numPr>
        <w:tabs>
          <w:tab w:val="num" w:pos="567"/>
        </w:tabs>
        <w:autoSpaceDE w:val="0"/>
        <w:autoSpaceDN w:val="0"/>
        <w:adjustRightInd w:val="0"/>
        <w:spacing w:line="360" w:lineRule="auto"/>
        <w:ind w:left="567" w:hanging="567"/>
        <w:jc w:val="both"/>
        <w:rPr>
          <w:rFonts w:asciiTheme="minorHAnsi" w:hAnsiTheme="minorHAnsi"/>
          <w:sz w:val="22"/>
          <w:szCs w:val="22"/>
        </w:rPr>
      </w:pPr>
      <w:r w:rsidRPr="00316061">
        <w:rPr>
          <w:rFonts w:asciiTheme="minorHAnsi" w:hAnsiTheme="minorHAnsi"/>
          <w:sz w:val="22"/>
          <w:szCs w:val="22"/>
        </w:rPr>
        <w:t>One DNO respondent who preferred Option C advised that Members should bear</w:t>
      </w:r>
      <w:r w:rsidR="000F0F75" w:rsidRPr="00316061">
        <w:rPr>
          <w:rFonts w:asciiTheme="minorHAnsi" w:hAnsiTheme="minorHAnsi"/>
          <w:sz w:val="22"/>
          <w:szCs w:val="22"/>
        </w:rPr>
        <w:t xml:space="preserve"> in mind </w:t>
      </w:r>
      <w:r w:rsidRPr="00316061">
        <w:rPr>
          <w:rFonts w:asciiTheme="minorHAnsi" w:hAnsiTheme="minorHAnsi"/>
          <w:sz w:val="22"/>
          <w:szCs w:val="22"/>
        </w:rPr>
        <w:t xml:space="preserve">a </w:t>
      </w:r>
      <w:r w:rsidR="000F0F75" w:rsidRPr="00316061">
        <w:rPr>
          <w:rFonts w:asciiTheme="minorHAnsi" w:hAnsiTheme="minorHAnsi"/>
          <w:sz w:val="22"/>
          <w:szCs w:val="22"/>
        </w:rPr>
        <w:t xml:space="preserve">point made </w:t>
      </w:r>
      <w:r w:rsidRPr="00316061">
        <w:rPr>
          <w:rFonts w:asciiTheme="minorHAnsi" w:hAnsiTheme="minorHAnsi"/>
          <w:sz w:val="22"/>
          <w:szCs w:val="22"/>
        </w:rPr>
        <w:t xml:space="preserve">by </w:t>
      </w:r>
      <w:proofErr w:type="spellStart"/>
      <w:r w:rsidR="000F0F75" w:rsidRPr="00316061">
        <w:rPr>
          <w:rFonts w:asciiTheme="minorHAnsi" w:hAnsiTheme="minorHAnsi"/>
          <w:sz w:val="22"/>
          <w:szCs w:val="22"/>
        </w:rPr>
        <w:t>Ofgem</w:t>
      </w:r>
      <w:proofErr w:type="spellEnd"/>
      <w:r w:rsidR="000F0F75" w:rsidRPr="00316061">
        <w:rPr>
          <w:rFonts w:asciiTheme="minorHAnsi" w:hAnsiTheme="minorHAnsi"/>
          <w:sz w:val="22"/>
          <w:szCs w:val="22"/>
        </w:rPr>
        <w:t xml:space="preserve"> </w:t>
      </w:r>
      <w:r w:rsidRPr="00316061">
        <w:rPr>
          <w:rFonts w:asciiTheme="minorHAnsi" w:hAnsiTheme="minorHAnsi"/>
          <w:sz w:val="22"/>
          <w:szCs w:val="22"/>
        </w:rPr>
        <w:t>that “</w:t>
      </w:r>
      <w:r w:rsidR="000F0F75" w:rsidRPr="00316061">
        <w:rPr>
          <w:rFonts w:asciiTheme="minorHAnsi" w:hAnsiTheme="minorHAnsi"/>
          <w:i/>
          <w:sz w:val="22"/>
          <w:szCs w:val="22"/>
        </w:rPr>
        <w:t>stated that sufficient examples of where DNOs had spent money to mitigate the impacts of power quality issues to inform the setting of a cap were difficult to obtain</w:t>
      </w:r>
      <w:r w:rsidRPr="00316061">
        <w:rPr>
          <w:rFonts w:asciiTheme="minorHAnsi" w:hAnsiTheme="minorHAnsi"/>
          <w:i/>
          <w:sz w:val="22"/>
          <w:szCs w:val="22"/>
        </w:rPr>
        <w:t xml:space="preserve">”. </w:t>
      </w:r>
      <w:r w:rsidRPr="00316061">
        <w:rPr>
          <w:rFonts w:asciiTheme="minorHAnsi" w:hAnsiTheme="minorHAnsi"/>
          <w:sz w:val="22"/>
          <w:szCs w:val="22"/>
        </w:rPr>
        <w:t>This respondent considered that unless Examples could now be obtained to determine an appropriate cap value that this option could not be successfully applied.</w:t>
      </w:r>
    </w:p>
    <w:p w:rsidR="00D52272" w:rsidRPr="00316061" w:rsidRDefault="00D52272" w:rsidP="00D52272">
      <w:pPr>
        <w:pStyle w:val="Heading2"/>
        <w:keepNext w:val="0"/>
        <w:numPr>
          <w:ilvl w:val="1"/>
          <w:numId w:val="7"/>
        </w:numPr>
        <w:tabs>
          <w:tab w:val="num" w:pos="567"/>
        </w:tabs>
        <w:autoSpaceDE w:val="0"/>
        <w:autoSpaceDN w:val="0"/>
        <w:adjustRightInd w:val="0"/>
        <w:spacing w:line="360" w:lineRule="auto"/>
        <w:ind w:left="567" w:hanging="567"/>
        <w:jc w:val="both"/>
        <w:rPr>
          <w:rFonts w:asciiTheme="minorHAnsi" w:hAnsiTheme="minorHAnsi"/>
          <w:sz w:val="22"/>
          <w:szCs w:val="22"/>
        </w:rPr>
      </w:pPr>
      <w:r w:rsidRPr="00316061">
        <w:rPr>
          <w:rFonts w:asciiTheme="minorHAnsi" w:hAnsiTheme="minorHAnsi"/>
          <w:sz w:val="22"/>
          <w:szCs w:val="22"/>
        </w:rPr>
        <w:t>Another DNO respondent who preferred this Option advised that it was simple to apply and fairly reflective of the substantial cost incurred.</w:t>
      </w:r>
    </w:p>
    <w:p w:rsidR="00301AAD" w:rsidRPr="00316061" w:rsidRDefault="000F0F75" w:rsidP="00301AAD">
      <w:pPr>
        <w:rPr>
          <w:rFonts w:asciiTheme="minorHAnsi" w:hAnsiTheme="minorHAnsi"/>
          <w:sz w:val="22"/>
          <w:szCs w:val="22"/>
          <w:u w:val="single"/>
        </w:rPr>
      </w:pPr>
      <w:r w:rsidRPr="00316061">
        <w:rPr>
          <w:rFonts w:asciiTheme="minorHAnsi" w:hAnsiTheme="minorHAnsi"/>
          <w:sz w:val="22"/>
          <w:szCs w:val="22"/>
          <w:u w:val="single"/>
        </w:rPr>
        <w:t>Option C</w:t>
      </w:r>
      <w:r w:rsidR="00301AAD" w:rsidRPr="00316061">
        <w:rPr>
          <w:rFonts w:asciiTheme="minorHAnsi" w:hAnsiTheme="minorHAnsi"/>
          <w:sz w:val="22"/>
          <w:szCs w:val="22"/>
          <w:u w:val="single"/>
        </w:rPr>
        <w:t xml:space="preserve"> - Equipment Standard</w:t>
      </w:r>
    </w:p>
    <w:p w:rsidR="00E5737D" w:rsidRPr="00316061" w:rsidRDefault="00D52272" w:rsidP="00301AAD">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cs="Verdana"/>
          <w:color w:val="000000"/>
          <w:sz w:val="22"/>
          <w:szCs w:val="22"/>
        </w:rPr>
      </w:pPr>
      <w:r w:rsidRPr="00316061">
        <w:rPr>
          <w:rFonts w:asciiTheme="minorHAnsi" w:hAnsiTheme="minorHAnsi"/>
          <w:sz w:val="22"/>
          <w:szCs w:val="22"/>
        </w:rPr>
        <w:t>On</w:t>
      </w:r>
      <w:r w:rsidR="00E5737D" w:rsidRPr="00316061">
        <w:rPr>
          <w:rFonts w:asciiTheme="minorHAnsi" w:hAnsiTheme="minorHAnsi"/>
          <w:sz w:val="22"/>
          <w:szCs w:val="22"/>
        </w:rPr>
        <w:t>e</w:t>
      </w:r>
      <w:r w:rsidRPr="00316061">
        <w:rPr>
          <w:rFonts w:asciiTheme="minorHAnsi" w:hAnsiTheme="minorHAnsi"/>
          <w:sz w:val="22"/>
          <w:szCs w:val="22"/>
        </w:rPr>
        <w:t xml:space="preserve"> DNO respondent who preferred Option C considered</w:t>
      </w:r>
      <w:r w:rsidR="00375B90" w:rsidRPr="00316061">
        <w:rPr>
          <w:rFonts w:asciiTheme="minorHAnsi" w:hAnsiTheme="minorHAnsi"/>
          <w:sz w:val="22"/>
          <w:szCs w:val="22"/>
        </w:rPr>
        <w:t xml:space="preserve"> this solution to operate in lin</w:t>
      </w:r>
      <w:r w:rsidRPr="00316061">
        <w:rPr>
          <w:rFonts w:asciiTheme="minorHAnsi" w:hAnsiTheme="minorHAnsi"/>
          <w:sz w:val="22"/>
          <w:szCs w:val="22"/>
        </w:rPr>
        <w:t xml:space="preserve">e with </w:t>
      </w:r>
      <w:r w:rsidR="00375B90" w:rsidRPr="00316061">
        <w:rPr>
          <w:rFonts w:asciiTheme="minorHAnsi" w:hAnsiTheme="minorHAnsi"/>
          <w:sz w:val="22"/>
          <w:szCs w:val="22"/>
        </w:rPr>
        <w:t xml:space="preserve">the </w:t>
      </w:r>
      <w:r w:rsidRPr="00316061">
        <w:rPr>
          <w:rFonts w:asciiTheme="minorHAnsi" w:hAnsiTheme="minorHAnsi"/>
          <w:sz w:val="22"/>
          <w:szCs w:val="22"/>
        </w:rPr>
        <w:t>current licence conditions.</w:t>
      </w:r>
      <w:r w:rsidR="00375B90" w:rsidRPr="00316061">
        <w:rPr>
          <w:rFonts w:asciiTheme="minorHAnsi" w:hAnsiTheme="minorHAnsi"/>
          <w:sz w:val="22"/>
          <w:szCs w:val="22"/>
        </w:rPr>
        <w:t xml:space="preserve"> The respondent noted the following </w:t>
      </w:r>
      <w:r w:rsidR="00E5737D" w:rsidRPr="00316061">
        <w:rPr>
          <w:rFonts w:asciiTheme="minorHAnsi" w:hAnsiTheme="minorHAnsi"/>
          <w:sz w:val="22"/>
          <w:szCs w:val="22"/>
        </w:rPr>
        <w:t xml:space="preserve">licence conditions: </w:t>
      </w:r>
    </w:p>
    <w:p w:rsidR="00E5737D" w:rsidRPr="00316061" w:rsidRDefault="00E5737D" w:rsidP="00301AAD">
      <w:pPr>
        <w:pStyle w:val="Heading2"/>
        <w:keepNext w:val="0"/>
        <w:numPr>
          <w:ilvl w:val="0"/>
          <w:numId w:val="20"/>
        </w:numPr>
        <w:autoSpaceDE w:val="0"/>
        <w:autoSpaceDN w:val="0"/>
        <w:adjustRightInd w:val="0"/>
        <w:spacing w:line="360" w:lineRule="auto"/>
        <w:jc w:val="both"/>
        <w:rPr>
          <w:rFonts w:asciiTheme="minorHAnsi" w:hAnsiTheme="minorHAnsi"/>
          <w:sz w:val="22"/>
          <w:szCs w:val="22"/>
        </w:rPr>
      </w:pPr>
      <w:r w:rsidRPr="00316061">
        <w:rPr>
          <w:rFonts w:asciiTheme="minorHAnsi" w:hAnsiTheme="minorHAnsi"/>
          <w:sz w:val="22"/>
          <w:szCs w:val="22"/>
        </w:rPr>
        <w:t xml:space="preserve">SLC 20.2 where </w:t>
      </w:r>
      <w:r w:rsidR="00375B90" w:rsidRPr="00316061">
        <w:rPr>
          <w:rFonts w:asciiTheme="minorHAnsi" w:hAnsiTheme="minorHAnsi"/>
          <w:sz w:val="22"/>
          <w:szCs w:val="22"/>
        </w:rPr>
        <w:t xml:space="preserve">DNOs are required to comply with the Distribution code. </w:t>
      </w:r>
    </w:p>
    <w:p w:rsidR="00E5737D" w:rsidRPr="00316061" w:rsidRDefault="00375B90" w:rsidP="00301AAD">
      <w:pPr>
        <w:pStyle w:val="Heading2"/>
        <w:keepNext w:val="0"/>
        <w:numPr>
          <w:ilvl w:val="0"/>
          <w:numId w:val="20"/>
        </w:numPr>
        <w:autoSpaceDE w:val="0"/>
        <w:autoSpaceDN w:val="0"/>
        <w:adjustRightInd w:val="0"/>
        <w:spacing w:line="360" w:lineRule="auto"/>
        <w:jc w:val="both"/>
        <w:rPr>
          <w:rFonts w:asciiTheme="minorHAnsi" w:hAnsiTheme="minorHAnsi"/>
          <w:sz w:val="22"/>
          <w:szCs w:val="22"/>
        </w:rPr>
      </w:pPr>
      <w:r w:rsidRPr="00316061">
        <w:rPr>
          <w:rFonts w:asciiTheme="minorHAnsi" w:hAnsiTheme="minorHAnsi"/>
          <w:sz w:val="22"/>
          <w:szCs w:val="22"/>
        </w:rPr>
        <w:t>SLC</w:t>
      </w:r>
      <w:r w:rsidR="00E5737D" w:rsidRPr="00316061">
        <w:rPr>
          <w:rFonts w:asciiTheme="minorHAnsi" w:hAnsiTheme="minorHAnsi"/>
          <w:sz w:val="22"/>
          <w:szCs w:val="22"/>
        </w:rPr>
        <w:t xml:space="preserve"> 20.7 where the licensee is not obliged to offer to enter into an agreement for connection if doing so would be likely to cause it to be in breach of the distribution code. </w:t>
      </w:r>
    </w:p>
    <w:p w:rsidR="00375B90" w:rsidRPr="00316061" w:rsidRDefault="00E5737D" w:rsidP="00301AAD">
      <w:pPr>
        <w:pStyle w:val="Heading2"/>
        <w:keepNext w:val="0"/>
        <w:numPr>
          <w:ilvl w:val="0"/>
          <w:numId w:val="20"/>
        </w:numPr>
        <w:autoSpaceDE w:val="0"/>
        <w:autoSpaceDN w:val="0"/>
        <w:adjustRightInd w:val="0"/>
        <w:spacing w:line="360" w:lineRule="auto"/>
        <w:jc w:val="both"/>
        <w:rPr>
          <w:rFonts w:asciiTheme="minorHAnsi" w:hAnsiTheme="minorHAnsi" w:cs="Verdana"/>
          <w:color w:val="000000"/>
          <w:sz w:val="22"/>
          <w:szCs w:val="22"/>
        </w:rPr>
      </w:pPr>
      <w:r w:rsidRPr="00316061">
        <w:rPr>
          <w:rFonts w:asciiTheme="minorHAnsi" w:hAnsiTheme="minorHAnsi" w:cs="Verdana"/>
          <w:color w:val="000000"/>
          <w:sz w:val="22"/>
          <w:szCs w:val="22"/>
        </w:rPr>
        <w:lastRenderedPageBreak/>
        <w:t xml:space="preserve">SLC </w:t>
      </w:r>
      <w:r w:rsidR="00375B90" w:rsidRPr="00316061">
        <w:rPr>
          <w:rFonts w:asciiTheme="minorHAnsi" w:hAnsiTheme="minorHAnsi" w:cs="Verdana"/>
          <w:color w:val="000000"/>
          <w:sz w:val="22"/>
          <w:szCs w:val="22"/>
        </w:rPr>
        <w:t>21.5 states that the Distribution Code must include a Distribution Planning and Connection Code and a Distribution Operating Code. SLC 21.6 states that the “</w:t>
      </w:r>
      <w:r w:rsidR="00375B90" w:rsidRPr="00316061">
        <w:rPr>
          <w:rFonts w:asciiTheme="minorHAnsi" w:hAnsiTheme="minorHAnsi" w:cs="Verdana"/>
          <w:i/>
          <w:color w:val="000000"/>
          <w:sz w:val="22"/>
          <w:szCs w:val="22"/>
        </w:rPr>
        <w:t>Distribution Planning and Connection Code must contain:</w:t>
      </w:r>
      <w:r w:rsidR="00375B90" w:rsidRPr="00316061">
        <w:rPr>
          <w:rFonts w:asciiTheme="minorHAnsi" w:hAnsiTheme="minorHAnsi" w:cs="Verdana"/>
          <w:color w:val="000000"/>
          <w:sz w:val="22"/>
          <w:szCs w:val="22"/>
        </w:rPr>
        <w:t xml:space="preserve"> </w:t>
      </w:r>
    </w:p>
    <w:p w:rsidR="00375B90" w:rsidRPr="00316061" w:rsidRDefault="00375B90" w:rsidP="00375B90">
      <w:pPr>
        <w:pStyle w:val="ListParagraph"/>
        <w:numPr>
          <w:ilvl w:val="0"/>
          <w:numId w:val="19"/>
        </w:numPr>
        <w:autoSpaceDE w:val="0"/>
        <w:autoSpaceDN w:val="0"/>
        <w:adjustRightInd w:val="0"/>
        <w:rPr>
          <w:rFonts w:asciiTheme="minorHAnsi" w:hAnsiTheme="minorHAnsi" w:cs="Verdana"/>
          <w:i/>
          <w:color w:val="000000"/>
          <w:sz w:val="22"/>
          <w:szCs w:val="22"/>
        </w:rPr>
      </w:pPr>
      <w:r w:rsidRPr="00316061">
        <w:rPr>
          <w:rFonts w:asciiTheme="minorHAnsi" w:hAnsiTheme="minorHAnsi" w:cs="Verdana"/>
          <w:i/>
          <w:color w:val="000000"/>
          <w:sz w:val="22"/>
          <w:szCs w:val="22"/>
        </w:rPr>
        <w:t xml:space="preserve">planning conditions that specify the technical and design criteria and procedures that are to be applied by the licensee in the planning and development of its Distribution System and taken into account by persons having a connection or seeking a connection to that system in the planning and development of their own plant and systems; and </w:t>
      </w:r>
    </w:p>
    <w:p w:rsidR="00375B90" w:rsidRPr="00316061" w:rsidRDefault="00375B90" w:rsidP="00375B90">
      <w:pPr>
        <w:pStyle w:val="ListParagraph"/>
        <w:numPr>
          <w:ilvl w:val="0"/>
          <w:numId w:val="19"/>
        </w:numPr>
        <w:autoSpaceDE w:val="0"/>
        <w:autoSpaceDN w:val="0"/>
        <w:adjustRightInd w:val="0"/>
        <w:rPr>
          <w:rFonts w:asciiTheme="minorHAnsi" w:hAnsiTheme="minorHAnsi" w:cs="Verdana"/>
          <w:i/>
          <w:color w:val="000000"/>
          <w:sz w:val="22"/>
          <w:szCs w:val="22"/>
        </w:rPr>
      </w:pPr>
      <w:proofErr w:type="gramStart"/>
      <w:r w:rsidRPr="00316061">
        <w:rPr>
          <w:rFonts w:asciiTheme="minorHAnsi" w:hAnsiTheme="minorHAnsi" w:cs="Courier New"/>
          <w:i/>
          <w:color w:val="000000"/>
          <w:sz w:val="22"/>
          <w:szCs w:val="22"/>
        </w:rPr>
        <w:t>connection</w:t>
      </w:r>
      <w:proofErr w:type="gramEnd"/>
      <w:r w:rsidRPr="00316061">
        <w:rPr>
          <w:rFonts w:asciiTheme="minorHAnsi" w:hAnsiTheme="minorHAnsi" w:cs="Courier New"/>
          <w:i/>
          <w:color w:val="000000"/>
          <w:sz w:val="22"/>
          <w:szCs w:val="22"/>
        </w:rPr>
        <w:t xml:space="preserve"> conditions that specify the technical, </w:t>
      </w:r>
      <w:r w:rsidRPr="00316061">
        <w:rPr>
          <w:rFonts w:asciiTheme="minorHAnsi" w:hAnsiTheme="minorHAnsi" w:cs="Verdana"/>
          <w:i/>
          <w:color w:val="000000"/>
          <w:sz w:val="22"/>
          <w:szCs w:val="22"/>
        </w:rPr>
        <w:t xml:space="preserve">design, and operational criteria to be complied with by any person having a connection or seeking a connection to the licensee’s Distribution System”. </w:t>
      </w:r>
    </w:p>
    <w:p w:rsidR="00375B90" w:rsidRPr="00316061" w:rsidRDefault="00E5737D" w:rsidP="00E5737D">
      <w:pPr>
        <w:pStyle w:val="Heading2"/>
        <w:keepNext w:val="0"/>
        <w:numPr>
          <w:ilvl w:val="0"/>
          <w:numId w:val="20"/>
        </w:numPr>
        <w:autoSpaceDE w:val="0"/>
        <w:autoSpaceDN w:val="0"/>
        <w:adjustRightInd w:val="0"/>
        <w:spacing w:line="480" w:lineRule="auto"/>
        <w:jc w:val="both"/>
        <w:rPr>
          <w:rFonts w:asciiTheme="minorHAnsi" w:hAnsiTheme="minorHAnsi"/>
          <w:sz w:val="22"/>
          <w:szCs w:val="22"/>
        </w:rPr>
      </w:pPr>
      <w:r w:rsidRPr="00316061">
        <w:rPr>
          <w:rFonts w:asciiTheme="minorHAnsi" w:hAnsiTheme="minorHAnsi"/>
          <w:sz w:val="22"/>
          <w:szCs w:val="22"/>
        </w:rPr>
        <w:t>SLC13C where the owner or occupier should be able to see the standards that equipment must meet.</w:t>
      </w:r>
    </w:p>
    <w:p w:rsidR="00E5737D" w:rsidRPr="00316061" w:rsidRDefault="00301AAD" w:rsidP="00F434E4">
      <w:pPr>
        <w:pStyle w:val="Heading2"/>
        <w:keepNext w:val="0"/>
        <w:tabs>
          <w:tab w:val="clear" w:pos="360"/>
        </w:tabs>
        <w:autoSpaceDE w:val="0"/>
        <w:autoSpaceDN w:val="0"/>
        <w:adjustRightInd w:val="0"/>
        <w:spacing w:line="360" w:lineRule="auto"/>
        <w:ind w:firstLine="0"/>
        <w:jc w:val="both"/>
        <w:rPr>
          <w:rFonts w:asciiTheme="minorHAnsi" w:hAnsiTheme="minorHAnsi"/>
          <w:sz w:val="22"/>
          <w:szCs w:val="22"/>
        </w:rPr>
      </w:pPr>
      <w:r w:rsidRPr="00316061">
        <w:rPr>
          <w:rFonts w:asciiTheme="minorHAnsi" w:hAnsiTheme="minorHAnsi"/>
          <w:sz w:val="22"/>
          <w:szCs w:val="22"/>
        </w:rPr>
        <w:t>This DNO respondent considered that the purpose of the new SLC</w:t>
      </w:r>
      <w:r w:rsidR="00F434E4" w:rsidRPr="00316061">
        <w:rPr>
          <w:rFonts w:asciiTheme="minorHAnsi" w:hAnsiTheme="minorHAnsi"/>
          <w:sz w:val="22"/>
          <w:szCs w:val="22"/>
        </w:rPr>
        <w:t xml:space="preserve"> </w:t>
      </w:r>
      <w:r w:rsidRPr="00316061">
        <w:rPr>
          <w:rFonts w:asciiTheme="minorHAnsi" w:hAnsiTheme="minorHAnsi"/>
          <w:sz w:val="22"/>
          <w:szCs w:val="22"/>
        </w:rPr>
        <w:t>13C i</w:t>
      </w:r>
      <w:r w:rsidR="00E5737D" w:rsidRPr="00316061">
        <w:rPr>
          <w:rFonts w:asciiTheme="minorHAnsi" w:hAnsiTheme="minorHAnsi"/>
          <w:sz w:val="22"/>
          <w:szCs w:val="22"/>
        </w:rPr>
        <w:t>s clearly s</w:t>
      </w:r>
      <w:r w:rsidRPr="00316061">
        <w:rPr>
          <w:rFonts w:asciiTheme="minorHAnsi" w:hAnsiTheme="minorHAnsi"/>
          <w:sz w:val="22"/>
          <w:szCs w:val="22"/>
        </w:rPr>
        <w:t xml:space="preserve">et out in the statutory notice </w:t>
      </w:r>
      <w:r w:rsidR="00E5737D" w:rsidRPr="00316061">
        <w:rPr>
          <w:rFonts w:asciiTheme="minorHAnsi" w:hAnsiTheme="minorHAnsi"/>
          <w:sz w:val="22"/>
          <w:szCs w:val="22"/>
        </w:rPr>
        <w:t xml:space="preserve">and </w:t>
      </w:r>
      <w:r w:rsidRPr="00316061">
        <w:rPr>
          <w:rFonts w:asciiTheme="minorHAnsi" w:hAnsiTheme="minorHAnsi"/>
          <w:sz w:val="22"/>
          <w:szCs w:val="22"/>
        </w:rPr>
        <w:t xml:space="preserve">that option C is the </w:t>
      </w:r>
      <w:r w:rsidR="00E5737D" w:rsidRPr="00316061">
        <w:rPr>
          <w:rFonts w:asciiTheme="minorHAnsi" w:hAnsiTheme="minorHAnsi"/>
          <w:sz w:val="22"/>
          <w:szCs w:val="22"/>
        </w:rPr>
        <w:t xml:space="preserve">most consistent </w:t>
      </w:r>
      <w:r w:rsidRPr="00316061">
        <w:rPr>
          <w:rFonts w:asciiTheme="minorHAnsi" w:hAnsiTheme="minorHAnsi"/>
          <w:sz w:val="22"/>
          <w:szCs w:val="22"/>
        </w:rPr>
        <w:t xml:space="preserve">in meeting the </w:t>
      </w:r>
      <w:r w:rsidR="00E5737D" w:rsidRPr="00316061">
        <w:rPr>
          <w:rFonts w:asciiTheme="minorHAnsi" w:hAnsiTheme="minorHAnsi"/>
          <w:sz w:val="22"/>
          <w:szCs w:val="22"/>
        </w:rPr>
        <w:t xml:space="preserve">declared purpose of this condition. </w:t>
      </w:r>
    </w:p>
    <w:p w:rsidR="0009145C" w:rsidRPr="00316061" w:rsidRDefault="00301AAD" w:rsidP="00301AAD">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cs="Verdana"/>
          <w:color w:val="000000"/>
          <w:sz w:val="22"/>
          <w:szCs w:val="22"/>
        </w:rPr>
      </w:pPr>
      <w:r w:rsidRPr="00316061">
        <w:rPr>
          <w:rFonts w:asciiTheme="minorHAnsi" w:hAnsiTheme="minorHAnsi"/>
          <w:sz w:val="22"/>
          <w:szCs w:val="22"/>
        </w:rPr>
        <w:t>Another DNO respondent raised a concern in regards to keeping the equipment standards up to date which may result in a discouraging signal.</w:t>
      </w:r>
      <w:r w:rsidR="00F434E4" w:rsidRPr="00316061">
        <w:rPr>
          <w:rFonts w:asciiTheme="minorHAnsi" w:hAnsiTheme="minorHAnsi"/>
          <w:sz w:val="22"/>
          <w:szCs w:val="22"/>
        </w:rPr>
        <w:t xml:space="preserve"> </w:t>
      </w:r>
      <w:r w:rsidRPr="00316061">
        <w:rPr>
          <w:rFonts w:asciiTheme="minorHAnsi" w:hAnsiTheme="minorHAnsi"/>
          <w:sz w:val="22"/>
          <w:szCs w:val="22"/>
        </w:rPr>
        <w:t xml:space="preserve">A third DNO respondent who preferred this option also considered that Option C best met the purpose of Ofgem’s proposed licence drafting. This respondent also agreed that the industry standards should be developed and maintained across all DNOs. </w:t>
      </w:r>
      <w:r w:rsidRPr="00316061">
        <w:rPr>
          <w:rFonts w:asciiTheme="minorHAnsi" w:hAnsiTheme="minorHAnsi" w:cs="Verdana"/>
          <w:color w:val="000000"/>
          <w:sz w:val="22"/>
          <w:szCs w:val="22"/>
        </w:rPr>
        <w:t xml:space="preserve">A fourth DNO respondent advised that this approach did </w:t>
      </w:r>
      <w:r w:rsidRPr="00316061">
        <w:rPr>
          <w:rFonts w:asciiTheme="minorHAnsi" w:hAnsiTheme="minorHAnsi" w:cs="Verdana"/>
          <w:i/>
          <w:color w:val="000000"/>
          <w:sz w:val="22"/>
          <w:szCs w:val="22"/>
        </w:rPr>
        <w:t>“not recognise that the level of any disruption caused to other Users will be dependent of the network characteristics in any particular locality e.g. fault level”</w:t>
      </w:r>
    </w:p>
    <w:p w:rsidR="00301AAD" w:rsidRPr="00316061" w:rsidRDefault="000F0F75" w:rsidP="00301AAD">
      <w:pPr>
        <w:rPr>
          <w:rFonts w:asciiTheme="minorHAnsi" w:hAnsiTheme="minorHAnsi"/>
          <w:sz w:val="22"/>
          <w:szCs w:val="22"/>
          <w:u w:val="single"/>
        </w:rPr>
      </w:pPr>
      <w:r w:rsidRPr="00316061">
        <w:rPr>
          <w:rFonts w:asciiTheme="minorHAnsi" w:hAnsiTheme="minorHAnsi"/>
          <w:sz w:val="22"/>
          <w:szCs w:val="22"/>
          <w:u w:val="single"/>
        </w:rPr>
        <w:t>Option D</w:t>
      </w:r>
      <w:r w:rsidR="00301AAD" w:rsidRPr="00316061">
        <w:rPr>
          <w:rFonts w:asciiTheme="minorHAnsi" w:hAnsiTheme="minorHAnsi"/>
          <w:sz w:val="22"/>
          <w:szCs w:val="22"/>
          <w:u w:val="single"/>
        </w:rPr>
        <w:t xml:space="preserve"> - </w:t>
      </w:r>
      <w:r w:rsidR="00F434E4" w:rsidRPr="00316061">
        <w:rPr>
          <w:rFonts w:asciiTheme="minorHAnsi" w:hAnsiTheme="minorHAnsi"/>
          <w:sz w:val="22"/>
          <w:szCs w:val="22"/>
          <w:u w:val="single"/>
        </w:rPr>
        <w:t>No C</w:t>
      </w:r>
      <w:r w:rsidR="00301AAD" w:rsidRPr="00316061">
        <w:rPr>
          <w:rFonts w:asciiTheme="minorHAnsi" w:hAnsiTheme="minorHAnsi"/>
          <w:sz w:val="22"/>
          <w:szCs w:val="22"/>
          <w:u w:val="single"/>
        </w:rPr>
        <w:t xml:space="preserve">urrent </w:t>
      </w:r>
      <w:r w:rsidR="00F434E4" w:rsidRPr="00316061">
        <w:rPr>
          <w:rFonts w:asciiTheme="minorHAnsi" w:hAnsiTheme="minorHAnsi"/>
          <w:sz w:val="22"/>
          <w:szCs w:val="22"/>
          <w:u w:val="single"/>
        </w:rPr>
        <w:t xml:space="preserve">Exclusion </w:t>
      </w:r>
      <w:proofErr w:type="gramStart"/>
      <w:r w:rsidR="00F434E4" w:rsidRPr="00316061">
        <w:rPr>
          <w:rFonts w:asciiTheme="minorHAnsi" w:hAnsiTheme="minorHAnsi"/>
          <w:sz w:val="22"/>
          <w:szCs w:val="22"/>
          <w:u w:val="single"/>
        </w:rPr>
        <w:t>For</w:t>
      </w:r>
      <w:proofErr w:type="gramEnd"/>
      <w:r w:rsidR="00F434E4" w:rsidRPr="00316061">
        <w:rPr>
          <w:rFonts w:asciiTheme="minorHAnsi" w:hAnsiTheme="minorHAnsi"/>
          <w:sz w:val="22"/>
          <w:szCs w:val="22"/>
          <w:u w:val="single"/>
        </w:rPr>
        <w:t xml:space="preserve"> Any Equipment Installed By Existing C</w:t>
      </w:r>
      <w:r w:rsidR="00301AAD" w:rsidRPr="00316061">
        <w:rPr>
          <w:rFonts w:asciiTheme="minorHAnsi" w:hAnsiTheme="minorHAnsi"/>
          <w:sz w:val="22"/>
          <w:szCs w:val="22"/>
          <w:u w:val="single"/>
        </w:rPr>
        <w:t>ustomers.</w:t>
      </w:r>
    </w:p>
    <w:p w:rsidR="006D1DF0" w:rsidRPr="00316061" w:rsidRDefault="00F434E4" w:rsidP="00F434E4">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sz w:val="22"/>
          <w:szCs w:val="22"/>
        </w:rPr>
      </w:pPr>
      <w:r w:rsidRPr="00316061">
        <w:rPr>
          <w:rFonts w:asciiTheme="minorHAnsi" w:hAnsiTheme="minorHAnsi"/>
          <w:sz w:val="22"/>
          <w:szCs w:val="22"/>
        </w:rPr>
        <w:t>One DNO respondent preferred Option D as they considered</w:t>
      </w:r>
      <w:r w:rsidR="000F0F75" w:rsidRPr="00316061">
        <w:rPr>
          <w:rFonts w:asciiTheme="minorHAnsi" w:hAnsiTheme="minorHAnsi"/>
          <w:sz w:val="22"/>
          <w:szCs w:val="22"/>
        </w:rPr>
        <w:t xml:space="preserve"> that customers that install equipment and can be clearly identified should incur the costs associated with changes to the network to accommodate their equipment. </w:t>
      </w:r>
      <w:r w:rsidRPr="00316061">
        <w:rPr>
          <w:rFonts w:asciiTheme="minorHAnsi" w:hAnsiTheme="minorHAnsi"/>
          <w:sz w:val="22"/>
          <w:szCs w:val="22"/>
        </w:rPr>
        <w:t>This member explained that the</w:t>
      </w:r>
      <w:r w:rsidR="006D1DF0" w:rsidRPr="00316061">
        <w:rPr>
          <w:rFonts w:asciiTheme="minorHAnsi" w:hAnsiTheme="minorHAnsi"/>
          <w:sz w:val="22"/>
          <w:szCs w:val="22"/>
        </w:rPr>
        <w:t xml:space="preserve"> first three O</w:t>
      </w:r>
      <w:r w:rsidR="000F0F75" w:rsidRPr="00316061">
        <w:rPr>
          <w:rFonts w:asciiTheme="minorHAnsi" w:hAnsiTheme="minorHAnsi"/>
          <w:sz w:val="22"/>
          <w:szCs w:val="22"/>
        </w:rPr>
        <w:t xml:space="preserve">ptions seek to address </w:t>
      </w:r>
      <w:r w:rsidRPr="00316061">
        <w:rPr>
          <w:rFonts w:asciiTheme="minorHAnsi" w:hAnsiTheme="minorHAnsi"/>
          <w:sz w:val="22"/>
          <w:szCs w:val="22"/>
        </w:rPr>
        <w:t xml:space="preserve">this issue but are not sufficiently </w:t>
      </w:r>
      <w:r w:rsidR="000F0F75" w:rsidRPr="00316061">
        <w:rPr>
          <w:rFonts w:asciiTheme="minorHAnsi" w:hAnsiTheme="minorHAnsi"/>
          <w:sz w:val="22"/>
          <w:szCs w:val="22"/>
        </w:rPr>
        <w:t xml:space="preserve">developed. </w:t>
      </w:r>
      <w:r w:rsidR="006D1DF0" w:rsidRPr="00316061">
        <w:rPr>
          <w:rFonts w:asciiTheme="minorHAnsi" w:hAnsiTheme="minorHAnsi"/>
          <w:sz w:val="22"/>
          <w:szCs w:val="22"/>
        </w:rPr>
        <w:t>This DNO respondent suggested that the issue should be revisited in a few years’ time when there may be sufficient evidence to justify the change.</w:t>
      </w:r>
    </w:p>
    <w:p w:rsidR="000F0F75" w:rsidRPr="00316061" w:rsidRDefault="006D1DF0" w:rsidP="00F434E4">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cs="Verdana"/>
          <w:color w:val="000000"/>
          <w:sz w:val="22"/>
          <w:szCs w:val="22"/>
        </w:rPr>
      </w:pPr>
      <w:r w:rsidRPr="00316061">
        <w:rPr>
          <w:rFonts w:asciiTheme="minorHAnsi" w:hAnsiTheme="minorHAnsi"/>
          <w:sz w:val="22"/>
          <w:szCs w:val="22"/>
        </w:rPr>
        <w:t xml:space="preserve">Another DNO respondent who preferred Option C advised that Option D was </w:t>
      </w:r>
      <w:r w:rsidRPr="00316061">
        <w:rPr>
          <w:rFonts w:asciiTheme="minorHAnsi" w:hAnsiTheme="minorHAnsi" w:cs="Verdana"/>
          <w:color w:val="000000"/>
          <w:sz w:val="22"/>
          <w:szCs w:val="22"/>
        </w:rPr>
        <w:t xml:space="preserve">inconsistent with current charging policy and SLC 13C and it goes against the shallow charging boundary established by </w:t>
      </w:r>
      <w:proofErr w:type="spellStart"/>
      <w:r w:rsidRPr="00316061">
        <w:rPr>
          <w:rFonts w:asciiTheme="minorHAnsi" w:hAnsiTheme="minorHAnsi" w:cs="Verdana"/>
          <w:color w:val="000000"/>
          <w:sz w:val="22"/>
          <w:szCs w:val="22"/>
        </w:rPr>
        <w:t>Ofgem</w:t>
      </w:r>
      <w:proofErr w:type="spellEnd"/>
      <w:r w:rsidRPr="00316061">
        <w:rPr>
          <w:rFonts w:asciiTheme="minorHAnsi" w:hAnsiTheme="minorHAnsi" w:cs="Verdana"/>
          <w:color w:val="000000"/>
          <w:sz w:val="22"/>
          <w:szCs w:val="22"/>
        </w:rPr>
        <w:t xml:space="preserve">. This respondent advised that the Option would be more expensive for </w:t>
      </w:r>
      <w:proofErr w:type="spellStart"/>
      <w:r w:rsidRPr="00316061">
        <w:rPr>
          <w:rFonts w:asciiTheme="minorHAnsi" w:hAnsiTheme="minorHAnsi" w:cs="Verdana"/>
          <w:color w:val="000000"/>
          <w:sz w:val="22"/>
          <w:szCs w:val="22"/>
        </w:rPr>
        <w:lastRenderedPageBreak/>
        <w:t>DUoS</w:t>
      </w:r>
      <w:proofErr w:type="spellEnd"/>
      <w:r w:rsidRPr="00316061">
        <w:rPr>
          <w:rFonts w:asciiTheme="minorHAnsi" w:hAnsiTheme="minorHAnsi" w:cs="Verdana"/>
          <w:color w:val="000000"/>
          <w:sz w:val="22"/>
          <w:szCs w:val="22"/>
        </w:rPr>
        <w:t xml:space="preserve"> customers and could </w:t>
      </w:r>
      <w:r w:rsidRPr="00316061">
        <w:rPr>
          <w:rFonts w:asciiTheme="minorHAnsi" w:hAnsiTheme="minorHAnsi" w:cs="Verdana"/>
          <w:i/>
          <w:color w:val="000000"/>
          <w:sz w:val="22"/>
          <w:szCs w:val="22"/>
        </w:rPr>
        <w:t>“create a perverse incentive on existing customers to connect any equipment without considering modern alternatives or low energy options</w:t>
      </w:r>
      <w:r w:rsidRPr="00316061">
        <w:rPr>
          <w:rFonts w:asciiTheme="minorHAnsi" w:hAnsiTheme="minorHAnsi" w:cs="Verdana"/>
          <w:color w:val="000000"/>
          <w:sz w:val="22"/>
          <w:szCs w:val="22"/>
        </w:rPr>
        <w:t>”.</w:t>
      </w:r>
    </w:p>
    <w:p w:rsidR="00946EF6" w:rsidRPr="00316061" w:rsidRDefault="004C4A08" w:rsidP="00946EF6">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sz w:val="22"/>
          <w:szCs w:val="22"/>
        </w:rPr>
      </w:pPr>
      <w:r w:rsidRPr="00316061">
        <w:rPr>
          <w:rFonts w:asciiTheme="minorHAnsi" w:hAnsiTheme="minorHAnsi"/>
          <w:sz w:val="22"/>
          <w:szCs w:val="22"/>
        </w:rPr>
        <w:t xml:space="preserve">This DNO respondent understood that Option D would be constrained by a 100 Amperes limit but that the costs of accommodating such a load would fall on the </w:t>
      </w:r>
      <w:proofErr w:type="spellStart"/>
      <w:r w:rsidRPr="00316061">
        <w:rPr>
          <w:rFonts w:asciiTheme="minorHAnsi" w:hAnsiTheme="minorHAnsi"/>
          <w:sz w:val="22"/>
          <w:szCs w:val="22"/>
        </w:rPr>
        <w:t>DUoS</w:t>
      </w:r>
      <w:proofErr w:type="spellEnd"/>
      <w:r w:rsidRPr="00316061">
        <w:rPr>
          <w:rFonts w:asciiTheme="minorHAnsi" w:hAnsiTheme="minorHAnsi"/>
          <w:sz w:val="22"/>
          <w:szCs w:val="22"/>
        </w:rPr>
        <w:t xml:space="preserve"> customers. This DNO advised that they did not understand the rationale to support a distinction between 100 Amperes and those exceeding that limit when</w:t>
      </w:r>
      <w:r w:rsidR="00946EF6" w:rsidRPr="00316061">
        <w:rPr>
          <w:rFonts w:asciiTheme="minorHAnsi" w:hAnsiTheme="minorHAnsi"/>
          <w:sz w:val="22"/>
          <w:szCs w:val="22"/>
        </w:rPr>
        <w:t xml:space="preserve"> the connection would be</w:t>
      </w:r>
      <w:r w:rsidRPr="00316061">
        <w:rPr>
          <w:rFonts w:asciiTheme="minorHAnsi" w:hAnsiTheme="minorHAnsi"/>
          <w:sz w:val="22"/>
          <w:szCs w:val="22"/>
        </w:rPr>
        <w:t xml:space="preserve"> disturbing the networks load. Furthermore, the respondent did not understand the reasoning behind providing the benefit of socialisation to those who are already connected and not to those who have not yet connected.</w:t>
      </w:r>
      <w:r w:rsidR="00946EF6" w:rsidRPr="00316061">
        <w:rPr>
          <w:rFonts w:asciiTheme="minorHAnsi" w:hAnsiTheme="minorHAnsi"/>
          <w:sz w:val="22"/>
          <w:szCs w:val="22"/>
        </w:rPr>
        <w:t xml:space="preserve"> The respondent suggested that if this Option was to proceed that the Working Group would need to ”define the acceptable equipment standards in relation to new connections” and whether this solution could be applied for new connections as well as existing connections. </w:t>
      </w:r>
    </w:p>
    <w:p w:rsidR="0009145C" w:rsidRPr="00316061" w:rsidRDefault="004C4A08" w:rsidP="000F0F75">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sz w:val="22"/>
          <w:szCs w:val="22"/>
        </w:rPr>
      </w:pPr>
      <w:r w:rsidRPr="00316061">
        <w:rPr>
          <w:rFonts w:asciiTheme="minorHAnsi" w:hAnsiTheme="minorHAnsi"/>
          <w:sz w:val="22"/>
          <w:szCs w:val="22"/>
        </w:rPr>
        <w:t xml:space="preserve">Another DNO respondent raised a concern that Option D provides </w:t>
      </w:r>
      <w:r w:rsidR="0009145C" w:rsidRPr="00316061">
        <w:rPr>
          <w:rFonts w:asciiTheme="minorHAnsi" w:hAnsiTheme="minorHAnsi"/>
          <w:sz w:val="22"/>
          <w:szCs w:val="22"/>
        </w:rPr>
        <w:t xml:space="preserve">no </w:t>
      </w:r>
      <w:r w:rsidRPr="00316061">
        <w:rPr>
          <w:rFonts w:asciiTheme="minorHAnsi" w:hAnsiTheme="minorHAnsi"/>
          <w:sz w:val="22"/>
          <w:szCs w:val="22"/>
        </w:rPr>
        <w:t>commercial signals and does not</w:t>
      </w:r>
      <w:r w:rsidR="0009145C" w:rsidRPr="00316061">
        <w:rPr>
          <w:rFonts w:asciiTheme="minorHAnsi" w:hAnsiTheme="minorHAnsi"/>
          <w:sz w:val="22"/>
          <w:szCs w:val="22"/>
        </w:rPr>
        <w:t xml:space="preserve"> </w:t>
      </w:r>
      <w:r w:rsidRPr="00316061">
        <w:rPr>
          <w:rFonts w:asciiTheme="minorHAnsi" w:hAnsiTheme="minorHAnsi"/>
          <w:i/>
          <w:sz w:val="22"/>
          <w:szCs w:val="22"/>
        </w:rPr>
        <w:t>“</w:t>
      </w:r>
      <w:r w:rsidR="0009145C" w:rsidRPr="00316061">
        <w:rPr>
          <w:rFonts w:asciiTheme="minorHAnsi" w:hAnsiTheme="minorHAnsi"/>
          <w:i/>
          <w:sz w:val="22"/>
          <w:szCs w:val="22"/>
        </w:rPr>
        <w:t>fairly reflect real costs incurred to encourage behaviours in manufacturer, installer or end customers</w:t>
      </w:r>
      <w:r w:rsidRPr="00316061">
        <w:rPr>
          <w:rFonts w:asciiTheme="minorHAnsi" w:hAnsiTheme="minorHAnsi"/>
          <w:i/>
          <w:sz w:val="22"/>
          <w:szCs w:val="22"/>
        </w:rPr>
        <w:t>”</w:t>
      </w:r>
      <w:r w:rsidR="0009145C" w:rsidRPr="00316061">
        <w:rPr>
          <w:rFonts w:asciiTheme="minorHAnsi" w:hAnsiTheme="minorHAnsi"/>
          <w:i/>
          <w:sz w:val="22"/>
          <w:szCs w:val="22"/>
        </w:rPr>
        <w:t>.</w:t>
      </w:r>
      <w:r w:rsidR="0009145C" w:rsidRPr="00316061">
        <w:rPr>
          <w:rFonts w:asciiTheme="minorHAnsi" w:hAnsiTheme="minorHAnsi"/>
          <w:sz w:val="22"/>
          <w:szCs w:val="22"/>
        </w:rPr>
        <w:t xml:space="preserve"> </w:t>
      </w:r>
    </w:p>
    <w:p w:rsidR="00946EF6" w:rsidRPr="00316061" w:rsidRDefault="003D1A78" w:rsidP="007C2BDF">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sz w:val="22"/>
          <w:szCs w:val="22"/>
        </w:rPr>
      </w:pPr>
      <w:r w:rsidRPr="00316061">
        <w:rPr>
          <w:rFonts w:asciiTheme="minorHAnsi" w:hAnsiTheme="minorHAnsi"/>
          <w:sz w:val="22"/>
          <w:szCs w:val="22"/>
        </w:rPr>
        <w:t>The Working Group discussed the response</w:t>
      </w:r>
      <w:r w:rsidR="00946EF6" w:rsidRPr="00316061">
        <w:rPr>
          <w:rFonts w:asciiTheme="minorHAnsi" w:hAnsiTheme="minorHAnsi"/>
          <w:sz w:val="22"/>
          <w:szCs w:val="22"/>
        </w:rPr>
        <w:t>s</w:t>
      </w:r>
      <w:r w:rsidR="002C09ED" w:rsidRPr="00316061">
        <w:rPr>
          <w:rFonts w:asciiTheme="minorHAnsi" w:hAnsiTheme="minorHAnsi"/>
          <w:sz w:val="22"/>
          <w:szCs w:val="22"/>
        </w:rPr>
        <w:t xml:space="preserve"> and agreed that Option A was not sufficiently descriptive to allow customers to make an informed decision and that under Option B there was insufficient information to be able to determine an appropriate cap value. The </w:t>
      </w:r>
      <w:r w:rsidR="007C2BDF" w:rsidRPr="00316061">
        <w:rPr>
          <w:rFonts w:asciiTheme="minorHAnsi" w:hAnsiTheme="minorHAnsi"/>
          <w:sz w:val="22"/>
          <w:szCs w:val="22"/>
        </w:rPr>
        <w:t>Working Group was undecided on whether Option D complied with the proposed licence drafting.</w:t>
      </w:r>
    </w:p>
    <w:p w:rsidR="007C2BDF" w:rsidRPr="00316061" w:rsidRDefault="007C2BDF" w:rsidP="007C2BDF">
      <w:pPr>
        <w:pStyle w:val="Heading2"/>
        <w:keepNext w:val="0"/>
        <w:numPr>
          <w:ilvl w:val="1"/>
          <w:numId w:val="7"/>
        </w:numPr>
        <w:tabs>
          <w:tab w:val="num" w:pos="567"/>
        </w:tabs>
        <w:autoSpaceDE w:val="0"/>
        <w:autoSpaceDN w:val="0"/>
        <w:adjustRightInd w:val="0"/>
        <w:spacing w:line="360" w:lineRule="auto"/>
        <w:ind w:left="360" w:hanging="567"/>
        <w:jc w:val="both"/>
        <w:rPr>
          <w:rFonts w:asciiTheme="minorHAnsi" w:hAnsiTheme="minorHAnsi"/>
          <w:sz w:val="22"/>
          <w:szCs w:val="22"/>
        </w:rPr>
      </w:pPr>
      <w:r w:rsidRPr="00316061">
        <w:rPr>
          <w:rFonts w:asciiTheme="minorHAnsi" w:hAnsiTheme="minorHAnsi"/>
          <w:sz w:val="22"/>
          <w:szCs w:val="22"/>
        </w:rPr>
        <w:t>In conclusion t</w:t>
      </w:r>
      <w:r w:rsidR="002C09ED" w:rsidRPr="00316061">
        <w:rPr>
          <w:rFonts w:asciiTheme="minorHAnsi" w:hAnsiTheme="minorHAnsi"/>
          <w:sz w:val="22"/>
          <w:szCs w:val="22"/>
        </w:rPr>
        <w:t xml:space="preserve">he Working Group </w:t>
      </w:r>
      <w:r w:rsidRPr="00316061">
        <w:rPr>
          <w:rFonts w:asciiTheme="minorHAnsi" w:hAnsiTheme="minorHAnsi"/>
          <w:sz w:val="22"/>
          <w:szCs w:val="22"/>
        </w:rPr>
        <w:t xml:space="preserve">agreed to </w:t>
      </w:r>
      <w:r w:rsidR="002C09ED" w:rsidRPr="00316061">
        <w:rPr>
          <w:rFonts w:asciiTheme="minorHAnsi" w:hAnsiTheme="minorHAnsi"/>
          <w:sz w:val="22"/>
          <w:szCs w:val="22"/>
        </w:rPr>
        <w:t xml:space="preserve">support </w:t>
      </w:r>
      <w:r w:rsidRPr="00316061">
        <w:rPr>
          <w:rFonts w:asciiTheme="minorHAnsi" w:hAnsiTheme="minorHAnsi"/>
          <w:sz w:val="22"/>
          <w:szCs w:val="22"/>
        </w:rPr>
        <w:t>Option C to provide a suitable equipment standards list. It was noted that such a list was already in existence and the Working Group agreed to check whether the di</w:t>
      </w:r>
      <w:r w:rsidRPr="00316061">
        <w:rPr>
          <w:rFonts w:asciiTheme="minorHAnsi" w:hAnsiTheme="minorHAnsi" w:cs="Verdana"/>
          <w:color w:val="000000"/>
          <w:sz w:val="22"/>
          <w:szCs w:val="22"/>
        </w:rPr>
        <w:t>stribution code annex 1 equipment standards was sufficient and could be easily applied by a Customer.</w:t>
      </w:r>
    </w:p>
    <w:p w:rsidR="009279B6" w:rsidRPr="00316061" w:rsidRDefault="009279B6" w:rsidP="009279B6">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316061">
        <w:rPr>
          <w:rFonts w:asciiTheme="minorHAnsi" w:hAnsiTheme="minorHAnsi"/>
          <w:b/>
          <w:sz w:val="22"/>
          <w:szCs w:val="22"/>
          <w:u w:val="single"/>
        </w:rPr>
        <w:t>Question 4:</w:t>
      </w:r>
      <w:r w:rsidRPr="00316061">
        <w:rPr>
          <w:rFonts w:asciiTheme="minorHAnsi" w:hAnsiTheme="minorHAnsi"/>
          <w:b/>
          <w:sz w:val="22"/>
          <w:szCs w:val="22"/>
          <w:u w:val="single"/>
        </w:rPr>
        <w:tab/>
        <w:t>Do you consider that the proposal better facilitates the DCUSA General Objectives? Please give supporting reasons.</w:t>
      </w:r>
    </w:p>
    <w:p w:rsidR="00785E94" w:rsidRPr="00316061" w:rsidRDefault="00785E94" w:rsidP="008E2FB2">
      <w:pPr>
        <w:jc w:val="both"/>
        <w:rPr>
          <w:rFonts w:asciiTheme="minorHAnsi" w:hAnsiTheme="minorHAnsi"/>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234"/>
        <w:gridCol w:w="1419"/>
        <w:gridCol w:w="1417"/>
        <w:gridCol w:w="1387"/>
        <w:gridCol w:w="1556"/>
      </w:tblGrid>
      <w:tr w:rsidR="00785E94" w:rsidRPr="00316061" w:rsidTr="00567EA8">
        <w:trPr>
          <w:cantSplit/>
          <w:trHeight w:val="1539"/>
        </w:trPr>
        <w:tc>
          <w:tcPr>
            <w:tcW w:w="1106" w:type="pct"/>
            <w:shd w:val="pct65" w:color="auto" w:fill="auto"/>
            <w:vAlign w:val="bottom"/>
          </w:tcPr>
          <w:p w:rsidR="00785E94" w:rsidRPr="00316061" w:rsidRDefault="00785E94" w:rsidP="00567EA8">
            <w:pPr>
              <w:jc w:val="center"/>
              <w:rPr>
                <w:rFonts w:asciiTheme="minorHAnsi" w:hAnsiTheme="minorHAnsi"/>
                <w:b/>
                <w:color w:val="FFFFFF"/>
                <w:sz w:val="22"/>
                <w:szCs w:val="22"/>
              </w:rPr>
            </w:pPr>
            <w:r w:rsidRPr="00316061">
              <w:rPr>
                <w:rFonts w:asciiTheme="minorHAnsi" w:hAnsiTheme="minorHAnsi"/>
                <w:b/>
                <w:color w:val="FFFFFF"/>
                <w:sz w:val="22"/>
                <w:szCs w:val="22"/>
              </w:rPr>
              <w:t>Respondent Party Type</w:t>
            </w:r>
          </w:p>
        </w:tc>
        <w:tc>
          <w:tcPr>
            <w:tcW w:w="685" w:type="pct"/>
            <w:shd w:val="pct65" w:color="auto" w:fill="auto"/>
            <w:textDirection w:val="btLr"/>
          </w:tcPr>
          <w:p w:rsidR="00785E94" w:rsidRPr="00316061" w:rsidRDefault="00785E94"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1</w:t>
            </w:r>
          </w:p>
        </w:tc>
        <w:tc>
          <w:tcPr>
            <w:tcW w:w="788" w:type="pct"/>
            <w:shd w:val="pct65" w:color="auto" w:fill="auto"/>
            <w:textDirection w:val="btLr"/>
          </w:tcPr>
          <w:p w:rsidR="00785E94" w:rsidRPr="00316061" w:rsidRDefault="00785E94"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2</w:t>
            </w:r>
          </w:p>
        </w:tc>
        <w:tc>
          <w:tcPr>
            <w:tcW w:w="787" w:type="pct"/>
            <w:shd w:val="pct65" w:color="auto" w:fill="auto"/>
            <w:textDirection w:val="btLr"/>
          </w:tcPr>
          <w:p w:rsidR="00785E94" w:rsidRPr="00316061" w:rsidRDefault="00785E94"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3</w:t>
            </w:r>
          </w:p>
        </w:tc>
        <w:tc>
          <w:tcPr>
            <w:tcW w:w="770" w:type="pct"/>
            <w:shd w:val="pct65" w:color="auto" w:fill="auto"/>
            <w:textDirection w:val="btLr"/>
          </w:tcPr>
          <w:p w:rsidR="00785E94" w:rsidRPr="00316061" w:rsidRDefault="00785E94"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4</w:t>
            </w:r>
          </w:p>
        </w:tc>
        <w:tc>
          <w:tcPr>
            <w:tcW w:w="864" w:type="pct"/>
            <w:shd w:val="pct65" w:color="auto" w:fill="auto"/>
            <w:textDirection w:val="btLr"/>
          </w:tcPr>
          <w:p w:rsidR="00785E94" w:rsidRPr="00316061" w:rsidRDefault="00785E94"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5</w:t>
            </w:r>
          </w:p>
        </w:tc>
      </w:tr>
      <w:tr w:rsidR="00785E94" w:rsidRPr="00316061" w:rsidTr="00567EA8">
        <w:tc>
          <w:tcPr>
            <w:tcW w:w="1106" w:type="pct"/>
            <w:shd w:val="clear" w:color="auto" w:fill="auto"/>
          </w:tcPr>
          <w:p w:rsidR="00785E94" w:rsidRPr="00316061" w:rsidRDefault="00785E94" w:rsidP="00567EA8">
            <w:pPr>
              <w:rPr>
                <w:rFonts w:asciiTheme="minorHAnsi" w:hAnsiTheme="minorHAnsi"/>
                <w:b/>
                <w:sz w:val="22"/>
                <w:szCs w:val="22"/>
              </w:rPr>
            </w:pPr>
            <w:r w:rsidRPr="00316061">
              <w:rPr>
                <w:rFonts w:asciiTheme="minorHAnsi" w:hAnsiTheme="minorHAnsi"/>
                <w:b/>
                <w:sz w:val="22"/>
                <w:szCs w:val="22"/>
              </w:rPr>
              <w:t>DNOs</w:t>
            </w:r>
          </w:p>
        </w:tc>
        <w:tc>
          <w:tcPr>
            <w:tcW w:w="685" w:type="pct"/>
            <w:shd w:val="clear" w:color="auto" w:fill="auto"/>
          </w:tcPr>
          <w:p w:rsidR="00785E94" w:rsidRPr="00316061" w:rsidRDefault="00785E94" w:rsidP="00567EA8">
            <w:pPr>
              <w:jc w:val="center"/>
              <w:rPr>
                <w:rFonts w:asciiTheme="minorHAnsi" w:hAnsiTheme="minorHAnsi"/>
                <w:sz w:val="22"/>
                <w:szCs w:val="22"/>
              </w:rPr>
            </w:pPr>
            <w:r w:rsidRPr="00316061">
              <w:rPr>
                <w:rFonts w:asciiTheme="minorHAnsi" w:hAnsiTheme="minorHAnsi"/>
                <w:sz w:val="22"/>
                <w:szCs w:val="22"/>
              </w:rPr>
              <w:t>0</w:t>
            </w:r>
          </w:p>
        </w:tc>
        <w:tc>
          <w:tcPr>
            <w:tcW w:w="788" w:type="pct"/>
            <w:shd w:val="clear" w:color="auto" w:fill="auto"/>
          </w:tcPr>
          <w:p w:rsidR="00785E94" w:rsidRPr="00316061" w:rsidRDefault="00785E94" w:rsidP="00567EA8">
            <w:pPr>
              <w:jc w:val="center"/>
              <w:rPr>
                <w:rFonts w:asciiTheme="minorHAnsi" w:hAnsiTheme="minorHAnsi"/>
                <w:sz w:val="22"/>
                <w:szCs w:val="22"/>
              </w:rPr>
            </w:pPr>
            <w:r w:rsidRPr="00316061">
              <w:rPr>
                <w:rFonts w:asciiTheme="minorHAnsi" w:hAnsiTheme="minorHAnsi"/>
                <w:sz w:val="22"/>
                <w:szCs w:val="22"/>
              </w:rPr>
              <w:t>0</w:t>
            </w:r>
          </w:p>
        </w:tc>
        <w:tc>
          <w:tcPr>
            <w:tcW w:w="787" w:type="pct"/>
            <w:shd w:val="clear" w:color="auto" w:fill="auto"/>
          </w:tcPr>
          <w:p w:rsidR="00785E94" w:rsidRPr="00316061" w:rsidRDefault="00785E94" w:rsidP="00567EA8">
            <w:pPr>
              <w:jc w:val="center"/>
              <w:rPr>
                <w:rFonts w:asciiTheme="minorHAnsi" w:hAnsiTheme="minorHAnsi"/>
                <w:sz w:val="22"/>
                <w:szCs w:val="22"/>
              </w:rPr>
            </w:pPr>
            <w:r w:rsidRPr="00316061">
              <w:rPr>
                <w:rFonts w:asciiTheme="minorHAnsi" w:hAnsiTheme="minorHAnsi"/>
                <w:sz w:val="22"/>
                <w:szCs w:val="22"/>
              </w:rPr>
              <w:t>5</w:t>
            </w:r>
          </w:p>
        </w:tc>
        <w:tc>
          <w:tcPr>
            <w:tcW w:w="770" w:type="pct"/>
            <w:shd w:val="clear" w:color="auto" w:fill="auto"/>
          </w:tcPr>
          <w:p w:rsidR="00785E94" w:rsidRPr="00316061" w:rsidRDefault="00785E94" w:rsidP="00567EA8">
            <w:pPr>
              <w:jc w:val="center"/>
              <w:rPr>
                <w:rFonts w:asciiTheme="minorHAnsi" w:hAnsiTheme="minorHAnsi"/>
                <w:sz w:val="22"/>
                <w:szCs w:val="22"/>
              </w:rPr>
            </w:pPr>
            <w:r w:rsidRPr="00316061">
              <w:rPr>
                <w:rFonts w:asciiTheme="minorHAnsi" w:hAnsiTheme="minorHAnsi"/>
                <w:sz w:val="22"/>
                <w:szCs w:val="22"/>
              </w:rPr>
              <w:t>0</w:t>
            </w:r>
          </w:p>
        </w:tc>
        <w:tc>
          <w:tcPr>
            <w:tcW w:w="864" w:type="pct"/>
            <w:shd w:val="clear" w:color="auto" w:fill="auto"/>
          </w:tcPr>
          <w:p w:rsidR="00785E94" w:rsidRPr="00316061" w:rsidRDefault="00785E94" w:rsidP="00567EA8">
            <w:pPr>
              <w:jc w:val="center"/>
              <w:rPr>
                <w:rFonts w:asciiTheme="minorHAnsi" w:hAnsiTheme="minorHAnsi"/>
                <w:sz w:val="22"/>
                <w:szCs w:val="22"/>
              </w:rPr>
            </w:pPr>
            <w:r w:rsidRPr="00316061">
              <w:rPr>
                <w:rFonts w:asciiTheme="minorHAnsi" w:hAnsiTheme="minorHAnsi"/>
                <w:sz w:val="22"/>
                <w:szCs w:val="22"/>
              </w:rPr>
              <w:t>0</w:t>
            </w:r>
          </w:p>
        </w:tc>
      </w:tr>
    </w:tbl>
    <w:p w:rsidR="003D1A78" w:rsidRPr="00316061" w:rsidRDefault="003D1A78" w:rsidP="00DC1B8D">
      <w:pPr>
        <w:rPr>
          <w:rFonts w:asciiTheme="minorHAnsi" w:hAnsiTheme="minorHAnsi"/>
          <w:sz w:val="22"/>
          <w:szCs w:val="22"/>
        </w:rPr>
      </w:pPr>
    </w:p>
    <w:p w:rsidR="00785E94" w:rsidRPr="00316061" w:rsidRDefault="00785E94" w:rsidP="00785E94">
      <w:pPr>
        <w:pStyle w:val="Heading2"/>
        <w:keepNext w:val="0"/>
        <w:numPr>
          <w:ilvl w:val="1"/>
          <w:numId w:val="7"/>
        </w:numPr>
        <w:tabs>
          <w:tab w:val="num" w:pos="567"/>
        </w:tabs>
        <w:autoSpaceDE w:val="0"/>
        <w:autoSpaceDN w:val="0"/>
        <w:adjustRightInd w:val="0"/>
        <w:spacing w:line="360" w:lineRule="auto"/>
        <w:ind w:left="360" w:hanging="567"/>
        <w:rPr>
          <w:rFonts w:asciiTheme="minorHAnsi" w:hAnsiTheme="minorHAnsi"/>
          <w:sz w:val="22"/>
          <w:szCs w:val="22"/>
        </w:rPr>
      </w:pPr>
      <w:r w:rsidRPr="00316061">
        <w:rPr>
          <w:rFonts w:asciiTheme="minorHAnsi" w:hAnsiTheme="minorHAnsi"/>
          <w:sz w:val="22"/>
          <w:szCs w:val="22"/>
        </w:rPr>
        <w:lastRenderedPageBreak/>
        <w:t>All respondents considere</w:t>
      </w:r>
      <w:r w:rsidR="0060621E" w:rsidRPr="00316061">
        <w:rPr>
          <w:rFonts w:asciiTheme="minorHAnsi" w:hAnsiTheme="minorHAnsi"/>
          <w:sz w:val="22"/>
          <w:szCs w:val="22"/>
        </w:rPr>
        <w:t>d that DCUSA General Objective 3</w:t>
      </w:r>
      <w:r w:rsidRPr="00316061">
        <w:rPr>
          <w:rFonts w:asciiTheme="minorHAnsi" w:hAnsiTheme="minorHAnsi"/>
          <w:sz w:val="22"/>
          <w:szCs w:val="22"/>
        </w:rPr>
        <w:t xml:space="preserve"> was best facilitated by this CP for the following reasons:</w:t>
      </w:r>
    </w:p>
    <w:p w:rsidR="008E2FB2" w:rsidRPr="00316061" w:rsidRDefault="00FC3299" w:rsidP="008E2FB2">
      <w:pPr>
        <w:ind w:left="360"/>
        <w:rPr>
          <w:rFonts w:asciiTheme="minorHAnsi" w:hAnsiTheme="minorHAnsi"/>
          <w:sz w:val="22"/>
          <w:szCs w:val="22"/>
          <w:u w:val="single"/>
        </w:rPr>
      </w:pPr>
      <w:r w:rsidRPr="00316061">
        <w:rPr>
          <w:rFonts w:asciiTheme="minorHAnsi" w:hAnsiTheme="minorHAnsi"/>
          <w:sz w:val="22"/>
          <w:szCs w:val="22"/>
          <w:u w:val="single"/>
        </w:rPr>
        <w:t xml:space="preserve">DCUSA </w:t>
      </w:r>
      <w:r w:rsidR="008E2FB2" w:rsidRPr="00316061">
        <w:rPr>
          <w:rFonts w:asciiTheme="minorHAnsi" w:hAnsiTheme="minorHAnsi"/>
          <w:sz w:val="22"/>
          <w:szCs w:val="22"/>
          <w:u w:val="single"/>
        </w:rPr>
        <w:t>General Objective 3</w:t>
      </w:r>
    </w:p>
    <w:p w:rsidR="008E2FB2" w:rsidRPr="00316061" w:rsidRDefault="008E2FB2" w:rsidP="008E2FB2">
      <w:pPr>
        <w:ind w:left="720"/>
        <w:jc w:val="both"/>
        <w:rPr>
          <w:rFonts w:asciiTheme="minorHAnsi" w:hAnsiTheme="minorHAnsi"/>
          <w:b/>
          <w:sz w:val="22"/>
          <w:szCs w:val="22"/>
          <w:u w:val="single"/>
        </w:rPr>
      </w:pPr>
    </w:p>
    <w:p w:rsidR="008E2FB2" w:rsidRPr="00316061" w:rsidRDefault="008E2FB2" w:rsidP="008E2FB2">
      <w:pPr>
        <w:ind w:left="426"/>
        <w:jc w:val="both"/>
        <w:rPr>
          <w:rFonts w:asciiTheme="minorHAnsi" w:hAnsiTheme="minorHAnsi"/>
          <w:i/>
          <w:sz w:val="22"/>
          <w:szCs w:val="22"/>
        </w:rPr>
      </w:pPr>
      <w:r w:rsidRPr="00316061">
        <w:rPr>
          <w:rFonts w:asciiTheme="minorHAnsi" w:hAnsiTheme="minorHAnsi"/>
          <w:b/>
          <w:sz w:val="22"/>
          <w:szCs w:val="22"/>
        </w:rPr>
        <w:t>“</w:t>
      </w:r>
      <w:r w:rsidRPr="00316061">
        <w:rPr>
          <w:rFonts w:asciiTheme="minorHAnsi" w:hAnsiTheme="minorHAnsi"/>
          <w:i/>
          <w:sz w:val="22"/>
          <w:szCs w:val="22"/>
        </w:rPr>
        <w:t>The efficient discharge by each of the DNO Parties and IDNO Parties of the obligations     imposed upon them by their Distribution Licences”.</w:t>
      </w:r>
    </w:p>
    <w:p w:rsidR="00785E94" w:rsidRPr="00316061" w:rsidRDefault="00785E94" w:rsidP="008E2FB2">
      <w:pPr>
        <w:pStyle w:val="Heading2"/>
        <w:keepNext w:val="0"/>
        <w:numPr>
          <w:ilvl w:val="0"/>
          <w:numId w:val="10"/>
        </w:numPr>
        <w:tabs>
          <w:tab w:val="num" w:pos="567"/>
        </w:tabs>
        <w:spacing w:line="360" w:lineRule="auto"/>
        <w:ind w:hanging="437"/>
        <w:jc w:val="both"/>
        <w:rPr>
          <w:rFonts w:asciiTheme="minorHAnsi" w:hAnsiTheme="minorHAnsi"/>
          <w:sz w:val="22"/>
          <w:szCs w:val="22"/>
        </w:rPr>
      </w:pPr>
      <w:r w:rsidRPr="00316061">
        <w:rPr>
          <w:rFonts w:asciiTheme="minorHAnsi" w:hAnsiTheme="minorHAnsi"/>
          <w:sz w:val="22"/>
          <w:szCs w:val="22"/>
        </w:rPr>
        <w:t xml:space="preserve">This CP discharges an obligation imposed on DNOs Parties under </w:t>
      </w:r>
      <w:proofErr w:type="spellStart"/>
      <w:r w:rsidRPr="00316061">
        <w:rPr>
          <w:rFonts w:asciiTheme="minorHAnsi" w:hAnsiTheme="minorHAnsi"/>
          <w:sz w:val="22"/>
          <w:szCs w:val="22"/>
        </w:rPr>
        <w:t>Ofgems</w:t>
      </w:r>
      <w:proofErr w:type="spellEnd"/>
      <w:r w:rsidRPr="00316061">
        <w:rPr>
          <w:rFonts w:asciiTheme="minorHAnsi" w:hAnsiTheme="minorHAnsi"/>
          <w:sz w:val="22"/>
          <w:szCs w:val="22"/>
        </w:rPr>
        <w:t xml:space="preserve"> RIIO-ED1 proposals</w:t>
      </w:r>
      <w:r w:rsidR="000A763C" w:rsidRPr="00316061">
        <w:rPr>
          <w:rFonts w:asciiTheme="minorHAnsi" w:hAnsiTheme="minorHAnsi"/>
          <w:sz w:val="22"/>
          <w:szCs w:val="22"/>
        </w:rPr>
        <w:t>; and</w:t>
      </w:r>
    </w:p>
    <w:p w:rsidR="0060621E" w:rsidRPr="00316061" w:rsidRDefault="0060621E" w:rsidP="0060621E">
      <w:pPr>
        <w:pStyle w:val="Heading2"/>
        <w:keepNext w:val="0"/>
        <w:numPr>
          <w:ilvl w:val="0"/>
          <w:numId w:val="10"/>
        </w:numPr>
        <w:tabs>
          <w:tab w:val="num" w:pos="567"/>
        </w:tabs>
        <w:spacing w:line="360" w:lineRule="auto"/>
        <w:ind w:hanging="437"/>
        <w:jc w:val="both"/>
        <w:rPr>
          <w:rFonts w:asciiTheme="minorHAnsi" w:hAnsiTheme="minorHAnsi"/>
          <w:sz w:val="22"/>
          <w:szCs w:val="22"/>
        </w:rPr>
      </w:pPr>
      <w:r w:rsidRPr="00316061">
        <w:rPr>
          <w:rFonts w:asciiTheme="minorHAnsi" w:hAnsiTheme="minorHAnsi"/>
          <w:sz w:val="22"/>
          <w:szCs w:val="22"/>
        </w:rPr>
        <w:t xml:space="preserve">If Option C was chosen it would align with the Distribution licence which requires the DNOs to comply with the Distribution Code. </w:t>
      </w:r>
      <w:r w:rsidR="000A763C" w:rsidRPr="00316061">
        <w:rPr>
          <w:rFonts w:asciiTheme="minorHAnsi" w:hAnsiTheme="minorHAnsi"/>
          <w:sz w:val="22"/>
          <w:szCs w:val="22"/>
        </w:rPr>
        <w:t xml:space="preserve">This </w:t>
      </w:r>
      <w:r w:rsidRPr="00316061">
        <w:rPr>
          <w:rFonts w:asciiTheme="minorHAnsi" w:hAnsiTheme="minorHAnsi"/>
          <w:sz w:val="22"/>
          <w:szCs w:val="22"/>
        </w:rPr>
        <w:t xml:space="preserve">includes the right to charge a </w:t>
      </w:r>
      <w:proofErr w:type="spellStart"/>
      <w:r w:rsidRPr="00316061">
        <w:rPr>
          <w:rFonts w:asciiTheme="minorHAnsi" w:hAnsiTheme="minorHAnsi"/>
          <w:sz w:val="22"/>
          <w:szCs w:val="22"/>
        </w:rPr>
        <w:t>connectee</w:t>
      </w:r>
      <w:proofErr w:type="spellEnd"/>
      <w:r w:rsidRPr="00316061">
        <w:rPr>
          <w:rFonts w:asciiTheme="minorHAnsi" w:hAnsiTheme="minorHAnsi"/>
          <w:sz w:val="22"/>
          <w:szCs w:val="22"/>
        </w:rPr>
        <w:t xml:space="preserve"> where the </w:t>
      </w:r>
      <w:proofErr w:type="spellStart"/>
      <w:r w:rsidRPr="00316061">
        <w:rPr>
          <w:rFonts w:asciiTheme="minorHAnsi" w:hAnsiTheme="minorHAnsi"/>
          <w:sz w:val="22"/>
          <w:szCs w:val="22"/>
        </w:rPr>
        <w:t>connectee’s</w:t>
      </w:r>
      <w:proofErr w:type="spellEnd"/>
      <w:r w:rsidRPr="00316061">
        <w:rPr>
          <w:rFonts w:asciiTheme="minorHAnsi" w:hAnsiTheme="minorHAnsi"/>
          <w:sz w:val="22"/>
          <w:szCs w:val="22"/>
        </w:rPr>
        <w:t xml:space="preserve"> behaviour causes an increase in costs</w:t>
      </w:r>
      <w:r w:rsidR="000A763C" w:rsidRPr="00316061">
        <w:rPr>
          <w:rFonts w:asciiTheme="minorHAnsi" w:hAnsiTheme="minorHAnsi"/>
          <w:sz w:val="22"/>
          <w:szCs w:val="22"/>
        </w:rPr>
        <w:t>. It is suggested that the solution should be ali</w:t>
      </w:r>
      <w:r w:rsidRPr="00316061">
        <w:rPr>
          <w:rFonts w:asciiTheme="minorHAnsi" w:hAnsiTheme="minorHAnsi"/>
          <w:sz w:val="22"/>
          <w:szCs w:val="22"/>
        </w:rPr>
        <w:t>gn</w:t>
      </w:r>
      <w:r w:rsidR="000A763C" w:rsidRPr="00316061">
        <w:rPr>
          <w:rFonts w:asciiTheme="minorHAnsi" w:hAnsiTheme="minorHAnsi"/>
          <w:sz w:val="22"/>
          <w:szCs w:val="22"/>
        </w:rPr>
        <w:t>ed</w:t>
      </w:r>
      <w:r w:rsidRPr="00316061">
        <w:rPr>
          <w:rFonts w:asciiTheme="minorHAnsi" w:hAnsiTheme="minorHAnsi"/>
          <w:sz w:val="22"/>
          <w:szCs w:val="22"/>
        </w:rPr>
        <w:t xml:space="preserve"> with the circumstances where a DNO can disconnect or discont</w:t>
      </w:r>
      <w:r w:rsidR="000A763C" w:rsidRPr="00316061">
        <w:rPr>
          <w:rFonts w:asciiTheme="minorHAnsi" w:hAnsiTheme="minorHAnsi"/>
          <w:sz w:val="22"/>
          <w:szCs w:val="22"/>
        </w:rPr>
        <w:t xml:space="preserve">inue the supply to the premises and </w:t>
      </w:r>
      <w:r w:rsidRPr="00316061">
        <w:rPr>
          <w:rFonts w:asciiTheme="minorHAnsi" w:hAnsiTheme="minorHAnsi"/>
          <w:sz w:val="22"/>
          <w:szCs w:val="22"/>
        </w:rPr>
        <w:t>with the princip</w:t>
      </w:r>
      <w:r w:rsidR="000A763C" w:rsidRPr="00316061">
        <w:rPr>
          <w:rFonts w:asciiTheme="minorHAnsi" w:hAnsiTheme="minorHAnsi"/>
          <w:sz w:val="22"/>
          <w:szCs w:val="22"/>
        </w:rPr>
        <w:t>les of the D</w:t>
      </w:r>
      <w:r w:rsidRPr="00316061">
        <w:rPr>
          <w:rFonts w:asciiTheme="minorHAnsi" w:hAnsiTheme="minorHAnsi"/>
          <w:sz w:val="22"/>
          <w:szCs w:val="22"/>
        </w:rPr>
        <w:t xml:space="preserve">istribution code and the </w:t>
      </w:r>
      <w:r w:rsidR="00991170" w:rsidRPr="00316061">
        <w:rPr>
          <w:rFonts w:asciiTheme="minorHAnsi" w:hAnsiTheme="minorHAnsi"/>
          <w:sz w:val="22"/>
          <w:szCs w:val="22"/>
        </w:rPr>
        <w:t>Electrical, Safety, Quality and Continuity Regulations (</w:t>
      </w:r>
      <w:r w:rsidRPr="00316061">
        <w:rPr>
          <w:rFonts w:asciiTheme="minorHAnsi" w:hAnsiTheme="minorHAnsi"/>
          <w:sz w:val="22"/>
          <w:szCs w:val="22"/>
        </w:rPr>
        <w:t>ESQCR</w:t>
      </w:r>
      <w:r w:rsidR="00991170" w:rsidRPr="00316061">
        <w:rPr>
          <w:rFonts w:asciiTheme="minorHAnsi" w:hAnsiTheme="minorHAnsi"/>
          <w:sz w:val="22"/>
          <w:szCs w:val="22"/>
        </w:rPr>
        <w:t>)</w:t>
      </w:r>
      <w:r w:rsidRPr="00316061">
        <w:rPr>
          <w:rFonts w:asciiTheme="minorHAnsi" w:hAnsiTheme="minorHAnsi"/>
          <w:sz w:val="22"/>
          <w:szCs w:val="22"/>
        </w:rPr>
        <w:t>.</w:t>
      </w:r>
    </w:p>
    <w:p w:rsidR="00E02BEC" w:rsidRPr="00316061" w:rsidRDefault="00E02BEC" w:rsidP="00E02BEC">
      <w:pPr>
        <w:pStyle w:val="Heading2"/>
        <w:keepNext w:val="0"/>
        <w:numPr>
          <w:ilvl w:val="1"/>
          <w:numId w:val="7"/>
        </w:numPr>
        <w:tabs>
          <w:tab w:val="num" w:pos="567"/>
        </w:tabs>
        <w:autoSpaceDE w:val="0"/>
        <w:autoSpaceDN w:val="0"/>
        <w:adjustRightInd w:val="0"/>
        <w:spacing w:line="360" w:lineRule="auto"/>
        <w:ind w:left="360" w:hanging="567"/>
        <w:rPr>
          <w:rFonts w:asciiTheme="minorHAnsi" w:hAnsiTheme="minorHAnsi"/>
          <w:sz w:val="22"/>
          <w:szCs w:val="22"/>
          <w:highlight w:val="yellow"/>
        </w:rPr>
      </w:pPr>
      <w:r w:rsidRPr="00316061">
        <w:rPr>
          <w:rFonts w:asciiTheme="minorHAnsi" w:hAnsiTheme="minorHAnsi"/>
          <w:sz w:val="22"/>
          <w:szCs w:val="22"/>
          <w:highlight w:val="yellow"/>
        </w:rPr>
        <w:t>The Working Group</w:t>
      </w:r>
      <w:r w:rsidR="00765BC8" w:rsidRPr="00316061">
        <w:rPr>
          <w:rFonts w:asciiTheme="minorHAnsi" w:hAnsiTheme="minorHAnsi"/>
          <w:sz w:val="22"/>
          <w:szCs w:val="22"/>
          <w:highlight w:val="yellow"/>
        </w:rPr>
        <w:t xml:space="preserve"> noted that all respondents agreed on the Objectives best met by the DCP 205 CP. The Working Group considered </w:t>
      </w:r>
      <w:r w:rsidRPr="00316061">
        <w:rPr>
          <w:rFonts w:asciiTheme="minorHAnsi" w:hAnsiTheme="minorHAnsi"/>
          <w:sz w:val="22"/>
          <w:szCs w:val="22"/>
          <w:highlight w:val="yellow"/>
        </w:rPr>
        <w:t>that DCUSA General Objectives ………and………</w:t>
      </w:r>
      <w:r w:rsidR="008E57FC" w:rsidRPr="00316061">
        <w:rPr>
          <w:rFonts w:asciiTheme="minorHAnsi" w:hAnsiTheme="minorHAnsi"/>
          <w:sz w:val="22"/>
          <w:szCs w:val="22"/>
          <w:highlight w:val="yellow"/>
        </w:rPr>
        <w:t xml:space="preserve">.. </w:t>
      </w:r>
      <w:proofErr w:type="gramStart"/>
      <w:r w:rsidR="008E57FC" w:rsidRPr="00316061">
        <w:rPr>
          <w:rFonts w:asciiTheme="minorHAnsi" w:hAnsiTheme="minorHAnsi"/>
          <w:sz w:val="22"/>
          <w:szCs w:val="22"/>
          <w:highlight w:val="yellow"/>
        </w:rPr>
        <w:t>a</w:t>
      </w:r>
      <w:r w:rsidRPr="00316061">
        <w:rPr>
          <w:rFonts w:asciiTheme="minorHAnsi" w:hAnsiTheme="minorHAnsi"/>
          <w:sz w:val="22"/>
          <w:szCs w:val="22"/>
          <w:highlight w:val="yellow"/>
        </w:rPr>
        <w:t>re</w:t>
      </w:r>
      <w:proofErr w:type="gramEnd"/>
      <w:r w:rsidRPr="00316061">
        <w:rPr>
          <w:rFonts w:asciiTheme="minorHAnsi" w:hAnsiTheme="minorHAnsi"/>
          <w:sz w:val="22"/>
          <w:szCs w:val="22"/>
          <w:highlight w:val="yellow"/>
        </w:rPr>
        <w:t xml:space="preserve"> better facilitated by this CP as</w:t>
      </w:r>
    </w:p>
    <w:p w:rsidR="00CB16D9" w:rsidRPr="00316061" w:rsidRDefault="003D1A78" w:rsidP="00CB16D9">
      <w:pPr>
        <w:pStyle w:val="Heading2"/>
        <w:keepNext w:val="0"/>
        <w:widowControl w:val="0"/>
        <w:tabs>
          <w:tab w:val="clear" w:pos="360"/>
        </w:tabs>
        <w:spacing w:line="360" w:lineRule="auto"/>
        <w:ind w:left="1560" w:hanging="1560"/>
        <w:jc w:val="both"/>
        <w:rPr>
          <w:rFonts w:asciiTheme="minorHAnsi" w:hAnsiTheme="minorHAnsi"/>
          <w:b/>
          <w:sz w:val="22"/>
          <w:szCs w:val="22"/>
          <w:u w:val="single"/>
        </w:rPr>
      </w:pPr>
      <w:r w:rsidRPr="00316061">
        <w:rPr>
          <w:rFonts w:asciiTheme="minorHAnsi" w:hAnsiTheme="minorHAnsi"/>
          <w:b/>
          <w:sz w:val="22"/>
          <w:szCs w:val="22"/>
          <w:u w:val="single"/>
        </w:rPr>
        <w:t>Question 5:</w:t>
      </w:r>
      <w:r w:rsidRPr="00316061">
        <w:rPr>
          <w:rFonts w:asciiTheme="minorHAnsi" w:hAnsiTheme="minorHAnsi"/>
          <w:b/>
          <w:sz w:val="22"/>
          <w:szCs w:val="22"/>
          <w:u w:val="single"/>
        </w:rPr>
        <w:tab/>
      </w:r>
      <w:r w:rsidR="00CB16D9" w:rsidRPr="00316061">
        <w:rPr>
          <w:rFonts w:asciiTheme="minorHAnsi" w:hAnsiTheme="minorHAnsi"/>
          <w:b/>
          <w:sz w:val="22"/>
          <w:szCs w:val="22"/>
          <w:u w:val="single"/>
        </w:rPr>
        <w:t>Do you consider that the proposal better facilitates the DCUSA Charging Objectives? Please give supporting reasons.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234"/>
        <w:gridCol w:w="1419"/>
        <w:gridCol w:w="1417"/>
        <w:gridCol w:w="1387"/>
        <w:gridCol w:w="1556"/>
      </w:tblGrid>
      <w:tr w:rsidR="007E30B1" w:rsidRPr="00316061" w:rsidTr="00567EA8">
        <w:trPr>
          <w:cantSplit/>
          <w:trHeight w:val="1539"/>
        </w:trPr>
        <w:tc>
          <w:tcPr>
            <w:tcW w:w="1106" w:type="pct"/>
            <w:shd w:val="pct65" w:color="auto" w:fill="auto"/>
            <w:vAlign w:val="bottom"/>
          </w:tcPr>
          <w:p w:rsidR="007E30B1" w:rsidRPr="00316061" w:rsidRDefault="007E30B1" w:rsidP="00567EA8">
            <w:pPr>
              <w:jc w:val="center"/>
              <w:rPr>
                <w:rFonts w:asciiTheme="minorHAnsi" w:hAnsiTheme="minorHAnsi"/>
                <w:b/>
                <w:color w:val="FFFFFF"/>
                <w:sz w:val="22"/>
                <w:szCs w:val="22"/>
              </w:rPr>
            </w:pPr>
            <w:r w:rsidRPr="00316061">
              <w:rPr>
                <w:rFonts w:asciiTheme="minorHAnsi" w:hAnsiTheme="minorHAnsi"/>
                <w:b/>
                <w:color w:val="FFFFFF"/>
                <w:sz w:val="22"/>
                <w:szCs w:val="22"/>
              </w:rPr>
              <w:t>Respondent Party Type</w:t>
            </w:r>
          </w:p>
        </w:tc>
        <w:tc>
          <w:tcPr>
            <w:tcW w:w="685" w:type="pct"/>
            <w:shd w:val="pct65" w:color="auto" w:fill="auto"/>
            <w:textDirection w:val="btLr"/>
          </w:tcPr>
          <w:p w:rsidR="007E30B1" w:rsidRPr="00316061" w:rsidRDefault="007E30B1"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1</w:t>
            </w:r>
          </w:p>
        </w:tc>
        <w:tc>
          <w:tcPr>
            <w:tcW w:w="788" w:type="pct"/>
            <w:shd w:val="pct65" w:color="auto" w:fill="auto"/>
            <w:textDirection w:val="btLr"/>
          </w:tcPr>
          <w:p w:rsidR="007E30B1" w:rsidRPr="00316061" w:rsidRDefault="007E30B1"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2</w:t>
            </w:r>
          </w:p>
        </w:tc>
        <w:tc>
          <w:tcPr>
            <w:tcW w:w="787" w:type="pct"/>
            <w:shd w:val="pct65" w:color="auto" w:fill="auto"/>
            <w:textDirection w:val="btLr"/>
          </w:tcPr>
          <w:p w:rsidR="007E30B1" w:rsidRPr="00316061" w:rsidRDefault="007E30B1"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3</w:t>
            </w:r>
          </w:p>
        </w:tc>
        <w:tc>
          <w:tcPr>
            <w:tcW w:w="770" w:type="pct"/>
            <w:shd w:val="pct65" w:color="auto" w:fill="auto"/>
            <w:textDirection w:val="btLr"/>
          </w:tcPr>
          <w:p w:rsidR="007E30B1" w:rsidRPr="00316061" w:rsidRDefault="007E30B1"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4</w:t>
            </w:r>
          </w:p>
        </w:tc>
        <w:tc>
          <w:tcPr>
            <w:tcW w:w="864" w:type="pct"/>
            <w:shd w:val="pct65" w:color="auto" w:fill="auto"/>
            <w:textDirection w:val="btLr"/>
          </w:tcPr>
          <w:p w:rsidR="007E30B1" w:rsidRPr="00316061" w:rsidRDefault="007E30B1" w:rsidP="00567EA8">
            <w:pPr>
              <w:ind w:left="113" w:right="113"/>
              <w:rPr>
                <w:rFonts w:asciiTheme="minorHAnsi" w:hAnsiTheme="minorHAnsi"/>
                <w:b/>
                <w:color w:val="FFFFFF"/>
                <w:sz w:val="22"/>
                <w:szCs w:val="22"/>
              </w:rPr>
            </w:pPr>
            <w:r w:rsidRPr="00316061">
              <w:rPr>
                <w:rFonts w:asciiTheme="minorHAnsi" w:hAnsiTheme="minorHAnsi"/>
                <w:b/>
                <w:color w:val="FFFFFF"/>
                <w:sz w:val="22"/>
                <w:szCs w:val="22"/>
              </w:rPr>
              <w:t>Objective 5</w:t>
            </w:r>
          </w:p>
        </w:tc>
      </w:tr>
      <w:tr w:rsidR="007E30B1" w:rsidRPr="00316061" w:rsidTr="00567EA8">
        <w:tc>
          <w:tcPr>
            <w:tcW w:w="1106" w:type="pct"/>
            <w:shd w:val="clear" w:color="auto" w:fill="auto"/>
          </w:tcPr>
          <w:p w:rsidR="007E30B1" w:rsidRPr="00316061" w:rsidRDefault="007E30B1" w:rsidP="00567EA8">
            <w:pPr>
              <w:rPr>
                <w:rFonts w:asciiTheme="minorHAnsi" w:hAnsiTheme="minorHAnsi"/>
                <w:b/>
                <w:sz w:val="22"/>
                <w:szCs w:val="22"/>
              </w:rPr>
            </w:pPr>
            <w:r w:rsidRPr="00316061">
              <w:rPr>
                <w:rFonts w:asciiTheme="minorHAnsi" w:hAnsiTheme="minorHAnsi"/>
                <w:b/>
                <w:sz w:val="22"/>
                <w:szCs w:val="22"/>
              </w:rPr>
              <w:t>DNOs</w:t>
            </w:r>
          </w:p>
        </w:tc>
        <w:tc>
          <w:tcPr>
            <w:tcW w:w="685" w:type="pct"/>
            <w:shd w:val="clear" w:color="auto" w:fill="auto"/>
          </w:tcPr>
          <w:p w:rsidR="007E30B1" w:rsidRPr="00316061" w:rsidRDefault="00FC3299" w:rsidP="00567EA8">
            <w:pPr>
              <w:jc w:val="center"/>
              <w:rPr>
                <w:rFonts w:asciiTheme="minorHAnsi" w:hAnsiTheme="minorHAnsi"/>
                <w:sz w:val="22"/>
                <w:szCs w:val="22"/>
              </w:rPr>
            </w:pPr>
            <w:r w:rsidRPr="00316061">
              <w:rPr>
                <w:rFonts w:asciiTheme="minorHAnsi" w:hAnsiTheme="minorHAnsi"/>
                <w:sz w:val="22"/>
                <w:szCs w:val="22"/>
              </w:rPr>
              <w:t>5</w:t>
            </w:r>
          </w:p>
        </w:tc>
        <w:tc>
          <w:tcPr>
            <w:tcW w:w="788" w:type="pct"/>
            <w:shd w:val="clear" w:color="auto" w:fill="auto"/>
          </w:tcPr>
          <w:p w:rsidR="007E30B1" w:rsidRPr="00316061" w:rsidRDefault="007E30B1" w:rsidP="00567EA8">
            <w:pPr>
              <w:jc w:val="center"/>
              <w:rPr>
                <w:rFonts w:asciiTheme="minorHAnsi" w:hAnsiTheme="minorHAnsi"/>
                <w:sz w:val="22"/>
                <w:szCs w:val="22"/>
              </w:rPr>
            </w:pPr>
            <w:r w:rsidRPr="00316061">
              <w:rPr>
                <w:rFonts w:asciiTheme="minorHAnsi" w:hAnsiTheme="minorHAnsi"/>
                <w:sz w:val="22"/>
                <w:szCs w:val="22"/>
              </w:rPr>
              <w:t>0</w:t>
            </w:r>
          </w:p>
        </w:tc>
        <w:tc>
          <w:tcPr>
            <w:tcW w:w="787" w:type="pct"/>
            <w:shd w:val="clear" w:color="auto" w:fill="auto"/>
          </w:tcPr>
          <w:p w:rsidR="007E30B1" w:rsidRPr="00316061" w:rsidRDefault="00FC3299" w:rsidP="00567EA8">
            <w:pPr>
              <w:jc w:val="center"/>
              <w:rPr>
                <w:rFonts w:asciiTheme="minorHAnsi" w:hAnsiTheme="minorHAnsi"/>
                <w:sz w:val="22"/>
                <w:szCs w:val="22"/>
              </w:rPr>
            </w:pPr>
            <w:r w:rsidRPr="00316061">
              <w:rPr>
                <w:rFonts w:asciiTheme="minorHAnsi" w:hAnsiTheme="minorHAnsi"/>
                <w:sz w:val="22"/>
                <w:szCs w:val="22"/>
              </w:rPr>
              <w:t>o</w:t>
            </w:r>
          </w:p>
        </w:tc>
        <w:tc>
          <w:tcPr>
            <w:tcW w:w="770" w:type="pct"/>
            <w:shd w:val="clear" w:color="auto" w:fill="auto"/>
          </w:tcPr>
          <w:p w:rsidR="007E30B1" w:rsidRPr="00316061" w:rsidRDefault="007E30B1" w:rsidP="00567EA8">
            <w:pPr>
              <w:jc w:val="center"/>
              <w:rPr>
                <w:rFonts w:asciiTheme="minorHAnsi" w:hAnsiTheme="minorHAnsi"/>
                <w:sz w:val="22"/>
                <w:szCs w:val="22"/>
              </w:rPr>
            </w:pPr>
            <w:r w:rsidRPr="00316061">
              <w:rPr>
                <w:rFonts w:asciiTheme="minorHAnsi" w:hAnsiTheme="minorHAnsi"/>
                <w:sz w:val="22"/>
                <w:szCs w:val="22"/>
              </w:rPr>
              <w:t>0</w:t>
            </w:r>
          </w:p>
        </w:tc>
        <w:tc>
          <w:tcPr>
            <w:tcW w:w="864" w:type="pct"/>
            <w:shd w:val="clear" w:color="auto" w:fill="auto"/>
          </w:tcPr>
          <w:p w:rsidR="007E30B1" w:rsidRPr="00316061" w:rsidRDefault="007E30B1" w:rsidP="00567EA8">
            <w:pPr>
              <w:jc w:val="center"/>
              <w:rPr>
                <w:rFonts w:asciiTheme="minorHAnsi" w:hAnsiTheme="minorHAnsi"/>
                <w:sz w:val="22"/>
                <w:szCs w:val="22"/>
              </w:rPr>
            </w:pPr>
            <w:r w:rsidRPr="00316061">
              <w:rPr>
                <w:rFonts w:asciiTheme="minorHAnsi" w:hAnsiTheme="minorHAnsi"/>
                <w:sz w:val="22"/>
                <w:szCs w:val="22"/>
              </w:rPr>
              <w:t>0</w:t>
            </w:r>
          </w:p>
        </w:tc>
      </w:tr>
    </w:tbl>
    <w:p w:rsidR="007E30B1" w:rsidRPr="00316061" w:rsidRDefault="007E30B1" w:rsidP="007E30B1">
      <w:pPr>
        <w:rPr>
          <w:rFonts w:asciiTheme="minorHAnsi" w:hAnsiTheme="minorHAnsi"/>
          <w:sz w:val="22"/>
          <w:szCs w:val="22"/>
        </w:rPr>
      </w:pPr>
    </w:p>
    <w:p w:rsidR="00FC3299" w:rsidRPr="00316061" w:rsidRDefault="00FC3299" w:rsidP="00C969E5">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All respondents agreed that this CP better facilitates DCUSA Charging Objective 1 for the following reasons:</w:t>
      </w:r>
    </w:p>
    <w:p w:rsidR="00FC3299" w:rsidRPr="00316061" w:rsidRDefault="00FC3299" w:rsidP="00FC3299">
      <w:pPr>
        <w:pStyle w:val="ListParagraph"/>
        <w:ind w:left="360"/>
        <w:rPr>
          <w:rFonts w:asciiTheme="minorHAnsi" w:hAnsiTheme="minorHAnsi"/>
          <w:sz w:val="22"/>
          <w:szCs w:val="22"/>
          <w:u w:val="single"/>
        </w:rPr>
      </w:pPr>
      <w:r w:rsidRPr="00316061">
        <w:rPr>
          <w:rFonts w:asciiTheme="minorHAnsi" w:hAnsiTheme="minorHAnsi"/>
          <w:sz w:val="22"/>
          <w:szCs w:val="22"/>
          <w:u w:val="single"/>
        </w:rPr>
        <w:t>DCUSA Charging Objective 1</w:t>
      </w:r>
    </w:p>
    <w:p w:rsidR="00FC3299" w:rsidRPr="00316061" w:rsidRDefault="00FC3299" w:rsidP="00FC3299">
      <w:pPr>
        <w:rPr>
          <w:rFonts w:asciiTheme="minorHAnsi" w:hAnsiTheme="minorHAnsi"/>
          <w:sz w:val="22"/>
          <w:szCs w:val="22"/>
        </w:rPr>
      </w:pPr>
    </w:p>
    <w:p w:rsidR="00E02BEC" w:rsidRPr="00316061" w:rsidRDefault="00E02BEC" w:rsidP="00E02BEC">
      <w:pPr>
        <w:ind w:left="360"/>
        <w:jc w:val="both"/>
        <w:rPr>
          <w:rFonts w:asciiTheme="minorHAnsi" w:hAnsiTheme="minorHAnsi"/>
          <w:i/>
          <w:sz w:val="22"/>
          <w:szCs w:val="22"/>
        </w:rPr>
      </w:pPr>
      <w:r w:rsidRPr="00316061">
        <w:rPr>
          <w:rFonts w:asciiTheme="minorHAnsi" w:hAnsiTheme="minorHAnsi"/>
          <w:i/>
          <w:sz w:val="22"/>
          <w:szCs w:val="22"/>
        </w:rPr>
        <w:t>“That compliance by each DNO Party with the Charging Methodologies facilitates the discharge by the DNO Party of the obligations imposed on it under the Act and by its Distribution Licence”</w:t>
      </w:r>
    </w:p>
    <w:p w:rsidR="00E02BEC" w:rsidRPr="00316061" w:rsidRDefault="00E02BEC" w:rsidP="00FC3299">
      <w:pPr>
        <w:rPr>
          <w:rFonts w:asciiTheme="minorHAnsi" w:hAnsiTheme="minorHAnsi"/>
          <w:sz w:val="22"/>
          <w:szCs w:val="22"/>
        </w:rPr>
      </w:pPr>
    </w:p>
    <w:p w:rsidR="00E02BEC" w:rsidRPr="00316061" w:rsidRDefault="00E02BEC" w:rsidP="00E02BEC">
      <w:pPr>
        <w:pStyle w:val="ListParagraph"/>
        <w:numPr>
          <w:ilvl w:val="0"/>
          <w:numId w:val="26"/>
        </w:numPr>
        <w:autoSpaceDE w:val="0"/>
        <w:autoSpaceDN w:val="0"/>
        <w:adjustRightInd w:val="0"/>
        <w:ind w:left="1134" w:hanging="425"/>
        <w:rPr>
          <w:rFonts w:asciiTheme="minorHAnsi" w:hAnsiTheme="minorHAnsi" w:cs="Verdana"/>
          <w:color w:val="000000"/>
          <w:sz w:val="22"/>
          <w:szCs w:val="22"/>
        </w:rPr>
      </w:pPr>
      <w:r w:rsidRPr="00316061">
        <w:rPr>
          <w:rFonts w:asciiTheme="minorHAnsi" w:hAnsiTheme="minorHAnsi" w:cs="Arial"/>
          <w:bCs/>
          <w:iCs/>
          <w:sz w:val="22"/>
          <w:szCs w:val="22"/>
        </w:rPr>
        <w:lastRenderedPageBreak/>
        <w:t>This CP brings the Connection Charging Methodology into line with an objective of the RIIO ED1 proposals thus better facilitating DCUSA Charging Objective 1</w:t>
      </w:r>
      <w:r w:rsidRPr="00316061">
        <w:rPr>
          <w:rFonts w:asciiTheme="minorHAnsi" w:hAnsiTheme="minorHAnsi" w:cs="Verdana"/>
          <w:color w:val="000000"/>
          <w:sz w:val="22"/>
          <w:szCs w:val="22"/>
        </w:rPr>
        <w:t xml:space="preserve">. </w:t>
      </w:r>
    </w:p>
    <w:p w:rsidR="00E02BEC" w:rsidRPr="00316061" w:rsidRDefault="00E02BEC" w:rsidP="00FC3299">
      <w:pPr>
        <w:rPr>
          <w:rFonts w:asciiTheme="minorHAnsi" w:hAnsiTheme="minorHAnsi"/>
          <w:sz w:val="22"/>
          <w:szCs w:val="22"/>
        </w:rPr>
      </w:pPr>
    </w:p>
    <w:p w:rsidR="008E57FC" w:rsidRPr="00316061" w:rsidRDefault="00765BC8" w:rsidP="008E57FC">
      <w:pPr>
        <w:pStyle w:val="Heading2"/>
        <w:keepNext w:val="0"/>
        <w:numPr>
          <w:ilvl w:val="1"/>
          <w:numId w:val="7"/>
        </w:numPr>
        <w:tabs>
          <w:tab w:val="num" w:pos="567"/>
        </w:tabs>
        <w:autoSpaceDE w:val="0"/>
        <w:autoSpaceDN w:val="0"/>
        <w:adjustRightInd w:val="0"/>
        <w:spacing w:line="360" w:lineRule="auto"/>
        <w:ind w:left="360" w:hanging="567"/>
        <w:rPr>
          <w:rFonts w:asciiTheme="minorHAnsi" w:hAnsiTheme="minorHAnsi"/>
          <w:sz w:val="22"/>
          <w:szCs w:val="22"/>
          <w:highlight w:val="yellow"/>
        </w:rPr>
      </w:pPr>
      <w:r w:rsidRPr="00316061">
        <w:rPr>
          <w:rFonts w:asciiTheme="minorHAnsi" w:hAnsiTheme="minorHAnsi"/>
          <w:sz w:val="22"/>
          <w:szCs w:val="22"/>
          <w:highlight w:val="yellow"/>
        </w:rPr>
        <w:t xml:space="preserve">The Working Group noted that all respondents agreed on the Objectives best met by the DCP 205 CP.  </w:t>
      </w:r>
      <w:r w:rsidR="008E57FC" w:rsidRPr="00316061">
        <w:rPr>
          <w:rFonts w:asciiTheme="minorHAnsi" w:hAnsiTheme="minorHAnsi"/>
          <w:sz w:val="22"/>
          <w:szCs w:val="22"/>
          <w:highlight w:val="yellow"/>
        </w:rPr>
        <w:t xml:space="preserve">The Working Group </w:t>
      </w:r>
      <w:r w:rsidRPr="00316061">
        <w:rPr>
          <w:rFonts w:asciiTheme="minorHAnsi" w:hAnsiTheme="minorHAnsi"/>
          <w:sz w:val="22"/>
          <w:szCs w:val="22"/>
          <w:highlight w:val="yellow"/>
        </w:rPr>
        <w:t xml:space="preserve">considered </w:t>
      </w:r>
      <w:r w:rsidR="008E57FC" w:rsidRPr="00316061">
        <w:rPr>
          <w:rFonts w:asciiTheme="minorHAnsi" w:hAnsiTheme="minorHAnsi"/>
          <w:sz w:val="22"/>
          <w:szCs w:val="22"/>
          <w:highlight w:val="yellow"/>
        </w:rPr>
        <w:t xml:space="preserve">that DCUSA Charging Objectives ………and……….. </w:t>
      </w:r>
      <w:proofErr w:type="gramStart"/>
      <w:r w:rsidR="008E57FC" w:rsidRPr="00316061">
        <w:rPr>
          <w:rFonts w:asciiTheme="minorHAnsi" w:hAnsiTheme="minorHAnsi"/>
          <w:sz w:val="22"/>
          <w:szCs w:val="22"/>
          <w:highlight w:val="yellow"/>
        </w:rPr>
        <w:t>are</w:t>
      </w:r>
      <w:proofErr w:type="gramEnd"/>
      <w:r w:rsidR="008E57FC" w:rsidRPr="00316061">
        <w:rPr>
          <w:rFonts w:asciiTheme="minorHAnsi" w:hAnsiTheme="minorHAnsi"/>
          <w:sz w:val="22"/>
          <w:szCs w:val="22"/>
          <w:highlight w:val="yellow"/>
        </w:rPr>
        <w:t xml:space="preserve"> better facilitated by this CP as</w:t>
      </w:r>
    </w:p>
    <w:p w:rsidR="003D1A78" w:rsidRPr="00316061" w:rsidRDefault="003D1A78" w:rsidP="00594294">
      <w:pPr>
        <w:pStyle w:val="Heading2"/>
        <w:keepNext w:val="0"/>
        <w:widowControl w:val="0"/>
        <w:tabs>
          <w:tab w:val="clear" w:pos="360"/>
        </w:tabs>
        <w:spacing w:line="360" w:lineRule="auto"/>
        <w:ind w:left="1560" w:hanging="1560"/>
        <w:jc w:val="both"/>
        <w:rPr>
          <w:rFonts w:asciiTheme="minorHAnsi" w:hAnsiTheme="minorHAnsi"/>
          <w:b/>
          <w:bCs w:val="0"/>
          <w:iCs w:val="0"/>
          <w:sz w:val="22"/>
          <w:szCs w:val="22"/>
          <w:u w:val="single"/>
        </w:rPr>
      </w:pPr>
      <w:r w:rsidRPr="00316061">
        <w:rPr>
          <w:rFonts w:asciiTheme="minorHAnsi" w:hAnsiTheme="minorHAnsi"/>
          <w:b/>
          <w:sz w:val="22"/>
          <w:szCs w:val="22"/>
          <w:u w:val="single"/>
        </w:rPr>
        <w:t>Question 6:</w:t>
      </w:r>
      <w:r w:rsidRPr="00316061">
        <w:rPr>
          <w:rFonts w:asciiTheme="minorHAnsi" w:hAnsiTheme="minorHAnsi"/>
          <w:b/>
          <w:sz w:val="22"/>
          <w:szCs w:val="22"/>
          <w:u w:val="single"/>
        </w:rPr>
        <w:tab/>
      </w:r>
      <w:r w:rsidR="00765BC8" w:rsidRPr="00316061">
        <w:rPr>
          <w:rFonts w:asciiTheme="minorHAnsi" w:hAnsiTheme="minorHAnsi"/>
          <w:b/>
          <w:bCs w:val="0"/>
          <w:iCs w:val="0"/>
          <w:sz w:val="22"/>
          <w:szCs w:val="22"/>
          <w:u w:val="single"/>
        </w:rPr>
        <w:t>Are there any unintended consequences of this proposal?</w:t>
      </w:r>
    </w:p>
    <w:p w:rsidR="00922FBC" w:rsidRPr="00316061" w:rsidRDefault="00922FBC" w:rsidP="00922FB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There were 5 respondents to this question. Two respondents did not have any unintended consequences to highlight to the group. One respondent referred to their response to question eight. The Working Group </w:t>
      </w:r>
      <w:proofErr w:type="gramStart"/>
      <w:r w:rsidR="005260D7" w:rsidRPr="00316061">
        <w:rPr>
          <w:rFonts w:asciiTheme="minorHAnsi" w:hAnsiTheme="minorHAnsi"/>
          <w:sz w:val="22"/>
          <w:szCs w:val="22"/>
        </w:rPr>
        <w:t>respond</w:t>
      </w:r>
      <w:proofErr w:type="gramEnd"/>
      <w:r w:rsidR="005260D7" w:rsidRPr="00316061">
        <w:rPr>
          <w:rFonts w:asciiTheme="minorHAnsi" w:hAnsiTheme="minorHAnsi"/>
          <w:sz w:val="22"/>
          <w:szCs w:val="22"/>
        </w:rPr>
        <w:t xml:space="preserve"> to that </w:t>
      </w:r>
      <w:r w:rsidRPr="00316061">
        <w:rPr>
          <w:rFonts w:asciiTheme="minorHAnsi" w:hAnsiTheme="minorHAnsi"/>
          <w:sz w:val="22"/>
          <w:szCs w:val="22"/>
        </w:rPr>
        <w:t xml:space="preserve">DNO’s </w:t>
      </w:r>
      <w:r w:rsidR="005260D7" w:rsidRPr="00316061">
        <w:rPr>
          <w:rFonts w:asciiTheme="minorHAnsi" w:hAnsiTheme="minorHAnsi"/>
          <w:sz w:val="22"/>
          <w:szCs w:val="22"/>
        </w:rPr>
        <w:t xml:space="preserve">answer </w:t>
      </w:r>
      <w:r w:rsidRPr="00316061">
        <w:rPr>
          <w:rFonts w:asciiTheme="minorHAnsi" w:hAnsiTheme="minorHAnsi"/>
          <w:sz w:val="22"/>
          <w:szCs w:val="22"/>
        </w:rPr>
        <w:t xml:space="preserve">at question eight. </w:t>
      </w:r>
    </w:p>
    <w:p w:rsidR="00922FBC" w:rsidRPr="00316061" w:rsidRDefault="00922FBC" w:rsidP="00922FB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One respondent noted that if Option D was chosen then an unintended consequence could be that the </w:t>
      </w:r>
      <w:proofErr w:type="spellStart"/>
      <w:r w:rsidRPr="00316061">
        <w:rPr>
          <w:rFonts w:asciiTheme="minorHAnsi" w:hAnsiTheme="minorHAnsi"/>
          <w:sz w:val="22"/>
          <w:szCs w:val="22"/>
        </w:rPr>
        <w:t>DUoS</w:t>
      </w:r>
      <w:proofErr w:type="spellEnd"/>
      <w:r w:rsidRPr="00316061">
        <w:rPr>
          <w:rFonts w:asciiTheme="minorHAnsi" w:hAnsiTheme="minorHAnsi"/>
          <w:sz w:val="22"/>
          <w:szCs w:val="22"/>
        </w:rPr>
        <w:t xml:space="preserve"> customers will end up paying for the installation of equipment that they would not have previously paid for.</w:t>
      </w:r>
    </w:p>
    <w:p w:rsidR="0067625D" w:rsidRPr="00316061" w:rsidRDefault="0067625D" w:rsidP="0067625D">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Another DNO respondent cited the ESQCR 2002 25 (1), (2) and (3) and how it should be applied to this change. This respondent considered that under the licence and Distribution code it was clear that the customer will have to make a request to connect additional equipment when it is in excess of their connection agreement and could cause problems for other customers. This respondent considered that th</w:t>
      </w:r>
      <w:r w:rsidR="005260D7" w:rsidRPr="00316061">
        <w:rPr>
          <w:rFonts w:asciiTheme="minorHAnsi" w:hAnsiTheme="minorHAnsi"/>
          <w:sz w:val="22"/>
          <w:szCs w:val="22"/>
        </w:rPr>
        <w:t>is</w:t>
      </w:r>
      <w:r w:rsidRPr="00316061">
        <w:rPr>
          <w:rFonts w:asciiTheme="minorHAnsi" w:hAnsiTheme="minorHAnsi"/>
          <w:sz w:val="22"/>
          <w:szCs w:val="22"/>
        </w:rPr>
        <w:t xml:space="preserve"> DCUSA modification should be aligned with </w:t>
      </w:r>
      <w:r w:rsidR="005260D7" w:rsidRPr="00316061">
        <w:rPr>
          <w:rFonts w:asciiTheme="minorHAnsi" w:hAnsiTheme="minorHAnsi"/>
          <w:sz w:val="22"/>
          <w:szCs w:val="22"/>
        </w:rPr>
        <w:t>the connection agreement, ESQCR, the licence and the Distribution code</w:t>
      </w:r>
      <w:r w:rsidRPr="00316061">
        <w:rPr>
          <w:rFonts w:asciiTheme="minorHAnsi" w:hAnsiTheme="minorHAnsi"/>
          <w:sz w:val="22"/>
          <w:szCs w:val="22"/>
        </w:rPr>
        <w:t>.</w:t>
      </w:r>
    </w:p>
    <w:p w:rsidR="00922FBC" w:rsidRPr="00316061" w:rsidRDefault="005260D7" w:rsidP="005260D7">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Working Group agreed that the ESQCR regulations would apply and the DNO would have the right to disconnect the equipment and carry out the remedial work required. However, the ESQCR does not define who should pay for this work.</w:t>
      </w:r>
    </w:p>
    <w:p w:rsidR="008E57FC" w:rsidRPr="00316061" w:rsidRDefault="006E523C" w:rsidP="008E57FC">
      <w:pPr>
        <w:pStyle w:val="Heading2"/>
        <w:keepNext w:val="0"/>
        <w:widowControl w:val="0"/>
        <w:tabs>
          <w:tab w:val="clear" w:pos="360"/>
          <w:tab w:val="num" w:pos="1134"/>
          <w:tab w:val="num" w:pos="1440"/>
        </w:tabs>
        <w:spacing w:line="360" w:lineRule="auto"/>
        <w:ind w:left="1560" w:hanging="1560"/>
        <w:jc w:val="both"/>
        <w:rPr>
          <w:rFonts w:asciiTheme="minorHAnsi" w:hAnsiTheme="minorHAnsi"/>
          <w:b/>
          <w:bCs w:val="0"/>
          <w:iCs w:val="0"/>
          <w:sz w:val="22"/>
          <w:szCs w:val="22"/>
          <w:u w:val="single"/>
        </w:rPr>
      </w:pPr>
      <w:r w:rsidRPr="00316061">
        <w:rPr>
          <w:rFonts w:asciiTheme="minorHAnsi" w:hAnsiTheme="minorHAnsi"/>
          <w:b/>
          <w:sz w:val="22"/>
          <w:szCs w:val="22"/>
          <w:u w:val="single"/>
        </w:rPr>
        <w:t>Question 7:</w:t>
      </w:r>
      <w:r w:rsidRPr="00316061">
        <w:rPr>
          <w:rFonts w:asciiTheme="minorHAnsi" w:hAnsiTheme="minorHAnsi"/>
          <w:b/>
          <w:sz w:val="22"/>
          <w:szCs w:val="22"/>
          <w:u w:val="single"/>
        </w:rPr>
        <w:tab/>
      </w:r>
      <w:r w:rsidR="008E57FC" w:rsidRPr="00316061">
        <w:rPr>
          <w:rFonts w:asciiTheme="minorHAnsi" w:hAnsiTheme="minorHAnsi"/>
          <w:b/>
          <w:bCs w:val="0"/>
          <w:iCs w:val="0"/>
          <w:sz w:val="22"/>
          <w:szCs w:val="22"/>
          <w:u w:val="single"/>
        </w:rPr>
        <w:t>Are there any</w:t>
      </w:r>
      <w:r w:rsidR="00765BC8" w:rsidRPr="00316061">
        <w:rPr>
          <w:rFonts w:asciiTheme="minorHAnsi" w:hAnsiTheme="minorHAnsi"/>
          <w:b/>
          <w:bCs w:val="0"/>
          <w:iCs w:val="0"/>
          <w:sz w:val="22"/>
          <w:szCs w:val="22"/>
          <w:u w:val="single"/>
        </w:rPr>
        <w:t xml:space="preserve"> alternative solutions or matters that should be considered</w:t>
      </w:r>
      <w:r w:rsidR="008E57FC" w:rsidRPr="00316061">
        <w:rPr>
          <w:rFonts w:asciiTheme="minorHAnsi" w:hAnsiTheme="minorHAnsi"/>
          <w:b/>
          <w:bCs w:val="0"/>
          <w:iCs w:val="0"/>
          <w:sz w:val="22"/>
          <w:szCs w:val="22"/>
          <w:u w:val="single"/>
        </w:rPr>
        <w:t>?</w:t>
      </w:r>
    </w:p>
    <w:p w:rsidR="005260D7" w:rsidRPr="00316061" w:rsidRDefault="005260D7" w:rsidP="00C969E5">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Four of the five respondents had no further comments.</w:t>
      </w:r>
      <w:r w:rsidR="003D1A78" w:rsidRPr="00316061">
        <w:rPr>
          <w:rFonts w:asciiTheme="minorHAnsi" w:hAnsiTheme="minorHAnsi"/>
          <w:sz w:val="22"/>
          <w:szCs w:val="22"/>
        </w:rPr>
        <w:t xml:space="preserve"> </w:t>
      </w:r>
      <w:r w:rsidRPr="00316061">
        <w:rPr>
          <w:rFonts w:asciiTheme="minorHAnsi" w:hAnsiTheme="minorHAnsi"/>
          <w:sz w:val="22"/>
          <w:szCs w:val="22"/>
        </w:rPr>
        <w:t>One DNO respondent</w:t>
      </w:r>
      <w:r w:rsidR="006C05D0" w:rsidRPr="00316061">
        <w:rPr>
          <w:rFonts w:asciiTheme="minorHAnsi" w:hAnsiTheme="minorHAnsi"/>
          <w:sz w:val="22"/>
          <w:szCs w:val="22"/>
        </w:rPr>
        <w:t xml:space="preserve"> advised that an alternative matter to be considered was a potential change to the N</w:t>
      </w:r>
      <w:r w:rsidR="006E523C" w:rsidRPr="00316061">
        <w:rPr>
          <w:rFonts w:asciiTheme="minorHAnsi" w:hAnsiTheme="minorHAnsi"/>
          <w:sz w:val="22"/>
          <w:szCs w:val="22"/>
        </w:rPr>
        <w:t xml:space="preserve">ational Terms of Connection as whole current metered customers are not required to comply with the Distribution code in the same </w:t>
      </w:r>
      <w:r w:rsidR="00763239" w:rsidRPr="00316061">
        <w:rPr>
          <w:rFonts w:asciiTheme="minorHAnsi" w:hAnsiTheme="minorHAnsi"/>
          <w:sz w:val="22"/>
          <w:szCs w:val="22"/>
        </w:rPr>
        <w:t xml:space="preserve">way </w:t>
      </w:r>
      <w:r w:rsidR="006E523C" w:rsidRPr="00316061">
        <w:rPr>
          <w:rFonts w:asciiTheme="minorHAnsi" w:hAnsiTheme="minorHAnsi"/>
          <w:sz w:val="22"/>
          <w:szCs w:val="22"/>
        </w:rPr>
        <w:t xml:space="preserve">as CP metered customers are. Instead whole current metered customers are only required to be in compliance with the code in relation to generation equipment. This respondent wondered if equipment such as </w:t>
      </w:r>
      <w:r w:rsidR="006E523C" w:rsidRPr="00316061">
        <w:rPr>
          <w:rFonts w:asciiTheme="minorHAnsi" w:hAnsiTheme="minorHAnsi" w:cs="Verdana"/>
          <w:color w:val="000000"/>
          <w:sz w:val="22"/>
          <w:szCs w:val="22"/>
        </w:rPr>
        <w:t>photo-</w:t>
      </w:r>
      <w:proofErr w:type="spellStart"/>
      <w:r w:rsidR="006E523C" w:rsidRPr="00316061">
        <w:rPr>
          <w:rFonts w:asciiTheme="minorHAnsi" w:hAnsiTheme="minorHAnsi" w:cs="Verdana"/>
          <w:color w:val="000000"/>
          <w:sz w:val="22"/>
          <w:szCs w:val="22"/>
        </w:rPr>
        <w:t>voltaics</w:t>
      </w:r>
      <w:proofErr w:type="spellEnd"/>
      <w:r w:rsidR="006E523C" w:rsidRPr="00316061">
        <w:rPr>
          <w:rFonts w:asciiTheme="minorHAnsi" w:hAnsiTheme="minorHAnsi" w:cs="Verdana"/>
          <w:color w:val="000000"/>
          <w:sz w:val="22"/>
          <w:szCs w:val="22"/>
        </w:rPr>
        <w:t xml:space="preserve">, heat pumps, electric vehicle charging points and other low carbon technologies were in existence at the time of the legal drafting applied for whole current metered customers and </w:t>
      </w:r>
      <w:r w:rsidR="006E523C" w:rsidRPr="00316061">
        <w:rPr>
          <w:rFonts w:asciiTheme="minorHAnsi" w:hAnsiTheme="minorHAnsi" w:cs="Verdana"/>
          <w:color w:val="000000"/>
          <w:sz w:val="22"/>
          <w:szCs w:val="22"/>
        </w:rPr>
        <w:lastRenderedPageBreak/>
        <w:t xml:space="preserve">suggested that </w:t>
      </w:r>
      <w:r w:rsidR="006E523C" w:rsidRPr="00316061">
        <w:rPr>
          <w:rFonts w:asciiTheme="minorHAnsi" w:hAnsiTheme="minorHAnsi"/>
          <w:sz w:val="22"/>
          <w:szCs w:val="22"/>
        </w:rPr>
        <w:t>National Terms of Connection</w:t>
      </w:r>
      <w:r w:rsidR="006E523C" w:rsidRPr="00316061">
        <w:rPr>
          <w:rFonts w:asciiTheme="minorHAnsi" w:hAnsiTheme="minorHAnsi" w:cs="Verdana"/>
          <w:color w:val="000000"/>
          <w:sz w:val="22"/>
          <w:szCs w:val="22"/>
        </w:rPr>
        <w:t xml:space="preserve"> be revised to comply with wording in the Distribution code of it “shall be complied with by the DNO and by potential and existing Generators, Suppliers and Customers connected to or seeking connection to the DNO’s Distribution System”.</w:t>
      </w:r>
    </w:p>
    <w:p w:rsidR="005260D7" w:rsidRPr="00316061" w:rsidRDefault="00763239" w:rsidP="00763239">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Working Group noted the response but considered it to be outside of the scope of this change.</w:t>
      </w:r>
    </w:p>
    <w:p w:rsidR="008E57FC" w:rsidRPr="00316061" w:rsidRDefault="003D1A78" w:rsidP="008E57FC">
      <w:pPr>
        <w:pStyle w:val="Heading2"/>
        <w:keepNext w:val="0"/>
        <w:widowControl w:val="0"/>
        <w:tabs>
          <w:tab w:val="clear" w:pos="360"/>
          <w:tab w:val="num" w:pos="1134"/>
          <w:tab w:val="num" w:pos="1440"/>
        </w:tabs>
        <w:spacing w:line="360" w:lineRule="auto"/>
        <w:ind w:left="1560" w:hanging="1560"/>
        <w:jc w:val="both"/>
        <w:rPr>
          <w:rFonts w:asciiTheme="minorHAnsi" w:hAnsiTheme="minorHAnsi"/>
          <w:sz w:val="22"/>
          <w:szCs w:val="22"/>
        </w:rPr>
      </w:pPr>
      <w:r w:rsidRPr="00316061">
        <w:rPr>
          <w:rFonts w:asciiTheme="minorHAnsi" w:hAnsiTheme="minorHAnsi"/>
          <w:b/>
          <w:sz w:val="22"/>
          <w:szCs w:val="22"/>
          <w:u w:val="single"/>
        </w:rPr>
        <w:t xml:space="preserve">Question 8: </w:t>
      </w:r>
      <w:r w:rsidRPr="00316061">
        <w:rPr>
          <w:rFonts w:asciiTheme="minorHAnsi" w:hAnsiTheme="minorHAnsi"/>
          <w:b/>
          <w:sz w:val="22"/>
          <w:szCs w:val="22"/>
          <w:u w:val="single"/>
        </w:rPr>
        <w:tab/>
      </w:r>
      <w:r w:rsidRPr="00316061">
        <w:rPr>
          <w:rFonts w:asciiTheme="minorHAnsi" w:hAnsiTheme="minorHAnsi"/>
          <w:b/>
          <w:bCs w:val="0"/>
          <w:iCs w:val="0"/>
          <w:sz w:val="22"/>
          <w:szCs w:val="22"/>
          <w:u w:val="single"/>
        </w:rPr>
        <w:tab/>
      </w:r>
      <w:r w:rsidR="008E57FC" w:rsidRPr="00316061">
        <w:rPr>
          <w:rFonts w:asciiTheme="minorHAnsi" w:hAnsiTheme="minorHAnsi"/>
          <w:b/>
          <w:bCs w:val="0"/>
          <w:iCs w:val="0"/>
          <w:sz w:val="22"/>
          <w:szCs w:val="22"/>
          <w:u w:val="single"/>
        </w:rPr>
        <w:t>Please state any other comments or views on the Change Proposal.</w:t>
      </w:r>
    </w:p>
    <w:p w:rsidR="001C15F5" w:rsidRPr="00316061" w:rsidRDefault="001C15F5" w:rsidP="00C969E5">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There were five respondents to this question. Two respondents stated that no other comments or views to add. One respondent stated that they would like to see this change implemented on the 01 April 2015.</w:t>
      </w:r>
    </w:p>
    <w:p w:rsidR="001C15F5" w:rsidRPr="00316061" w:rsidRDefault="001C15F5" w:rsidP="001C15F5">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One of the respondents stated their understanding of the solution provided by the DCP 205 CP and advised that ‘the industry needs to avoid creating a charging policy that would effectively nullify the requirement for customers to avoid installing equipment that is disruptive in its nature and by its design’.</w:t>
      </w:r>
    </w:p>
    <w:p w:rsidR="001C15F5" w:rsidRPr="00316061" w:rsidRDefault="001C15F5" w:rsidP="00C969E5">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Another respondent noted that they did not understand paragraph 3.2 of the consultation document in relation to </w:t>
      </w:r>
      <w:r w:rsidR="00E3040A" w:rsidRPr="00316061">
        <w:rPr>
          <w:rFonts w:asciiTheme="minorHAnsi" w:hAnsiTheme="minorHAnsi"/>
          <w:sz w:val="22"/>
          <w:szCs w:val="22"/>
        </w:rPr>
        <w:t>‘</w:t>
      </w:r>
      <w:r w:rsidRPr="00316061">
        <w:rPr>
          <w:rFonts w:asciiTheme="minorHAnsi" w:hAnsiTheme="minorHAnsi"/>
          <w:sz w:val="22"/>
          <w:szCs w:val="22"/>
        </w:rPr>
        <w:t>Relevant Customers</w:t>
      </w:r>
      <w:r w:rsidR="00E3040A" w:rsidRPr="00316061">
        <w:rPr>
          <w:rFonts w:asciiTheme="minorHAnsi" w:hAnsiTheme="minorHAnsi"/>
          <w:sz w:val="22"/>
          <w:szCs w:val="22"/>
        </w:rPr>
        <w:t>’</w:t>
      </w:r>
      <w:r w:rsidRPr="00316061">
        <w:rPr>
          <w:rFonts w:asciiTheme="minorHAnsi" w:hAnsiTheme="minorHAnsi"/>
          <w:sz w:val="22"/>
          <w:szCs w:val="22"/>
        </w:rPr>
        <w:t xml:space="preserve"> and noted that proposed new standard licence condition 13C included </w:t>
      </w:r>
      <w:r w:rsidRPr="00316061">
        <w:rPr>
          <w:rFonts w:asciiTheme="minorHAnsi" w:hAnsiTheme="minorHAnsi"/>
          <w:i/>
          <w:sz w:val="22"/>
          <w:szCs w:val="22"/>
        </w:rPr>
        <w:t xml:space="preserve">“the provision for Relevant Customer’ being an ‘owner or occupier of premises’”. </w:t>
      </w:r>
      <w:r w:rsidRPr="00316061">
        <w:rPr>
          <w:rFonts w:asciiTheme="minorHAnsi" w:hAnsiTheme="minorHAnsi"/>
          <w:sz w:val="22"/>
          <w:szCs w:val="22"/>
        </w:rPr>
        <w:t>This respondent point</w:t>
      </w:r>
      <w:r w:rsidR="00E3040A" w:rsidRPr="00316061">
        <w:rPr>
          <w:rFonts w:asciiTheme="minorHAnsi" w:hAnsiTheme="minorHAnsi"/>
          <w:sz w:val="22"/>
          <w:szCs w:val="22"/>
        </w:rPr>
        <w:t>ed</w:t>
      </w:r>
      <w:r w:rsidRPr="00316061">
        <w:rPr>
          <w:rFonts w:asciiTheme="minorHAnsi" w:hAnsiTheme="minorHAnsi"/>
          <w:sz w:val="22"/>
          <w:szCs w:val="22"/>
        </w:rPr>
        <w:t xml:space="preserve"> out that the legal drafting proposed by DCP 205 did not include this terminology.</w:t>
      </w:r>
    </w:p>
    <w:p w:rsidR="001C15F5" w:rsidRPr="00316061" w:rsidRDefault="001C15F5" w:rsidP="00E3040A">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respondent</w:t>
      </w:r>
      <w:r w:rsidR="00E3040A" w:rsidRPr="00316061">
        <w:rPr>
          <w:rFonts w:asciiTheme="minorHAnsi" w:hAnsiTheme="minorHAnsi"/>
          <w:sz w:val="22"/>
          <w:szCs w:val="22"/>
        </w:rPr>
        <w:t xml:space="preserve"> further</w:t>
      </w:r>
      <w:r w:rsidRPr="00316061">
        <w:rPr>
          <w:rFonts w:asciiTheme="minorHAnsi" w:hAnsiTheme="minorHAnsi"/>
          <w:sz w:val="22"/>
          <w:szCs w:val="22"/>
        </w:rPr>
        <w:t xml:space="preserve"> suggested that </w:t>
      </w:r>
      <w:r w:rsidR="00E3040A" w:rsidRPr="00316061">
        <w:rPr>
          <w:rFonts w:asciiTheme="minorHAnsi" w:hAnsiTheme="minorHAnsi"/>
          <w:sz w:val="22"/>
          <w:szCs w:val="22"/>
        </w:rPr>
        <w:t>whe</w:t>
      </w:r>
      <w:r w:rsidRPr="00316061">
        <w:rPr>
          <w:rFonts w:asciiTheme="minorHAnsi" w:hAnsiTheme="minorHAnsi"/>
          <w:sz w:val="22"/>
          <w:szCs w:val="22"/>
        </w:rPr>
        <w:t>r</w:t>
      </w:r>
      <w:r w:rsidR="00E3040A" w:rsidRPr="00316061">
        <w:rPr>
          <w:rFonts w:asciiTheme="minorHAnsi" w:hAnsiTheme="minorHAnsi"/>
          <w:sz w:val="22"/>
          <w:szCs w:val="22"/>
        </w:rPr>
        <w:t>e</w:t>
      </w:r>
      <w:r w:rsidRPr="00316061">
        <w:rPr>
          <w:rFonts w:asciiTheme="minorHAnsi" w:hAnsiTheme="minorHAnsi"/>
          <w:sz w:val="22"/>
          <w:szCs w:val="22"/>
        </w:rPr>
        <w:t xml:space="preserve"> proposed paragraph 1</w:t>
      </w:r>
      <w:r w:rsidR="00E3040A" w:rsidRPr="00316061">
        <w:rPr>
          <w:rFonts w:asciiTheme="minorHAnsi" w:hAnsiTheme="minorHAnsi"/>
          <w:sz w:val="22"/>
          <w:szCs w:val="22"/>
        </w:rPr>
        <w:t>.</w:t>
      </w:r>
      <w:r w:rsidRPr="00316061">
        <w:rPr>
          <w:rFonts w:asciiTheme="minorHAnsi" w:hAnsiTheme="minorHAnsi"/>
          <w:sz w:val="22"/>
          <w:szCs w:val="22"/>
        </w:rPr>
        <w:t xml:space="preserve">31 uses the </w:t>
      </w:r>
      <w:r w:rsidR="00E3040A" w:rsidRPr="00316061">
        <w:rPr>
          <w:rFonts w:asciiTheme="minorHAnsi" w:hAnsiTheme="minorHAnsi"/>
          <w:sz w:val="22"/>
          <w:szCs w:val="22"/>
        </w:rPr>
        <w:t xml:space="preserve">wording </w:t>
      </w:r>
      <w:r w:rsidR="00E3040A" w:rsidRPr="00316061">
        <w:rPr>
          <w:rFonts w:asciiTheme="minorHAnsi" w:hAnsiTheme="minorHAnsi"/>
          <w:i/>
          <w:sz w:val="22"/>
          <w:szCs w:val="22"/>
        </w:rPr>
        <w:t>“….made by a single applicant”</w:t>
      </w:r>
      <w:r w:rsidR="00E3040A" w:rsidRPr="00316061">
        <w:rPr>
          <w:rFonts w:asciiTheme="minorHAnsi" w:hAnsiTheme="minorHAnsi"/>
          <w:sz w:val="22"/>
          <w:szCs w:val="22"/>
        </w:rPr>
        <w:t xml:space="preserve"> it is replaced </w:t>
      </w:r>
      <w:r w:rsidR="00E3040A" w:rsidRPr="00316061">
        <w:rPr>
          <w:rFonts w:asciiTheme="minorHAnsi" w:hAnsiTheme="minorHAnsi"/>
          <w:i/>
          <w:sz w:val="22"/>
          <w:szCs w:val="22"/>
        </w:rPr>
        <w:t>with “….for a single owner or occupier”</w:t>
      </w:r>
      <w:r w:rsidR="00E3040A" w:rsidRPr="00316061">
        <w:rPr>
          <w:rFonts w:asciiTheme="minorHAnsi" w:hAnsiTheme="minorHAnsi"/>
          <w:sz w:val="22"/>
          <w:szCs w:val="22"/>
        </w:rPr>
        <w:t xml:space="preserve">. The respondent considered that this change in wording would act to protect against any unintended consequences involving speculative multiple applications made by parties other than an owner or occupier.    </w:t>
      </w:r>
    </w:p>
    <w:p w:rsidR="001C15F5" w:rsidRPr="00316061" w:rsidRDefault="00E3040A" w:rsidP="00E3040A">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Working Group noted the responses.</w:t>
      </w:r>
    </w:p>
    <w:p w:rsidR="00001E06" w:rsidRPr="00316061" w:rsidRDefault="00001E06" w:rsidP="00001E06">
      <w:pPr>
        <w:pStyle w:val="Heading1"/>
        <w:keepNext w:val="0"/>
        <w:numPr>
          <w:ilvl w:val="0"/>
          <w:numId w:val="7"/>
        </w:numPr>
        <w:spacing w:line="360" w:lineRule="auto"/>
        <w:jc w:val="both"/>
        <w:rPr>
          <w:rFonts w:asciiTheme="minorHAnsi" w:hAnsiTheme="minorHAnsi"/>
          <w:sz w:val="22"/>
          <w:szCs w:val="22"/>
        </w:rPr>
      </w:pPr>
      <w:r w:rsidRPr="00316061">
        <w:rPr>
          <w:rFonts w:asciiTheme="minorHAnsi" w:hAnsiTheme="minorHAnsi"/>
          <w:sz w:val="22"/>
          <w:szCs w:val="22"/>
        </w:rPr>
        <w:t>DCP 205 CONSULTATION TWO</w:t>
      </w:r>
    </w:p>
    <w:p w:rsidR="00001E06" w:rsidRPr="00316061" w:rsidRDefault="00001E06" w:rsidP="00001E06">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Following further discussions on the responses to consultation two, the legal text was drafted and the Working Group agreed to pose further questions to Parties to gain further insight into this CP and to gain feedback on the proposed legal text. There were eight </w:t>
      </w:r>
      <w:r w:rsidRPr="00316061">
        <w:rPr>
          <w:rFonts w:asciiTheme="minorHAnsi" w:hAnsiTheme="minorHAnsi"/>
          <w:sz w:val="22"/>
          <w:szCs w:val="22"/>
        </w:rPr>
        <w:lastRenderedPageBreak/>
        <w:t>respondents to DCP 205 consultation two</w:t>
      </w:r>
      <w:r w:rsidR="00E716DC" w:rsidRPr="00316061">
        <w:rPr>
          <w:rFonts w:asciiTheme="minorHAnsi" w:hAnsiTheme="minorHAnsi"/>
          <w:sz w:val="22"/>
          <w:szCs w:val="22"/>
        </w:rPr>
        <w:t>.</w:t>
      </w:r>
      <w:r w:rsidR="001047C9" w:rsidRPr="00316061">
        <w:rPr>
          <w:rFonts w:asciiTheme="minorHAnsi" w:hAnsiTheme="minorHAnsi"/>
          <w:sz w:val="22"/>
          <w:szCs w:val="22"/>
        </w:rPr>
        <w:t xml:space="preserve"> There was one consultant and one IDNO respondent, two</w:t>
      </w:r>
      <w:r w:rsidR="00E716DC" w:rsidRPr="00316061">
        <w:rPr>
          <w:rFonts w:asciiTheme="minorHAnsi" w:hAnsiTheme="minorHAnsi"/>
          <w:sz w:val="22"/>
          <w:szCs w:val="22"/>
        </w:rPr>
        <w:t xml:space="preserve"> </w:t>
      </w:r>
      <w:r w:rsidR="001047C9" w:rsidRPr="00316061">
        <w:rPr>
          <w:rFonts w:asciiTheme="minorHAnsi" w:hAnsiTheme="minorHAnsi"/>
          <w:sz w:val="22"/>
          <w:szCs w:val="22"/>
        </w:rPr>
        <w:t xml:space="preserve">trade </w:t>
      </w:r>
      <w:r w:rsidR="00310329" w:rsidRPr="00316061">
        <w:rPr>
          <w:rFonts w:asciiTheme="minorHAnsi" w:hAnsiTheme="minorHAnsi"/>
          <w:sz w:val="22"/>
          <w:szCs w:val="22"/>
        </w:rPr>
        <w:t>associations’</w:t>
      </w:r>
      <w:r w:rsidR="001047C9" w:rsidRPr="00316061">
        <w:rPr>
          <w:rFonts w:asciiTheme="minorHAnsi" w:hAnsiTheme="minorHAnsi"/>
          <w:sz w:val="22"/>
          <w:szCs w:val="22"/>
        </w:rPr>
        <w:t xml:space="preserve"> respondents </w:t>
      </w:r>
      <w:r w:rsidR="00E716DC" w:rsidRPr="00316061">
        <w:rPr>
          <w:rFonts w:asciiTheme="minorHAnsi" w:hAnsiTheme="minorHAnsi"/>
          <w:sz w:val="22"/>
          <w:szCs w:val="22"/>
        </w:rPr>
        <w:t xml:space="preserve">and </w:t>
      </w:r>
      <w:r w:rsidRPr="00316061">
        <w:rPr>
          <w:rFonts w:asciiTheme="minorHAnsi" w:hAnsiTheme="minorHAnsi"/>
          <w:sz w:val="22"/>
          <w:szCs w:val="22"/>
        </w:rPr>
        <w:t>four respondents were</w:t>
      </w:r>
      <w:r w:rsidR="00E716DC" w:rsidRPr="00316061">
        <w:rPr>
          <w:rFonts w:asciiTheme="minorHAnsi" w:hAnsiTheme="minorHAnsi"/>
          <w:sz w:val="22"/>
          <w:szCs w:val="22"/>
        </w:rPr>
        <w:t xml:space="preserve"> Distributors</w:t>
      </w:r>
      <w:r w:rsidRPr="00316061">
        <w:rPr>
          <w:rFonts w:asciiTheme="minorHAnsi" w:hAnsiTheme="minorHAnsi"/>
          <w:sz w:val="22"/>
          <w:szCs w:val="22"/>
        </w:rPr>
        <w:t>. The Working Group discussed each response and its comments are summarised alongside the collated Consultation responses in Attachment 5. A summary of the responses received, and the Working Group’s conclusions are set out below</w:t>
      </w:r>
      <w:r w:rsidR="00310329" w:rsidRPr="00316061">
        <w:rPr>
          <w:rFonts w:asciiTheme="minorHAnsi" w:hAnsiTheme="minorHAnsi"/>
          <w:sz w:val="22"/>
          <w:szCs w:val="22"/>
        </w:rPr>
        <w:t>.</w:t>
      </w:r>
    </w:p>
    <w:p w:rsidR="00E64CE5" w:rsidRPr="00316061" w:rsidRDefault="00E64CE5" w:rsidP="00E64CE5">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t xml:space="preserve">Question 1: </w:t>
      </w:r>
      <w:r w:rsidRPr="00316061">
        <w:rPr>
          <w:rFonts w:asciiTheme="minorHAnsi" w:hAnsiTheme="minorHAnsi"/>
          <w:b/>
          <w:sz w:val="22"/>
          <w:szCs w:val="22"/>
          <w:u w:val="single"/>
        </w:rPr>
        <w:tab/>
      </w:r>
      <w:r w:rsidRPr="00316061">
        <w:rPr>
          <w:rFonts w:asciiTheme="minorHAnsi" w:hAnsiTheme="minorHAnsi"/>
          <w:b/>
          <w:sz w:val="22"/>
          <w:szCs w:val="22"/>
          <w:u w:val="single"/>
        </w:rPr>
        <w:tab/>
        <w:t>Do you have any comments on the proposed DCP 205 Change Proposal draft legal text?</w:t>
      </w:r>
    </w:p>
    <w:p w:rsidR="00FD0216" w:rsidRPr="00316061" w:rsidRDefault="008B374F" w:rsidP="007D759E">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There were nine</w:t>
      </w:r>
      <w:r w:rsidR="00FD0216" w:rsidRPr="00316061">
        <w:rPr>
          <w:rFonts w:asciiTheme="minorHAnsi" w:hAnsiTheme="minorHAnsi"/>
          <w:sz w:val="22"/>
          <w:szCs w:val="22"/>
        </w:rPr>
        <w:t xml:space="preserve"> r</w:t>
      </w:r>
      <w:r w:rsidRPr="00316061">
        <w:rPr>
          <w:rFonts w:asciiTheme="minorHAnsi" w:hAnsiTheme="minorHAnsi"/>
          <w:sz w:val="22"/>
          <w:szCs w:val="22"/>
        </w:rPr>
        <w:t xml:space="preserve">espondents to this question. </w:t>
      </w:r>
      <w:r w:rsidR="00F751A3" w:rsidRPr="00316061">
        <w:rPr>
          <w:rFonts w:asciiTheme="minorHAnsi" w:hAnsiTheme="minorHAnsi"/>
          <w:sz w:val="22"/>
          <w:szCs w:val="22"/>
        </w:rPr>
        <w:t>Out of a total of five DNO respondents, t</w:t>
      </w:r>
      <w:r w:rsidRPr="00316061">
        <w:rPr>
          <w:rFonts w:asciiTheme="minorHAnsi" w:hAnsiTheme="minorHAnsi"/>
          <w:sz w:val="22"/>
          <w:szCs w:val="22"/>
        </w:rPr>
        <w:t>hree</w:t>
      </w:r>
      <w:r w:rsidR="00FD0216" w:rsidRPr="00316061">
        <w:rPr>
          <w:rFonts w:asciiTheme="minorHAnsi" w:hAnsiTheme="minorHAnsi"/>
          <w:sz w:val="22"/>
          <w:szCs w:val="22"/>
        </w:rPr>
        <w:t xml:space="preserve"> DNO respondents had no further comments.</w:t>
      </w:r>
      <w:r w:rsidR="00F751A3" w:rsidRPr="00316061">
        <w:rPr>
          <w:rFonts w:asciiTheme="minorHAnsi" w:hAnsiTheme="minorHAnsi"/>
          <w:sz w:val="22"/>
          <w:szCs w:val="22"/>
        </w:rPr>
        <w:t xml:space="preserve"> One DNO respondent suggested that although they understood the intent of the change, it was not sufficiently clear in the legal text drafting and suggested that the Working Group consider reviewing the legal text in respect of  the wording </w:t>
      </w:r>
      <w:r w:rsidR="00F751A3" w:rsidRPr="00316061">
        <w:rPr>
          <w:rFonts w:asciiTheme="minorHAnsi" w:hAnsiTheme="minorHAnsi"/>
          <w:i/>
          <w:sz w:val="22"/>
          <w:szCs w:val="22"/>
        </w:rPr>
        <w:t>““and where relevant” condition and the linkage of the bullet point items”</w:t>
      </w:r>
      <w:r w:rsidR="00F751A3" w:rsidRPr="00316061">
        <w:rPr>
          <w:rFonts w:asciiTheme="minorHAnsi" w:hAnsiTheme="minorHAnsi"/>
          <w:sz w:val="22"/>
          <w:szCs w:val="22"/>
        </w:rPr>
        <w:t xml:space="preserve"> in Clause 1.30A.</w:t>
      </w:r>
    </w:p>
    <w:p w:rsidR="007D759E" w:rsidRPr="00316061" w:rsidRDefault="00D6256F" w:rsidP="007D759E">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Another DNO respondent </w:t>
      </w:r>
      <w:r w:rsidR="007D759E" w:rsidRPr="00316061">
        <w:rPr>
          <w:rFonts w:asciiTheme="minorHAnsi" w:hAnsiTheme="minorHAnsi"/>
          <w:sz w:val="22"/>
          <w:szCs w:val="22"/>
        </w:rPr>
        <w:t xml:space="preserve">recommended that the Working Group check the legal status of the quoted standards as EN 61000-3-2 is part of the European 'EMC-directive', which must be complied with. </w:t>
      </w:r>
      <w:r w:rsidR="007D759E" w:rsidRPr="00316061">
        <w:rPr>
          <w:rFonts w:asciiTheme="minorHAnsi" w:hAnsiTheme="minorHAnsi"/>
          <w:i/>
          <w:sz w:val="22"/>
          <w:szCs w:val="22"/>
        </w:rPr>
        <w:t xml:space="preserve">“The EMC directive covers most electronic and electrical equipment destined for sale in the EU. It is important to comply with the EMC directive if someone wishes to CE Mark their product”. </w:t>
      </w:r>
      <w:r w:rsidR="007D759E" w:rsidRPr="00316061">
        <w:rPr>
          <w:rFonts w:asciiTheme="minorHAnsi" w:hAnsiTheme="minorHAnsi"/>
          <w:sz w:val="22"/>
          <w:szCs w:val="22"/>
        </w:rPr>
        <w:t xml:space="preserve">This respondent asked the Working Group to consider </w:t>
      </w:r>
      <w:r w:rsidR="00F85882" w:rsidRPr="00316061">
        <w:rPr>
          <w:rFonts w:asciiTheme="minorHAnsi" w:hAnsiTheme="minorHAnsi"/>
          <w:sz w:val="22"/>
          <w:szCs w:val="22"/>
        </w:rPr>
        <w:t xml:space="preserve">how the policy introduced by this legal text would impact upon </w:t>
      </w:r>
      <w:r w:rsidR="007D759E" w:rsidRPr="00316061">
        <w:rPr>
          <w:rFonts w:asciiTheme="minorHAnsi" w:hAnsiTheme="minorHAnsi"/>
          <w:sz w:val="22"/>
          <w:szCs w:val="22"/>
        </w:rPr>
        <w:t>the treatment of a manufacturer of a non-compliant product and the treatment of a customer who wishes install a non-compliant product.</w:t>
      </w:r>
    </w:p>
    <w:p w:rsidR="002F447E" w:rsidRPr="00316061" w:rsidRDefault="00F85882" w:rsidP="00F85882">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IDNO respondent quoted Paragraph 3.36 of Ofgem’s RI</w:t>
      </w:r>
      <w:r w:rsidR="00D45288">
        <w:rPr>
          <w:rFonts w:asciiTheme="minorHAnsi" w:hAnsiTheme="minorHAnsi"/>
          <w:sz w:val="22"/>
          <w:szCs w:val="22"/>
        </w:rPr>
        <w:t>IO-</w:t>
      </w:r>
      <w:r w:rsidRPr="00316061">
        <w:rPr>
          <w:rFonts w:asciiTheme="minorHAnsi" w:hAnsiTheme="minorHAnsi"/>
          <w:sz w:val="22"/>
          <w:szCs w:val="22"/>
        </w:rPr>
        <w:t>ED1 final position document in their response. Although they u</w:t>
      </w:r>
      <w:r w:rsidR="00574E52" w:rsidRPr="00316061">
        <w:rPr>
          <w:rFonts w:asciiTheme="minorHAnsi" w:hAnsiTheme="minorHAnsi"/>
          <w:sz w:val="22"/>
          <w:szCs w:val="22"/>
        </w:rPr>
        <w:t>nderstood the Working Group</w:t>
      </w:r>
      <w:r w:rsidRPr="00316061">
        <w:rPr>
          <w:rFonts w:asciiTheme="minorHAnsi" w:hAnsiTheme="minorHAnsi"/>
          <w:sz w:val="22"/>
          <w:szCs w:val="22"/>
        </w:rPr>
        <w:t xml:space="preserve">s position in regards to disturbing generation or load, the respondent considered the legal text open to interpretation in regards </w:t>
      </w:r>
      <w:r w:rsidR="00574E52" w:rsidRPr="00316061">
        <w:rPr>
          <w:rFonts w:asciiTheme="minorHAnsi" w:hAnsiTheme="minorHAnsi"/>
          <w:sz w:val="22"/>
          <w:szCs w:val="22"/>
        </w:rPr>
        <w:t xml:space="preserve">to </w:t>
      </w:r>
      <w:r w:rsidRPr="00316061">
        <w:rPr>
          <w:rFonts w:asciiTheme="minorHAnsi" w:hAnsiTheme="minorHAnsi"/>
          <w:sz w:val="22"/>
          <w:szCs w:val="22"/>
        </w:rPr>
        <w:t>who paid or did not pay for reinforcement in practice when</w:t>
      </w:r>
      <w:r w:rsidR="00574E52" w:rsidRPr="00316061">
        <w:rPr>
          <w:rFonts w:asciiTheme="minorHAnsi" w:hAnsiTheme="minorHAnsi"/>
          <w:sz w:val="22"/>
          <w:szCs w:val="22"/>
        </w:rPr>
        <w:t xml:space="preserve"> addressing the issue of </w:t>
      </w:r>
      <w:r w:rsidRPr="00316061">
        <w:rPr>
          <w:rFonts w:asciiTheme="minorHAnsi" w:hAnsiTheme="minorHAnsi"/>
          <w:sz w:val="22"/>
          <w:szCs w:val="22"/>
        </w:rPr>
        <w:t xml:space="preserve"> equipment</w:t>
      </w:r>
      <w:r w:rsidR="00574E52" w:rsidRPr="00316061">
        <w:rPr>
          <w:rFonts w:asciiTheme="minorHAnsi" w:hAnsiTheme="minorHAnsi"/>
          <w:sz w:val="22"/>
          <w:szCs w:val="22"/>
        </w:rPr>
        <w:t xml:space="preserve"> being installed</w:t>
      </w:r>
      <w:r w:rsidRPr="00316061">
        <w:rPr>
          <w:rFonts w:asciiTheme="minorHAnsi" w:hAnsiTheme="minorHAnsi"/>
          <w:sz w:val="22"/>
          <w:szCs w:val="22"/>
        </w:rPr>
        <w:t xml:space="preserve"> that disturbs the harmonics of the network.</w:t>
      </w:r>
      <w:r w:rsidR="00574E52" w:rsidRPr="00316061">
        <w:rPr>
          <w:rFonts w:asciiTheme="minorHAnsi" w:hAnsiTheme="minorHAnsi"/>
          <w:sz w:val="22"/>
          <w:szCs w:val="22"/>
        </w:rPr>
        <w:t xml:space="preserve"> This respondent highlighted the application of the legal text to equipment connected prior to the revised connection policy where a customer has paid reinforcement charges for a connection of equip</w:t>
      </w:r>
      <w:r w:rsidR="00F22A1E">
        <w:rPr>
          <w:rFonts w:asciiTheme="minorHAnsi" w:hAnsiTheme="minorHAnsi"/>
          <w:sz w:val="22"/>
          <w:szCs w:val="22"/>
        </w:rPr>
        <w:t>ment that does not meet the 16 a</w:t>
      </w:r>
      <w:r w:rsidR="00574E52" w:rsidRPr="00316061">
        <w:rPr>
          <w:rFonts w:asciiTheme="minorHAnsi" w:hAnsiTheme="minorHAnsi"/>
          <w:sz w:val="22"/>
          <w:szCs w:val="22"/>
        </w:rPr>
        <w:t>mp</w:t>
      </w:r>
      <w:r w:rsidR="00F22A1E">
        <w:rPr>
          <w:rFonts w:asciiTheme="minorHAnsi" w:hAnsiTheme="minorHAnsi"/>
          <w:sz w:val="22"/>
          <w:szCs w:val="22"/>
        </w:rPr>
        <w:t>ere</w:t>
      </w:r>
      <w:r w:rsidR="00574E52" w:rsidRPr="00316061">
        <w:rPr>
          <w:rFonts w:asciiTheme="minorHAnsi" w:hAnsiTheme="minorHAnsi"/>
          <w:sz w:val="22"/>
          <w:szCs w:val="22"/>
        </w:rPr>
        <w:t>s limits</w:t>
      </w:r>
      <w:r w:rsidR="00F979CC" w:rsidRPr="00316061">
        <w:rPr>
          <w:rFonts w:asciiTheme="minorHAnsi" w:hAnsiTheme="minorHAnsi"/>
          <w:sz w:val="22"/>
          <w:szCs w:val="22"/>
        </w:rPr>
        <w:t xml:space="preserve"> and where the DNO has not entered in to a connection agreement</w:t>
      </w:r>
      <w:r w:rsidR="00574E52" w:rsidRPr="00316061">
        <w:rPr>
          <w:rFonts w:asciiTheme="minorHAnsi" w:hAnsiTheme="minorHAnsi"/>
          <w:sz w:val="22"/>
          <w:szCs w:val="22"/>
        </w:rPr>
        <w:t>.</w:t>
      </w:r>
      <w:r w:rsidR="00F979CC" w:rsidRPr="00316061">
        <w:rPr>
          <w:rFonts w:asciiTheme="minorHAnsi" w:hAnsiTheme="minorHAnsi"/>
          <w:sz w:val="22"/>
          <w:szCs w:val="22"/>
        </w:rPr>
        <w:t xml:space="preserve"> This respondent requested the Working Group to consider clarifying how the reinforcement costs will be treated in premises with previous</w:t>
      </w:r>
      <w:r w:rsidR="002F447E" w:rsidRPr="00316061">
        <w:rPr>
          <w:rFonts w:asciiTheme="minorHAnsi" w:hAnsiTheme="minorHAnsi"/>
          <w:sz w:val="22"/>
          <w:szCs w:val="22"/>
        </w:rPr>
        <w:t xml:space="preserve">ly agreed generation equipment </w:t>
      </w:r>
      <w:r w:rsidR="00F22A1E">
        <w:rPr>
          <w:rFonts w:asciiTheme="minorHAnsi" w:hAnsiTheme="minorHAnsi"/>
          <w:sz w:val="22"/>
          <w:szCs w:val="22"/>
        </w:rPr>
        <w:t>greater than 16 a</w:t>
      </w:r>
      <w:r w:rsidR="00F979CC" w:rsidRPr="00316061">
        <w:rPr>
          <w:rFonts w:asciiTheme="minorHAnsi" w:hAnsiTheme="minorHAnsi"/>
          <w:sz w:val="22"/>
          <w:szCs w:val="22"/>
        </w:rPr>
        <w:t>mp</w:t>
      </w:r>
      <w:r w:rsidR="00F22A1E">
        <w:rPr>
          <w:rFonts w:asciiTheme="minorHAnsi" w:hAnsiTheme="minorHAnsi"/>
          <w:sz w:val="22"/>
          <w:szCs w:val="22"/>
        </w:rPr>
        <w:t>ere</w:t>
      </w:r>
      <w:r w:rsidR="00F979CC" w:rsidRPr="00316061">
        <w:rPr>
          <w:rFonts w:asciiTheme="minorHAnsi" w:hAnsiTheme="minorHAnsi"/>
          <w:sz w:val="22"/>
          <w:szCs w:val="22"/>
        </w:rPr>
        <w:t xml:space="preserve">s and those </w:t>
      </w:r>
      <w:r w:rsidR="00F979CC" w:rsidRPr="00316061">
        <w:rPr>
          <w:rFonts w:asciiTheme="minorHAnsi" w:hAnsiTheme="minorHAnsi"/>
          <w:sz w:val="22"/>
          <w:szCs w:val="22"/>
        </w:rPr>
        <w:lastRenderedPageBreak/>
        <w:t>where the</w:t>
      </w:r>
      <w:r w:rsidR="002F447E" w:rsidRPr="00316061">
        <w:rPr>
          <w:rFonts w:asciiTheme="minorHAnsi" w:hAnsiTheme="minorHAnsi"/>
          <w:sz w:val="22"/>
          <w:szCs w:val="22"/>
        </w:rPr>
        <w:t>y have</w:t>
      </w:r>
      <w:r w:rsidR="00F979CC" w:rsidRPr="00316061">
        <w:rPr>
          <w:rFonts w:asciiTheme="minorHAnsi" w:hAnsiTheme="minorHAnsi"/>
          <w:sz w:val="22"/>
          <w:szCs w:val="22"/>
        </w:rPr>
        <w:t xml:space="preserve"> previously agreed</w:t>
      </w:r>
      <w:r w:rsidR="002F447E" w:rsidRPr="00316061">
        <w:rPr>
          <w:rFonts w:asciiTheme="minorHAnsi" w:hAnsiTheme="minorHAnsi"/>
          <w:sz w:val="22"/>
          <w:szCs w:val="22"/>
        </w:rPr>
        <w:t xml:space="preserve"> to the connection of equipment without any specified restrictions on the customer. This respondent considered that the re-configuration of the network may lead to a change in the level of harmonics which may impact new or existing customers.</w:t>
      </w:r>
    </w:p>
    <w:p w:rsidR="001446E7" w:rsidRPr="00316061" w:rsidRDefault="002F447E" w:rsidP="00F85882">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There were two trade association responses to this question.</w:t>
      </w:r>
      <w:r w:rsidR="001446E7" w:rsidRPr="00316061">
        <w:rPr>
          <w:rFonts w:asciiTheme="minorHAnsi" w:hAnsiTheme="minorHAnsi"/>
          <w:sz w:val="22"/>
          <w:szCs w:val="22"/>
        </w:rPr>
        <w:t xml:space="preserve"> Both trade associations supported the principle of socialising costs but considered that the restrictions of 16 Amps on equipment were too severe as:</w:t>
      </w:r>
    </w:p>
    <w:p w:rsidR="001446E7" w:rsidRPr="00316061" w:rsidRDefault="001446E7" w:rsidP="00D45288">
      <w:pPr>
        <w:pStyle w:val="ListParagraph"/>
        <w:numPr>
          <w:ilvl w:val="0"/>
          <w:numId w:val="28"/>
        </w:numPr>
        <w:spacing w:line="360" w:lineRule="auto"/>
        <w:ind w:left="1134" w:hanging="567"/>
        <w:rPr>
          <w:rFonts w:asciiTheme="minorHAnsi" w:hAnsiTheme="minorHAnsi"/>
          <w:i/>
          <w:sz w:val="22"/>
          <w:szCs w:val="22"/>
        </w:rPr>
      </w:pPr>
      <w:r w:rsidRPr="00316061">
        <w:rPr>
          <w:rFonts w:asciiTheme="minorHAnsi" w:hAnsiTheme="minorHAnsi"/>
          <w:sz w:val="22"/>
          <w:szCs w:val="22"/>
        </w:rPr>
        <w:t>“</w:t>
      </w:r>
      <w:r w:rsidRPr="00316061">
        <w:rPr>
          <w:rFonts w:asciiTheme="minorHAnsi" w:hAnsiTheme="minorHAnsi"/>
          <w:i/>
          <w:sz w:val="22"/>
          <w:szCs w:val="22"/>
        </w:rPr>
        <w:t>Only 37% ASHPs are up to 5kW and 21% GSHPs.  In overall heat pump unit sales this can be expressed as only 30% of the market (less than 1,000 units for GSHPS and around 5,000 units for ASHPs).*”</w:t>
      </w:r>
      <w:r w:rsidRPr="00316061">
        <w:rPr>
          <w:rFonts w:asciiTheme="minorHAnsi" w:hAnsiTheme="minorHAnsi"/>
          <w:i/>
          <w:sz w:val="22"/>
          <w:szCs w:val="22"/>
        </w:rPr>
        <w:br/>
      </w:r>
    </w:p>
    <w:p w:rsidR="001446E7" w:rsidRPr="00316061" w:rsidRDefault="001446E7" w:rsidP="00D45288">
      <w:pPr>
        <w:pStyle w:val="ListParagraph"/>
        <w:numPr>
          <w:ilvl w:val="0"/>
          <w:numId w:val="28"/>
        </w:numPr>
        <w:spacing w:line="360" w:lineRule="auto"/>
        <w:ind w:left="1134" w:hanging="567"/>
        <w:rPr>
          <w:rFonts w:asciiTheme="minorHAnsi" w:hAnsiTheme="minorHAnsi"/>
          <w:i/>
          <w:sz w:val="22"/>
          <w:szCs w:val="22"/>
        </w:rPr>
      </w:pPr>
      <w:r w:rsidRPr="00316061">
        <w:rPr>
          <w:rFonts w:asciiTheme="minorHAnsi" w:hAnsiTheme="minorHAnsi"/>
          <w:i/>
          <w:sz w:val="22"/>
          <w:szCs w:val="22"/>
        </w:rPr>
        <w:t xml:space="preserve">“To take this argument a step further, an aggregate load limit up to 16 amperes would present a problem if this includes immersion as it means </w:t>
      </w:r>
      <w:r w:rsidRPr="00316061">
        <w:rPr>
          <w:rFonts w:asciiTheme="minorHAnsi" w:hAnsiTheme="minorHAnsi"/>
          <w:b/>
          <w:i/>
          <w:sz w:val="22"/>
          <w:szCs w:val="22"/>
        </w:rPr>
        <w:t>no</w:t>
      </w:r>
      <w:r w:rsidRPr="00316061">
        <w:rPr>
          <w:rFonts w:asciiTheme="minorHAnsi" w:hAnsiTheme="minorHAnsi"/>
          <w:i/>
          <w:sz w:val="22"/>
          <w:szCs w:val="22"/>
        </w:rPr>
        <w:t xml:space="preserve"> </w:t>
      </w:r>
      <w:r w:rsidRPr="00316061">
        <w:rPr>
          <w:rFonts w:asciiTheme="minorHAnsi" w:hAnsiTheme="minorHAnsi"/>
          <w:b/>
          <w:i/>
          <w:sz w:val="22"/>
          <w:szCs w:val="22"/>
        </w:rPr>
        <w:t xml:space="preserve">heat pumps will be connected under the </w:t>
      </w:r>
      <w:proofErr w:type="spellStart"/>
      <w:r w:rsidRPr="00316061">
        <w:rPr>
          <w:rFonts w:asciiTheme="minorHAnsi" w:hAnsiTheme="minorHAnsi"/>
          <w:b/>
          <w:i/>
          <w:sz w:val="22"/>
          <w:szCs w:val="22"/>
        </w:rPr>
        <w:t>socialised</w:t>
      </w:r>
      <w:proofErr w:type="spellEnd"/>
      <w:r w:rsidRPr="00316061">
        <w:rPr>
          <w:rFonts w:asciiTheme="minorHAnsi" w:hAnsiTheme="minorHAnsi"/>
          <w:b/>
          <w:i/>
          <w:sz w:val="22"/>
          <w:szCs w:val="22"/>
        </w:rPr>
        <w:t xml:space="preserve"> cost rules</w:t>
      </w:r>
      <w:r w:rsidRPr="00316061">
        <w:rPr>
          <w:rFonts w:asciiTheme="minorHAnsi" w:hAnsiTheme="minorHAnsi"/>
          <w:i/>
          <w:sz w:val="22"/>
          <w:szCs w:val="22"/>
        </w:rPr>
        <w:t xml:space="preserve">.”  </w:t>
      </w:r>
    </w:p>
    <w:p w:rsidR="001446E7" w:rsidRPr="00316061" w:rsidRDefault="001446E7" w:rsidP="001446E7">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Furthermore, the trade association respondents did not consider the propo</w:t>
      </w:r>
      <w:r w:rsidR="00D45288">
        <w:rPr>
          <w:rFonts w:asciiTheme="minorHAnsi" w:hAnsiTheme="minorHAnsi"/>
          <w:sz w:val="22"/>
          <w:szCs w:val="22"/>
        </w:rPr>
        <w:t>sed legal text met Ofgem’s RIIO-</w:t>
      </w:r>
      <w:r w:rsidRPr="00316061">
        <w:rPr>
          <w:rFonts w:asciiTheme="minorHAnsi" w:hAnsiTheme="minorHAnsi"/>
          <w:sz w:val="22"/>
          <w:szCs w:val="22"/>
        </w:rPr>
        <w:t xml:space="preserve">ED1 policy </w:t>
      </w:r>
      <w:r w:rsidRPr="00316061">
        <w:rPr>
          <w:rFonts w:asciiTheme="minorHAnsi" w:hAnsiTheme="minorHAnsi"/>
          <w:i/>
          <w:sz w:val="22"/>
          <w:szCs w:val="22"/>
        </w:rPr>
        <w:t xml:space="preserve">“to use the price period to facilitate growth in these technologies to support Government renewable energy policies; by maintaining either of the proposals this will not happen” </w:t>
      </w:r>
      <w:r w:rsidRPr="00316061">
        <w:rPr>
          <w:rFonts w:asciiTheme="minorHAnsi" w:hAnsiTheme="minorHAnsi"/>
          <w:sz w:val="22"/>
          <w:szCs w:val="22"/>
        </w:rPr>
        <w:t>given the numbers quoted above on based on sales and MCS registration data.</w:t>
      </w:r>
    </w:p>
    <w:p w:rsidR="00427C9E" w:rsidRPr="00316061" w:rsidRDefault="001446E7" w:rsidP="00427C9E">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consultant respondent </w:t>
      </w:r>
      <w:r w:rsidR="00B266BB" w:rsidRPr="00316061">
        <w:rPr>
          <w:rFonts w:asciiTheme="minorHAnsi" w:hAnsiTheme="minorHAnsi"/>
          <w:sz w:val="22"/>
          <w:szCs w:val="22"/>
        </w:rPr>
        <w:t>proposed that the Working Group consider “If heat pumps are deemed within scope to include heat pumps above 16 amps as long as they comply with EN61000-3-11 and EN61000-3-12 (up to 75 amps)”. This respond</w:t>
      </w:r>
      <w:r w:rsidR="00D45288">
        <w:rPr>
          <w:rFonts w:asciiTheme="minorHAnsi" w:hAnsiTheme="minorHAnsi"/>
          <w:sz w:val="22"/>
          <w:szCs w:val="22"/>
        </w:rPr>
        <w:t>ent noted that the limit of 16 a</w:t>
      </w:r>
      <w:r w:rsidR="00B266BB" w:rsidRPr="00316061">
        <w:rPr>
          <w:rFonts w:asciiTheme="minorHAnsi" w:hAnsiTheme="minorHAnsi"/>
          <w:sz w:val="22"/>
          <w:szCs w:val="22"/>
        </w:rPr>
        <w:t>mp</w:t>
      </w:r>
      <w:r w:rsidR="00D45288">
        <w:rPr>
          <w:rFonts w:asciiTheme="minorHAnsi" w:hAnsiTheme="minorHAnsi"/>
          <w:sz w:val="22"/>
          <w:szCs w:val="22"/>
        </w:rPr>
        <w:t>eres</w:t>
      </w:r>
      <w:r w:rsidR="00B266BB" w:rsidRPr="00316061">
        <w:rPr>
          <w:rFonts w:asciiTheme="minorHAnsi" w:hAnsiTheme="minorHAnsi"/>
          <w:sz w:val="22"/>
          <w:szCs w:val="22"/>
        </w:rPr>
        <w:t xml:space="preserve"> was very low as an induction cooking </w:t>
      </w:r>
      <w:r w:rsidR="00D45288">
        <w:rPr>
          <w:rFonts w:asciiTheme="minorHAnsi" w:hAnsiTheme="minorHAnsi"/>
          <w:sz w:val="22"/>
          <w:szCs w:val="22"/>
        </w:rPr>
        <w:t>hob can have a rating above 16 a</w:t>
      </w:r>
      <w:r w:rsidR="00B266BB" w:rsidRPr="00316061">
        <w:rPr>
          <w:rFonts w:asciiTheme="minorHAnsi" w:hAnsiTheme="minorHAnsi"/>
          <w:sz w:val="22"/>
          <w:szCs w:val="22"/>
        </w:rPr>
        <w:t>mp</w:t>
      </w:r>
      <w:r w:rsidR="00D45288">
        <w:rPr>
          <w:rFonts w:asciiTheme="minorHAnsi" w:hAnsiTheme="minorHAnsi"/>
          <w:sz w:val="22"/>
          <w:szCs w:val="22"/>
        </w:rPr>
        <w:t>eres</w:t>
      </w:r>
      <w:r w:rsidR="00B266BB" w:rsidRPr="00316061">
        <w:rPr>
          <w:rFonts w:asciiTheme="minorHAnsi" w:hAnsiTheme="minorHAnsi"/>
          <w:sz w:val="22"/>
          <w:szCs w:val="22"/>
        </w:rPr>
        <w:t xml:space="preserve"> and could elicit potential network up grade costs once installe</w:t>
      </w:r>
      <w:r w:rsidR="00427C9E" w:rsidRPr="00316061">
        <w:rPr>
          <w:rFonts w:asciiTheme="minorHAnsi" w:hAnsiTheme="minorHAnsi"/>
          <w:sz w:val="22"/>
          <w:szCs w:val="22"/>
        </w:rPr>
        <w:t>d if the consultation two proposed legal text</w:t>
      </w:r>
      <w:r w:rsidR="00B266BB" w:rsidRPr="00316061">
        <w:rPr>
          <w:rFonts w:asciiTheme="minorHAnsi" w:hAnsiTheme="minorHAnsi"/>
          <w:sz w:val="22"/>
          <w:szCs w:val="22"/>
        </w:rPr>
        <w:t xml:space="preserve"> change i</w:t>
      </w:r>
      <w:r w:rsidR="00427C9E" w:rsidRPr="00316061">
        <w:rPr>
          <w:rFonts w:asciiTheme="minorHAnsi" w:hAnsiTheme="minorHAnsi"/>
          <w:sz w:val="22"/>
          <w:szCs w:val="22"/>
        </w:rPr>
        <w:t>s approved</w:t>
      </w:r>
      <w:r w:rsidR="00B266BB" w:rsidRPr="00316061">
        <w:rPr>
          <w:rFonts w:asciiTheme="minorHAnsi" w:hAnsiTheme="minorHAnsi"/>
          <w:sz w:val="22"/>
          <w:szCs w:val="22"/>
        </w:rPr>
        <w:t>.</w:t>
      </w:r>
      <w:r w:rsidR="00427C9E" w:rsidRPr="00316061">
        <w:rPr>
          <w:rFonts w:asciiTheme="minorHAnsi" w:hAnsiTheme="minorHAnsi"/>
          <w:sz w:val="22"/>
          <w:szCs w:val="22"/>
        </w:rPr>
        <w:t xml:space="preserve"> </w:t>
      </w:r>
    </w:p>
    <w:p w:rsidR="00802439" w:rsidRDefault="00427C9E" w:rsidP="00802439">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consultant respondent advised th</w:t>
      </w:r>
      <w:r w:rsidR="00D45288">
        <w:rPr>
          <w:rFonts w:asciiTheme="minorHAnsi" w:hAnsiTheme="minorHAnsi"/>
          <w:sz w:val="22"/>
          <w:szCs w:val="22"/>
        </w:rPr>
        <w:t>at they considered Ofgem’s RIIO-</w:t>
      </w:r>
      <w:r w:rsidRPr="00316061">
        <w:rPr>
          <w:rFonts w:asciiTheme="minorHAnsi" w:hAnsiTheme="minorHAnsi"/>
          <w:sz w:val="22"/>
          <w:szCs w:val="22"/>
        </w:rPr>
        <w:t xml:space="preserve">ED1 policy promoted facilitating </w:t>
      </w:r>
      <w:r w:rsidR="00802439" w:rsidRPr="00316061">
        <w:rPr>
          <w:rFonts w:asciiTheme="minorHAnsi" w:hAnsiTheme="minorHAnsi"/>
          <w:sz w:val="22"/>
          <w:szCs w:val="22"/>
        </w:rPr>
        <w:t>“</w:t>
      </w:r>
      <w:r w:rsidRPr="00316061">
        <w:rPr>
          <w:rFonts w:asciiTheme="minorHAnsi" w:hAnsiTheme="minorHAnsi"/>
          <w:i/>
          <w:sz w:val="22"/>
          <w:szCs w:val="22"/>
        </w:rPr>
        <w:t xml:space="preserve">the uptake of HP’s &amp; EV’s in order to assist with the UK reaching </w:t>
      </w:r>
      <w:proofErr w:type="spellStart"/>
      <w:proofErr w:type="gramStart"/>
      <w:r w:rsidRPr="00316061">
        <w:rPr>
          <w:rFonts w:asciiTheme="minorHAnsi" w:hAnsiTheme="minorHAnsi"/>
          <w:i/>
          <w:sz w:val="22"/>
          <w:szCs w:val="22"/>
        </w:rPr>
        <w:t>it’s</w:t>
      </w:r>
      <w:proofErr w:type="spellEnd"/>
      <w:proofErr w:type="gramEnd"/>
      <w:r w:rsidRPr="00316061">
        <w:rPr>
          <w:rFonts w:asciiTheme="minorHAnsi" w:hAnsiTheme="minorHAnsi"/>
          <w:i/>
          <w:sz w:val="22"/>
          <w:szCs w:val="22"/>
        </w:rPr>
        <w:t xml:space="preserve"> renewable energy targets within the EU”</w:t>
      </w:r>
      <w:r w:rsidRPr="00316061">
        <w:rPr>
          <w:rFonts w:asciiTheme="minorHAnsi" w:hAnsiTheme="minorHAnsi"/>
          <w:sz w:val="22"/>
          <w:szCs w:val="22"/>
        </w:rPr>
        <w:t xml:space="preserve">. This respondent advised the Working Group that </w:t>
      </w:r>
      <w:r w:rsidR="00802439" w:rsidRPr="00316061">
        <w:rPr>
          <w:rFonts w:asciiTheme="minorHAnsi" w:hAnsiTheme="minorHAnsi"/>
          <w:i/>
          <w:sz w:val="22"/>
          <w:szCs w:val="22"/>
        </w:rPr>
        <w:t>“</w:t>
      </w:r>
      <w:r w:rsidRPr="00316061">
        <w:rPr>
          <w:rFonts w:asciiTheme="minorHAnsi" w:hAnsiTheme="minorHAnsi"/>
          <w:i/>
          <w:sz w:val="22"/>
          <w:szCs w:val="22"/>
        </w:rPr>
        <w:t>the 16 A/</w:t>
      </w:r>
      <w:proofErr w:type="spellStart"/>
      <w:r w:rsidRPr="00316061">
        <w:rPr>
          <w:rFonts w:asciiTheme="minorHAnsi" w:hAnsiTheme="minorHAnsi"/>
          <w:i/>
          <w:sz w:val="22"/>
          <w:szCs w:val="22"/>
        </w:rPr>
        <w:t>ph</w:t>
      </w:r>
      <w:proofErr w:type="spellEnd"/>
      <w:r w:rsidRPr="00316061">
        <w:rPr>
          <w:rFonts w:asciiTheme="minorHAnsi" w:hAnsiTheme="minorHAnsi"/>
          <w:i/>
          <w:sz w:val="22"/>
          <w:szCs w:val="22"/>
        </w:rPr>
        <w:t xml:space="preserve"> </w:t>
      </w:r>
      <w:proofErr w:type="gramStart"/>
      <w:r w:rsidRPr="00316061">
        <w:rPr>
          <w:rFonts w:asciiTheme="minorHAnsi" w:hAnsiTheme="minorHAnsi"/>
          <w:i/>
          <w:sz w:val="22"/>
          <w:szCs w:val="22"/>
        </w:rPr>
        <w:t>threshold</w:t>
      </w:r>
      <w:proofErr w:type="gramEnd"/>
      <w:r w:rsidRPr="00316061">
        <w:rPr>
          <w:rFonts w:asciiTheme="minorHAnsi" w:hAnsiTheme="minorHAnsi"/>
          <w:i/>
          <w:sz w:val="22"/>
          <w:szCs w:val="22"/>
        </w:rPr>
        <w:t xml:space="preserve"> would penalise the vast majority of heat pump installations</w:t>
      </w:r>
      <w:r w:rsidR="00802439" w:rsidRPr="00316061">
        <w:rPr>
          <w:rFonts w:asciiTheme="minorHAnsi" w:hAnsiTheme="minorHAnsi"/>
          <w:i/>
          <w:sz w:val="22"/>
          <w:szCs w:val="22"/>
        </w:rPr>
        <w:t>”</w:t>
      </w:r>
      <w:r w:rsidRPr="00316061">
        <w:rPr>
          <w:rFonts w:asciiTheme="minorHAnsi" w:hAnsiTheme="minorHAnsi"/>
          <w:sz w:val="22"/>
          <w:szCs w:val="22"/>
        </w:rPr>
        <w:t xml:space="preserve"> (circa 70%). This modification could render any Heat Pump installation un-economical</w:t>
      </w:r>
      <w:r w:rsidR="00802439" w:rsidRPr="00316061">
        <w:rPr>
          <w:rFonts w:asciiTheme="minorHAnsi" w:hAnsiTheme="minorHAnsi"/>
          <w:sz w:val="22"/>
          <w:szCs w:val="22"/>
        </w:rPr>
        <w:t>. On a more specific level, “</w:t>
      </w:r>
      <w:r w:rsidR="00802439" w:rsidRPr="00316061">
        <w:rPr>
          <w:rFonts w:asciiTheme="minorHAnsi" w:hAnsiTheme="minorHAnsi"/>
          <w:i/>
          <w:sz w:val="22"/>
          <w:szCs w:val="22"/>
        </w:rPr>
        <w:t xml:space="preserve">Heat Pumps with soft start/inverter in size (&lt;4.8kW thermal) but be a </w:t>
      </w:r>
      <w:r w:rsidR="00802439" w:rsidRPr="00316061">
        <w:rPr>
          <w:rFonts w:asciiTheme="minorHAnsi" w:hAnsiTheme="minorHAnsi"/>
          <w:i/>
          <w:sz w:val="22"/>
          <w:szCs w:val="22"/>
        </w:rPr>
        <w:lastRenderedPageBreak/>
        <w:t xml:space="preserve">complete death sentence to </w:t>
      </w:r>
      <w:proofErr w:type="spellStart"/>
      <w:r w:rsidR="00802439" w:rsidRPr="00316061">
        <w:rPr>
          <w:rFonts w:asciiTheme="minorHAnsi" w:hAnsiTheme="minorHAnsi"/>
          <w:i/>
          <w:sz w:val="22"/>
          <w:szCs w:val="22"/>
        </w:rPr>
        <w:t>DoL</w:t>
      </w:r>
      <w:proofErr w:type="spellEnd"/>
      <w:r w:rsidR="00802439" w:rsidRPr="00316061">
        <w:rPr>
          <w:rFonts w:asciiTheme="minorHAnsi" w:hAnsiTheme="minorHAnsi"/>
          <w:i/>
          <w:sz w:val="22"/>
          <w:szCs w:val="22"/>
        </w:rPr>
        <w:t xml:space="preserve"> Heat Pumps”</w:t>
      </w:r>
      <w:r w:rsidR="00802439" w:rsidRPr="00316061">
        <w:rPr>
          <w:rFonts w:asciiTheme="minorHAnsi" w:hAnsiTheme="minorHAnsi"/>
          <w:sz w:val="22"/>
          <w:szCs w:val="22"/>
        </w:rPr>
        <w:t>. This consultant considered that this change would have “competition and market distortion consequences”.</w:t>
      </w:r>
    </w:p>
    <w:p w:rsidR="00E67343" w:rsidRPr="00C80F6C" w:rsidRDefault="00C80F6C" w:rsidP="00C80F6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C80F6C">
        <w:rPr>
          <w:rFonts w:asciiTheme="minorHAnsi" w:hAnsiTheme="minorHAnsi"/>
          <w:sz w:val="22"/>
          <w:szCs w:val="22"/>
        </w:rPr>
        <w:t xml:space="preserve">The Working Group considered to the European EMC directive and the product compliance </w:t>
      </w:r>
      <w:r>
        <w:rPr>
          <w:rFonts w:asciiTheme="minorHAnsi" w:hAnsiTheme="minorHAnsi"/>
          <w:sz w:val="22"/>
          <w:szCs w:val="22"/>
        </w:rPr>
        <w:t xml:space="preserve">required to achieve </w:t>
      </w:r>
      <w:r w:rsidRPr="00C80F6C">
        <w:rPr>
          <w:rFonts w:asciiTheme="minorHAnsi" w:hAnsiTheme="minorHAnsi"/>
          <w:sz w:val="22"/>
          <w:szCs w:val="22"/>
        </w:rPr>
        <w:t>the CE mark.</w:t>
      </w:r>
      <w:r>
        <w:rPr>
          <w:rFonts w:asciiTheme="minorHAnsi" w:hAnsiTheme="minorHAnsi"/>
          <w:sz w:val="22"/>
          <w:szCs w:val="22"/>
        </w:rPr>
        <w:t xml:space="preserve"> </w:t>
      </w:r>
      <w:r w:rsidR="00E67343" w:rsidRPr="00C80F6C">
        <w:rPr>
          <w:rFonts w:asciiTheme="minorHAnsi" w:hAnsiTheme="minorHAnsi"/>
          <w:sz w:val="22"/>
          <w:szCs w:val="22"/>
        </w:rPr>
        <w:t>The Working Group considered that there is equipment that would not get the CE mark and could be installed for which the costs for reinforcement would not be socialised.</w:t>
      </w:r>
    </w:p>
    <w:p w:rsidR="00F22A1E" w:rsidRPr="00F22A1E" w:rsidRDefault="00F22A1E" w:rsidP="00F22A1E">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Pr>
          <w:rFonts w:asciiTheme="minorHAnsi" w:hAnsiTheme="minorHAnsi"/>
          <w:sz w:val="22"/>
          <w:szCs w:val="22"/>
        </w:rPr>
        <w:t xml:space="preserve">The Working Group noted </w:t>
      </w:r>
      <w:r w:rsidRPr="00F22A1E">
        <w:rPr>
          <w:rFonts w:asciiTheme="minorHAnsi" w:hAnsiTheme="minorHAnsi"/>
          <w:sz w:val="22"/>
          <w:szCs w:val="22"/>
        </w:rPr>
        <w:t>the comments provided by the trade association</w:t>
      </w:r>
      <w:r w:rsidR="00C80F6C">
        <w:rPr>
          <w:rFonts w:asciiTheme="minorHAnsi" w:hAnsiTheme="minorHAnsi"/>
          <w:sz w:val="22"/>
          <w:szCs w:val="22"/>
        </w:rPr>
        <w:t>s</w:t>
      </w:r>
      <w:r w:rsidRPr="00F22A1E">
        <w:rPr>
          <w:rFonts w:asciiTheme="minorHAnsi" w:hAnsiTheme="minorHAnsi"/>
          <w:sz w:val="22"/>
          <w:szCs w:val="22"/>
        </w:rPr>
        <w:t xml:space="preserve"> </w:t>
      </w:r>
      <w:r>
        <w:rPr>
          <w:rFonts w:asciiTheme="minorHAnsi" w:hAnsiTheme="minorHAnsi"/>
          <w:sz w:val="22"/>
          <w:szCs w:val="22"/>
        </w:rPr>
        <w:t>on the 16 a</w:t>
      </w:r>
      <w:r w:rsidRPr="00F22A1E">
        <w:rPr>
          <w:rFonts w:asciiTheme="minorHAnsi" w:hAnsiTheme="minorHAnsi"/>
          <w:sz w:val="22"/>
          <w:szCs w:val="22"/>
        </w:rPr>
        <w:t>mp</w:t>
      </w:r>
      <w:r>
        <w:rPr>
          <w:rFonts w:asciiTheme="minorHAnsi" w:hAnsiTheme="minorHAnsi"/>
          <w:sz w:val="22"/>
          <w:szCs w:val="22"/>
        </w:rPr>
        <w:t>ere</w:t>
      </w:r>
      <w:r w:rsidRPr="00F22A1E">
        <w:rPr>
          <w:rFonts w:asciiTheme="minorHAnsi" w:hAnsiTheme="minorHAnsi"/>
          <w:sz w:val="22"/>
          <w:szCs w:val="22"/>
        </w:rPr>
        <w:t xml:space="preserve">s </w:t>
      </w:r>
      <w:r>
        <w:rPr>
          <w:rFonts w:asciiTheme="minorHAnsi" w:hAnsiTheme="minorHAnsi"/>
          <w:sz w:val="22"/>
          <w:szCs w:val="22"/>
        </w:rPr>
        <w:t xml:space="preserve">limit in </w:t>
      </w:r>
      <w:r w:rsidRPr="00F22A1E">
        <w:rPr>
          <w:rFonts w:asciiTheme="minorHAnsi" w:hAnsiTheme="minorHAnsi"/>
          <w:sz w:val="22"/>
          <w:szCs w:val="22"/>
        </w:rPr>
        <w:t>refer</w:t>
      </w:r>
      <w:r>
        <w:rPr>
          <w:rFonts w:asciiTheme="minorHAnsi" w:hAnsiTheme="minorHAnsi"/>
          <w:sz w:val="22"/>
          <w:szCs w:val="22"/>
        </w:rPr>
        <w:t>ence</w:t>
      </w:r>
      <w:r w:rsidRPr="00F22A1E">
        <w:rPr>
          <w:rFonts w:asciiTheme="minorHAnsi" w:hAnsiTheme="minorHAnsi"/>
          <w:sz w:val="22"/>
          <w:szCs w:val="22"/>
        </w:rPr>
        <w:t xml:space="preserve"> to heat pumps bu</w:t>
      </w:r>
      <w:r>
        <w:rPr>
          <w:rFonts w:asciiTheme="minorHAnsi" w:hAnsiTheme="minorHAnsi"/>
          <w:sz w:val="22"/>
          <w:szCs w:val="22"/>
        </w:rPr>
        <w:t xml:space="preserve">t </w:t>
      </w:r>
      <w:r w:rsidR="00C80F6C">
        <w:rPr>
          <w:rFonts w:asciiTheme="minorHAnsi" w:hAnsiTheme="minorHAnsi"/>
          <w:sz w:val="22"/>
          <w:szCs w:val="22"/>
        </w:rPr>
        <w:t xml:space="preserve">highlighted that </w:t>
      </w:r>
      <w:r>
        <w:rPr>
          <w:rFonts w:asciiTheme="minorHAnsi" w:hAnsiTheme="minorHAnsi"/>
          <w:sz w:val="22"/>
          <w:szCs w:val="22"/>
        </w:rPr>
        <w:t xml:space="preserve">the DCP 205 </w:t>
      </w:r>
      <w:r w:rsidR="00E67343">
        <w:rPr>
          <w:rFonts w:asciiTheme="minorHAnsi" w:hAnsiTheme="minorHAnsi"/>
          <w:sz w:val="22"/>
          <w:szCs w:val="22"/>
        </w:rPr>
        <w:t>and DCP 205A proposed legal text</w:t>
      </w:r>
      <w:r>
        <w:rPr>
          <w:rFonts w:asciiTheme="minorHAnsi" w:hAnsiTheme="minorHAnsi"/>
          <w:sz w:val="22"/>
          <w:szCs w:val="22"/>
        </w:rPr>
        <w:t xml:space="preserve"> </w:t>
      </w:r>
      <w:r w:rsidR="00C80F6C">
        <w:rPr>
          <w:rFonts w:asciiTheme="minorHAnsi" w:hAnsiTheme="minorHAnsi"/>
          <w:sz w:val="22"/>
          <w:szCs w:val="22"/>
        </w:rPr>
        <w:t xml:space="preserve">reference to </w:t>
      </w:r>
      <w:r>
        <w:rPr>
          <w:rFonts w:asciiTheme="minorHAnsi" w:hAnsiTheme="minorHAnsi"/>
          <w:sz w:val="22"/>
          <w:szCs w:val="22"/>
        </w:rPr>
        <w:t>the 16 a</w:t>
      </w:r>
      <w:r w:rsidRPr="00F22A1E">
        <w:rPr>
          <w:rFonts w:asciiTheme="minorHAnsi" w:hAnsiTheme="minorHAnsi"/>
          <w:sz w:val="22"/>
          <w:szCs w:val="22"/>
        </w:rPr>
        <w:t>mp</w:t>
      </w:r>
      <w:r>
        <w:rPr>
          <w:rFonts w:asciiTheme="minorHAnsi" w:hAnsiTheme="minorHAnsi"/>
          <w:sz w:val="22"/>
          <w:szCs w:val="22"/>
        </w:rPr>
        <w:t>ere</w:t>
      </w:r>
      <w:r w:rsidRPr="00F22A1E">
        <w:rPr>
          <w:rFonts w:asciiTheme="minorHAnsi" w:hAnsiTheme="minorHAnsi"/>
          <w:sz w:val="22"/>
          <w:szCs w:val="22"/>
        </w:rPr>
        <w:t xml:space="preserve">s </w:t>
      </w:r>
      <w:r>
        <w:rPr>
          <w:rFonts w:asciiTheme="minorHAnsi" w:hAnsiTheme="minorHAnsi"/>
          <w:sz w:val="22"/>
          <w:szCs w:val="22"/>
        </w:rPr>
        <w:t xml:space="preserve">limit was drafted to </w:t>
      </w:r>
      <w:r w:rsidRPr="00F22A1E">
        <w:rPr>
          <w:rFonts w:asciiTheme="minorHAnsi" w:hAnsiTheme="minorHAnsi"/>
          <w:sz w:val="22"/>
          <w:szCs w:val="22"/>
        </w:rPr>
        <w:t>refer</w:t>
      </w:r>
      <w:r>
        <w:rPr>
          <w:rFonts w:asciiTheme="minorHAnsi" w:hAnsiTheme="minorHAnsi"/>
          <w:sz w:val="22"/>
          <w:szCs w:val="22"/>
        </w:rPr>
        <w:t xml:space="preserve"> </w:t>
      </w:r>
      <w:r w:rsidRPr="00F22A1E">
        <w:rPr>
          <w:rFonts w:asciiTheme="minorHAnsi" w:hAnsiTheme="minorHAnsi"/>
          <w:sz w:val="22"/>
          <w:szCs w:val="22"/>
        </w:rPr>
        <w:t>to generators</w:t>
      </w:r>
      <w:r>
        <w:rPr>
          <w:rFonts w:asciiTheme="minorHAnsi" w:hAnsiTheme="minorHAnsi"/>
          <w:sz w:val="22"/>
          <w:szCs w:val="22"/>
        </w:rPr>
        <w:t xml:space="preserve"> only and not to heat pump installations</w:t>
      </w:r>
      <w:r w:rsidRPr="00F22A1E">
        <w:rPr>
          <w:rFonts w:asciiTheme="minorHAnsi" w:hAnsiTheme="minorHAnsi"/>
          <w:sz w:val="22"/>
          <w:szCs w:val="22"/>
        </w:rPr>
        <w:t>.</w:t>
      </w:r>
    </w:p>
    <w:p w:rsidR="00F22A1E" w:rsidRPr="00F22A1E" w:rsidRDefault="00F22A1E" w:rsidP="00F22A1E">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F22A1E">
        <w:rPr>
          <w:rFonts w:asciiTheme="minorHAnsi" w:hAnsiTheme="minorHAnsi"/>
          <w:sz w:val="22"/>
          <w:szCs w:val="22"/>
        </w:rPr>
        <w:t>On consideration of the IDNOs response the Working Group noted that there is no intent for this modification to be applied retroactively. Also in reference to harmonics there is no intention for this change to modify the charging.</w:t>
      </w:r>
    </w:p>
    <w:p w:rsidR="00E64CE5" w:rsidRPr="00316061" w:rsidRDefault="00E64CE5" w:rsidP="00E64CE5">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t>Question 2:</w:t>
      </w:r>
      <w:r w:rsidRPr="00316061">
        <w:rPr>
          <w:rFonts w:asciiTheme="minorHAnsi" w:hAnsiTheme="minorHAnsi"/>
          <w:b/>
          <w:sz w:val="22"/>
          <w:szCs w:val="22"/>
          <w:u w:val="single"/>
        </w:rPr>
        <w:tab/>
      </w:r>
      <w:r w:rsidRPr="00316061">
        <w:rPr>
          <w:rFonts w:asciiTheme="minorHAnsi" w:hAnsiTheme="minorHAnsi"/>
          <w:b/>
          <w:sz w:val="22"/>
          <w:szCs w:val="22"/>
          <w:u w:val="single"/>
        </w:rPr>
        <w:tab/>
        <w:t xml:space="preserve"> Do you have any comments on the proposed DCP 205A Alternate Change Proposal draft legal text?</w:t>
      </w:r>
    </w:p>
    <w:p w:rsidR="002F7750" w:rsidRPr="00316061" w:rsidRDefault="002F7750" w:rsidP="002F775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Two DNO respondents had no further comments to add on the DCP 205A proposed legal text. One DNO respondent highlighted the fact that the DCP 205A legal text did not take account of the connection of disruptive loads on the network. One DNO respondent restated their response to question 1 that although they understood the intent of the change, it was not sufficiently clear in the legal text drafting and suggested that the Working Group consider reviewing the legal text in respect of  the wording </w:t>
      </w:r>
      <w:r w:rsidRPr="00316061">
        <w:rPr>
          <w:rFonts w:asciiTheme="minorHAnsi" w:hAnsiTheme="minorHAnsi"/>
          <w:i/>
          <w:sz w:val="22"/>
          <w:szCs w:val="22"/>
        </w:rPr>
        <w:t>““and where relevant” condition and the linkage of the bullet point items”</w:t>
      </w:r>
      <w:r w:rsidRPr="00316061">
        <w:rPr>
          <w:rFonts w:asciiTheme="minorHAnsi" w:hAnsiTheme="minorHAnsi"/>
          <w:sz w:val="22"/>
          <w:szCs w:val="22"/>
        </w:rPr>
        <w:t xml:space="preserve"> in Clause 1.30A.</w:t>
      </w:r>
    </w:p>
    <w:p w:rsidR="002F7750" w:rsidRPr="00316061" w:rsidRDefault="00DE4A44" w:rsidP="002F7750">
      <w:pPr>
        <w:pStyle w:val="Heading2"/>
        <w:keepNext w:val="0"/>
        <w:numPr>
          <w:ilvl w:val="1"/>
          <w:numId w:val="7"/>
        </w:numPr>
        <w:tabs>
          <w:tab w:val="num" w:pos="709"/>
        </w:tabs>
        <w:spacing w:line="360" w:lineRule="auto"/>
        <w:ind w:left="567" w:hanging="567"/>
        <w:jc w:val="both"/>
        <w:rPr>
          <w:rFonts w:asciiTheme="minorHAnsi" w:hAnsiTheme="minorHAnsi"/>
          <w:i/>
          <w:sz w:val="22"/>
          <w:szCs w:val="22"/>
        </w:rPr>
      </w:pPr>
      <w:r w:rsidRPr="00316061">
        <w:rPr>
          <w:rFonts w:asciiTheme="minorHAnsi" w:hAnsiTheme="minorHAnsi"/>
          <w:sz w:val="22"/>
          <w:szCs w:val="22"/>
        </w:rPr>
        <w:t xml:space="preserve">One DNO respondent considered that the proposed DCP 205A legal text could create </w:t>
      </w:r>
      <w:r w:rsidRPr="00316061">
        <w:rPr>
          <w:rFonts w:asciiTheme="minorHAnsi" w:hAnsiTheme="minorHAnsi"/>
          <w:i/>
          <w:sz w:val="22"/>
          <w:szCs w:val="22"/>
        </w:rPr>
        <w:t xml:space="preserve">“circumstances where customer behaviour causes reinforcement costs to be incurred by the </w:t>
      </w:r>
      <w:proofErr w:type="spellStart"/>
      <w:r w:rsidRPr="00316061">
        <w:rPr>
          <w:rFonts w:asciiTheme="minorHAnsi" w:hAnsiTheme="minorHAnsi"/>
          <w:i/>
          <w:sz w:val="22"/>
          <w:szCs w:val="22"/>
        </w:rPr>
        <w:t>DUoS</w:t>
      </w:r>
      <w:proofErr w:type="spellEnd"/>
      <w:r w:rsidRPr="00316061">
        <w:rPr>
          <w:rFonts w:asciiTheme="minorHAnsi" w:hAnsiTheme="minorHAnsi"/>
          <w:i/>
          <w:sz w:val="22"/>
          <w:szCs w:val="22"/>
        </w:rPr>
        <w:t xml:space="preserve"> customers i.e. by customers who may be acting outside of their connection agreement, the Distribution Code and the Electricity Safety, Quality and Continuity Regulations”.</w:t>
      </w:r>
    </w:p>
    <w:p w:rsidR="006F54DF" w:rsidRDefault="00D95C36" w:rsidP="006F54DF">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6F54DF">
        <w:rPr>
          <w:rFonts w:asciiTheme="minorHAnsi" w:hAnsiTheme="minorHAnsi"/>
          <w:sz w:val="22"/>
          <w:szCs w:val="22"/>
        </w:rPr>
        <w:t xml:space="preserve">The Working Group </w:t>
      </w:r>
      <w:r w:rsidR="006F54DF" w:rsidRPr="006F54DF">
        <w:rPr>
          <w:rFonts w:asciiTheme="minorHAnsi" w:hAnsiTheme="minorHAnsi"/>
          <w:sz w:val="22"/>
          <w:szCs w:val="22"/>
        </w:rPr>
        <w:t xml:space="preserve">considered the </w:t>
      </w:r>
      <w:r w:rsidRPr="006F54DF">
        <w:rPr>
          <w:rFonts w:asciiTheme="minorHAnsi" w:hAnsiTheme="minorHAnsi"/>
          <w:sz w:val="22"/>
          <w:szCs w:val="22"/>
        </w:rPr>
        <w:t xml:space="preserve">DNOs comments </w:t>
      </w:r>
      <w:r w:rsidR="006F54DF" w:rsidRPr="006F54DF">
        <w:rPr>
          <w:rFonts w:asciiTheme="minorHAnsi" w:hAnsiTheme="minorHAnsi"/>
          <w:sz w:val="22"/>
          <w:szCs w:val="22"/>
        </w:rPr>
        <w:t>in regards to the wording</w:t>
      </w:r>
      <w:r w:rsidR="006F54DF">
        <w:rPr>
          <w:rFonts w:asciiTheme="minorHAnsi" w:hAnsiTheme="minorHAnsi"/>
          <w:sz w:val="22"/>
          <w:szCs w:val="22"/>
        </w:rPr>
        <w:t xml:space="preserve"> in Clause 1.30A</w:t>
      </w:r>
      <w:r w:rsidR="006F54DF" w:rsidRPr="006F54DF">
        <w:rPr>
          <w:rFonts w:asciiTheme="minorHAnsi" w:hAnsiTheme="minorHAnsi"/>
          <w:sz w:val="22"/>
          <w:szCs w:val="22"/>
        </w:rPr>
        <w:t xml:space="preserve"> </w:t>
      </w:r>
      <w:r w:rsidR="006F54DF">
        <w:rPr>
          <w:rFonts w:asciiTheme="minorHAnsi" w:hAnsiTheme="minorHAnsi"/>
          <w:sz w:val="22"/>
          <w:szCs w:val="22"/>
        </w:rPr>
        <w:t>“</w:t>
      </w:r>
      <w:r w:rsidR="006F54DF" w:rsidRPr="006F54DF">
        <w:rPr>
          <w:rFonts w:asciiTheme="minorHAnsi" w:hAnsiTheme="minorHAnsi"/>
          <w:sz w:val="22"/>
          <w:szCs w:val="22"/>
        </w:rPr>
        <w:t>and where relevant</w:t>
      </w:r>
      <w:r w:rsidR="006F54DF">
        <w:rPr>
          <w:rFonts w:asciiTheme="minorHAnsi" w:hAnsiTheme="minorHAnsi"/>
          <w:sz w:val="22"/>
          <w:szCs w:val="22"/>
        </w:rPr>
        <w:t>”</w:t>
      </w:r>
      <w:r w:rsidR="006F54DF" w:rsidRPr="006F54DF">
        <w:rPr>
          <w:rFonts w:asciiTheme="minorHAnsi" w:hAnsiTheme="minorHAnsi"/>
          <w:sz w:val="22"/>
          <w:szCs w:val="22"/>
        </w:rPr>
        <w:t xml:space="preserve"> and the formatting of the bullet points </w:t>
      </w:r>
      <w:r w:rsidR="006F54DF">
        <w:rPr>
          <w:rFonts w:asciiTheme="minorHAnsi" w:hAnsiTheme="minorHAnsi"/>
          <w:sz w:val="22"/>
          <w:szCs w:val="22"/>
        </w:rPr>
        <w:t xml:space="preserve">beneath </w:t>
      </w:r>
      <w:r w:rsidR="006F54DF" w:rsidRPr="006F54DF">
        <w:rPr>
          <w:rFonts w:asciiTheme="minorHAnsi" w:hAnsiTheme="minorHAnsi"/>
          <w:sz w:val="22"/>
          <w:szCs w:val="22"/>
        </w:rPr>
        <w:t>and agreed to modify the structure to provide greater clarity.</w:t>
      </w:r>
    </w:p>
    <w:p w:rsidR="00196693" w:rsidRPr="00196693" w:rsidRDefault="006F54DF" w:rsidP="00196693">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6F54DF">
        <w:rPr>
          <w:rFonts w:asciiTheme="minorHAnsi" w:hAnsiTheme="minorHAnsi"/>
          <w:sz w:val="22"/>
          <w:szCs w:val="22"/>
        </w:rPr>
        <w:lastRenderedPageBreak/>
        <w:t>The Working Group discussed the suggestion that the DCP 205A draft legal text</w:t>
      </w:r>
      <w:r>
        <w:rPr>
          <w:rFonts w:asciiTheme="minorHAnsi" w:hAnsiTheme="minorHAnsi"/>
          <w:sz w:val="22"/>
          <w:szCs w:val="22"/>
        </w:rPr>
        <w:t xml:space="preserve"> could help to create circumstances</w:t>
      </w:r>
      <w:r w:rsidRPr="006F54DF">
        <w:rPr>
          <w:rFonts w:asciiTheme="minorHAnsi" w:hAnsiTheme="minorHAnsi"/>
          <w:sz w:val="22"/>
          <w:szCs w:val="22"/>
        </w:rPr>
        <w:t xml:space="preserve"> where the customer</w:t>
      </w:r>
      <w:r w:rsidR="00196693">
        <w:rPr>
          <w:rFonts w:asciiTheme="minorHAnsi" w:hAnsiTheme="minorHAnsi"/>
          <w:sz w:val="22"/>
          <w:szCs w:val="22"/>
        </w:rPr>
        <w:t>’</w:t>
      </w:r>
      <w:r w:rsidRPr="006F54DF">
        <w:rPr>
          <w:rFonts w:asciiTheme="minorHAnsi" w:hAnsiTheme="minorHAnsi"/>
          <w:sz w:val="22"/>
          <w:szCs w:val="22"/>
        </w:rPr>
        <w:t xml:space="preserve">s behaviour </w:t>
      </w:r>
      <w:r w:rsidR="00196693">
        <w:rPr>
          <w:rFonts w:asciiTheme="minorHAnsi" w:hAnsiTheme="minorHAnsi"/>
          <w:sz w:val="22"/>
          <w:szCs w:val="22"/>
        </w:rPr>
        <w:t xml:space="preserve">causes reinforcement costs. Members noted </w:t>
      </w:r>
      <w:r w:rsidR="00196693" w:rsidRPr="00196693">
        <w:rPr>
          <w:rFonts w:asciiTheme="minorHAnsi" w:hAnsiTheme="minorHAnsi"/>
          <w:sz w:val="22"/>
          <w:szCs w:val="22"/>
        </w:rPr>
        <w:t xml:space="preserve">that there is </w:t>
      </w:r>
      <w:r w:rsidR="00196693">
        <w:rPr>
          <w:rFonts w:asciiTheme="minorHAnsi" w:hAnsiTheme="minorHAnsi"/>
          <w:sz w:val="22"/>
          <w:szCs w:val="22"/>
        </w:rPr>
        <w:t xml:space="preserve">currently </w:t>
      </w:r>
      <w:r w:rsidR="00196693" w:rsidRPr="00196693">
        <w:rPr>
          <w:rFonts w:asciiTheme="minorHAnsi" w:hAnsiTheme="minorHAnsi"/>
          <w:sz w:val="22"/>
          <w:szCs w:val="22"/>
        </w:rPr>
        <w:t xml:space="preserve">no financial signal to indicate who is causing problems </w:t>
      </w:r>
      <w:r w:rsidR="00196693">
        <w:rPr>
          <w:rFonts w:asciiTheme="minorHAnsi" w:hAnsiTheme="minorHAnsi"/>
          <w:sz w:val="22"/>
          <w:szCs w:val="22"/>
        </w:rPr>
        <w:t xml:space="preserve">on the network </w:t>
      </w:r>
      <w:r w:rsidR="00196693" w:rsidRPr="00196693">
        <w:rPr>
          <w:rFonts w:asciiTheme="minorHAnsi" w:hAnsiTheme="minorHAnsi"/>
          <w:sz w:val="22"/>
          <w:szCs w:val="22"/>
        </w:rPr>
        <w:t>until smart metering can help identify those customers inflicting cost on the network. This change is an interim measure until smart metering is in place.</w:t>
      </w:r>
      <w:r w:rsidR="00196693">
        <w:rPr>
          <w:rFonts w:asciiTheme="minorHAnsi" w:hAnsiTheme="minorHAnsi"/>
          <w:sz w:val="22"/>
          <w:szCs w:val="22"/>
        </w:rPr>
        <w:t xml:space="preserve"> However, t</w:t>
      </w:r>
      <w:r w:rsidR="00196693" w:rsidRPr="00196693">
        <w:rPr>
          <w:rFonts w:asciiTheme="minorHAnsi" w:hAnsiTheme="minorHAnsi"/>
          <w:sz w:val="22"/>
          <w:szCs w:val="22"/>
        </w:rPr>
        <w:t xml:space="preserve">here is some signalling for load incorporated in to the DCP </w:t>
      </w:r>
      <w:proofErr w:type="gramStart"/>
      <w:r w:rsidR="00196693" w:rsidRPr="00196693">
        <w:rPr>
          <w:rFonts w:asciiTheme="minorHAnsi" w:hAnsiTheme="minorHAnsi"/>
          <w:sz w:val="22"/>
          <w:szCs w:val="22"/>
        </w:rPr>
        <w:t>205</w:t>
      </w:r>
      <w:r w:rsidR="00196693">
        <w:rPr>
          <w:rFonts w:asciiTheme="minorHAnsi" w:hAnsiTheme="minorHAnsi"/>
          <w:sz w:val="22"/>
          <w:szCs w:val="22"/>
        </w:rPr>
        <w:t>draft  legal</w:t>
      </w:r>
      <w:proofErr w:type="gramEnd"/>
      <w:r w:rsidR="00196693">
        <w:rPr>
          <w:rFonts w:asciiTheme="minorHAnsi" w:hAnsiTheme="minorHAnsi"/>
          <w:sz w:val="22"/>
          <w:szCs w:val="22"/>
        </w:rPr>
        <w:t xml:space="preserve"> text but</w:t>
      </w:r>
      <w:r w:rsidR="00196693" w:rsidRPr="00196693">
        <w:rPr>
          <w:rFonts w:asciiTheme="minorHAnsi" w:hAnsiTheme="minorHAnsi"/>
          <w:sz w:val="22"/>
          <w:szCs w:val="22"/>
        </w:rPr>
        <w:t xml:space="preserve"> not under the DCP 205A </w:t>
      </w:r>
      <w:r w:rsidR="00196693">
        <w:rPr>
          <w:rFonts w:asciiTheme="minorHAnsi" w:hAnsiTheme="minorHAnsi"/>
          <w:sz w:val="22"/>
          <w:szCs w:val="22"/>
        </w:rPr>
        <w:t>draft legal text</w:t>
      </w:r>
      <w:r w:rsidR="00196693" w:rsidRPr="00196693">
        <w:rPr>
          <w:rFonts w:asciiTheme="minorHAnsi" w:hAnsiTheme="minorHAnsi"/>
          <w:sz w:val="22"/>
          <w:szCs w:val="22"/>
        </w:rPr>
        <w:t>.</w:t>
      </w:r>
      <w:r w:rsidR="00196693">
        <w:rPr>
          <w:rFonts w:asciiTheme="minorHAnsi" w:hAnsiTheme="minorHAnsi"/>
          <w:sz w:val="22"/>
          <w:szCs w:val="22"/>
        </w:rPr>
        <w:t xml:space="preserve"> </w:t>
      </w:r>
      <w:r w:rsidR="00196693" w:rsidRPr="00196693">
        <w:rPr>
          <w:rFonts w:asciiTheme="minorHAnsi" w:hAnsiTheme="minorHAnsi"/>
          <w:sz w:val="22"/>
          <w:szCs w:val="22"/>
        </w:rPr>
        <w:t>Members noted that the ESQCR allows you to disconnect customers if necessary.</w:t>
      </w:r>
    </w:p>
    <w:p w:rsidR="006F54DF" w:rsidRDefault="006F54DF" w:rsidP="006F54DF">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One IDNO respondent, two trade association respondents and one consultant respondent restated their response to </w:t>
      </w:r>
      <w:r w:rsidRPr="006F54DF">
        <w:rPr>
          <w:rFonts w:asciiTheme="minorHAnsi" w:hAnsiTheme="minorHAnsi"/>
          <w:sz w:val="22"/>
          <w:szCs w:val="22"/>
        </w:rPr>
        <w:t>question 1 at question two which the Working Group considered in relation to its application to the DCP 205A legal text.</w:t>
      </w:r>
    </w:p>
    <w:p w:rsidR="00E64CE5" w:rsidRPr="00316061" w:rsidRDefault="00E64CE5" w:rsidP="00E64CE5">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t>Question 3: Do you have a preference for DCP 205 Change Proposal draft legal text or DCP 205A Alternate Change Proposal draft legal text? Please provide your reasoning.</w:t>
      </w:r>
    </w:p>
    <w:p w:rsidR="00D80B6B" w:rsidRPr="00316061" w:rsidRDefault="004E47DC" w:rsidP="004E47D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table below sets out the preferences specified for either the DCP 205 proposed solution or the DCP 205A proposed solution for each respondent type.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9"/>
        <w:gridCol w:w="2411"/>
        <w:gridCol w:w="2654"/>
      </w:tblGrid>
      <w:tr w:rsidR="004E47DC" w:rsidRPr="00316061" w:rsidTr="00567EA8">
        <w:trPr>
          <w:trHeight w:val="236"/>
          <w:jc w:val="center"/>
        </w:trPr>
        <w:tc>
          <w:tcPr>
            <w:tcW w:w="2187" w:type="pct"/>
            <w:shd w:val="pct65" w:color="auto" w:fill="auto"/>
          </w:tcPr>
          <w:p w:rsidR="004E47DC" w:rsidRPr="00316061" w:rsidRDefault="004E47DC" w:rsidP="004E47DC">
            <w:pPr>
              <w:pStyle w:val="ListParagraph"/>
              <w:ind w:left="360"/>
              <w:rPr>
                <w:rFonts w:asciiTheme="minorHAnsi" w:hAnsiTheme="minorHAnsi" w:cs="Arial"/>
                <w:b/>
                <w:bCs/>
                <w:iCs/>
                <w:color w:val="FFFFFF" w:themeColor="background1"/>
                <w:sz w:val="22"/>
                <w:szCs w:val="22"/>
              </w:rPr>
            </w:pPr>
            <w:r w:rsidRPr="00316061">
              <w:rPr>
                <w:rFonts w:asciiTheme="minorHAnsi" w:hAnsiTheme="minorHAnsi" w:cs="Arial"/>
                <w:b/>
                <w:bCs/>
                <w:iCs/>
                <w:color w:val="FFFFFF" w:themeColor="background1"/>
                <w:sz w:val="22"/>
                <w:szCs w:val="22"/>
              </w:rPr>
              <w:t>Respondent Party Type</w:t>
            </w:r>
          </w:p>
        </w:tc>
        <w:tc>
          <w:tcPr>
            <w:tcW w:w="1339" w:type="pct"/>
            <w:shd w:val="pct65" w:color="auto" w:fill="auto"/>
          </w:tcPr>
          <w:p w:rsidR="004E47DC" w:rsidRPr="00316061" w:rsidRDefault="004E47DC" w:rsidP="004E47DC">
            <w:pPr>
              <w:ind w:left="661" w:hanging="635"/>
              <w:jc w:val="center"/>
              <w:rPr>
                <w:rFonts w:asciiTheme="minorHAnsi" w:hAnsiTheme="minorHAnsi" w:cs="Arial"/>
                <w:b/>
                <w:bCs/>
                <w:iCs/>
                <w:color w:val="FFFFFF" w:themeColor="background1"/>
                <w:sz w:val="22"/>
                <w:szCs w:val="22"/>
              </w:rPr>
            </w:pPr>
            <w:r w:rsidRPr="00316061">
              <w:rPr>
                <w:rFonts w:asciiTheme="minorHAnsi" w:hAnsiTheme="minorHAnsi" w:cs="Arial"/>
                <w:b/>
                <w:bCs/>
                <w:iCs/>
                <w:color w:val="FFFFFF" w:themeColor="background1"/>
                <w:sz w:val="22"/>
                <w:szCs w:val="22"/>
              </w:rPr>
              <w:t>DCP 205 Draft Legal Text</w:t>
            </w:r>
          </w:p>
        </w:tc>
        <w:tc>
          <w:tcPr>
            <w:tcW w:w="1474" w:type="pct"/>
            <w:shd w:val="pct65" w:color="auto" w:fill="auto"/>
          </w:tcPr>
          <w:p w:rsidR="004E47DC" w:rsidRPr="00316061" w:rsidRDefault="004E47DC" w:rsidP="004E47DC">
            <w:pPr>
              <w:ind w:left="661" w:hanging="635"/>
              <w:jc w:val="center"/>
              <w:rPr>
                <w:rFonts w:asciiTheme="minorHAnsi" w:hAnsiTheme="minorHAnsi" w:cs="Arial"/>
                <w:b/>
                <w:bCs/>
                <w:iCs/>
                <w:color w:val="FFFFFF" w:themeColor="background1"/>
                <w:sz w:val="22"/>
                <w:szCs w:val="22"/>
              </w:rPr>
            </w:pPr>
            <w:r w:rsidRPr="00316061">
              <w:rPr>
                <w:rFonts w:asciiTheme="minorHAnsi" w:hAnsiTheme="minorHAnsi" w:cs="Arial"/>
                <w:b/>
                <w:bCs/>
                <w:iCs/>
                <w:color w:val="FFFFFF" w:themeColor="background1"/>
                <w:sz w:val="22"/>
                <w:szCs w:val="22"/>
              </w:rPr>
              <w:t>DCP 205A Draft Legal Text</w:t>
            </w:r>
          </w:p>
        </w:tc>
      </w:tr>
      <w:tr w:rsidR="004E47DC" w:rsidRPr="00316061" w:rsidTr="00567EA8">
        <w:trPr>
          <w:trHeight w:val="236"/>
          <w:jc w:val="center"/>
        </w:trPr>
        <w:tc>
          <w:tcPr>
            <w:tcW w:w="2187" w:type="pct"/>
          </w:tcPr>
          <w:p w:rsidR="004E47DC" w:rsidRPr="00316061" w:rsidRDefault="004E47DC" w:rsidP="00567EA8">
            <w:pPr>
              <w:ind w:left="661" w:hanging="635"/>
              <w:jc w:val="center"/>
              <w:rPr>
                <w:rFonts w:asciiTheme="minorHAnsi" w:hAnsiTheme="minorHAnsi" w:cs="Arial"/>
                <w:b/>
                <w:bCs/>
                <w:iCs/>
                <w:sz w:val="22"/>
                <w:szCs w:val="22"/>
              </w:rPr>
            </w:pPr>
            <w:r w:rsidRPr="00316061">
              <w:rPr>
                <w:rFonts w:asciiTheme="minorHAnsi" w:hAnsiTheme="minorHAnsi" w:cs="Arial"/>
                <w:b/>
                <w:bCs/>
                <w:iCs/>
                <w:sz w:val="22"/>
                <w:szCs w:val="22"/>
              </w:rPr>
              <w:t>DNOs</w:t>
            </w:r>
          </w:p>
        </w:tc>
        <w:tc>
          <w:tcPr>
            <w:tcW w:w="1339"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5</w:t>
            </w:r>
          </w:p>
        </w:tc>
        <w:tc>
          <w:tcPr>
            <w:tcW w:w="1474"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0</w:t>
            </w:r>
          </w:p>
        </w:tc>
      </w:tr>
      <w:tr w:rsidR="004E47DC" w:rsidRPr="00316061" w:rsidTr="00567EA8">
        <w:trPr>
          <w:trHeight w:val="236"/>
          <w:jc w:val="center"/>
        </w:trPr>
        <w:tc>
          <w:tcPr>
            <w:tcW w:w="2187" w:type="pct"/>
          </w:tcPr>
          <w:p w:rsidR="004E47DC" w:rsidRPr="00316061" w:rsidRDefault="004E47DC" w:rsidP="00567EA8">
            <w:pPr>
              <w:ind w:left="661" w:hanging="635"/>
              <w:jc w:val="center"/>
              <w:rPr>
                <w:rFonts w:asciiTheme="minorHAnsi" w:hAnsiTheme="minorHAnsi" w:cs="Arial"/>
                <w:b/>
                <w:bCs/>
                <w:iCs/>
                <w:sz w:val="22"/>
                <w:szCs w:val="22"/>
              </w:rPr>
            </w:pPr>
            <w:r w:rsidRPr="00316061">
              <w:rPr>
                <w:rFonts w:asciiTheme="minorHAnsi" w:hAnsiTheme="minorHAnsi" w:cs="Arial"/>
                <w:b/>
                <w:bCs/>
                <w:iCs/>
                <w:sz w:val="22"/>
                <w:szCs w:val="22"/>
              </w:rPr>
              <w:t>IDNOs</w:t>
            </w:r>
          </w:p>
        </w:tc>
        <w:tc>
          <w:tcPr>
            <w:tcW w:w="1339"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1</w:t>
            </w:r>
          </w:p>
        </w:tc>
        <w:tc>
          <w:tcPr>
            <w:tcW w:w="1474"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0</w:t>
            </w:r>
          </w:p>
        </w:tc>
      </w:tr>
      <w:tr w:rsidR="004E47DC" w:rsidRPr="00316061" w:rsidTr="00567EA8">
        <w:trPr>
          <w:trHeight w:val="252"/>
          <w:jc w:val="center"/>
        </w:trPr>
        <w:tc>
          <w:tcPr>
            <w:tcW w:w="2187" w:type="pct"/>
          </w:tcPr>
          <w:p w:rsidR="004E47DC" w:rsidRPr="00316061" w:rsidRDefault="004E47DC" w:rsidP="00567EA8">
            <w:pPr>
              <w:ind w:left="661" w:hanging="635"/>
              <w:jc w:val="center"/>
              <w:rPr>
                <w:rFonts w:asciiTheme="minorHAnsi" w:hAnsiTheme="minorHAnsi" w:cs="Arial"/>
                <w:b/>
                <w:bCs/>
                <w:iCs/>
                <w:sz w:val="22"/>
                <w:szCs w:val="22"/>
              </w:rPr>
            </w:pPr>
            <w:r w:rsidRPr="00316061">
              <w:rPr>
                <w:rFonts w:asciiTheme="minorHAnsi" w:hAnsiTheme="minorHAnsi" w:cs="Arial"/>
                <w:b/>
                <w:bCs/>
                <w:iCs/>
                <w:sz w:val="22"/>
                <w:szCs w:val="22"/>
              </w:rPr>
              <w:t>Consultants</w:t>
            </w:r>
          </w:p>
        </w:tc>
        <w:tc>
          <w:tcPr>
            <w:tcW w:w="1339"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1</w:t>
            </w:r>
          </w:p>
        </w:tc>
        <w:tc>
          <w:tcPr>
            <w:tcW w:w="1474"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0</w:t>
            </w:r>
          </w:p>
        </w:tc>
      </w:tr>
      <w:tr w:rsidR="004E47DC" w:rsidRPr="00316061" w:rsidTr="00567EA8">
        <w:trPr>
          <w:trHeight w:val="252"/>
          <w:jc w:val="center"/>
        </w:trPr>
        <w:tc>
          <w:tcPr>
            <w:tcW w:w="2187" w:type="pct"/>
          </w:tcPr>
          <w:p w:rsidR="004E47DC" w:rsidRPr="00316061" w:rsidRDefault="004E47DC" w:rsidP="00567EA8">
            <w:pPr>
              <w:ind w:left="661" w:hanging="635"/>
              <w:jc w:val="center"/>
              <w:rPr>
                <w:rFonts w:asciiTheme="minorHAnsi" w:hAnsiTheme="minorHAnsi" w:cs="Arial"/>
                <w:b/>
                <w:bCs/>
                <w:iCs/>
                <w:sz w:val="22"/>
                <w:szCs w:val="22"/>
              </w:rPr>
            </w:pPr>
            <w:r w:rsidRPr="00316061">
              <w:rPr>
                <w:rFonts w:asciiTheme="minorHAnsi" w:hAnsiTheme="minorHAnsi" w:cs="Arial"/>
                <w:b/>
                <w:bCs/>
                <w:iCs/>
                <w:sz w:val="22"/>
                <w:szCs w:val="22"/>
              </w:rPr>
              <w:t>Trade Associations</w:t>
            </w:r>
          </w:p>
        </w:tc>
        <w:tc>
          <w:tcPr>
            <w:tcW w:w="1339"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2</w:t>
            </w:r>
          </w:p>
        </w:tc>
        <w:tc>
          <w:tcPr>
            <w:tcW w:w="1474" w:type="pct"/>
          </w:tcPr>
          <w:p w:rsidR="004E47DC" w:rsidRPr="00316061" w:rsidRDefault="004E47DC" w:rsidP="00567EA8">
            <w:pPr>
              <w:ind w:left="661" w:hanging="635"/>
              <w:jc w:val="center"/>
              <w:rPr>
                <w:rFonts w:asciiTheme="minorHAnsi" w:hAnsiTheme="minorHAnsi" w:cs="Arial"/>
                <w:bCs/>
                <w:iCs/>
                <w:sz w:val="22"/>
                <w:szCs w:val="22"/>
              </w:rPr>
            </w:pPr>
            <w:r w:rsidRPr="00316061">
              <w:rPr>
                <w:rFonts w:asciiTheme="minorHAnsi" w:hAnsiTheme="minorHAnsi" w:cs="Arial"/>
                <w:bCs/>
                <w:iCs/>
                <w:sz w:val="22"/>
                <w:szCs w:val="22"/>
              </w:rPr>
              <w:t>0</w:t>
            </w:r>
          </w:p>
        </w:tc>
      </w:tr>
    </w:tbl>
    <w:p w:rsidR="004E47DC" w:rsidRPr="00316061" w:rsidRDefault="004E47DC" w:rsidP="004E47DC">
      <w:pPr>
        <w:rPr>
          <w:rFonts w:asciiTheme="minorHAnsi" w:hAnsiTheme="minorHAnsi"/>
          <w:sz w:val="22"/>
          <w:szCs w:val="22"/>
        </w:rPr>
      </w:pPr>
    </w:p>
    <w:p w:rsidR="00567EA8" w:rsidRPr="00316061" w:rsidRDefault="004E47DC" w:rsidP="00567EA8">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All respondents preferred the solution provided by the DCP 205 CP. One DNO respondent noted that they preferred the DCP 205 solution providing that it specified a suitable standard</w:t>
      </w:r>
      <w:r w:rsidR="00567EA8" w:rsidRPr="00316061">
        <w:rPr>
          <w:rFonts w:asciiTheme="minorHAnsi" w:hAnsiTheme="minorHAnsi"/>
          <w:sz w:val="22"/>
          <w:szCs w:val="22"/>
        </w:rPr>
        <w:t xml:space="preserve"> that the DNO can expect equipment in the UK to be purchased within. Another DNO respondent advised that the solution needs to provide a clearer distinction </w:t>
      </w:r>
      <w:r w:rsidR="00567EA8" w:rsidRPr="00E65009">
        <w:rPr>
          <w:rFonts w:asciiTheme="minorHAnsi" w:hAnsiTheme="minorHAnsi"/>
          <w:i/>
          <w:sz w:val="22"/>
          <w:szCs w:val="22"/>
        </w:rPr>
        <w:t>“on when a customer’s behaviour would cause reinforcement costs to be incurred, including where such behaviour would potentially take the person outside of connection agreement, the Distribution Code and the Electricity Safety, Quality and Continuity Regulations”</w:t>
      </w:r>
      <w:r w:rsidR="00567EA8" w:rsidRPr="00316061">
        <w:rPr>
          <w:rFonts w:asciiTheme="minorHAnsi" w:hAnsiTheme="minorHAnsi"/>
          <w:sz w:val="22"/>
          <w:szCs w:val="22"/>
        </w:rPr>
        <w:t xml:space="preserve">. The remaining DNO respondents preferred the DCP 205 solution as </w:t>
      </w:r>
    </w:p>
    <w:p w:rsidR="00567EA8" w:rsidRPr="00316061" w:rsidRDefault="00567EA8" w:rsidP="00567EA8">
      <w:pPr>
        <w:pStyle w:val="ListParagraph"/>
        <w:numPr>
          <w:ilvl w:val="0"/>
          <w:numId w:val="29"/>
        </w:numPr>
        <w:ind w:left="1134" w:hanging="567"/>
        <w:rPr>
          <w:rFonts w:asciiTheme="minorHAnsi" w:hAnsiTheme="minorHAnsi"/>
          <w:sz w:val="22"/>
          <w:szCs w:val="22"/>
        </w:rPr>
      </w:pPr>
      <w:r w:rsidRPr="00316061">
        <w:rPr>
          <w:rFonts w:asciiTheme="minorHAnsi" w:hAnsiTheme="minorHAnsi"/>
          <w:sz w:val="22"/>
          <w:szCs w:val="22"/>
        </w:rPr>
        <w:t xml:space="preserve">“It more completely follows the intent of the </w:t>
      </w:r>
      <w:proofErr w:type="spellStart"/>
      <w:r w:rsidRPr="00316061">
        <w:rPr>
          <w:rFonts w:asciiTheme="minorHAnsi" w:hAnsiTheme="minorHAnsi"/>
          <w:sz w:val="22"/>
          <w:szCs w:val="22"/>
        </w:rPr>
        <w:t>Ofgem</w:t>
      </w:r>
      <w:proofErr w:type="spellEnd"/>
      <w:r w:rsidRPr="00316061">
        <w:rPr>
          <w:rFonts w:asciiTheme="minorHAnsi" w:hAnsiTheme="minorHAnsi"/>
          <w:sz w:val="22"/>
          <w:szCs w:val="22"/>
        </w:rPr>
        <w:t xml:space="preserve"> policy and proposals for RIIO ED1”;</w:t>
      </w:r>
    </w:p>
    <w:p w:rsidR="00567EA8" w:rsidRPr="00316061" w:rsidRDefault="00567EA8" w:rsidP="00585E59">
      <w:pPr>
        <w:pStyle w:val="ListParagraph"/>
        <w:numPr>
          <w:ilvl w:val="0"/>
          <w:numId w:val="29"/>
        </w:numPr>
        <w:spacing w:line="360" w:lineRule="auto"/>
        <w:ind w:left="1134" w:hanging="567"/>
        <w:rPr>
          <w:rFonts w:asciiTheme="minorHAnsi" w:hAnsiTheme="minorHAnsi"/>
          <w:sz w:val="22"/>
          <w:szCs w:val="22"/>
        </w:rPr>
      </w:pPr>
      <w:r w:rsidRPr="00316061">
        <w:rPr>
          <w:rFonts w:asciiTheme="minorHAnsi" w:hAnsiTheme="minorHAnsi"/>
          <w:sz w:val="22"/>
          <w:szCs w:val="22"/>
        </w:rPr>
        <w:t xml:space="preserve">“It better reflects industry arrangements and the provisions within the draft </w:t>
      </w:r>
      <w:proofErr w:type="spellStart"/>
      <w:r w:rsidRPr="00316061">
        <w:rPr>
          <w:rFonts w:asciiTheme="minorHAnsi" w:hAnsiTheme="minorHAnsi"/>
          <w:sz w:val="22"/>
          <w:szCs w:val="22"/>
        </w:rPr>
        <w:t>licence</w:t>
      </w:r>
      <w:proofErr w:type="spellEnd"/>
      <w:r w:rsidRPr="00316061">
        <w:rPr>
          <w:rFonts w:asciiTheme="minorHAnsi" w:hAnsiTheme="minorHAnsi"/>
          <w:sz w:val="22"/>
          <w:szCs w:val="22"/>
        </w:rPr>
        <w:t xml:space="preserve"> conditions”; and</w:t>
      </w:r>
    </w:p>
    <w:p w:rsidR="00567EA8" w:rsidRPr="00316061" w:rsidRDefault="00567EA8" w:rsidP="00585E59">
      <w:pPr>
        <w:pStyle w:val="ListParagraph"/>
        <w:numPr>
          <w:ilvl w:val="0"/>
          <w:numId w:val="29"/>
        </w:numPr>
        <w:spacing w:line="360" w:lineRule="auto"/>
        <w:ind w:left="1134" w:hanging="567"/>
        <w:rPr>
          <w:rFonts w:asciiTheme="minorHAnsi" w:hAnsiTheme="minorHAnsi"/>
          <w:sz w:val="22"/>
          <w:szCs w:val="22"/>
        </w:rPr>
      </w:pPr>
      <w:r w:rsidRPr="00316061">
        <w:rPr>
          <w:rFonts w:asciiTheme="minorHAnsi" w:eastAsia="Calibri" w:hAnsiTheme="minorHAnsi"/>
          <w:sz w:val="22"/>
          <w:szCs w:val="22"/>
        </w:rPr>
        <w:lastRenderedPageBreak/>
        <w:t>“This option provides a list of equipment standards</w:t>
      </w:r>
      <w:r w:rsidRPr="00316061">
        <w:rPr>
          <w:rFonts w:asciiTheme="minorHAnsi" w:eastAsia="Calibri" w:hAnsiTheme="minorHAnsi"/>
          <w:spacing w:val="-40"/>
          <w:sz w:val="22"/>
          <w:szCs w:val="22"/>
        </w:rPr>
        <w:t xml:space="preserve"> </w:t>
      </w:r>
      <w:r w:rsidRPr="00316061">
        <w:rPr>
          <w:rFonts w:asciiTheme="minorHAnsi" w:eastAsia="Calibri" w:hAnsiTheme="minorHAnsi"/>
          <w:sz w:val="22"/>
          <w:szCs w:val="22"/>
        </w:rPr>
        <w:t>based</w:t>
      </w:r>
      <w:r w:rsidRPr="00316061">
        <w:rPr>
          <w:rFonts w:asciiTheme="minorHAnsi" w:eastAsia="Calibri" w:hAnsiTheme="minorHAnsi"/>
          <w:w w:val="99"/>
          <w:sz w:val="22"/>
          <w:szCs w:val="22"/>
        </w:rPr>
        <w:t xml:space="preserve"> </w:t>
      </w:r>
      <w:r w:rsidRPr="00316061">
        <w:rPr>
          <w:rFonts w:asciiTheme="minorHAnsi" w:eastAsia="Calibri" w:hAnsiTheme="minorHAnsi"/>
          <w:sz w:val="22"/>
          <w:szCs w:val="22"/>
        </w:rPr>
        <w:t>upon a BS document that can be updated from time to time to reflect the changes</w:t>
      </w:r>
      <w:r w:rsidRPr="00316061">
        <w:rPr>
          <w:rFonts w:asciiTheme="minorHAnsi" w:eastAsia="Calibri" w:hAnsiTheme="minorHAnsi"/>
          <w:spacing w:val="-31"/>
          <w:sz w:val="22"/>
          <w:szCs w:val="22"/>
        </w:rPr>
        <w:t xml:space="preserve"> </w:t>
      </w:r>
      <w:r w:rsidRPr="00316061">
        <w:rPr>
          <w:rFonts w:asciiTheme="minorHAnsi" w:eastAsia="Calibri" w:hAnsiTheme="minorHAnsi"/>
          <w:sz w:val="22"/>
          <w:szCs w:val="22"/>
        </w:rPr>
        <w:t>to</w:t>
      </w:r>
      <w:r w:rsidRPr="00316061">
        <w:rPr>
          <w:rFonts w:asciiTheme="minorHAnsi" w:eastAsia="Calibri" w:hAnsiTheme="minorHAnsi"/>
          <w:w w:val="99"/>
          <w:sz w:val="22"/>
          <w:szCs w:val="22"/>
        </w:rPr>
        <w:t xml:space="preserve"> </w:t>
      </w:r>
      <w:r w:rsidRPr="00316061">
        <w:rPr>
          <w:rFonts w:asciiTheme="minorHAnsi" w:eastAsia="Calibri" w:hAnsiTheme="minorHAnsi"/>
          <w:sz w:val="22"/>
          <w:szCs w:val="22"/>
        </w:rPr>
        <w:t>the equipment available to the</w:t>
      </w:r>
      <w:r w:rsidRPr="00316061">
        <w:rPr>
          <w:rFonts w:asciiTheme="minorHAnsi" w:eastAsia="Calibri" w:hAnsiTheme="minorHAnsi"/>
          <w:spacing w:val="-18"/>
          <w:sz w:val="22"/>
          <w:szCs w:val="22"/>
        </w:rPr>
        <w:t xml:space="preserve"> </w:t>
      </w:r>
      <w:r w:rsidRPr="00316061">
        <w:rPr>
          <w:rFonts w:asciiTheme="minorHAnsi" w:eastAsia="Calibri" w:hAnsiTheme="minorHAnsi"/>
          <w:sz w:val="22"/>
          <w:szCs w:val="22"/>
        </w:rPr>
        <w:t>market”.</w:t>
      </w:r>
    </w:p>
    <w:p w:rsidR="00567EA8" w:rsidRPr="00316061" w:rsidRDefault="00567EA8" w:rsidP="00190F9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Although the IDNO respondent specified that they preferred the DCP 205 solution, they </w:t>
      </w:r>
      <w:r w:rsidR="00E14EC1" w:rsidRPr="00316061">
        <w:rPr>
          <w:rFonts w:asciiTheme="minorHAnsi" w:hAnsiTheme="minorHAnsi"/>
          <w:sz w:val="22"/>
          <w:szCs w:val="22"/>
        </w:rPr>
        <w:t xml:space="preserve">considered that it was unclear </w:t>
      </w:r>
      <w:r w:rsidR="00190F90" w:rsidRPr="00316061">
        <w:rPr>
          <w:rFonts w:asciiTheme="minorHAnsi" w:hAnsiTheme="minorHAnsi"/>
          <w:sz w:val="22"/>
          <w:szCs w:val="22"/>
        </w:rPr>
        <w:t xml:space="preserve">as to how it easy it is for the Customer/DNO to ascertain whether equipment complies with the relevant standards and whether the reinforcement is required. The IDNO respondent’s interpretation of the RIIO ED1 policy is that the recovering of costs of any reinforcement caused by load or generation growth relates to load growth rather than the broader context. This respondent considered that the DCP 205 CPs legal text goes beyond the load growth context and seeks to put in arrangements for all types of load disturbance on the network. The ESQCR already places requirements on the customers in respect of equipment </w:t>
      </w:r>
      <w:r w:rsidR="00585E59" w:rsidRPr="00316061">
        <w:rPr>
          <w:rFonts w:asciiTheme="minorHAnsi" w:hAnsiTheme="minorHAnsi"/>
          <w:sz w:val="22"/>
          <w:szCs w:val="22"/>
        </w:rPr>
        <w:t xml:space="preserve">that causes </w:t>
      </w:r>
      <w:r w:rsidR="00190F90" w:rsidRPr="00316061">
        <w:rPr>
          <w:rFonts w:asciiTheme="minorHAnsi" w:hAnsiTheme="minorHAnsi"/>
          <w:sz w:val="22"/>
          <w:szCs w:val="22"/>
        </w:rPr>
        <w:t>interference</w:t>
      </w:r>
      <w:r w:rsidR="00585E59" w:rsidRPr="00316061">
        <w:rPr>
          <w:rFonts w:asciiTheme="minorHAnsi" w:hAnsiTheme="minorHAnsi"/>
          <w:sz w:val="22"/>
          <w:szCs w:val="22"/>
        </w:rPr>
        <w:t xml:space="preserve"> on the network and the respondent did not consider that reinforcement is required to accommodate harmonics and that using the British Standard to determine who should or should not pay for reinforcement is equitable or fair.</w:t>
      </w:r>
    </w:p>
    <w:p w:rsidR="007676A2" w:rsidRPr="00316061" w:rsidRDefault="007676A2" w:rsidP="00516898">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Both trade associations </w:t>
      </w:r>
      <w:r w:rsidR="003B393C" w:rsidRPr="00316061">
        <w:rPr>
          <w:rFonts w:asciiTheme="minorHAnsi" w:hAnsiTheme="minorHAnsi"/>
          <w:sz w:val="22"/>
          <w:szCs w:val="22"/>
        </w:rPr>
        <w:t xml:space="preserve">and the consultant respondent </w:t>
      </w:r>
      <w:r w:rsidRPr="00316061">
        <w:rPr>
          <w:rFonts w:asciiTheme="minorHAnsi" w:hAnsiTheme="minorHAnsi"/>
          <w:sz w:val="22"/>
          <w:szCs w:val="22"/>
        </w:rPr>
        <w:t xml:space="preserve">provided the same response and considered the wording proposed by the DCP 205 solution was </w:t>
      </w:r>
      <w:r w:rsidR="00516898" w:rsidRPr="00316061">
        <w:rPr>
          <w:rFonts w:asciiTheme="minorHAnsi" w:hAnsiTheme="minorHAnsi"/>
          <w:sz w:val="22"/>
          <w:szCs w:val="22"/>
        </w:rPr>
        <w:t>closest to the intent of</w:t>
      </w:r>
      <w:r w:rsidR="00E65009">
        <w:rPr>
          <w:rFonts w:asciiTheme="minorHAnsi" w:hAnsiTheme="minorHAnsi"/>
          <w:sz w:val="22"/>
          <w:szCs w:val="22"/>
        </w:rPr>
        <w:t xml:space="preserve"> energy policy promoted by RIIO-</w:t>
      </w:r>
      <w:r w:rsidR="00516898" w:rsidRPr="00316061">
        <w:rPr>
          <w:rFonts w:asciiTheme="minorHAnsi" w:hAnsiTheme="minorHAnsi"/>
          <w:sz w:val="22"/>
          <w:szCs w:val="22"/>
        </w:rPr>
        <w:t>ED1. These associations proposed a change to the DCP 205 legal text to incorporate heat pumps over 16 amperes but with a requirement to meet additional standards EN61000-3-11 and EN61000-3-12 as set out below.</w:t>
      </w:r>
    </w:p>
    <w:p w:rsidR="00567EA8" w:rsidRPr="00316061" w:rsidRDefault="00567EA8" w:rsidP="00516898">
      <w:pPr>
        <w:jc w:val="both"/>
        <w:rPr>
          <w:rFonts w:asciiTheme="minorHAnsi" w:hAnsiTheme="minorHAnsi"/>
          <w:sz w:val="22"/>
          <w:szCs w:val="22"/>
        </w:rPr>
      </w:pPr>
    </w:p>
    <w:p w:rsidR="00516898" w:rsidRPr="00316061" w:rsidRDefault="00516898" w:rsidP="00026160">
      <w:pPr>
        <w:spacing w:line="360" w:lineRule="auto"/>
        <w:ind w:left="1276" w:hanging="709"/>
        <w:jc w:val="both"/>
        <w:rPr>
          <w:rFonts w:asciiTheme="minorHAnsi" w:hAnsiTheme="minorHAnsi"/>
          <w:sz w:val="22"/>
          <w:szCs w:val="22"/>
        </w:rPr>
      </w:pPr>
      <w:r w:rsidRPr="00316061">
        <w:rPr>
          <w:rFonts w:asciiTheme="minorHAnsi" w:hAnsiTheme="minorHAnsi"/>
          <w:sz w:val="22"/>
          <w:szCs w:val="22"/>
        </w:rPr>
        <w:t xml:space="preserve">1.30A  </w:t>
      </w:r>
      <w:r w:rsidRPr="00316061">
        <w:rPr>
          <w:rFonts w:asciiTheme="minorHAnsi" w:hAnsiTheme="minorHAnsi"/>
          <w:sz w:val="22"/>
          <w:szCs w:val="22"/>
        </w:rPr>
        <w:tab/>
        <w:t>We will fully fund Reinforcement carried out to allow the installation of all equipment at an existing premises which remain connected via an existing low-voltage single, two or three phase service fused at 100 amperes or less per phase and with whole-current metering and where relevant:</w:t>
      </w:r>
    </w:p>
    <w:p w:rsidR="00516898" w:rsidRPr="00316061" w:rsidRDefault="00516898" w:rsidP="00026160">
      <w:pPr>
        <w:spacing w:line="360" w:lineRule="auto"/>
        <w:jc w:val="both"/>
        <w:rPr>
          <w:rFonts w:asciiTheme="minorHAnsi" w:hAnsiTheme="minorHAnsi"/>
          <w:sz w:val="22"/>
          <w:szCs w:val="22"/>
        </w:rPr>
      </w:pP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w:t>
      </w:r>
      <w:r w:rsidRPr="00316061">
        <w:rPr>
          <w:rFonts w:asciiTheme="minorHAnsi" w:hAnsiTheme="minorHAnsi"/>
          <w:sz w:val="22"/>
          <w:szCs w:val="22"/>
        </w:rPr>
        <w:tab/>
        <w:t xml:space="preserve">The reinforcement is carried out to allow the installation of equipment as part of a single application for a single or multiple installations, and </w:t>
      </w: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w:t>
      </w:r>
      <w:r w:rsidRPr="00316061">
        <w:rPr>
          <w:rFonts w:asciiTheme="minorHAnsi" w:hAnsiTheme="minorHAnsi"/>
          <w:sz w:val="22"/>
          <w:szCs w:val="22"/>
        </w:rPr>
        <w:tab/>
        <w:t>It may be necessary to remove a low-voltage single, two or three phase looped service for these existing premises so long as the customer’s Required Capacity remains less than or equal to the Existing Capacity</w:t>
      </w: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w:t>
      </w:r>
      <w:r w:rsidRPr="00316061">
        <w:rPr>
          <w:rFonts w:asciiTheme="minorHAnsi" w:hAnsiTheme="minorHAnsi"/>
          <w:sz w:val="22"/>
          <w:szCs w:val="22"/>
        </w:rPr>
        <w:tab/>
        <w:t xml:space="preserve">Any generation equipment installed with a rated output not greater than 16 amperes per phase (or not greater than 16 amperes per phase at any single </w:t>
      </w:r>
      <w:r w:rsidRPr="00316061">
        <w:rPr>
          <w:rFonts w:asciiTheme="minorHAnsi" w:hAnsiTheme="minorHAnsi"/>
          <w:sz w:val="22"/>
          <w:szCs w:val="22"/>
        </w:rPr>
        <w:lastRenderedPageBreak/>
        <w:t>premises if a single application for multiple installations) which must meet the technical requirements of the following standards:</w:t>
      </w: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 xml:space="preserve">   - </w:t>
      </w:r>
      <w:r w:rsidRPr="00316061">
        <w:rPr>
          <w:rFonts w:asciiTheme="minorHAnsi" w:hAnsiTheme="minorHAnsi"/>
          <w:sz w:val="22"/>
          <w:szCs w:val="22"/>
        </w:rPr>
        <w:tab/>
        <w:t>BS EN 61000-3-2 Limits for harmonic current emissions (equipment input current 16 A per phase)</w:t>
      </w: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 xml:space="preserve">   - </w:t>
      </w:r>
      <w:r w:rsidRPr="00316061">
        <w:rPr>
          <w:rFonts w:asciiTheme="minorHAnsi" w:hAnsiTheme="minorHAnsi"/>
          <w:sz w:val="22"/>
          <w:szCs w:val="22"/>
        </w:rPr>
        <w:tab/>
        <w:t>BS EN 61000-3-3 Limitation of voltage changes, voltage fluctuations and flicker in public low-voltage supply systems, for equipment with rated current 16 A per phase</w:t>
      </w: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w:t>
      </w:r>
      <w:r w:rsidRPr="00316061">
        <w:rPr>
          <w:rFonts w:asciiTheme="minorHAnsi" w:hAnsiTheme="minorHAnsi"/>
          <w:sz w:val="22"/>
          <w:szCs w:val="22"/>
        </w:rPr>
        <w:tab/>
        <w:t>Any generation equipment installed with a rated output greater than 16 amperes per phase (or greater than 16 amperes per phase at any single premises if a single application for multiple installations) which must meet the technical requirements of the following standards:</w:t>
      </w:r>
    </w:p>
    <w:p w:rsidR="00516898" w:rsidRPr="00316061" w:rsidRDefault="00516898" w:rsidP="00026160">
      <w:pPr>
        <w:spacing w:line="360" w:lineRule="auto"/>
        <w:ind w:left="1701" w:hanging="567"/>
        <w:jc w:val="both"/>
        <w:rPr>
          <w:rFonts w:asciiTheme="minorHAnsi" w:hAnsiTheme="minorHAnsi"/>
          <w:sz w:val="22"/>
          <w:szCs w:val="22"/>
        </w:rPr>
      </w:pPr>
      <w:r w:rsidRPr="00316061">
        <w:rPr>
          <w:rFonts w:asciiTheme="minorHAnsi" w:hAnsiTheme="minorHAnsi"/>
          <w:sz w:val="22"/>
          <w:szCs w:val="22"/>
        </w:rPr>
        <w:t xml:space="preserve">   - </w:t>
      </w:r>
      <w:r w:rsidRPr="00316061">
        <w:rPr>
          <w:rFonts w:asciiTheme="minorHAnsi" w:hAnsiTheme="minorHAnsi"/>
          <w:sz w:val="22"/>
          <w:szCs w:val="22"/>
        </w:rPr>
        <w:tab/>
        <w:t>BS EN 61000-3-11 Limits-Limitation of voltage changes, voltage fluctuations and flicker in public low-voltage supply systems, for equipment with rated current ¬&lt;75 A and subject to conditional connection  - BS EN 61000-3-12 (Reference TBC)</w:t>
      </w:r>
    </w:p>
    <w:p w:rsidR="00516898" w:rsidRPr="00316061" w:rsidRDefault="00516898" w:rsidP="00516898">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change in legal is text is representative of the trade associations rationale that </w:t>
      </w:r>
      <w:r w:rsidRPr="00316061">
        <w:rPr>
          <w:rFonts w:asciiTheme="minorHAnsi" w:hAnsiTheme="minorHAnsi"/>
          <w:i/>
          <w:sz w:val="22"/>
          <w:szCs w:val="22"/>
        </w:rPr>
        <w:t>“Heat pumps over 16amps complying with 3-11 and 3-12 represent a low technical risk and capture suitable data to assess the need to reinforce.  These are being installed today so evidence suggests they are suitable for connection so the risk therefore is limited to costs to the DNO and is a political question of whether it is acceptable to charge a majority of customer for a minority of installations.  That said</w:t>
      </w:r>
      <w:proofErr w:type="gramStart"/>
      <w:r w:rsidRPr="00316061">
        <w:rPr>
          <w:rFonts w:asciiTheme="minorHAnsi" w:hAnsiTheme="minorHAnsi"/>
          <w:i/>
          <w:sz w:val="22"/>
          <w:szCs w:val="22"/>
        </w:rPr>
        <w:t>,</w:t>
      </w:r>
      <w:proofErr w:type="gramEnd"/>
      <w:r w:rsidRPr="00316061">
        <w:rPr>
          <w:rFonts w:asciiTheme="minorHAnsi" w:hAnsiTheme="minorHAnsi"/>
          <w:i/>
          <w:sz w:val="22"/>
          <w:szCs w:val="22"/>
        </w:rPr>
        <w:t xml:space="preserve"> we see no better mechanism for facilitating the growth of the heat pump market than through ED1. The alternative is to charge customers up to £11,000 each for reinforcement which will stifle growth”.</w:t>
      </w:r>
      <w:r w:rsidRPr="00316061">
        <w:rPr>
          <w:rFonts w:asciiTheme="minorHAnsi" w:hAnsiTheme="minorHAnsi"/>
          <w:sz w:val="22"/>
          <w:szCs w:val="22"/>
        </w:rPr>
        <w:t xml:space="preserve">  </w:t>
      </w:r>
    </w:p>
    <w:p w:rsidR="00E65009" w:rsidRPr="00E65009" w:rsidRDefault="00E65009" w:rsidP="00E65009">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E65009">
        <w:rPr>
          <w:rFonts w:asciiTheme="minorHAnsi" w:hAnsiTheme="minorHAnsi"/>
          <w:sz w:val="22"/>
          <w:szCs w:val="22"/>
        </w:rPr>
        <w:t>The Working Group noted that the trade associations prefer O</w:t>
      </w:r>
      <w:r w:rsidR="00196C50">
        <w:rPr>
          <w:rFonts w:asciiTheme="minorHAnsi" w:hAnsiTheme="minorHAnsi"/>
          <w:sz w:val="22"/>
          <w:szCs w:val="22"/>
        </w:rPr>
        <w:t>ption C</w:t>
      </w:r>
      <w:r w:rsidRPr="00E65009">
        <w:rPr>
          <w:rFonts w:asciiTheme="minorHAnsi" w:hAnsiTheme="minorHAnsi"/>
          <w:sz w:val="22"/>
          <w:szCs w:val="22"/>
        </w:rPr>
        <w:t xml:space="preserve"> which makes reference to the BS EN 61000-3-2 and BS EN</w:t>
      </w:r>
      <w:r w:rsidR="00196C50">
        <w:rPr>
          <w:rFonts w:asciiTheme="minorHAnsi" w:hAnsiTheme="minorHAnsi"/>
          <w:sz w:val="22"/>
          <w:szCs w:val="22"/>
        </w:rPr>
        <w:t xml:space="preserve"> </w:t>
      </w:r>
      <w:r w:rsidRPr="00E65009">
        <w:rPr>
          <w:rFonts w:asciiTheme="minorHAnsi" w:hAnsiTheme="minorHAnsi"/>
          <w:sz w:val="22"/>
          <w:szCs w:val="22"/>
        </w:rPr>
        <w:t>61000-3-3 standards for equipment rated up to 16 amperes. The trade associations have requested that rather than excluding equipment above 16 amperes instead the equipment should comply with BS EN 61000-3-11 and BS EN 61000-3-3-12. The Working Group agreed to add</w:t>
      </w:r>
      <w:r w:rsidR="00196C50">
        <w:rPr>
          <w:rFonts w:asciiTheme="minorHAnsi" w:hAnsiTheme="minorHAnsi"/>
          <w:sz w:val="22"/>
          <w:szCs w:val="22"/>
        </w:rPr>
        <w:t xml:space="preserve"> the</w:t>
      </w:r>
      <w:r w:rsidRPr="00E65009">
        <w:rPr>
          <w:rFonts w:asciiTheme="minorHAnsi" w:hAnsiTheme="minorHAnsi"/>
          <w:sz w:val="22"/>
          <w:szCs w:val="22"/>
        </w:rPr>
        <w:t xml:space="preserve"> references to </w:t>
      </w:r>
      <w:r w:rsidR="00196C50" w:rsidRPr="00E65009">
        <w:rPr>
          <w:rFonts w:asciiTheme="minorHAnsi" w:hAnsiTheme="minorHAnsi"/>
          <w:sz w:val="22"/>
          <w:szCs w:val="22"/>
        </w:rPr>
        <w:t>with BS EN 61000-3-11 and BS EN 61000-3-3-12</w:t>
      </w:r>
      <w:r w:rsidR="00196C50">
        <w:rPr>
          <w:rFonts w:asciiTheme="minorHAnsi" w:hAnsiTheme="minorHAnsi"/>
          <w:sz w:val="22"/>
          <w:szCs w:val="22"/>
        </w:rPr>
        <w:t xml:space="preserve"> </w:t>
      </w:r>
      <w:r w:rsidRPr="00E65009">
        <w:rPr>
          <w:rFonts w:asciiTheme="minorHAnsi" w:hAnsiTheme="minorHAnsi"/>
          <w:sz w:val="22"/>
          <w:szCs w:val="22"/>
        </w:rPr>
        <w:t>but this would be in respect of demand applications only.</w:t>
      </w:r>
    </w:p>
    <w:p w:rsidR="00EC55F8" w:rsidRDefault="0006423B" w:rsidP="0002616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026160">
        <w:rPr>
          <w:rFonts w:asciiTheme="minorHAnsi" w:hAnsiTheme="minorHAnsi"/>
          <w:sz w:val="22"/>
          <w:szCs w:val="22"/>
        </w:rPr>
        <w:t>The Working Group considered the IDNO responses and agreed that in addition to the technical</w:t>
      </w:r>
      <w:r w:rsidR="00EC55F8">
        <w:rPr>
          <w:rFonts w:asciiTheme="minorHAnsi" w:hAnsiTheme="minorHAnsi"/>
          <w:sz w:val="22"/>
          <w:szCs w:val="22"/>
        </w:rPr>
        <w:t xml:space="preserve"> specifications, </w:t>
      </w:r>
      <w:r w:rsidR="00026160" w:rsidRPr="00026160">
        <w:rPr>
          <w:rFonts w:asciiTheme="minorHAnsi" w:hAnsiTheme="minorHAnsi"/>
          <w:sz w:val="22"/>
          <w:szCs w:val="22"/>
        </w:rPr>
        <w:t xml:space="preserve">how the equipment is </w:t>
      </w:r>
      <w:r w:rsidRPr="00026160">
        <w:rPr>
          <w:rFonts w:asciiTheme="minorHAnsi" w:hAnsiTheme="minorHAnsi"/>
          <w:sz w:val="22"/>
          <w:szCs w:val="22"/>
        </w:rPr>
        <w:t>operated will influence the decision of how reinforcement is required but not the apportionment of costs.</w:t>
      </w:r>
      <w:r w:rsidR="00026160">
        <w:rPr>
          <w:rFonts w:asciiTheme="minorHAnsi" w:hAnsiTheme="minorHAnsi"/>
          <w:sz w:val="22"/>
          <w:szCs w:val="22"/>
        </w:rPr>
        <w:t xml:space="preserve"> </w:t>
      </w:r>
    </w:p>
    <w:p w:rsidR="00026160" w:rsidRPr="00026160" w:rsidRDefault="00026160" w:rsidP="0002616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026160">
        <w:rPr>
          <w:rFonts w:asciiTheme="minorHAnsi" w:hAnsiTheme="minorHAnsi"/>
          <w:sz w:val="22"/>
          <w:szCs w:val="22"/>
        </w:rPr>
        <w:lastRenderedPageBreak/>
        <w:t>Members considered the suggestion that the proposed change goes beyond load growth when seeking to put in place arrangements in regards to load which cause disturbance on the network</w:t>
      </w:r>
      <w:r w:rsidR="00EC55F8">
        <w:rPr>
          <w:rFonts w:asciiTheme="minorHAnsi" w:hAnsiTheme="minorHAnsi"/>
          <w:sz w:val="22"/>
          <w:szCs w:val="22"/>
        </w:rPr>
        <w:t xml:space="preserve"> and that the </w:t>
      </w:r>
      <w:r w:rsidR="00A94943">
        <w:rPr>
          <w:rFonts w:asciiTheme="minorHAnsi" w:hAnsiTheme="minorHAnsi"/>
          <w:sz w:val="22"/>
          <w:szCs w:val="22"/>
        </w:rPr>
        <w:t xml:space="preserve">IDNO </w:t>
      </w:r>
      <w:r w:rsidR="00EC55F8">
        <w:rPr>
          <w:rFonts w:asciiTheme="minorHAnsi" w:hAnsiTheme="minorHAnsi"/>
          <w:sz w:val="22"/>
          <w:szCs w:val="22"/>
        </w:rPr>
        <w:t>respondent did not consider it to be equitable or fair i</w:t>
      </w:r>
      <w:r w:rsidR="000C7200">
        <w:rPr>
          <w:rFonts w:asciiTheme="minorHAnsi" w:hAnsiTheme="minorHAnsi"/>
          <w:sz w:val="22"/>
          <w:szCs w:val="22"/>
        </w:rPr>
        <w:t xml:space="preserve">n regards to using </w:t>
      </w:r>
      <w:r w:rsidR="00EC55F8">
        <w:rPr>
          <w:rFonts w:asciiTheme="minorHAnsi" w:hAnsiTheme="minorHAnsi"/>
          <w:sz w:val="22"/>
          <w:szCs w:val="22"/>
        </w:rPr>
        <w:t>the British standards to</w:t>
      </w:r>
      <w:r w:rsidR="000C7200">
        <w:rPr>
          <w:rFonts w:asciiTheme="minorHAnsi" w:hAnsiTheme="minorHAnsi"/>
          <w:sz w:val="22"/>
          <w:szCs w:val="22"/>
        </w:rPr>
        <w:t xml:space="preserve"> determine whether a consumer should pay </w:t>
      </w:r>
      <w:proofErr w:type="gramStart"/>
      <w:r w:rsidR="000C7200">
        <w:rPr>
          <w:rFonts w:asciiTheme="minorHAnsi" w:hAnsiTheme="minorHAnsi"/>
          <w:sz w:val="22"/>
          <w:szCs w:val="22"/>
        </w:rPr>
        <w:t xml:space="preserve">to </w:t>
      </w:r>
      <w:r w:rsidR="00EC55F8">
        <w:rPr>
          <w:rFonts w:asciiTheme="minorHAnsi" w:hAnsiTheme="minorHAnsi"/>
          <w:sz w:val="22"/>
          <w:szCs w:val="22"/>
        </w:rPr>
        <w:t xml:space="preserve"> accommodate</w:t>
      </w:r>
      <w:proofErr w:type="gramEnd"/>
      <w:r w:rsidR="00EC55F8">
        <w:rPr>
          <w:rFonts w:asciiTheme="minorHAnsi" w:hAnsiTheme="minorHAnsi"/>
          <w:sz w:val="22"/>
          <w:szCs w:val="22"/>
        </w:rPr>
        <w:t xml:space="preserve"> reinforcement</w:t>
      </w:r>
      <w:r w:rsidR="000C7200">
        <w:rPr>
          <w:rFonts w:asciiTheme="minorHAnsi" w:hAnsiTheme="minorHAnsi"/>
          <w:sz w:val="22"/>
          <w:szCs w:val="22"/>
        </w:rPr>
        <w:t xml:space="preserve"> caused by harmonics disturbing the network</w:t>
      </w:r>
      <w:r w:rsidRPr="00026160">
        <w:rPr>
          <w:rFonts w:asciiTheme="minorHAnsi" w:hAnsiTheme="minorHAnsi"/>
          <w:sz w:val="22"/>
          <w:szCs w:val="22"/>
        </w:rPr>
        <w:t>.</w:t>
      </w:r>
    </w:p>
    <w:p w:rsidR="00026160" w:rsidRPr="00026160" w:rsidRDefault="00026160" w:rsidP="0002616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026160">
        <w:rPr>
          <w:rFonts w:asciiTheme="minorHAnsi" w:hAnsiTheme="minorHAnsi"/>
          <w:sz w:val="22"/>
          <w:szCs w:val="22"/>
        </w:rPr>
        <w:t xml:space="preserve">The Working Group advised that </w:t>
      </w:r>
      <w:r w:rsidR="00EC55F8">
        <w:rPr>
          <w:rFonts w:asciiTheme="minorHAnsi" w:hAnsiTheme="minorHAnsi"/>
          <w:sz w:val="22"/>
          <w:szCs w:val="22"/>
        </w:rPr>
        <w:t xml:space="preserve">if the DCP 205 change was implemented then </w:t>
      </w:r>
      <w:r w:rsidRPr="00026160">
        <w:rPr>
          <w:rFonts w:asciiTheme="minorHAnsi" w:hAnsiTheme="minorHAnsi"/>
          <w:sz w:val="22"/>
          <w:szCs w:val="22"/>
        </w:rPr>
        <w:t>whether the equipment is compliant</w:t>
      </w:r>
      <w:r w:rsidR="00EC55F8">
        <w:rPr>
          <w:rFonts w:asciiTheme="minorHAnsi" w:hAnsiTheme="minorHAnsi"/>
          <w:sz w:val="22"/>
          <w:szCs w:val="22"/>
        </w:rPr>
        <w:t xml:space="preserve"> with the British Standard would</w:t>
      </w:r>
      <w:r w:rsidRPr="00026160">
        <w:rPr>
          <w:rFonts w:asciiTheme="minorHAnsi" w:hAnsiTheme="minorHAnsi"/>
          <w:sz w:val="22"/>
          <w:szCs w:val="22"/>
        </w:rPr>
        <w:t xml:space="preserve"> decide whether the customer is charged reinforcement. </w:t>
      </w:r>
      <w:r w:rsidR="00EC55F8">
        <w:rPr>
          <w:rFonts w:asciiTheme="minorHAnsi" w:hAnsiTheme="minorHAnsi"/>
          <w:sz w:val="22"/>
          <w:szCs w:val="22"/>
        </w:rPr>
        <w:t xml:space="preserve">The Working Group considered this to be a </w:t>
      </w:r>
      <w:r w:rsidRPr="00026160">
        <w:rPr>
          <w:rFonts w:asciiTheme="minorHAnsi" w:hAnsiTheme="minorHAnsi"/>
          <w:sz w:val="22"/>
          <w:szCs w:val="22"/>
        </w:rPr>
        <w:t xml:space="preserve">better position than </w:t>
      </w:r>
      <w:r w:rsidR="00EC55F8">
        <w:rPr>
          <w:rFonts w:asciiTheme="minorHAnsi" w:hAnsiTheme="minorHAnsi"/>
          <w:sz w:val="22"/>
          <w:szCs w:val="22"/>
        </w:rPr>
        <w:t>the current position</w:t>
      </w:r>
      <w:r w:rsidRPr="00026160">
        <w:rPr>
          <w:rFonts w:asciiTheme="minorHAnsi" w:hAnsiTheme="minorHAnsi"/>
          <w:sz w:val="22"/>
          <w:szCs w:val="22"/>
        </w:rPr>
        <w:t xml:space="preserve"> where the customer will be charged reinforcement wherever reinforcement is required irrespective of the equipment standards.</w:t>
      </w:r>
    </w:p>
    <w:p w:rsidR="00026160" w:rsidRDefault="000C7200" w:rsidP="000C720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0C7200">
        <w:rPr>
          <w:rFonts w:asciiTheme="minorHAnsi" w:hAnsiTheme="minorHAnsi"/>
          <w:sz w:val="22"/>
          <w:szCs w:val="22"/>
        </w:rPr>
        <w:t xml:space="preserve">The Working Group noted that they addressed the concerns of the trade association </w:t>
      </w:r>
      <w:r>
        <w:rPr>
          <w:rFonts w:asciiTheme="minorHAnsi" w:hAnsiTheme="minorHAnsi"/>
          <w:sz w:val="22"/>
          <w:szCs w:val="22"/>
        </w:rPr>
        <w:t>and the consultant</w:t>
      </w:r>
      <w:r w:rsidRPr="000C7200">
        <w:rPr>
          <w:rFonts w:asciiTheme="minorHAnsi" w:hAnsiTheme="minorHAnsi"/>
          <w:sz w:val="22"/>
          <w:szCs w:val="22"/>
        </w:rPr>
        <w:t xml:space="preserve"> respondents</w:t>
      </w:r>
      <w:r>
        <w:rPr>
          <w:rFonts w:asciiTheme="minorHAnsi" w:hAnsiTheme="minorHAnsi"/>
          <w:sz w:val="22"/>
          <w:szCs w:val="22"/>
        </w:rPr>
        <w:t xml:space="preserve"> </w:t>
      </w:r>
      <w:r w:rsidRPr="000C7200">
        <w:rPr>
          <w:rFonts w:asciiTheme="minorHAnsi" w:hAnsiTheme="minorHAnsi"/>
          <w:sz w:val="22"/>
          <w:szCs w:val="22"/>
        </w:rPr>
        <w:t>in their response to question one.</w:t>
      </w:r>
    </w:p>
    <w:p w:rsidR="00E65009" w:rsidRDefault="00A94943" w:rsidP="00E65009">
      <w:pPr>
        <w:pStyle w:val="Heading2"/>
        <w:keepNext w:val="0"/>
        <w:numPr>
          <w:ilvl w:val="1"/>
          <w:numId w:val="7"/>
        </w:numPr>
        <w:tabs>
          <w:tab w:val="num" w:pos="709"/>
        </w:tabs>
        <w:spacing w:line="360" w:lineRule="auto"/>
        <w:ind w:left="567" w:hanging="567"/>
        <w:jc w:val="both"/>
      </w:pPr>
      <w:r w:rsidRPr="00A94943">
        <w:rPr>
          <w:rFonts w:asciiTheme="minorHAnsi" w:hAnsiTheme="minorHAnsi"/>
          <w:sz w:val="22"/>
          <w:szCs w:val="22"/>
        </w:rPr>
        <w:t xml:space="preserve">The Working Group referred one DNO respondent to their response to question two and advised that </w:t>
      </w:r>
      <w:r>
        <w:rPr>
          <w:rFonts w:asciiTheme="minorHAnsi" w:hAnsiTheme="minorHAnsi"/>
          <w:sz w:val="22"/>
          <w:szCs w:val="22"/>
        </w:rPr>
        <w:t xml:space="preserve">although the Working Group prefer the DCP 205 solution, they would be providing both DCP 205 and DCP 205A to </w:t>
      </w:r>
      <w:proofErr w:type="spellStart"/>
      <w:r>
        <w:rPr>
          <w:rFonts w:asciiTheme="minorHAnsi" w:hAnsiTheme="minorHAnsi"/>
          <w:sz w:val="22"/>
          <w:szCs w:val="22"/>
        </w:rPr>
        <w:t>Ofgem</w:t>
      </w:r>
      <w:proofErr w:type="spellEnd"/>
      <w:r>
        <w:rPr>
          <w:rFonts w:asciiTheme="minorHAnsi" w:hAnsiTheme="minorHAnsi"/>
          <w:sz w:val="22"/>
          <w:szCs w:val="22"/>
        </w:rPr>
        <w:t xml:space="preserve"> so that they may have choice on their preferred solution.</w:t>
      </w:r>
    </w:p>
    <w:p w:rsidR="00E64CE5" w:rsidRPr="00316061" w:rsidRDefault="00E64CE5" w:rsidP="00E64CE5">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t>Question 4: Are there any unforeseen impacts from either change which the Working Group should take in to account?</w:t>
      </w:r>
    </w:p>
    <w:p w:rsidR="005C72C3" w:rsidRPr="00316061" w:rsidRDefault="005C72C3" w:rsidP="005C72C3">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Three DNOs respondents noted that they were not aware of any unforeseen impacts from this change. One DNO respondent</w:t>
      </w:r>
      <w:r w:rsidR="003A335D" w:rsidRPr="00316061">
        <w:rPr>
          <w:rFonts w:asciiTheme="minorHAnsi" w:hAnsiTheme="minorHAnsi"/>
          <w:sz w:val="22"/>
          <w:szCs w:val="22"/>
        </w:rPr>
        <w:t xml:space="preserve"> advised</w:t>
      </w:r>
      <w:r w:rsidRPr="00316061">
        <w:rPr>
          <w:rFonts w:asciiTheme="minorHAnsi" w:hAnsiTheme="minorHAnsi"/>
          <w:sz w:val="22"/>
          <w:szCs w:val="22"/>
        </w:rPr>
        <w:t xml:space="preserve"> that there was likely to be a foreseen impact on all Use of System (</w:t>
      </w:r>
      <w:proofErr w:type="spellStart"/>
      <w:r w:rsidRPr="00316061">
        <w:rPr>
          <w:rFonts w:asciiTheme="minorHAnsi" w:hAnsiTheme="minorHAnsi"/>
          <w:sz w:val="22"/>
          <w:szCs w:val="22"/>
        </w:rPr>
        <w:t>UoS</w:t>
      </w:r>
      <w:proofErr w:type="spellEnd"/>
      <w:r w:rsidRPr="00316061">
        <w:rPr>
          <w:rFonts w:asciiTheme="minorHAnsi" w:hAnsiTheme="minorHAnsi"/>
          <w:sz w:val="22"/>
          <w:szCs w:val="22"/>
        </w:rPr>
        <w:t>) customers caused by some existing customers adopting certain equipment. Another DNO respondent</w:t>
      </w:r>
      <w:r w:rsidR="003A335D" w:rsidRPr="00316061">
        <w:rPr>
          <w:rFonts w:asciiTheme="minorHAnsi" w:hAnsiTheme="minorHAnsi"/>
          <w:sz w:val="22"/>
          <w:szCs w:val="22"/>
        </w:rPr>
        <w:t xml:space="preserve"> considered that </w:t>
      </w:r>
      <w:r w:rsidR="003A335D" w:rsidRPr="00316061">
        <w:rPr>
          <w:rFonts w:asciiTheme="minorHAnsi" w:hAnsiTheme="minorHAnsi"/>
          <w:i/>
          <w:sz w:val="22"/>
          <w:szCs w:val="22"/>
        </w:rPr>
        <w:t>“DCP 205 can only operate as drafted if it is legally possible for the customer to connect additional load that does not comply with current standards.  If all equipment has to comply with the standard before being sold in the UK then DCP205 and DCP205A have the same outcome”.</w:t>
      </w:r>
    </w:p>
    <w:p w:rsidR="00D56A9D" w:rsidRPr="00316061" w:rsidRDefault="003A335D" w:rsidP="000534E6">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IDNO respondent</w:t>
      </w:r>
      <w:r w:rsidR="00D56A9D" w:rsidRPr="00316061">
        <w:rPr>
          <w:rFonts w:asciiTheme="minorHAnsi" w:hAnsiTheme="minorHAnsi"/>
          <w:sz w:val="22"/>
          <w:szCs w:val="22"/>
        </w:rPr>
        <w:t xml:space="preserve"> referenced Ofgem’s view in their RII0-ED1 final position paper to socialise costs as an interim measure prior to the roll out of smart metering. This respondent considered that smart grids are unlikely to provide information on harmonic disturbance introduced by customers connecting equipment to the network. </w:t>
      </w:r>
    </w:p>
    <w:p w:rsidR="00D56A9D" w:rsidRPr="00316061" w:rsidRDefault="00D56A9D" w:rsidP="000534E6">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lastRenderedPageBreak/>
        <w:t xml:space="preserve">This </w:t>
      </w:r>
      <w:r w:rsidR="004723B2" w:rsidRPr="00316061">
        <w:rPr>
          <w:rFonts w:asciiTheme="minorHAnsi" w:hAnsiTheme="minorHAnsi"/>
          <w:sz w:val="22"/>
          <w:szCs w:val="22"/>
        </w:rPr>
        <w:t xml:space="preserve">IDNO </w:t>
      </w:r>
      <w:r w:rsidRPr="00316061">
        <w:rPr>
          <w:rFonts w:asciiTheme="minorHAnsi" w:hAnsiTheme="minorHAnsi"/>
          <w:sz w:val="22"/>
          <w:szCs w:val="22"/>
        </w:rPr>
        <w:t xml:space="preserve">respondent highlighted the proposal for cost of reinforcement to domestic customers to be socialised through </w:t>
      </w:r>
      <w:proofErr w:type="spellStart"/>
      <w:r w:rsidRPr="00316061">
        <w:rPr>
          <w:rFonts w:asciiTheme="minorHAnsi" w:hAnsiTheme="minorHAnsi"/>
          <w:sz w:val="22"/>
          <w:szCs w:val="22"/>
        </w:rPr>
        <w:t>DUoS</w:t>
      </w:r>
      <w:proofErr w:type="spellEnd"/>
      <w:r w:rsidRPr="00316061">
        <w:rPr>
          <w:rFonts w:asciiTheme="minorHAnsi" w:hAnsiTheme="minorHAnsi"/>
          <w:sz w:val="22"/>
          <w:szCs w:val="22"/>
        </w:rPr>
        <w:t xml:space="preserve"> costs. The respondent suggested that the Working Group should consider socialising the costs of reinforcement across the Customer Group who benefitted from the reinforcement only under the CDCM.</w:t>
      </w:r>
      <w:r w:rsidR="004723B2" w:rsidRPr="00316061">
        <w:rPr>
          <w:rFonts w:asciiTheme="minorHAnsi" w:hAnsiTheme="minorHAnsi"/>
          <w:sz w:val="22"/>
          <w:szCs w:val="22"/>
        </w:rPr>
        <w:t xml:space="preserve"> As the CDCM does not directly allocate reinforcement costs, (</w:t>
      </w:r>
      <w:r w:rsidR="004723B2" w:rsidRPr="00316061">
        <w:rPr>
          <w:rFonts w:asciiTheme="minorHAnsi" w:hAnsiTheme="minorHAnsi"/>
          <w:i/>
          <w:sz w:val="22"/>
          <w:szCs w:val="22"/>
        </w:rPr>
        <w:t>“costs are recovered implicitly through other costs drivers in the CDCM (such as MEAV from the 500MW model)</w:t>
      </w:r>
      <w:proofErr w:type="gramStart"/>
      <w:r w:rsidR="004723B2" w:rsidRPr="00316061">
        <w:rPr>
          <w:rFonts w:asciiTheme="minorHAnsi" w:hAnsiTheme="minorHAnsi"/>
          <w:i/>
          <w:sz w:val="22"/>
          <w:szCs w:val="22"/>
        </w:rPr>
        <w:t>” )</w:t>
      </w:r>
      <w:proofErr w:type="gramEnd"/>
      <w:r w:rsidR="004723B2" w:rsidRPr="00316061">
        <w:rPr>
          <w:rFonts w:asciiTheme="minorHAnsi" w:hAnsiTheme="minorHAnsi"/>
          <w:sz w:val="22"/>
          <w:szCs w:val="22"/>
        </w:rPr>
        <w:t xml:space="preserve">the costs are instead recovered through all customer groups including LV and HV. This respondent considered that customer groups that were not covered by the DCP 205 proposal to socialise reinforcement costs would be penalised as those customer groups would still have to pay reinforcement costs through their connection </w:t>
      </w:r>
      <w:proofErr w:type="gramStart"/>
      <w:r w:rsidR="004723B2" w:rsidRPr="00316061">
        <w:rPr>
          <w:rFonts w:asciiTheme="minorHAnsi" w:hAnsiTheme="minorHAnsi"/>
          <w:sz w:val="22"/>
          <w:szCs w:val="22"/>
        </w:rPr>
        <w:t>charges  and</w:t>
      </w:r>
      <w:proofErr w:type="gramEnd"/>
      <w:r w:rsidR="004723B2" w:rsidRPr="00316061">
        <w:rPr>
          <w:rFonts w:asciiTheme="minorHAnsi" w:hAnsiTheme="minorHAnsi"/>
          <w:sz w:val="22"/>
          <w:szCs w:val="22"/>
        </w:rPr>
        <w:t xml:space="preserve"> would also have to pay for the other customer groups network reinforcement through socialised charges.</w:t>
      </w:r>
    </w:p>
    <w:p w:rsidR="008E219F" w:rsidRPr="00316061" w:rsidRDefault="008E219F" w:rsidP="008E219F">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Two trade association respondents advised that </w:t>
      </w:r>
      <w:r w:rsidR="002E6F7C" w:rsidRPr="00316061">
        <w:rPr>
          <w:rFonts w:asciiTheme="minorHAnsi" w:hAnsiTheme="minorHAnsi"/>
          <w:sz w:val="22"/>
          <w:szCs w:val="22"/>
        </w:rPr>
        <w:t xml:space="preserve">they did not consider the changes proposed to meet the RII0-ED1 policy and noted that there is an argument which suggests that it would not be fair to impose the socialising of costs due to a minority connecting heat pumps but that it was also not fair for a single customer to be expected to pay </w:t>
      </w:r>
      <w:commentRangeStart w:id="1"/>
      <w:r w:rsidR="002E6F7C" w:rsidRPr="00316061">
        <w:rPr>
          <w:rFonts w:asciiTheme="minorHAnsi" w:hAnsiTheme="minorHAnsi"/>
          <w:sz w:val="22"/>
          <w:szCs w:val="22"/>
        </w:rPr>
        <w:t xml:space="preserve">£11,000 </w:t>
      </w:r>
      <w:commentRangeEnd w:id="1"/>
      <w:r w:rsidR="002E6F7C" w:rsidRPr="00316061">
        <w:rPr>
          <w:rStyle w:val="CommentReference"/>
          <w:rFonts w:asciiTheme="minorHAnsi" w:hAnsiTheme="minorHAnsi"/>
          <w:bCs w:val="0"/>
          <w:iCs w:val="0"/>
          <w:sz w:val="22"/>
          <w:szCs w:val="22"/>
        </w:rPr>
        <w:commentReference w:id="1"/>
      </w:r>
      <w:r w:rsidR="002E6F7C" w:rsidRPr="00316061">
        <w:rPr>
          <w:rFonts w:asciiTheme="minorHAnsi" w:hAnsiTheme="minorHAnsi"/>
          <w:sz w:val="22"/>
          <w:szCs w:val="22"/>
        </w:rPr>
        <w:t>for the reinforcement of the network where other customers on the same street have not had to pay to connect their equipment.</w:t>
      </w:r>
    </w:p>
    <w:p w:rsidR="002E6F7C" w:rsidRPr="00316061" w:rsidRDefault="002E6F7C" w:rsidP="002E6F7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consultant respondent noted that if heat pumps were expected to be in scope for this change then the consultant’s earlier proposals in question one and two along with the reference standards would allow the DNO to stay abreast of the need for reinforcement.</w:t>
      </w:r>
    </w:p>
    <w:p w:rsidR="00621384" w:rsidRPr="00BE6E5C" w:rsidRDefault="00621384" w:rsidP="00BE6E5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BE6E5C">
        <w:rPr>
          <w:rFonts w:asciiTheme="minorHAnsi" w:hAnsiTheme="minorHAnsi"/>
          <w:sz w:val="22"/>
          <w:szCs w:val="22"/>
        </w:rPr>
        <w:t>The Working Group noted the IDNOs point but clarified that when smart meters are installed DNOs would be charging for capacity rather than for harmonics.</w:t>
      </w:r>
      <w:r w:rsidR="00BE6E5C" w:rsidRPr="00BE6E5C">
        <w:rPr>
          <w:rFonts w:asciiTheme="minorHAnsi" w:hAnsiTheme="minorHAnsi"/>
          <w:sz w:val="22"/>
          <w:szCs w:val="22"/>
        </w:rPr>
        <w:t xml:space="preserve"> In regards to the IDNOs respondents suggestion that the socialised costs for certain connections proposed by this change should be reflected in the </w:t>
      </w:r>
      <w:r w:rsidR="00BE6E5C">
        <w:rPr>
          <w:rFonts w:asciiTheme="minorHAnsi" w:hAnsiTheme="minorHAnsi"/>
          <w:sz w:val="22"/>
          <w:szCs w:val="22"/>
        </w:rPr>
        <w:t xml:space="preserve">CDCM under the relevant </w:t>
      </w:r>
      <w:r w:rsidR="00BE6E5C" w:rsidRPr="00BE6E5C">
        <w:rPr>
          <w:rFonts w:asciiTheme="minorHAnsi" w:hAnsiTheme="minorHAnsi"/>
          <w:sz w:val="22"/>
          <w:szCs w:val="22"/>
        </w:rPr>
        <w:t xml:space="preserve">customer group, the Working Group clarified that this change is not considering how </w:t>
      </w:r>
      <w:proofErr w:type="spellStart"/>
      <w:r w:rsidR="00BE6E5C" w:rsidRPr="00BE6E5C">
        <w:rPr>
          <w:rFonts w:asciiTheme="minorHAnsi" w:hAnsiTheme="minorHAnsi"/>
          <w:sz w:val="22"/>
          <w:szCs w:val="22"/>
        </w:rPr>
        <w:t>DUoS</w:t>
      </w:r>
      <w:proofErr w:type="spellEnd"/>
      <w:r w:rsidR="00BE6E5C" w:rsidRPr="00BE6E5C">
        <w:rPr>
          <w:rFonts w:asciiTheme="minorHAnsi" w:hAnsiTheme="minorHAnsi"/>
          <w:sz w:val="22"/>
          <w:szCs w:val="22"/>
        </w:rPr>
        <w:t xml:space="preserve"> costs are socialised but rather what costs are to be socialised</w:t>
      </w:r>
      <w:r w:rsidR="00BE6E5C">
        <w:rPr>
          <w:rFonts w:asciiTheme="minorHAnsi" w:hAnsiTheme="minorHAnsi"/>
          <w:sz w:val="22"/>
          <w:szCs w:val="22"/>
        </w:rPr>
        <w:t>.</w:t>
      </w:r>
    </w:p>
    <w:p w:rsidR="00F70BDE" w:rsidRPr="00BE6E5C" w:rsidRDefault="00BE6E5C" w:rsidP="00BE6E5C">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Pr>
          <w:rFonts w:asciiTheme="minorHAnsi" w:hAnsiTheme="minorHAnsi"/>
          <w:sz w:val="22"/>
          <w:szCs w:val="22"/>
        </w:rPr>
        <w:t xml:space="preserve">The Working Group considered the trade association’s response and the Working Group attendee who reiterated the trade association’s position by stating </w:t>
      </w:r>
      <w:r w:rsidR="00621384" w:rsidRPr="00BE6E5C">
        <w:rPr>
          <w:rFonts w:asciiTheme="minorHAnsi" w:hAnsiTheme="minorHAnsi"/>
          <w:sz w:val="22"/>
          <w:szCs w:val="22"/>
        </w:rPr>
        <w:t xml:space="preserve">that although this </w:t>
      </w:r>
      <w:r>
        <w:rPr>
          <w:rFonts w:asciiTheme="minorHAnsi" w:hAnsiTheme="minorHAnsi"/>
          <w:sz w:val="22"/>
          <w:szCs w:val="22"/>
        </w:rPr>
        <w:t xml:space="preserve">change </w:t>
      </w:r>
      <w:r w:rsidR="00621384" w:rsidRPr="00BE6E5C">
        <w:rPr>
          <w:rFonts w:asciiTheme="minorHAnsi" w:hAnsiTheme="minorHAnsi"/>
          <w:sz w:val="22"/>
          <w:szCs w:val="22"/>
        </w:rPr>
        <w:t xml:space="preserve">socialises reinforcement costs where a service doesn’t require to be modified it does not address the costs of service upgrades. </w:t>
      </w:r>
      <w:r>
        <w:rPr>
          <w:rFonts w:asciiTheme="minorHAnsi" w:hAnsiTheme="minorHAnsi"/>
          <w:sz w:val="22"/>
          <w:szCs w:val="22"/>
        </w:rPr>
        <w:t>Members considered that t</w:t>
      </w:r>
      <w:r w:rsidR="00621384" w:rsidRPr="00BE6E5C">
        <w:rPr>
          <w:rFonts w:asciiTheme="minorHAnsi" w:hAnsiTheme="minorHAnsi"/>
          <w:sz w:val="22"/>
          <w:szCs w:val="22"/>
        </w:rPr>
        <w:t>his comment refers to a sole use asset that could be used for a future connection as a jointly used asset. This is out of scope of this change.</w:t>
      </w:r>
    </w:p>
    <w:p w:rsidR="00E64CE5" w:rsidRPr="00316061" w:rsidRDefault="00E64CE5" w:rsidP="00E64CE5">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lastRenderedPageBreak/>
        <w:t xml:space="preserve">Question 5: </w:t>
      </w:r>
      <w:r w:rsidRPr="00316061">
        <w:rPr>
          <w:rFonts w:asciiTheme="minorHAnsi" w:hAnsiTheme="minorHAnsi"/>
          <w:b/>
          <w:sz w:val="22"/>
          <w:szCs w:val="22"/>
          <w:u w:val="single"/>
        </w:rPr>
        <w:tab/>
      </w:r>
      <w:r w:rsidRPr="00316061">
        <w:rPr>
          <w:rFonts w:asciiTheme="minorHAnsi" w:hAnsiTheme="minorHAnsi"/>
          <w:b/>
          <w:sz w:val="22"/>
          <w:szCs w:val="22"/>
          <w:u w:val="single"/>
        </w:rPr>
        <w:tab/>
        <w:t xml:space="preserve">Are there any other National or International Standards that it would be reasonable  that if installed equipment does not comply with, </w:t>
      </w:r>
      <w:proofErr w:type="spellStart"/>
      <w:r w:rsidRPr="00316061">
        <w:rPr>
          <w:rFonts w:asciiTheme="minorHAnsi" w:hAnsiTheme="minorHAnsi"/>
          <w:b/>
          <w:sz w:val="22"/>
          <w:szCs w:val="22"/>
          <w:u w:val="single"/>
        </w:rPr>
        <w:t>DUoS</w:t>
      </w:r>
      <w:proofErr w:type="spellEnd"/>
      <w:r w:rsidRPr="00316061">
        <w:rPr>
          <w:rFonts w:asciiTheme="minorHAnsi" w:hAnsiTheme="minorHAnsi"/>
          <w:b/>
          <w:sz w:val="22"/>
          <w:szCs w:val="22"/>
          <w:u w:val="single"/>
        </w:rPr>
        <w:t xml:space="preserve"> customers would not be expected to fund network reinforcement for (in addition to those already laid out in DCP 205 Change Proposal)?</w:t>
      </w:r>
    </w:p>
    <w:p w:rsidR="002E6F7C" w:rsidRPr="00316061" w:rsidRDefault="009848F0" w:rsidP="009848F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Three DNO respondents were not aware of any other standards that would be applicable. One DNO respondent noted that the standards that were suggested for this change seemed reasonable. Another DNO respondent advised that the Distributor was required to comply with the Distribution code which contains a number of recognised standards.</w:t>
      </w:r>
    </w:p>
    <w:p w:rsidR="00CF6208" w:rsidRPr="00316061" w:rsidRDefault="0082582F" w:rsidP="0082582F">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Two trade association respondents noted that all heat pump installations were required to be compliant with the Microgeneration Certification Scheme (MCS) rules for the installation and correct operation of heat pumps. These respondents suggested that under the MCS rules a customer must notify the network in advance of the installation and commissioning using agreed forms A,B and C.  By following the MCS process the respondents advised that there is no risk of unplanned load as the DNOs are notified of any changes. These two trade associations proposed that </w:t>
      </w:r>
      <w:r w:rsidRPr="00316061">
        <w:rPr>
          <w:rFonts w:asciiTheme="minorHAnsi" w:hAnsiTheme="minorHAnsi"/>
          <w:i/>
          <w:sz w:val="22"/>
          <w:szCs w:val="22"/>
        </w:rPr>
        <w:t>“the DNOs could and should socialise connection costs for all heat pumps tested to the BS EN61000 series &lt;75 amperes”</w:t>
      </w:r>
      <w:r w:rsidRPr="00316061">
        <w:rPr>
          <w:rFonts w:asciiTheme="minorHAnsi" w:hAnsiTheme="minorHAnsi"/>
          <w:sz w:val="22"/>
          <w:szCs w:val="22"/>
        </w:rPr>
        <w:t>.</w:t>
      </w:r>
    </w:p>
    <w:p w:rsidR="009848F0" w:rsidRDefault="0082582F" w:rsidP="0082582F">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consultant respondent advised that </w:t>
      </w:r>
      <w:r w:rsidRPr="00316061">
        <w:rPr>
          <w:rFonts w:asciiTheme="minorHAnsi" w:hAnsiTheme="minorHAnsi"/>
          <w:i/>
          <w:sz w:val="22"/>
          <w:szCs w:val="22"/>
        </w:rPr>
        <w:t xml:space="preserve">“the </w:t>
      </w:r>
      <w:r w:rsidR="00CF6208" w:rsidRPr="00316061">
        <w:rPr>
          <w:rFonts w:asciiTheme="minorHAnsi" w:hAnsiTheme="minorHAnsi"/>
          <w:i/>
          <w:sz w:val="22"/>
          <w:szCs w:val="22"/>
        </w:rPr>
        <w:t>MCS scheme is currently the most developed</w:t>
      </w:r>
      <w:r w:rsidRPr="00316061">
        <w:rPr>
          <w:rFonts w:asciiTheme="minorHAnsi" w:hAnsiTheme="minorHAnsi"/>
          <w:i/>
          <w:sz w:val="22"/>
          <w:szCs w:val="22"/>
        </w:rPr>
        <w:t xml:space="preserve"> </w:t>
      </w:r>
      <w:r w:rsidR="00CF6208" w:rsidRPr="00316061">
        <w:rPr>
          <w:rFonts w:asciiTheme="minorHAnsi" w:hAnsiTheme="minorHAnsi"/>
          <w:i/>
          <w:sz w:val="22"/>
          <w:szCs w:val="22"/>
        </w:rPr>
        <w:t>quality standard within the EU and is used by the UK government to provide some</w:t>
      </w:r>
      <w:r w:rsidRPr="00316061">
        <w:rPr>
          <w:rFonts w:asciiTheme="minorHAnsi" w:hAnsiTheme="minorHAnsi"/>
          <w:i/>
          <w:sz w:val="22"/>
          <w:szCs w:val="22"/>
        </w:rPr>
        <w:t xml:space="preserve"> </w:t>
      </w:r>
      <w:r w:rsidR="00CF6208" w:rsidRPr="00316061">
        <w:rPr>
          <w:rFonts w:asciiTheme="minorHAnsi" w:hAnsiTheme="minorHAnsi"/>
          <w:i/>
          <w:sz w:val="22"/>
          <w:szCs w:val="22"/>
        </w:rPr>
        <w:t>degree of quality within its Renewable Energy Strategy (i.e. RHI). This is a vehicle that</w:t>
      </w:r>
      <w:r w:rsidRPr="00316061">
        <w:rPr>
          <w:rFonts w:asciiTheme="minorHAnsi" w:hAnsiTheme="minorHAnsi"/>
          <w:i/>
          <w:sz w:val="22"/>
          <w:szCs w:val="22"/>
        </w:rPr>
        <w:t xml:space="preserve"> </w:t>
      </w:r>
      <w:r w:rsidR="00CF6208" w:rsidRPr="00316061">
        <w:rPr>
          <w:rFonts w:asciiTheme="minorHAnsi" w:hAnsiTheme="minorHAnsi"/>
          <w:i/>
          <w:sz w:val="22"/>
          <w:szCs w:val="22"/>
        </w:rPr>
        <w:t>could work in combination with DNO requirements providing they are developed in</w:t>
      </w:r>
      <w:r w:rsidRPr="00316061">
        <w:rPr>
          <w:rFonts w:asciiTheme="minorHAnsi" w:hAnsiTheme="minorHAnsi"/>
          <w:i/>
          <w:sz w:val="22"/>
          <w:szCs w:val="22"/>
        </w:rPr>
        <w:t xml:space="preserve"> </w:t>
      </w:r>
      <w:r w:rsidR="00CF6208" w:rsidRPr="00316061">
        <w:rPr>
          <w:rFonts w:asciiTheme="minorHAnsi" w:hAnsiTheme="minorHAnsi"/>
          <w:i/>
          <w:sz w:val="22"/>
          <w:szCs w:val="22"/>
        </w:rPr>
        <w:t>unison</w:t>
      </w:r>
      <w:r w:rsidRPr="00316061">
        <w:rPr>
          <w:rFonts w:asciiTheme="minorHAnsi" w:hAnsiTheme="minorHAnsi"/>
          <w:i/>
          <w:sz w:val="22"/>
          <w:szCs w:val="22"/>
        </w:rPr>
        <w:t>”</w:t>
      </w:r>
      <w:r w:rsidR="00CF6208" w:rsidRPr="00316061">
        <w:rPr>
          <w:rFonts w:asciiTheme="minorHAnsi" w:hAnsiTheme="minorHAnsi"/>
          <w:sz w:val="22"/>
          <w:szCs w:val="22"/>
        </w:rPr>
        <w:t>.</w:t>
      </w:r>
    </w:p>
    <w:p w:rsidR="00264C10" w:rsidRPr="00C120BB" w:rsidRDefault="00264C10" w:rsidP="00264C1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C120BB">
        <w:rPr>
          <w:rFonts w:asciiTheme="minorHAnsi" w:hAnsiTheme="minorHAnsi"/>
          <w:sz w:val="22"/>
          <w:szCs w:val="22"/>
        </w:rPr>
        <w:t>The Working Group noted the responses.</w:t>
      </w:r>
    </w:p>
    <w:p w:rsidR="00E64CE5" w:rsidRPr="00316061" w:rsidRDefault="00E64CE5" w:rsidP="00E64CE5">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proofErr w:type="gramStart"/>
      <w:r w:rsidRPr="00316061">
        <w:rPr>
          <w:rFonts w:asciiTheme="minorHAnsi" w:hAnsiTheme="minorHAnsi"/>
          <w:b/>
          <w:sz w:val="22"/>
          <w:szCs w:val="22"/>
          <w:u w:val="single"/>
        </w:rPr>
        <w:t xml:space="preserve">Question 6: </w:t>
      </w:r>
      <w:r w:rsidRPr="00316061">
        <w:rPr>
          <w:rFonts w:asciiTheme="minorHAnsi" w:hAnsiTheme="minorHAnsi"/>
          <w:b/>
          <w:sz w:val="22"/>
          <w:szCs w:val="22"/>
          <w:u w:val="single"/>
        </w:rPr>
        <w:tab/>
      </w:r>
      <w:r w:rsidRPr="00316061">
        <w:rPr>
          <w:rFonts w:asciiTheme="minorHAnsi" w:hAnsiTheme="minorHAnsi"/>
          <w:b/>
          <w:sz w:val="22"/>
          <w:szCs w:val="22"/>
          <w:u w:val="single"/>
        </w:rPr>
        <w:tab/>
        <w:t>How would customers be best notified of the Standards applicable (under DCP 205 Change Proposal) to electrical equipment to ensure that if purchased and installed the customer would not be liable for any network reinforcement if required?</w:t>
      </w:r>
      <w:proofErr w:type="gramEnd"/>
    </w:p>
    <w:p w:rsidR="00CF6208" w:rsidRPr="00316061" w:rsidRDefault="00CF6208" w:rsidP="00CF6208">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Respondents suggested the following locations for best notifying customer of the standards applicable to the installation of electrical equipment that is not liable for network reinforcement:</w:t>
      </w:r>
    </w:p>
    <w:p w:rsidR="00CF6208" w:rsidRPr="00316061" w:rsidRDefault="00CF6208" w:rsidP="00CF6208">
      <w:pPr>
        <w:rPr>
          <w:rFonts w:asciiTheme="minorHAnsi" w:hAnsiTheme="minorHAnsi"/>
          <w:sz w:val="22"/>
          <w:szCs w:val="22"/>
        </w:rPr>
      </w:pPr>
      <w:r w:rsidRPr="00316061">
        <w:rPr>
          <w:rFonts w:asciiTheme="minorHAnsi" w:hAnsiTheme="minorHAnsi"/>
          <w:sz w:val="22"/>
          <w:szCs w:val="22"/>
        </w:rPr>
        <w:t>Websites:</w:t>
      </w:r>
    </w:p>
    <w:p w:rsidR="00CF6208" w:rsidRPr="00316061" w:rsidRDefault="00CF6208" w:rsidP="00CF6208">
      <w:pPr>
        <w:pStyle w:val="ListParagraph"/>
        <w:numPr>
          <w:ilvl w:val="0"/>
          <w:numId w:val="26"/>
        </w:numPr>
        <w:rPr>
          <w:rFonts w:asciiTheme="minorHAnsi" w:hAnsiTheme="minorHAnsi"/>
          <w:sz w:val="22"/>
          <w:szCs w:val="22"/>
        </w:rPr>
      </w:pPr>
      <w:r w:rsidRPr="00316061">
        <w:rPr>
          <w:rFonts w:asciiTheme="minorHAnsi" w:hAnsiTheme="minorHAnsi"/>
          <w:sz w:val="22"/>
          <w:szCs w:val="22"/>
        </w:rPr>
        <w:t xml:space="preserve">DNO </w:t>
      </w:r>
    </w:p>
    <w:p w:rsidR="00CF6208" w:rsidRPr="00316061" w:rsidRDefault="00CF6208" w:rsidP="00CF6208">
      <w:pPr>
        <w:pStyle w:val="ListParagraph"/>
        <w:numPr>
          <w:ilvl w:val="0"/>
          <w:numId w:val="26"/>
        </w:numPr>
        <w:rPr>
          <w:rFonts w:asciiTheme="minorHAnsi" w:hAnsiTheme="minorHAnsi"/>
          <w:sz w:val="22"/>
          <w:szCs w:val="22"/>
        </w:rPr>
      </w:pPr>
      <w:r w:rsidRPr="00316061">
        <w:rPr>
          <w:rFonts w:asciiTheme="minorHAnsi" w:hAnsiTheme="minorHAnsi"/>
          <w:sz w:val="22"/>
          <w:szCs w:val="22"/>
        </w:rPr>
        <w:t>Trade Association website (electrical and HP)</w:t>
      </w:r>
    </w:p>
    <w:p w:rsidR="00CF6208" w:rsidRPr="00316061" w:rsidRDefault="00CF6208" w:rsidP="00CF6208">
      <w:pPr>
        <w:pStyle w:val="ListParagraph"/>
        <w:numPr>
          <w:ilvl w:val="0"/>
          <w:numId w:val="26"/>
        </w:numPr>
        <w:rPr>
          <w:rFonts w:asciiTheme="minorHAnsi" w:hAnsiTheme="minorHAnsi"/>
          <w:sz w:val="22"/>
          <w:szCs w:val="22"/>
        </w:rPr>
      </w:pPr>
      <w:r w:rsidRPr="00316061">
        <w:rPr>
          <w:rFonts w:asciiTheme="minorHAnsi" w:hAnsiTheme="minorHAnsi"/>
          <w:sz w:val="22"/>
          <w:szCs w:val="22"/>
        </w:rPr>
        <w:t>Energy Network Association</w:t>
      </w:r>
    </w:p>
    <w:p w:rsidR="00CF6208" w:rsidRPr="00316061" w:rsidRDefault="00CF6208" w:rsidP="00CF6208">
      <w:pPr>
        <w:pStyle w:val="ListParagraph"/>
        <w:numPr>
          <w:ilvl w:val="0"/>
          <w:numId w:val="26"/>
        </w:numPr>
        <w:rPr>
          <w:rFonts w:asciiTheme="minorHAnsi" w:hAnsiTheme="minorHAnsi"/>
          <w:sz w:val="22"/>
          <w:szCs w:val="22"/>
        </w:rPr>
      </w:pPr>
      <w:r w:rsidRPr="00316061">
        <w:rPr>
          <w:rFonts w:asciiTheme="minorHAnsi" w:hAnsiTheme="minorHAnsi"/>
          <w:sz w:val="22"/>
          <w:szCs w:val="22"/>
        </w:rPr>
        <w:lastRenderedPageBreak/>
        <w:t xml:space="preserve">Relevant end user platforms such as the </w:t>
      </w:r>
      <w:proofErr w:type="spellStart"/>
      <w:r w:rsidRPr="00316061">
        <w:rPr>
          <w:rFonts w:asciiTheme="minorHAnsi" w:hAnsiTheme="minorHAnsi"/>
          <w:sz w:val="22"/>
          <w:szCs w:val="22"/>
        </w:rPr>
        <w:t>Microgeneration</w:t>
      </w:r>
      <w:proofErr w:type="spellEnd"/>
      <w:r w:rsidRPr="00316061">
        <w:rPr>
          <w:rFonts w:asciiTheme="minorHAnsi" w:hAnsiTheme="minorHAnsi"/>
          <w:sz w:val="22"/>
          <w:szCs w:val="22"/>
        </w:rPr>
        <w:t xml:space="preserve"> Certification Scheme (MCS) and</w:t>
      </w:r>
      <w:r w:rsidR="009710F3" w:rsidRPr="00316061">
        <w:rPr>
          <w:rFonts w:asciiTheme="minorHAnsi" w:hAnsiTheme="minorHAnsi"/>
          <w:sz w:val="22"/>
          <w:szCs w:val="22"/>
        </w:rPr>
        <w:t xml:space="preserve"> the</w:t>
      </w:r>
      <w:r w:rsidRPr="00316061">
        <w:rPr>
          <w:rFonts w:asciiTheme="minorHAnsi" w:hAnsiTheme="minorHAnsi"/>
          <w:sz w:val="22"/>
          <w:szCs w:val="22"/>
        </w:rPr>
        <w:t xml:space="preserve"> Renewable Heat Incentive (RHI)</w:t>
      </w:r>
      <w:r w:rsidR="009710F3" w:rsidRPr="00316061">
        <w:rPr>
          <w:rFonts w:asciiTheme="minorHAnsi" w:hAnsiTheme="minorHAnsi"/>
          <w:sz w:val="22"/>
          <w:szCs w:val="22"/>
        </w:rPr>
        <w:t xml:space="preserve"> scheme</w:t>
      </w:r>
    </w:p>
    <w:p w:rsidR="00CF6208" w:rsidRPr="00316061" w:rsidRDefault="00CF6208" w:rsidP="005358E2">
      <w:pPr>
        <w:pStyle w:val="ListParagraph"/>
        <w:numPr>
          <w:ilvl w:val="0"/>
          <w:numId w:val="26"/>
        </w:numPr>
        <w:rPr>
          <w:rFonts w:asciiTheme="minorHAnsi" w:hAnsiTheme="minorHAnsi"/>
          <w:sz w:val="22"/>
          <w:szCs w:val="22"/>
        </w:rPr>
      </w:pPr>
      <w:r w:rsidRPr="00316061">
        <w:rPr>
          <w:rFonts w:asciiTheme="minorHAnsi" w:hAnsiTheme="minorHAnsi"/>
          <w:sz w:val="22"/>
          <w:szCs w:val="22"/>
        </w:rPr>
        <w:t>The professional installation bodies such as the IEE (Wiring Regulations), National Inspection Council for Electrical Installation Contracting (NICEIC).</w:t>
      </w:r>
    </w:p>
    <w:p w:rsidR="00CF6208" w:rsidRPr="00316061" w:rsidRDefault="00CF6208" w:rsidP="00CF6208">
      <w:pPr>
        <w:rPr>
          <w:rFonts w:asciiTheme="minorHAnsi" w:hAnsiTheme="minorHAnsi"/>
          <w:sz w:val="22"/>
          <w:szCs w:val="22"/>
        </w:rPr>
      </w:pPr>
    </w:p>
    <w:p w:rsidR="00CF6208" w:rsidRPr="00316061" w:rsidRDefault="00CF6208" w:rsidP="00CF6208">
      <w:pPr>
        <w:rPr>
          <w:rFonts w:asciiTheme="minorHAnsi" w:hAnsiTheme="minorHAnsi"/>
          <w:sz w:val="22"/>
          <w:szCs w:val="22"/>
        </w:rPr>
      </w:pPr>
      <w:r w:rsidRPr="00316061">
        <w:rPr>
          <w:rFonts w:asciiTheme="minorHAnsi" w:hAnsiTheme="minorHAnsi"/>
          <w:sz w:val="22"/>
          <w:szCs w:val="22"/>
        </w:rPr>
        <w:t>Listed in documentation such as:</w:t>
      </w:r>
    </w:p>
    <w:p w:rsidR="00CF6208" w:rsidRPr="00316061" w:rsidRDefault="00CF6208" w:rsidP="00CF6208">
      <w:pPr>
        <w:pStyle w:val="ListParagraph"/>
        <w:numPr>
          <w:ilvl w:val="0"/>
          <w:numId w:val="26"/>
        </w:numPr>
        <w:rPr>
          <w:rFonts w:asciiTheme="minorHAnsi" w:hAnsiTheme="minorHAnsi"/>
          <w:sz w:val="22"/>
          <w:szCs w:val="22"/>
        </w:rPr>
      </w:pPr>
      <w:r w:rsidRPr="00316061">
        <w:rPr>
          <w:rFonts w:asciiTheme="minorHAnsi" w:hAnsiTheme="minorHAnsi"/>
          <w:sz w:val="22"/>
          <w:szCs w:val="22"/>
        </w:rPr>
        <w:t>Manufacturers technical specification</w:t>
      </w:r>
      <w:r w:rsidR="005358E2" w:rsidRPr="00316061">
        <w:rPr>
          <w:rFonts w:asciiTheme="minorHAnsi" w:hAnsiTheme="minorHAnsi"/>
          <w:sz w:val="22"/>
          <w:szCs w:val="22"/>
        </w:rPr>
        <w:t>s</w:t>
      </w:r>
    </w:p>
    <w:p w:rsidR="00CF6208" w:rsidRPr="00316061" w:rsidRDefault="00CF6208" w:rsidP="00CF6208">
      <w:pPr>
        <w:pStyle w:val="ListParagraph"/>
        <w:numPr>
          <w:ilvl w:val="0"/>
          <w:numId w:val="26"/>
        </w:numPr>
        <w:rPr>
          <w:rFonts w:asciiTheme="minorHAnsi" w:hAnsiTheme="minorHAnsi"/>
          <w:sz w:val="22"/>
          <w:szCs w:val="22"/>
        </w:rPr>
      </w:pPr>
      <w:r w:rsidRPr="00316061">
        <w:rPr>
          <w:rFonts w:asciiTheme="minorHAnsi" w:hAnsiTheme="minorHAnsi"/>
          <w:sz w:val="22"/>
          <w:szCs w:val="22"/>
        </w:rPr>
        <w:t>Standards listed in the methodology</w:t>
      </w:r>
    </w:p>
    <w:p w:rsidR="005358E2" w:rsidRPr="00316061" w:rsidRDefault="005358E2" w:rsidP="005358E2">
      <w:pPr>
        <w:pStyle w:val="ListParagraph"/>
        <w:numPr>
          <w:ilvl w:val="0"/>
          <w:numId w:val="26"/>
        </w:numPr>
        <w:rPr>
          <w:rFonts w:asciiTheme="minorHAnsi" w:hAnsiTheme="minorHAnsi"/>
          <w:sz w:val="22"/>
          <w:szCs w:val="22"/>
        </w:rPr>
      </w:pPr>
      <w:r w:rsidRPr="00316061">
        <w:rPr>
          <w:rFonts w:asciiTheme="minorHAnsi" w:hAnsiTheme="minorHAnsi"/>
          <w:sz w:val="22"/>
          <w:szCs w:val="22"/>
        </w:rPr>
        <w:t>ESQCRs</w:t>
      </w:r>
    </w:p>
    <w:p w:rsidR="005358E2" w:rsidRPr="00316061" w:rsidRDefault="005358E2" w:rsidP="005358E2">
      <w:pPr>
        <w:rPr>
          <w:rFonts w:asciiTheme="minorHAnsi" w:hAnsiTheme="minorHAnsi"/>
          <w:sz w:val="22"/>
          <w:szCs w:val="22"/>
        </w:rPr>
      </w:pPr>
    </w:p>
    <w:p w:rsidR="009710F3" w:rsidRPr="00316061" w:rsidRDefault="009710F3" w:rsidP="009710F3">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One DNO respondent highlighted that where the Distributor is not notified by the customer of the installation of equipment that the Distributor can only identify the equipment where there has been an impact on supply.</w:t>
      </w:r>
      <w:r w:rsidR="00AC56AF" w:rsidRPr="00316061">
        <w:rPr>
          <w:rFonts w:asciiTheme="minorHAnsi" w:hAnsiTheme="minorHAnsi"/>
          <w:sz w:val="22"/>
          <w:szCs w:val="22"/>
        </w:rPr>
        <w:t xml:space="preserve"> </w:t>
      </w:r>
      <w:r w:rsidRPr="00316061">
        <w:rPr>
          <w:rFonts w:asciiTheme="minorHAnsi" w:hAnsiTheme="minorHAnsi"/>
          <w:sz w:val="22"/>
          <w:szCs w:val="22"/>
        </w:rPr>
        <w:t>Another DNO respondent suggested that the DNOs should seek a broader stakeholder engagement to increase awareness of the standards applicable.</w:t>
      </w:r>
    </w:p>
    <w:p w:rsidR="009710F3" w:rsidRPr="00316061" w:rsidRDefault="009710F3" w:rsidP="009710F3">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One DNO suggested that the manufacturer</w:t>
      </w:r>
      <w:r w:rsidR="00AC56AF" w:rsidRPr="00316061">
        <w:rPr>
          <w:rFonts w:asciiTheme="minorHAnsi" w:hAnsiTheme="minorHAnsi"/>
          <w:sz w:val="22"/>
          <w:szCs w:val="22"/>
        </w:rPr>
        <w:t>’s</w:t>
      </w:r>
      <w:r w:rsidRPr="00316061">
        <w:rPr>
          <w:rFonts w:asciiTheme="minorHAnsi" w:hAnsiTheme="minorHAnsi"/>
          <w:sz w:val="22"/>
          <w:szCs w:val="22"/>
        </w:rPr>
        <w:t xml:space="preserve"> technical specifications should specify the standards that are applicable to the equipment. </w:t>
      </w:r>
      <w:r w:rsidR="00AC56AF" w:rsidRPr="00316061">
        <w:rPr>
          <w:rFonts w:asciiTheme="minorHAnsi" w:hAnsiTheme="minorHAnsi"/>
          <w:sz w:val="22"/>
          <w:szCs w:val="22"/>
        </w:rPr>
        <w:t>Furthermore there is a requirement in the National Terms of Connection for customers to notify Distributors of any material changes to their installation or equipment that they intend to use before the change has been made.</w:t>
      </w:r>
    </w:p>
    <w:p w:rsidR="00450469" w:rsidRDefault="00450469" w:rsidP="006D0C7B">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IDNO respondent highlighted the fact that to obtain a copy of the British Standards it cost £162.00</w:t>
      </w:r>
      <w:r w:rsidR="00492028" w:rsidRPr="00316061">
        <w:rPr>
          <w:rFonts w:asciiTheme="minorHAnsi" w:hAnsiTheme="minorHAnsi"/>
          <w:sz w:val="22"/>
          <w:szCs w:val="22"/>
        </w:rPr>
        <w:t>. The cost increases</w:t>
      </w:r>
      <w:r w:rsidRPr="00316061">
        <w:rPr>
          <w:rFonts w:asciiTheme="minorHAnsi" w:hAnsiTheme="minorHAnsi"/>
          <w:sz w:val="22"/>
          <w:szCs w:val="22"/>
        </w:rPr>
        <w:t xml:space="preserve"> the likelihood that the </w:t>
      </w:r>
      <w:r w:rsidR="00492028" w:rsidRPr="00316061">
        <w:rPr>
          <w:rFonts w:asciiTheme="minorHAnsi" w:hAnsiTheme="minorHAnsi"/>
          <w:sz w:val="22"/>
          <w:szCs w:val="22"/>
        </w:rPr>
        <w:t>British S</w:t>
      </w:r>
      <w:r w:rsidRPr="00316061">
        <w:rPr>
          <w:rFonts w:asciiTheme="minorHAnsi" w:hAnsiTheme="minorHAnsi"/>
          <w:sz w:val="22"/>
          <w:szCs w:val="22"/>
        </w:rPr>
        <w:t xml:space="preserve">tandards would be used by consultants and allied trades rather than the general public. This respondent considered that as DCP 205 will be an interim change that the Working Group should concentrate on the wider issue of how the charging methodologies are communicated. This respondent </w:t>
      </w:r>
      <w:r w:rsidR="00492028" w:rsidRPr="00316061">
        <w:rPr>
          <w:rFonts w:asciiTheme="minorHAnsi" w:hAnsiTheme="minorHAnsi"/>
          <w:sz w:val="22"/>
          <w:szCs w:val="22"/>
        </w:rPr>
        <w:t xml:space="preserve">suggested </w:t>
      </w:r>
      <w:r w:rsidRPr="00316061">
        <w:rPr>
          <w:rFonts w:asciiTheme="minorHAnsi" w:hAnsiTheme="minorHAnsi"/>
          <w:sz w:val="22"/>
          <w:szCs w:val="22"/>
        </w:rPr>
        <w:t>that trade bodies and associations could play a wider role in informing impacted parties.</w:t>
      </w:r>
    </w:p>
    <w:p w:rsidR="00264C10" w:rsidRDefault="00264C10" w:rsidP="00264C1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264C10">
        <w:rPr>
          <w:rFonts w:asciiTheme="minorHAnsi" w:hAnsiTheme="minorHAnsi"/>
          <w:sz w:val="22"/>
          <w:szCs w:val="22"/>
        </w:rPr>
        <w:t>The Working Group discussed the IDNO response</w:t>
      </w:r>
      <w:r>
        <w:rPr>
          <w:rFonts w:asciiTheme="minorHAnsi" w:hAnsiTheme="minorHAnsi"/>
          <w:sz w:val="22"/>
          <w:szCs w:val="22"/>
        </w:rPr>
        <w:t xml:space="preserve"> in regards to the costs of accessing a copy of the British Standards. The Working Group </w:t>
      </w:r>
      <w:r w:rsidRPr="00264C10">
        <w:rPr>
          <w:rFonts w:asciiTheme="minorHAnsi" w:hAnsiTheme="minorHAnsi"/>
          <w:sz w:val="22"/>
          <w:szCs w:val="22"/>
        </w:rPr>
        <w:t>considered that although the customer should seek to see at purchase that the British Standard applies to the equipment, the application of the mark to the product and the kn</w:t>
      </w:r>
      <w:r>
        <w:rPr>
          <w:rFonts w:asciiTheme="minorHAnsi" w:hAnsiTheme="minorHAnsi"/>
          <w:sz w:val="22"/>
          <w:szCs w:val="22"/>
        </w:rPr>
        <w:t xml:space="preserve">owledge of these standards is </w:t>
      </w:r>
      <w:r w:rsidRPr="00264C10">
        <w:rPr>
          <w:rFonts w:asciiTheme="minorHAnsi" w:hAnsiTheme="minorHAnsi"/>
          <w:sz w:val="22"/>
          <w:szCs w:val="22"/>
        </w:rPr>
        <w:t>a manufacturer’s and installers requirement</w:t>
      </w:r>
      <w:r>
        <w:rPr>
          <w:rFonts w:asciiTheme="minorHAnsi" w:hAnsiTheme="minorHAnsi"/>
          <w:sz w:val="22"/>
          <w:szCs w:val="22"/>
        </w:rPr>
        <w:t>.</w:t>
      </w:r>
      <w:r w:rsidR="00B42BED">
        <w:rPr>
          <w:rFonts w:asciiTheme="minorHAnsi" w:hAnsiTheme="minorHAnsi"/>
          <w:sz w:val="22"/>
          <w:szCs w:val="22"/>
        </w:rPr>
        <w:t xml:space="preserve"> In regards to the suggestion that publicity should be held around the CCCM and the requirements to comply with regulation, the Working Group considered that the intent of this change is to highlight the need for </w:t>
      </w:r>
      <w:r w:rsidR="00B42BED">
        <w:rPr>
          <w:rFonts w:ascii="Calibri" w:hAnsi="Calibri"/>
          <w:sz w:val="22"/>
          <w:szCs w:val="22"/>
        </w:rPr>
        <w:t>customers to notify DNOs of actions that they wish to undertake.</w:t>
      </w:r>
    </w:p>
    <w:p w:rsidR="00B42BED" w:rsidRPr="00B42BED" w:rsidRDefault="00B42BED" w:rsidP="00B42BED">
      <w:pPr>
        <w:pStyle w:val="Heading2"/>
        <w:keepNext w:val="0"/>
        <w:numPr>
          <w:ilvl w:val="1"/>
          <w:numId w:val="7"/>
        </w:numPr>
        <w:tabs>
          <w:tab w:val="num" w:pos="709"/>
        </w:tabs>
        <w:spacing w:line="360" w:lineRule="auto"/>
        <w:ind w:left="567" w:hanging="567"/>
        <w:jc w:val="both"/>
      </w:pPr>
      <w:r w:rsidRPr="00B42BED">
        <w:rPr>
          <w:rFonts w:asciiTheme="minorHAnsi" w:hAnsiTheme="minorHAnsi"/>
          <w:sz w:val="22"/>
          <w:szCs w:val="22"/>
        </w:rPr>
        <w:lastRenderedPageBreak/>
        <w:t xml:space="preserve">The Working Group agreed with one member’s suggestion that the MCS steering group could require a note to be put in to the installer standards in regards to the impact of this change if approved. The standards are upgraded on a yearly basis. Members also agreed that a note should be placed on the renewable heat incentive application process within </w:t>
      </w:r>
      <w:proofErr w:type="spellStart"/>
      <w:r w:rsidRPr="00B42BED">
        <w:rPr>
          <w:rFonts w:asciiTheme="minorHAnsi" w:hAnsiTheme="minorHAnsi"/>
          <w:sz w:val="22"/>
          <w:szCs w:val="22"/>
        </w:rPr>
        <w:t>Ofgem’s</w:t>
      </w:r>
      <w:proofErr w:type="spellEnd"/>
      <w:r w:rsidRPr="00B42BED">
        <w:rPr>
          <w:rFonts w:asciiTheme="minorHAnsi" w:hAnsiTheme="minorHAnsi"/>
          <w:sz w:val="22"/>
          <w:szCs w:val="22"/>
        </w:rPr>
        <w:t xml:space="preserve"> control.</w:t>
      </w:r>
    </w:p>
    <w:p w:rsidR="00E64CE5" w:rsidRPr="00316061" w:rsidRDefault="00E64CE5" w:rsidP="00E64CE5">
      <w:pPr>
        <w:pStyle w:val="Heading2"/>
        <w:keepNext w:val="0"/>
        <w:widowControl w:val="0"/>
        <w:tabs>
          <w:tab w:val="clear" w:pos="360"/>
          <w:tab w:val="num" w:pos="1134"/>
          <w:tab w:val="num" w:pos="1440"/>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t>Question 7:</w:t>
      </w:r>
      <w:r w:rsidRPr="00316061">
        <w:rPr>
          <w:rFonts w:asciiTheme="minorHAnsi" w:hAnsiTheme="minorHAnsi"/>
          <w:b/>
          <w:sz w:val="22"/>
          <w:szCs w:val="22"/>
          <w:u w:val="single"/>
        </w:rPr>
        <w:tab/>
      </w:r>
      <w:r w:rsidRPr="00316061">
        <w:rPr>
          <w:rFonts w:asciiTheme="minorHAnsi" w:hAnsiTheme="minorHAnsi"/>
          <w:b/>
          <w:sz w:val="22"/>
          <w:szCs w:val="22"/>
          <w:u w:val="single"/>
        </w:rPr>
        <w:tab/>
        <w:t xml:space="preserve"> </w:t>
      </w:r>
      <w:r w:rsidRPr="00316061">
        <w:rPr>
          <w:rFonts w:asciiTheme="minorHAnsi" w:hAnsiTheme="minorHAnsi"/>
          <w:b/>
          <w:sz w:val="22"/>
          <w:szCs w:val="22"/>
          <w:u w:val="single"/>
        </w:rPr>
        <w:tab/>
        <w:t>Are there any alternative solutions or matters that should be considered by the Working Group?</w:t>
      </w:r>
    </w:p>
    <w:p w:rsidR="006D0C7B" w:rsidRPr="00316061" w:rsidRDefault="006D0C7B" w:rsidP="006D0C7B">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Three DNO respondents did not consider there to be any other solutions or matters that should be considered by the Working Group and one DNO respondent was not aware of any other solutions or matters for the Working Group to consider.  One DNO respondent</w:t>
      </w:r>
      <w:r w:rsidR="004F07AD" w:rsidRPr="00316061">
        <w:rPr>
          <w:rFonts w:asciiTheme="minorHAnsi" w:hAnsiTheme="minorHAnsi"/>
          <w:sz w:val="22"/>
          <w:szCs w:val="22"/>
        </w:rPr>
        <w:t xml:space="preserve"> proposed that the relevant customer does not pay for reinforcement where the increase in capacity is thermal in nature but where an increase in capacity causes harmonic issues or disturbance on the network then the customer should pay for the apportioned amount.</w:t>
      </w:r>
    </w:p>
    <w:p w:rsidR="006D0C7B" w:rsidRPr="00316061" w:rsidRDefault="006D0C7B" w:rsidP="006D0C7B">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two trade associations did not respond to this question. The IDNO respondent referred to their response to question four which the Working Group considered at question four.</w:t>
      </w:r>
    </w:p>
    <w:p w:rsidR="004F07AD" w:rsidRDefault="004F07AD" w:rsidP="004F07AD">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consultant respondent requested for there to be increased engagement with industry bodies such as the Heat Pump association.</w:t>
      </w:r>
    </w:p>
    <w:p w:rsidR="00264C10" w:rsidRDefault="00B42BED" w:rsidP="00264C10">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Pr>
          <w:rFonts w:asciiTheme="minorHAnsi" w:hAnsiTheme="minorHAnsi"/>
          <w:sz w:val="22"/>
          <w:szCs w:val="22"/>
        </w:rPr>
        <w:t>The Working Group considered the responses and noted the DNOs suggestion that relevant customers did not pay for reinforcement where the increase in capacity is thermal in nature</w:t>
      </w:r>
      <w:r w:rsidR="00264C10" w:rsidRPr="00264C10">
        <w:rPr>
          <w:rFonts w:asciiTheme="minorHAnsi" w:hAnsiTheme="minorHAnsi"/>
          <w:sz w:val="22"/>
          <w:szCs w:val="22"/>
        </w:rPr>
        <w:t>.</w:t>
      </w:r>
      <w:r>
        <w:rPr>
          <w:rFonts w:asciiTheme="minorHAnsi" w:hAnsiTheme="minorHAnsi"/>
          <w:sz w:val="22"/>
          <w:szCs w:val="22"/>
        </w:rPr>
        <w:t xml:space="preserve"> </w:t>
      </w:r>
      <w:r>
        <w:rPr>
          <w:rFonts w:ascii="Calibri" w:hAnsi="Calibri"/>
          <w:sz w:val="22"/>
          <w:szCs w:val="22"/>
        </w:rPr>
        <w:t>The Working Group noted that it would be more consistent nationally if customers have the opportunity to purchase equipment within standards thereby having a pre-indication of the likelihood of incurring costs.</w:t>
      </w:r>
    </w:p>
    <w:p w:rsidR="008F1A3B" w:rsidRPr="00316061" w:rsidRDefault="008F1A3B" w:rsidP="008F1A3B">
      <w:pPr>
        <w:pStyle w:val="Heading1"/>
        <w:keepNext w:val="0"/>
        <w:numPr>
          <w:ilvl w:val="0"/>
          <w:numId w:val="7"/>
        </w:numPr>
        <w:spacing w:line="360" w:lineRule="auto"/>
        <w:jc w:val="both"/>
        <w:rPr>
          <w:rFonts w:asciiTheme="minorHAnsi" w:hAnsiTheme="minorHAnsi"/>
          <w:sz w:val="22"/>
          <w:szCs w:val="22"/>
        </w:rPr>
      </w:pPr>
      <w:r w:rsidRPr="00316061">
        <w:rPr>
          <w:rFonts w:asciiTheme="minorHAnsi" w:hAnsiTheme="minorHAnsi"/>
          <w:sz w:val="22"/>
          <w:szCs w:val="22"/>
        </w:rPr>
        <w:t>DCP 205 CONSULTATION TWO FOLLOW UP QUESTIONS</w:t>
      </w:r>
    </w:p>
    <w:p w:rsidR="008F1A3B" w:rsidRPr="00316061" w:rsidRDefault="00A618FF" w:rsidP="008F1A3B">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316061">
        <w:rPr>
          <w:rFonts w:asciiTheme="minorHAnsi" w:hAnsiTheme="minorHAnsi"/>
          <w:sz w:val="22"/>
          <w:szCs w:val="22"/>
        </w:rPr>
        <w:t>Following the</w:t>
      </w:r>
      <w:r w:rsidR="008F1A3B" w:rsidRPr="00316061">
        <w:rPr>
          <w:rFonts w:asciiTheme="minorHAnsi" w:hAnsiTheme="minorHAnsi"/>
          <w:sz w:val="22"/>
          <w:szCs w:val="22"/>
        </w:rPr>
        <w:t xml:space="preserve"> review of the DCP 205 </w:t>
      </w:r>
      <w:r w:rsidRPr="00316061">
        <w:rPr>
          <w:rFonts w:asciiTheme="minorHAnsi" w:hAnsiTheme="minorHAnsi"/>
          <w:sz w:val="22"/>
          <w:szCs w:val="22"/>
        </w:rPr>
        <w:t xml:space="preserve">and DCP 205A </w:t>
      </w:r>
      <w:r w:rsidR="008F1A3B" w:rsidRPr="00316061">
        <w:rPr>
          <w:rFonts w:asciiTheme="minorHAnsi" w:hAnsiTheme="minorHAnsi"/>
          <w:sz w:val="22"/>
          <w:szCs w:val="22"/>
        </w:rPr>
        <w:t>consultation two responses, the Working Group agreed to state in the</w:t>
      </w:r>
      <w:r w:rsidRPr="00316061">
        <w:rPr>
          <w:rFonts w:asciiTheme="minorHAnsi" w:hAnsiTheme="minorHAnsi"/>
          <w:sz w:val="22"/>
          <w:szCs w:val="22"/>
        </w:rPr>
        <w:t xml:space="preserve"> DCP 205 and DCP 205A</w:t>
      </w:r>
      <w:r w:rsidR="008F1A3B" w:rsidRPr="00316061">
        <w:rPr>
          <w:rFonts w:asciiTheme="minorHAnsi" w:hAnsiTheme="minorHAnsi"/>
          <w:sz w:val="22"/>
          <w:szCs w:val="22"/>
        </w:rPr>
        <w:t xml:space="preserve"> </w:t>
      </w:r>
      <w:r w:rsidR="00040CE3" w:rsidRPr="00316061">
        <w:rPr>
          <w:rFonts w:asciiTheme="minorHAnsi" w:hAnsiTheme="minorHAnsi"/>
          <w:sz w:val="22"/>
          <w:szCs w:val="22"/>
        </w:rPr>
        <w:t xml:space="preserve">draft </w:t>
      </w:r>
      <w:r w:rsidR="008F1A3B" w:rsidRPr="00316061">
        <w:rPr>
          <w:rFonts w:asciiTheme="minorHAnsi" w:hAnsiTheme="minorHAnsi"/>
          <w:sz w:val="22"/>
          <w:szCs w:val="22"/>
        </w:rPr>
        <w:t>legal text that the change referred to electricity generation. The Working Group also agreed to add two further equipment standards so long as they conformed to G83. The Working Group issued two follow up questions</w:t>
      </w:r>
      <w:r w:rsidR="00040CE3" w:rsidRPr="00316061">
        <w:rPr>
          <w:rFonts w:asciiTheme="minorHAnsi" w:hAnsiTheme="minorHAnsi"/>
          <w:sz w:val="22"/>
          <w:szCs w:val="22"/>
        </w:rPr>
        <w:t xml:space="preserve"> to respondents to the DCP 205 and DCP 205A c</w:t>
      </w:r>
      <w:r w:rsidR="008F1A3B" w:rsidRPr="00316061">
        <w:rPr>
          <w:rFonts w:asciiTheme="minorHAnsi" w:hAnsiTheme="minorHAnsi"/>
          <w:sz w:val="22"/>
          <w:szCs w:val="22"/>
        </w:rPr>
        <w:t>onsultation</w:t>
      </w:r>
      <w:r w:rsidR="00040CE3" w:rsidRPr="00316061">
        <w:rPr>
          <w:rFonts w:asciiTheme="minorHAnsi" w:hAnsiTheme="minorHAnsi"/>
          <w:sz w:val="22"/>
          <w:szCs w:val="22"/>
        </w:rPr>
        <w:t xml:space="preserve"> two</w:t>
      </w:r>
      <w:r w:rsidR="008F1A3B" w:rsidRPr="00316061">
        <w:rPr>
          <w:rFonts w:asciiTheme="minorHAnsi" w:hAnsiTheme="minorHAnsi"/>
          <w:sz w:val="22"/>
          <w:szCs w:val="22"/>
        </w:rPr>
        <w:t>. A summary of the responses to the follow up questions is set out below:</w:t>
      </w:r>
    </w:p>
    <w:p w:rsidR="008F1A3B" w:rsidRPr="00316061" w:rsidRDefault="008F1A3B" w:rsidP="008F1A3B">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commentRangeStart w:id="2"/>
      <w:r w:rsidRPr="00316061">
        <w:rPr>
          <w:rFonts w:asciiTheme="minorHAnsi" w:hAnsiTheme="minorHAnsi"/>
          <w:b/>
          <w:sz w:val="22"/>
          <w:szCs w:val="22"/>
          <w:u w:val="single"/>
        </w:rPr>
        <w:t xml:space="preserve">Question One: </w:t>
      </w:r>
      <w:r w:rsidRPr="00316061">
        <w:rPr>
          <w:rFonts w:asciiTheme="minorHAnsi" w:hAnsiTheme="minorHAnsi"/>
          <w:b/>
          <w:sz w:val="22"/>
          <w:szCs w:val="22"/>
          <w:u w:val="single"/>
        </w:rPr>
        <w:tab/>
        <w:t xml:space="preserve">Does the inclusion of the word ‘electricity’ prior to the words ‘generation </w:t>
      </w:r>
      <w:r w:rsidRPr="00316061">
        <w:rPr>
          <w:rFonts w:asciiTheme="minorHAnsi" w:hAnsiTheme="minorHAnsi"/>
          <w:b/>
          <w:sz w:val="22"/>
          <w:szCs w:val="22"/>
          <w:u w:val="single"/>
        </w:rPr>
        <w:lastRenderedPageBreak/>
        <w:t xml:space="preserve">equipment’ (in Clause 1.30A bullet point two) resolve the issue of the restriction of 16 amperes per phase of all generation equipment? </w:t>
      </w:r>
      <w:commentRangeEnd w:id="2"/>
      <w:r w:rsidR="00BE4158">
        <w:rPr>
          <w:rStyle w:val="CommentReference"/>
          <w:rFonts w:ascii="Times New Roman" w:hAnsi="Times New Roman"/>
          <w:bCs w:val="0"/>
          <w:iCs w:val="0"/>
        </w:rPr>
        <w:commentReference w:id="2"/>
      </w:r>
    </w:p>
    <w:p w:rsidR="008F1A3B" w:rsidRPr="00316061" w:rsidRDefault="008F1A3B" w:rsidP="008F1A3B">
      <w:pPr>
        <w:pStyle w:val="Heading2"/>
        <w:keepNext w:val="0"/>
        <w:widowControl w:val="0"/>
        <w:tabs>
          <w:tab w:val="clear" w:pos="360"/>
          <w:tab w:val="num" w:pos="1134"/>
          <w:tab w:val="num" w:pos="1843"/>
        </w:tabs>
        <w:spacing w:line="360" w:lineRule="auto"/>
        <w:ind w:left="1843" w:hanging="1843"/>
        <w:jc w:val="both"/>
        <w:rPr>
          <w:rFonts w:asciiTheme="minorHAnsi" w:hAnsiTheme="minorHAnsi"/>
          <w:b/>
          <w:sz w:val="22"/>
          <w:szCs w:val="22"/>
          <w:u w:val="single"/>
        </w:rPr>
      </w:pPr>
      <w:r w:rsidRPr="00316061">
        <w:rPr>
          <w:rFonts w:asciiTheme="minorHAnsi" w:hAnsiTheme="minorHAnsi"/>
          <w:b/>
          <w:sz w:val="22"/>
          <w:szCs w:val="22"/>
          <w:u w:val="single"/>
        </w:rPr>
        <w:t xml:space="preserve">Question Two: </w:t>
      </w:r>
      <w:r w:rsidRPr="00316061">
        <w:rPr>
          <w:rFonts w:asciiTheme="minorHAnsi" w:hAnsiTheme="minorHAnsi"/>
          <w:b/>
          <w:sz w:val="22"/>
          <w:szCs w:val="22"/>
          <w:u w:val="single"/>
        </w:rPr>
        <w:tab/>
        <w:t>Are respondents happy with the inclusion of the two standards (set out below) in the DCP 205 legal text to cover harmonics and fluctuation for connections of equipment up to 75 amperes?</w:t>
      </w:r>
    </w:p>
    <w:p w:rsidR="008F1A3B" w:rsidRPr="00316061" w:rsidRDefault="008F1A3B" w:rsidP="008F1A3B">
      <w:pPr>
        <w:pStyle w:val="Heading2"/>
        <w:keepNext w:val="0"/>
        <w:widowControl w:val="0"/>
        <w:numPr>
          <w:ilvl w:val="0"/>
          <w:numId w:val="34"/>
        </w:numPr>
        <w:tabs>
          <w:tab w:val="num" w:pos="1843"/>
        </w:tabs>
        <w:spacing w:line="360" w:lineRule="auto"/>
        <w:ind w:left="2268" w:hanging="425"/>
        <w:jc w:val="both"/>
        <w:rPr>
          <w:rFonts w:asciiTheme="minorHAnsi" w:hAnsiTheme="minorHAnsi"/>
          <w:b/>
          <w:sz w:val="22"/>
          <w:szCs w:val="22"/>
          <w:u w:val="single"/>
        </w:rPr>
      </w:pPr>
      <w:r w:rsidRPr="00316061">
        <w:rPr>
          <w:rFonts w:asciiTheme="minorHAnsi" w:hAnsiTheme="minorHAnsi"/>
          <w:b/>
          <w:sz w:val="22"/>
          <w:szCs w:val="22"/>
          <w:u w:val="single"/>
        </w:rPr>
        <w:t xml:space="preserve">BS EN 61000-3-11 </w:t>
      </w:r>
      <w:proofErr w:type="gramStart"/>
      <w:r w:rsidRPr="00316061">
        <w:rPr>
          <w:rFonts w:asciiTheme="minorHAnsi" w:hAnsiTheme="minorHAnsi"/>
          <w:b/>
          <w:sz w:val="22"/>
          <w:szCs w:val="22"/>
          <w:u w:val="single"/>
        </w:rPr>
        <w:t>Limits</w:t>
      </w:r>
      <w:proofErr w:type="gramEnd"/>
      <w:r w:rsidRPr="00316061">
        <w:rPr>
          <w:rFonts w:asciiTheme="minorHAnsi" w:hAnsiTheme="minorHAnsi"/>
          <w:b/>
          <w:sz w:val="22"/>
          <w:szCs w:val="22"/>
          <w:u w:val="single"/>
        </w:rPr>
        <w:t xml:space="preserve"> for harmonic current emissions (equipment input current 75 amperes per phase)</w:t>
      </w:r>
    </w:p>
    <w:p w:rsidR="008F1A3B" w:rsidRPr="00316061" w:rsidRDefault="008F1A3B" w:rsidP="008F1A3B">
      <w:pPr>
        <w:pStyle w:val="Heading2"/>
        <w:keepNext w:val="0"/>
        <w:widowControl w:val="0"/>
        <w:numPr>
          <w:ilvl w:val="0"/>
          <w:numId w:val="34"/>
        </w:numPr>
        <w:tabs>
          <w:tab w:val="num" w:pos="1843"/>
        </w:tabs>
        <w:spacing w:line="360" w:lineRule="auto"/>
        <w:ind w:left="2268" w:hanging="425"/>
        <w:jc w:val="both"/>
        <w:rPr>
          <w:rFonts w:asciiTheme="minorHAnsi" w:hAnsiTheme="minorHAnsi"/>
          <w:b/>
          <w:sz w:val="22"/>
          <w:szCs w:val="22"/>
          <w:u w:val="single"/>
        </w:rPr>
      </w:pPr>
      <w:r w:rsidRPr="00316061">
        <w:rPr>
          <w:rFonts w:asciiTheme="minorHAnsi" w:hAnsiTheme="minorHAnsi"/>
          <w:b/>
          <w:sz w:val="22"/>
          <w:szCs w:val="22"/>
          <w:u w:val="single"/>
        </w:rPr>
        <w:t>BS EN 61000-3-12 Limitation of voltage changes, voltage fluctuations and flicker in public low-voltage supply systems, for equipment with rated current 75 amperes per phase).</w:t>
      </w:r>
    </w:p>
    <w:p w:rsidR="008F1A3B" w:rsidRPr="00316061" w:rsidRDefault="008F1A3B" w:rsidP="008F1A3B">
      <w:pPr>
        <w:rPr>
          <w:rFonts w:asciiTheme="minorHAnsi" w:hAnsiTheme="minorHAnsi"/>
          <w:sz w:val="22"/>
          <w:szCs w:val="22"/>
        </w:rPr>
      </w:pPr>
    </w:p>
    <w:p w:rsidR="003D1A78" w:rsidRPr="00316061" w:rsidRDefault="008E57FC" w:rsidP="003106F0">
      <w:pPr>
        <w:pStyle w:val="Heading1"/>
        <w:keepNext w:val="0"/>
        <w:numPr>
          <w:ilvl w:val="0"/>
          <w:numId w:val="7"/>
        </w:numPr>
        <w:spacing w:line="360" w:lineRule="auto"/>
        <w:jc w:val="both"/>
        <w:rPr>
          <w:rFonts w:asciiTheme="minorHAnsi" w:hAnsiTheme="minorHAnsi"/>
          <w:sz w:val="22"/>
          <w:szCs w:val="22"/>
        </w:rPr>
      </w:pPr>
      <w:r w:rsidRPr="00316061">
        <w:rPr>
          <w:rFonts w:asciiTheme="minorHAnsi" w:hAnsiTheme="minorHAnsi"/>
          <w:sz w:val="22"/>
          <w:szCs w:val="22"/>
        </w:rPr>
        <w:t>DCP 205</w:t>
      </w:r>
      <w:r w:rsidR="003D1A78" w:rsidRPr="00316061">
        <w:rPr>
          <w:rFonts w:asciiTheme="minorHAnsi" w:hAnsiTheme="minorHAnsi"/>
          <w:sz w:val="22"/>
          <w:szCs w:val="22"/>
        </w:rPr>
        <w:t xml:space="preserve"> – WORKING GROUP CONCLUSIONS</w:t>
      </w:r>
    </w:p>
    <w:p w:rsidR="003D1A78" w:rsidRPr="00316061"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highlight w:val="yellow"/>
        </w:rPr>
      </w:pPr>
      <w:r w:rsidRPr="00316061">
        <w:rPr>
          <w:rFonts w:asciiTheme="minorHAnsi" w:hAnsiTheme="minorHAnsi"/>
          <w:sz w:val="22"/>
          <w:szCs w:val="22"/>
        </w:rPr>
        <w:t>The Working Group reviewed each of the resp</w:t>
      </w:r>
      <w:r w:rsidR="00DE2AC2" w:rsidRPr="00316061">
        <w:rPr>
          <w:rFonts w:asciiTheme="minorHAnsi" w:hAnsiTheme="minorHAnsi"/>
          <w:sz w:val="22"/>
          <w:szCs w:val="22"/>
        </w:rPr>
        <w:t>onses received to consultation one</w:t>
      </w:r>
      <w:r w:rsidRPr="00316061">
        <w:rPr>
          <w:rFonts w:asciiTheme="minorHAnsi" w:hAnsiTheme="minorHAnsi"/>
          <w:sz w:val="22"/>
          <w:szCs w:val="22"/>
        </w:rPr>
        <w:t xml:space="preserve"> and concluded that the majority of the respondents understood the intent of DCP </w:t>
      </w:r>
      <w:r w:rsidR="001047C9" w:rsidRPr="00316061">
        <w:rPr>
          <w:rFonts w:asciiTheme="minorHAnsi" w:hAnsiTheme="minorHAnsi"/>
          <w:sz w:val="22"/>
          <w:szCs w:val="22"/>
        </w:rPr>
        <w:t>205</w:t>
      </w:r>
      <w:r w:rsidRPr="00316061">
        <w:rPr>
          <w:rFonts w:asciiTheme="minorHAnsi" w:hAnsiTheme="minorHAnsi"/>
          <w:sz w:val="22"/>
          <w:szCs w:val="22"/>
          <w:highlight w:val="yellow"/>
        </w:rPr>
        <w:t>.</w:t>
      </w:r>
    </w:p>
    <w:p w:rsidR="003D1A78" w:rsidRPr="00316061"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Working Group agreed that the majority of respondents were supportive of the principle of the CP. </w:t>
      </w:r>
    </w:p>
    <w:p w:rsidR="003D1A78" w:rsidRPr="00316061" w:rsidRDefault="003D1A78" w:rsidP="00C969E5">
      <w:pPr>
        <w:pStyle w:val="Heading2"/>
        <w:keepNext w:val="0"/>
        <w:numPr>
          <w:ilvl w:val="1"/>
          <w:numId w:val="7"/>
        </w:numPr>
        <w:tabs>
          <w:tab w:val="left" w:pos="567"/>
        </w:tabs>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Working Group noted that the majority of respondents felt that specifically DCUSA General Objectives 1 and 3 and DCUSA Charging Objective 1 were better facilitated by this change. </w:t>
      </w:r>
    </w:p>
    <w:p w:rsidR="003D1A78" w:rsidRPr="00316061" w:rsidRDefault="003D1A78" w:rsidP="00C969E5">
      <w:pPr>
        <w:pStyle w:val="Heading2"/>
        <w:numPr>
          <w:ilvl w:val="1"/>
          <w:numId w:val="7"/>
        </w:numPr>
        <w:tabs>
          <w:tab w:val="left" w:pos="567"/>
        </w:tabs>
        <w:spacing w:line="360" w:lineRule="auto"/>
        <w:ind w:left="567" w:hanging="567"/>
        <w:jc w:val="both"/>
        <w:rPr>
          <w:rFonts w:asciiTheme="minorHAnsi" w:hAnsiTheme="minorHAnsi"/>
          <w:sz w:val="22"/>
          <w:szCs w:val="22"/>
        </w:rPr>
      </w:pPr>
      <w:r w:rsidRPr="00316061">
        <w:rPr>
          <w:rFonts w:asciiTheme="minorHAnsi" w:hAnsiTheme="minorHAnsi"/>
          <w:sz w:val="22"/>
          <w:szCs w:val="22"/>
        </w:rPr>
        <w:t>The Working Group concluded that the CP will provide the following benefits:</w:t>
      </w:r>
    </w:p>
    <w:p w:rsidR="003D1A78" w:rsidRPr="00316061" w:rsidRDefault="003D1A78" w:rsidP="00C969E5">
      <w:pPr>
        <w:pStyle w:val="Heading2"/>
        <w:keepNext w:val="0"/>
        <w:widowControl w:val="0"/>
        <w:numPr>
          <w:ilvl w:val="0"/>
          <w:numId w:val="6"/>
        </w:numPr>
        <w:spacing w:line="360" w:lineRule="auto"/>
        <w:ind w:left="1134" w:hanging="425"/>
        <w:jc w:val="both"/>
        <w:rPr>
          <w:rFonts w:asciiTheme="minorHAnsi" w:hAnsiTheme="minorHAnsi"/>
          <w:sz w:val="22"/>
          <w:szCs w:val="22"/>
        </w:rPr>
      </w:pPr>
      <w:proofErr w:type="gramStart"/>
      <w:r w:rsidRPr="00316061">
        <w:rPr>
          <w:rFonts w:asciiTheme="minorHAnsi" w:hAnsiTheme="minorHAnsi"/>
          <w:sz w:val="22"/>
          <w:szCs w:val="22"/>
        </w:rPr>
        <w:t>by</w:t>
      </w:r>
      <w:proofErr w:type="gramEnd"/>
      <w:r w:rsidRPr="00316061">
        <w:rPr>
          <w:rFonts w:asciiTheme="minorHAnsi" w:hAnsiTheme="minorHAnsi"/>
          <w:sz w:val="22"/>
          <w:szCs w:val="22"/>
        </w:rPr>
        <w:t xml:space="preserve"> adding further clarity to the CCCM and assisting users to understand what costs </w:t>
      </w:r>
      <w:r w:rsidR="00F64EFB" w:rsidRPr="00316061">
        <w:rPr>
          <w:rFonts w:asciiTheme="minorHAnsi" w:hAnsiTheme="minorHAnsi"/>
          <w:sz w:val="22"/>
          <w:szCs w:val="22"/>
        </w:rPr>
        <w:t>are expected to be paid by the C</w:t>
      </w:r>
      <w:r w:rsidRPr="00316061">
        <w:rPr>
          <w:rFonts w:asciiTheme="minorHAnsi" w:hAnsiTheme="minorHAnsi"/>
          <w:sz w:val="22"/>
          <w:szCs w:val="22"/>
        </w:rPr>
        <w:t>ustomer through the addition of Clause 1.12.</w:t>
      </w:r>
    </w:p>
    <w:p w:rsidR="003D1A78" w:rsidRPr="00316061" w:rsidRDefault="003D1A78" w:rsidP="00C969E5">
      <w:pPr>
        <w:pStyle w:val="Heading2"/>
        <w:keepNext w:val="0"/>
        <w:widowControl w:val="0"/>
        <w:numPr>
          <w:ilvl w:val="0"/>
          <w:numId w:val="6"/>
        </w:numPr>
        <w:spacing w:line="360" w:lineRule="auto"/>
        <w:ind w:left="1134" w:hanging="425"/>
        <w:jc w:val="both"/>
        <w:rPr>
          <w:rFonts w:asciiTheme="minorHAnsi" w:hAnsiTheme="minorHAnsi"/>
          <w:sz w:val="22"/>
          <w:szCs w:val="22"/>
        </w:rPr>
      </w:pPr>
      <w:r w:rsidRPr="00316061">
        <w:rPr>
          <w:rFonts w:asciiTheme="minorHAnsi" w:hAnsiTheme="minorHAnsi"/>
          <w:sz w:val="22"/>
          <w:szCs w:val="22"/>
        </w:rPr>
        <w:t>Ensure the fulfilment of each of the DNOs obligation under Standard Licence Condition 13.1 to at all times have in force a Connection Charging Methodology which includes the Common Connection Charging Methodology. The DNO Licences define a Connection Charging Methodology as ‘a complete and documented explanation, presented in a coherent and consistent manner, of the methods, principles, and assumptions that apply….in relation to connections, for determining the Licensee’s Connection Charges’</w:t>
      </w:r>
    </w:p>
    <w:p w:rsidR="003D1A78" w:rsidRPr="00316061" w:rsidRDefault="003D1A78" w:rsidP="00407373">
      <w:pPr>
        <w:pStyle w:val="Heading1"/>
        <w:keepNext w:val="0"/>
        <w:numPr>
          <w:ilvl w:val="0"/>
          <w:numId w:val="7"/>
        </w:numPr>
        <w:spacing w:line="360" w:lineRule="auto"/>
        <w:jc w:val="both"/>
        <w:rPr>
          <w:rFonts w:asciiTheme="minorHAnsi" w:hAnsiTheme="minorHAnsi"/>
          <w:sz w:val="22"/>
          <w:szCs w:val="22"/>
        </w:rPr>
      </w:pPr>
      <w:r w:rsidRPr="00316061">
        <w:rPr>
          <w:rFonts w:asciiTheme="minorHAnsi" w:hAnsiTheme="minorHAnsi"/>
          <w:sz w:val="22"/>
          <w:szCs w:val="22"/>
        </w:rPr>
        <w:lastRenderedPageBreak/>
        <w:t>ALTERNATE CHANGE PROPOSAL RAISED</w:t>
      </w:r>
    </w:p>
    <w:p w:rsidR="00E14812" w:rsidRDefault="00E14812" w:rsidP="00E14812">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Pr>
          <w:rFonts w:asciiTheme="minorHAnsi" w:hAnsiTheme="minorHAnsi"/>
          <w:sz w:val="22"/>
          <w:szCs w:val="22"/>
        </w:rPr>
        <w:t xml:space="preserve">Following the consideration of responses to consultation one, the DCP 205 Working Group agreed to progress two solutions to this change in order to provide </w:t>
      </w:r>
      <w:proofErr w:type="spellStart"/>
      <w:r>
        <w:rPr>
          <w:rFonts w:asciiTheme="minorHAnsi" w:hAnsiTheme="minorHAnsi"/>
          <w:sz w:val="22"/>
          <w:szCs w:val="22"/>
        </w:rPr>
        <w:t>Ofgem</w:t>
      </w:r>
      <w:proofErr w:type="spellEnd"/>
      <w:r>
        <w:rPr>
          <w:rFonts w:asciiTheme="minorHAnsi" w:hAnsiTheme="minorHAnsi"/>
          <w:sz w:val="22"/>
          <w:szCs w:val="22"/>
        </w:rPr>
        <w:t xml:space="preserve"> with another option that could also be utilised to meet the draft licence obligation that is expected to come in to effect on the 01 April 2015.</w:t>
      </w:r>
    </w:p>
    <w:p w:rsidR="003D1A78" w:rsidRPr="00C26661" w:rsidRDefault="00252199" w:rsidP="00C969E5">
      <w:pPr>
        <w:pStyle w:val="Heading2"/>
        <w:keepNext w:val="0"/>
        <w:numPr>
          <w:ilvl w:val="1"/>
          <w:numId w:val="7"/>
        </w:numPr>
        <w:tabs>
          <w:tab w:val="num" w:pos="709"/>
        </w:tabs>
        <w:spacing w:line="360" w:lineRule="auto"/>
        <w:ind w:left="567" w:hanging="567"/>
        <w:jc w:val="both"/>
        <w:rPr>
          <w:rFonts w:asciiTheme="minorHAnsi" w:hAnsiTheme="minorHAnsi"/>
          <w:sz w:val="22"/>
          <w:szCs w:val="22"/>
        </w:rPr>
      </w:pPr>
      <w:r w:rsidRPr="00C26661">
        <w:rPr>
          <w:rFonts w:asciiTheme="minorHAnsi" w:hAnsiTheme="minorHAnsi"/>
          <w:sz w:val="22"/>
          <w:szCs w:val="22"/>
        </w:rPr>
        <w:t xml:space="preserve">The DCP 205A </w:t>
      </w:r>
      <w:r w:rsidRPr="00C26661">
        <w:rPr>
          <w:rFonts w:asciiTheme="minorHAnsi" w:hAnsiTheme="minorHAnsi"/>
          <w:sz w:val="22"/>
          <w:szCs w:val="22"/>
        </w:rPr>
        <w:t xml:space="preserve">legal text </w:t>
      </w:r>
      <w:r w:rsidRPr="00C26661">
        <w:rPr>
          <w:rFonts w:asciiTheme="minorHAnsi" w:hAnsiTheme="minorHAnsi"/>
          <w:sz w:val="22"/>
          <w:szCs w:val="22"/>
        </w:rPr>
        <w:t xml:space="preserve">allows </w:t>
      </w:r>
      <w:r w:rsidRPr="00C26661">
        <w:rPr>
          <w:rFonts w:asciiTheme="minorHAnsi" w:hAnsiTheme="minorHAnsi"/>
          <w:sz w:val="22"/>
          <w:szCs w:val="22"/>
          <w:lang w:eastAsia="en-US"/>
        </w:rPr>
        <w:t xml:space="preserve">for the installation of equipment up to 100 amperes by existing </w:t>
      </w:r>
      <w:proofErr w:type="spellStart"/>
      <w:r w:rsidRPr="00C26661">
        <w:rPr>
          <w:rFonts w:asciiTheme="minorHAnsi" w:hAnsiTheme="minorHAnsi"/>
          <w:sz w:val="22"/>
          <w:szCs w:val="22"/>
          <w:lang w:eastAsia="en-US"/>
        </w:rPr>
        <w:t>connectees</w:t>
      </w:r>
      <w:proofErr w:type="spellEnd"/>
      <w:r w:rsidRPr="00C26661">
        <w:rPr>
          <w:rFonts w:asciiTheme="minorHAnsi" w:hAnsiTheme="minorHAnsi"/>
          <w:sz w:val="22"/>
          <w:szCs w:val="22"/>
          <w:lang w:eastAsia="en-US"/>
        </w:rPr>
        <w:t xml:space="preserve"> where the consumer has a single, two or three phase connection to a low voltage fuse</w:t>
      </w:r>
      <w:r w:rsidRPr="00C26661">
        <w:rPr>
          <w:rFonts w:asciiTheme="minorHAnsi" w:hAnsiTheme="minorHAnsi"/>
          <w:sz w:val="22"/>
          <w:szCs w:val="22"/>
          <w:lang w:eastAsia="en-US"/>
        </w:rPr>
        <w:t>. This legal text</w:t>
      </w:r>
      <w:r w:rsidRPr="00C26661">
        <w:rPr>
          <w:rFonts w:asciiTheme="minorHAnsi" w:hAnsiTheme="minorHAnsi"/>
          <w:sz w:val="22"/>
          <w:szCs w:val="22"/>
        </w:rPr>
        <w:t xml:space="preserve"> provides a more high level approach to the socialising of </w:t>
      </w:r>
      <w:r w:rsidR="00C26661" w:rsidRPr="00C26661">
        <w:rPr>
          <w:rFonts w:asciiTheme="minorHAnsi" w:hAnsiTheme="minorHAnsi"/>
          <w:sz w:val="22"/>
          <w:szCs w:val="22"/>
        </w:rPr>
        <w:t xml:space="preserve">the relevant </w:t>
      </w:r>
      <w:r w:rsidRPr="00C26661">
        <w:rPr>
          <w:rFonts w:asciiTheme="minorHAnsi" w:hAnsiTheme="minorHAnsi"/>
          <w:sz w:val="22"/>
          <w:szCs w:val="22"/>
        </w:rPr>
        <w:t>connection costs as it does not state any British Standards that the customer</w:t>
      </w:r>
      <w:r w:rsidR="00C26661">
        <w:rPr>
          <w:rFonts w:asciiTheme="minorHAnsi" w:hAnsiTheme="minorHAnsi"/>
          <w:sz w:val="22"/>
          <w:szCs w:val="22"/>
        </w:rPr>
        <w:t xml:space="preserve">’s </w:t>
      </w:r>
      <w:proofErr w:type="gramStart"/>
      <w:r w:rsidR="00C26661">
        <w:rPr>
          <w:rFonts w:asciiTheme="minorHAnsi" w:hAnsiTheme="minorHAnsi"/>
          <w:sz w:val="22"/>
          <w:szCs w:val="22"/>
        </w:rPr>
        <w:t xml:space="preserve">equipment </w:t>
      </w:r>
      <w:r w:rsidRPr="00C26661">
        <w:rPr>
          <w:rFonts w:asciiTheme="minorHAnsi" w:hAnsiTheme="minorHAnsi"/>
          <w:sz w:val="22"/>
          <w:szCs w:val="22"/>
        </w:rPr>
        <w:t xml:space="preserve"> is</w:t>
      </w:r>
      <w:proofErr w:type="gramEnd"/>
      <w:r w:rsidRPr="00C26661">
        <w:rPr>
          <w:rFonts w:asciiTheme="minorHAnsi" w:hAnsiTheme="minorHAnsi"/>
          <w:sz w:val="22"/>
          <w:szCs w:val="22"/>
        </w:rPr>
        <w:t xml:space="preserve"> required to be compliant with.</w:t>
      </w:r>
      <w:r w:rsidR="00C26661">
        <w:rPr>
          <w:rFonts w:asciiTheme="minorHAnsi" w:hAnsiTheme="minorHAnsi"/>
          <w:sz w:val="22"/>
          <w:szCs w:val="22"/>
        </w:rPr>
        <w:t xml:space="preserve"> T</w:t>
      </w:r>
      <w:r w:rsidR="003D1A78" w:rsidRPr="00C26661">
        <w:rPr>
          <w:rFonts w:asciiTheme="minorHAnsi" w:hAnsiTheme="minorHAnsi"/>
          <w:sz w:val="22"/>
          <w:szCs w:val="22"/>
        </w:rPr>
        <w:t>he legal text for the alternate proposal acts as Attachment 2 to this report.</w:t>
      </w:r>
    </w:p>
    <w:p w:rsidR="003D1A78" w:rsidRPr="00316061" w:rsidRDefault="003D1A78" w:rsidP="00891A0B">
      <w:pPr>
        <w:pStyle w:val="Heading1"/>
        <w:numPr>
          <w:ilvl w:val="0"/>
          <w:numId w:val="7"/>
        </w:numPr>
        <w:spacing w:line="360" w:lineRule="auto"/>
        <w:jc w:val="both"/>
        <w:rPr>
          <w:rFonts w:asciiTheme="minorHAnsi" w:hAnsiTheme="minorHAnsi"/>
          <w:sz w:val="22"/>
          <w:szCs w:val="22"/>
        </w:rPr>
      </w:pPr>
      <w:r w:rsidRPr="00316061">
        <w:rPr>
          <w:rFonts w:asciiTheme="minorHAnsi" w:hAnsiTheme="minorHAnsi"/>
          <w:sz w:val="22"/>
          <w:szCs w:val="22"/>
        </w:rPr>
        <w:t>EVALUATION AGAINST THE DCUSA OBJECTIVES</w:t>
      </w:r>
    </w:p>
    <w:p w:rsidR="003D1A78" w:rsidRPr="00316061" w:rsidRDefault="003D1A78" w:rsidP="00C969E5">
      <w:pPr>
        <w:pStyle w:val="Heading2"/>
        <w:keepNext w:val="0"/>
        <w:widowControl w:val="0"/>
        <w:numPr>
          <w:ilvl w:val="1"/>
          <w:numId w:val="7"/>
        </w:numPr>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majority of the Working Group considers that DCUSA General </w:t>
      </w:r>
      <w:proofErr w:type="gramStart"/>
      <w:r w:rsidRPr="00316061">
        <w:rPr>
          <w:rFonts w:asciiTheme="minorHAnsi" w:hAnsiTheme="minorHAnsi"/>
          <w:sz w:val="22"/>
          <w:szCs w:val="22"/>
        </w:rPr>
        <w:t>Objective</w:t>
      </w:r>
      <w:r w:rsidR="008175B1" w:rsidRPr="00316061">
        <w:rPr>
          <w:rFonts w:asciiTheme="minorHAnsi" w:hAnsiTheme="minorHAnsi"/>
          <w:sz w:val="22"/>
          <w:szCs w:val="22"/>
        </w:rPr>
        <w:t>s</w:t>
      </w:r>
      <w:proofErr w:type="gramEnd"/>
      <w:r w:rsidR="008175B1" w:rsidRPr="00316061">
        <w:rPr>
          <w:rFonts w:asciiTheme="minorHAnsi" w:hAnsiTheme="minorHAnsi"/>
          <w:sz w:val="22"/>
          <w:szCs w:val="22"/>
        </w:rPr>
        <w:t xml:space="preserve"> # and #</w:t>
      </w:r>
      <w:r w:rsidRPr="00316061">
        <w:rPr>
          <w:rFonts w:asciiTheme="minorHAnsi" w:hAnsiTheme="minorHAnsi"/>
          <w:sz w:val="22"/>
          <w:szCs w:val="22"/>
        </w:rPr>
        <w:t xml:space="preserve"> and DCUSA Charging Objective </w:t>
      </w:r>
      <w:r w:rsidR="008175B1" w:rsidRPr="00316061">
        <w:rPr>
          <w:rFonts w:asciiTheme="minorHAnsi" w:hAnsiTheme="minorHAnsi"/>
          <w:sz w:val="22"/>
          <w:szCs w:val="22"/>
        </w:rPr>
        <w:t>#</w:t>
      </w:r>
      <w:r w:rsidRPr="00316061">
        <w:rPr>
          <w:rFonts w:asciiTheme="minorHAnsi" w:hAnsiTheme="minorHAnsi"/>
          <w:sz w:val="22"/>
          <w:szCs w:val="22"/>
        </w:rPr>
        <w:t xml:space="preserve"> a</w:t>
      </w:r>
      <w:r w:rsidR="008175B1" w:rsidRPr="00316061">
        <w:rPr>
          <w:rFonts w:asciiTheme="minorHAnsi" w:hAnsiTheme="minorHAnsi"/>
          <w:sz w:val="22"/>
          <w:szCs w:val="22"/>
        </w:rPr>
        <w:t>re better facilitated by DCP 205</w:t>
      </w:r>
      <w:r w:rsidRPr="00316061">
        <w:rPr>
          <w:rFonts w:asciiTheme="minorHAnsi" w:hAnsiTheme="minorHAnsi"/>
          <w:sz w:val="22"/>
          <w:szCs w:val="22"/>
        </w:rPr>
        <w:t>. The reasoning against each objective is detailed below:</w:t>
      </w:r>
    </w:p>
    <w:p w:rsidR="003D1A78" w:rsidRPr="00316061" w:rsidRDefault="003D1A78" w:rsidP="00D94FE7">
      <w:pPr>
        <w:ind w:left="709"/>
        <w:rPr>
          <w:rFonts w:asciiTheme="minorHAnsi" w:hAnsiTheme="minorHAnsi"/>
          <w:sz w:val="22"/>
          <w:szCs w:val="22"/>
        </w:rPr>
      </w:pPr>
      <w:r w:rsidRPr="00316061">
        <w:rPr>
          <w:rFonts w:asciiTheme="minorHAnsi" w:hAnsiTheme="minorHAnsi"/>
          <w:b/>
          <w:sz w:val="22"/>
          <w:szCs w:val="22"/>
          <w:u w:val="single"/>
        </w:rPr>
        <w:t>General Objectives</w:t>
      </w:r>
    </w:p>
    <w:p w:rsidR="003D1A78" w:rsidRPr="00316061" w:rsidRDefault="003D1A78" w:rsidP="00D94FE7">
      <w:pPr>
        <w:pStyle w:val="Heading2"/>
        <w:keepNext w:val="0"/>
        <w:widowControl w:val="0"/>
        <w:tabs>
          <w:tab w:val="clear" w:pos="360"/>
          <w:tab w:val="left" w:pos="2694"/>
        </w:tabs>
        <w:spacing w:line="360" w:lineRule="auto"/>
        <w:ind w:left="2694" w:hanging="1985"/>
        <w:jc w:val="both"/>
        <w:rPr>
          <w:rFonts w:asciiTheme="minorHAnsi" w:hAnsiTheme="minorHAnsi"/>
          <w:sz w:val="22"/>
          <w:szCs w:val="22"/>
        </w:rPr>
      </w:pPr>
      <w:r w:rsidRPr="00316061">
        <w:rPr>
          <w:rFonts w:asciiTheme="minorHAnsi" w:hAnsiTheme="minorHAnsi"/>
          <w:b/>
          <w:sz w:val="22"/>
          <w:szCs w:val="22"/>
        </w:rPr>
        <w:t>General Objective One –</w:t>
      </w:r>
      <w:r w:rsidR="008175B1" w:rsidRPr="00316061">
        <w:rPr>
          <w:rFonts w:asciiTheme="minorHAnsi" w:hAnsiTheme="minorHAnsi"/>
          <w:b/>
          <w:sz w:val="22"/>
          <w:szCs w:val="22"/>
        </w:rPr>
        <w:t xml:space="preserve"> </w:t>
      </w:r>
      <w:r w:rsidRPr="00316061">
        <w:rPr>
          <w:rFonts w:asciiTheme="minorHAnsi" w:hAnsiTheme="minorHAnsi"/>
          <w:i/>
          <w:sz w:val="22"/>
          <w:szCs w:val="22"/>
        </w:rPr>
        <w:t>The development, maintenance and operation by the DNO Parties and IDNO Parties of efficient, co-ordinated, and economical Distribution Networks.</w:t>
      </w:r>
      <w:r w:rsidRPr="00316061">
        <w:rPr>
          <w:rFonts w:asciiTheme="minorHAnsi" w:hAnsiTheme="minorHAnsi"/>
          <w:sz w:val="22"/>
          <w:szCs w:val="22"/>
        </w:rPr>
        <w:t xml:space="preserve"> </w:t>
      </w:r>
    </w:p>
    <w:p w:rsidR="003D1A78" w:rsidRPr="00316061" w:rsidRDefault="003D1A78" w:rsidP="00D94FE7">
      <w:pPr>
        <w:pStyle w:val="Heading2"/>
        <w:keepNext w:val="0"/>
        <w:widowControl w:val="0"/>
        <w:numPr>
          <w:ilvl w:val="0"/>
          <w:numId w:val="6"/>
        </w:numPr>
        <w:spacing w:line="360" w:lineRule="auto"/>
        <w:jc w:val="both"/>
        <w:rPr>
          <w:rFonts w:asciiTheme="minorHAnsi" w:hAnsiTheme="minorHAnsi"/>
          <w:sz w:val="22"/>
          <w:szCs w:val="22"/>
        </w:rPr>
      </w:pPr>
      <w:r w:rsidRPr="00316061">
        <w:rPr>
          <w:rFonts w:asciiTheme="minorHAnsi" w:hAnsiTheme="minorHAnsi"/>
          <w:b/>
          <w:sz w:val="22"/>
          <w:szCs w:val="22"/>
        </w:rPr>
        <w:t>Working Group view</w:t>
      </w:r>
      <w:r w:rsidR="008175B1" w:rsidRPr="00316061">
        <w:rPr>
          <w:rFonts w:asciiTheme="minorHAnsi" w:hAnsiTheme="minorHAnsi"/>
          <w:b/>
          <w:sz w:val="22"/>
          <w:szCs w:val="22"/>
        </w:rPr>
        <w:t xml:space="preserve"> on DCP 205</w:t>
      </w:r>
      <w:proofErr w:type="gramStart"/>
      <w:r w:rsidRPr="00316061">
        <w:rPr>
          <w:rFonts w:asciiTheme="minorHAnsi" w:hAnsiTheme="minorHAnsi"/>
          <w:b/>
          <w:sz w:val="22"/>
          <w:szCs w:val="22"/>
        </w:rPr>
        <w:t>:</w:t>
      </w:r>
      <w:r w:rsidRPr="00316061">
        <w:rPr>
          <w:rFonts w:asciiTheme="minorHAnsi" w:hAnsiTheme="minorHAnsi"/>
          <w:sz w:val="22"/>
          <w:szCs w:val="22"/>
        </w:rPr>
        <w:t>.</w:t>
      </w:r>
      <w:proofErr w:type="gramEnd"/>
    </w:p>
    <w:p w:rsidR="003D1A78" w:rsidRPr="00316061" w:rsidRDefault="003D1A78" w:rsidP="008175B1">
      <w:pPr>
        <w:pStyle w:val="Heading2"/>
        <w:keepNext w:val="0"/>
        <w:widowControl w:val="0"/>
        <w:tabs>
          <w:tab w:val="clear" w:pos="360"/>
          <w:tab w:val="left" w:pos="3261"/>
        </w:tabs>
        <w:spacing w:line="360" w:lineRule="auto"/>
        <w:ind w:left="2694" w:hanging="1985"/>
        <w:jc w:val="both"/>
        <w:rPr>
          <w:rFonts w:asciiTheme="minorHAnsi" w:hAnsiTheme="minorHAnsi"/>
          <w:i/>
          <w:sz w:val="22"/>
          <w:szCs w:val="22"/>
        </w:rPr>
      </w:pPr>
      <w:proofErr w:type="gramStart"/>
      <w:r w:rsidRPr="00316061">
        <w:rPr>
          <w:rFonts w:asciiTheme="minorHAnsi" w:hAnsiTheme="minorHAnsi"/>
          <w:b/>
          <w:sz w:val="22"/>
          <w:szCs w:val="22"/>
        </w:rPr>
        <w:t>General Objective Two –</w:t>
      </w:r>
      <w:r w:rsidRPr="00316061">
        <w:rPr>
          <w:rFonts w:asciiTheme="minorHAnsi" w:hAnsiTheme="minorHAnsi"/>
          <w:sz w:val="22"/>
          <w:szCs w:val="22"/>
        </w:rPr>
        <w:t xml:space="preserve"> </w:t>
      </w:r>
      <w:r w:rsidRPr="00316061">
        <w:rPr>
          <w:rFonts w:asciiTheme="minorHAnsi" w:hAnsiTheme="minorHAnsi"/>
          <w:sz w:val="22"/>
          <w:szCs w:val="22"/>
        </w:rPr>
        <w:tab/>
      </w:r>
      <w:r w:rsidRPr="00316061">
        <w:rPr>
          <w:rFonts w:asciiTheme="minorHAnsi" w:hAnsiTheme="minorHAnsi"/>
          <w:i/>
          <w:sz w:val="22"/>
          <w:szCs w:val="22"/>
        </w:rPr>
        <w:t xml:space="preserve">The facilitation of effective competition in the generation and </w:t>
      </w:r>
      <w:r w:rsidR="008175B1" w:rsidRPr="00316061">
        <w:rPr>
          <w:rFonts w:asciiTheme="minorHAnsi" w:hAnsiTheme="minorHAnsi"/>
          <w:i/>
          <w:sz w:val="22"/>
          <w:szCs w:val="22"/>
        </w:rPr>
        <w:tab/>
      </w:r>
      <w:r w:rsidRPr="00316061">
        <w:rPr>
          <w:rFonts w:asciiTheme="minorHAnsi" w:hAnsiTheme="minorHAnsi"/>
          <w:i/>
          <w:sz w:val="22"/>
          <w:szCs w:val="22"/>
        </w:rPr>
        <w:t xml:space="preserve">supply of electricity and (so far as is consistent therewith) the </w:t>
      </w:r>
      <w:r w:rsidR="008175B1" w:rsidRPr="00316061">
        <w:rPr>
          <w:rFonts w:asciiTheme="minorHAnsi" w:hAnsiTheme="minorHAnsi"/>
          <w:i/>
          <w:sz w:val="22"/>
          <w:szCs w:val="22"/>
        </w:rPr>
        <w:tab/>
      </w:r>
      <w:r w:rsidRPr="00316061">
        <w:rPr>
          <w:rFonts w:asciiTheme="minorHAnsi" w:hAnsiTheme="minorHAnsi"/>
          <w:i/>
          <w:sz w:val="22"/>
          <w:szCs w:val="22"/>
        </w:rPr>
        <w:t xml:space="preserve">promotion of such competition in the sale, distribution and </w:t>
      </w:r>
      <w:r w:rsidR="008175B1" w:rsidRPr="00316061">
        <w:rPr>
          <w:rFonts w:asciiTheme="minorHAnsi" w:hAnsiTheme="minorHAnsi"/>
          <w:i/>
          <w:sz w:val="22"/>
          <w:szCs w:val="22"/>
        </w:rPr>
        <w:tab/>
      </w:r>
      <w:r w:rsidRPr="00316061">
        <w:rPr>
          <w:rFonts w:asciiTheme="minorHAnsi" w:hAnsiTheme="minorHAnsi"/>
          <w:i/>
          <w:sz w:val="22"/>
          <w:szCs w:val="22"/>
        </w:rPr>
        <w:t>purchase of electricity.</w:t>
      </w:r>
      <w:proofErr w:type="gramEnd"/>
      <w:r w:rsidRPr="00316061">
        <w:rPr>
          <w:rFonts w:asciiTheme="minorHAnsi" w:hAnsiTheme="minorHAnsi"/>
          <w:i/>
          <w:sz w:val="22"/>
          <w:szCs w:val="22"/>
        </w:rPr>
        <w:t xml:space="preserve"> </w:t>
      </w:r>
    </w:p>
    <w:p w:rsidR="003D1A78" w:rsidRPr="00316061" w:rsidRDefault="003D1A78" w:rsidP="00D94FE7">
      <w:pPr>
        <w:pStyle w:val="Heading2"/>
        <w:keepNext w:val="0"/>
        <w:widowControl w:val="0"/>
        <w:numPr>
          <w:ilvl w:val="0"/>
          <w:numId w:val="6"/>
        </w:numPr>
        <w:spacing w:line="360" w:lineRule="auto"/>
        <w:jc w:val="both"/>
        <w:rPr>
          <w:rFonts w:asciiTheme="minorHAnsi" w:hAnsiTheme="minorHAnsi"/>
          <w:sz w:val="22"/>
          <w:szCs w:val="22"/>
        </w:rPr>
      </w:pPr>
      <w:r w:rsidRPr="00316061">
        <w:rPr>
          <w:rFonts w:asciiTheme="minorHAnsi" w:hAnsiTheme="minorHAnsi"/>
          <w:b/>
          <w:sz w:val="22"/>
          <w:szCs w:val="22"/>
        </w:rPr>
        <w:t xml:space="preserve">Working Group view on DCP </w:t>
      </w:r>
      <w:r w:rsidR="008175B1" w:rsidRPr="00316061">
        <w:rPr>
          <w:rFonts w:asciiTheme="minorHAnsi" w:hAnsiTheme="minorHAnsi"/>
          <w:b/>
          <w:sz w:val="22"/>
          <w:szCs w:val="22"/>
        </w:rPr>
        <w:t>205</w:t>
      </w:r>
      <w:r w:rsidRPr="00316061">
        <w:rPr>
          <w:rFonts w:asciiTheme="minorHAnsi" w:hAnsiTheme="minorHAnsi"/>
          <w:b/>
          <w:sz w:val="22"/>
          <w:szCs w:val="22"/>
        </w:rPr>
        <w:t xml:space="preserve">: </w:t>
      </w:r>
    </w:p>
    <w:p w:rsidR="003D1A78" w:rsidRPr="00316061" w:rsidRDefault="003D1A78" w:rsidP="00D94FE7">
      <w:pPr>
        <w:pStyle w:val="Heading2"/>
        <w:keepNext w:val="0"/>
        <w:widowControl w:val="0"/>
        <w:tabs>
          <w:tab w:val="clear" w:pos="360"/>
        </w:tabs>
        <w:spacing w:line="360" w:lineRule="auto"/>
        <w:ind w:left="2694" w:hanging="1985"/>
        <w:jc w:val="both"/>
        <w:rPr>
          <w:rFonts w:asciiTheme="minorHAnsi" w:hAnsiTheme="minorHAnsi"/>
          <w:sz w:val="22"/>
          <w:szCs w:val="22"/>
        </w:rPr>
      </w:pPr>
      <w:r w:rsidRPr="00316061">
        <w:rPr>
          <w:rFonts w:asciiTheme="minorHAnsi" w:hAnsiTheme="minorHAnsi"/>
          <w:b/>
          <w:sz w:val="22"/>
          <w:szCs w:val="22"/>
        </w:rPr>
        <w:t>General Objective Three –</w:t>
      </w:r>
      <w:r w:rsidRPr="00316061">
        <w:rPr>
          <w:rFonts w:asciiTheme="minorHAnsi" w:hAnsiTheme="minorHAnsi"/>
          <w:i/>
          <w:sz w:val="22"/>
          <w:szCs w:val="22"/>
        </w:rPr>
        <w:t>The efficient discharge by the DNO Parties and IDNO Parties of obligations imposed upon them in their Distribution Licences.</w:t>
      </w:r>
      <w:r w:rsidRPr="00316061">
        <w:rPr>
          <w:rFonts w:asciiTheme="minorHAnsi" w:hAnsiTheme="minorHAnsi"/>
          <w:sz w:val="22"/>
          <w:szCs w:val="22"/>
        </w:rPr>
        <w:t xml:space="preserve"> </w:t>
      </w:r>
    </w:p>
    <w:p w:rsidR="006B16E5" w:rsidRPr="00316061" w:rsidRDefault="003D1A78" w:rsidP="006B16E5">
      <w:pPr>
        <w:rPr>
          <w:rFonts w:asciiTheme="minorHAnsi" w:hAnsiTheme="minorHAnsi"/>
          <w:sz w:val="22"/>
          <w:szCs w:val="22"/>
        </w:rPr>
      </w:pPr>
      <w:r w:rsidRPr="00316061">
        <w:rPr>
          <w:rFonts w:asciiTheme="minorHAnsi" w:hAnsiTheme="minorHAnsi"/>
          <w:b/>
          <w:sz w:val="22"/>
          <w:szCs w:val="22"/>
        </w:rPr>
        <w:t xml:space="preserve">Working Group </w:t>
      </w:r>
      <w:r w:rsidR="008175B1" w:rsidRPr="00316061">
        <w:rPr>
          <w:rFonts w:asciiTheme="minorHAnsi" w:hAnsiTheme="minorHAnsi"/>
          <w:b/>
          <w:sz w:val="22"/>
          <w:szCs w:val="22"/>
        </w:rPr>
        <w:t>view on DCP 205</w:t>
      </w:r>
      <w:r w:rsidRPr="00316061">
        <w:rPr>
          <w:rFonts w:asciiTheme="minorHAnsi" w:hAnsiTheme="minorHAnsi"/>
          <w:b/>
          <w:sz w:val="22"/>
          <w:szCs w:val="22"/>
        </w:rPr>
        <w:t>:</w:t>
      </w:r>
      <w:r w:rsidR="006B16E5" w:rsidRPr="00316061">
        <w:rPr>
          <w:rFonts w:asciiTheme="minorHAnsi" w:hAnsiTheme="minorHAnsi"/>
          <w:b/>
          <w:sz w:val="22"/>
          <w:szCs w:val="22"/>
        </w:rPr>
        <w:t xml:space="preserve"> </w:t>
      </w:r>
      <w:commentRangeStart w:id="3"/>
      <w:proofErr w:type="spellStart"/>
      <w:r w:rsidR="006B16E5" w:rsidRPr="00316061">
        <w:rPr>
          <w:rFonts w:asciiTheme="minorHAnsi" w:hAnsiTheme="minorHAnsi"/>
          <w:sz w:val="22"/>
          <w:szCs w:val="22"/>
        </w:rPr>
        <w:t>Ofgem</w:t>
      </w:r>
      <w:proofErr w:type="spellEnd"/>
      <w:r w:rsidR="006B16E5" w:rsidRPr="00316061">
        <w:rPr>
          <w:rFonts w:asciiTheme="minorHAnsi" w:hAnsiTheme="minorHAnsi"/>
          <w:sz w:val="22"/>
          <w:szCs w:val="22"/>
        </w:rPr>
        <w:t xml:space="preserve"> has consulted on the draft licence conditions for Fast Tracked Companies and this includes a draft licence condition covering this policy change.  The </w:t>
      </w:r>
      <w:r w:rsidR="006B16E5" w:rsidRPr="00316061">
        <w:rPr>
          <w:rFonts w:asciiTheme="minorHAnsi" w:hAnsiTheme="minorHAnsi"/>
          <w:sz w:val="22"/>
          <w:szCs w:val="22"/>
        </w:rPr>
        <w:lastRenderedPageBreak/>
        <w:t xml:space="preserve">intention is to turn off the licence condition once </w:t>
      </w:r>
      <w:proofErr w:type="spellStart"/>
      <w:r w:rsidR="006B16E5" w:rsidRPr="00316061">
        <w:rPr>
          <w:rFonts w:asciiTheme="minorHAnsi" w:hAnsiTheme="minorHAnsi"/>
          <w:sz w:val="22"/>
          <w:szCs w:val="22"/>
        </w:rPr>
        <w:t>Ofgem</w:t>
      </w:r>
      <w:proofErr w:type="spellEnd"/>
      <w:r w:rsidR="006B16E5" w:rsidRPr="00316061">
        <w:rPr>
          <w:rFonts w:asciiTheme="minorHAnsi" w:hAnsiTheme="minorHAnsi"/>
          <w:sz w:val="22"/>
          <w:szCs w:val="22"/>
        </w:rPr>
        <w:t xml:space="preserve"> is satisfied the policy is included within DCUSA</w:t>
      </w:r>
      <w:commentRangeEnd w:id="3"/>
      <w:r w:rsidR="006B16E5" w:rsidRPr="00316061">
        <w:rPr>
          <w:rStyle w:val="CommentReference"/>
          <w:rFonts w:asciiTheme="minorHAnsi" w:hAnsiTheme="minorHAnsi"/>
          <w:sz w:val="22"/>
          <w:szCs w:val="22"/>
        </w:rPr>
        <w:commentReference w:id="3"/>
      </w:r>
      <w:r w:rsidR="006B16E5" w:rsidRPr="00316061">
        <w:rPr>
          <w:rFonts w:asciiTheme="minorHAnsi" w:hAnsiTheme="minorHAnsi"/>
          <w:sz w:val="22"/>
          <w:szCs w:val="22"/>
        </w:rPr>
        <w:t>.</w:t>
      </w:r>
    </w:p>
    <w:p w:rsidR="003D1A78" w:rsidRPr="00316061" w:rsidRDefault="004E48EB" w:rsidP="00D94FE7">
      <w:pPr>
        <w:pStyle w:val="Heading2"/>
        <w:keepNext w:val="0"/>
        <w:widowControl w:val="0"/>
        <w:numPr>
          <w:ilvl w:val="0"/>
          <w:numId w:val="6"/>
        </w:numPr>
        <w:spacing w:line="360" w:lineRule="auto"/>
        <w:jc w:val="both"/>
        <w:rPr>
          <w:rFonts w:asciiTheme="minorHAnsi" w:hAnsiTheme="minorHAnsi"/>
          <w:sz w:val="22"/>
          <w:szCs w:val="22"/>
        </w:rPr>
      </w:pPr>
      <w:commentRangeStart w:id="4"/>
      <w:r w:rsidRPr="00316061">
        <w:rPr>
          <w:rFonts w:asciiTheme="minorHAnsi" w:hAnsiTheme="minorHAnsi"/>
          <w:sz w:val="22"/>
          <w:szCs w:val="22"/>
        </w:rPr>
        <w:t xml:space="preserve">The Working Group considers that this CP is better facilitated by DCUSA General Objective three as this change </w:t>
      </w:r>
      <w:commentRangeEnd w:id="4"/>
      <w:r w:rsidRPr="00316061">
        <w:rPr>
          <w:rStyle w:val="CommentReference"/>
          <w:rFonts w:asciiTheme="minorHAnsi" w:hAnsiTheme="minorHAnsi"/>
          <w:bCs w:val="0"/>
          <w:iCs w:val="0"/>
          <w:sz w:val="22"/>
          <w:szCs w:val="22"/>
        </w:rPr>
        <w:commentReference w:id="4"/>
      </w:r>
      <w:r w:rsidRPr="00316061">
        <w:rPr>
          <w:rFonts w:asciiTheme="minorHAnsi" w:hAnsiTheme="minorHAnsi"/>
          <w:sz w:val="22"/>
          <w:szCs w:val="22"/>
        </w:rPr>
        <w:t>seeks to fulfil a proposed draft licence condition which is due to be implemented on the 01 April 2015. It is noted that the draft licence conditions for those companies who have been Fast Tracked has been consulted upon.</w:t>
      </w:r>
    </w:p>
    <w:p w:rsidR="003D1A78" w:rsidRPr="00316061" w:rsidRDefault="003D1A78" w:rsidP="00D94FE7">
      <w:pPr>
        <w:pStyle w:val="Heading2"/>
        <w:keepNext w:val="0"/>
        <w:widowControl w:val="0"/>
        <w:tabs>
          <w:tab w:val="clear" w:pos="360"/>
        </w:tabs>
        <w:spacing w:line="360" w:lineRule="auto"/>
        <w:ind w:left="2694" w:hanging="1985"/>
        <w:jc w:val="both"/>
        <w:rPr>
          <w:rFonts w:asciiTheme="minorHAnsi" w:hAnsiTheme="minorHAnsi"/>
          <w:i/>
          <w:noProof/>
          <w:sz w:val="22"/>
          <w:szCs w:val="22"/>
        </w:rPr>
      </w:pPr>
      <w:proofErr w:type="gramStart"/>
      <w:r w:rsidRPr="00316061">
        <w:rPr>
          <w:rFonts w:asciiTheme="minorHAnsi" w:hAnsiTheme="minorHAnsi"/>
          <w:b/>
          <w:bCs w:val="0"/>
          <w:iCs w:val="0"/>
          <w:sz w:val="22"/>
          <w:szCs w:val="22"/>
        </w:rPr>
        <w:t>General Objective</w:t>
      </w:r>
      <w:r w:rsidRPr="00316061">
        <w:rPr>
          <w:rFonts w:asciiTheme="minorHAnsi" w:hAnsiTheme="minorHAnsi"/>
          <w:b/>
          <w:sz w:val="22"/>
          <w:szCs w:val="22"/>
        </w:rPr>
        <w:t xml:space="preserve"> Four </w:t>
      </w:r>
      <w:r w:rsidRPr="00316061">
        <w:rPr>
          <w:rFonts w:asciiTheme="minorHAnsi" w:hAnsiTheme="minorHAnsi"/>
          <w:bCs w:val="0"/>
          <w:iCs w:val="0"/>
          <w:sz w:val="22"/>
          <w:szCs w:val="22"/>
        </w:rPr>
        <w:t>–</w:t>
      </w:r>
      <w:r w:rsidRPr="00316061">
        <w:rPr>
          <w:rFonts w:asciiTheme="minorHAnsi" w:hAnsiTheme="minorHAnsi"/>
          <w:i/>
          <w:noProof/>
          <w:sz w:val="22"/>
          <w:szCs w:val="22"/>
        </w:rPr>
        <w:t>The promotion of efficiency in the implementation and administration of this Agreement.</w:t>
      </w:r>
      <w:proofErr w:type="gramEnd"/>
      <w:r w:rsidRPr="00316061">
        <w:rPr>
          <w:rFonts w:asciiTheme="minorHAnsi" w:hAnsiTheme="minorHAnsi"/>
          <w:i/>
          <w:noProof/>
          <w:sz w:val="22"/>
          <w:szCs w:val="22"/>
        </w:rPr>
        <w:t xml:space="preserve"> </w:t>
      </w:r>
    </w:p>
    <w:p w:rsidR="003D1A78" w:rsidRPr="00316061" w:rsidRDefault="003D1A78" w:rsidP="00D94FE7">
      <w:pPr>
        <w:pStyle w:val="Heading2"/>
        <w:keepNext w:val="0"/>
        <w:widowControl w:val="0"/>
        <w:numPr>
          <w:ilvl w:val="0"/>
          <w:numId w:val="6"/>
        </w:numPr>
        <w:spacing w:line="360" w:lineRule="auto"/>
        <w:jc w:val="both"/>
        <w:rPr>
          <w:rFonts w:asciiTheme="minorHAnsi" w:hAnsiTheme="minorHAnsi"/>
          <w:sz w:val="22"/>
          <w:szCs w:val="22"/>
        </w:rPr>
      </w:pPr>
      <w:r w:rsidRPr="00316061">
        <w:rPr>
          <w:rFonts w:asciiTheme="minorHAnsi" w:hAnsiTheme="minorHAnsi"/>
          <w:b/>
          <w:sz w:val="22"/>
          <w:szCs w:val="22"/>
        </w:rPr>
        <w:t>Working Group members view</w:t>
      </w:r>
      <w:r w:rsidR="008175B1" w:rsidRPr="00316061">
        <w:rPr>
          <w:rFonts w:asciiTheme="minorHAnsi" w:hAnsiTheme="minorHAnsi"/>
          <w:b/>
          <w:sz w:val="22"/>
          <w:szCs w:val="22"/>
        </w:rPr>
        <w:t xml:space="preserve"> on DCP 205</w:t>
      </w:r>
      <w:r w:rsidRPr="00316061">
        <w:rPr>
          <w:rFonts w:asciiTheme="minorHAnsi" w:hAnsiTheme="minorHAnsi"/>
          <w:b/>
          <w:sz w:val="22"/>
          <w:szCs w:val="22"/>
        </w:rPr>
        <w:t xml:space="preserve">: </w:t>
      </w:r>
    </w:p>
    <w:p w:rsidR="003D1A78" w:rsidRPr="00316061" w:rsidRDefault="003D1A78" w:rsidP="00D94FE7">
      <w:pPr>
        <w:pStyle w:val="Heading2"/>
        <w:keepNext w:val="0"/>
        <w:widowControl w:val="0"/>
        <w:tabs>
          <w:tab w:val="clear" w:pos="360"/>
        </w:tabs>
        <w:spacing w:line="360" w:lineRule="auto"/>
        <w:ind w:left="2694" w:hanging="1985"/>
        <w:jc w:val="both"/>
        <w:rPr>
          <w:rFonts w:asciiTheme="minorHAnsi" w:hAnsiTheme="minorHAnsi"/>
          <w:noProof/>
          <w:sz w:val="22"/>
          <w:szCs w:val="22"/>
        </w:rPr>
      </w:pPr>
      <w:r w:rsidRPr="00316061">
        <w:rPr>
          <w:rFonts w:asciiTheme="minorHAnsi" w:hAnsiTheme="minorHAnsi"/>
          <w:b/>
          <w:sz w:val="22"/>
          <w:szCs w:val="22"/>
        </w:rPr>
        <w:t>General Objectiv</w:t>
      </w:r>
      <w:r w:rsidRPr="00316061">
        <w:rPr>
          <w:rFonts w:asciiTheme="minorHAnsi" w:hAnsiTheme="minorHAnsi"/>
          <w:b/>
          <w:bCs w:val="0"/>
          <w:iCs w:val="0"/>
          <w:sz w:val="22"/>
          <w:szCs w:val="22"/>
        </w:rPr>
        <w:t xml:space="preserve">e Five </w:t>
      </w:r>
      <w:r w:rsidRPr="00316061">
        <w:rPr>
          <w:rFonts w:asciiTheme="minorHAnsi" w:hAnsiTheme="minorHAnsi"/>
          <w:sz w:val="22"/>
          <w:szCs w:val="22"/>
        </w:rPr>
        <w:t>–</w:t>
      </w:r>
      <w:r w:rsidRPr="00316061">
        <w:rPr>
          <w:rFonts w:asciiTheme="minorHAnsi" w:hAnsiTheme="minorHAnsi"/>
          <w:sz w:val="22"/>
          <w:szCs w:val="22"/>
        </w:rPr>
        <w:tab/>
      </w:r>
      <w:r w:rsidRPr="00316061">
        <w:rPr>
          <w:rFonts w:asciiTheme="minorHAnsi" w:hAnsiTheme="minorHAnsi"/>
          <w:i/>
          <w:noProof/>
          <w:sz w:val="22"/>
          <w:szCs w:val="22"/>
        </w:rPr>
        <w:t>Compliance with the Regulation on Cross-Border Exchange in Electricity and any relevant legally binding decisions of the European Commission and/or the Agency for the Co-operation of Energy Regulators</w:t>
      </w:r>
      <w:r w:rsidRPr="00316061">
        <w:rPr>
          <w:rFonts w:asciiTheme="minorHAnsi" w:hAnsiTheme="minorHAnsi"/>
          <w:noProof/>
          <w:sz w:val="22"/>
          <w:szCs w:val="22"/>
        </w:rPr>
        <w:t xml:space="preserve">. </w:t>
      </w:r>
    </w:p>
    <w:p w:rsidR="003D1A78" w:rsidRPr="00316061" w:rsidRDefault="003D1A78" w:rsidP="00D94FE7">
      <w:pPr>
        <w:pStyle w:val="Heading2"/>
        <w:keepNext w:val="0"/>
        <w:widowControl w:val="0"/>
        <w:numPr>
          <w:ilvl w:val="0"/>
          <w:numId w:val="6"/>
        </w:numPr>
        <w:spacing w:line="360" w:lineRule="auto"/>
        <w:jc w:val="both"/>
        <w:rPr>
          <w:rFonts w:asciiTheme="minorHAnsi" w:hAnsiTheme="minorHAnsi"/>
          <w:sz w:val="22"/>
          <w:szCs w:val="22"/>
        </w:rPr>
      </w:pPr>
      <w:r w:rsidRPr="00316061">
        <w:rPr>
          <w:rFonts w:asciiTheme="minorHAnsi" w:hAnsiTheme="minorHAnsi"/>
          <w:b/>
          <w:sz w:val="22"/>
          <w:szCs w:val="22"/>
        </w:rPr>
        <w:t xml:space="preserve">Working Group view on DCP </w:t>
      </w:r>
      <w:r w:rsidR="008175B1" w:rsidRPr="00316061">
        <w:rPr>
          <w:rFonts w:asciiTheme="minorHAnsi" w:hAnsiTheme="minorHAnsi"/>
          <w:b/>
          <w:sz w:val="22"/>
          <w:szCs w:val="22"/>
        </w:rPr>
        <w:t>205</w:t>
      </w:r>
      <w:r w:rsidRPr="00316061">
        <w:rPr>
          <w:rFonts w:asciiTheme="minorHAnsi" w:hAnsiTheme="minorHAnsi"/>
          <w:b/>
          <w:sz w:val="22"/>
          <w:szCs w:val="22"/>
        </w:rPr>
        <w:t xml:space="preserve">: </w:t>
      </w:r>
    </w:p>
    <w:p w:rsidR="003D1A78" w:rsidRPr="00316061" w:rsidRDefault="003D1A78" w:rsidP="00950048">
      <w:pPr>
        <w:pStyle w:val="Heading2"/>
        <w:keepNext w:val="0"/>
        <w:tabs>
          <w:tab w:val="num" w:pos="709"/>
        </w:tabs>
        <w:spacing w:after="120" w:line="360" w:lineRule="auto"/>
        <w:ind w:left="709" w:firstLine="0"/>
        <w:jc w:val="both"/>
        <w:rPr>
          <w:rFonts w:asciiTheme="minorHAnsi" w:hAnsiTheme="minorHAnsi"/>
          <w:b/>
          <w:sz w:val="22"/>
          <w:szCs w:val="22"/>
          <w:u w:val="single"/>
        </w:rPr>
      </w:pPr>
      <w:r w:rsidRPr="00316061">
        <w:rPr>
          <w:rFonts w:asciiTheme="minorHAnsi" w:hAnsiTheme="minorHAnsi"/>
          <w:b/>
          <w:sz w:val="22"/>
          <w:szCs w:val="22"/>
          <w:u w:val="single"/>
        </w:rPr>
        <w:t>Charging Objectives</w:t>
      </w:r>
    </w:p>
    <w:p w:rsidR="003D1A78" w:rsidRPr="00316061" w:rsidRDefault="003D1A78" w:rsidP="00950048">
      <w:pPr>
        <w:pStyle w:val="Heading2"/>
        <w:keepNext w:val="0"/>
        <w:tabs>
          <w:tab w:val="clear" w:pos="360"/>
        </w:tabs>
        <w:spacing w:after="120" w:line="360" w:lineRule="auto"/>
        <w:ind w:left="2694" w:hanging="1985"/>
        <w:jc w:val="both"/>
        <w:rPr>
          <w:rFonts w:asciiTheme="minorHAnsi" w:hAnsiTheme="minorHAnsi"/>
          <w:sz w:val="22"/>
          <w:szCs w:val="22"/>
        </w:rPr>
      </w:pPr>
      <w:r w:rsidRPr="00316061">
        <w:rPr>
          <w:rFonts w:asciiTheme="minorHAnsi" w:hAnsiTheme="minorHAnsi"/>
          <w:b/>
          <w:sz w:val="22"/>
          <w:szCs w:val="22"/>
        </w:rPr>
        <w:t>Charging</w:t>
      </w:r>
      <w:r w:rsidRPr="00316061">
        <w:rPr>
          <w:rFonts w:asciiTheme="minorHAnsi" w:hAnsiTheme="minorHAnsi"/>
          <w:sz w:val="22"/>
          <w:szCs w:val="22"/>
        </w:rPr>
        <w:t xml:space="preserve"> </w:t>
      </w:r>
      <w:r w:rsidRPr="00316061">
        <w:rPr>
          <w:rFonts w:asciiTheme="minorHAnsi" w:hAnsiTheme="minorHAnsi"/>
          <w:b/>
          <w:sz w:val="22"/>
          <w:szCs w:val="22"/>
        </w:rPr>
        <w:t xml:space="preserve">Objective One - </w:t>
      </w:r>
      <w:r w:rsidRPr="00316061">
        <w:rPr>
          <w:rFonts w:asciiTheme="minorHAnsi" w:hAnsiTheme="minorHAnsi"/>
          <w:i/>
          <w:sz w:val="22"/>
          <w:szCs w:val="22"/>
        </w:rPr>
        <w:t>That compliance by each DNO Party with the Charging Methodologies facilitates the discharge by the DNO Party of the obligations imposed on it under the Act and by its Distribution Licence.</w:t>
      </w:r>
    </w:p>
    <w:p w:rsidR="006B16E5" w:rsidRPr="00316061" w:rsidRDefault="003D1A78" w:rsidP="006B16E5">
      <w:pPr>
        <w:rPr>
          <w:rFonts w:asciiTheme="minorHAnsi" w:hAnsiTheme="minorHAnsi"/>
          <w:sz w:val="22"/>
          <w:szCs w:val="22"/>
        </w:rPr>
      </w:pPr>
      <w:r w:rsidRPr="00316061">
        <w:rPr>
          <w:rFonts w:asciiTheme="minorHAnsi" w:hAnsiTheme="minorHAnsi"/>
          <w:b/>
          <w:sz w:val="22"/>
          <w:szCs w:val="22"/>
        </w:rPr>
        <w:t>Working Group view</w:t>
      </w:r>
      <w:r w:rsidR="008175B1" w:rsidRPr="00316061">
        <w:rPr>
          <w:rFonts w:asciiTheme="minorHAnsi" w:hAnsiTheme="minorHAnsi"/>
          <w:b/>
          <w:sz w:val="22"/>
          <w:szCs w:val="22"/>
        </w:rPr>
        <w:t xml:space="preserve"> on DCP 205</w:t>
      </w:r>
      <w:r w:rsidRPr="00316061">
        <w:rPr>
          <w:rFonts w:asciiTheme="minorHAnsi" w:hAnsiTheme="minorHAnsi"/>
          <w:b/>
          <w:sz w:val="22"/>
          <w:szCs w:val="22"/>
        </w:rPr>
        <w:t>:</w:t>
      </w:r>
      <w:r w:rsidR="006B16E5" w:rsidRPr="00316061">
        <w:rPr>
          <w:rFonts w:asciiTheme="minorHAnsi" w:hAnsiTheme="minorHAnsi"/>
          <w:sz w:val="22"/>
          <w:szCs w:val="22"/>
        </w:rPr>
        <w:t xml:space="preserve"> </w:t>
      </w:r>
      <w:commentRangeStart w:id="5"/>
      <w:proofErr w:type="spellStart"/>
      <w:r w:rsidR="006B16E5" w:rsidRPr="00316061">
        <w:rPr>
          <w:rFonts w:asciiTheme="minorHAnsi" w:hAnsiTheme="minorHAnsi"/>
          <w:sz w:val="22"/>
          <w:szCs w:val="22"/>
        </w:rPr>
        <w:t>Ofgem</w:t>
      </w:r>
      <w:proofErr w:type="spellEnd"/>
      <w:r w:rsidR="006B16E5" w:rsidRPr="00316061">
        <w:rPr>
          <w:rFonts w:asciiTheme="minorHAnsi" w:hAnsiTheme="minorHAnsi"/>
          <w:sz w:val="22"/>
          <w:szCs w:val="22"/>
        </w:rPr>
        <w:t xml:space="preserve"> has consulted on the draft licence conditions for Fast Tracked Companies and this includes a draft licence condition covering this policy change.  The intention is to turn off the licence condition once </w:t>
      </w:r>
      <w:proofErr w:type="spellStart"/>
      <w:r w:rsidR="006B16E5" w:rsidRPr="00316061">
        <w:rPr>
          <w:rFonts w:asciiTheme="minorHAnsi" w:hAnsiTheme="minorHAnsi"/>
          <w:sz w:val="22"/>
          <w:szCs w:val="22"/>
        </w:rPr>
        <w:t>Ofgem</w:t>
      </w:r>
      <w:proofErr w:type="spellEnd"/>
      <w:r w:rsidR="006B16E5" w:rsidRPr="00316061">
        <w:rPr>
          <w:rFonts w:asciiTheme="minorHAnsi" w:hAnsiTheme="minorHAnsi"/>
          <w:sz w:val="22"/>
          <w:szCs w:val="22"/>
        </w:rPr>
        <w:t xml:space="preserve"> is satisfied the policy is included within DCUSA.</w:t>
      </w:r>
      <w:commentRangeEnd w:id="5"/>
      <w:r w:rsidR="006B16E5" w:rsidRPr="00316061">
        <w:rPr>
          <w:rStyle w:val="CommentReference"/>
          <w:rFonts w:asciiTheme="minorHAnsi" w:hAnsiTheme="minorHAnsi"/>
          <w:sz w:val="22"/>
          <w:szCs w:val="22"/>
        </w:rPr>
        <w:commentReference w:id="5"/>
      </w:r>
    </w:p>
    <w:p w:rsidR="004E48EB" w:rsidRPr="00316061" w:rsidRDefault="004E48EB" w:rsidP="004E48EB">
      <w:pPr>
        <w:pStyle w:val="Heading2"/>
        <w:spacing w:line="276" w:lineRule="auto"/>
        <w:ind w:left="567" w:hanging="567"/>
        <w:rPr>
          <w:rFonts w:asciiTheme="minorHAnsi" w:hAnsiTheme="minorHAnsi"/>
          <w:sz w:val="22"/>
          <w:szCs w:val="22"/>
        </w:rPr>
      </w:pPr>
      <w:r w:rsidRPr="00316061">
        <w:rPr>
          <w:rFonts w:asciiTheme="minorHAnsi" w:hAnsiTheme="minorHAnsi"/>
          <w:sz w:val="22"/>
          <w:szCs w:val="22"/>
        </w:rPr>
        <w:tab/>
      </w:r>
      <w:r w:rsidRPr="00316061">
        <w:rPr>
          <w:rFonts w:asciiTheme="minorHAnsi" w:hAnsiTheme="minorHAnsi"/>
          <w:sz w:val="22"/>
          <w:szCs w:val="22"/>
        </w:rPr>
        <w:tab/>
      </w:r>
      <w:commentRangeStart w:id="6"/>
      <w:r w:rsidRPr="00316061">
        <w:rPr>
          <w:rFonts w:asciiTheme="minorHAnsi" w:hAnsiTheme="minorHAnsi"/>
          <w:sz w:val="22"/>
          <w:szCs w:val="22"/>
        </w:rPr>
        <w:t>The Working Group also considers that this CP better facilities DCUSA Charging Objective 1:</w:t>
      </w:r>
    </w:p>
    <w:p w:rsidR="004E48EB" w:rsidRPr="00316061" w:rsidRDefault="004E48EB" w:rsidP="004E48EB">
      <w:pPr>
        <w:pStyle w:val="Heading2"/>
        <w:tabs>
          <w:tab w:val="clear" w:pos="360"/>
        </w:tabs>
        <w:spacing w:line="276" w:lineRule="auto"/>
        <w:ind w:left="567" w:firstLine="0"/>
        <w:rPr>
          <w:rFonts w:asciiTheme="minorHAnsi" w:hAnsiTheme="minorHAnsi"/>
          <w:sz w:val="22"/>
          <w:szCs w:val="22"/>
        </w:rPr>
      </w:pPr>
      <w:r w:rsidRPr="00316061">
        <w:rPr>
          <w:rFonts w:asciiTheme="minorHAnsi" w:hAnsiTheme="minorHAnsi"/>
          <w:sz w:val="22"/>
          <w:szCs w:val="22"/>
        </w:rPr>
        <w:t>“</w:t>
      </w:r>
      <w:proofErr w:type="gramStart"/>
      <w:r w:rsidRPr="00316061">
        <w:rPr>
          <w:rFonts w:asciiTheme="minorHAnsi" w:hAnsiTheme="minorHAnsi"/>
          <w:sz w:val="22"/>
          <w:szCs w:val="22"/>
        </w:rPr>
        <w:t>that</w:t>
      </w:r>
      <w:proofErr w:type="gramEnd"/>
      <w:r w:rsidRPr="00316061">
        <w:rPr>
          <w:rFonts w:asciiTheme="minorHAnsi" w:hAnsiTheme="minorHAnsi"/>
          <w:sz w:val="22"/>
          <w:szCs w:val="22"/>
        </w:rPr>
        <w:t xml:space="preserve"> compliance by each DNO Party with the Charging Methodologies facilitates the discharge by the DNO Party of the obligations imposed on it under the Act and by its Distribution Licence)”</w:t>
      </w:r>
    </w:p>
    <w:p w:rsidR="004E48EB" w:rsidRPr="00316061" w:rsidRDefault="004E48EB" w:rsidP="004E48EB">
      <w:pPr>
        <w:pStyle w:val="Heading2"/>
        <w:tabs>
          <w:tab w:val="clear" w:pos="360"/>
        </w:tabs>
        <w:spacing w:line="276" w:lineRule="auto"/>
        <w:ind w:left="567" w:firstLine="0"/>
        <w:rPr>
          <w:rFonts w:asciiTheme="minorHAnsi" w:hAnsiTheme="minorHAnsi"/>
          <w:sz w:val="22"/>
          <w:szCs w:val="22"/>
        </w:rPr>
      </w:pPr>
      <w:r w:rsidRPr="00316061">
        <w:rPr>
          <w:rFonts w:asciiTheme="minorHAnsi" w:hAnsiTheme="minorHAnsi"/>
          <w:sz w:val="22"/>
          <w:szCs w:val="22"/>
        </w:rPr>
        <w:t xml:space="preserve">Each DNO is obliged under Standard Licence Condition 13.1 to at all times have in force a Connection Charging Methodology which includes the Common Connection Charging Methodology. The DNO Licences define a Connection Charging Methodology as ‘a complete and documented explanation, presented in a coherent and consistent manner, of the </w:t>
      </w:r>
      <w:r w:rsidRPr="00316061">
        <w:rPr>
          <w:rFonts w:asciiTheme="minorHAnsi" w:hAnsiTheme="minorHAnsi"/>
          <w:sz w:val="22"/>
          <w:szCs w:val="22"/>
        </w:rPr>
        <w:lastRenderedPageBreak/>
        <w:t>methods, principles, and assumptions that apply….in relation to connections, for determining the Licensee’s Connection Charges’</w:t>
      </w:r>
    </w:p>
    <w:p w:rsidR="004E48EB" w:rsidRPr="00316061" w:rsidRDefault="004E48EB" w:rsidP="004E48EB">
      <w:pPr>
        <w:pStyle w:val="Heading2"/>
        <w:tabs>
          <w:tab w:val="clear" w:pos="360"/>
        </w:tabs>
        <w:spacing w:line="276" w:lineRule="auto"/>
        <w:ind w:left="567" w:firstLine="0"/>
        <w:rPr>
          <w:rFonts w:asciiTheme="minorHAnsi" w:hAnsiTheme="minorHAnsi"/>
          <w:sz w:val="22"/>
          <w:szCs w:val="22"/>
        </w:rPr>
      </w:pPr>
      <w:r w:rsidRPr="00316061">
        <w:rPr>
          <w:rFonts w:asciiTheme="minorHAnsi" w:hAnsiTheme="minorHAnsi"/>
          <w:sz w:val="22"/>
          <w:szCs w:val="22"/>
        </w:rPr>
        <w:t>The Working Group considers that this CP better facilitates DCUSA Charging Objective 1, as implementation within DCUSA will facilitate a proposed draft Standard Licence Condition (SLC) which is proposed to be enforced on the 01 April 2015.</w:t>
      </w:r>
      <w:commentRangeEnd w:id="6"/>
      <w:r w:rsidRPr="00316061">
        <w:rPr>
          <w:rStyle w:val="CommentReference"/>
          <w:rFonts w:asciiTheme="minorHAnsi" w:hAnsiTheme="minorHAnsi"/>
          <w:bCs w:val="0"/>
          <w:iCs w:val="0"/>
          <w:sz w:val="22"/>
          <w:szCs w:val="22"/>
        </w:rPr>
        <w:commentReference w:id="6"/>
      </w:r>
    </w:p>
    <w:p w:rsidR="003D1A78" w:rsidRPr="00316061" w:rsidRDefault="003D1A78" w:rsidP="00950048">
      <w:pPr>
        <w:pStyle w:val="Heading2"/>
        <w:keepNext w:val="0"/>
        <w:tabs>
          <w:tab w:val="clear" w:pos="360"/>
        </w:tabs>
        <w:spacing w:after="120" w:line="360" w:lineRule="auto"/>
        <w:ind w:left="2694" w:hanging="1985"/>
        <w:jc w:val="both"/>
        <w:rPr>
          <w:rFonts w:asciiTheme="minorHAnsi" w:hAnsiTheme="minorHAnsi"/>
          <w:i/>
          <w:sz w:val="22"/>
          <w:szCs w:val="22"/>
        </w:rPr>
      </w:pPr>
      <w:r w:rsidRPr="00316061">
        <w:rPr>
          <w:rFonts w:asciiTheme="minorHAnsi" w:hAnsiTheme="minorHAnsi"/>
          <w:b/>
          <w:sz w:val="22"/>
          <w:szCs w:val="22"/>
        </w:rPr>
        <w:t>Charging</w:t>
      </w:r>
      <w:r w:rsidRPr="00316061">
        <w:rPr>
          <w:rFonts w:asciiTheme="minorHAnsi" w:hAnsiTheme="minorHAnsi"/>
          <w:b/>
          <w:noProof/>
          <w:sz w:val="22"/>
          <w:szCs w:val="22"/>
        </w:rPr>
        <w:t xml:space="preserve"> Objective Two</w:t>
      </w:r>
      <w:r w:rsidRPr="00316061">
        <w:rPr>
          <w:rFonts w:asciiTheme="minorHAnsi" w:hAnsiTheme="minorHAnsi"/>
          <w:noProof/>
          <w:sz w:val="22"/>
          <w:szCs w:val="22"/>
        </w:rPr>
        <w:t xml:space="preserve"> - </w:t>
      </w:r>
      <w:r w:rsidRPr="00316061">
        <w:rPr>
          <w:rFonts w:asciiTheme="minorHAnsi" w:hAnsiTheme="minorHAnsi"/>
          <w:i/>
          <w:sz w:val="22"/>
          <w:szCs w:val="22"/>
        </w:rPr>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3D1A78" w:rsidRPr="00316061" w:rsidRDefault="003D1A78" w:rsidP="00F9337D">
      <w:pPr>
        <w:pStyle w:val="Heading2"/>
        <w:keepNext w:val="0"/>
        <w:widowControl w:val="0"/>
        <w:numPr>
          <w:ilvl w:val="0"/>
          <w:numId w:val="6"/>
        </w:numPr>
        <w:spacing w:line="360" w:lineRule="auto"/>
        <w:jc w:val="both"/>
        <w:rPr>
          <w:rFonts w:asciiTheme="minorHAnsi" w:hAnsiTheme="minorHAnsi"/>
          <w:sz w:val="22"/>
          <w:szCs w:val="22"/>
        </w:rPr>
      </w:pPr>
      <w:r w:rsidRPr="00316061">
        <w:rPr>
          <w:rFonts w:asciiTheme="minorHAnsi" w:hAnsiTheme="minorHAnsi"/>
          <w:b/>
          <w:sz w:val="22"/>
          <w:szCs w:val="22"/>
        </w:rPr>
        <w:t>Working Group view</w:t>
      </w:r>
      <w:r w:rsidR="008175B1" w:rsidRPr="00316061">
        <w:rPr>
          <w:rFonts w:asciiTheme="minorHAnsi" w:hAnsiTheme="minorHAnsi"/>
          <w:b/>
          <w:sz w:val="22"/>
          <w:szCs w:val="22"/>
        </w:rPr>
        <w:t xml:space="preserve"> on DCP 205</w:t>
      </w:r>
      <w:r w:rsidRPr="00316061">
        <w:rPr>
          <w:rFonts w:asciiTheme="minorHAnsi" w:hAnsiTheme="minorHAnsi"/>
          <w:b/>
          <w:sz w:val="22"/>
          <w:szCs w:val="22"/>
        </w:rPr>
        <w:t>:</w:t>
      </w:r>
      <w:r w:rsidRPr="00316061">
        <w:rPr>
          <w:rFonts w:asciiTheme="minorHAnsi" w:hAnsiTheme="minorHAnsi"/>
          <w:sz w:val="22"/>
          <w:szCs w:val="22"/>
        </w:rPr>
        <w:t xml:space="preserve"> </w:t>
      </w:r>
    </w:p>
    <w:p w:rsidR="003D1A78" w:rsidRPr="00316061" w:rsidRDefault="003D1A78" w:rsidP="00950048">
      <w:pPr>
        <w:pStyle w:val="Heading2"/>
        <w:keepNext w:val="0"/>
        <w:tabs>
          <w:tab w:val="clear" w:pos="360"/>
        </w:tabs>
        <w:spacing w:after="120" w:line="360" w:lineRule="auto"/>
        <w:ind w:left="2694" w:hanging="1985"/>
        <w:jc w:val="both"/>
        <w:rPr>
          <w:rFonts w:asciiTheme="minorHAnsi" w:hAnsiTheme="minorHAnsi"/>
          <w:i/>
          <w:noProof/>
          <w:sz w:val="22"/>
          <w:szCs w:val="22"/>
        </w:rPr>
      </w:pPr>
      <w:r w:rsidRPr="00316061">
        <w:rPr>
          <w:rFonts w:asciiTheme="minorHAnsi" w:hAnsiTheme="minorHAnsi"/>
          <w:b/>
          <w:sz w:val="22"/>
          <w:szCs w:val="22"/>
        </w:rPr>
        <w:t>Charging</w:t>
      </w:r>
      <w:r w:rsidRPr="00316061">
        <w:rPr>
          <w:rFonts w:asciiTheme="minorHAnsi" w:hAnsiTheme="minorHAnsi"/>
          <w:b/>
          <w:noProof/>
          <w:sz w:val="22"/>
          <w:szCs w:val="22"/>
        </w:rPr>
        <w:t xml:space="preserve"> Objective Three </w:t>
      </w:r>
      <w:r w:rsidRPr="00316061">
        <w:rPr>
          <w:rFonts w:asciiTheme="minorHAnsi" w:hAnsiTheme="minorHAnsi"/>
          <w:noProof/>
          <w:sz w:val="22"/>
          <w:szCs w:val="22"/>
        </w:rPr>
        <w:t xml:space="preserve">- </w:t>
      </w:r>
      <w:r w:rsidRPr="00316061">
        <w:rPr>
          <w:rFonts w:asciiTheme="minorHAnsi" w:hAnsiTheme="minorHAnsi"/>
          <w:i/>
          <w:noProof/>
          <w:sz w:val="22"/>
          <w:szCs w:val="22"/>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3D1A78" w:rsidRPr="00316061" w:rsidRDefault="003D1A78" w:rsidP="00D350DE">
      <w:pPr>
        <w:pStyle w:val="Heading2"/>
        <w:keepNext w:val="0"/>
        <w:widowControl w:val="0"/>
        <w:numPr>
          <w:ilvl w:val="0"/>
          <w:numId w:val="6"/>
        </w:numPr>
        <w:spacing w:line="360" w:lineRule="auto"/>
        <w:ind w:firstLine="0"/>
        <w:jc w:val="both"/>
        <w:rPr>
          <w:rFonts w:asciiTheme="minorHAnsi" w:hAnsiTheme="minorHAnsi"/>
          <w:sz w:val="22"/>
          <w:szCs w:val="22"/>
        </w:rPr>
      </w:pPr>
      <w:r w:rsidRPr="00316061">
        <w:rPr>
          <w:rFonts w:asciiTheme="minorHAnsi" w:hAnsiTheme="minorHAnsi"/>
          <w:b/>
          <w:sz w:val="22"/>
          <w:szCs w:val="22"/>
        </w:rPr>
        <w:t>Working Group view</w:t>
      </w:r>
      <w:r w:rsidR="008175B1" w:rsidRPr="00316061">
        <w:rPr>
          <w:rFonts w:asciiTheme="minorHAnsi" w:hAnsiTheme="minorHAnsi"/>
          <w:b/>
          <w:sz w:val="22"/>
          <w:szCs w:val="22"/>
        </w:rPr>
        <w:t xml:space="preserve"> on DCP 205</w:t>
      </w:r>
      <w:r w:rsidRPr="00316061">
        <w:rPr>
          <w:rFonts w:asciiTheme="minorHAnsi" w:hAnsiTheme="minorHAnsi"/>
          <w:b/>
          <w:sz w:val="22"/>
          <w:szCs w:val="22"/>
        </w:rPr>
        <w:t xml:space="preserve">: </w:t>
      </w:r>
      <w:commentRangeStart w:id="7"/>
      <w:proofErr w:type="spellStart"/>
      <w:r w:rsidR="00D350DE" w:rsidRPr="00316061">
        <w:rPr>
          <w:rFonts w:asciiTheme="minorHAnsi" w:hAnsiTheme="minorHAnsi"/>
          <w:sz w:val="22"/>
          <w:szCs w:val="22"/>
        </w:rPr>
        <w:t>Ofgem</w:t>
      </w:r>
      <w:proofErr w:type="spellEnd"/>
      <w:r w:rsidR="00D350DE" w:rsidRPr="00316061">
        <w:rPr>
          <w:rFonts w:asciiTheme="minorHAnsi" w:hAnsiTheme="minorHAnsi"/>
          <w:sz w:val="22"/>
          <w:szCs w:val="22"/>
        </w:rPr>
        <w:t xml:space="preserve"> has consulted on the draft licence conditions for Fast Tracked Companies and this includes a draft licence condition covering this policy change.  The intention is to turn off the licence condition once </w:t>
      </w:r>
      <w:proofErr w:type="spellStart"/>
      <w:r w:rsidR="00D350DE" w:rsidRPr="00316061">
        <w:rPr>
          <w:rFonts w:asciiTheme="minorHAnsi" w:hAnsiTheme="minorHAnsi"/>
          <w:sz w:val="22"/>
          <w:szCs w:val="22"/>
        </w:rPr>
        <w:t>Ofgem</w:t>
      </w:r>
      <w:proofErr w:type="spellEnd"/>
      <w:r w:rsidR="00D350DE" w:rsidRPr="00316061">
        <w:rPr>
          <w:rFonts w:asciiTheme="minorHAnsi" w:hAnsiTheme="minorHAnsi"/>
          <w:sz w:val="22"/>
          <w:szCs w:val="22"/>
        </w:rPr>
        <w:t xml:space="preserve"> is satisfied the policy is included within DCUSA.</w:t>
      </w:r>
      <w:commentRangeEnd w:id="7"/>
      <w:r w:rsidR="00D350DE" w:rsidRPr="00316061">
        <w:rPr>
          <w:rStyle w:val="CommentReference"/>
          <w:rFonts w:asciiTheme="minorHAnsi" w:hAnsiTheme="minorHAnsi"/>
          <w:bCs w:val="0"/>
          <w:iCs w:val="0"/>
          <w:sz w:val="22"/>
          <w:szCs w:val="22"/>
        </w:rPr>
        <w:commentReference w:id="7"/>
      </w:r>
    </w:p>
    <w:p w:rsidR="003D1A78" w:rsidRPr="00316061" w:rsidRDefault="003D1A78" w:rsidP="00D350DE">
      <w:pPr>
        <w:pStyle w:val="Heading2"/>
        <w:keepNext w:val="0"/>
        <w:widowControl w:val="0"/>
        <w:tabs>
          <w:tab w:val="clear" w:pos="360"/>
        </w:tabs>
        <w:spacing w:line="360" w:lineRule="auto"/>
        <w:ind w:left="1080" w:firstLine="0"/>
        <w:jc w:val="both"/>
        <w:rPr>
          <w:rFonts w:asciiTheme="minorHAnsi" w:hAnsiTheme="minorHAnsi"/>
          <w:i/>
          <w:sz w:val="22"/>
          <w:szCs w:val="22"/>
        </w:rPr>
      </w:pPr>
    </w:p>
    <w:p w:rsidR="003D1A78" w:rsidRPr="00316061" w:rsidRDefault="003D1A78" w:rsidP="00950048">
      <w:pPr>
        <w:pStyle w:val="Heading2"/>
        <w:keepNext w:val="0"/>
        <w:tabs>
          <w:tab w:val="clear" w:pos="360"/>
        </w:tabs>
        <w:spacing w:after="120" w:line="360" w:lineRule="auto"/>
        <w:ind w:left="2694" w:hanging="1985"/>
        <w:jc w:val="both"/>
        <w:rPr>
          <w:rFonts w:asciiTheme="minorHAnsi" w:hAnsiTheme="minorHAnsi"/>
          <w:i/>
          <w:noProof/>
          <w:sz w:val="22"/>
          <w:szCs w:val="22"/>
        </w:rPr>
      </w:pPr>
      <w:r w:rsidRPr="00316061">
        <w:rPr>
          <w:rFonts w:asciiTheme="minorHAnsi" w:hAnsiTheme="minorHAnsi"/>
          <w:b/>
          <w:sz w:val="22"/>
          <w:szCs w:val="22"/>
        </w:rPr>
        <w:t>Charging</w:t>
      </w:r>
      <w:r w:rsidRPr="00316061">
        <w:rPr>
          <w:rFonts w:asciiTheme="minorHAnsi" w:hAnsiTheme="minorHAnsi"/>
          <w:b/>
          <w:noProof/>
          <w:sz w:val="22"/>
          <w:szCs w:val="22"/>
        </w:rPr>
        <w:t xml:space="preserve"> Objective Four </w:t>
      </w:r>
      <w:r w:rsidRPr="00316061">
        <w:rPr>
          <w:rFonts w:asciiTheme="minorHAnsi" w:hAnsiTheme="minorHAnsi"/>
          <w:noProof/>
          <w:sz w:val="22"/>
          <w:szCs w:val="22"/>
        </w:rPr>
        <w:t xml:space="preserve">- </w:t>
      </w:r>
      <w:r w:rsidRPr="00316061">
        <w:rPr>
          <w:rFonts w:asciiTheme="minorHAnsi" w:hAnsiTheme="minorHAnsi"/>
          <w:i/>
          <w:noProof/>
          <w:sz w:val="22"/>
          <w:szCs w:val="22"/>
        </w:rPr>
        <w:t>That, so far as is consistent with Clauses 3.2.1 to 3.2.3, the Charging Methodologies, so far as is reasonably practicable, properly take account of developments in each DNO Party’s Distribution Business.</w:t>
      </w:r>
    </w:p>
    <w:p w:rsidR="003D1A78" w:rsidRPr="00316061" w:rsidRDefault="003D1A78" w:rsidP="00950048">
      <w:pPr>
        <w:pStyle w:val="Heading2"/>
        <w:keepNext w:val="0"/>
        <w:widowControl w:val="0"/>
        <w:numPr>
          <w:ilvl w:val="0"/>
          <w:numId w:val="6"/>
        </w:numPr>
        <w:spacing w:line="360" w:lineRule="auto"/>
        <w:jc w:val="both"/>
        <w:rPr>
          <w:rFonts w:asciiTheme="minorHAnsi" w:hAnsiTheme="minorHAnsi"/>
          <w:sz w:val="22"/>
          <w:szCs w:val="22"/>
        </w:rPr>
      </w:pPr>
      <w:r w:rsidRPr="00316061">
        <w:rPr>
          <w:rFonts w:asciiTheme="minorHAnsi" w:hAnsiTheme="minorHAnsi"/>
          <w:b/>
          <w:sz w:val="22"/>
          <w:szCs w:val="22"/>
        </w:rPr>
        <w:t xml:space="preserve">Working Group view on DCP </w:t>
      </w:r>
      <w:r w:rsidR="008175B1" w:rsidRPr="00316061">
        <w:rPr>
          <w:rFonts w:asciiTheme="minorHAnsi" w:hAnsiTheme="minorHAnsi"/>
          <w:b/>
          <w:sz w:val="22"/>
          <w:szCs w:val="22"/>
        </w:rPr>
        <w:t>205</w:t>
      </w:r>
      <w:r w:rsidRPr="00316061">
        <w:rPr>
          <w:rFonts w:asciiTheme="minorHAnsi" w:hAnsiTheme="minorHAnsi"/>
          <w:b/>
          <w:sz w:val="22"/>
          <w:szCs w:val="22"/>
        </w:rPr>
        <w:t xml:space="preserve">: </w:t>
      </w:r>
    </w:p>
    <w:p w:rsidR="003D1A78" w:rsidRPr="00316061" w:rsidRDefault="003D1A78" w:rsidP="00950048">
      <w:pPr>
        <w:pStyle w:val="Heading2"/>
        <w:keepNext w:val="0"/>
        <w:tabs>
          <w:tab w:val="clear" w:pos="360"/>
        </w:tabs>
        <w:spacing w:after="120" w:line="360" w:lineRule="auto"/>
        <w:ind w:left="2694" w:hanging="1985"/>
        <w:jc w:val="both"/>
        <w:rPr>
          <w:rFonts w:asciiTheme="minorHAnsi" w:hAnsiTheme="minorHAnsi"/>
          <w:i/>
          <w:noProof/>
          <w:sz w:val="22"/>
          <w:szCs w:val="22"/>
        </w:rPr>
      </w:pPr>
      <w:r w:rsidRPr="00316061">
        <w:rPr>
          <w:rFonts w:asciiTheme="minorHAnsi" w:hAnsiTheme="minorHAnsi"/>
          <w:b/>
          <w:sz w:val="22"/>
          <w:szCs w:val="22"/>
        </w:rPr>
        <w:t>Charging</w:t>
      </w:r>
      <w:r w:rsidRPr="00316061">
        <w:rPr>
          <w:rFonts w:asciiTheme="minorHAnsi" w:hAnsiTheme="minorHAnsi"/>
          <w:b/>
          <w:noProof/>
          <w:sz w:val="22"/>
          <w:szCs w:val="22"/>
        </w:rPr>
        <w:t xml:space="preserve"> Objective Five </w:t>
      </w:r>
      <w:r w:rsidRPr="00316061">
        <w:rPr>
          <w:rFonts w:asciiTheme="minorHAnsi" w:hAnsiTheme="minorHAnsi"/>
          <w:noProof/>
          <w:sz w:val="22"/>
          <w:szCs w:val="22"/>
        </w:rPr>
        <w:t>-</w:t>
      </w:r>
      <w:r w:rsidRPr="00316061">
        <w:rPr>
          <w:rFonts w:asciiTheme="minorHAnsi" w:hAnsiTheme="minorHAnsi"/>
          <w:i/>
          <w:noProof/>
          <w:sz w:val="22"/>
          <w:szCs w:val="22"/>
        </w:rPr>
        <w:t xml:space="preserve">That compliance by each DNO Party with the Charging Methodologies facilitates compliance with the Regulation on Cross-Border Exchange in Electricity and any relevant legally binding </w:t>
      </w:r>
      <w:r w:rsidRPr="00316061">
        <w:rPr>
          <w:rFonts w:asciiTheme="minorHAnsi" w:hAnsiTheme="minorHAnsi"/>
          <w:i/>
          <w:noProof/>
          <w:sz w:val="22"/>
          <w:szCs w:val="22"/>
        </w:rPr>
        <w:lastRenderedPageBreak/>
        <w:t>decisions of the European Commission and/or the Agency for the Co-operation of Energy Regulators (ACER).</w:t>
      </w:r>
    </w:p>
    <w:p w:rsidR="003D1A78" w:rsidRPr="00316061" w:rsidRDefault="003D1A78" w:rsidP="00950048">
      <w:pPr>
        <w:pStyle w:val="Heading2"/>
        <w:keepNext w:val="0"/>
        <w:widowControl w:val="0"/>
        <w:numPr>
          <w:ilvl w:val="0"/>
          <w:numId w:val="6"/>
        </w:numPr>
        <w:spacing w:line="360" w:lineRule="auto"/>
        <w:jc w:val="both"/>
        <w:rPr>
          <w:rFonts w:asciiTheme="minorHAnsi" w:hAnsiTheme="minorHAnsi" w:cs="Times New Roman"/>
          <w:sz w:val="22"/>
          <w:szCs w:val="22"/>
        </w:rPr>
      </w:pPr>
      <w:r w:rsidRPr="00316061">
        <w:rPr>
          <w:rFonts w:asciiTheme="minorHAnsi" w:hAnsiTheme="minorHAnsi"/>
          <w:b/>
          <w:sz w:val="22"/>
          <w:szCs w:val="22"/>
        </w:rPr>
        <w:t xml:space="preserve">Working Group view on DCP </w:t>
      </w:r>
      <w:r w:rsidR="008175B1" w:rsidRPr="00316061">
        <w:rPr>
          <w:rFonts w:asciiTheme="minorHAnsi" w:hAnsiTheme="minorHAnsi"/>
          <w:b/>
          <w:sz w:val="22"/>
          <w:szCs w:val="22"/>
        </w:rPr>
        <w:t>205</w:t>
      </w:r>
      <w:r w:rsidRPr="00316061">
        <w:rPr>
          <w:rFonts w:asciiTheme="minorHAnsi" w:hAnsiTheme="minorHAnsi"/>
          <w:b/>
          <w:sz w:val="22"/>
          <w:szCs w:val="22"/>
        </w:rPr>
        <w:t xml:space="preserve">: </w:t>
      </w:r>
      <w:r w:rsidR="008175B1" w:rsidRPr="00316061">
        <w:rPr>
          <w:rFonts w:asciiTheme="minorHAnsi" w:hAnsiTheme="minorHAnsi"/>
          <w:sz w:val="22"/>
          <w:szCs w:val="22"/>
          <w:highlight w:val="yellow"/>
        </w:rPr>
        <w:t>T</w:t>
      </w:r>
      <w:r w:rsidRPr="00316061">
        <w:rPr>
          <w:rFonts w:asciiTheme="minorHAnsi" w:hAnsiTheme="minorHAnsi"/>
          <w:sz w:val="22"/>
          <w:szCs w:val="22"/>
          <w:highlight w:val="yellow"/>
        </w:rPr>
        <w:t xml:space="preserve">he Working Group agreed that the impact on Charging Objective five is neutral. </w:t>
      </w:r>
      <w:r w:rsidR="008175B1" w:rsidRPr="00316061">
        <w:rPr>
          <w:rFonts w:asciiTheme="minorHAnsi" w:hAnsiTheme="minorHAnsi" w:cs="Times New Roman"/>
          <w:sz w:val="22"/>
          <w:szCs w:val="22"/>
          <w:highlight w:val="yellow"/>
        </w:rPr>
        <w:t>DCP 205</w:t>
      </w:r>
      <w:r w:rsidRPr="00316061">
        <w:rPr>
          <w:rFonts w:asciiTheme="minorHAnsi" w:hAnsiTheme="minorHAnsi" w:cs="Times New Roman"/>
          <w:sz w:val="22"/>
          <w:szCs w:val="22"/>
          <w:highlight w:val="yellow"/>
        </w:rPr>
        <w:t xml:space="preserve"> was not raised as the result of a legally binding decision</w:t>
      </w:r>
      <w:r w:rsidRPr="00316061">
        <w:rPr>
          <w:rFonts w:asciiTheme="minorHAnsi" w:hAnsiTheme="minorHAnsi"/>
          <w:sz w:val="22"/>
          <w:szCs w:val="22"/>
          <w:highlight w:val="yellow"/>
        </w:rPr>
        <w:t xml:space="preserve"> of the European Commission or </w:t>
      </w:r>
      <w:r w:rsidRPr="00316061">
        <w:rPr>
          <w:rFonts w:asciiTheme="minorHAnsi" w:hAnsiTheme="minorHAnsi" w:cs="Times New Roman"/>
          <w:sz w:val="22"/>
          <w:szCs w:val="22"/>
          <w:highlight w:val="yellow"/>
        </w:rPr>
        <w:t>ACER and therefo</w:t>
      </w:r>
      <w:r w:rsidRPr="00316061">
        <w:rPr>
          <w:rFonts w:asciiTheme="minorHAnsi" w:hAnsiTheme="minorHAnsi"/>
          <w:sz w:val="22"/>
          <w:szCs w:val="22"/>
          <w:highlight w:val="yellow"/>
        </w:rPr>
        <w:t>re does not better facilitate Charging Objective five.</w:t>
      </w:r>
    </w:p>
    <w:p w:rsidR="003D1A78" w:rsidRPr="00316061" w:rsidRDefault="003D1A78" w:rsidP="00C969E5">
      <w:pPr>
        <w:pStyle w:val="Heading1"/>
        <w:keepNext w:val="0"/>
        <w:numPr>
          <w:ilvl w:val="0"/>
          <w:numId w:val="7"/>
        </w:numPr>
        <w:spacing w:line="360" w:lineRule="auto"/>
        <w:ind w:left="709" w:hanging="709"/>
        <w:jc w:val="both"/>
        <w:rPr>
          <w:rFonts w:asciiTheme="minorHAnsi" w:hAnsiTheme="minorHAnsi"/>
          <w:bCs w:val="0"/>
          <w:sz w:val="22"/>
          <w:szCs w:val="22"/>
        </w:rPr>
      </w:pPr>
      <w:r w:rsidRPr="00316061">
        <w:rPr>
          <w:rFonts w:asciiTheme="minorHAnsi" w:hAnsiTheme="minorHAnsi"/>
          <w:bCs w:val="0"/>
          <w:sz w:val="22"/>
          <w:szCs w:val="22"/>
        </w:rPr>
        <w:t>IMPACT ON GREENHOUSE GAS OMISSIONS</w:t>
      </w:r>
    </w:p>
    <w:p w:rsidR="003D1A78" w:rsidRPr="00316061" w:rsidRDefault="008175B1" w:rsidP="00C969E5">
      <w:pPr>
        <w:pStyle w:val="Heading2"/>
        <w:keepNext w:val="0"/>
        <w:numPr>
          <w:ilvl w:val="1"/>
          <w:numId w:val="7"/>
        </w:numPr>
        <w:spacing w:line="360" w:lineRule="auto"/>
        <w:ind w:left="567" w:hanging="567"/>
        <w:jc w:val="both"/>
        <w:rPr>
          <w:rFonts w:asciiTheme="minorHAnsi" w:hAnsiTheme="minorHAnsi"/>
          <w:sz w:val="22"/>
          <w:szCs w:val="22"/>
        </w:rPr>
      </w:pPr>
      <w:r w:rsidRPr="00316061">
        <w:rPr>
          <w:rFonts w:asciiTheme="minorHAnsi" w:hAnsiTheme="minorHAnsi"/>
          <w:sz w:val="22"/>
          <w:szCs w:val="22"/>
        </w:rPr>
        <w:t>In accordance with DCUSA C</w:t>
      </w:r>
      <w:r w:rsidR="003D1A78" w:rsidRPr="00316061">
        <w:rPr>
          <w:rFonts w:asciiTheme="minorHAnsi" w:hAnsiTheme="minorHAnsi"/>
          <w:sz w:val="22"/>
          <w:szCs w:val="22"/>
        </w:rPr>
        <w:t xml:space="preserve">lause 11.14.6, the Working Group assessed whether there would be a material impact on greenhouse gas emissions if DCP </w:t>
      </w:r>
      <w:r w:rsidRPr="00316061">
        <w:rPr>
          <w:rFonts w:asciiTheme="minorHAnsi" w:hAnsiTheme="minorHAnsi"/>
          <w:sz w:val="22"/>
          <w:szCs w:val="22"/>
        </w:rPr>
        <w:t>205</w:t>
      </w:r>
      <w:r w:rsidR="003D1A78" w:rsidRPr="00316061">
        <w:rPr>
          <w:rFonts w:asciiTheme="minorHAnsi" w:hAnsiTheme="minorHAnsi"/>
          <w:sz w:val="22"/>
          <w:szCs w:val="22"/>
        </w:rPr>
        <w:t xml:space="preserve"> were implemented.  The Working Group did not identify any material impact on greenhouse gas emissions from the implementation of </w:t>
      </w:r>
      <w:r w:rsidR="00CD493A" w:rsidRPr="00316061">
        <w:rPr>
          <w:rFonts w:asciiTheme="minorHAnsi" w:hAnsiTheme="minorHAnsi"/>
          <w:sz w:val="22"/>
          <w:szCs w:val="22"/>
        </w:rPr>
        <w:t xml:space="preserve">either of </w:t>
      </w:r>
      <w:r w:rsidR="003D1A78" w:rsidRPr="00316061">
        <w:rPr>
          <w:rFonts w:asciiTheme="minorHAnsi" w:hAnsiTheme="minorHAnsi"/>
          <w:sz w:val="22"/>
          <w:szCs w:val="22"/>
        </w:rPr>
        <w:t>th</w:t>
      </w:r>
      <w:r w:rsidR="00CD493A" w:rsidRPr="00316061">
        <w:rPr>
          <w:rFonts w:asciiTheme="minorHAnsi" w:hAnsiTheme="minorHAnsi"/>
          <w:sz w:val="22"/>
          <w:szCs w:val="22"/>
        </w:rPr>
        <w:t>ese</w:t>
      </w:r>
      <w:r w:rsidR="003D1A78" w:rsidRPr="00316061">
        <w:rPr>
          <w:rFonts w:asciiTheme="minorHAnsi" w:hAnsiTheme="minorHAnsi"/>
          <w:sz w:val="22"/>
          <w:szCs w:val="22"/>
        </w:rPr>
        <w:t xml:space="preserve"> Change Proposal</w:t>
      </w:r>
      <w:r w:rsidR="00CD493A" w:rsidRPr="00316061">
        <w:rPr>
          <w:rFonts w:asciiTheme="minorHAnsi" w:hAnsiTheme="minorHAnsi"/>
          <w:sz w:val="22"/>
          <w:szCs w:val="22"/>
        </w:rPr>
        <w:t>s</w:t>
      </w:r>
      <w:r w:rsidR="003D1A78" w:rsidRPr="00316061">
        <w:rPr>
          <w:rFonts w:asciiTheme="minorHAnsi" w:hAnsiTheme="minorHAnsi"/>
          <w:sz w:val="22"/>
          <w:szCs w:val="22"/>
        </w:rPr>
        <w:t>.</w:t>
      </w:r>
    </w:p>
    <w:p w:rsidR="003D1A78" w:rsidRPr="00316061" w:rsidRDefault="003D1A78" w:rsidP="00C969E5">
      <w:pPr>
        <w:pStyle w:val="Heading1"/>
        <w:keepNext w:val="0"/>
        <w:numPr>
          <w:ilvl w:val="0"/>
          <w:numId w:val="7"/>
        </w:numPr>
        <w:spacing w:line="360" w:lineRule="auto"/>
        <w:ind w:left="709" w:hanging="709"/>
        <w:jc w:val="both"/>
        <w:rPr>
          <w:rFonts w:asciiTheme="minorHAnsi" w:hAnsiTheme="minorHAnsi"/>
          <w:bCs w:val="0"/>
          <w:sz w:val="22"/>
          <w:szCs w:val="22"/>
        </w:rPr>
      </w:pPr>
      <w:r w:rsidRPr="00316061">
        <w:rPr>
          <w:rFonts w:asciiTheme="minorHAnsi" w:hAnsiTheme="minorHAnsi"/>
          <w:bCs w:val="0"/>
          <w:sz w:val="22"/>
          <w:szCs w:val="22"/>
        </w:rPr>
        <w:t>IMPLEMENTATION</w:t>
      </w:r>
    </w:p>
    <w:p w:rsidR="006D4FDA" w:rsidRPr="00316061" w:rsidRDefault="006D4FDA" w:rsidP="006D4FDA">
      <w:pPr>
        <w:pStyle w:val="Heading2"/>
        <w:keepNext w:val="0"/>
        <w:numPr>
          <w:ilvl w:val="1"/>
          <w:numId w:val="3"/>
        </w:numPr>
        <w:tabs>
          <w:tab w:val="num" w:pos="709"/>
        </w:tabs>
        <w:spacing w:line="360" w:lineRule="auto"/>
        <w:jc w:val="both"/>
        <w:rPr>
          <w:rFonts w:asciiTheme="minorHAnsi" w:hAnsiTheme="minorHAnsi"/>
          <w:sz w:val="22"/>
          <w:szCs w:val="22"/>
        </w:rPr>
      </w:pPr>
      <w:r w:rsidRPr="00316061">
        <w:rPr>
          <w:rFonts w:asciiTheme="minorHAnsi" w:hAnsiTheme="minorHAnsi"/>
          <w:sz w:val="22"/>
          <w:szCs w:val="22"/>
        </w:rPr>
        <w:t>Subject to Party approval and Authority consent, the DCP 205 CP will be implemented on the 01 April 2015.</w:t>
      </w:r>
      <w:r w:rsidR="00275FB9" w:rsidRPr="00316061">
        <w:rPr>
          <w:rFonts w:asciiTheme="minorHAnsi" w:hAnsiTheme="minorHAnsi"/>
          <w:sz w:val="22"/>
          <w:szCs w:val="22"/>
        </w:rPr>
        <w:t xml:space="preserve"> This imple</w:t>
      </w:r>
      <w:r w:rsidR="004E48EB" w:rsidRPr="00316061">
        <w:rPr>
          <w:rFonts w:asciiTheme="minorHAnsi" w:hAnsiTheme="minorHAnsi"/>
          <w:sz w:val="22"/>
          <w:szCs w:val="22"/>
        </w:rPr>
        <w:t>mentation date is in accordance with RIIO ED1 timescales.</w:t>
      </w:r>
    </w:p>
    <w:p w:rsidR="000534E6" w:rsidRPr="00316061" w:rsidRDefault="000534E6" w:rsidP="000534E6">
      <w:pPr>
        <w:pStyle w:val="Heading2"/>
        <w:keepNext w:val="0"/>
        <w:numPr>
          <w:ilvl w:val="1"/>
          <w:numId w:val="3"/>
        </w:numPr>
        <w:tabs>
          <w:tab w:val="num" w:pos="709"/>
        </w:tabs>
        <w:spacing w:line="360" w:lineRule="auto"/>
        <w:jc w:val="both"/>
        <w:rPr>
          <w:rFonts w:asciiTheme="minorHAnsi" w:hAnsiTheme="minorHAnsi"/>
          <w:sz w:val="22"/>
          <w:szCs w:val="22"/>
        </w:rPr>
      </w:pPr>
      <w:r w:rsidRPr="00316061">
        <w:rPr>
          <w:rFonts w:asciiTheme="minorHAnsi" w:hAnsiTheme="minorHAnsi"/>
          <w:sz w:val="22"/>
          <w:szCs w:val="22"/>
        </w:rPr>
        <w:t>Subject to Party approval and Authority consent, the DCP 205A CP will be implemented on the 01 April 2015. This implementation date is in accordance with RIIO ED1 timescales.</w:t>
      </w:r>
    </w:p>
    <w:p w:rsidR="003D1A78" w:rsidRPr="00316061" w:rsidRDefault="003D1A78" w:rsidP="00C969E5">
      <w:pPr>
        <w:pStyle w:val="Heading1"/>
        <w:keepNext w:val="0"/>
        <w:numPr>
          <w:ilvl w:val="0"/>
          <w:numId w:val="7"/>
        </w:numPr>
        <w:spacing w:line="360" w:lineRule="auto"/>
        <w:ind w:left="709" w:hanging="709"/>
        <w:jc w:val="both"/>
        <w:rPr>
          <w:rFonts w:asciiTheme="minorHAnsi" w:hAnsiTheme="minorHAnsi"/>
          <w:sz w:val="22"/>
          <w:szCs w:val="22"/>
        </w:rPr>
      </w:pPr>
      <w:r w:rsidRPr="00316061">
        <w:rPr>
          <w:rFonts w:asciiTheme="minorHAnsi" w:hAnsiTheme="minorHAnsi"/>
          <w:sz w:val="22"/>
          <w:szCs w:val="22"/>
        </w:rPr>
        <w:t>PANEL RECOMMENDATION</w:t>
      </w:r>
    </w:p>
    <w:p w:rsidR="003D1A78" w:rsidRPr="00316061" w:rsidRDefault="003D1A78" w:rsidP="00C969E5">
      <w:pPr>
        <w:pStyle w:val="Heading2"/>
        <w:numPr>
          <w:ilvl w:val="1"/>
          <w:numId w:val="7"/>
        </w:numPr>
        <w:spacing w:line="360" w:lineRule="auto"/>
        <w:ind w:left="567" w:hanging="567"/>
        <w:jc w:val="both"/>
        <w:rPr>
          <w:rFonts w:asciiTheme="minorHAnsi" w:hAnsiTheme="minorHAnsi"/>
          <w:sz w:val="22"/>
          <w:szCs w:val="22"/>
        </w:rPr>
      </w:pPr>
      <w:r w:rsidRPr="00316061">
        <w:rPr>
          <w:rFonts w:asciiTheme="minorHAnsi" w:hAnsiTheme="minorHAnsi"/>
          <w:sz w:val="22"/>
          <w:szCs w:val="22"/>
        </w:rPr>
        <w:t xml:space="preserve">The DCUSA Panel approved the DCP </w:t>
      </w:r>
      <w:r w:rsidR="00AE66D4" w:rsidRPr="00316061">
        <w:rPr>
          <w:rFonts w:asciiTheme="minorHAnsi" w:hAnsiTheme="minorHAnsi"/>
          <w:sz w:val="22"/>
          <w:szCs w:val="22"/>
        </w:rPr>
        <w:t xml:space="preserve">205 </w:t>
      </w:r>
      <w:r w:rsidR="000534E6" w:rsidRPr="00316061">
        <w:rPr>
          <w:rFonts w:asciiTheme="minorHAnsi" w:hAnsiTheme="minorHAnsi"/>
          <w:sz w:val="22"/>
          <w:szCs w:val="22"/>
        </w:rPr>
        <w:t xml:space="preserve">and DCP 205A </w:t>
      </w:r>
      <w:r w:rsidR="00AE66D4" w:rsidRPr="00316061">
        <w:rPr>
          <w:rFonts w:asciiTheme="minorHAnsi" w:hAnsiTheme="minorHAnsi"/>
          <w:sz w:val="22"/>
          <w:szCs w:val="22"/>
        </w:rPr>
        <w:t>C</w:t>
      </w:r>
      <w:r w:rsidRPr="00316061">
        <w:rPr>
          <w:rFonts w:asciiTheme="minorHAnsi" w:hAnsiTheme="minorHAnsi"/>
          <w:sz w:val="22"/>
          <w:szCs w:val="22"/>
        </w:rPr>
        <w:t>hange Report on</w:t>
      </w:r>
      <w:r w:rsidR="000534E6" w:rsidRPr="00316061">
        <w:rPr>
          <w:rFonts w:asciiTheme="minorHAnsi" w:hAnsiTheme="minorHAnsi"/>
          <w:sz w:val="22"/>
          <w:szCs w:val="22"/>
        </w:rPr>
        <w:t xml:space="preserve"> 21 January 2015</w:t>
      </w:r>
      <w:r w:rsidRPr="00316061">
        <w:rPr>
          <w:rFonts w:asciiTheme="minorHAnsi" w:hAnsiTheme="minorHAnsi"/>
          <w:sz w:val="22"/>
          <w:szCs w:val="22"/>
        </w:rPr>
        <w:t>. The timetable for the progression of the CP is set out below:</w:t>
      </w:r>
    </w:p>
    <w:p w:rsidR="003D1A78" w:rsidRPr="00316061" w:rsidRDefault="003D1A78" w:rsidP="00342B85">
      <w:pPr>
        <w:jc w:val="both"/>
        <w:rPr>
          <w:rFonts w:asciiTheme="minorHAnsi" w:hAnsiTheme="minorHAnsi"/>
          <w:sz w:val="22"/>
          <w:szCs w:val="22"/>
        </w:rPr>
      </w:pPr>
    </w:p>
    <w:tbl>
      <w:tblPr>
        <w:tblW w:w="0" w:type="auto"/>
        <w:jc w:val="center"/>
        <w:tblInd w:w="-6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39"/>
        <w:gridCol w:w="3516"/>
      </w:tblGrid>
      <w:tr w:rsidR="003D1A78" w:rsidRPr="00316061" w:rsidTr="00D82B19">
        <w:trPr>
          <w:jc w:val="center"/>
        </w:trPr>
        <w:tc>
          <w:tcPr>
            <w:tcW w:w="3739" w:type="dxa"/>
            <w:tcBorders>
              <w:top w:val="single" w:sz="4" w:space="0" w:color="auto"/>
            </w:tcBorders>
            <w:shd w:val="clear" w:color="auto" w:fill="E6E6E6"/>
            <w:tcMar>
              <w:top w:w="0" w:type="dxa"/>
              <w:left w:w="108" w:type="dxa"/>
              <w:bottom w:w="0" w:type="dxa"/>
              <w:right w:w="108" w:type="dxa"/>
            </w:tcMar>
          </w:tcPr>
          <w:p w:rsidR="003D1A78" w:rsidRPr="00316061" w:rsidRDefault="003D1A78" w:rsidP="00342B85">
            <w:pPr>
              <w:spacing w:line="360" w:lineRule="auto"/>
              <w:jc w:val="both"/>
              <w:rPr>
                <w:rFonts w:asciiTheme="minorHAnsi" w:hAnsiTheme="minorHAnsi" w:cs="Tahoma"/>
                <w:b/>
                <w:sz w:val="22"/>
                <w:szCs w:val="22"/>
              </w:rPr>
            </w:pPr>
            <w:r w:rsidRPr="00316061">
              <w:rPr>
                <w:rFonts w:asciiTheme="minorHAnsi" w:hAnsiTheme="minorHAnsi" w:cs="Tahoma"/>
                <w:b/>
                <w:sz w:val="22"/>
                <w:szCs w:val="22"/>
              </w:rPr>
              <w:t xml:space="preserve">Activity </w:t>
            </w:r>
          </w:p>
        </w:tc>
        <w:tc>
          <w:tcPr>
            <w:tcW w:w="3516" w:type="dxa"/>
            <w:tcBorders>
              <w:top w:val="single" w:sz="4" w:space="0" w:color="auto"/>
            </w:tcBorders>
            <w:shd w:val="clear" w:color="auto" w:fill="E6E6E6"/>
            <w:tcMar>
              <w:top w:w="0" w:type="dxa"/>
              <w:left w:w="108" w:type="dxa"/>
              <w:bottom w:w="0" w:type="dxa"/>
              <w:right w:w="108" w:type="dxa"/>
            </w:tcMar>
          </w:tcPr>
          <w:p w:rsidR="003D1A78" w:rsidRPr="00316061" w:rsidRDefault="003D1A78" w:rsidP="00342B85">
            <w:pPr>
              <w:spacing w:line="360" w:lineRule="auto"/>
              <w:jc w:val="both"/>
              <w:rPr>
                <w:rFonts w:asciiTheme="minorHAnsi" w:hAnsiTheme="minorHAnsi" w:cs="Tahoma"/>
                <w:b/>
                <w:sz w:val="22"/>
                <w:szCs w:val="22"/>
              </w:rPr>
            </w:pPr>
            <w:r w:rsidRPr="00316061">
              <w:rPr>
                <w:rFonts w:asciiTheme="minorHAnsi" w:hAnsiTheme="minorHAnsi" w:cs="Tahoma"/>
                <w:b/>
                <w:sz w:val="22"/>
                <w:szCs w:val="22"/>
              </w:rPr>
              <w:t>Target Date</w:t>
            </w:r>
          </w:p>
        </w:tc>
      </w:tr>
      <w:tr w:rsidR="003D1A78" w:rsidRPr="00316061" w:rsidTr="00D82B19">
        <w:trPr>
          <w:jc w:val="center"/>
        </w:trPr>
        <w:tc>
          <w:tcPr>
            <w:tcW w:w="3739" w:type="dxa"/>
            <w:tcMar>
              <w:top w:w="0" w:type="dxa"/>
              <w:left w:w="108" w:type="dxa"/>
              <w:bottom w:w="0" w:type="dxa"/>
              <w:right w:w="108" w:type="dxa"/>
            </w:tcMar>
          </w:tcPr>
          <w:p w:rsidR="003D1A78" w:rsidRPr="00316061" w:rsidRDefault="003D1A78" w:rsidP="00342B85">
            <w:pPr>
              <w:spacing w:line="360" w:lineRule="auto"/>
              <w:jc w:val="both"/>
              <w:rPr>
                <w:rFonts w:asciiTheme="minorHAnsi" w:hAnsiTheme="minorHAnsi" w:cs="Tahoma"/>
                <w:sz w:val="22"/>
                <w:szCs w:val="22"/>
              </w:rPr>
            </w:pPr>
            <w:r w:rsidRPr="00316061">
              <w:rPr>
                <w:rFonts w:asciiTheme="minorHAnsi" w:hAnsiTheme="minorHAnsi" w:cs="Tahoma"/>
                <w:sz w:val="22"/>
                <w:szCs w:val="22"/>
              </w:rPr>
              <w:t>Change Report Agreed</w:t>
            </w:r>
          </w:p>
        </w:tc>
        <w:tc>
          <w:tcPr>
            <w:tcW w:w="3516" w:type="dxa"/>
            <w:tcMar>
              <w:top w:w="0" w:type="dxa"/>
              <w:left w:w="108" w:type="dxa"/>
              <w:bottom w:w="0" w:type="dxa"/>
              <w:right w:w="108" w:type="dxa"/>
            </w:tcMar>
          </w:tcPr>
          <w:p w:rsidR="003D1A78" w:rsidRPr="00316061" w:rsidRDefault="00A53A5C" w:rsidP="00A53A5C">
            <w:pPr>
              <w:spacing w:line="360" w:lineRule="auto"/>
              <w:jc w:val="both"/>
              <w:rPr>
                <w:rFonts w:asciiTheme="minorHAnsi" w:hAnsiTheme="minorHAnsi" w:cs="Tahoma"/>
                <w:sz w:val="22"/>
                <w:szCs w:val="22"/>
                <w:highlight w:val="yellow"/>
              </w:rPr>
            </w:pPr>
            <w:r w:rsidRPr="00316061">
              <w:rPr>
                <w:rFonts w:asciiTheme="minorHAnsi" w:hAnsiTheme="minorHAnsi" w:cs="Tahoma"/>
                <w:sz w:val="22"/>
                <w:szCs w:val="22"/>
              </w:rPr>
              <w:t>21 January 2015</w:t>
            </w:r>
          </w:p>
        </w:tc>
      </w:tr>
      <w:tr w:rsidR="0021538B" w:rsidRPr="00316061" w:rsidTr="00D82B19">
        <w:trPr>
          <w:jc w:val="center"/>
        </w:trPr>
        <w:tc>
          <w:tcPr>
            <w:tcW w:w="3739" w:type="dxa"/>
            <w:tcMar>
              <w:top w:w="0" w:type="dxa"/>
              <w:left w:w="108" w:type="dxa"/>
              <w:bottom w:w="0" w:type="dxa"/>
              <w:right w:w="108" w:type="dxa"/>
            </w:tcMar>
          </w:tcPr>
          <w:p w:rsidR="0021538B" w:rsidRPr="00316061" w:rsidRDefault="0021538B" w:rsidP="00342B85">
            <w:pPr>
              <w:spacing w:line="360" w:lineRule="auto"/>
              <w:jc w:val="both"/>
              <w:rPr>
                <w:rFonts w:asciiTheme="minorHAnsi" w:hAnsiTheme="minorHAnsi" w:cs="Tahoma"/>
                <w:sz w:val="22"/>
                <w:szCs w:val="22"/>
              </w:rPr>
            </w:pPr>
            <w:r w:rsidRPr="00316061">
              <w:rPr>
                <w:rFonts w:asciiTheme="minorHAnsi" w:hAnsiTheme="minorHAnsi" w:cs="Tahoma"/>
                <w:sz w:val="22"/>
                <w:szCs w:val="22"/>
              </w:rPr>
              <w:t>Change Report Issued For Voting</w:t>
            </w:r>
          </w:p>
        </w:tc>
        <w:tc>
          <w:tcPr>
            <w:tcW w:w="3516" w:type="dxa"/>
            <w:tcMar>
              <w:top w:w="0" w:type="dxa"/>
              <w:left w:w="108" w:type="dxa"/>
              <w:bottom w:w="0" w:type="dxa"/>
              <w:right w:w="108" w:type="dxa"/>
            </w:tcMar>
          </w:tcPr>
          <w:p w:rsidR="0021538B" w:rsidRPr="00316061" w:rsidRDefault="00A53A5C" w:rsidP="00A53A5C">
            <w:pPr>
              <w:spacing w:line="360" w:lineRule="auto"/>
              <w:jc w:val="both"/>
              <w:rPr>
                <w:rFonts w:asciiTheme="minorHAnsi" w:hAnsiTheme="minorHAnsi" w:cs="Tahoma"/>
                <w:sz w:val="22"/>
                <w:szCs w:val="22"/>
              </w:rPr>
            </w:pPr>
            <w:r w:rsidRPr="00316061">
              <w:rPr>
                <w:rFonts w:asciiTheme="minorHAnsi" w:hAnsiTheme="minorHAnsi" w:cs="Tahoma"/>
                <w:sz w:val="22"/>
                <w:szCs w:val="22"/>
              </w:rPr>
              <w:t>23 January 2015</w:t>
            </w:r>
          </w:p>
        </w:tc>
      </w:tr>
      <w:tr w:rsidR="003D1A78" w:rsidRPr="00316061" w:rsidTr="00D82B19">
        <w:trPr>
          <w:jc w:val="center"/>
        </w:trPr>
        <w:tc>
          <w:tcPr>
            <w:tcW w:w="3739" w:type="dxa"/>
            <w:tcMar>
              <w:top w:w="0" w:type="dxa"/>
              <w:left w:w="108" w:type="dxa"/>
              <w:bottom w:w="0" w:type="dxa"/>
              <w:right w:w="108" w:type="dxa"/>
            </w:tcMar>
          </w:tcPr>
          <w:p w:rsidR="003D1A78" w:rsidRPr="00316061" w:rsidRDefault="003D1A78" w:rsidP="00342B85">
            <w:pPr>
              <w:spacing w:line="360" w:lineRule="auto"/>
              <w:jc w:val="both"/>
              <w:rPr>
                <w:rFonts w:asciiTheme="minorHAnsi" w:hAnsiTheme="minorHAnsi" w:cs="Tahoma"/>
                <w:sz w:val="22"/>
                <w:szCs w:val="22"/>
              </w:rPr>
            </w:pPr>
            <w:r w:rsidRPr="00316061">
              <w:rPr>
                <w:rFonts w:asciiTheme="minorHAnsi" w:hAnsiTheme="minorHAnsi" w:cs="Tahoma"/>
                <w:sz w:val="22"/>
                <w:szCs w:val="22"/>
              </w:rPr>
              <w:t>Party Voting Ends</w:t>
            </w:r>
          </w:p>
        </w:tc>
        <w:tc>
          <w:tcPr>
            <w:tcW w:w="3516" w:type="dxa"/>
            <w:tcMar>
              <w:top w:w="0" w:type="dxa"/>
              <w:left w:w="108" w:type="dxa"/>
              <w:bottom w:w="0" w:type="dxa"/>
              <w:right w:w="108" w:type="dxa"/>
            </w:tcMar>
          </w:tcPr>
          <w:p w:rsidR="003D1A78" w:rsidRPr="00316061" w:rsidRDefault="00AE66D4" w:rsidP="00A53A5C">
            <w:pPr>
              <w:spacing w:line="360" w:lineRule="auto"/>
              <w:jc w:val="both"/>
              <w:rPr>
                <w:rFonts w:asciiTheme="minorHAnsi" w:hAnsiTheme="minorHAnsi" w:cs="Tahoma"/>
                <w:sz w:val="22"/>
                <w:szCs w:val="22"/>
                <w:highlight w:val="yellow"/>
              </w:rPr>
            </w:pPr>
            <w:r w:rsidRPr="00316061">
              <w:rPr>
                <w:rFonts w:asciiTheme="minorHAnsi" w:hAnsiTheme="minorHAnsi" w:cs="Tahoma"/>
                <w:sz w:val="22"/>
                <w:szCs w:val="22"/>
              </w:rPr>
              <w:t>0</w:t>
            </w:r>
            <w:r w:rsidR="00A53A5C" w:rsidRPr="00316061">
              <w:rPr>
                <w:rFonts w:asciiTheme="minorHAnsi" w:hAnsiTheme="minorHAnsi" w:cs="Tahoma"/>
                <w:sz w:val="22"/>
                <w:szCs w:val="22"/>
              </w:rPr>
              <w:t>6 February</w:t>
            </w:r>
            <w:r w:rsidRPr="00316061">
              <w:rPr>
                <w:rFonts w:asciiTheme="minorHAnsi" w:hAnsiTheme="minorHAnsi" w:cs="Tahoma"/>
                <w:sz w:val="22"/>
                <w:szCs w:val="22"/>
              </w:rPr>
              <w:t xml:space="preserve"> 2015</w:t>
            </w:r>
          </w:p>
        </w:tc>
      </w:tr>
      <w:tr w:rsidR="003D1A78" w:rsidRPr="00316061" w:rsidTr="00A53A5C">
        <w:trPr>
          <w:trHeight w:val="80"/>
          <w:jc w:val="center"/>
        </w:trPr>
        <w:tc>
          <w:tcPr>
            <w:tcW w:w="3739" w:type="dxa"/>
            <w:tcMar>
              <w:top w:w="0" w:type="dxa"/>
              <w:left w:w="108" w:type="dxa"/>
              <w:bottom w:w="0" w:type="dxa"/>
              <w:right w:w="108" w:type="dxa"/>
            </w:tcMar>
          </w:tcPr>
          <w:p w:rsidR="003D1A78" w:rsidRPr="00316061" w:rsidRDefault="003D1A78" w:rsidP="00342B85">
            <w:pPr>
              <w:spacing w:line="360" w:lineRule="auto"/>
              <w:jc w:val="both"/>
              <w:rPr>
                <w:rFonts w:asciiTheme="minorHAnsi" w:hAnsiTheme="minorHAnsi" w:cs="Tahoma"/>
                <w:sz w:val="22"/>
                <w:szCs w:val="22"/>
              </w:rPr>
            </w:pPr>
            <w:r w:rsidRPr="00316061">
              <w:rPr>
                <w:rFonts w:asciiTheme="minorHAnsi" w:hAnsiTheme="minorHAnsi" w:cs="Tahoma"/>
                <w:sz w:val="22"/>
                <w:szCs w:val="22"/>
              </w:rPr>
              <w:t>Change Declaration Issued</w:t>
            </w:r>
          </w:p>
          <w:p w:rsidR="003D1A78" w:rsidRPr="00316061" w:rsidRDefault="003D1A78" w:rsidP="00CE4EE4">
            <w:pPr>
              <w:rPr>
                <w:rFonts w:asciiTheme="minorHAnsi" w:hAnsiTheme="minorHAnsi" w:cs="Tahoma"/>
                <w:sz w:val="22"/>
                <w:szCs w:val="22"/>
              </w:rPr>
            </w:pPr>
            <w:r w:rsidRPr="00316061">
              <w:rPr>
                <w:rFonts w:asciiTheme="minorHAnsi" w:hAnsiTheme="minorHAnsi" w:cs="Tahoma"/>
                <w:sz w:val="22"/>
                <w:szCs w:val="22"/>
              </w:rPr>
              <w:t>Authority Decision</w:t>
            </w:r>
            <w:r w:rsidR="0021538B" w:rsidRPr="00316061">
              <w:rPr>
                <w:rStyle w:val="FootnoteReference"/>
                <w:rFonts w:asciiTheme="minorHAnsi" w:hAnsiTheme="minorHAnsi"/>
                <w:sz w:val="22"/>
                <w:szCs w:val="22"/>
              </w:rPr>
              <w:footnoteReference w:id="2"/>
            </w:r>
          </w:p>
        </w:tc>
        <w:tc>
          <w:tcPr>
            <w:tcW w:w="3516" w:type="dxa"/>
            <w:tcMar>
              <w:top w:w="0" w:type="dxa"/>
              <w:left w:w="108" w:type="dxa"/>
              <w:bottom w:w="0" w:type="dxa"/>
              <w:right w:w="108" w:type="dxa"/>
            </w:tcMar>
          </w:tcPr>
          <w:p w:rsidR="003D1A78" w:rsidRPr="00316061" w:rsidRDefault="003D1A78" w:rsidP="009B20F6">
            <w:pPr>
              <w:spacing w:line="360" w:lineRule="auto"/>
              <w:jc w:val="both"/>
              <w:rPr>
                <w:rFonts w:asciiTheme="minorHAnsi" w:hAnsiTheme="minorHAnsi" w:cs="Tahoma"/>
                <w:sz w:val="22"/>
                <w:szCs w:val="22"/>
              </w:rPr>
            </w:pPr>
            <w:r w:rsidRPr="00316061">
              <w:rPr>
                <w:rFonts w:asciiTheme="minorHAnsi" w:hAnsiTheme="minorHAnsi" w:cs="Tahoma"/>
                <w:sz w:val="22"/>
                <w:szCs w:val="22"/>
              </w:rPr>
              <w:t>1</w:t>
            </w:r>
            <w:r w:rsidR="00A53A5C" w:rsidRPr="00316061">
              <w:rPr>
                <w:rFonts w:asciiTheme="minorHAnsi" w:hAnsiTheme="minorHAnsi" w:cs="Tahoma"/>
                <w:sz w:val="22"/>
                <w:szCs w:val="22"/>
              </w:rPr>
              <w:t xml:space="preserve">0 February </w:t>
            </w:r>
            <w:r w:rsidR="00AE66D4" w:rsidRPr="00316061">
              <w:rPr>
                <w:rFonts w:asciiTheme="minorHAnsi" w:hAnsiTheme="minorHAnsi" w:cs="Tahoma"/>
                <w:sz w:val="22"/>
                <w:szCs w:val="22"/>
              </w:rPr>
              <w:t>2015</w:t>
            </w:r>
          </w:p>
          <w:p w:rsidR="003D1A78" w:rsidRPr="00316061" w:rsidRDefault="003D1A78" w:rsidP="00A53A5C">
            <w:pPr>
              <w:spacing w:line="360" w:lineRule="auto"/>
              <w:jc w:val="both"/>
              <w:rPr>
                <w:rFonts w:asciiTheme="minorHAnsi" w:hAnsiTheme="minorHAnsi" w:cs="Tahoma"/>
                <w:sz w:val="22"/>
                <w:szCs w:val="22"/>
                <w:highlight w:val="yellow"/>
              </w:rPr>
            </w:pPr>
            <w:r w:rsidRPr="00316061">
              <w:rPr>
                <w:rFonts w:asciiTheme="minorHAnsi" w:hAnsiTheme="minorHAnsi" w:cs="Tahoma"/>
                <w:sz w:val="22"/>
                <w:szCs w:val="22"/>
              </w:rPr>
              <w:t>1</w:t>
            </w:r>
            <w:r w:rsidR="00AE66D4" w:rsidRPr="00316061">
              <w:rPr>
                <w:rFonts w:asciiTheme="minorHAnsi" w:hAnsiTheme="minorHAnsi" w:cs="Tahoma"/>
                <w:sz w:val="22"/>
                <w:szCs w:val="22"/>
              </w:rPr>
              <w:t xml:space="preserve">7 </w:t>
            </w:r>
            <w:r w:rsidR="00A53A5C" w:rsidRPr="00316061">
              <w:rPr>
                <w:rFonts w:asciiTheme="minorHAnsi" w:hAnsiTheme="minorHAnsi" w:cs="Tahoma"/>
                <w:sz w:val="22"/>
                <w:szCs w:val="22"/>
              </w:rPr>
              <w:t>March</w:t>
            </w:r>
            <w:r w:rsidR="00AE66D4" w:rsidRPr="00316061">
              <w:rPr>
                <w:rFonts w:asciiTheme="minorHAnsi" w:hAnsiTheme="minorHAnsi" w:cs="Tahoma"/>
                <w:sz w:val="22"/>
                <w:szCs w:val="22"/>
              </w:rPr>
              <w:t xml:space="preserve"> </w:t>
            </w:r>
            <w:r w:rsidRPr="00316061">
              <w:rPr>
                <w:rFonts w:asciiTheme="minorHAnsi" w:hAnsiTheme="minorHAnsi" w:cs="Tahoma"/>
                <w:sz w:val="22"/>
                <w:szCs w:val="22"/>
              </w:rPr>
              <w:t>201</w:t>
            </w:r>
            <w:r w:rsidR="00AE66D4" w:rsidRPr="00316061">
              <w:rPr>
                <w:rFonts w:asciiTheme="minorHAnsi" w:hAnsiTheme="minorHAnsi" w:cs="Tahoma"/>
                <w:sz w:val="22"/>
                <w:szCs w:val="22"/>
              </w:rPr>
              <w:t>5</w:t>
            </w:r>
          </w:p>
        </w:tc>
      </w:tr>
      <w:tr w:rsidR="003D1A78" w:rsidRPr="00316061" w:rsidTr="00D82B19">
        <w:trPr>
          <w:jc w:val="center"/>
        </w:trPr>
        <w:tc>
          <w:tcPr>
            <w:tcW w:w="3739" w:type="dxa"/>
            <w:tcBorders>
              <w:bottom w:val="single" w:sz="4" w:space="0" w:color="auto"/>
            </w:tcBorders>
            <w:tcMar>
              <w:top w:w="0" w:type="dxa"/>
              <w:left w:w="108" w:type="dxa"/>
              <w:bottom w:w="0" w:type="dxa"/>
              <w:right w:w="108" w:type="dxa"/>
            </w:tcMar>
          </w:tcPr>
          <w:p w:rsidR="003D1A78" w:rsidRPr="00316061" w:rsidRDefault="003D1A78" w:rsidP="00342B85">
            <w:pPr>
              <w:spacing w:line="360" w:lineRule="auto"/>
              <w:jc w:val="both"/>
              <w:rPr>
                <w:rFonts w:asciiTheme="minorHAnsi" w:hAnsiTheme="minorHAnsi" w:cs="Tahoma"/>
                <w:sz w:val="22"/>
                <w:szCs w:val="22"/>
              </w:rPr>
            </w:pPr>
            <w:r w:rsidRPr="00316061">
              <w:rPr>
                <w:rFonts w:asciiTheme="minorHAnsi" w:hAnsiTheme="minorHAnsi" w:cs="Tahoma"/>
                <w:sz w:val="22"/>
                <w:szCs w:val="22"/>
              </w:rPr>
              <w:t>Implementation</w:t>
            </w:r>
          </w:p>
        </w:tc>
        <w:tc>
          <w:tcPr>
            <w:tcW w:w="3516" w:type="dxa"/>
            <w:tcBorders>
              <w:bottom w:val="single" w:sz="4" w:space="0" w:color="auto"/>
            </w:tcBorders>
            <w:tcMar>
              <w:top w:w="0" w:type="dxa"/>
              <w:left w:w="108" w:type="dxa"/>
              <w:bottom w:w="0" w:type="dxa"/>
              <w:right w:w="108" w:type="dxa"/>
            </w:tcMar>
          </w:tcPr>
          <w:p w:rsidR="003D1A78" w:rsidRPr="00316061" w:rsidRDefault="00AE66D4" w:rsidP="00AE66D4">
            <w:pPr>
              <w:spacing w:line="360" w:lineRule="auto"/>
              <w:jc w:val="both"/>
              <w:rPr>
                <w:rFonts w:asciiTheme="minorHAnsi" w:hAnsiTheme="minorHAnsi" w:cs="Tahoma"/>
                <w:sz w:val="22"/>
                <w:szCs w:val="22"/>
              </w:rPr>
            </w:pPr>
            <w:r w:rsidRPr="00316061">
              <w:rPr>
                <w:rFonts w:asciiTheme="minorHAnsi" w:hAnsiTheme="minorHAnsi"/>
                <w:sz w:val="22"/>
                <w:szCs w:val="22"/>
              </w:rPr>
              <w:t>01 April 2015</w:t>
            </w:r>
          </w:p>
        </w:tc>
      </w:tr>
    </w:tbl>
    <w:p w:rsidR="003D1A78" w:rsidRPr="00316061" w:rsidRDefault="003D1A78" w:rsidP="00342B85">
      <w:pPr>
        <w:ind w:firstLine="720"/>
        <w:jc w:val="both"/>
        <w:rPr>
          <w:rFonts w:asciiTheme="minorHAnsi" w:hAnsiTheme="minorHAnsi"/>
          <w:sz w:val="22"/>
          <w:szCs w:val="22"/>
        </w:rPr>
      </w:pPr>
    </w:p>
    <w:p w:rsidR="003D1A78" w:rsidRPr="00316061" w:rsidRDefault="003D1A78" w:rsidP="00C969E5">
      <w:pPr>
        <w:pStyle w:val="Heading1"/>
        <w:numPr>
          <w:ilvl w:val="0"/>
          <w:numId w:val="7"/>
        </w:numPr>
        <w:spacing w:line="360" w:lineRule="auto"/>
        <w:ind w:left="709" w:hanging="709"/>
        <w:jc w:val="both"/>
        <w:rPr>
          <w:rFonts w:asciiTheme="minorHAnsi" w:hAnsiTheme="minorHAnsi"/>
          <w:sz w:val="22"/>
          <w:szCs w:val="22"/>
        </w:rPr>
      </w:pPr>
      <w:r w:rsidRPr="00316061">
        <w:rPr>
          <w:rFonts w:asciiTheme="minorHAnsi" w:hAnsiTheme="minorHAnsi"/>
          <w:sz w:val="22"/>
          <w:szCs w:val="22"/>
        </w:rPr>
        <w:lastRenderedPageBreak/>
        <w:t xml:space="preserve">ATTACHMENTS: </w:t>
      </w:r>
    </w:p>
    <w:p w:rsidR="003D1A78" w:rsidRPr="00316061" w:rsidRDefault="003D1A78" w:rsidP="00AD65FD">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w:t>
      </w:r>
      <w:r w:rsidR="00AE66D4" w:rsidRPr="00316061">
        <w:rPr>
          <w:rFonts w:asciiTheme="minorHAnsi" w:hAnsiTheme="minorHAnsi"/>
          <w:b w:val="0"/>
          <w:sz w:val="22"/>
          <w:szCs w:val="22"/>
        </w:rPr>
        <w:t xml:space="preserve">ttachment 1 – DCP 205 </w:t>
      </w:r>
      <w:r w:rsidRPr="00316061">
        <w:rPr>
          <w:rFonts w:asciiTheme="minorHAnsi" w:hAnsiTheme="minorHAnsi"/>
          <w:b w:val="0"/>
          <w:sz w:val="22"/>
          <w:szCs w:val="22"/>
        </w:rPr>
        <w:t>Voting Form</w:t>
      </w:r>
    </w:p>
    <w:p w:rsidR="003D1A78" w:rsidRPr="00316061" w:rsidRDefault="00AE66D4" w:rsidP="00AD65FD">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Attachment 2 – DCP 205</w:t>
      </w:r>
      <w:r w:rsidR="003D1A78" w:rsidRPr="00316061">
        <w:rPr>
          <w:rFonts w:asciiTheme="minorHAnsi" w:hAnsiTheme="minorHAnsi"/>
          <w:b w:val="0"/>
          <w:sz w:val="22"/>
          <w:szCs w:val="22"/>
        </w:rPr>
        <w:t xml:space="preserve"> Proposed Legal Text</w:t>
      </w:r>
    </w:p>
    <w:p w:rsidR="005446B7" w:rsidRPr="00316061" w:rsidRDefault="005446B7" w:rsidP="005446B7">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Attachment 2 – DCP 205A Proposed Legal Text</w:t>
      </w:r>
    </w:p>
    <w:p w:rsidR="003D1A78" w:rsidRPr="00316061" w:rsidRDefault="00AE66D4" w:rsidP="00AD65FD">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Attachment 3 - DCP 205</w:t>
      </w:r>
      <w:r w:rsidR="003D1A78" w:rsidRPr="00316061">
        <w:rPr>
          <w:rFonts w:asciiTheme="minorHAnsi" w:hAnsiTheme="minorHAnsi"/>
          <w:b w:val="0"/>
          <w:sz w:val="22"/>
          <w:szCs w:val="22"/>
        </w:rPr>
        <w:t xml:space="preserve"> Change Proposal</w:t>
      </w:r>
    </w:p>
    <w:p w:rsidR="005446B7" w:rsidRPr="00316061" w:rsidRDefault="005446B7" w:rsidP="005446B7">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Attachment 3 - DCP 205A Change Proposal</w:t>
      </w:r>
    </w:p>
    <w:p w:rsidR="003D1A78" w:rsidRPr="00316061" w:rsidRDefault="00AE66D4" w:rsidP="00AD65FD">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Attachment 4 – DCP 205</w:t>
      </w:r>
      <w:r w:rsidR="003D1A78" w:rsidRPr="00316061">
        <w:rPr>
          <w:rFonts w:asciiTheme="minorHAnsi" w:hAnsiTheme="minorHAnsi"/>
          <w:b w:val="0"/>
          <w:sz w:val="22"/>
          <w:szCs w:val="22"/>
        </w:rPr>
        <w:t xml:space="preserve"> Consultation</w:t>
      </w:r>
      <w:r w:rsidRPr="00316061">
        <w:rPr>
          <w:rFonts w:asciiTheme="minorHAnsi" w:hAnsiTheme="minorHAnsi"/>
          <w:b w:val="0"/>
          <w:sz w:val="22"/>
          <w:szCs w:val="22"/>
        </w:rPr>
        <w:t xml:space="preserve"> One</w:t>
      </w:r>
      <w:r w:rsidR="003D1A78" w:rsidRPr="00316061">
        <w:rPr>
          <w:rFonts w:asciiTheme="minorHAnsi" w:hAnsiTheme="minorHAnsi"/>
          <w:b w:val="0"/>
          <w:sz w:val="22"/>
          <w:szCs w:val="22"/>
        </w:rPr>
        <w:t xml:space="preserve"> </w:t>
      </w:r>
    </w:p>
    <w:p w:rsidR="00AE66D4" w:rsidRDefault="00AE66D4" w:rsidP="00AE66D4">
      <w:pPr>
        <w:pStyle w:val="Heading1"/>
        <w:numPr>
          <w:ilvl w:val="0"/>
          <w:numId w:val="5"/>
        </w:numPr>
        <w:spacing w:line="360" w:lineRule="auto"/>
        <w:jc w:val="both"/>
        <w:rPr>
          <w:rFonts w:asciiTheme="minorHAnsi" w:hAnsiTheme="minorHAnsi"/>
          <w:b w:val="0"/>
          <w:sz w:val="22"/>
          <w:szCs w:val="22"/>
        </w:rPr>
      </w:pPr>
      <w:r w:rsidRPr="00316061">
        <w:rPr>
          <w:rFonts w:asciiTheme="minorHAnsi" w:hAnsiTheme="minorHAnsi"/>
          <w:b w:val="0"/>
          <w:sz w:val="22"/>
          <w:szCs w:val="22"/>
        </w:rPr>
        <w:t>Attachment 5 – DCP 205 Consultation Two</w:t>
      </w:r>
    </w:p>
    <w:p w:rsidR="0002251E" w:rsidRPr="0002251E" w:rsidRDefault="0002251E" w:rsidP="0002251E">
      <w:pPr>
        <w:pStyle w:val="Heading1"/>
        <w:numPr>
          <w:ilvl w:val="0"/>
          <w:numId w:val="5"/>
        </w:numPr>
        <w:spacing w:line="360" w:lineRule="auto"/>
        <w:jc w:val="both"/>
        <w:rPr>
          <w:rFonts w:asciiTheme="minorHAnsi" w:hAnsiTheme="minorHAnsi"/>
          <w:b w:val="0"/>
          <w:sz w:val="22"/>
          <w:szCs w:val="22"/>
        </w:rPr>
      </w:pPr>
      <w:r w:rsidRPr="0002251E">
        <w:rPr>
          <w:rFonts w:asciiTheme="minorHAnsi" w:hAnsiTheme="minorHAnsi"/>
          <w:b w:val="0"/>
          <w:sz w:val="22"/>
          <w:szCs w:val="22"/>
        </w:rPr>
        <w:t>Attachment 6- DCP 205 Consultation Two Follow Up Questions</w:t>
      </w:r>
    </w:p>
    <w:p w:rsidR="00AE66D4" w:rsidRPr="00316061" w:rsidRDefault="00AE66D4" w:rsidP="00AE66D4">
      <w:pPr>
        <w:rPr>
          <w:rFonts w:asciiTheme="minorHAnsi" w:hAnsiTheme="minorHAnsi"/>
          <w:sz w:val="22"/>
          <w:szCs w:val="22"/>
        </w:rPr>
      </w:pPr>
    </w:p>
    <w:p w:rsidR="003D1A78" w:rsidRPr="00316061" w:rsidRDefault="003D1A78" w:rsidP="00342B85">
      <w:pPr>
        <w:jc w:val="both"/>
        <w:rPr>
          <w:rFonts w:asciiTheme="minorHAnsi" w:hAnsiTheme="minorHAnsi" w:cs="Arial"/>
          <w:sz w:val="22"/>
          <w:szCs w:val="22"/>
        </w:rPr>
      </w:pPr>
    </w:p>
    <w:sectPr w:rsidR="003D1A78" w:rsidRPr="00316061" w:rsidSect="003106F0">
      <w:headerReference w:type="default" r:id="rId12"/>
      <w:footerReference w:type="default" r:id="rId13"/>
      <w:pgSz w:w="11906" w:h="16838"/>
      <w:pgMar w:top="1440" w:right="1700" w:bottom="1440"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laire Hynes" w:date="2014-12-15T11:44:00Z" w:initials="CH">
    <w:p w:rsidR="0002251E" w:rsidRDefault="0002251E">
      <w:pPr>
        <w:pStyle w:val="CommentText"/>
      </w:pPr>
      <w:r>
        <w:rPr>
          <w:rStyle w:val="CommentReference"/>
        </w:rPr>
        <w:annotationRef/>
      </w:r>
      <w:r>
        <w:t xml:space="preserve">Check with BB if he has looked in to the figure </w:t>
      </w:r>
      <w:proofErr w:type="gramStart"/>
      <w:r>
        <w:t>of  £</w:t>
      </w:r>
      <w:proofErr w:type="gramEnd"/>
      <w:r>
        <w:t>11,000?</w:t>
      </w:r>
    </w:p>
  </w:comment>
  <w:comment w:id="2" w:author="Claire Hynes" w:date="2014-12-19T18:02:00Z" w:initials="CH">
    <w:p w:rsidR="0002251E" w:rsidRDefault="0002251E">
      <w:pPr>
        <w:pStyle w:val="CommentText"/>
      </w:pPr>
      <w:r>
        <w:rPr>
          <w:rStyle w:val="CommentReference"/>
        </w:rPr>
        <w:annotationRef/>
      </w:r>
      <w:r>
        <w:t xml:space="preserve">Responses to these questions will </w:t>
      </w:r>
      <w:proofErr w:type="gramStart"/>
      <w:r>
        <w:t>be  added</w:t>
      </w:r>
      <w:proofErr w:type="gramEnd"/>
      <w:r>
        <w:t xml:space="preserve"> after the DCP 205 Working Group meeting on the 22 December 2014.</w:t>
      </w:r>
    </w:p>
  </w:comment>
  <w:comment w:id="3" w:author="hynesc" w:date="2014-10-09T10:44:00Z" w:initials="h">
    <w:p w:rsidR="0002251E" w:rsidRDefault="0002251E">
      <w:pPr>
        <w:pStyle w:val="CommentText"/>
      </w:pPr>
      <w:r>
        <w:rPr>
          <w:rStyle w:val="CommentReference"/>
        </w:rPr>
        <w:annotationRef/>
      </w:r>
      <w:r>
        <w:t>CP Form</w:t>
      </w:r>
    </w:p>
  </w:comment>
  <w:comment w:id="4" w:author="hynesc" w:date="2014-10-09T11:46:00Z" w:initials="h">
    <w:p w:rsidR="0002251E" w:rsidRDefault="0002251E">
      <w:pPr>
        <w:pStyle w:val="CommentText"/>
      </w:pPr>
      <w:r>
        <w:rPr>
          <w:rStyle w:val="CommentReference"/>
        </w:rPr>
        <w:annotationRef/>
      </w:r>
      <w:r>
        <w:t>From Consultation doc</w:t>
      </w:r>
    </w:p>
  </w:comment>
  <w:comment w:id="5" w:author="hynesc" w:date="2014-10-09T10:45:00Z" w:initials="h">
    <w:p w:rsidR="0002251E" w:rsidRDefault="0002251E">
      <w:pPr>
        <w:pStyle w:val="CommentText"/>
      </w:pPr>
      <w:r>
        <w:rPr>
          <w:rStyle w:val="CommentReference"/>
        </w:rPr>
        <w:annotationRef/>
      </w:r>
      <w:r>
        <w:t>CP form rationale</w:t>
      </w:r>
    </w:p>
  </w:comment>
  <w:comment w:id="6" w:author="hynesc" w:date="2014-10-09T11:47:00Z" w:initials="h">
    <w:p w:rsidR="0002251E" w:rsidRDefault="0002251E">
      <w:pPr>
        <w:pStyle w:val="CommentText"/>
      </w:pPr>
      <w:r>
        <w:rPr>
          <w:rStyle w:val="CommentReference"/>
        </w:rPr>
        <w:annotationRef/>
      </w:r>
      <w:r>
        <w:t>From the consultation doc</w:t>
      </w:r>
    </w:p>
  </w:comment>
  <w:comment w:id="7" w:author="hynesc" w:date="2014-10-09T10:45:00Z" w:initials="h">
    <w:p w:rsidR="0002251E" w:rsidRDefault="0002251E">
      <w:pPr>
        <w:pStyle w:val="CommentText"/>
      </w:pPr>
      <w:r>
        <w:rPr>
          <w:rStyle w:val="CommentReference"/>
        </w:rPr>
        <w:annotationRef/>
      </w:r>
      <w:r>
        <w:t>CP form rationale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51E" w:rsidRDefault="0002251E">
      <w:r>
        <w:separator/>
      </w:r>
    </w:p>
  </w:endnote>
  <w:endnote w:type="continuationSeparator" w:id="0">
    <w:p w:rsidR="0002251E" w:rsidRDefault="0002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1E" w:rsidRPr="003D26C2" w:rsidRDefault="0002251E">
    <w:pPr>
      <w:pStyle w:val="Footer"/>
      <w:rPr>
        <w:rFonts w:ascii="Verdana" w:hAnsi="Verdana"/>
        <w:sz w:val="16"/>
        <w:szCs w:val="16"/>
      </w:rPr>
    </w:pPr>
    <w:r>
      <w:rPr>
        <w:rFonts w:ascii="Verdana" w:hAnsi="Verdana"/>
        <w:sz w:val="16"/>
        <w:szCs w:val="16"/>
      </w:rPr>
      <w:t>23 January 2015</w:t>
    </w:r>
    <w:r w:rsidRPr="003D26C2">
      <w:rPr>
        <w:rFonts w:ascii="Verdana" w:hAnsi="Verdana"/>
        <w:sz w:val="16"/>
        <w:szCs w:val="16"/>
      </w:rPr>
      <w:t xml:space="preserve"> </w:t>
    </w:r>
    <w:r>
      <w:rPr>
        <w:rFonts w:ascii="Verdana" w:hAnsi="Verdana"/>
        <w:sz w:val="16"/>
        <w:szCs w:val="16"/>
      </w:rPr>
      <w:tab/>
    </w:r>
    <w:r w:rsidRPr="002B045C">
      <w:rPr>
        <w:rFonts w:ascii="Verdana" w:hAnsi="Verdana"/>
        <w:sz w:val="16"/>
        <w:szCs w:val="16"/>
      </w:rPr>
      <w:t xml:space="preserve">Page </w:t>
    </w:r>
    <w:r w:rsidRPr="002B045C">
      <w:rPr>
        <w:rFonts w:ascii="Verdana" w:hAnsi="Verdana"/>
        <w:sz w:val="16"/>
        <w:szCs w:val="16"/>
      </w:rPr>
      <w:fldChar w:fldCharType="begin"/>
    </w:r>
    <w:r w:rsidRPr="002B045C">
      <w:rPr>
        <w:rFonts w:ascii="Verdana" w:hAnsi="Verdana"/>
        <w:sz w:val="16"/>
        <w:szCs w:val="16"/>
      </w:rPr>
      <w:instrText xml:space="preserve"> PAGE </w:instrText>
    </w:r>
    <w:r w:rsidRPr="002B045C">
      <w:rPr>
        <w:rFonts w:ascii="Verdana" w:hAnsi="Verdana"/>
        <w:sz w:val="16"/>
        <w:szCs w:val="16"/>
      </w:rPr>
      <w:fldChar w:fldCharType="separate"/>
    </w:r>
    <w:r w:rsidR="00C26661">
      <w:rPr>
        <w:rFonts w:ascii="Verdana" w:hAnsi="Verdana"/>
        <w:noProof/>
        <w:sz w:val="16"/>
        <w:szCs w:val="16"/>
      </w:rPr>
      <w:t>27</w:t>
    </w:r>
    <w:r w:rsidRPr="002B045C">
      <w:rPr>
        <w:rFonts w:ascii="Verdana" w:hAnsi="Verdana"/>
        <w:sz w:val="16"/>
        <w:szCs w:val="16"/>
      </w:rPr>
      <w:fldChar w:fldCharType="end"/>
    </w:r>
    <w:r w:rsidRPr="002B045C">
      <w:rPr>
        <w:rFonts w:ascii="Verdana" w:hAnsi="Verdana"/>
        <w:sz w:val="16"/>
        <w:szCs w:val="16"/>
      </w:rPr>
      <w:t xml:space="preserve"> of </w:t>
    </w:r>
    <w:r w:rsidRPr="002B045C">
      <w:rPr>
        <w:rFonts w:ascii="Verdana" w:hAnsi="Verdana"/>
        <w:sz w:val="16"/>
        <w:szCs w:val="16"/>
      </w:rPr>
      <w:fldChar w:fldCharType="begin"/>
    </w:r>
    <w:r w:rsidRPr="002B045C">
      <w:rPr>
        <w:rFonts w:ascii="Verdana" w:hAnsi="Verdana"/>
        <w:sz w:val="16"/>
        <w:szCs w:val="16"/>
      </w:rPr>
      <w:instrText xml:space="preserve"> NUMPAGES </w:instrText>
    </w:r>
    <w:r w:rsidRPr="002B045C">
      <w:rPr>
        <w:rFonts w:ascii="Verdana" w:hAnsi="Verdana"/>
        <w:sz w:val="16"/>
        <w:szCs w:val="16"/>
      </w:rPr>
      <w:fldChar w:fldCharType="separate"/>
    </w:r>
    <w:r w:rsidR="00C26661">
      <w:rPr>
        <w:rFonts w:ascii="Verdana" w:hAnsi="Verdana"/>
        <w:noProof/>
        <w:sz w:val="16"/>
        <w:szCs w:val="16"/>
      </w:rPr>
      <w:t>30</w:t>
    </w:r>
    <w:r w:rsidRPr="002B045C">
      <w:rPr>
        <w:rFonts w:ascii="Verdana" w:hAnsi="Verdana"/>
        <w:sz w:val="16"/>
        <w:szCs w:val="16"/>
      </w:rPr>
      <w:fldChar w:fldCharType="end"/>
    </w:r>
    <w:r>
      <w:rPr>
        <w:rFonts w:ascii="Verdana" w:hAnsi="Verdana"/>
        <w:sz w:val="16"/>
        <w:szCs w:val="16"/>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51E" w:rsidRDefault="0002251E">
      <w:r>
        <w:separator/>
      </w:r>
    </w:p>
  </w:footnote>
  <w:footnote w:type="continuationSeparator" w:id="0">
    <w:p w:rsidR="0002251E" w:rsidRDefault="0002251E">
      <w:r>
        <w:continuationSeparator/>
      </w:r>
    </w:p>
  </w:footnote>
  <w:footnote w:id="1">
    <w:p w:rsidR="0002251E" w:rsidRDefault="0002251E">
      <w:pPr>
        <w:pStyle w:val="FootnoteText"/>
      </w:pPr>
      <w:r>
        <w:rPr>
          <w:rStyle w:val="FootnoteReference"/>
        </w:rPr>
        <w:footnoteRef/>
      </w:r>
      <w:r>
        <w:t xml:space="preserve"> </w:t>
      </w:r>
      <w:r>
        <w:rPr>
          <w:rFonts w:ascii="Verdana" w:hAnsi="Verdana"/>
          <w:sz w:val="16"/>
          <w:szCs w:val="16"/>
        </w:rPr>
        <w:t>D</w:t>
      </w:r>
      <w:r w:rsidRPr="001542D8">
        <w:rPr>
          <w:rFonts w:ascii="Verdana" w:hAnsi="Verdana"/>
          <w:sz w:val="16"/>
          <w:szCs w:val="16"/>
        </w:rPr>
        <w:t>CP</w:t>
      </w:r>
      <w:r>
        <w:rPr>
          <w:rFonts w:ascii="Verdana" w:hAnsi="Verdana"/>
          <w:sz w:val="16"/>
          <w:szCs w:val="16"/>
        </w:rPr>
        <w:t xml:space="preserve"> 205</w:t>
      </w:r>
      <w:r w:rsidRPr="001542D8">
        <w:rPr>
          <w:rFonts w:ascii="Verdana" w:hAnsi="Verdana"/>
          <w:sz w:val="16"/>
          <w:szCs w:val="16"/>
        </w:rPr>
        <w:t xml:space="preserve"> has been classified as a Part 1 matter in accordance with Clause 9.5.5 as it is likely to amend the </w:t>
      </w:r>
      <w:r>
        <w:rPr>
          <w:rFonts w:ascii="Verdana" w:hAnsi="Verdana"/>
          <w:sz w:val="16"/>
          <w:szCs w:val="16"/>
        </w:rPr>
        <w:t>Common Connection Charging Methodology set out in Schedule 22</w:t>
      </w:r>
      <w:r w:rsidRPr="001542D8">
        <w:rPr>
          <w:rFonts w:ascii="Verdana" w:hAnsi="Verdana"/>
          <w:sz w:val="16"/>
          <w:szCs w:val="16"/>
        </w:rPr>
        <w:t xml:space="preserve">. </w:t>
      </w:r>
      <w:r>
        <w:rPr>
          <w:rFonts w:ascii="Verdana" w:hAnsi="Verdana"/>
          <w:sz w:val="16"/>
          <w:szCs w:val="16"/>
        </w:rPr>
        <w:t>Once progressed, the</w:t>
      </w:r>
      <w:r w:rsidRPr="001542D8">
        <w:rPr>
          <w:rFonts w:ascii="Verdana" w:hAnsi="Verdana"/>
          <w:sz w:val="16"/>
          <w:szCs w:val="16"/>
        </w:rPr>
        <w:t xml:space="preserve"> CP will</w:t>
      </w:r>
      <w:r>
        <w:rPr>
          <w:rFonts w:ascii="Verdana" w:hAnsi="Verdana"/>
          <w:sz w:val="16"/>
          <w:szCs w:val="16"/>
        </w:rPr>
        <w:t xml:space="preserve"> </w:t>
      </w:r>
      <w:r w:rsidRPr="001542D8">
        <w:rPr>
          <w:rFonts w:ascii="Verdana" w:hAnsi="Verdana"/>
          <w:sz w:val="16"/>
          <w:szCs w:val="16"/>
        </w:rPr>
        <w:t>require Authority consent.</w:t>
      </w:r>
    </w:p>
  </w:footnote>
  <w:footnote w:id="2">
    <w:p w:rsidR="0002251E" w:rsidRDefault="0002251E">
      <w:pPr>
        <w:pStyle w:val="FootnoteText"/>
      </w:pPr>
      <w:r>
        <w:rPr>
          <w:rStyle w:val="FootnoteReference"/>
        </w:rPr>
        <w:footnoteRef/>
      </w:r>
      <w:r>
        <w:t xml:space="preserve"> Indicative decision date based on the 25 Working Day KPI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1E" w:rsidRPr="003D26C2" w:rsidRDefault="0002251E">
    <w:pPr>
      <w:pStyle w:val="Header"/>
      <w:rPr>
        <w:rFonts w:ascii="Verdana" w:hAnsi="Verdana"/>
        <w:sz w:val="16"/>
        <w:szCs w:val="16"/>
      </w:rPr>
    </w:pPr>
    <w:r w:rsidRPr="003D26C2">
      <w:rPr>
        <w:rFonts w:ascii="Verdana" w:hAnsi="Verdana"/>
        <w:sz w:val="16"/>
        <w:szCs w:val="16"/>
      </w:rPr>
      <w:t xml:space="preserve">DCP </w:t>
    </w:r>
    <w:r>
      <w:rPr>
        <w:rFonts w:ascii="Verdana" w:hAnsi="Verdana"/>
        <w:sz w:val="16"/>
        <w:szCs w:val="16"/>
      </w:rPr>
      <w:t>205</w:t>
    </w:r>
    <w:r w:rsidRPr="003D26C2">
      <w:rPr>
        <w:rFonts w:ascii="Verdana" w:hAnsi="Verdana"/>
        <w:sz w:val="16"/>
        <w:szCs w:val="16"/>
      </w:rPr>
      <w:tab/>
    </w:r>
    <w:r w:rsidRPr="003D26C2">
      <w:rPr>
        <w:rFonts w:ascii="Verdana" w:hAnsi="Verdana"/>
        <w:sz w:val="16"/>
        <w:szCs w:val="16"/>
      </w:rPr>
      <w:tab/>
    </w:r>
    <w:r>
      <w:rPr>
        <w:rFonts w:ascii="Verdana" w:hAnsi="Verdana"/>
        <w:sz w:val="16"/>
        <w:szCs w:val="16"/>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4E7331"/>
    <w:multiLevelType w:val="hybridMultilevel"/>
    <w:tmpl w:val="DD2EE028"/>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
    <w:nsid w:val="098F71B9"/>
    <w:multiLevelType w:val="hybridMultilevel"/>
    <w:tmpl w:val="DD2EE028"/>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
    <w:nsid w:val="0DEF33A2"/>
    <w:multiLevelType w:val="hybridMultilevel"/>
    <w:tmpl w:val="1A42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F46E30"/>
    <w:multiLevelType w:val="multilevel"/>
    <w:tmpl w:val="766A4F9E"/>
    <w:lvl w:ilvl="0">
      <w:start w:val="1"/>
      <w:numFmt w:val="decimal"/>
      <w:lvlText w:val="%1"/>
      <w:lvlJc w:val="left"/>
      <w:pPr>
        <w:tabs>
          <w:tab w:val="num" w:pos="567"/>
        </w:tabs>
        <w:ind w:left="567" w:hanging="567"/>
      </w:pPr>
      <w:rPr>
        <w:rFonts w:ascii="Calibri" w:hAnsi="Calibri" w:cs="Times New Roman" w:hint="default"/>
        <w:sz w:val="24"/>
      </w:rPr>
    </w:lvl>
    <w:lvl w:ilvl="1">
      <w:start w:val="1"/>
      <w:numFmt w:val="decimal"/>
      <w:lvlText w:val="%1.%2"/>
      <w:lvlJc w:val="left"/>
      <w:pPr>
        <w:tabs>
          <w:tab w:val="num" w:pos="567"/>
        </w:tabs>
        <w:ind w:left="567" w:hanging="567"/>
      </w:pPr>
      <w:rPr>
        <w:rFonts w:ascii="Calibri" w:hAnsi="Calibri" w:cs="Times New Roman" w:hint="default"/>
        <w:sz w:val="24"/>
      </w:rPr>
    </w:lvl>
    <w:lvl w:ilvl="2">
      <w:start w:val="1"/>
      <w:numFmt w:val="decimal"/>
      <w:lvlText w:val="%1.%2.%3"/>
      <w:lvlJc w:val="left"/>
      <w:pPr>
        <w:tabs>
          <w:tab w:val="num" w:pos="567"/>
        </w:tabs>
        <w:ind w:left="567" w:hanging="567"/>
      </w:pPr>
      <w:rPr>
        <w:rFonts w:ascii="Calibri" w:hAnsi="Calibri" w:cs="Times New Roman"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rPr>
        <w:rFonts w:ascii="Symbol" w:hAnsi="Symbol" w:hint="default"/>
        <w:color w:val="auto"/>
      </w:rPr>
    </w:lvl>
    <w:lvl w:ilvl="5">
      <w:start w:val="1"/>
      <w:numFmt w:val="lowerRoman"/>
      <w:lvlText w:val="(%6)"/>
      <w:lvlJc w:val="lef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6">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cs="Times New Roman" w:hint="default"/>
        <w:sz w:val="24"/>
      </w:rPr>
    </w:lvl>
    <w:lvl w:ilvl="1">
      <w:start w:val="1"/>
      <w:numFmt w:val="decimal"/>
      <w:pStyle w:val="GSBodyParawithnumb"/>
      <w:lvlText w:val="%1.%2"/>
      <w:lvlJc w:val="left"/>
      <w:pPr>
        <w:tabs>
          <w:tab w:val="num" w:pos="567"/>
        </w:tabs>
        <w:ind w:left="567" w:hanging="567"/>
      </w:pPr>
      <w:rPr>
        <w:rFonts w:ascii="Calibri" w:hAnsi="Calibri" w:cs="Times New Roman" w:hint="default"/>
        <w:sz w:val="24"/>
      </w:rPr>
    </w:lvl>
    <w:lvl w:ilvl="2">
      <w:start w:val="1"/>
      <w:numFmt w:val="decimal"/>
      <w:lvlText w:val="%1.%2.%3"/>
      <w:lvlJc w:val="left"/>
      <w:pPr>
        <w:tabs>
          <w:tab w:val="num" w:pos="567"/>
        </w:tabs>
        <w:ind w:left="567" w:hanging="567"/>
      </w:pPr>
      <w:rPr>
        <w:rFonts w:ascii="Calibri" w:hAnsi="Calibri" w:cs="Times New Roman"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rPr>
        <w:rFonts w:ascii="Symbol" w:hAnsi="Symbol" w:hint="default"/>
        <w:color w:val="auto"/>
      </w:rPr>
    </w:lvl>
    <w:lvl w:ilvl="5">
      <w:start w:val="1"/>
      <w:numFmt w:val="lowerRoman"/>
      <w:lvlText w:val="(%6)"/>
      <w:lvlJc w:val="left"/>
      <w:pPr>
        <w:tabs>
          <w:tab w:val="num" w:pos="567"/>
        </w:tabs>
        <w:ind w:left="567" w:hanging="567"/>
      </w:pPr>
      <w:rPr>
        <w:rFonts w:cs="Times New Roman" w:hint="default"/>
      </w:rPr>
    </w:lvl>
    <w:lvl w:ilvl="6">
      <w:start w:val="1"/>
      <w:numFmt w:val="decimal"/>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7">
    <w:nsid w:val="1B3D1906"/>
    <w:multiLevelType w:val="hybridMultilevel"/>
    <w:tmpl w:val="85E6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B51C7E"/>
    <w:multiLevelType w:val="multilevel"/>
    <w:tmpl w:val="9C98F110"/>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20" w:hanging="720"/>
      </w:pPr>
      <w:rPr>
        <w:rFonts w:asciiTheme="minorHAnsi" w:hAnsiTheme="minorHAnsi"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C4A78A6"/>
    <w:multiLevelType w:val="hybridMultilevel"/>
    <w:tmpl w:val="AD9E3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9056EE"/>
    <w:multiLevelType w:val="hybridMultilevel"/>
    <w:tmpl w:val="7C70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E03467"/>
    <w:multiLevelType w:val="hybridMultilevel"/>
    <w:tmpl w:val="22E40B1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230D6523"/>
    <w:multiLevelType w:val="hybridMultilevel"/>
    <w:tmpl w:val="725C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972BBB"/>
    <w:multiLevelType w:val="hybridMultilevel"/>
    <w:tmpl w:val="9D5C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FA4B45"/>
    <w:multiLevelType w:val="hybridMultilevel"/>
    <w:tmpl w:val="DF1C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D35B7E"/>
    <w:multiLevelType w:val="hybridMultilevel"/>
    <w:tmpl w:val="8320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115DBB"/>
    <w:multiLevelType w:val="multilevel"/>
    <w:tmpl w:val="3E6C3BD8"/>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asciiTheme="minorHAnsi" w:hAnsiTheme="minorHAnsi"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79C20A9"/>
    <w:multiLevelType w:val="hybridMultilevel"/>
    <w:tmpl w:val="64EA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C35D1A"/>
    <w:multiLevelType w:val="hybridMultilevel"/>
    <w:tmpl w:val="D1A4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D90A53"/>
    <w:multiLevelType w:val="hybridMultilevel"/>
    <w:tmpl w:val="84A0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10671B"/>
    <w:multiLevelType w:val="hybridMultilevel"/>
    <w:tmpl w:val="A770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333AC0"/>
    <w:multiLevelType w:val="multilevel"/>
    <w:tmpl w:val="8C089658"/>
    <w:lvl w:ilvl="0">
      <w:start w:val="1"/>
      <w:numFmt w:val="decimal"/>
      <w:lvlText w:val="%1"/>
      <w:lvlJc w:val="left"/>
      <w:pPr>
        <w:tabs>
          <w:tab w:val="num" w:pos="432"/>
        </w:tabs>
        <w:ind w:left="432" w:hanging="432"/>
      </w:pPr>
      <w:rPr>
        <w:rFonts w:cs="Times New Roman"/>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nsid w:val="47EA137F"/>
    <w:multiLevelType w:val="hybridMultilevel"/>
    <w:tmpl w:val="AE64E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27278D"/>
    <w:multiLevelType w:val="multilevel"/>
    <w:tmpl w:val="0FB62910"/>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i w:val="0"/>
        <w:caps w:val="0"/>
        <w:smallCaps w:val="0"/>
        <w:strike w:val="0"/>
        <w:dstrike w:val="0"/>
        <w:color w:val="auto"/>
        <w:spacing w:val="0"/>
        <w:w w:val="100"/>
        <w:kern w:val="0"/>
        <w:position w:val="0"/>
        <w:sz w:val="20"/>
        <w:u w:val="none"/>
        <w:effect w:val="none"/>
      </w:rPr>
    </w:lvl>
    <w:lvl w:ilvl="2">
      <w:start w:val="1"/>
      <w:numFmt w:val="decimal"/>
      <w:lvlText w:val="%3."/>
      <w:lvlJc w:val="left"/>
      <w:pPr>
        <w:tabs>
          <w:tab w:val="num" w:pos="720"/>
        </w:tabs>
        <w:ind w:left="720" w:hanging="720"/>
      </w:pPr>
      <w:rPr>
        <w:rFonts w:ascii="Times New Roman" w:hAnsi="Times New Roman" w:cs="Times New Roman" w:hint="default"/>
        <w:b w:val="0"/>
        <w:i w:val="0"/>
        <w:vanish w:val="0"/>
        <w:sz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4F900EC9"/>
    <w:multiLevelType w:val="hybridMultilevel"/>
    <w:tmpl w:val="EC286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20006D0"/>
    <w:multiLevelType w:val="hybridMultilevel"/>
    <w:tmpl w:val="5358E79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8C25A0"/>
    <w:multiLevelType w:val="hybridMultilevel"/>
    <w:tmpl w:val="510C8D56"/>
    <w:lvl w:ilvl="0" w:tplc="453C7188">
      <w:start w:val="1"/>
      <w:numFmt w:val="decimal"/>
      <w:lvlText w:val="%1."/>
      <w:lvlJc w:val="left"/>
      <w:pPr>
        <w:ind w:left="1287" w:hanging="360"/>
      </w:pPr>
      <w:rPr>
        <w:rFonts w:ascii="Times New Roman" w:hAnsi="Times New Roman" w:cs="Times New Roman" w:hint="default"/>
        <w:b w:val="0"/>
        <w:i w:val="0"/>
        <w:vanish w:val="0"/>
        <w:sz w:val="24"/>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7">
    <w:nsid w:val="5648503D"/>
    <w:multiLevelType w:val="hybridMultilevel"/>
    <w:tmpl w:val="DD2EE028"/>
    <w:lvl w:ilvl="0" w:tplc="08090017">
      <w:start w:val="1"/>
      <w:numFmt w:val="lowerLetter"/>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8">
    <w:nsid w:val="575D559E"/>
    <w:multiLevelType w:val="multilevel"/>
    <w:tmpl w:val="002E5EC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BD126D5"/>
    <w:multiLevelType w:val="hybridMultilevel"/>
    <w:tmpl w:val="DF1C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A1D84"/>
    <w:multiLevelType w:val="hybridMultilevel"/>
    <w:tmpl w:val="6FD6F56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761118"/>
    <w:multiLevelType w:val="hybridMultilevel"/>
    <w:tmpl w:val="1EBEA874"/>
    <w:lvl w:ilvl="0" w:tplc="DDEEA466">
      <w:start w:val="5"/>
      <w:numFmt w:val="bullet"/>
      <w:lvlText w:val="-"/>
      <w:lvlJc w:val="left"/>
      <w:pPr>
        <w:ind w:left="1494" w:hanging="360"/>
      </w:pPr>
      <w:rPr>
        <w:rFonts w:ascii="Calibri" w:eastAsia="Times New Roman" w:hAnsi="Calibri" w:cs="Verdana"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33">
    <w:nsid w:val="6A4E7EAE"/>
    <w:multiLevelType w:val="multilevel"/>
    <w:tmpl w:val="8420516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asciiTheme="minorHAnsi" w:hAnsiTheme="minorHAnsi"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6E660AAD"/>
    <w:multiLevelType w:val="hybridMultilevel"/>
    <w:tmpl w:val="9448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A85D45"/>
    <w:multiLevelType w:val="hybridMultilevel"/>
    <w:tmpl w:val="EDB49928"/>
    <w:lvl w:ilvl="0" w:tplc="DDEEA466">
      <w:start w:val="5"/>
      <w:numFmt w:val="bullet"/>
      <w:lvlText w:val="-"/>
      <w:lvlJc w:val="left"/>
      <w:pPr>
        <w:ind w:left="1494" w:hanging="360"/>
      </w:pPr>
      <w:rPr>
        <w:rFonts w:ascii="Calibri" w:eastAsia="Times New Roman"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787C9C"/>
    <w:multiLevelType w:val="multilevel"/>
    <w:tmpl w:val="3E6C3BD8"/>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asciiTheme="minorHAnsi" w:hAnsiTheme="minorHAnsi"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EE74930"/>
    <w:multiLevelType w:val="hybridMultilevel"/>
    <w:tmpl w:val="1B02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0C44F8"/>
    <w:multiLevelType w:val="hybridMultilevel"/>
    <w:tmpl w:val="312E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1"/>
  </w:num>
  <w:num w:numId="4">
    <w:abstractNumId w:val="32"/>
  </w:num>
  <w:num w:numId="5">
    <w:abstractNumId w:val="25"/>
  </w:num>
  <w:num w:numId="6">
    <w:abstractNumId w:val="30"/>
  </w:num>
  <w:num w:numId="7">
    <w:abstractNumId w:val="33"/>
  </w:num>
  <w:num w:numId="8">
    <w:abstractNumId w:val="5"/>
  </w:num>
  <w:num w:numId="9">
    <w:abstractNumId w:val="6"/>
  </w:num>
  <w:num w:numId="10">
    <w:abstractNumId w:val="11"/>
  </w:num>
  <w:num w:numId="11">
    <w:abstractNumId w:val="26"/>
  </w:num>
  <w:num w:numId="12">
    <w:abstractNumId w:val="23"/>
  </w:num>
  <w:num w:numId="13">
    <w:abstractNumId w:val="18"/>
  </w:num>
  <w:num w:numId="14">
    <w:abstractNumId w:val="38"/>
  </w:num>
  <w:num w:numId="15">
    <w:abstractNumId w:val="7"/>
  </w:num>
  <w:num w:numId="16">
    <w:abstractNumId w:val="2"/>
  </w:num>
  <w:num w:numId="17">
    <w:abstractNumId w:val="27"/>
  </w:num>
  <w:num w:numId="18">
    <w:abstractNumId w:val="8"/>
  </w:num>
  <w:num w:numId="19">
    <w:abstractNumId w:val="31"/>
  </w:num>
  <w:num w:numId="20">
    <w:abstractNumId w:val="24"/>
  </w:num>
  <w:num w:numId="21">
    <w:abstractNumId w:val="3"/>
  </w:num>
  <w:num w:numId="22">
    <w:abstractNumId w:val="14"/>
  </w:num>
  <w:num w:numId="23">
    <w:abstractNumId w:val="29"/>
  </w:num>
  <w:num w:numId="24">
    <w:abstractNumId w:val="19"/>
  </w:num>
  <w:num w:numId="25">
    <w:abstractNumId w:val="35"/>
  </w:num>
  <w:num w:numId="26">
    <w:abstractNumId w:val="22"/>
  </w:num>
  <w:num w:numId="27">
    <w:abstractNumId w:val="12"/>
  </w:num>
  <w:num w:numId="28">
    <w:abstractNumId w:val="16"/>
  </w:num>
  <w:num w:numId="29">
    <w:abstractNumId w:val="36"/>
  </w:num>
  <w:num w:numId="30">
    <w:abstractNumId w:val="28"/>
  </w:num>
  <w:num w:numId="31">
    <w:abstractNumId w:val="1"/>
  </w:num>
  <w:num w:numId="32">
    <w:abstractNumId w:val="37"/>
  </w:num>
  <w:num w:numId="33">
    <w:abstractNumId w:val="4"/>
  </w:num>
  <w:num w:numId="34">
    <w:abstractNumId w:val="20"/>
  </w:num>
  <w:num w:numId="35">
    <w:abstractNumId w:val="9"/>
    <w:lvlOverride w:ilvl="0"/>
    <w:lvlOverride w:ilvl="1"/>
    <w:lvlOverride w:ilvl="2"/>
    <w:lvlOverride w:ilvl="3"/>
    <w:lvlOverride w:ilvl="4"/>
    <w:lvlOverride w:ilvl="5"/>
    <w:lvlOverride w:ilvl="6"/>
    <w:lvlOverride w:ilvl="7"/>
    <w:lvlOverride w:ilvl="8"/>
  </w:num>
  <w:num w:numId="36">
    <w:abstractNumId w:val="17"/>
  </w:num>
  <w:num w:numId="37">
    <w:abstractNumId w:val="13"/>
  </w:num>
  <w:num w:numId="38">
    <w:abstractNumId w:val="34"/>
  </w:num>
  <w:num w:numId="39">
    <w:abstractNumId w:val="15"/>
  </w:num>
  <w:num w:numId="4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EB5"/>
    <w:rsid w:val="0000122A"/>
    <w:rsid w:val="00001E06"/>
    <w:rsid w:val="0000238B"/>
    <w:rsid w:val="00002C38"/>
    <w:rsid w:val="00002D4B"/>
    <w:rsid w:val="00003806"/>
    <w:rsid w:val="00003D34"/>
    <w:rsid w:val="0000421C"/>
    <w:rsid w:val="000046FB"/>
    <w:rsid w:val="0000606B"/>
    <w:rsid w:val="00006113"/>
    <w:rsid w:val="00006E06"/>
    <w:rsid w:val="000076FC"/>
    <w:rsid w:val="00007AD7"/>
    <w:rsid w:val="00010A51"/>
    <w:rsid w:val="000114A5"/>
    <w:rsid w:val="00011DDD"/>
    <w:rsid w:val="0001483C"/>
    <w:rsid w:val="00015B39"/>
    <w:rsid w:val="00015E2C"/>
    <w:rsid w:val="00016053"/>
    <w:rsid w:val="00016E5C"/>
    <w:rsid w:val="00016ECB"/>
    <w:rsid w:val="0002057D"/>
    <w:rsid w:val="00020A4E"/>
    <w:rsid w:val="00021891"/>
    <w:rsid w:val="00021E03"/>
    <w:rsid w:val="0002251E"/>
    <w:rsid w:val="000226BD"/>
    <w:rsid w:val="000244AC"/>
    <w:rsid w:val="00025B24"/>
    <w:rsid w:val="00026160"/>
    <w:rsid w:val="00030B15"/>
    <w:rsid w:val="00030C70"/>
    <w:rsid w:val="000325CB"/>
    <w:rsid w:val="00032705"/>
    <w:rsid w:val="00032DBA"/>
    <w:rsid w:val="00033919"/>
    <w:rsid w:val="00033AB7"/>
    <w:rsid w:val="0003441E"/>
    <w:rsid w:val="00034F41"/>
    <w:rsid w:val="00035797"/>
    <w:rsid w:val="00035A07"/>
    <w:rsid w:val="0003615B"/>
    <w:rsid w:val="00037720"/>
    <w:rsid w:val="0003774D"/>
    <w:rsid w:val="000402DF"/>
    <w:rsid w:val="00040CE3"/>
    <w:rsid w:val="00041435"/>
    <w:rsid w:val="00041510"/>
    <w:rsid w:val="00043256"/>
    <w:rsid w:val="00043457"/>
    <w:rsid w:val="000434ED"/>
    <w:rsid w:val="000452CD"/>
    <w:rsid w:val="000458B8"/>
    <w:rsid w:val="00045F1C"/>
    <w:rsid w:val="000463C4"/>
    <w:rsid w:val="0004654A"/>
    <w:rsid w:val="00046E76"/>
    <w:rsid w:val="00047450"/>
    <w:rsid w:val="00047A50"/>
    <w:rsid w:val="00047BF5"/>
    <w:rsid w:val="00050019"/>
    <w:rsid w:val="000512B2"/>
    <w:rsid w:val="00051BF9"/>
    <w:rsid w:val="00051C9B"/>
    <w:rsid w:val="00052461"/>
    <w:rsid w:val="00052ABA"/>
    <w:rsid w:val="00052B0F"/>
    <w:rsid w:val="00052FE1"/>
    <w:rsid w:val="000534E6"/>
    <w:rsid w:val="00055A21"/>
    <w:rsid w:val="00057546"/>
    <w:rsid w:val="00057986"/>
    <w:rsid w:val="00057AA3"/>
    <w:rsid w:val="00057C02"/>
    <w:rsid w:val="00060D57"/>
    <w:rsid w:val="00062E05"/>
    <w:rsid w:val="000631AB"/>
    <w:rsid w:val="00064070"/>
    <w:rsid w:val="0006423B"/>
    <w:rsid w:val="00065571"/>
    <w:rsid w:val="00066BED"/>
    <w:rsid w:val="0006721C"/>
    <w:rsid w:val="000673AA"/>
    <w:rsid w:val="00067E59"/>
    <w:rsid w:val="00070763"/>
    <w:rsid w:val="000719B7"/>
    <w:rsid w:val="00074085"/>
    <w:rsid w:val="00074D6B"/>
    <w:rsid w:val="0007515B"/>
    <w:rsid w:val="00075B03"/>
    <w:rsid w:val="000766C9"/>
    <w:rsid w:val="000769B2"/>
    <w:rsid w:val="00077325"/>
    <w:rsid w:val="00077334"/>
    <w:rsid w:val="00077503"/>
    <w:rsid w:val="00077657"/>
    <w:rsid w:val="000819CE"/>
    <w:rsid w:val="0008486C"/>
    <w:rsid w:val="000852FC"/>
    <w:rsid w:val="00085602"/>
    <w:rsid w:val="00085643"/>
    <w:rsid w:val="00086A69"/>
    <w:rsid w:val="00087BB7"/>
    <w:rsid w:val="00090753"/>
    <w:rsid w:val="00090CD7"/>
    <w:rsid w:val="00090F88"/>
    <w:rsid w:val="00090FE5"/>
    <w:rsid w:val="0009145C"/>
    <w:rsid w:val="00091A19"/>
    <w:rsid w:val="00091A6E"/>
    <w:rsid w:val="00092C25"/>
    <w:rsid w:val="000931CB"/>
    <w:rsid w:val="0009364B"/>
    <w:rsid w:val="00094445"/>
    <w:rsid w:val="00094523"/>
    <w:rsid w:val="000946A4"/>
    <w:rsid w:val="0009498F"/>
    <w:rsid w:val="00094A66"/>
    <w:rsid w:val="00095A2E"/>
    <w:rsid w:val="00095B4D"/>
    <w:rsid w:val="00095E4B"/>
    <w:rsid w:val="00096059"/>
    <w:rsid w:val="00096987"/>
    <w:rsid w:val="000A13F4"/>
    <w:rsid w:val="000A424F"/>
    <w:rsid w:val="000A4465"/>
    <w:rsid w:val="000A4DA6"/>
    <w:rsid w:val="000A5340"/>
    <w:rsid w:val="000A5464"/>
    <w:rsid w:val="000A6CD4"/>
    <w:rsid w:val="000A725A"/>
    <w:rsid w:val="000A740B"/>
    <w:rsid w:val="000A763A"/>
    <w:rsid w:val="000A763C"/>
    <w:rsid w:val="000B01F5"/>
    <w:rsid w:val="000B1253"/>
    <w:rsid w:val="000B1307"/>
    <w:rsid w:val="000B1872"/>
    <w:rsid w:val="000B1ED1"/>
    <w:rsid w:val="000B215E"/>
    <w:rsid w:val="000B2BEC"/>
    <w:rsid w:val="000B3029"/>
    <w:rsid w:val="000B3041"/>
    <w:rsid w:val="000B36F0"/>
    <w:rsid w:val="000B55A7"/>
    <w:rsid w:val="000B5EC7"/>
    <w:rsid w:val="000B5FD3"/>
    <w:rsid w:val="000B62C2"/>
    <w:rsid w:val="000B6478"/>
    <w:rsid w:val="000C0176"/>
    <w:rsid w:val="000C0605"/>
    <w:rsid w:val="000C0CB2"/>
    <w:rsid w:val="000C1A46"/>
    <w:rsid w:val="000C1F3F"/>
    <w:rsid w:val="000C29F8"/>
    <w:rsid w:val="000C2D55"/>
    <w:rsid w:val="000C2F16"/>
    <w:rsid w:val="000C3D4D"/>
    <w:rsid w:val="000C4A56"/>
    <w:rsid w:val="000C617B"/>
    <w:rsid w:val="000C64A7"/>
    <w:rsid w:val="000C7200"/>
    <w:rsid w:val="000C7616"/>
    <w:rsid w:val="000C777D"/>
    <w:rsid w:val="000C7891"/>
    <w:rsid w:val="000C7D3C"/>
    <w:rsid w:val="000C7DE7"/>
    <w:rsid w:val="000C7E72"/>
    <w:rsid w:val="000C7F94"/>
    <w:rsid w:val="000D0909"/>
    <w:rsid w:val="000D0AD5"/>
    <w:rsid w:val="000D1051"/>
    <w:rsid w:val="000D1B8C"/>
    <w:rsid w:val="000D259C"/>
    <w:rsid w:val="000D2F06"/>
    <w:rsid w:val="000D3975"/>
    <w:rsid w:val="000D4F84"/>
    <w:rsid w:val="000E0234"/>
    <w:rsid w:val="000E1065"/>
    <w:rsid w:val="000E1164"/>
    <w:rsid w:val="000E16C4"/>
    <w:rsid w:val="000E1AB1"/>
    <w:rsid w:val="000E1ED0"/>
    <w:rsid w:val="000E2169"/>
    <w:rsid w:val="000E28B9"/>
    <w:rsid w:val="000E4441"/>
    <w:rsid w:val="000E4A5D"/>
    <w:rsid w:val="000E4AFB"/>
    <w:rsid w:val="000E6582"/>
    <w:rsid w:val="000F03C7"/>
    <w:rsid w:val="000F0403"/>
    <w:rsid w:val="000F0F75"/>
    <w:rsid w:val="000F3C38"/>
    <w:rsid w:val="000F3F2F"/>
    <w:rsid w:val="000F4541"/>
    <w:rsid w:val="000F460E"/>
    <w:rsid w:val="000F465A"/>
    <w:rsid w:val="000F4B61"/>
    <w:rsid w:val="000F50E1"/>
    <w:rsid w:val="000F53C0"/>
    <w:rsid w:val="000F59A3"/>
    <w:rsid w:val="000F6908"/>
    <w:rsid w:val="000F6DB8"/>
    <w:rsid w:val="000F754D"/>
    <w:rsid w:val="000F7959"/>
    <w:rsid w:val="00100649"/>
    <w:rsid w:val="0010083B"/>
    <w:rsid w:val="00100E0C"/>
    <w:rsid w:val="00101045"/>
    <w:rsid w:val="001035BE"/>
    <w:rsid w:val="0010370C"/>
    <w:rsid w:val="0010440D"/>
    <w:rsid w:val="001047C9"/>
    <w:rsid w:val="0010544B"/>
    <w:rsid w:val="00105C9F"/>
    <w:rsid w:val="00106555"/>
    <w:rsid w:val="00106663"/>
    <w:rsid w:val="00106A4D"/>
    <w:rsid w:val="0010745E"/>
    <w:rsid w:val="0011015C"/>
    <w:rsid w:val="00110F31"/>
    <w:rsid w:val="001121E7"/>
    <w:rsid w:val="0011229A"/>
    <w:rsid w:val="001122EE"/>
    <w:rsid w:val="001142DE"/>
    <w:rsid w:val="001142E1"/>
    <w:rsid w:val="00114315"/>
    <w:rsid w:val="00114EDD"/>
    <w:rsid w:val="00115BFB"/>
    <w:rsid w:val="00115CAB"/>
    <w:rsid w:val="001173C3"/>
    <w:rsid w:val="00120408"/>
    <w:rsid w:val="00120B60"/>
    <w:rsid w:val="00120DB4"/>
    <w:rsid w:val="00121111"/>
    <w:rsid w:val="00121582"/>
    <w:rsid w:val="00123AB8"/>
    <w:rsid w:val="00124EA6"/>
    <w:rsid w:val="00126360"/>
    <w:rsid w:val="001278AC"/>
    <w:rsid w:val="001302D8"/>
    <w:rsid w:val="0013198C"/>
    <w:rsid w:val="00131A84"/>
    <w:rsid w:val="00133025"/>
    <w:rsid w:val="001331A5"/>
    <w:rsid w:val="00134FE5"/>
    <w:rsid w:val="00141471"/>
    <w:rsid w:val="0014182E"/>
    <w:rsid w:val="0014227F"/>
    <w:rsid w:val="00143794"/>
    <w:rsid w:val="001446E7"/>
    <w:rsid w:val="001448C0"/>
    <w:rsid w:val="00150B07"/>
    <w:rsid w:val="00153D42"/>
    <w:rsid w:val="001542D8"/>
    <w:rsid w:val="001562F2"/>
    <w:rsid w:val="0015687E"/>
    <w:rsid w:val="001603A6"/>
    <w:rsid w:val="00160541"/>
    <w:rsid w:val="00162540"/>
    <w:rsid w:val="00162573"/>
    <w:rsid w:val="001628BB"/>
    <w:rsid w:val="001642E2"/>
    <w:rsid w:val="0016469C"/>
    <w:rsid w:val="00164F2E"/>
    <w:rsid w:val="00165484"/>
    <w:rsid w:val="00165C23"/>
    <w:rsid w:val="00165D44"/>
    <w:rsid w:val="00165EDE"/>
    <w:rsid w:val="00167B25"/>
    <w:rsid w:val="00170F5B"/>
    <w:rsid w:val="0017122A"/>
    <w:rsid w:val="0017193F"/>
    <w:rsid w:val="00171DB4"/>
    <w:rsid w:val="001727B9"/>
    <w:rsid w:val="00172B80"/>
    <w:rsid w:val="00174114"/>
    <w:rsid w:val="00174757"/>
    <w:rsid w:val="00175C50"/>
    <w:rsid w:val="00176273"/>
    <w:rsid w:val="00177C08"/>
    <w:rsid w:val="00180BDD"/>
    <w:rsid w:val="00181353"/>
    <w:rsid w:val="00182170"/>
    <w:rsid w:val="00182A8A"/>
    <w:rsid w:val="00184BB5"/>
    <w:rsid w:val="00185503"/>
    <w:rsid w:val="00186A02"/>
    <w:rsid w:val="001904D5"/>
    <w:rsid w:val="00190AE8"/>
    <w:rsid w:val="00190F09"/>
    <w:rsid w:val="00190F90"/>
    <w:rsid w:val="001924CB"/>
    <w:rsid w:val="00192A90"/>
    <w:rsid w:val="00194CB7"/>
    <w:rsid w:val="0019619B"/>
    <w:rsid w:val="00196693"/>
    <w:rsid w:val="00196C50"/>
    <w:rsid w:val="0019772B"/>
    <w:rsid w:val="001A0132"/>
    <w:rsid w:val="001A052C"/>
    <w:rsid w:val="001A132B"/>
    <w:rsid w:val="001A1377"/>
    <w:rsid w:val="001A140F"/>
    <w:rsid w:val="001A1DC1"/>
    <w:rsid w:val="001A271E"/>
    <w:rsid w:val="001A4116"/>
    <w:rsid w:val="001A4582"/>
    <w:rsid w:val="001A4C25"/>
    <w:rsid w:val="001A4C57"/>
    <w:rsid w:val="001A6DF4"/>
    <w:rsid w:val="001A75E0"/>
    <w:rsid w:val="001B0469"/>
    <w:rsid w:val="001B1008"/>
    <w:rsid w:val="001B19B9"/>
    <w:rsid w:val="001B2C55"/>
    <w:rsid w:val="001B37C9"/>
    <w:rsid w:val="001B3FD7"/>
    <w:rsid w:val="001B3FEC"/>
    <w:rsid w:val="001B4A4B"/>
    <w:rsid w:val="001B4ECB"/>
    <w:rsid w:val="001B55AA"/>
    <w:rsid w:val="001B5C80"/>
    <w:rsid w:val="001B6D00"/>
    <w:rsid w:val="001B6E10"/>
    <w:rsid w:val="001B7665"/>
    <w:rsid w:val="001B7821"/>
    <w:rsid w:val="001B7A73"/>
    <w:rsid w:val="001B7EA9"/>
    <w:rsid w:val="001C0A82"/>
    <w:rsid w:val="001C15F5"/>
    <w:rsid w:val="001C2C0D"/>
    <w:rsid w:val="001C39C7"/>
    <w:rsid w:val="001C48F1"/>
    <w:rsid w:val="001C4BC7"/>
    <w:rsid w:val="001C53FC"/>
    <w:rsid w:val="001C7326"/>
    <w:rsid w:val="001C7F91"/>
    <w:rsid w:val="001D07F2"/>
    <w:rsid w:val="001D152B"/>
    <w:rsid w:val="001D1E76"/>
    <w:rsid w:val="001D2398"/>
    <w:rsid w:val="001D2D17"/>
    <w:rsid w:val="001D5A4A"/>
    <w:rsid w:val="001D6ADA"/>
    <w:rsid w:val="001D7BAA"/>
    <w:rsid w:val="001D7EBD"/>
    <w:rsid w:val="001E00CF"/>
    <w:rsid w:val="001E08C3"/>
    <w:rsid w:val="001E0A86"/>
    <w:rsid w:val="001E0B25"/>
    <w:rsid w:val="001E0C9E"/>
    <w:rsid w:val="001E1D36"/>
    <w:rsid w:val="001E1F23"/>
    <w:rsid w:val="001E33D7"/>
    <w:rsid w:val="001E43DA"/>
    <w:rsid w:val="001E47CE"/>
    <w:rsid w:val="001E47D4"/>
    <w:rsid w:val="001E71F8"/>
    <w:rsid w:val="001F1E9E"/>
    <w:rsid w:val="001F231D"/>
    <w:rsid w:val="001F3CB1"/>
    <w:rsid w:val="001F513B"/>
    <w:rsid w:val="001F59FD"/>
    <w:rsid w:val="001F73B3"/>
    <w:rsid w:val="001F74D7"/>
    <w:rsid w:val="001F7E57"/>
    <w:rsid w:val="00200109"/>
    <w:rsid w:val="002004A1"/>
    <w:rsid w:val="00201097"/>
    <w:rsid w:val="002012FA"/>
    <w:rsid w:val="00201EEF"/>
    <w:rsid w:val="00204AA8"/>
    <w:rsid w:val="00205B6A"/>
    <w:rsid w:val="00205DC2"/>
    <w:rsid w:val="00206480"/>
    <w:rsid w:val="00207E04"/>
    <w:rsid w:val="00207F0A"/>
    <w:rsid w:val="00210E92"/>
    <w:rsid w:val="002117E4"/>
    <w:rsid w:val="00212800"/>
    <w:rsid w:val="00212E0B"/>
    <w:rsid w:val="002132F5"/>
    <w:rsid w:val="00213F81"/>
    <w:rsid w:val="00214286"/>
    <w:rsid w:val="00214C0C"/>
    <w:rsid w:val="0021538B"/>
    <w:rsid w:val="002157DB"/>
    <w:rsid w:val="0021586E"/>
    <w:rsid w:val="00220A9C"/>
    <w:rsid w:val="002216D2"/>
    <w:rsid w:val="00221EC8"/>
    <w:rsid w:val="0022255B"/>
    <w:rsid w:val="00222E51"/>
    <w:rsid w:val="00222F77"/>
    <w:rsid w:val="00223FDD"/>
    <w:rsid w:val="002242B8"/>
    <w:rsid w:val="00224BF1"/>
    <w:rsid w:val="00224C39"/>
    <w:rsid w:val="00225BED"/>
    <w:rsid w:val="00225D05"/>
    <w:rsid w:val="0022732D"/>
    <w:rsid w:val="0023042C"/>
    <w:rsid w:val="00230FE6"/>
    <w:rsid w:val="00231774"/>
    <w:rsid w:val="00233483"/>
    <w:rsid w:val="002336C4"/>
    <w:rsid w:val="00234AD0"/>
    <w:rsid w:val="00236F6A"/>
    <w:rsid w:val="00237994"/>
    <w:rsid w:val="002411BA"/>
    <w:rsid w:val="0024358D"/>
    <w:rsid w:val="002437E5"/>
    <w:rsid w:val="0024385F"/>
    <w:rsid w:val="002450D0"/>
    <w:rsid w:val="002451F3"/>
    <w:rsid w:val="0024591A"/>
    <w:rsid w:val="00246182"/>
    <w:rsid w:val="002467AF"/>
    <w:rsid w:val="00246E33"/>
    <w:rsid w:val="0025044C"/>
    <w:rsid w:val="0025074F"/>
    <w:rsid w:val="002515BF"/>
    <w:rsid w:val="00252199"/>
    <w:rsid w:val="00253BE8"/>
    <w:rsid w:val="0025467E"/>
    <w:rsid w:val="00255709"/>
    <w:rsid w:val="00255899"/>
    <w:rsid w:val="0025600F"/>
    <w:rsid w:val="002562FD"/>
    <w:rsid w:val="0025659D"/>
    <w:rsid w:val="00261AC0"/>
    <w:rsid w:val="002624A9"/>
    <w:rsid w:val="002632E0"/>
    <w:rsid w:val="002633A7"/>
    <w:rsid w:val="002637CB"/>
    <w:rsid w:val="00264C10"/>
    <w:rsid w:val="0026515D"/>
    <w:rsid w:val="00265354"/>
    <w:rsid w:val="002670A8"/>
    <w:rsid w:val="00267A54"/>
    <w:rsid w:val="00270591"/>
    <w:rsid w:val="00270B31"/>
    <w:rsid w:val="0027142C"/>
    <w:rsid w:val="0027167B"/>
    <w:rsid w:val="0027199C"/>
    <w:rsid w:val="00272AE0"/>
    <w:rsid w:val="00272FDD"/>
    <w:rsid w:val="00274377"/>
    <w:rsid w:val="00274F52"/>
    <w:rsid w:val="00275FB9"/>
    <w:rsid w:val="00276430"/>
    <w:rsid w:val="00283BD7"/>
    <w:rsid w:val="002843BE"/>
    <w:rsid w:val="00285648"/>
    <w:rsid w:val="00285BDD"/>
    <w:rsid w:val="00285FB5"/>
    <w:rsid w:val="00286AE9"/>
    <w:rsid w:val="00287652"/>
    <w:rsid w:val="002913EE"/>
    <w:rsid w:val="0029156C"/>
    <w:rsid w:val="00291BA1"/>
    <w:rsid w:val="00291DAE"/>
    <w:rsid w:val="00292ADF"/>
    <w:rsid w:val="0029319D"/>
    <w:rsid w:val="00294099"/>
    <w:rsid w:val="002942BE"/>
    <w:rsid w:val="00295416"/>
    <w:rsid w:val="0029559B"/>
    <w:rsid w:val="00295B64"/>
    <w:rsid w:val="00295CC9"/>
    <w:rsid w:val="002964F6"/>
    <w:rsid w:val="0029715F"/>
    <w:rsid w:val="002A13AC"/>
    <w:rsid w:val="002A1A5B"/>
    <w:rsid w:val="002A37FC"/>
    <w:rsid w:val="002A450E"/>
    <w:rsid w:val="002A6C4A"/>
    <w:rsid w:val="002B045C"/>
    <w:rsid w:val="002B0A1D"/>
    <w:rsid w:val="002B19E1"/>
    <w:rsid w:val="002B22C1"/>
    <w:rsid w:val="002B4337"/>
    <w:rsid w:val="002B47F3"/>
    <w:rsid w:val="002B54EE"/>
    <w:rsid w:val="002B6135"/>
    <w:rsid w:val="002B63B8"/>
    <w:rsid w:val="002B6961"/>
    <w:rsid w:val="002C01E7"/>
    <w:rsid w:val="002C09ED"/>
    <w:rsid w:val="002C134C"/>
    <w:rsid w:val="002C1747"/>
    <w:rsid w:val="002C21AA"/>
    <w:rsid w:val="002C3728"/>
    <w:rsid w:val="002C38F5"/>
    <w:rsid w:val="002C4241"/>
    <w:rsid w:val="002C4976"/>
    <w:rsid w:val="002C5E92"/>
    <w:rsid w:val="002C65D3"/>
    <w:rsid w:val="002C691B"/>
    <w:rsid w:val="002C6CA3"/>
    <w:rsid w:val="002C6F74"/>
    <w:rsid w:val="002C7955"/>
    <w:rsid w:val="002C7EB1"/>
    <w:rsid w:val="002D0A4E"/>
    <w:rsid w:val="002D0D4E"/>
    <w:rsid w:val="002D171A"/>
    <w:rsid w:val="002D184C"/>
    <w:rsid w:val="002D2644"/>
    <w:rsid w:val="002D2BBA"/>
    <w:rsid w:val="002D2FFA"/>
    <w:rsid w:val="002D38FE"/>
    <w:rsid w:val="002D45B3"/>
    <w:rsid w:val="002D5DF6"/>
    <w:rsid w:val="002E06E1"/>
    <w:rsid w:val="002E1A32"/>
    <w:rsid w:val="002E20C1"/>
    <w:rsid w:val="002E2C99"/>
    <w:rsid w:val="002E38A8"/>
    <w:rsid w:val="002E5EC3"/>
    <w:rsid w:val="002E6F7C"/>
    <w:rsid w:val="002F1A25"/>
    <w:rsid w:val="002F201D"/>
    <w:rsid w:val="002F30E6"/>
    <w:rsid w:val="002F4182"/>
    <w:rsid w:val="002F447E"/>
    <w:rsid w:val="002F4756"/>
    <w:rsid w:val="002F4FD9"/>
    <w:rsid w:val="002F5310"/>
    <w:rsid w:val="002F60C8"/>
    <w:rsid w:val="002F6F17"/>
    <w:rsid w:val="002F709C"/>
    <w:rsid w:val="002F70E1"/>
    <w:rsid w:val="002F7164"/>
    <w:rsid w:val="002F7750"/>
    <w:rsid w:val="002F78B1"/>
    <w:rsid w:val="003012A0"/>
    <w:rsid w:val="00301958"/>
    <w:rsid w:val="00301AAD"/>
    <w:rsid w:val="00301D83"/>
    <w:rsid w:val="00302D84"/>
    <w:rsid w:val="00304B1C"/>
    <w:rsid w:val="00305283"/>
    <w:rsid w:val="003054FE"/>
    <w:rsid w:val="003058A9"/>
    <w:rsid w:val="00305C0A"/>
    <w:rsid w:val="00305D45"/>
    <w:rsid w:val="003064B8"/>
    <w:rsid w:val="003071B4"/>
    <w:rsid w:val="00307DBD"/>
    <w:rsid w:val="00310329"/>
    <w:rsid w:val="0031055F"/>
    <w:rsid w:val="003106F0"/>
    <w:rsid w:val="003116CF"/>
    <w:rsid w:val="003118E9"/>
    <w:rsid w:val="00312123"/>
    <w:rsid w:val="003131CE"/>
    <w:rsid w:val="00313B2C"/>
    <w:rsid w:val="003140D7"/>
    <w:rsid w:val="00316061"/>
    <w:rsid w:val="00316C1B"/>
    <w:rsid w:val="00316F55"/>
    <w:rsid w:val="00317079"/>
    <w:rsid w:val="00317E91"/>
    <w:rsid w:val="00320011"/>
    <w:rsid w:val="00322159"/>
    <w:rsid w:val="00323688"/>
    <w:rsid w:val="00323F29"/>
    <w:rsid w:val="00323F3B"/>
    <w:rsid w:val="00323FAD"/>
    <w:rsid w:val="0032408B"/>
    <w:rsid w:val="0032499F"/>
    <w:rsid w:val="003250BE"/>
    <w:rsid w:val="0032547B"/>
    <w:rsid w:val="00325751"/>
    <w:rsid w:val="003257DB"/>
    <w:rsid w:val="00325A3E"/>
    <w:rsid w:val="0032670F"/>
    <w:rsid w:val="00326C53"/>
    <w:rsid w:val="00327354"/>
    <w:rsid w:val="00327962"/>
    <w:rsid w:val="00330FCD"/>
    <w:rsid w:val="003310E7"/>
    <w:rsid w:val="003313D0"/>
    <w:rsid w:val="00331420"/>
    <w:rsid w:val="00331CA8"/>
    <w:rsid w:val="003320A9"/>
    <w:rsid w:val="0033234D"/>
    <w:rsid w:val="0033262F"/>
    <w:rsid w:val="00333FE9"/>
    <w:rsid w:val="0033786C"/>
    <w:rsid w:val="00337C17"/>
    <w:rsid w:val="00340853"/>
    <w:rsid w:val="00341A0E"/>
    <w:rsid w:val="00342793"/>
    <w:rsid w:val="00342B85"/>
    <w:rsid w:val="003432B5"/>
    <w:rsid w:val="00343394"/>
    <w:rsid w:val="00343FC6"/>
    <w:rsid w:val="003469A9"/>
    <w:rsid w:val="0034733A"/>
    <w:rsid w:val="00347436"/>
    <w:rsid w:val="0034744B"/>
    <w:rsid w:val="00350418"/>
    <w:rsid w:val="00350EB8"/>
    <w:rsid w:val="00353B27"/>
    <w:rsid w:val="00355B69"/>
    <w:rsid w:val="00355D8A"/>
    <w:rsid w:val="003564F4"/>
    <w:rsid w:val="0035672E"/>
    <w:rsid w:val="00356ECD"/>
    <w:rsid w:val="003576B8"/>
    <w:rsid w:val="00357916"/>
    <w:rsid w:val="00360840"/>
    <w:rsid w:val="00360EE8"/>
    <w:rsid w:val="00361F13"/>
    <w:rsid w:val="00362894"/>
    <w:rsid w:val="00362F22"/>
    <w:rsid w:val="00363CAB"/>
    <w:rsid w:val="003641A5"/>
    <w:rsid w:val="0036576C"/>
    <w:rsid w:val="00365800"/>
    <w:rsid w:val="00365E8D"/>
    <w:rsid w:val="00366475"/>
    <w:rsid w:val="00367273"/>
    <w:rsid w:val="003675AD"/>
    <w:rsid w:val="0037007D"/>
    <w:rsid w:val="00370A61"/>
    <w:rsid w:val="00370C37"/>
    <w:rsid w:val="00370C5C"/>
    <w:rsid w:val="00370E6D"/>
    <w:rsid w:val="0037117E"/>
    <w:rsid w:val="00372019"/>
    <w:rsid w:val="00372864"/>
    <w:rsid w:val="00372AB3"/>
    <w:rsid w:val="00372C77"/>
    <w:rsid w:val="003738B6"/>
    <w:rsid w:val="00373C7A"/>
    <w:rsid w:val="00374A63"/>
    <w:rsid w:val="00375B90"/>
    <w:rsid w:val="003762D4"/>
    <w:rsid w:val="0037634E"/>
    <w:rsid w:val="0037687A"/>
    <w:rsid w:val="0037705F"/>
    <w:rsid w:val="00380078"/>
    <w:rsid w:val="0038037E"/>
    <w:rsid w:val="00380B03"/>
    <w:rsid w:val="00380C1F"/>
    <w:rsid w:val="00382B5D"/>
    <w:rsid w:val="003835E0"/>
    <w:rsid w:val="00383A8E"/>
    <w:rsid w:val="00383EBF"/>
    <w:rsid w:val="00384A47"/>
    <w:rsid w:val="00384B6E"/>
    <w:rsid w:val="00384D2B"/>
    <w:rsid w:val="00385CAE"/>
    <w:rsid w:val="00387252"/>
    <w:rsid w:val="00387690"/>
    <w:rsid w:val="00387EC6"/>
    <w:rsid w:val="003900EC"/>
    <w:rsid w:val="00390D1B"/>
    <w:rsid w:val="00391546"/>
    <w:rsid w:val="00391654"/>
    <w:rsid w:val="003921B3"/>
    <w:rsid w:val="00392330"/>
    <w:rsid w:val="00392741"/>
    <w:rsid w:val="003944DA"/>
    <w:rsid w:val="0039493D"/>
    <w:rsid w:val="003952AA"/>
    <w:rsid w:val="0039708C"/>
    <w:rsid w:val="00397F6F"/>
    <w:rsid w:val="003A0BCC"/>
    <w:rsid w:val="003A2686"/>
    <w:rsid w:val="003A2F73"/>
    <w:rsid w:val="003A335D"/>
    <w:rsid w:val="003A48F8"/>
    <w:rsid w:val="003A522C"/>
    <w:rsid w:val="003A6180"/>
    <w:rsid w:val="003A72F6"/>
    <w:rsid w:val="003B0A5A"/>
    <w:rsid w:val="003B144B"/>
    <w:rsid w:val="003B1B6E"/>
    <w:rsid w:val="003B1E53"/>
    <w:rsid w:val="003B3593"/>
    <w:rsid w:val="003B393C"/>
    <w:rsid w:val="003B3A44"/>
    <w:rsid w:val="003B47AC"/>
    <w:rsid w:val="003B4E5E"/>
    <w:rsid w:val="003B6561"/>
    <w:rsid w:val="003B6C48"/>
    <w:rsid w:val="003B6C54"/>
    <w:rsid w:val="003B7F69"/>
    <w:rsid w:val="003C0039"/>
    <w:rsid w:val="003C0607"/>
    <w:rsid w:val="003C09F3"/>
    <w:rsid w:val="003C1991"/>
    <w:rsid w:val="003C2DAB"/>
    <w:rsid w:val="003C458B"/>
    <w:rsid w:val="003C478F"/>
    <w:rsid w:val="003C4AC7"/>
    <w:rsid w:val="003C4D4B"/>
    <w:rsid w:val="003C516A"/>
    <w:rsid w:val="003C541C"/>
    <w:rsid w:val="003C5B7A"/>
    <w:rsid w:val="003C6C67"/>
    <w:rsid w:val="003C6F3F"/>
    <w:rsid w:val="003D083A"/>
    <w:rsid w:val="003D0842"/>
    <w:rsid w:val="003D0E83"/>
    <w:rsid w:val="003D1A78"/>
    <w:rsid w:val="003D23DE"/>
    <w:rsid w:val="003D26C2"/>
    <w:rsid w:val="003D3444"/>
    <w:rsid w:val="003D35AE"/>
    <w:rsid w:val="003D499B"/>
    <w:rsid w:val="003D5B4B"/>
    <w:rsid w:val="003D5EE9"/>
    <w:rsid w:val="003D5EF9"/>
    <w:rsid w:val="003D77EB"/>
    <w:rsid w:val="003E0677"/>
    <w:rsid w:val="003E0883"/>
    <w:rsid w:val="003E128F"/>
    <w:rsid w:val="003E1A93"/>
    <w:rsid w:val="003E1D7E"/>
    <w:rsid w:val="003E1E16"/>
    <w:rsid w:val="003E2214"/>
    <w:rsid w:val="003E2762"/>
    <w:rsid w:val="003E3048"/>
    <w:rsid w:val="003E363E"/>
    <w:rsid w:val="003E3A4A"/>
    <w:rsid w:val="003E4129"/>
    <w:rsid w:val="003E437E"/>
    <w:rsid w:val="003E51D6"/>
    <w:rsid w:val="003E63EA"/>
    <w:rsid w:val="003E69EE"/>
    <w:rsid w:val="003E6C2B"/>
    <w:rsid w:val="003E713A"/>
    <w:rsid w:val="003E72E4"/>
    <w:rsid w:val="003E76D9"/>
    <w:rsid w:val="003E7805"/>
    <w:rsid w:val="003F0105"/>
    <w:rsid w:val="003F040B"/>
    <w:rsid w:val="003F0DDA"/>
    <w:rsid w:val="003F12D6"/>
    <w:rsid w:val="003F1943"/>
    <w:rsid w:val="003F3B45"/>
    <w:rsid w:val="003F4713"/>
    <w:rsid w:val="003F49DC"/>
    <w:rsid w:val="003F54E4"/>
    <w:rsid w:val="003F6190"/>
    <w:rsid w:val="003F6D8A"/>
    <w:rsid w:val="003F6E51"/>
    <w:rsid w:val="004025BC"/>
    <w:rsid w:val="00402B79"/>
    <w:rsid w:val="004037E6"/>
    <w:rsid w:val="004039FE"/>
    <w:rsid w:val="00403C90"/>
    <w:rsid w:val="004040A8"/>
    <w:rsid w:val="0040429F"/>
    <w:rsid w:val="00405491"/>
    <w:rsid w:val="00405686"/>
    <w:rsid w:val="00405EC1"/>
    <w:rsid w:val="00406E4A"/>
    <w:rsid w:val="00407373"/>
    <w:rsid w:val="00410349"/>
    <w:rsid w:val="00410908"/>
    <w:rsid w:val="00410992"/>
    <w:rsid w:val="00410BFC"/>
    <w:rsid w:val="00410C2F"/>
    <w:rsid w:val="00410F26"/>
    <w:rsid w:val="00411E6B"/>
    <w:rsid w:val="00411E8C"/>
    <w:rsid w:val="00414B01"/>
    <w:rsid w:val="004168D5"/>
    <w:rsid w:val="00417797"/>
    <w:rsid w:val="00420343"/>
    <w:rsid w:val="0042170A"/>
    <w:rsid w:val="00421AC9"/>
    <w:rsid w:val="0042229D"/>
    <w:rsid w:val="0042266C"/>
    <w:rsid w:val="0042312B"/>
    <w:rsid w:val="004237FC"/>
    <w:rsid w:val="00424A38"/>
    <w:rsid w:val="00424AC0"/>
    <w:rsid w:val="00425091"/>
    <w:rsid w:val="0042511A"/>
    <w:rsid w:val="00425AD8"/>
    <w:rsid w:val="00425BC4"/>
    <w:rsid w:val="0042675A"/>
    <w:rsid w:val="00426CA1"/>
    <w:rsid w:val="00427988"/>
    <w:rsid w:val="00427BF9"/>
    <w:rsid w:val="00427C9E"/>
    <w:rsid w:val="004315FB"/>
    <w:rsid w:val="004318E5"/>
    <w:rsid w:val="00431AB0"/>
    <w:rsid w:val="0043290A"/>
    <w:rsid w:val="00432ADC"/>
    <w:rsid w:val="00432AF1"/>
    <w:rsid w:val="00432E57"/>
    <w:rsid w:val="00433172"/>
    <w:rsid w:val="004334BA"/>
    <w:rsid w:val="00435032"/>
    <w:rsid w:val="00435098"/>
    <w:rsid w:val="004354F8"/>
    <w:rsid w:val="00436037"/>
    <w:rsid w:val="0043744D"/>
    <w:rsid w:val="004374F2"/>
    <w:rsid w:val="004403AC"/>
    <w:rsid w:val="00440534"/>
    <w:rsid w:val="00440BB7"/>
    <w:rsid w:val="00441AD2"/>
    <w:rsid w:val="00441C6F"/>
    <w:rsid w:val="00441F49"/>
    <w:rsid w:val="00442117"/>
    <w:rsid w:val="00442F49"/>
    <w:rsid w:val="00442FA1"/>
    <w:rsid w:val="00444424"/>
    <w:rsid w:val="00444962"/>
    <w:rsid w:val="00444FFF"/>
    <w:rsid w:val="004451A1"/>
    <w:rsid w:val="004460DB"/>
    <w:rsid w:val="00446BAA"/>
    <w:rsid w:val="0044730E"/>
    <w:rsid w:val="0044742D"/>
    <w:rsid w:val="00450469"/>
    <w:rsid w:val="004505A4"/>
    <w:rsid w:val="0045078B"/>
    <w:rsid w:val="00450B3E"/>
    <w:rsid w:val="00451805"/>
    <w:rsid w:val="00451C04"/>
    <w:rsid w:val="00452FCD"/>
    <w:rsid w:val="004530DA"/>
    <w:rsid w:val="004533F0"/>
    <w:rsid w:val="00453C0F"/>
    <w:rsid w:val="00455208"/>
    <w:rsid w:val="00456250"/>
    <w:rsid w:val="004565E9"/>
    <w:rsid w:val="0045770E"/>
    <w:rsid w:val="00457ABB"/>
    <w:rsid w:val="0046029E"/>
    <w:rsid w:val="00460507"/>
    <w:rsid w:val="0046109D"/>
    <w:rsid w:val="004631DE"/>
    <w:rsid w:val="0046503C"/>
    <w:rsid w:val="004656CE"/>
    <w:rsid w:val="00465AE1"/>
    <w:rsid w:val="004664E7"/>
    <w:rsid w:val="004667EC"/>
    <w:rsid w:val="00467565"/>
    <w:rsid w:val="0047005D"/>
    <w:rsid w:val="004709C2"/>
    <w:rsid w:val="00471248"/>
    <w:rsid w:val="0047174C"/>
    <w:rsid w:val="00471A78"/>
    <w:rsid w:val="0047221B"/>
    <w:rsid w:val="0047223B"/>
    <w:rsid w:val="004723B2"/>
    <w:rsid w:val="004729E1"/>
    <w:rsid w:val="00473A37"/>
    <w:rsid w:val="00473C23"/>
    <w:rsid w:val="004741A9"/>
    <w:rsid w:val="004753C8"/>
    <w:rsid w:val="004758BC"/>
    <w:rsid w:val="0047724D"/>
    <w:rsid w:val="00477599"/>
    <w:rsid w:val="004779F0"/>
    <w:rsid w:val="00482EEC"/>
    <w:rsid w:val="00483CB9"/>
    <w:rsid w:val="00484DA2"/>
    <w:rsid w:val="004859EC"/>
    <w:rsid w:val="00485A13"/>
    <w:rsid w:val="00485ECD"/>
    <w:rsid w:val="00487471"/>
    <w:rsid w:val="00492028"/>
    <w:rsid w:val="00492583"/>
    <w:rsid w:val="00494074"/>
    <w:rsid w:val="00494D73"/>
    <w:rsid w:val="004972C4"/>
    <w:rsid w:val="00497307"/>
    <w:rsid w:val="00497695"/>
    <w:rsid w:val="00497B17"/>
    <w:rsid w:val="004A000A"/>
    <w:rsid w:val="004A0355"/>
    <w:rsid w:val="004A08AB"/>
    <w:rsid w:val="004A0A25"/>
    <w:rsid w:val="004A14F7"/>
    <w:rsid w:val="004A29D6"/>
    <w:rsid w:val="004A3515"/>
    <w:rsid w:val="004A4894"/>
    <w:rsid w:val="004A59FE"/>
    <w:rsid w:val="004A652A"/>
    <w:rsid w:val="004A6B86"/>
    <w:rsid w:val="004B0AEE"/>
    <w:rsid w:val="004B28FA"/>
    <w:rsid w:val="004B33C3"/>
    <w:rsid w:val="004B35AE"/>
    <w:rsid w:val="004B3A28"/>
    <w:rsid w:val="004B50AC"/>
    <w:rsid w:val="004B6ABC"/>
    <w:rsid w:val="004B6B9A"/>
    <w:rsid w:val="004B788C"/>
    <w:rsid w:val="004B7B67"/>
    <w:rsid w:val="004C0150"/>
    <w:rsid w:val="004C0C70"/>
    <w:rsid w:val="004C140B"/>
    <w:rsid w:val="004C2163"/>
    <w:rsid w:val="004C27D7"/>
    <w:rsid w:val="004C2DFC"/>
    <w:rsid w:val="004C2F8A"/>
    <w:rsid w:val="004C300C"/>
    <w:rsid w:val="004C3688"/>
    <w:rsid w:val="004C4A08"/>
    <w:rsid w:val="004C6AFA"/>
    <w:rsid w:val="004D0FC6"/>
    <w:rsid w:val="004D1487"/>
    <w:rsid w:val="004D20BC"/>
    <w:rsid w:val="004D3126"/>
    <w:rsid w:val="004D322C"/>
    <w:rsid w:val="004D32C1"/>
    <w:rsid w:val="004D32C6"/>
    <w:rsid w:val="004D3739"/>
    <w:rsid w:val="004D42F5"/>
    <w:rsid w:val="004D45CD"/>
    <w:rsid w:val="004D67F9"/>
    <w:rsid w:val="004D7021"/>
    <w:rsid w:val="004E3BCD"/>
    <w:rsid w:val="004E409D"/>
    <w:rsid w:val="004E44D3"/>
    <w:rsid w:val="004E47DC"/>
    <w:rsid w:val="004E48EB"/>
    <w:rsid w:val="004E4AF7"/>
    <w:rsid w:val="004E4BE4"/>
    <w:rsid w:val="004E575B"/>
    <w:rsid w:val="004E5E1D"/>
    <w:rsid w:val="004E6498"/>
    <w:rsid w:val="004E6E03"/>
    <w:rsid w:val="004F062A"/>
    <w:rsid w:val="004F077A"/>
    <w:rsid w:val="004F07AD"/>
    <w:rsid w:val="004F1668"/>
    <w:rsid w:val="004F1B51"/>
    <w:rsid w:val="004F34FE"/>
    <w:rsid w:val="004F3D1D"/>
    <w:rsid w:val="004F5074"/>
    <w:rsid w:val="004F529B"/>
    <w:rsid w:val="004F56E8"/>
    <w:rsid w:val="004F5BD3"/>
    <w:rsid w:val="004F5C9B"/>
    <w:rsid w:val="004F738A"/>
    <w:rsid w:val="004F7BE8"/>
    <w:rsid w:val="004F7F12"/>
    <w:rsid w:val="0050021B"/>
    <w:rsid w:val="00501368"/>
    <w:rsid w:val="005017E8"/>
    <w:rsid w:val="00502679"/>
    <w:rsid w:val="00502C0A"/>
    <w:rsid w:val="00503BF7"/>
    <w:rsid w:val="00503F73"/>
    <w:rsid w:val="005042DE"/>
    <w:rsid w:val="005045E9"/>
    <w:rsid w:val="00504771"/>
    <w:rsid w:val="005047FB"/>
    <w:rsid w:val="005050BA"/>
    <w:rsid w:val="00505C9D"/>
    <w:rsid w:val="00506096"/>
    <w:rsid w:val="00506ED7"/>
    <w:rsid w:val="00507B88"/>
    <w:rsid w:val="0051078E"/>
    <w:rsid w:val="00511408"/>
    <w:rsid w:val="00511A85"/>
    <w:rsid w:val="00511B91"/>
    <w:rsid w:val="00512B07"/>
    <w:rsid w:val="0051340F"/>
    <w:rsid w:val="005144F4"/>
    <w:rsid w:val="00514620"/>
    <w:rsid w:val="00514791"/>
    <w:rsid w:val="00514A35"/>
    <w:rsid w:val="0051514A"/>
    <w:rsid w:val="00515C62"/>
    <w:rsid w:val="00515CF2"/>
    <w:rsid w:val="00515DC7"/>
    <w:rsid w:val="00516898"/>
    <w:rsid w:val="00516C0F"/>
    <w:rsid w:val="00516F88"/>
    <w:rsid w:val="00516FD2"/>
    <w:rsid w:val="00517783"/>
    <w:rsid w:val="0052016A"/>
    <w:rsid w:val="00520ECC"/>
    <w:rsid w:val="005213E9"/>
    <w:rsid w:val="005215CD"/>
    <w:rsid w:val="00521716"/>
    <w:rsid w:val="00521786"/>
    <w:rsid w:val="005218B9"/>
    <w:rsid w:val="00521AC0"/>
    <w:rsid w:val="00521C71"/>
    <w:rsid w:val="00522754"/>
    <w:rsid w:val="005228D4"/>
    <w:rsid w:val="00522A5F"/>
    <w:rsid w:val="0052458A"/>
    <w:rsid w:val="00524DDA"/>
    <w:rsid w:val="00525022"/>
    <w:rsid w:val="00525037"/>
    <w:rsid w:val="005260D7"/>
    <w:rsid w:val="00526CB9"/>
    <w:rsid w:val="00530605"/>
    <w:rsid w:val="00531205"/>
    <w:rsid w:val="00531D86"/>
    <w:rsid w:val="00533C00"/>
    <w:rsid w:val="00534AA9"/>
    <w:rsid w:val="005358E2"/>
    <w:rsid w:val="00535905"/>
    <w:rsid w:val="00535ABA"/>
    <w:rsid w:val="00536657"/>
    <w:rsid w:val="005366A4"/>
    <w:rsid w:val="00536FAA"/>
    <w:rsid w:val="00540217"/>
    <w:rsid w:val="005405D0"/>
    <w:rsid w:val="00540DEF"/>
    <w:rsid w:val="00542FEC"/>
    <w:rsid w:val="0054364B"/>
    <w:rsid w:val="00543CD3"/>
    <w:rsid w:val="00544415"/>
    <w:rsid w:val="005446B7"/>
    <w:rsid w:val="005452D7"/>
    <w:rsid w:val="005456D9"/>
    <w:rsid w:val="0054608F"/>
    <w:rsid w:val="00546F85"/>
    <w:rsid w:val="00547027"/>
    <w:rsid w:val="00547C1E"/>
    <w:rsid w:val="00547C7D"/>
    <w:rsid w:val="00547CB4"/>
    <w:rsid w:val="00550EF9"/>
    <w:rsid w:val="00552B3D"/>
    <w:rsid w:val="005530A6"/>
    <w:rsid w:val="00553319"/>
    <w:rsid w:val="005537AD"/>
    <w:rsid w:val="0055444F"/>
    <w:rsid w:val="00554B11"/>
    <w:rsid w:val="00554CEB"/>
    <w:rsid w:val="00554DB9"/>
    <w:rsid w:val="00555066"/>
    <w:rsid w:val="005561FD"/>
    <w:rsid w:val="00556876"/>
    <w:rsid w:val="0055708E"/>
    <w:rsid w:val="0055789A"/>
    <w:rsid w:val="00560F1E"/>
    <w:rsid w:val="005615C4"/>
    <w:rsid w:val="00561DA4"/>
    <w:rsid w:val="005641F7"/>
    <w:rsid w:val="00564229"/>
    <w:rsid w:val="0056530A"/>
    <w:rsid w:val="00565D71"/>
    <w:rsid w:val="005673B6"/>
    <w:rsid w:val="00567AD4"/>
    <w:rsid w:val="00567EA8"/>
    <w:rsid w:val="0057062D"/>
    <w:rsid w:val="00570E6C"/>
    <w:rsid w:val="00571068"/>
    <w:rsid w:val="00574C6A"/>
    <w:rsid w:val="00574CF2"/>
    <w:rsid w:val="00574E52"/>
    <w:rsid w:val="00575171"/>
    <w:rsid w:val="005755FA"/>
    <w:rsid w:val="005755FC"/>
    <w:rsid w:val="005801BE"/>
    <w:rsid w:val="00580B2E"/>
    <w:rsid w:val="00580C17"/>
    <w:rsid w:val="0058180A"/>
    <w:rsid w:val="005820D4"/>
    <w:rsid w:val="0058300A"/>
    <w:rsid w:val="00583044"/>
    <w:rsid w:val="005831B3"/>
    <w:rsid w:val="005833F6"/>
    <w:rsid w:val="005837CF"/>
    <w:rsid w:val="005853A0"/>
    <w:rsid w:val="00585E59"/>
    <w:rsid w:val="00585ECE"/>
    <w:rsid w:val="005869C4"/>
    <w:rsid w:val="005905C7"/>
    <w:rsid w:val="005909E8"/>
    <w:rsid w:val="005931BD"/>
    <w:rsid w:val="00593A36"/>
    <w:rsid w:val="00594294"/>
    <w:rsid w:val="00594EE4"/>
    <w:rsid w:val="005952FD"/>
    <w:rsid w:val="00595840"/>
    <w:rsid w:val="00595D3D"/>
    <w:rsid w:val="00595D45"/>
    <w:rsid w:val="00596272"/>
    <w:rsid w:val="005965D1"/>
    <w:rsid w:val="005A00CB"/>
    <w:rsid w:val="005A0759"/>
    <w:rsid w:val="005A0A9E"/>
    <w:rsid w:val="005A2720"/>
    <w:rsid w:val="005A2AC4"/>
    <w:rsid w:val="005A3E08"/>
    <w:rsid w:val="005A42AA"/>
    <w:rsid w:val="005A4756"/>
    <w:rsid w:val="005A6709"/>
    <w:rsid w:val="005A734B"/>
    <w:rsid w:val="005B078C"/>
    <w:rsid w:val="005B0C36"/>
    <w:rsid w:val="005B1423"/>
    <w:rsid w:val="005B1E2F"/>
    <w:rsid w:val="005B210F"/>
    <w:rsid w:val="005B22DE"/>
    <w:rsid w:val="005B28AC"/>
    <w:rsid w:val="005B2EA2"/>
    <w:rsid w:val="005B3DD3"/>
    <w:rsid w:val="005B5220"/>
    <w:rsid w:val="005B6333"/>
    <w:rsid w:val="005B64B5"/>
    <w:rsid w:val="005B6777"/>
    <w:rsid w:val="005B67B3"/>
    <w:rsid w:val="005B7C10"/>
    <w:rsid w:val="005C14E9"/>
    <w:rsid w:val="005C1DF8"/>
    <w:rsid w:val="005C1F67"/>
    <w:rsid w:val="005C1F8F"/>
    <w:rsid w:val="005C3AD7"/>
    <w:rsid w:val="005C515D"/>
    <w:rsid w:val="005C51BF"/>
    <w:rsid w:val="005C5264"/>
    <w:rsid w:val="005C5E4E"/>
    <w:rsid w:val="005C7073"/>
    <w:rsid w:val="005C72C3"/>
    <w:rsid w:val="005D01A4"/>
    <w:rsid w:val="005D0520"/>
    <w:rsid w:val="005D0D12"/>
    <w:rsid w:val="005D10AD"/>
    <w:rsid w:val="005D1347"/>
    <w:rsid w:val="005D1356"/>
    <w:rsid w:val="005D1581"/>
    <w:rsid w:val="005D1B62"/>
    <w:rsid w:val="005D28DF"/>
    <w:rsid w:val="005D2C42"/>
    <w:rsid w:val="005D446B"/>
    <w:rsid w:val="005D5447"/>
    <w:rsid w:val="005D5610"/>
    <w:rsid w:val="005D5930"/>
    <w:rsid w:val="005D59ED"/>
    <w:rsid w:val="005D5CAF"/>
    <w:rsid w:val="005D61A7"/>
    <w:rsid w:val="005D7372"/>
    <w:rsid w:val="005E0152"/>
    <w:rsid w:val="005E1777"/>
    <w:rsid w:val="005E231F"/>
    <w:rsid w:val="005E2EED"/>
    <w:rsid w:val="005E3676"/>
    <w:rsid w:val="005E51CC"/>
    <w:rsid w:val="005E7005"/>
    <w:rsid w:val="005E7D27"/>
    <w:rsid w:val="005F1518"/>
    <w:rsid w:val="005F164D"/>
    <w:rsid w:val="005F1D81"/>
    <w:rsid w:val="005F1E4B"/>
    <w:rsid w:val="005F2066"/>
    <w:rsid w:val="005F22A7"/>
    <w:rsid w:val="005F26B8"/>
    <w:rsid w:val="005F32AF"/>
    <w:rsid w:val="005F41BD"/>
    <w:rsid w:val="005F452B"/>
    <w:rsid w:val="005F5058"/>
    <w:rsid w:val="005F5087"/>
    <w:rsid w:val="005F5ADB"/>
    <w:rsid w:val="005F5BF6"/>
    <w:rsid w:val="005F6520"/>
    <w:rsid w:val="005F661B"/>
    <w:rsid w:val="005F6DFA"/>
    <w:rsid w:val="005F7261"/>
    <w:rsid w:val="005F729D"/>
    <w:rsid w:val="005F7C61"/>
    <w:rsid w:val="00601508"/>
    <w:rsid w:val="006019B1"/>
    <w:rsid w:val="00601C79"/>
    <w:rsid w:val="00601EB3"/>
    <w:rsid w:val="00602ABA"/>
    <w:rsid w:val="00602B15"/>
    <w:rsid w:val="00602CD5"/>
    <w:rsid w:val="00603BD0"/>
    <w:rsid w:val="006049F8"/>
    <w:rsid w:val="006053FF"/>
    <w:rsid w:val="00605E98"/>
    <w:rsid w:val="0060621E"/>
    <w:rsid w:val="0060778B"/>
    <w:rsid w:val="0060789A"/>
    <w:rsid w:val="00610AC6"/>
    <w:rsid w:val="00610D45"/>
    <w:rsid w:val="00611353"/>
    <w:rsid w:val="00611619"/>
    <w:rsid w:val="006133B8"/>
    <w:rsid w:val="00614BE3"/>
    <w:rsid w:val="00614CD5"/>
    <w:rsid w:val="0061626F"/>
    <w:rsid w:val="00620261"/>
    <w:rsid w:val="00620D05"/>
    <w:rsid w:val="00621384"/>
    <w:rsid w:val="0062200B"/>
    <w:rsid w:val="00623D34"/>
    <w:rsid w:val="00625078"/>
    <w:rsid w:val="00625A43"/>
    <w:rsid w:val="00626641"/>
    <w:rsid w:val="00626873"/>
    <w:rsid w:val="00626B25"/>
    <w:rsid w:val="006301B6"/>
    <w:rsid w:val="00630398"/>
    <w:rsid w:val="00630E65"/>
    <w:rsid w:val="00631BF1"/>
    <w:rsid w:val="00632B52"/>
    <w:rsid w:val="006351D8"/>
    <w:rsid w:val="0063578E"/>
    <w:rsid w:val="00636DCD"/>
    <w:rsid w:val="0063769D"/>
    <w:rsid w:val="00640112"/>
    <w:rsid w:val="006402CE"/>
    <w:rsid w:val="00641341"/>
    <w:rsid w:val="00641AD5"/>
    <w:rsid w:val="00641D21"/>
    <w:rsid w:val="00642458"/>
    <w:rsid w:val="00642466"/>
    <w:rsid w:val="006429FF"/>
    <w:rsid w:val="006443B1"/>
    <w:rsid w:val="006447D1"/>
    <w:rsid w:val="00645422"/>
    <w:rsid w:val="00645509"/>
    <w:rsid w:val="006459DA"/>
    <w:rsid w:val="006459F3"/>
    <w:rsid w:val="006519A2"/>
    <w:rsid w:val="006521FB"/>
    <w:rsid w:val="0065223E"/>
    <w:rsid w:val="00652BA7"/>
    <w:rsid w:val="00652E00"/>
    <w:rsid w:val="00652EC4"/>
    <w:rsid w:val="00654895"/>
    <w:rsid w:val="00654E6A"/>
    <w:rsid w:val="00656843"/>
    <w:rsid w:val="00656E73"/>
    <w:rsid w:val="00656FCA"/>
    <w:rsid w:val="0065722E"/>
    <w:rsid w:val="006575CE"/>
    <w:rsid w:val="00657C68"/>
    <w:rsid w:val="00657E07"/>
    <w:rsid w:val="00657FF4"/>
    <w:rsid w:val="00660A9F"/>
    <w:rsid w:val="00660D16"/>
    <w:rsid w:val="006610DA"/>
    <w:rsid w:val="006618B3"/>
    <w:rsid w:val="00662D45"/>
    <w:rsid w:val="00664C04"/>
    <w:rsid w:val="00665200"/>
    <w:rsid w:val="00665AA7"/>
    <w:rsid w:val="006666F9"/>
    <w:rsid w:val="006667C3"/>
    <w:rsid w:val="0066690A"/>
    <w:rsid w:val="00666C6E"/>
    <w:rsid w:val="006671D5"/>
    <w:rsid w:val="0067006F"/>
    <w:rsid w:val="00670AEC"/>
    <w:rsid w:val="006721AD"/>
    <w:rsid w:val="00674D1C"/>
    <w:rsid w:val="0067625D"/>
    <w:rsid w:val="00676A5E"/>
    <w:rsid w:val="006772F0"/>
    <w:rsid w:val="00677FD9"/>
    <w:rsid w:val="006808A7"/>
    <w:rsid w:val="006808B8"/>
    <w:rsid w:val="0068203D"/>
    <w:rsid w:val="00682605"/>
    <w:rsid w:val="0068264E"/>
    <w:rsid w:val="006826C9"/>
    <w:rsid w:val="00682AC6"/>
    <w:rsid w:val="00682B2D"/>
    <w:rsid w:val="00682E19"/>
    <w:rsid w:val="00682F57"/>
    <w:rsid w:val="00683B83"/>
    <w:rsid w:val="00683C27"/>
    <w:rsid w:val="006841F4"/>
    <w:rsid w:val="006866E1"/>
    <w:rsid w:val="00686B0E"/>
    <w:rsid w:val="00691A65"/>
    <w:rsid w:val="00691F09"/>
    <w:rsid w:val="006922CD"/>
    <w:rsid w:val="00694C65"/>
    <w:rsid w:val="006960D6"/>
    <w:rsid w:val="006971EB"/>
    <w:rsid w:val="0069766B"/>
    <w:rsid w:val="00697748"/>
    <w:rsid w:val="006A0FDB"/>
    <w:rsid w:val="006A28A2"/>
    <w:rsid w:val="006A2BE8"/>
    <w:rsid w:val="006A3B33"/>
    <w:rsid w:val="006A4032"/>
    <w:rsid w:val="006A6547"/>
    <w:rsid w:val="006A7C6F"/>
    <w:rsid w:val="006B16E5"/>
    <w:rsid w:val="006B1860"/>
    <w:rsid w:val="006B1E3F"/>
    <w:rsid w:val="006B22D1"/>
    <w:rsid w:val="006B25E3"/>
    <w:rsid w:val="006B2E22"/>
    <w:rsid w:val="006B34A4"/>
    <w:rsid w:val="006B4974"/>
    <w:rsid w:val="006B592B"/>
    <w:rsid w:val="006B6492"/>
    <w:rsid w:val="006B65C2"/>
    <w:rsid w:val="006B7470"/>
    <w:rsid w:val="006B777B"/>
    <w:rsid w:val="006B77D9"/>
    <w:rsid w:val="006C05D0"/>
    <w:rsid w:val="006C0AF4"/>
    <w:rsid w:val="006C1969"/>
    <w:rsid w:val="006C1BF3"/>
    <w:rsid w:val="006C2927"/>
    <w:rsid w:val="006C2F8B"/>
    <w:rsid w:val="006C39E7"/>
    <w:rsid w:val="006C4240"/>
    <w:rsid w:val="006C49A6"/>
    <w:rsid w:val="006C4B9C"/>
    <w:rsid w:val="006C4BCE"/>
    <w:rsid w:val="006C5E2C"/>
    <w:rsid w:val="006C5F31"/>
    <w:rsid w:val="006C6026"/>
    <w:rsid w:val="006C658F"/>
    <w:rsid w:val="006C69C6"/>
    <w:rsid w:val="006C7321"/>
    <w:rsid w:val="006D0C7B"/>
    <w:rsid w:val="006D148F"/>
    <w:rsid w:val="006D1DF0"/>
    <w:rsid w:val="006D1DF5"/>
    <w:rsid w:val="006D2F67"/>
    <w:rsid w:val="006D3061"/>
    <w:rsid w:val="006D3474"/>
    <w:rsid w:val="006D3962"/>
    <w:rsid w:val="006D4C40"/>
    <w:rsid w:val="006D4ECF"/>
    <w:rsid w:val="006D4FDA"/>
    <w:rsid w:val="006D4FE2"/>
    <w:rsid w:val="006D59EE"/>
    <w:rsid w:val="006D6AD0"/>
    <w:rsid w:val="006D78E0"/>
    <w:rsid w:val="006E0DAE"/>
    <w:rsid w:val="006E0F71"/>
    <w:rsid w:val="006E2378"/>
    <w:rsid w:val="006E28D7"/>
    <w:rsid w:val="006E3906"/>
    <w:rsid w:val="006E403E"/>
    <w:rsid w:val="006E4E37"/>
    <w:rsid w:val="006E523C"/>
    <w:rsid w:val="006E550E"/>
    <w:rsid w:val="006E55AB"/>
    <w:rsid w:val="006E5829"/>
    <w:rsid w:val="006E625B"/>
    <w:rsid w:val="006E66C5"/>
    <w:rsid w:val="006F12C5"/>
    <w:rsid w:val="006F1734"/>
    <w:rsid w:val="006F1DFD"/>
    <w:rsid w:val="006F2841"/>
    <w:rsid w:val="006F54DF"/>
    <w:rsid w:val="006F5A42"/>
    <w:rsid w:val="006F5E5E"/>
    <w:rsid w:val="006F6BB5"/>
    <w:rsid w:val="006F7AA5"/>
    <w:rsid w:val="007009D1"/>
    <w:rsid w:val="007028CF"/>
    <w:rsid w:val="00702E13"/>
    <w:rsid w:val="00702FF3"/>
    <w:rsid w:val="00703ED1"/>
    <w:rsid w:val="00706755"/>
    <w:rsid w:val="00706C16"/>
    <w:rsid w:val="00707DA0"/>
    <w:rsid w:val="00707F3C"/>
    <w:rsid w:val="007104EF"/>
    <w:rsid w:val="007110D4"/>
    <w:rsid w:val="007114F9"/>
    <w:rsid w:val="00711B05"/>
    <w:rsid w:val="00711C77"/>
    <w:rsid w:val="00711CEA"/>
    <w:rsid w:val="007128CD"/>
    <w:rsid w:val="007129AF"/>
    <w:rsid w:val="0071399F"/>
    <w:rsid w:val="007145F4"/>
    <w:rsid w:val="00714BA4"/>
    <w:rsid w:val="00715282"/>
    <w:rsid w:val="007154A7"/>
    <w:rsid w:val="00715BDD"/>
    <w:rsid w:val="00716307"/>
    <w:rsid w:val="007170A7"/>
    <w:rsid w:val="007173A8"/>
    <w:rsid w:val="00720734"/>
    <w:rsid w:val="007215C2"/>
    <w:rsid w:val="00721721"/>
    <w:rsid w:val="0072263E"/>
    <w:rsid w:val="007227E8"/>
    <w:rsid w:val="00724DDA"/>
    <w:rsid w:val="00724F82"/>
    <w:rsid w:val="00725372"/>
    <w:rsid w:val="00725496"/>
    <w:rsid w:val="007256B1"/>
    <w:rsid w:val="00725B82"/>
    <w:rsid w:val="00730441"/>
    <w:rsid w:val="0073282F"/>
    <w:rsid w:val="00732885"/>
    <w:rsid w:val="00732D33"/>
    <w:rsid w:val="007336F3"/>
    <w:rsid w:val="00733910"/>
    <w:rsid w:val="007345B8"/>
    <w:rsid w:val="00734860"/>
    <w:rsid w:val="0073528D"/>
    <w:rsid w:val="00736262"/>
    <w:rsid w:val="00741509"/>
    <w:rsid w:val="007418DF"/>
    <w:rsid w:val="00741A6F"/>
    <w:rsid w:val="00741B1F"/>
    <w:rsid w:val="00742DE9"/>
    <w:rsid w:val="00742EFD"/>
    <w:rsid w:val="00743790"/>
    <w:rsid w:val="00743A66"/>
    <w:rsid w:val="00743C4B"/>
    <w:rsid w:val="007446E9"/>
    <w:rsid w:val="007463FF"/>
    <w:rsid w:val="00750898"/>
    <w:rsid w:val="007526E2"/>
    <w:rsid w:val="0075290A"/>
    <w:rsid w:val="007555A1"/>
    <w:rsid w:val="00756E4B"/>
    <w:rsid w:val="00757638"/>
    <w:rsid w:val="00757A74"/>
    <w:rsid w:val="00760DC9"/>
    <w:rsid w:val="00760FB5"/>
    <w:rsid w:val="00762063"/>
    <w:rsid w:val="00762B68"/>
    <w:rsid w:val="00762C0D"/>
    <w:rsid w:val="00763239"/>
    <w:rsid w:val="007639E9"/>
    <w:rsid w:val="00763ABE"/>
    <w:rsid w:val="007640E7"/>
    <w:rsid w:val="0076441A"/>
    <w:rsid w:val="007648BF"/>
    <w:rsid w:val="00765BC8"/>
    <w:rsid w:val="007665E2"/>
    <w:rsid w:val="00766B7D"/>
    <w:rsid w:val="007676A2"/>
    <w:rsid w:val="00767A47"/>
    <w:rsid w:val="00767B37"/>
    <w:rsid w:val="00770490"/>
    <w:rsid w:val="00771DB1"/>
    <w:rsid w:val="0077219C"/>
    <w:rsid w:val="00772F70"/>
    <w:rsid w:val="00773DC1"/>
    <w:rsid w:val="00774B31"/>
    <w:rsid w:val="00774D50"/>
    <w:rsid w:val="00775373"/>
    <w:rsid w:val="00775D2D"/>
    <w:rsid w:val="0077692B"/>
    <w:rsid w:val="00776A91"/>
    <w:rsid w:val="007775D9"/>
    <w:rsid w:val="007778D6"/>
    <w:rsid w:val="007802BD"/>
    <w:rsid w:val="007805D0"/>
    <w:rsid w:val="00780D09"/>
    <w:rsid w:val="00783C2E"/>
    <w:rsid w:val="00784530"/>
    <w:rsid w:val="007847A4"/>
    <w:rsid w:val="007850F7"/>
    <w:rsid w:val="00785E94"/>
    <w:rsid w:val="00787BF2"/>
    <w:rsid w:val="007909BD"/>
    <w:rsid w:val="00790DCA"/>
    <w:rsid w:val="00791029"/>
    <w:rsid w:val="00793065"/>
    <w:rsid w:val="007931D4"/>
    <w:rsid w:val="00793478"/>
    <w:rsid w:val="007940F8"/>
    <w:rsid w:val="00794846"/>
    <w:rsid w:val="00794C55"/>
    <w:rsid w:val="00794CEA"/>
    <w:rsid w:val="00795643"/>
    <w:rsid w:val="00795BCC"/>
    <w:rsid w:val="007973DB"/>
    <w:rsid w:val="007A0505"/>
    <w:rsid w:val="007A2258"/>
    <w:rsid w:val="007A2608"/>
    <w:rsid w:val="007A2BFF"/>
    <w:rsid w:val="007A2C92"/>
    <w:rsid w:val="007A304D"/>
    <w:rsid w:val="007A3625"/>
    <w:rsid w:val="007A41B5"/>
    <w:rsid w:val="007A4AA9"/>
    <w:rsid w:val="007A4AEF"/>
    <w:rsid w:val="007A61BC"/>
    <w:rsid w:val="007A63B4"/>
    <w:rsid w:val="007A63CE"/>
    <w:rsid w:val="007A6644"/>
    <w:rsid w:val="007A69C3"/>
    <w:rsid w:val="007A6AFD"/>
    <w:rsid w:val="007A6BC6"/>
    <w:rsid w:val="007A741D"/>
    <w:rsid w:val="007A7B86"/>
    <w:rsid w:val="007B04B2"/>
    <w:rsid w:val="007B1C90"/>
    <w:rsid w:val="007B3451"/>
    <w:rsid w:val="007B3B76"/>
    <w:rsid w:val="007B3C1F"/>
    <w:rsid w:val="007B4AAF"/>
    <w:rsid w:val="007B5EF4"/>
    <w:rsid w:val="007B6C14"/>
    <w:rsid w:val="007B6FC7"/>
    <w:rsid w:val="007B7460"/>
    <w:rsid w:val="007C06E8"/>
    <w:rsid w:val="007C155B"/>
    <w:rsid w:val="007C22BB"/>
    <w:rsid w:val="007C2453"/>
    <w:rsid w:val="007C2BDF"/>
    <w:rsid w:val="007C372F"/>
    <w:rsid w:val="007C46DE"/>
    <w:rsid w:val="007C4BCF"/>
    <w:rsid w:val="007C5250"/>
    <w:rsid w:val="007C52EA"/>
    <w:rsid w:val="007C53DC"/>
    <w:rsid w:val="007C5789"/>
    <w:rsid w:val="007C649D"/>
    <w:rsid w:val="007C6BA5"/>
    <w:rsid w:val="007C6FA9"/>
    <w:rsid w:val="007D0039"/>
    <w:rsid w:val="007D052E"/>
    <w:rsid w:val="007D142A"/>
    <w:rsid w:val="007D1606"/>
    <w:rsid w:val="007D2FDF"/>
    <w:rsid w:val="007D391F"/>
    <w:rsid w:val="007D39AA"/>
    <w:rsid w:val="007D43E2"/>
    <w:rsid w:val="007D5E39"/>
    <w:rsid w:val="007D60FB"/>
    <w:rsid w:val="007D6E1F"/>
    <w:rsid w:val="007D759E"/>
    <w:rsid w:val="007E03B0"/>
    <w:rsid w:val="007E0654"/>
    <w:rsid w:val="007E0A74"/>
    <w:rsid w:val="007E0E21"/>
    <w:rsid w:val="007E1402"/>
    <w:rsid w:val="007E1E0C"/>
    <w:rsid w:val="007E30B1"/>
    <w:rsid w:val="007E352B"/>
    <w:rsid w:val="007E3C2F"/>
    <w:rsid w:val="007E3EE8"/>
    <w:rsid w:val="007E4BA6"/>
    <w:rsid w:val="007E54AC"/>
    <w:rsid w:val="007E6987"/>
    <w:rsid w:val="007E74F8"/>
    <w:rsid w:val="007F05C2"/>
    <w:rsid w:val="007F0FBC"/>
    <w:rsid w:val="007F14AF"/>
    <w:rsid w:val="007F20AE"/>
    <w:rsid w:val="007F28C8"/>
    <w:rsid w:val="007F4487"/>
    <w:rsid w:val="007F572E"/>
    <w:rsid w:val="007F5DC6"/>
    <w:rsid w:val="007F5EA3"/>
    <w:rsid w:val="007F5F15"/>
    <w:rsid w:val="007F60C2"/>
    <w:rsid w:val="007F6555"/>
    <w:rsid w:val="007F6B3E"/>
    <w:rsid w:val="007F72E7"/>
    <w:rsid w:val="007F732F"/>
    <w:rsid w:val="007F74C7"/>
    <w:rsid w:val="007F7FDC"/>
    <w:rsid w:val="00801AA2"/>
    <w:rsid w:val="00802439"/>
    <w:rsid w:val="008027A0"/>
    <w:rsid w:val="0080284F"/>
    <w:rsid w:val="00802AFA"/>
    <w:rsid w:val="0080450F"/>
    <w:rsid w:val="00805561"/>
    <w:rsid w:val="00805969"/>
    <w:rsid w:val="00806249"/>
    <w:rsid w:val="00806623"/>
    <w:rsid w:val="00806B6F"/>
    <w:rsid w:val="00807138"/>
    <w:rsid w:val="00807BE8"/>
    <w:rsid w:val="0081078F"/>
    <w:rsid w:val="00810E46"/>
    <w:rsid w:val="00811054"/>
    <w:rsid w:val="00812C25"/>
    <w:rsid w:val="00812F7A"/>
    <w:rsid w:val="00813B61"/>
    <w:rsid w:val="00813C8A"/>
    <w:rsid w:val="0081451B"/>
    <w:rsid w:val="00814ACD"/>
    <w:rsid w:val="0081524C"/>
    <w:rsid w:val="008158D3"/>
    <w:rsid w:val="0081591D"/>
    <w:rsid w:val="00816C9D"/>
    <w:rsid w:val="00817000"/>
    <w:rsid w:val="008175B1"/>
    <w:rsid w:val="00817ECB"/>
    <w:rsid w:val="0082114D"/>
    <w:rsid w:val="00823B2B"/>
    <w:rsid w:val="00823C90"/>
    <w:rsid w:val="00824844"/>
    <w:rsid w:val="0082582F"/>
    <w:rsid w:val="00825849"/>
    <w:rsid w:val="00825B41"/>
    <w:rsid w:val="008260A8"/>
    <w:rsid w:val="008269FB"/>
    <w:rsid w:val="0082790B"/>
    <w:rsid w:val="008305AC"/>
    <w:rsid w:val="00830DA6"/>
    <w:rsid w:val="0083179E"/>
    <w:rsid w:val="008325F0"/>
    <w:rsid w:val="00832D4C"/>
    <w:rsid w:val="008333A8"/>
    <w:rsid w:val="008339EA"/>
    <w:rsid w:val="00833B2D"/>
    <w:rsid w:val="00833EFB"/>
    <w:rsid w:val="00834746"/>
    <w:rsid w:val="00834998"/>
    <w:rsid w:val="00834E28"/>
    <w:rsid w:val="00835B27"/>
    <w:rsid w:val="00837708"/>
    <w:rsid w:val="00841D42"/>
    <w:rsid w:val="00841ED4"/>
    <w:rsid w:val="008425C8"/>
    <w:rsid w:val="00842EE6"/>
    <w:rsid w:val="00843EAC"/>
    <w:rsid w:val="008448E6"/>
    <w:rsid w:val="00844DBC"/>
    <w:rsid w:val="00845AAB"/>
    <w:rsid w:val="00846029"/>
    <w:rsid w:val="00846118"/>
    <w:rsid w:val="00846FBE"/>
    <w:rsid w:val="008510E8"/>
    <w:rsid w:val="00851338"/>
    <w:rsid w:val="00852CB7"/>
    <w:rsid w:val="00852F05"/>
    <w:rsid w:val="008546BE"/>
    <w:rsid w:val="00855A0F"/>
    <w:rsid w:val="008577F9"/>
    <w:rsid w:val="00860118"/>
    <w:rsid w:val="00860D65"/>
    <w:rsid w:val="0086117C"/>
    <w:rsid w:val="0086120A"/>
    <w:rsid w:val="008612BD"/>
    <w:rsid w:val="008612EE"/>
    <w:rsid w:val="008614F5"/>
    <w:rsid w:val="00861B8E"/>
    <w:rsid w:val="00863290"/>
    <w:rsid w:val="00863A38"/>
    <w:rsid w:val="00864CFA"/>
    <w:rsid w:val="00864DB7"/>
    <w:rsid w:val="0087013E"/>
    <w:rsid w:val="00870D17"/>
    <w:rsid w:val="00871D01"/>
    <w:rsid w:val="0087321C"/>
    <w:rsid w:val="0087333E"/>
    <w:rsid w:val="00873487"/>
    <w:rsid w:val="00873DEC"/>
    <w:rsid w:val="008740BC"/>
    <w:rsid w:val="008756F2"/>
    <w:rsid w:val="00875A5B"/>
    <w:rsid w:val="008766E8"/>
    <w:rsid w:val="0087695A"/>
    <w:rsid w:val="00876B33"/>
    <w:rsid w:val="00876FD4"/>
    <w:rsid w:val="0087772E"/>
    <w:rsid w:val="008779BD"/>
    <w:rsid w:val="00880E98"/>
    <w:rsid w:val="00881197"/>
    <w:rsid w:val="008826CE"/>
    <w:rsid w:val="008832B3"/>
    <w:rsid w:val="0088357B"/>
    <w:rsid w:val="0088414E"/>
    <w:rsid w:val="00884607"/>
    <w:rsid w:val="00884EAA"/>
    <w:rsid w:val="0088777E"/>
    <w:rsid w:val="00887947"/>
    <w:rsid w:val="0089128D"/>
    <w:rsid w:val="00891A0B"/>
    <w:rsid w:val="00891C50"/>
    <w:rsid w:val="00891CF6"/>
    <w:rsid w:val="00891F43"/>
    <w:rsid w:val="00892A25"/>
    <w:rsid w:val="00893C5F"/>
    <w:rsid w:val="00893EBC"/>
    <w:rsid w:val="00894171"/>
    <w:rsid w:val="00894B1F"/>
    <w:rsid w:val="0089509C"/>
    <w:rsid w:val="008A012E"/>
    <w:rsid w:val="008A0FEA"/>
    <w:rsid w:val="008A40A3"/>
    <w:rsid w:val="008A44EF"/>
    <w:rsid w:val="008A4BE7"/>
    <w:rsid w:val="008A4DFF"/>
    <w:rsid w:val="008A4EB1"/>
    <w:rsid w:val="008A4F7C"/>
    <w:rsid w:val="008A533C"/>
    <w:rsid w:val="008A53F5"/>
    <w:rsid w:val="008A5D54"/>
    <w:rsid w:val="008A5D78"/>
    <w:rsid w:val="008A6512"/>
    <w:rsid w:val="008A6A9C"/>
    <w:rsid w:val="008B0190"/>
    <w:rsid w:val="008B052E"/>
    <w:rsid w:val="008B374F"/>
    <w:rsid w:val="008B38A9"/>
    <w:rsid w:val="008B4729"/>
    <w:rsid w:val="008B4CDA"/>
    <w:rsid w:val="008B5229"/>
    <w:rsid w:val="008B6690"/>
    <w:rsid w:val="008B6896"/>
    <w:rsid w:val="008B6C3F"/>
    <w:rsid w:val="008C03D0"/>
    <w:rsid w:val="008C26AF"/>
    <w:rsid w:val="008C29F9"/>
    <w:rsid w:val="008C39BE"/>
    <w:rsid w:val="008C3DDB"/>
    <w:rsid w:val="008C6735"/>
    <w:rsid w:val="008C6B62"/>
    <w:rsid w:val="008C6E28"/>
    <w:rsid w:val="008C7F64"/>
    <w:rsid w:val="008D015C"/>
    <w:rsid w:val="008D0572"/>
    <w:rsid w:val="008D0860"/>
    <w:rsid w:val="008D18F2"/>
    <w:rsid w:val="008D2DF6"/>
    <w:rsid w:val="008D3D5D"/>
    <w:rsid w:val="008D4673"/>
    <w:rsid w:val="008D47F7"/>
    <w:rsid w:val="008D4A9F"/>
    <w:rsid w:val="008D4B1F"/>
    <w:rsid w:val="008D4E02"/>
    <w:rsid w:val="008D584F"/>
    <w:rsid w:val="008D5905"/>
    <w:rsid w:val="008D6B8E"/>
    <w:rsid w:val="008D72D1"/>
    <w:rsid w:val="008D779F"/>
    <w:rsid w:val="008E028E"/>
    <w:rsid w:val="008E04D3"/>
    <w:rsid w:val="008E0919"/>
    <w:rsid w:val="008E17DD"/>
    <w:rsid w:val="008E219F"/>
    <w:rsid w:val="008E2CA9"/>
    <w:rsid w:val="008E2D4D"/>
    <w:rsid w:val="008E2FB2"/>
    <w:rsid w:val="008E545B"/>
    <w:rsid w:val="008E57FC"/>
    <w:rsid w:val="008E6D3E"/>
    <w:rsid w:val="008E74F1"/>
    <w:rsid w:val="008E775A"/>
    <w:rsid w:val="008F05EA"/>
    <w:rsid w:val="008F06F8"/>
    <w:rsid w:val="008F1628"/>
    <w:rsid w:val="008F1A3B"/>
    <w:rsid w:val="008F1BAB"/>
    <w:rsid w:val="008F237C"/>
    <w:rsid w:val="008F265D"/>
    <w:rsid w:val="008F7A95"/>
    <w:rsid w:val="009004E9"/>
    <w:rsid w:val="0090158F"/>
    <w:rsid w:val="00901ECC"/>
    <w:rsid w:val="00902246"/>
    <w:rsid w:val="009034EF"/>
    <w:rsid w:val="00904117"/>
    <w:rsid w:val="00904888"/>
    <w:rsid w:val="009048EA"/>
    <w:rsid w:val="009058CD"/>
    <w:rsid w:val="0090629F"/>
    <w:rsid w:val="00906967"/>
    <w:rsid w:val="0090700A"/>
    <w:rsid w:val="009075A1"/>
    <w:rsid w:val="00907843"/>
    <w:rsid w:val="00910212"/>
    <w:rsid w:val="00910EC5"/>
    <w:rsid w:val="0091116A"/>
    <w:rsid w:val="00911DB3"/>
    <w:rsid w:val="009122BF"/>
    <w:rsid w:val="00912442"/>
    <w:rsid w:val="00912859"/>
    <w:rsid w:val="009128D2"/>
    <w:rsid w:val="009138EE"/>
    <w:rsid w:val="00913D77"/>
    <w:rsid w:val="00913E0D"/>
    <w:rsid w:val="00915713"/>
    <w:rsid w:val="009158D9"/>
    <w:rsid w:val="00915BDE"/>
    <w:rsid w:val="00915F87"/>
    <w:rsid w:val="00916571"/>
    <w:rsid w:val="0091798A"/>
    <w:rsid w:val="00917CF8"/>
    <w:rsid w:val="00920332"/>
    <w:rsid w:val="009219C9"/>
    <w:rsid w:val="00922FBC"/>
    <w:rsid w:val="00923520"/>
    <w:rsid w:val="00923EA5"/>
    <w:rsid w:val="0092474C"/>
    <w:rsid w:val="009248FD"/>
    <w:rsid w:val="009255BE"/>
    <w:rsid w:val="009269C6"/>
    <w:rsid w:val="0092768E"/>
    <w:rsid w:val="009279B6"/>
    <w:rsid w:val="009305D9"/>
    <w:rsid w:val="00930674"/>
    <w:rsid w:val="009318A8"/>
    <w:rsid w:val="00934DA6"/>
    <w:rsid w:val="00935962"/>
    <w:rsid w:val="00936AF1"/>
    <w:rsid w:val="00936D96"/>
    <w:rsid w:val="0094081A"/>
    <w:rsid w:val="009420CE"/>
    <w:rsid w:val="009439F6"/>
    <w:rsid w:val="00943D26"/>
    <w:rsid w:val="009446FB"/>
    <w:rsid w:val="00945A05"/>
    <w:rsid w:val="00946341"/>
    <w:rsid w:val="00946700"/>
    <w:rsid w:val="00946D0C"/>
    <w:rsid w:val="00946DCF"/>
    <w:rsid w:val="00946EF6"/>
    <w:rsid w:val="00950048"/>
    <w:rsid w:val="00950120"/>
    <w:rsid w:val="00951CF4"/>
    <w:rsid w:val="00953EA2"/>
    <w:rsid w:val="009569FB"/>
    <w:rsid w:val="00956BF5"/>
    <w:rsid w:val="00956E65"/>
    <w:rsid w:val="00957092"/>
    <w:rsid w:val="00960919"/>
    <w:rsid w:val="00961348"/>
    <w:rsid w:val="00961871"/>
    <w:rsid w:val="00961BEF"/>
    <w:rsid w:val="009627FE"/>
    <w:rsid w:val="00963064"/>
    <w:rsid w:val="00963841"/>
    <w:rsid w:val="00964010"/>
    <w:rsid w:val="00965A83"/>
    <w:rsid w:val="00965FD5"/>
    <w:rsid w:val="009701DF"/>
    <w:rsid w:val="00970505"/>
    <w:rsid w:val="009710F3"/>
    <w:rsid w:val="0097153F"/>
    <w:rsid w:val="009721B3"/>
    <w:rsid w:val="009723F9"/>
    <w:rsid w:val="00972FB8"/>
    <w:rsid w:val="00973750"/>
    <w:rsid w:val="00974AA2"/>
    <w:rsid w:val="00975D7B"/>
    <w:rsid w:val="00975F9B"/>
    <w:rsid w:val="009765F4"/>
    <w:rsid w:val="00976694"/>
    <w:rsid w:val="009766E2"/>
    <w:rsid w:val="00976DCD"/>
    <w:rsid w:val="00977FC7"/>
    <w:rsid w:val="0098027C"/>
    <w:rsid w:val="009809EB"/>
    <w:rsid w:val="00980B17"/>
    <w:rsid w:val="00980DD8"/>
    <w:rsid w:val="00980FD4"/>
    <w:rsid w:val="009815C6"/>
    <w:rsid w:val="00981E93"/>
    <w:rsid w:val="0098228D"/>
    <w:rsid w:val="00982716"/>
    <w:rsid w:val="00982787"/>
    <w:rsid w:val="009848F0"/>
    <w:rsid w:val="0098692B"/>
    <w:rsid w:val="009870BC"/>
    <w:rsid w:val="00987869"/>
    <w:rsid w:val="009879C8"/>
    <w:rsid w:val="00990ADD"/>
    <w:rsid w:val="00990DEF"/>
    <w:rsid w:val="00991170"/>
    <w:rsid w:val="00991F4C"/>
    <w:rsid w:val="009920DE"/>
    <w:rsid w:val="009921ED"/>
    <w:rsid w:val="009938BA"/>
    <w:rsid w:val="009941A7"/>
    <w:rsid w:val="0099422B"/>
    <w:rsid w:val="00994323"/>
    <w:rsid w:val="00994471"/>
    <w:rsid w:val="009955B2"/>
    <w:rsid w:val="009956F8"/>
    <w:rsid w:val="00995E00"/>
    <w:rsid w:val="00996689"/>
    <w:rsid w:val="009975EE"/>
    <w:rsid w:val="009A0261"/>
    <w:rsid w:val="009A126C"/>
    <w:rsid w:val="009A1F1C"/>
    <w:rsid w:val="009A2DE7"/>
    <w:rsid w:val="009A357E"/>
    <w:rsid w:val="009A3752"/>
    <w:rsid w:val="009A38A2"/>
    <w:rsid w:val="009A390C"/>
    <w:rsid w:val="009A3E50"/>
    <w:rsid w:val="009A3FD1"/>
    <w:rsid w:val="009A463F"/>
    <w:rsid w:val="009A4AF9"/>
    <w:rsid w:val="009A4B78"/>
    <w:rsid w:val="009A4DD1"/>
    <w:rsid w:val="009A5908"/>
    <w:rsid w:val="009A601E"/>
    <w:rsid w:val="009A75B3"/>
    <w:rsid w:val="009A7BB4"/>
    <w:rsid w:val="009B20F6"/>
    <w:rsid w:val="009B2723"/>
    <w:rsid w:val="009B32B5"/>
    <w:rsid w:val="009B45B6"/>
    <w:rsid w:val="009B6F95"/>
    <w:rsid w:val="009B7310"/>
    <w:rsid w:val="009C0301"/>
    <w:rsid w:val="009C0874"/>
    <w:rsid w:val="009C0CE2"/>
    <w:rsid w:val="009C1105"/>
    <w:rsid w:val="009C1644"/>
    <w:rsid w:val="009C1DC4"/>
    <w:rsid w:val="009C21C9"/>
    <w:rsid w:val="009C2FC2"/>
    <w:rsid w:val="009C3264"/>
    <w:rsid w:val="009C4369"/>
    <w:rsid w:val="009C4397"/>
    <w:rsid w:val="009C497B"/>
    <w:rsid w:val="009C4EDE"/>
    <w:rsid w:val="009C5776"/>
    <w:rsid w:val="009C59BC"/>
    <w:rsid w:val="009C5E81"/>
    <w:rsid w:val="009C5E8E"/>
    <w:rsid w:val="009C5FC1"/>
    <w:rsid w:val="009C6051"/>
    <w:rsid w:val="009C60E3"/>
    <w:rsid w:val="009C6800"/>
    <w:rsid w:val="009D01B7"/>
    <w:rsid w:val="009D4650"/>
    <w:rsid w:val="009D4F58"/>
    <w:rsid w:val="009D5C35"/>
    <w:rsid w:val="009D5D38"/>
    <w:rsid w:val="009D5EC6"/>
    <w:rsid w:val="009D6362"/>
    <w:rsid w:val="009D7F19"/>
    <w:rsid w:val="009E12F0"/>
    <w:rsid w:val="009E15F9"/>
    <w:rsid w:val="009E15FC"/>
    <w:rsid w:val="009E2BCE"/>
    <w:rsid w:val="009E2D5A"/>
    <w:rsid w:val="009E4CF0"/>
    <w:rsid w:val="009E4F4D"/>
    <w:rsid w:val="009E5A87"/>
    <w:rsid w:val="009E6018"/>
    <w:rsid w:val="009E60CE"/>
    <w:rsid w:val="009E610A"/>
    <w:rsid w:val="009E6520"/>
    <w:rsid w:val="009E6554"/>
    <w:rsid w:val="009E6E4C"/>
    <w:rsid w:val="009E702E"/>
    <w:rsid w:val="009E7354"/>
    <w:rsid w:val="009E747B"/>
    <w:rsid w:val="009F0ED6"/>
    <w:rsid w:val="009F1320"/>
    <w:rsid w:val="009F1548"/>
    <w:rsid w:val="009F2B13"/>
    <w:rsid w:val="009F2B2F"/>
    <w:rsid w:val="009F2C1E"/>
    <w:rsid w:val="009F479D"/>
    <w:rsid w:val="009F70E4"/>
    <w:rsid w:val="009F7CAA"/>
    <w:rsid w:val="009F7D89"/>
    <w:rsid w:val="00A003A3"/>
    <w:rsid w:val="00A009D6"/>
    <w:rsid w:val="00A00B5F"/>
    <w:rsid w:val="00A00CF0"/>
    <w:rsid w:val="00A0302B"/>
    <w:rsid w:val="00A0347B"/>
    <w:rsid w:val="00A03875"/>
    <w:rsid w:val="00A03A38"/>
    <w:rsid w:val="00A04478"/>
    <w:rsid w:val="00A0472F"/>
    <w:rsid w:val="00A04929"/>
    <w:rsid w:val="00A05B7F"/>
    <w:rsid w:val="00A063B2"/>
    <w:rsid w:val="00A100A0"/>
    <w:rsid w:val="00A1166A"/>
    <w:rsid w:val="00A11F2A"/>
    <w:rsid w:val="00A12107"/>
    <w:rsid w:val="00A12545"/>
    <w:rsid w:val="00A1356A"/>
    <w:rsid w:val="00A1447E"/>
    <w:rsid w:val="00A14C15"/>
    <w:rsid w:val="00A14DEF"/>
    <w:rsid w:val="00A164CD"/>
    <w:rsid w:val="00A16892"/>
    <w:rsid w:val="00A1770A"/>
    <w:rsid w:val="00A179A1"/>
    <w:rsid w:val="00A17ED5"/>
    <w:rsid w:val="00A20CD6"/>
    <w:rsid w:val="00A21337"/>
    <w:rsid w:val="00A217AC"/>
    <w:rsid w:val="00A224B1"/>
    <w:rsid w:val="00A227B3"/>
    <w:rsid w:val="00A23B31"/>
    <w:rsid w:val="00A23F68"/>
    <w:rsid w:val="00A242F4"/>
    <w:rsid w:val="00A25A9C"/>
    <w:rsid w:val="00A26BA6"/>
    <w:rsid w:val="00A27077"/>
    <w:rsid w:val="00A27534"/>
    <w:rsid w:val="00A27AC6"/>
    <w:rsid w:val="00A30137"/>
    <w:rsid w:val="00A3023D"/>
    <w:rsid w:val="00A30E59"/>
    <w:rsid w:val="00A31A43"/>
    <w:rsid w:val="00A3210F"/>
    <w:rsid w:val="00A331C7"/>
    <w:rsid w:val="00A33233"/>
    <w:rsid w:val="00A33902"/>
    <w:rsid w:val="00A33A2C"/>
    <w:rsid w:val="00A34269"/>
    <w:rsid w:val="00A34A38"/>
    <w:rsid w:val="00A371BB"/>
    <w:rsid w:val="00A376D4"/>
    <w:rsid w:val="00A4131D"/>
    <w:rsid w:val="00A419A4"/>
    <w:rsid w:val="00A42001"/>
    <w:rsid w:val="00A423DB"/>
    <w:rsid w:val="00A42577"/>
    <w:rsid w:val="00A44BC9"/>
    <w:rsid w:val="00A44F56"/>
    <w:rsid w:val="00A456C4"/>
    <w:rsid w:val="00A45816"/>
    <w:rsid w:val="00A45B40"/>
    <w:rsid w:val="00A46B8E"/>
    <w:rsid w:val="00A46BE3"/>
    <w:rsid w:val="00A46ECA"/>
    <w:rsid w:val="00A47703"/>
    <w:rsid w:val="00A47CBF"/>
    <w:rsid w:val="00A500F3"/>
    <w:rsid w:val="00A504C8"/>
    <w:rsid w:val="00A50A24"/>
    <w:rsid w:val="00A50B38"/>
    <w:rsid w:val="00A51D5A"/>
    <w:rsid w:val="00A51D90"/>
    <w:rsid w:val="00A52A7D"/>
    <w:rsid w:val="00A53A5C"/>
    <w:rsid w:val="00A53CC8"/>
    <w:rsid w:val="00A54009"/>
    <w:rsid w:val="00A54046"/>
    <w:rsid w:val="00A540AF"/>
    <w:rsid w:val="00A56AFA"/>
    <w:rsid w:val="00A56EDE"/>
    <w:rsid w:val="00A577C5"/>
    <w:rsid w:val="00A602E7"/>
    <w:rsid w:val="00A6093C"/>
    <w:rsid w:val="00A618FF"/>
    <w:rsid w:val="00A61E99"/>
    <w:rsid w:val="00A62192"/>
    <w:rsid w:val="00A621A9"/>
    <w:rsid w:val="00A6437D"/>
    <w:rsid w:val="00A64E7F"/>
    <w:rsid w:val="00A65EF5"/>
    <w:rsid w:val="00A672B7"/>
    <w:rsid w:val="00A67458"/>
    <w:rsid w:val="00A67908"/>
    <w:rsid w:val="00A679D0"/>
    <w:rsid w:val="00A67FCE"/>
    <w:rsid w:val="00A7279E"/>
    <w:rsid w:val="00A72C9E"/>
    <w:rsid w:val="00A7301F"/>
    <w:rsid w:val="00A74363"/>
    <w:rsid w:val="00A76094"/>
    <w:rsid w:val="00A76881"/>
    <w:rsid w:val="00A77FFB"/>
    <w:rsid w:val="00A80BA5"/>
    <w:rsid w:val="00A81991"/>
    <w:rsid w:val="00A826B8"/>
    <w:rsid w:val="00A82F39"/>
    <w:rsid w:val="00A83111"/>
    <w:rsid w:val="00A83730"/>
    <w:rsid w:val="00A83940"/>
    <w:rsid w:val="00A83B50"/>
    <w:rsid w:val="00A85C8E"/>
    <w:rsid w:val="00A86BD3"/>
    <w:rsid w:val="00A9057F"/>
    <w:rsid w:val="00A91014"/>
    <w:rsid w:val="00A91A6C"/>
    <w:rsid w:val="00A938D4"/>
    <w:rsid w:val="00A939D5"/>
    <w:rsid w:val="00A94943"/>
    <w:rsid w:val="00A95309"/>
    <w:rsid w:val="00A957C8"/>
    <w:rsid w:val="00A95902"/>
    <w:rsid w:val="00A9726E"/>
    <w:rsid w:val="00A979C4"/>
    <w:rsid w:val="00A97FF1"/>
    <w:rsid w:val="00AA0129"/>
    <w:rsid w:val="00AA0F21"/>
    <w:rsid w:val="00AA0F5D"/>
    <w:rsid w:val="00AA18FA"/>
    <w:rsid w:val="00AA2644"/>
    <w:rsid w:val="00AA2D93"/>
    <w:rsid w:val="00AA3977"/>
    <w:rsid w:val="00AA39F6"/>
    <w:rsid w:val="00AA470F"/>
    <w:rsid w:val="00AA4990"/>
    <w:rsid w:val="00AA4D23"/>
    <w:rsid w:val="00AA6197"/>
    <w:rsid w:val="00AA6987"/>
    <w:rsid w:val="00AA73FE"/>
    <w:rsid w:val="00AB12E3"/>
    <w:rsid w:val="00AB19DB"/>
    <w:rsid w:val="00AB2C35"/>
    <w:rsid w:val="00AB37FD"/>
    <w:rsid w:val="00AB4059"/>
    <w:rsid w:val="00AB4D19"/>
    <w:rsid w:val="00AB4DCE"/>
    <w:rsid w:val="00AB50F2"/>
    <w:rsid w:val="00AB5347"/>
    <w:rsid w:val="00AB5C09"/>
    <w:rsid w:val="00AB6D95"/>
    <w:rsid w:val="00AB6E36"/>
    <w:rsid w:val="00AB6ED7"/>
    <w:rsid w:val="00AB7114"/>
    <w:rsid w:val="00AB7E89"/>
    <w:rsid w:val="00AC0CFF"/>
    <w:rsid w:val="00AC180E"/>
    <w:rsid w:val="00AC1D61"/>
    <w:rsid w:val="00AC1F2A"/>
    <w:rsid w:val="00AC26DD"/>
    <w:rsid w:val="00AC34B7"/>
    <w:rsid w:val="00AC3B1B"/>
    <w:rsid w:val="00AC4D5A"/>
    <w:rsid w:val="00AC56AF"/>
    <w:rsid w:val="00AC5F27"/>
    <w:rsid w:val="00AC5F32"/>
    <w:rsid w:val="00AC684D"/>
    <w:rsid w:val="00AD0CF3"/>
    <w:rsid w:val="00AD1208"/>
    <w:rsid w:val="00AD16B8"/>
    <w:rsid w:val="00AD1FD7"/>
    <w:rsid w:val="00AD2345"/>
    <w:rsid w:val="00AD2492"/>
    <w:rsid w:val="00AD36C8"/>
    <w:rsid w:val="00AD3DFB"/>
    <w:rsid w:val="00AD499D"/>
    <w:rsid w:val="00AD4ADF"/>
    <w:rsid w:val="00AD5B5F"/>
    <w:rsid w:val="00AD605E"/>
    <w:rsid w:val="00AD65FD"/>
    <w:rsid w:val="00AD6AEF"/>
    <w:rsid w:val="00AD6E15"/>
    <w:rsid w:val="00AD6F74"/>
    <w:rsid w:val="00AD74BA"/>
    <w:rsid w:val="00AD7F3C"/>
    <w:rsid w:val="00AE1410"/>
    <w:rsid w:val="00AE1B78"/>
    <w:rsid w:val="00AE1DEE"/>
    <w:rsid w:val="00AE2060"/>
    <w:rsid w:val="00AE2192"/>
    <w:rsid w:val="00AE2B60"/>
    <w:rsid w:val="00AE2ECE"/>
    <w:rsid w:val="00AE30F1"/>
    <w:rsid w:val="00AE61D4"/>
    <w:rsid w:val="00AE6354"/>
    <w:rsid w:val="00AE64AE"/>
    <w:rsid w:val="00AE66D4"/>
    <w:rsid w:val="00AE6794"/>
    <w:rsid w:val="00AE6A6E"/>
    <w:rsid w:val="00AE7BE5"/>
    <w:rsid w:val="00AF1ECD"/>
    <w:rsid w:val="00AF217B"/>
    <w:rsid w:val="00AF2434"/>
    <w:rsid w:val="00AF2866"/>
    <w:rsid w:val="00AF42D4"/>
    <w:rsid w:val="00AF44A8"/>
    <w:rsid w:val="00AF4AE8"/>
    <w:rsid w:val="00AF5479"/>
    <w:rsid w:val="00AF610F"/>
    <w:rsid w:val="00B00C20"/>
    <w:rsid w:val="00B01022"/>
    <w:rsid w:val="00B016EC"/>
    <w:rsid w:val="00B01D66"/>
    <w:rsid w:val="00B024C7"/>
    <w:rsid w:val="00B028DC"/>
    <w:rsid w:val="00B02B81"/>
    <w:rsid w:val="00B0316D"/>
    <w:rsid w:val="00B03D7F"/>
    <w:rsid w:val="00B03FF3"/>
    <w:rsid w:val="00B045F3"/>
    <w:rsid w:val="00B04D3D"/>
    <w:rsid w:val="00B055F2"/>
    <w:rsid w:val="00B05ACD"/>
    <w:rsid w:val="00B07A0C"/>
    <w:rsid w:val="00B101A5"/>
    <w:rsid w:val="00B10CC6"/>
    <w:rsid w:val="00B1107D"/>
    <w:rsid w:val="00B11512"/>
    <w:rsid w:val="00B116AB"/>
    <w:rsid w:val="00B1266C"/>
    <w:rsid w:val="00B137B6"/>
    <w:rsid w:val="00B14DEC"/>
    <w:rsid w:val="00B150C7"/>
    <w:rsid w:val="00B15763"/>
    <w:rsid w:val="00B16262"/>
    <w:rsid w:val="00B17E27"/>
    <w:rsid w:val="00B17FEA"/>
    <w:rsid w:val="00B203A0"/>
    <w:rsid w:val="00B205A0"/>
    <w:rsid w:val="00B20EA1"/>
    <w:rsid w:val="00B2167E"/>
    <w:rsid w:val="00B239C0"/>
    <w:rsid w:val="00B23CF9"/>
    <w:rsid w:val="00B23DA8"/>
    <w:rsid w:val="00B243DB"/>
    <w:rsid w:val="00B248E4"/>
    <w:rsid w:val="00B25770"/>
    <w:rsid w:val="00B263A3"/>
    <w:rsid w:val="00B266BB"/>
    <w:rsid w:val="00B26A4B"/>
    <w:rsid w:val="00B2701A"/>
    <w:rsid w:val="00B27C69"/>
    <w:rsid w:val="00B30848"/>
    <w:rsid w:val="00B31E93"/>
    <w:rsid w:val="00B34A62"/>
    <w:rsid w:val="00B34D16"/>
    <w:rsid w:val="00B34E97"/>
    <w:rsid w:val="00B3537D"/>
    <w:rsid w:val="00B35908"/>
    <w:rsid w:val="00B36FFA"/>
    <w:rsid w:val="00B40929"/>
    <w:rsid w:val="00B42BED"/>
    <w:rsid w:val="00B42EC5"/>
    <w:rsid w:val="00B43846"/>
    <w:rsid w:val="00B443AD"/>
    <w:rsid w:val="00B45626"/>
    <w:rsid w:val="00B459F7"/>
    <w:rsid w:val="00B463F2"/>
    <w:rsid w:val="00B46F38"/>
    <w:rsid w:val="00B479CC"/>
    <w:rsid w:val="00B50E8E"/>
    <w:rsid w:val="00B513DB"/>
    <w:rsid w:val="00B5156A"/>
    <w:rsid w:val="00B51BC1"/>
    <w:rsid w:val="00B52D1D"/>
    <w:rsid w:val="00B53E96"/>
    <w:rsid w:val="00B555DF"/>
    <w:rsid w:val="00B55BA7"/>
    <w:rsid w:val="00B561CD"/>
    <w:rsid w:val="00B604FD"/>
    <w:rsid w:val="00B60853"/>
    <w:rsid w:val="00B60ACD"/>
    <w:rsid w:val="00B620E3"/>
    <w:rsid w:val="00B625B5"/>
    <w:rsid w:val="00B629B1"/>
    <w:rsid w:val="00B630B6"/>
    <w:rsid w:val="00B63868"/>
    <w:rsid w:val="00B64710"/>
    <w:rsid w:val="00B64B75"/>
    <w:rsid w:val="00B65335"/>
    <w:rsid w:val="00B660B2"/>
    <w:rsid w:val="00B660F9"/>
    <w:rsid w:val="00B665EB"/>
    <w:rsid w:val="00B66D09"/>
    <w:rsid w:val="00B675D5"/>
    <w:rsid w:val="00B703C0"/>
    <w:rsid w:val="00B70D4C"/>
    <w:rsid w:val="00B71708"/>
    <w:rsid w:val="00B72136"/>
    <w:rsid w:val="00B72E93"/>
    <w:rsid w:val="00B74691"/>
    <w:rsid w:val="00B746C9"/>
    <w:rsid w:val="00B75B79"/>
    <w:rsid w:val="00B76F23"/>
    <w:rsid w:val="00B80381"/>
    <w:rsid w:val="00B8081B"/>
    <w:rsid w:val="00B81371"/>
    <w:rsid w:val="00B81BB9"/>
    <w:rsid w:val="00B84943"/>
    <w:rsid w:val="00B8766A"/>
    <w:rsid w:val="00B876D1"/>
    <w:rsid w:val="00B8787C"/>
    <w:rsid w:val="00B87CF7"/>
    <w:rsid w:val="00B90A7E"/>
    <w:rsid w:val="00B934AC"/>
    <w:rsid w:val="00B94484"/>
    <w:rsid w:val="00B95C58"/>
    <w:rsid w:val="00B96172"/>
    <w:rsid w:val="00B9695D"/>
    <w:rsid w:val="00B96C8A"/>
    <w:rsid w:val="00B96CD8"/>
    <w:rsid w:val="00BA0C97"/>
    <w:rsid w:val="00BA1588"/>
    <w:rsid w:val="00BA1AB6"/>
    <w:rsid w:val="00BA1BC4"/>
    <w:rsid w:val="00BA1DA5"/>
    <w:rsid w:val="00BA20E4"/>
    <w:rsid w:val="00BA35E1"/>
    <w:rsid w:val="00BA3C7C"/>
    <w:rsid w:val="00BA4410"/>
    <w:rsid w:val="00BA6750"/>
    <w:rsid w:val="00BA727B"/>
    <w:rsid w:val="00BA72F5"/>
    <w:rsid w:val="00BA7F89"/>
    <w:rsid w:val="00BB09E3"/>
    <w:rsid w:val="00BB1028"/>
    <w:rsid w:val="00BB1E7B"/>
    <w:rsid w:val="00BB33D1"/>
    <w:rsid w:val="00BB357D"/>
    <w:rsid w:val="00BB7988"/>
    <w:rsid w:val="00BB7999"/>
    <w:rsid w:val="00BC0129"/>
    <w:rsid w:val="00BC0329"/>
    <w:rsid w:val="00BC0FB5"/>
    <w:rsid w:val="00BC11A4"/>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345A"/>
    <w:rsid w:val="00BD42CA"/>
    <w:rsid w:val="00BD4EDC"/>
    <w:rsid w:val="00BD5134"/>
    <w:rsid w:val="00BD545F"/>
    <w:rsid w:val="00BD5FCF"/>
    <w:rsid w:val="00BD66B4"/>
    <w:rsid w:val="00BD6EFE"/>
    <w:rsid w:val="00BE00FA"/>
    <w:rsid w:val="00BE1423"/>
    <w:rsid w:val="00BE1FC1"/>
    <w:rsid w:val="00BE2798"/>
    <w:rsid w:val="00BE36DB"/>
    <w:rsid w:val="00BE39FE"/>
    <w:rsid w:val="00BE4158"/>
    <w:rsid w:val="00BE42B7"/>
    <w:rsid w:val="00BE4814"/>
    <w:rsid w:val="00BE4B55"/>
    <w:rsid w:val="00BE592F"/>
    <w:rsid w:val="00BE6E5C"/>
    <w:rsid w:val="00BE7FA0"/>
    <w:rsid w:val="00BE7FA4"/>
    <w:rsid w:val="00BF021E"/>
    <w:rsid w:val="00BF07F9"/>
    <w:rsid w:val="00BF1389"/>
    <w:rsid w:val="00BF1937"/>
    <w:rsid w:val="00BF19BB"/>
    <w:rsid w:val="00BF2CAE"/>
    <w:rsid w:val="00BF36F3"/>
    <w:rsid w:val="00BF641F"/>
    <w:rsid w:val="00BF6EC1"/>
    <w:rsid w:val="00BF7971"/>
    <w:rsid w:val="00C01B29"/>
    <w:rsid w:val="00C022DA"/>
    <w:rsid w:val="00C02FAB"/>
    <w:rsid w:val="00C045FD"/>
    <w:rsid w:val="00C048C1"/>
    <w:rsid w:val="00C04AA0"/>
    <w:rsid w:val="00C052C1"/>
    <w:rsid w:val="00C057C2"/>
    <w:rsid w:val="00C06277"/>
    <w:rsid w:val="00C066DA"/>
    <w:rsid w:val="00C07840"/>
    <w:rsid w:val="00C102BB"/>
    <w:rsid w:val="00C106CA"/>
    <w:rsid w:val="00C10B98"/>
    <w:rsid w:val="00C11393"/>
    <w:rsid w:val="00C120BB"/>
    <w:rsid w:val="00C12357"/>
    <w:rsid w:val="00C12E1C"/>
    <w:rsid w:val="00C12E68"/>
    <w:rsid w:val="00C12F61"/>
    <w:rsid w:val="00C1556A"/>
    <w:rsid w:val="00C17315"/>
    <w:rsid w:val="00C179B9"/>
    <w:rsid w:val="00C17DB0"/>
    <w:rsid w:val="00C17EA7"/>
    <w:rsid w:val="00C202D6"/>
    <w:rsid w:val="00C20321"/>
    <w:rsid w:val="00C21064"/>
    <w:rsid w:val="00C22B71"/>
    <w:rsid w:val="00C24826"/>
    <w:rsid w:val="00C24B1D"/>
    <w:rsid w:val="00C24E48"/>
    <w:rsid w:val="00C26623"/>
    <w:rsid w:val="00C26661"/>
    <w:rsid w:val="00C274D3"/>
    <w:rsid w:val="00C30801"/>
    <w:rsid w:val="00C32E13"/>
    <w:rsid w:val="00C333CE"/>
    <w:rsid w:val="00C34363"/>
    <w:rsid w:val="00C34E97"/>
    <w:rsid w:val="00C34FEF"/>
    <w:rsid w:val="00C35176"/>
    <w:rsid w:val="00C35A29"/>
    <w:rsid w:val="00C3677D"/>
    <w:rsid w:val="00C373F9"/>
    <w:rsid w:val="00C4048F"/>
    <w:rsid w:val="00C40E61"/>
    <w:rsid w:val="00C40EB4"/>
    <w:rsid w:val="00C4170D"/>
    <w:rsid w:val="00C41F62"/>
    <w:rsid w:val="00C42BCF"/>
    <w:rsid w:val="00C42E5F"/>
    <w:rsid w:val="00C43E5C"/>
    <w:rsid w:val="00C45236"/>
    <w:rsid w:val="00C45F31"/>
    <w:rsid w:val="00C468C0"/>
    <w:rsid w:val="00C46DFA"/>
    <w:rsid w:val="00C4719D"/>
    <w:rsid w:val="00C4775D"/>
    <w:rsid w:val="00C47850"/>
    <w:rsid w:val="00C47CE3"/>
    <w:rsid w:val="00C47DE8"/>
    <w:rsid w:val="00C513B6"/>
    <w:rsid w:val="00C51660"/>
    <w:rsid w:val="00C52D1D"/>
    <w:rsid w:val="00C533C0"/>
    <w:rsid w:val="00C534C2"/>
    <w:rsid w:val="00C538F5"/>
    <w:rsid w:val="00C54437"/>
    <w:rsid w:val="00C55342"/>
    <w:rsid w:val="00C55B70"/>
    <w:rsid w:val="00C55C6D"/>
    <w:rsid w:val="00C563C5"/>
    <w:rsid w:val="00C563E2"/>
    <w:rsid w:val="00C563E4"/>
    <w:rsid w:val="00C60127"/>
    <w:rsid w:val="00C61196"/>
    <w:rsid w:val="00C62B03"/>
    <w:rsid w:val="00C63FD3"/>
    <w:rsid w:val="00C64170"/>
    <w:rsid w:val="00C646D8"/>
    <w:rsid w:val="00C647A4"/>
    <w:rsid w:val="00C65C8A"/>
    <w:rsid w:val="00C65EEC"/>
    <w:rsid w:val="00C67A63"/>
    <w:rsid w:val="00C702F4"/>
    <w:rsid w:val="00C70838"/>
    <w:rsid w:val="00C7205E"/>
    <w:rsid w:val="00C7244F"/>
    <w:rsid w:val="00C72552"/>
    <w:rsid w:val="00C729BA"/>
    <w:rsid w:val="00C7317B"/>
    <w:rsid w:val="00C73AD8"/>
    <w:rsid w:val="00C7409B"/>
    <w:rsid w:val="00C7418A"/>
    <w:rsid w:val="00C74BCD"/>
    <w:rsid w:val="00C74E0B"/>
    <w:rsid w:val="00C755F0"/>
    <w:rsid w:val="00C755FD"/>
    <w:rsid w:val="00C76E61"/>
    <w:rsid w:val="00C77A08"/>
    <w:rsid w:val="00C804D2"/>
    <w:rsid w:val="00C80C74"/>
    <w:rsid w:val="00C80F6C"/>
    <w:rsid w:val="00C8126D"/>
    <w:rsid w:val="00C8193A"/>
    <w:rsid w:val="00C84BE3"/>
    <w:rsid w:val="00C8533C"/>
    <w:rsid w:val="00C858DD"/>
    <w:rsid w:val="00C8593A"/>
    <w:rsid w:val="00C86340"/>
    <w:rsid w:val="00C86801"/>
    <w:rsid w:val="00C86F33"/>
    <w:rsid w:val="00C87AA4"/>
    <w:rsid w:val="00C92162"/>
    <w:rsid w:val="00C937D7"/>
    <w:rsid w:val="00C94339"/>
    <w:rsid w:val="00C94473"/>
    <w:rsid w:val="00C94F4A"/>
    <w:rsid w:val="00C95A22"/>
    <w:rsid w:val="00C969E5"/>
    <w:rsid w:val="00C97829"/>
    <w:rsid w:val="00C97EC8"/>
    <w:rsid w:val="00CA022E"/>
    <w:rsid w:val="00CA0531"/>
    <w:rsid w:val="00CA0B5B"/>
    <w:rsid w:val="00CA2B4A"/>
    <w:rsid w:val="00CA3150"/>
    <w:rsid w:val="00CA3238"/>
    <w:rsid w:val="00CA67E7"/>
    <w:rsid w:val="00CA7A5E"/>
    <w:rsid w:val="00CB005A"/>
    <w:rsid w:val="00CB16D9"/>
    <w:rsid w:val="00CB283A"/>
    <w:rsid w:val="00CB2A75"/>
    <w:rsid w:val="00CB2CE4"/>
    <w:rsid w:val="00CB33E2"/>
    <w:rsid w:val="00CB3492"/>
    <w:rsid w:val="00CB40C7"/>
    <w:rsid w:val="00CB46A6"/>
    <w:rsid w:val="00CB4B1B"/>
    <w:rsid w:val="00CB4BD4"/>
    <w:rsid w:val="00CC0182"/>
    <w:rsid w:val="00CC0BB5"/>
    <w:rsid w:val="00CC3085"/>
    <w:rsid w:val="00CC4C93"/>
    <w:rsid w:val="00CC55C8"/>
    <w:rsid w:val="00CC5BC7"/>
    <w:rsid w:val="00CC6B8C"/>
    <w:rsid w:val="00CD0431"/>
    <w:rsid w:val="00CD2904"/>
    <w:rsid w:val="00CD2B29"/>
    <w:rsid w:val="00CD359F"/>
    <w:rsid w:val="00CD3A2B"/>
    <w:rsid w:val="00CD3BC2"/>
    <w:rsid w:val="00CD4678"/>
    <w:rsid w:val="00CD472C"/>
    <w:rsid w:val="00CD493A"/>
    <w:rsid w:val="00CD6329"/>
    <w:rsid w:val="00CE1629"/>
    <w:rsid w:val="00CE1AC1"/>
    <w:rsid w:val="00CE1B7E"/>
    <w:rsid w:val="00CE1BE7"/>
    <w:rsid w:val="00CE280C"/>
    <w:rsid w:val="00CE2CF8"/>
    <w:rsid w:val="00CE4EE4"/>
    <w:rsid w:val="00CE520C"/>
    <w:rsid w:val="00CE5DD8"/>
    <w:rsid w:val="00CE6017"/>
    <w:rsid w:val="00CE6541"/>
    <w:rsid w:val="00CE74D6"/>
    <w:rsid w:val="00CF028E"/>
    <w:rsid w:val="00CF07FF"/>
    <w:rsid w:val="00CF0CEA"/>
    <w:rsid w:val="00CF13C0"/>
    <w:rsid w:val="00CF23B8"/>
    <w:rsid w:val="00CF243F"/>
    <w:rsid w:val="00CF268B"/>
    <w:rsid w:val="00CF2F81"/>
    <w:rsid w:val="00CF2FC4"/>
    <w:rsid w:val="00CF2FF2"/>
    <w:rsid w:val="00CF4AB9"/>
    <w:rsid w:val="00CF4FD4"/>
    <w:rsid w:val="00CF60D3"/>
    <w:rsid w:val="00CF6208"/>
    <w:rsid w:val="00CF7B4B"/>
    <w:rsid w:val="00D0042F"/>
    <w:rsid w:val="00D011EE"/>
    <w:rsid w:val="00D01C20"/>
    <w:rsid w:val="00D01DD8"/>
    <w:rsid w:val="00D0213D"/>
    <w:rsid w:val="00D03610"/>
    <w:rsid w:val="00D036D7"/>
    <w:rsid w:val="00D03F31"/>
    <w:rsid w:val="00D0458A"/>
    <w:rsid w:val="00D0528C"/>
    <w:rsid w:val="00D05790"/>
    <w:rsid w:val="00D057E2"/>
    <w:rsid w:val="00D07392"/>
    <w:rsid w:val="00D074B2"/>
    <w:rsid w:val="00D0757D"/>
    <w:rsid w:val="00D07D07"/>
    <w:rsid w:val="00D10967"/>
    <w:rsid w:val="00D11464"/>
    <w:rsid w:val="00D12355"/>
    <w:rsid w:val="00D1252E"/>
    <w:rsid w:val="00D13900"/>
    <w:rsid w:val="00D1469F"/>
    <w:rsid w:val="00D1470D"/>
    <w:rsid w:val="00D14F9D"/>
    <w:rsid w:val="00D15051"/>
    <w:rsid w:val="00D15423"/>
    <w:rsid w:val="00D154E0"/>
    <w:rsid w:val="00D16C1D"/>
    <w:rsid w:val="00D16C30"/>
    <w:rsid w:val="00D20BA6"/>
    <w:rsid w:val="00D22205"/>
    <w:rsid w:val="00D23026"/>
    <w:rsid w:val="00D2438C"/>
    <w:rsid w:val="00D26E9D"/>
    <w:rsid w:val="00D27AD9"/>
    <w:rsid w:val="00D27B33"/>
    <w:rsid w:val="00D27EC2"/>
    <w:rsid w:val="00D3074A"/>
    <w:rsid w:val="00D30BBF"/>
    <w:rsid w:val="00D3202D"/>
    <w:rsid w:val="00D323A1"/>
    <w:rsid w:val="00D32CC7"/>
    <w:rsid w:val="00D33E0F"/>
    <w:rsid w:val="00D34F51"/>
    <w:rsid w:val="00D35035"/>
    <w:rsid w:val="00D350DE"/>
    <w:rsid w:val="00D356C7"/>
    <w:rsid w:val="00D35896"/>
    <w:rsid w:val="00D359CF"/>
    <w:rsid w:val="00D362A4"/>
    <w:rsid w:val="00D36F21"/>
    <w:rsid w:val="00D3746A"/>
    <w:rsid w:val="00D40491"/>
    <w:rsid w:val="00D408BA"/>
    <w:rsid w:val="00D41C3F"/>
    <w:rsid w:val="00D42555"/>
    <w:rsid w:val="00D428FE"/>
    <w:rsid w:val="00D42BE7"/>
    <w:rsid w:val="00D436EE"/>
    <w:rsid w:val="00D43DF5"/>
    <w:rsid w:val="00D44C29"/>
    <w:rsid w:val="00D44DF5"/>
    <w:rsid w:val="00D45288"/>
    <w:rsid w:val="00D45FEC"/>
    <w:rsid w:val="00D46408"/>
    <w:rsid w:val="00D46D03"/>
    <w:rsid w:val="00D47B9C"/>
    <w:rsid w:val="00D5005A"/>
    <w:rsid w:val="00D51AFD"/>
    <w:rsid w:val="00D52272"/>
    <w:rsid w:val="00D52E36"/>
    <w:rsid w:val="00D537DD"/>
    <w:rsid w:val="00D54C26"/>
    <w:rsid w:val="00D54DDB"/>
    <w:rsid w:val="00D563F8"/>
    <w:rsid w:val="00D567F8"/>
    <w:rsid w:val="00D56A9D"/>
    <w:rsid w:val="00D61303"/>
    <w:rsid w:val="00D6158D"/>
    <w:rsid w:val="00D61D92"/>
    <w:rsid w:val="00D621F5"/>
    <w:rsid w:val="00D62400"/>
    <w:rsid w:val="00D6256F"/>
    <w:rsid w:val="00D635A7"/>
    <w:rsid w:val="00D63738"/>
    <w:rsid w:val="00D65BA8"/>
    <w:rsid w:val="00D661DD"/>
    <w:rsid w:val="00D66D49"/>
    <w:rsid w:val="00D67B4F"/>
    <w:rsid w:val="00D70067"/>
    <w:rsid w:val="00D701F7"/>
    <w:rsid w:val="00D71A69"/>
    <w:rsid w:val="00D71F98"/>
    <w:rsid w:val="00D728D9"/>
    <w:rsid w:val="00D72F04"/>
    <w:rsid w:val="00D7348B"/>
    <w:rsid w:val="00D7452F"/>
    <w:rsid w:val="00D74FA2"/>
    <w:rsid w:val="00D751F1"/>
    <w:rsid w:val="00D77437"/>
    <w:rsid w:val="00D779A2"/>
    <w:rsid w:val="00D77D35"/>
    <w:rsid w:val="00D80112"/>
    <w:rsid w:val="00D80B6B"/>
    <w:rsid w:val="00D823FD"/>
    <w:rsid w:val="00D82B19"/>
    <w:rsid w:val="00D83740"/>
    <w:rsid w:val="00D83C2D"/>
    <w:rsid w:val="00D846F5"/>
    <w:rsid w:val="00D84F75"/>
    <w:rsid w:val="00D85415"/>
    <w:rsid w:val="00D86012"/>
    <w:rsid w:val="00D86AC2"/>
    <w:rsid w:val="00D8783E"/>
    <w:rsid w:val="00D90A75"/>
    <w:rsid w:val="00D91267"/>
    <w:rsid w:val="00D91CA1"/>
    <w:rsid w:val="00D92937"/>
    <w:rsid w:val="00D94449"/>
    <w:rsid w:val="00D94450"/>
    <w:rsid w:val="00D94746"/>
    <w:rsid w:val="00D94D91"/>
    <w:rsid w:val="00D94FE7"/>
    <w:rsid w:val="00D9531B"/>
    <w:rsid w:val="00D95961"/>
    <w:rsid w:val="00D95C36"/>
    <w:rsid w:val="00D966D8"/>
    <w:rsid w:val="00DA0F84"/>
    <w:rsid w:val="00DA131D"/>
    <w:rsid w:val="00DA14DC"/>
    <w:rsid w:val="00DA180C"/>
    <w:rsid w:val="00DA1EBD"/>
    <w:rsid w:val="00DA22B2"/>
    <w:rsid w:val="00DA3832"/>
    <w:rsid w:val="00DA39FF"/>
    <w:rsid w:val="00DA41B6"/>
    <w:rsid w:val="00DA4B3B"/>
    <w:rsid w:val="00DA6BAA"/>
    <w:rsid w:val="00DA7BB9"/>
    <w:rsid w:val="00DA7EE8"/>
    <w:rsid w:val="00DB076D"/>
    <w:rsid w:val="00DB08BD"/>
    <w:rsid w:val="00DB1593"/>
    <w:rsid w:val="00DB1826"/>
    <w:rsid w:val="00DB2562"/>
    <w:rsid w:val="00DB2771"/>
    <w:rsid w:val="00DB291C"/>
    <w:rsid w:val="00DB2DE4"/>
    <w:rsid w:val="00DB2F38"/>
    <w:rsid w:val="00DB452B"/>
    <w:rsid w:val="00DB4752"/>
    <w:rsid w:val="00DB518D"/>
    <w:rsid w:val="00DB58DA"/>
    <w:rsid w:val="00DB58DC"/>
    <w:rsid w:val="00DB5FE8"/>
    <w:rsid w:val="00DB7BF7"/>
    <w:rsid w:val="00DB7D57"/>
    <w:rsid w:val="00DC0983"/>
    <w:rsid w:val="00DC13A0"/>
    <w:rsid w:val="00DC1B8D"/>
    <w:rsid w:val="00DC2327"/>
    <w:rsid w:val="00DC25DA"/>
    <w:rsid w:val="00DC2D9D"/>
    <w:rsid w:val="00DC2FD6"/>
    <w:rsid w:val="00DC3155"/>
    <w:rsid w:val="00DC3B97"/>
    <w:rsid w:val="00DC553A"/>
    <w:rsid w:val="00DC5B08"/>
    <w:rsid w:val="00DD03B3"/>
    <w:rsid w:val="00DD1291"/>
    <w:rsid w:val="00DD1354"/>
    <w:rsid w:val="00DD196E"/>
    <w:rsid w:val="00DD2EEA"/>
    <w:rsid w:val="00DD3015"/>
    <w:rsid w:val="00DD3B7D"/>
    <w:rsid w:val="00DD3E4B"/>
    <w:rsid w:val="00DD41E3"/>
    <w:rsid w:val="00DD623F"/>
    <w:rsid w:val="00DD67DF"/>
    <w:rsid w:val="00DD79B9"/>
    <w:rsid w:val="00DD7E78"/>
    <w:rsid w:val="00DE0452"/>
    <w:rsid w:val="00DE0B57"/>
    <w:rsid w:val="00DE187D"/>
    <w:rsid w:val="00DE2AC2"/>
    <w:rsid w:val="00DE4A44"/>
    <w:rsid w:val="00DE5D2D"/>
    <w:rsid w:val="00DE6116"/>
    <w:rsid w:val="00DE62A3"/>
    <w:rsid w:val="00DE69C0"/>
    <w:rsid w:val="00DE6D82"/>
    <w:rsid w:val="00DE6DD0"/>
    <w:rsid w:val="00DE7749"/>
    <w:rsid w:val="00DF10A5"/>
    <w:rsid w:val="00DF1587"/>
    <w:rsid w:val="00DF2B32"/>
    <w:rsid w:val="00DF2D94"/>
    <w:rsid w:val="00DF3298"/>
    <w:rsid w:val="00DF3AB1"/>
    <w:rsid w:val="00DF74C7"/>
    <w:rsid w:val="00DF762F"/>
    <w:rsid w:val="00DF76AC"/>
    <w:rsid w:val="00DF7EA6"/>
    <w:rsid w:val="00E000DA"/>
    <w:rsid w:val="00E0119C"/>
    <w:rsid w:val="00E01B55"/>
    <w:rsid w:val="00E027F9"/>
    <w:rsid w:val="00E02A31"/>
    <w:rsid w:val="00E02ADF"/>
    <w:rsid w:val="00E02BEC"/>
    <w:rsid w:val="00E03A22"/>
    <w:rsid w:val="00E04007"/>
    <w:rsid w:val="00E0463D"/>
    <w:rsid w:val="00E06B81"/>
    <w:rsid w:val="00E07B03"/>
    <w:rsid w:val="00E100ED"/>
    <w:rsid w:val="00E10C7E"/>
    <w:rsid w:val="00E111E6"/>
    <w:rsid w:val="00E11CA8"/>
    <w:rsid w:val="00E11CDC"/>
    <w:rsid w:val="00E12E1D"/>
    <w:rsid w:val="00E13391"/>
    <w:rsid w:val="00E13A4D"/>
    <w:rsid w:val="00E13C23"/>
    <w:rsid w:val="00E13EEE"/>
    <w:rsid w:val="00E14522"/>
    <w:rsid w:val="00E14812"/>
    <w:rsid w:val="00E14EC1"/>
    <w:rsid w:val="00E153F5"/>
    <w:rsid w:val="00E16316"/>
    <w:rsid w:val="00E16C84"/>
    <w:rsid w:val="00E16E47"/>
    <w:rsid w:val="00E17602"/>
    <w:rsid w:val="00E178CC"/>
    <w:rsid w:val="00E17F96"/>
    <w:rsid w:val="00E207DB"/>
    <w:rsid w:val="00E20C05"/>
    <w:rsid w:val="00E21A11"/>
    <w:rsid w:val="00E2243A"/>
    <w:rsid w:val="00E22BD1"/>
    <w:rsid w:val="00E2350E"/>
    <w:rsid w:val="00E23CFB"/>
    <w:rsid w:val="00E2463E"/>
    <w:rsid w:val="00E24919"/>
    <w:rsid w:val="00E25ACC"/>
    <w:rsid w:val="00E26306"/>
    <w:rsid w:val="00E26689"/>
    <w:rsid w:val="00E27244"/>
    <w:rsid w:val="00E276DD"/>
    <w:rsid w:val="00E3040A"/>
    <w:rsid w:val="00E30672"/>
    <w:rsid w:val="00E30A77"/>
    <w:rsid w:val="00E30BA7"/>
    <w:rsid w:val="00E32864"/>
    <w:rsid w:val="00E32AA1"/>
    <w:rsid w:val="00E338C5"/>
    <w:rsid w:val="00E3402D"/>
    <w:rsid w:val="00E342FC"/>
    <w:rsid w:val="00E37DD9"/>
    <w:rsid w:val="00E37E18"/>
    <w:rsid w:val="00E403E9"/>
    <w:rsid w:val="00E410A1"/>
    <w:rsid w:val="00E410F3"/>
    <w:rsid w:val="00E42A1C"/>
    <w:rsid w:val="00E42B0D"/>
    <w:rsid w:val="00E42BCD"/>
    <w:rsid w:val="00E43B89"/>
    <w:rsid w:val="00E43E95"/>
    <w:rsid w:val="00E44C19"/>
    <w:rsid w:val="00E453CD"/>
    <w:rsid w:val="00E4609B"/>
    <w:rsid w:val="00E46814"/>
    <w:rsid w:val="00E477C2"/>
    <w:rsid w:val="00E5139F"/>
    <w:rsid w:val="00E513EF"/>
    <w:rsid w:val="00E51D05"/>
    <w:rsid w:val="00E5231C"/>
    <w:rsid w:val="00E52802"/>
    <w:rsid w:val="00E53D89"/>
    <w:rsid w:val="00E5402B"/>
    <w:rsid w:val="00E543C7"/>
    <w:rsid w:val="00E55F4B"/>
    <w:rsid w:val="00E5605B"/>
    <w:rsid w:val="00E56EFD"/>
    <w:rsid w:val="00E5737D"/>
    <w:rsid w:val="00E61E12"/>
    <w:rsid w:val="00E61F01"/>
    <w:rsid w:val="00E623F8"/>
    <w:rsid w:val="00E629FC"/>
    <w:rsid w:val="00E63102"/>
    <w:rsid w:val="00E639AF"/>
    <w:rsid w:val="00E63A20"/>
    <w:rsid w:val="00E63ACD"/>
    <w:rsid w:val="00E63B26"/>
    <w:rsid w:val="00E64815"/>
    <w:rsid w:val="00E64CE5"/>
    <w:rsid w:val="00E64D67"/>
    <w:rsid w:val="00E65009"/>
    <w:rsid w:val="00E65460"/>
    <w:rsid w:val="00E65E9F"/>
    <w:rsid w:val="00E67343"/>
    <w:rsid w:val="00E709AB"/>
    <w:rsid w:val="00E716DC"/>
    <w:rsid w:val="00E769CE"/>
    <w:rsid w:val="00E76E4E"/>
    <w:rsid w:val="00E80132"/>
    <w:rsid w:val="00E80AC0"/>
    <w:rsid w:val="00E80B0D"/>
    <w:rsid w:val="00E80D5A"/>
    <w:rsid w:val="00E82BB0"/>
    <w:rsid w:val="00E839CE"/>
    <w:rsid w:val="00E83F20"/>
    <w:rsid w:val="00E84951"/>
    <w:rsid w:val="00E856F3"/>
    <w:rsid w:val="00E85D0E"/>
    <w:rsid w:val="00E87A8B"/>
    <w:rsid w:val="00E87BF6"/>
    <w:rsid w:val="00E87C7A"/>
    <w:rsid w:val="00E904FD"/>
    <w:rsid w:val="00E90839"/>
    <w:rsid w:val="00E90EE0"/>
    <w:rsid w:val="00E90F0B"/>
    <w:rsid w:val="00E910E0"/>
    <w:rsid w:val="00E911B7"/>
    <w:rsid w:val="00E91AC0"/>
    <w:rsid w:val="00E91B90"/>
    <w:rsid w:val="00E94919"/>
    <w:rsid w:val="00E94B58"/>
    <w:rsid w:val="00E94D61"/>
    <w:rsid w:val="00E9570A"/>
    <w:rsid w:val="00E96648"/>
    <w:rsid w:val="00E967CB"/>
    <w:rsid w:val="00EA06E6"/>
    <w:rsid w:val="00EA0BE8"/>
    <w:rsid w:val="00EA1235"/>
    <w:rsid w:val="00EA1883"/>
    <w:rsid w:val="00EA1B0C"/>
    <w:rsid w:val="00EA2168"/>
    <w:rsid w:val="00EA3302"/>
    <w:rsid w:val="00EA3D64"/>
    <w:rsid w:val="00EA3E4C"/>
    <w:rsid w:val="00EA40D0"/>
    <w:rsid w:val="00EA421A"/>
    <w:rsid w:val="00EA499D"/>
    <w:rsid w:val="00EA4CAA"/>
    <w:rsid w:val="00EA5B4D"/>
    <w:rsid w:val="00EA5D0F"/>
    <w:rsid w:val="00EA5F55"/>
    <w:rsid w:val="00EA5FE5"/>
    <w:rsid w:val="00EA65E9"/>
    <w:rsid w:val="00EA7106"/>
    <w:rsid w:val="00EA79CB"/>
    <w:rsid w:val="00EB02A6"/>
    <w:rsid w:val="00EB0404"/>
    <w:rsid w:val="00EB100F"/>
    <w:rsid w:val="00EB4441"/>
    <w:rsid w:val="00EB4EEC"/>
    <w:rsid w:val="00EB535D"/>
    <w:rsid w:val="00EB5495"/>
    <w:rsid w:val="00EB56C4"/>
    <w:rsid w:val="00EB59CC"/>
    <w:rsid w:val="00EB63C4"/>
    <w:rsid w:val="00EB6CF2"/>
    <w:rsid w:val="00EB7886"/>
    <w:rsid w:val="00EB7964"/>
    <w:rsid w:val="00EB7C31"/>
    <w:rsid w:val="00EC28E2"/>
    <w:rsid w:val="00EC2A96"/>
    <w:rsid w:val="00EC2E91"/>
    <w:rsid w:val="00EC4703"/>
    <w:rsid w:val="00EC511D"/>
    <w:rsid w:val="00EC5487"/>
    <w:rsid w:val="00EC54AE"/>
    <w:rsid w:val="00EC54D0"/>
    <w:rsid w:val="00EC55F8"/>
    <w:rsid w:val="00EC5A28"/>
    <w:rsid w:val="00EC619D"/>
    <w:rsid w:val="00ED0273"/>
    <w:rsid w:val="00ED123D"/>
    <w:rsid w:val="00ED12D9"/>
    <w:rsid w:val="00ED4411"/>
    <w:rsid w:val="00ED4733"/>
    <w:rsid w:val="00ED58B2"/>
    <w:rsid w:val="00EE2357"/>
    <w:rsid w:val="00EE2ABB"/>
    <w:rsid w:val="00EE4E1B"/>
    <w:rsid w:val="00EE60B6"/>
    <w:rsid w:val="00EE7289"/>
    <w:rsid w:val="00EF0FD7"/>
    <w:rsid w:val="00EF12BB"/>
    <w:rsid w:val="00EF143E"/>
    <w:rsid w:val="00EF157B"/>
    <w:rsid w:val="00EF18EF"/>
    <w:rsid w:val="00EF21BC"/>
    <w:rsid w:val="00EF5507"/>
    <w:rsid w:val="00EF6748"/>
    <w:rsid w:val="00EF6B4F"/>
    <w:rsid w:val="00EF7B77"/>
    <w:rsid w:val="00EF7CA2"/>
    <w:rsid w:val="00F00A20"/>
    <w:rsid w:val="00F027AE"/>
    <w:rsid w:val="00F02922"/>
    <w:rsid w:val="00F02B75"/>
    <w:rsid w:val="00F02BB3"/>
    <w:rsid w:val="00F05AEA"/>
    <w:rsid w:val="00F05BBF"/>
    <w:rsid w:val="00F06A15"/>
    <w:rsid w:val="00F1004C"/>
    <w:rsid w:val="00F11356"/>
    <w:rsid w:val="00F11E6A"/>
    <w:rsid w:val="00F134F6"/>
    <w:rsid w:val="00F16E13"/>
    <w:rsid w:val="00F17F45"/>
    <w:rsid w:val="00F20801"/>
    <w:rsid w:val="00F20852"/>
    <w:rsid w:val="00F22034"/>
    <w:rsid w:val="00F22A1E"/>
    <w:rsid w:val="00F22FFB"/>
    <w:rsid w:val="00F235C3"/>
    <w:rsid w:val="00F2378A"/>
    <w:rsid w:val="00F24558"/>
    <w:rsid w:val="00F249ED"/>
    <w:rsid w:val="00F24B11"/>
    <w:rsid w:val="00F25A56"/>
    <w:rsid w:val="00F2647D"/>
    <w:rsid w:val="00F271BA"/>
    <w:rsid w:val="00F3087E"/>
    <w:rsid w:val="00F32714"/>
    <w:rsid w:val="00F33475"/>
    <w:rsid w:val="00F33DC7"/>
    <w:rsid w:val="00F34D7C"/>
    <w:rsid w:val="00F34F1D"/>
    <w:rsid w:val="00F359F8"/>
    <w:rsid w:val="00F36124"/>
    <w:rsid w:val="00F37104"/>
    <w:rsid w:val="00F4306B"/>
    <w:rsid w:val="00F43080"/>
    <w:rsid w:val="00F434E4"/>
    <w:rsid w:val="00F43673"/>
    <w:rsid w:val="00F4384E"/>
    <w:rsid w:val="00F44B3B"/>
    <w:rsid w:val="00F44C77"/>
    <w:rsid w:val="00F459B8"/>
    <w:rsid w:val="00F45BD7"/>
    <w:rsid w:val="00F47023"/>
    <w:rsid w:val="00F47151"/>
    <w:rsid w:val="00F47BB3"/>
    <w:rsid w:val="00F52056"/>
    <w:rsid w:val="00F536C8"/>
    <w:rsid w:val="00F54995"/>
    <w:rsid w:val="00F54F00"/>
    <w:rsid w:val="00F553B4"/>
    <w:rsid w:val="00F5573F"/>
    <w:rsid w:val="00F56DDE"/>
    <w:rsid w:val="00F57C73"/>
    <w:rsid w:val="00F60224"/>
    <w:rsid w:val="00F6089E"/>
    <w:rsid w:val="00F60EDA"/>
    <w:rsid w:val="00F6238E"/>
    <w:rsid w:val="00F629FB"/>
    <w:rsid w:val="00F62A84"/>
    <w:rsid w:val="00F63487"/>
    <w:rsid w:val="00F640A3"/>
    <w:rsid w:val="00F64EFB"/>
    <w:rsid w:val="00F651E6"/>
    <w:rsid w:val="00F6659B"/>
    <w:rsid w:val="00F66647"/>
    <w:rsid w:val="00F668FC"/>
    <w:rsid w:val="00F66BC1"/>
    <w:rsid w:val="00F66C21"/>
    <w:rsid w:val="00F67DAD"/>
    <w:rsid w:val="00F67E04"/>
    <w:rsid w:val="00F7017A"/>
    <w:rsid w:val="00F709BC"/>
    <w:rsid w:val="00F70BDE"/>
    <w:rsid w:val="00F70F69"/>
    <w:rsid w:val="00F72091"/>
    <w:rsid w:val="00F73DF1"/>
    <w:rsid w:val="00F751A3"/>
    <w:rsid w:val="00F753ED"/>
    <w:rsid w:val="00F75E1B"/>
    <w:rsid w:val="00F80588"/>
    <w:rsid w:val="00F8106C"/>
    <w:rsid w:val="00F811E4"/>
    <w:rsid w:val="00F82FAE"/>
    <w:rsid w:val="00F83182"/>
    <w:rsid w:val="00F83D17"/>
    <w:rsid w:val="00F84730"/>
    <w:rsid w:val="00F85882"/>
    <w:rsid w:val="00F85CC5"/>
    <w:rsid w:val="00F87DC0"/>
    <w:rsid w:val="00F90035"/>
    <w:rsid w:val="00F90540"/>
    <w:rsid w:val="00F90BDC"/>
    <w:rsid w:val="00F9237D"/>
    <w:rsid w:val="00F932B7"/>
    <w:rsid w:val="00F9337D"/>
    <w:rsid w:val="00F947B7"/>
    <w:rsid w:val="00F94D0B"/>
    <w:rsid w:val="00F95003"/>
    <w:rsid w:val="00F95632"/>
    <w:rsid w:val="00F966BD"/>
    <w:rsid w:val="00F96B69"/>
    <w:rsid w:val="00F97844"/>
    <w:rsid w:val="00F979CC"/>
    <w:rsid w:val="00F97D78"/>
    <w:rsid w:val="00F97D8B"/>
    <w:rsid w:val="00FA17F2"/>
    <w:rsid w:val="00FA213C"/>
    <w:rsid w:val="00FA33C5"/>
    <w:rsid w:val="00FA3AB3"/>
    <w:rsid w:val="00FA3C69"/>
    <w:rsid w:val="00FA69DA"/>
    <w:rsid w:val="00FA720A"/>
    <w:rsid w:val="00FA78CC"/>
    <w:rsid w:val="00FA7FDD"/>
    <w:rsid w:val="00FB0A71"/>
    <w:rsid w:val="00FB0B8B"/>
    <w:rsid w:val="00FB0C70"/>
    <w:rsid w:val="00FB1051"/>
    <w:rsid w:val="00FB1745"/>
    <w:rsid w:val="00FB1C8B"/>
    <w:rsid w:val="00FB2DE3"/>
    <w:rsid w:val="00FB356A"/>
    <w:rsid w:val="00FB3819"/>
    <w:rsid w:val="00FB3D6B"/>
    <w:rsid w:val="00FB3E2A"/>
    <w:rsid w:val="00FB440D"/>
    <w:rsid w:val="00FB6E0C"/>
    <w:rsid w:val="00FC076B"/>
    <w:rsid w:val="00FC0C73"/>
    <w:rsid w:val="00FC126C"/>
    <w:rsid w:val="00FC1484"/>
    <w:rsid w:val="00FC2106"/>
    <w:rsid w:val="00FC2A57"/>
    <w:rsid w:val="00FC3299"/>
    <w:rsid w:val="00FC3737"/>
    <w:rsid w:val="00FC55C0"/>
    <w:rsid w:val="00FC57D1"/>
    <w:rsid w:val="00FC5BF2"/>
    <w:rsid w:val="00FC5D60"/>
    <w:rsid w:val="00FC5DA4"/>
    <w:rsid w:val="00FC6E47"/>
    <w:rsid w:val="00FC745E"/>
    <w:rsid w:val="00FC7500"/>
    <w:rsid w:val="00FC7F34"/>
    <w:rsid w:val="00FD0216"/>
    <w:rsid w:val="00FD0355"/>
    <w:rsid w:val="00FD0947"/>
    <w:rsid w:val="00FD0A3E"/>
    <w:rsid w:val="00FD0B23"/>
    <w:rsid w:val="00FD16F6"/>
    <w:rsid w:val="00FD1884"/>
    <w:rsid w:val="00FD1B31"/>
    <w:rsid w:val="00FD1F65"/>
    <w:rsid w:val="00FD266E"/>
    <w:rsid w:val="00FD3A44"/>
    <w:rsid w:val="00FD3C38"/>
    <w:rsid w:val="00FD4B85"/>
    <w:rsid w:val="00FD56D1"/>
    <w:rsid w:val="00FD5FBA"/>
    <w:rsid w:val="00FD7281"/>
    <w:rsid w:val="00FD7777"/>
    <w:rsid w:val="00FD785F"/>
    <w:rsid w:val="00FE01D2"/>
    <w:rsid w:val="00FE245D"/>
    <w:rsid w:val="00FE284A"/>
    <w:rsid w:val="00FE303C"/>
    <w:rsid w:val="00FE356B"/>
    <w:rsid w:val="00FE3EA5"/>
    <w:rsid w:val="00FE3FE4"/>
    <w:rsid w:val="00FE4185"/>
    <w:rsid w:val="00FE462D"/>
    <w:rsid w:val="00FE4AED"/>
    <w:rsid w:val="00FE584A"/>
    <w:rsid w:val="00FE5904"/>
    <w:rsid w:val="00FE621D"/>
    <w:rsid w:val="00FE67CC"/>
    <w:rsid w:val="00FE7AA4"/>
    <w:rsid w:val="00FF0290"/>
    <w:rsid w:val="00FF0E86"/>
    <w:rsid w:val="00FF173F"/>
    <w:rsid w:val="00FF1965"/>
    <w:rsid w:val="00FF248C"/>
    <w:rsid w:val="00FF3233"/>
    <w:rsid w:val="00FF338D"/>
    <w:rsid w:val="00FF4653"/>
    <w:rsid w:val="00FF50BC"/>
    <w:rsid w:val="00FF54A4"/>
    <w:rsid w:val="00FF5553"/>
    <w:rsid w:val="00FF5A19"/>
    <w:rsid w:val="00FF5D7A"/>
    <w:rsid w:val="00FF5DE8"/>
    <w:rsid w:val="00FF6931"/>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Bullet" w:uiPriority="0" w:qFormat="1"/>
    <w:lsdException w:name="List Number" w:locked="1" w:semiHidden="0" w:uiPriority="0" w:unhideWhenUsed="0"/>
    <w:lsdException w:name="List Bullet 2"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2"/>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9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eastAsia="Times New Roman" w:hAnsi="Courier New" w:cs="Courier New"/>
      <w:sz w:val="20"/>
      <w:szCs w:val="20"/>
    </w:rPr>
  </w:style>
  <w:style w:type="table" w:customStyle="1" w:styleId="LightShading1">
    <w:name w:val="Light Shading1"/>
    <w:uiPriority w:val="99"/>
    <w:rsid w:val="006C732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GSBodyParaBullet">
    <w:name w:val="GS Body Para Bullet"/>
    <w:basedOn w:val="Normal"/>
    <w:link w:val="GSBodyParaBulletChar"/>
    <w:uiPriority w:val="99"/>
    <w:rsid w:val="000C7F94"/>
    <w:pPr>
      <w:numPr>
        <w:ilvl w:val="3"/>
        <w:numId w:val="8"/>
      </w:numPr>
      <w:spacing w:before="60" w:after="120" w:line="276" w:lineRule="auto"/>
      <w:outlineLvl w:val="1"/>
    </w:pPr>
    <w:rPr>
      <w:rFonts w:ascii="Calibri" w:hAnsi="Calibri"/>
      <w:szCs w:val="22"/>
      <w:lang w:eastAsia="en-US"/>
    </w:rPr>
  </w:style>
  <w:style w:type="character" w:customStyle="1" w:styleId="GSBodyParaBulletChar">
    <w:name w:val="GS Body Para Bullet Char"/>
    <w:basedOn w:val="DefaultParagraphFont"/>
    <w:link w:val="GSBodyParaBullet"/>
    <w:uiPriority w:val="99"/>
    <w:locked/>
    <w:rsid w:val="000C7F94"/>
    <w:rPr>
      <w:rFonts w:ascii="Calibri" w:hAnsi="Calibri"/>
      <w:sz w:val="24"/>
      <w:lang w:eastAsia="en-US"/>
    </w:rPr>
  </w:style>
  <w:style w:type="paragraph" w:customStyle="1" w:styleId="GSBodyParawithnumb">
    <w:name w:val="GS Body Para with numb"/>
    <w:basedOn w:val="Normal"/>
    <w:link w:val="GSBodyParawithnumbChar"/>
    <w:uiPriority w:val="99"/>
    <w:rsid w:val="000C7F94"/>
    <w:pPr>
      <w:numPr>
        <w:ilvl w:val="1"/>
        <w:numId w:val="9"/>
      </w:numPr>
      <w:spacing w:before="60" w:after="120"/>
      <w:outlineLvl w:val="1"/>
    </w:pPr>
    <w:rPr>
      <w:rFonts w:ascii="Calibri" w:hAnsi="Calibri"/>
      <w:szCs w:val="22"/>
      <w:lang w:eastAsia="en-US"/>
    </w:rPr>
  </w:style>
  <w:style w:type="character" w:customStyle="1" w:styleId="GSBodyParawithnumbChar">
    <w:name w:val="GS Body Para with numb Char"/>
    <w:basedOn w:val="DefaultParagraphFont"/>
    <w:link w:val="GSBodyParawithnumb"/>
    <w:uiPriority w:val="99"/>
    <w:locked/>
    <w:rsid w:val="000C7F94"/>
    <w:rPr>
      <w:rFonts w:ascii="Calibri" w:hAnsi="Calibri"/>
      <w:sz w:val="24"/>
      <w:lang w:eastAsia="en-US"/>
    </w:rPr>
  </w:style>
  <w:style w:type="paragraph" w:customStyle="1" w:styleId="GSHeading1withnumb">
    <w:name w:val="GS Heading 1 with numb"/>
    <w:basedOn w:val="Normal"/>
    <w:uiPriority w:val="99"/>
    <w:rsid w:val="000C7F94"/>
    <w:pPr>
      <w:numPr>
        <w:numId w:val="9"/>
      </w:numPr>
      <w:spacing w:before="240" w:after="240"/>
      <w:outlineLvl w:val="0"/>
    </w:pPr>
    <w:rPr>
      <w:rFonts w:ascii="Calibri" w:hAnsi="Calibri"/>
      <w:b/>
      <w:caps/>
      <w:szCs w:val="22"/>
      <w:lang w:eastAsia="en-US"/>
    </w:rPr>
  </w:style>
  <w:style w:type="paragraph" w:styleId="NoSpacing">
    <w:name w:val="No Spacing"/>
    <w:uiPriority w:val="99"/>
    <w:qFormat/>
    <w:rsid w:val="0007515B"/>
    <w:rPr>
      <w:rFonts w:ascii="Calibri" w:hAnsi="Calibri"/>
    </w:rPr>
  </w:style>
  <w:style w:type="numbering" w:customStyle="1" w:styleId="Style2">
    <w:name w:val="Style2"/>
    <w:rsid w:val="000F60EC"/>
    <w:pPr>
      <w:numPr>
        <w:numId w:val="4"/>
      </w:numPr>
    </w:pPr>
  </w:style>
  <w:style w:type="character" w:styleId="PlaceholderText">
    <w:name w:val="Placeholder Text"/>
    <w:basedOn w:val="DefaultParagraphFont"/>
    <w:uiPriority w:val="99"/>
    <w:semiHidden/>
    <w:rsid w:val="002F7750"/>
    <w:rPr>
      <w:color w:val="808080"/>
    </w:rPr>
  </w:style>
  <w:style w:type="numbering" w:customStyle="1" w:styleId="BulletList">
    <w:name w:val="Bullet List"/>
    <w:basedOn w:val="NoList"/>
    <w:uiPriority w:val="99"/>
    <w:rsid w:val="00516898"/>
    <w:pPr>
      <w:numPr>
        <w:numId w:val="30"/>
      </w:numPr>
    </w:pPr>
  </w:style>
  <w:style w:type="paragraph" w:styleId="ListBullet">
    <w:name w:val="List Bullet"/>
    <w:basedOn w:val="BodyText"/>
    <w:qFormat/>
    <w:rsid w:val="00516898"/>
    <w:pPr>
      <w:numPr>
        <w:numId w:val="30"/>
      </w:numPr>
      <w:spacing w:before="0" w:after="200" w:line="240" w:lineRule="atLeast"/>
      <w:jc w:val="left"/>
    </w:pPr>
    <w:rPr>
      <w:rFonts w:ascii="Verdana" w:eastAsiaTheme="minorHAnsi" w:hAnsi="Verdana" w:cstheme="minorBidi"/>
      <w:sz w:val="20"/>
    </w:rPr>
  </w:style>
  <w:style w:type="paragraph" w:styleId="ListBullet2">
    <w:name w:val="List Bullet 2"/>
    <w:basedOn w:val="BodyText"/>
    <w:qFormat/>
    <w:rsid w:val="00516898"/>
    <w:pPr>
      <w:numPr>
        <w:ilvl w:val="1"/>
        <w:numId w:val="30"/>
      </w:numPr>
      <w:spacing w:before="0" w:after="200" w:line="240" w:lineRule="atLeast"/>
      <w:jc w:val="left"/>
    </w:pPr>
    <w:rPr>
      <w:rFonts w:ascii="Verdana" w:eastAsiaTheme="minorHAnsi" w:hAnsi="Verdana" w:cstheme="minorBidi"/>
      <w:sz w:val="20"/>
    </w:rPr>
  </w:style>
  <w:style w:type="numbering" w:customStyle="1" w:styleId="ElectralinkQuestionNumbers">
    <w:name w:val="Electralink Question Numbers"/>
    <w:basedOn w:val="NoList"/>
    <w:uiPriority w:val="99"/>
    <w:rsid w:val="002411BA"/>
    <w:pPr>
      <w:numPr>
        <w:numId w:val="31"/>
      </w:numPr>
    </w:pPr>
  </w:style>
  <w:style w:type="paragraph" w:customStyle="1" w:styleId="Question">
    <w:name w:val="Question"/>
    <w:basedOn w:val="Normal"/>
    <w:next w:val="BodyText"/>
    <w:qFormat/>
    <w:rsid w:val="002411BA"/>
    <w:pPr>
      <w:keepNext/>
      <w:keepLines/>
      <w:numPr>
        <w:numId w:val="31"/>
      </w:numPr>
    </w:pPr>
    <w:rPr>
      <w:rFonts w:ascii="Verdana" w:eastAsiaTheme="minorHAnsi" w:hAnsi="Verdana" w:cstheme="minorBidi"/>
      <w:b/>
      <w:sz w:val="20"/>
      <w:lang w:eastAsia="en-US"/>
    </w:rPr>
  </w:style>
  <w:style w:type="paragraph" w:styleId="NormalWeb">
    <w:name w:val="Normal (Web)"/>
    <w:basedOn w:val="Normal"/>
    <w:uiPriority w:val="99"/>
    <w:unhideWhenUsed/>
    <w:rsid w:val="007A741D"/>
    <w:pPr>
      <w:spacing w:before="100" w:beforeAutospacing="1" w:after="100" w:afterAutospacing="1"/>
    </w:pPr>
  </w:style>
  <w:style w:type="paragraph" w:styleId="ListContinue">
    <w:name w:val="List Continue"/>
    <w:basedOn w:val="Normal"/>
    <w:uiPriority w:val="99"/>
    <w:semiHidden/>
    <w:unhideWhenUsed/>
    <w:rsid w:val="005358E2"/>
    <w:pPr>
      <w:spacing w:after="120"/>
      <w:ind w:left="283"/>
      <w:contextualSpacing/>
    </w:pPr>
  </w:style>
  <w:style w:type="table" w:customStyle="1" w:styleId="TableGrid1">
    <w:name w:val="Table Grid1"/>
    <w:basedOn w:val="TableNormal"/>
    <w:next w:val="TableGrid"/>
    <w:uiPriority w:val="59"/>
    <w:rsid w:val="00C2666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Bullet" w:uiPriority="0" w:qFormat="1"/>
    <w:lsdException w:name="List Number" w:locked="1" w:semiHidden="0" w:uiPriority="0" w:unhideWhenUsed="0"/>
    <w:lsdException w:name="List Bullet 2"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rPr>
  </w:style>
  <w:style w:type="paragraph" w:styleId="Heading1">
    <w:name w:val="heading 1"/>
    <w:aliases w:val="JPW-num-section,level 1,level1,Nadpis 1,Heading 1 Char,Char Char,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lang w:val="en-US" w:eastAsia="en-US"/>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semiHidden/>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2"/>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table" w:styleId="TableGrid">
    <w:name w:val="Table Grid"/>
    <w:basedOn w:val="TableNormal"/>
    <w:uiPriority w:val="99"/>
    <w:locked/>
    <w:rsid w:val="00C538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rsid w:val="00FF5553"/>
    <w:rPr>
      <w:rFonts w:ascii="Courier New" w:eastAsia="Times New Roman" w:hAnsi="Courier New" w:cs="Courier New"/>
      <w:sz w:val="20"/>
      <w:szCs w:val="20"/>
    </w:rPr>
  </w:style>
  <w:style w:type="table" w:customStyle="1" w:styleId="LightShading1">
    <w:name w:val="Light Shading1"/>
    <w:uiPriority w:val="99"/>
    <w:rsid w:val="006C7321"/>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GSBodyParaBullet">
    <w:name w:val="GS Body Para Bullet"/>
    <w:basedOn w:val="Normal"/>
    <w:link w:val="GSBodyParaBulletChar"/>
    <w:uiPriority w:val="99"/>
    <w:rsid w:val="000C7F94"/>
    <w:pPr>
      <w:numPr>
        <w:ilvl w:val="3"/>
        <w:numId w:val="8"/>
      </w:numPr>
      <w:spacing w:before="60" w:after="120" w:line="276" w:lineRule="auto"/>
      <w:outlineLvl w:val="1"/>
    </w:pPr>
    <w:rPr>
      <w:rFonts w:ascii="Calibri" w:hAnsi="Calibri"/>
      <w:szCs w:val="22"/>
      <w:lang w:eastAsia="en-US"/>
    </w:rPr>
  </w:style>
  <w:style w:type="character" w:customStyle="1" w:styleId="GSBodyParaBulletChar">
    <w:name w:val="GS Body Para Bullet Char"/>
    <w:basedOn w:val="DefaultParagraphFont"/>
    <w:link w:val="GSBodyParaBullet"/>
    <w:uiPriority w:val="99"/>
    <w:locked/>
    <w:rsid w:val="000C7F94"/>
    <w:rPr>
      <w:rFonts w:ascii="Calibri" w:hAnsi="Calibri"/>
      <w:sz w:val="24"/>
      <w:lang w:eastAsia="en-US"/>
    </w:rPr>
  </w:style>
  <w:style w:type="paragraph" w:customStyle="1" w:styleId="GSBodyParawithnumb">
    <w:name w:val="GS Body Para with numb"/>
    <w:basedOn w:val="Normal"/>
    <w:link w:val="GSBodyParawithnumbChar"/>
    <w:uiPriority w:val="99"/>
    <w:rsid w:val="000C7F94"/>
    <w:pPr>
      <w:numPr>
        <w:ilvl w:val="1"/>
        <w:numId w:val="9"/>
      </w:numPr>
      <w:spacing w:before="60" w:after="120"/>
      <w:outlineLvl w:val="1"/>
    </w:pPr>
    <w:rPr>
      <w:rFonts w:ascii="Calibri" w:hAnsi="Calibri"/>
      <w:szCs w:val="22"/>
      <w:lang w:eastAsia="en-US"/>
    </w:rPr>
  </w:style>
  <w:style w:type="character" w:customStyle="1" w:styleId="GSBodyParawithnumbChar">
    <w:name w:val="GS Body Para with numb Char"/>
    <w:basedOn w:val="DefaultParagraphFont"/>
    <w:link w:val="GSBodyParawithnumb"/>
    <w:uiPriority w:val="99"/>
    <w:locked/>
    <w:rsid w:val="000C7F94"/>
    <w:rPr>
      <w:rFonts w:ascii="Calibri" w:hAnsi="Calibri"/>
      <w:sz w:val="24"/>
      <w:lang w:eastAsia="en-US"/>
    </w:rPr>
  </w:style>
  <w:style w:type="paragraph" w:customStyle="1" w:styleId="GSHeading1withnumb">
    <w:name w:val="GS Heading 1 with numb"/>
    <w:basedOn w:val="Normal"/>
    <w:uiPriority w:val="99"/>
    <w:rsid w:val="000C7F94"/>
    <w:pPr>
      <w:numPr>
        <w:numId w:val="9"/>
      </w:numPr>
      <w:spacing w:before="240" w:after="240"/>
      <w:outlineLvl w:val="0"/>
    </w:pPr>
    <w:rPr>
      <w:rFonts w:ascii="Calibri" w:hAnsi="Calibri"/>
      <w:b/>
      <w:caps/>
      <w:szCs w:val="22"/>
      <w:lang w:eastAsia="en-US"/>
    </w:rPr>
  </w:style>
  <w:style w:type="paragraph" w:styleId="NoSpacing">
    <w:name w:val="No Spacing"/>
    <w:uiPriority w:val="99"/>
    <w:qFormat/>
    <w:rsid w:val="0007515B"/>
    <w:rPr>
      <w:rFonts w:ascii="Calibri" w:hAnsi="Calibri"/>
    </w:rPr>
  </w:style>
  <w:style w:type="numbering" w:customStyle="1" w:styleId="Style2">
    <w:name w:val="Style2"/>
    <w:rsid w:val="000F60EC"/>
    <w:pPr>
      <w:numPr>
        <w:numId w:val="4"/>
      </w:numPr>
    </w:pPr>
  </w:style>
  <w:style w:type="character" w:styleId="PlaceholderText">
    <w:name w:val="Placeholder Text"/>
    <w:basedOn w:val="DefaultParagraphFont"/>
    <w:uiPriority w:val="99"/>
    <w:semiHidden/>
    <w:rsid w:val="002F7750"/>
    <w:rPr>
      <w:color w:val="808080"/>
    </w:rPr>
  </w:style>
  <w:style w:type="numbering" w:customStyle="1" w:styleId="BulletList">
    <w:name w:val="Bullet List"/>
    <w:basedOn w:val="NoList"/>
    <w:uiPriority w:val="99"/>
    <w:rsid w:val="00516898"/>
    <w:pPr>
      <w:numPr>
        <w:numId w:val="30"/>
      </w:numPr>
    </w:pPr>
  </w:style>
  <w:style w:type="paragraph" w:styleId="ListBullet">
    <w:name w:val="List Bullet"/>
    <w:basedOn w:val="BodyText"/>
    <w:qFormat/>
    <w:rsid w:val="00516898"/>
    <w:pPr>
      <w:numPr>
        <w:numId w:val="30"/>
      </w:numPr>
      <w:spacing w:before="0" w:after="200" w:line="240" w:lineRule="atLeast"/>
      <w:jc w:val="left"/>
    </w:pPr>
    <w:rPr>
      <w:rFonts w:ascii="Verdana" w:eastAsiaTheme="minorHAnsi" w:hAnsi="Verdana" w:cstheme="minorBidi"/>
      <w:sz w:val="20"/>
    </w:rPr>
  </w:style>
  <w:style w:type="paragraph" w:styleId="ListBullet2">
    <w:name w:val="List Bullet 2"/>
    <w:basedOn w:val="BodyText"/>
    <w:qFormat/>
    <w:rsid w:val="00516898"/>
    <w:pPr>
      <w:numPr>
        <w:ilvl w:val="1"/>
        <w:numId w:val="30"/>
      </w:numPr>
      <w:spacing w:before="0" w:after="200" w:line="240" w:lineRule="atLeast"/>
      <w:jc w:val="left"/>
    </w:pPr>
    <w:rPr>
      <w:rFonts w:ascii="Verdana" w:eastAsiaTheme="minorHAnsi" w:hAnsi="Verdana" w:cstheme="minorBidi"/>
      <w:sz w:val="20"/>
    </w:rPr>
  </w:style>
  <w:style w:type="numbering" w:customStyle="1" w:styleId="ElectralinkQuestionNumbers">
    <w:name w:val="Electralink Question Numbers"/>
    <w:basedOn w:val="NoList"/>
    <w:uiPriority w:val="99"/>
    <w:rsid w:val="002411BA"/>
    <w:pPr>
      <w:numPr>
        <w:numId w:val="31"/>
      </w:numPr>
    </w:pPr>
  </w:style>
  <w:style w:type="paragraph" w:customStyle="1" w:styleId="Question">
    <w:name w:val="Question"/>
    <w:basedOn w:val="Normal"/>
    <w:next w:val="BodyText"/>
    <w:qFormat/>
    <w:rsid w:val="002411BA"/>
    <w:pPr>
      <w:keepNext/>
      <w:keepLines/>
      <w:numPr>
        <w:numId w:val="31"/>
      </w:numPr>
    </w:pPr>
    <w:rPr>
      <w:rFonts w:ascii="Verdana" w:eastAsiaTheme="minorHAnsi" w:hAnsi="Verdana" w:cstheme="minorBidi"/>
      <w:b/>
      <w:sz w:val="20"/>
      <w:lang w:eastAsia="en-US"/>
    </w:rPr>
  </w:style>
  <w:style w:type="paragraph" w:styleId="NormalWeb">
    <w:name w:val="Normal (Web)"/>
    <w:basedOn w:val="Normal"/>
    <w:uiPriority w:val="99"/>
    <w:unhideWhenUsed/>
    <w:rsid w:val="007A741D"/>
    <w:pPr>
      <w:spacing w:before="100" w:beforeAutospacing="1" w:after="100" w:afterAutospacing="1"/>
    </w:pPr>
  </w:style>
  <w:style w:type="paragraph" w:styleId="ListContinue">
    <w:name w:val="List Continue"/>
    <w:basedOn w:val="Normal"/>
    <w:uiPriority w:val="99"/>
    <w:semiHidden/>
    <w:unhideWhenUsed/>
    <w:rsid w:val="005358E2"/>
    <w:pPr>
      <w:spacing w:after="120"/>
      <w:ind w:left="283"/>
      <w:contextualSpacing/>
    </w:pPr>
  </w:style>
  <w:style w:type="table" w:customStyle="1" w:styleId="TableGrid1">
    <w:name w:val="Table Grid1"/>
    <w:basedOn w:val="TableNormal"/>
    <w:next w:val="TableGrid"/>
    <w:uiPriority w:val="59"/>
    <w:rsid w:val="00C2666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3749">
      <w:bodyDiv w:val="1"/>
      <w:marLeft w:val="0"/>
      <w:marRight w:val="0"/>
      <w:marTop w:val="0"/>
      <w:marBottom w:val="0"/>
      <w:divBdr>
        <w:top w:val="none" w:sz="0" w:space="0" w:color="auto"/>
        <w:left w:val="none" w:sz="0" w:space="0" w:color="auto"/>
        <w:bottom w:val="none" w:sz="0" w:space="0" w:color="auto"/>
        <w:right w:val="none" w:sz="0" w:space="0" w:color="auto"/>
      </w:divBdr>
    </w:div>
    <w:div w:id="228228255">
      <w:bodyDiv w:val="1"/>
      <w:marLeft w:val="0"/>
      <w:marRight w:val="0"/>
      <w:marTop w:val="0"/>
      <w:marBottom w:val="0"/>
      <w:divBdr>
        <w:top w:val="none" w:sz="0" w:space="0" w:color="auto"/>
        <w:left w:val="none" w:sz="0" w:space="0" w:color="auto"/>
        <w:bottom w:val="none" w:sz="0" w:space="0" w:color="auto"/>
        <w:right w:val="none" w:sz="0" w:space="0" w:color="auto"/>
      </w:divBdr>
    </w:div>
    <w:div w:id="692924612">
      <w:bodyDiv w:val="1"/>
      <w:marLeft w:val="0"/>
      <w:marRight w:val="0"/>
      <w:marTop w:val="0"/>
      <w:marBottom w:val="0"/>
      <w:divBdr>
        <w:top w:val="none" w:sz="0" w:space="0" w:color="auto"/>
        <w:left w:val="none" w:sz="0" w:space="0" w:color="auto"/>
        <w:bottom w:val="none" w:sz="0" w:space="0" w:color="auto"/>
        <w:right w:val="none" w:sz="0" w:space="0" w:color="auto"/>
      </w:divBdr>
    </w:div>
    <w:div w:id="1019965773">
      <w:marLeft w:val="0"/>
      <w:marRight w:val="0"/>
      <w:marTop w:val="0"/>
      <w:marBottom w:val="0"/>
      <w:divBdr>
        <w:top w:val="none" w:sz="0" w:space="0" w:color="auto"/>
        <w:left w:val="none" w:sz="0" w:space="0" w:color="auto"/>
        <w:bottom w:val="none" w:sz="0" w:space="0" w:color="auto"/>
        <w:right w:val="none" w:sz="0" w:space="0" w:color="auto"/>
      </w:divBdr>
    </w:div>
    <w:div w:id="1019965774">
      <w:marLeft w:val="0"/>
      <w:marRight w:val="0"/>
      <w:marTop w:val="0"/>
      <w:marBottom w:val="0"/>
      <w:divBdr>
        <w:top w:val="none" w:sz="0" w:space="0" w:color="auto"/>
        <w:left w:val="none" w:sz="0" w:space="0" w:color="auto"/>
        <w:bottom w:val="none" w:sz="0" w:space="0" w:color="auto"/>
        <w:right w:val="none" w:sz="0" w:space="0" w:color="auto"/>
      </w:divBdr>
    </w:div>
    <w:div w:id="1019965775">
      <w:marLeft w:val="0"/>
      <w:marRight w:val="0"/>
      <w:marTop w:val="0"/>
      <w:marBottom w:val="0"/>
      <w:divBdr>
        <w:top w:val="none" w:sz="0" w:space="0" w:color="auto"/>
        <w:left w:val="none" w:sz="0" w:space="0" w:color="auto"/>
        <w:bottom w:val="none" w:sz="0" w:space="0" w:color="auto"/>
        <w:right w:val="none" w:sz="0" w:space="0" w:color="auto"/>
      </w:divBdr>
    </w:div>
    <w:div w:id="1019965776">
      <w:marLeft w:val="0"/>
      <w:marRight w:val="0"/>
      <w:marTop w:val="0"/>
      <w:marBottom w:val="0"/>
      <w:divBdr>
        <w:top w:val="none" w:sz="0" w:space="0" w:color="auto"/>
        <w:left w:val="none" w:sz="0" w:space="0" w:color="auto"/>
        <w:bottom w:val="none" w:sz="0" w:space="0" w:color="auto"/>
        <w:right w:val="none" w:sz="0" w:space="0" w:color="auto"/>
      </w:divBdr>
    </w:div>
    <w:div w:id="1019965777">
      <w:marLeft w:val="0"/>
      <w:marRight w:val="0"/>
      <w:marTop w:val="0"/>
      <w:marBottom w:val="0"/>
      <w:divBdr>
        <w:top w:val="none" w:sz="0" w:space="0" w:color="auto"/>
        <w:left w:val="none" w:sz="0" w:space="0" w:color="auto"/>
        <w:bottom w:val="none" w:sz="0" w:space="0" w:color="auto"/>
        <w:right w:val="none" w:sz="0" w:space="0" w:color="auto"/>
      </w:divBdr>
    </w:div>
    <w:div w:id="1019965778">
      <w:marLeft w:val="0"/>
      <w:marRight w:val="0"/>
      <w:marTop w:val="0"/>
      <w:marBottom w:val="0"/>
      <w:divBdr>
        <w:top w:val="none" w:sz="0" w:space="0" w:color="auto"/>
        <w:left w:val="none" w:sz="0" w:space="0" w:color="auto"/>
        <w:bottom w:val="none" w:sz="0" w:space="0" w:color="auto"/>
        <w:right w:val="none" w:sz="0" w:space="0" w:color="auto"/>
      </w:divBdr>
    </w:div>
    <w:div w:id="1019965779">
      <w:marLeft w:val="0"/>
      <w:marRight w:val="0"/>
      <w:marTop w:val="0"/>
      <w:marBottom w:val="0"/>
      <w:divBdr>
        <w:top w:val="none" w:sz="0" w:space="0" w:color="auto"/>
        <w:left w:val="none" w:sz="0" w:space="0" w:color="auto"/>
        <w:bottom w:val="none" w:sz="0" w:space="0" w:color="auto"/>
        <w:right w:val="none" w:sz="0" w:space="0" w:color="auto"/>
      </w:divBdr>
    </w:div>
    <w:div w:id="1019965780">
      <w:marLeft w:val="0"/>
      <w:marRight w:val="0"/>
      <w:marTop w:val="0"/>
      <w:marBottom w:val="0"/>
      <w:divBdr>
        <w:top w:val="none" w:sz="0" w:space="0" w:color="auto"/>
        <w:left w:val="none" w:sz="0" w:space="0" w:color="auto"/>
        <w:bottom w:val="none" w:sz="0" w:space="0" w:color="auto"/>
        <w:right w:val="none" w:sz="0" w:space="0" w:color="auto"/>
      </w:divBdr>
    </w:div>
    <w:div w:id="1019965781">
      <w:marLeft w:val="0"/>
      <w:marRight w:val="0"/>
      <w:marTop w:val="0"/>
      <w:marBottom w:val="0"/>
      <w:divBdr>
        <w:top w:val="none" w:sz="0" w:space="0" w:color="auto"/>
        <w:left w:val="none" w:sz="0" w:space="0" w:color="auto"/>
        <w:bottom w:val="none" w:sz="0" w:space="0" w:color="auto"/>
        <w:right w:val="none" w:sz="0" w:space="0" w:color="auto"/>
      </w:divBdr>
    </w:div>
    <w:div w:id="1019965782">
      <w:marLeft w:val="0"/>
      <w:marRight w:val="0"/>
      <w:marTop w:val="0"/>
      <w:marBottom w:val="0"/>
      <w:divBdr>
        <w:top w:val="none" w:sz="0" w:space="0" w:color="auto"/>
        <w:left w:val="none" w:sz="0" w:space="0" w:color="auto"/>
        <w:bottom w:val="none" w:sz="0" w:space="0" w:color="auto"/>
        <w:right w:val="none" w:sz="0" w:space="0" w:color="auto"/>
      </w:divBdr>
    </w:div>
    <w:div w:id="1019965783">
      <w:marLeft w:val="0"/>
      <w:marRight w:val="0"/>
      <w:marTop w:val="0"/>
      <w:marBottom w:val="0"/>
      <w:divBdr>
        <w:top w:val="none" w:sz="0" w:space="0" w:color="auto"/>
        <w:left w:val="none" w:sz="0" w:space="0" w:color="auto"/>
        <w:bottom w:val="none" w:sz="0" w:space="0" w:color="auto"/>
        <w:right w:val="none" w:sz="0" w:space="0" w:color="auto"/>
      </w:divBdr>
    </w:div>
    <w:div w:id="1019965784">
      <w:marLeft w:val="0"/>
      <w:marRight w:val="0"/>
      <w:marTop w:val="0"/>
      <w:marBottom w:val="0"/>
      <w:divBdr>
        <w:top w:val="none" w:sz="0" w:space="0" w:color="auto"/>
        <w:left w:val="none" w:sz="0" w:space="0" w:color="auto"/>
        <w:bottom w:val="none" w:sz="0" w:space="0" w:color="auto"/>
        <w:right w:val="none" w:sz="0" w:space="0" w:color="auto"/>
      </w:divBdr>
    </w:div>
    <w:div w:id="1019965785">
      <w:marLeft w:val="0"/>
      <w:marRight w:val="0"/>
      <w:marTop w:val="0"/>
      <w:marBottom w:val="0"/>
      <w:divBdr>
        <w:top w:val="none" w:sz="0" w:space="0" w:color="auto"/>
        <w:left w:val="none" w:sz="0" w:space="0" w:color="auto"/>
        <w:bottom w:val="none" w:sz="0" w:space="0" w:color="auto"/>
        <w:right w:val="none" w:sz="0" w:space="0" w:color="auto"/>
      </w:divBdr>
    </w:div>
    <w:div w:id="1019965786">
      <w:marLeft w:val="0"/>
      <w:marRight w:val="0"/>
      <w:marTop w:val="0"/>
      <w:marBottom w:val="0"/>
      <w:divBdr>
        <w:top w:val="none" w:sz="0" w:space="0" w:color="auto"/>
        <w:left w:val="none" w:sz="0" w:space="0" w:color="auto"/>
        <w:bottom w:val="none" w:sz="0" w:space="0" w:color="auto"/>
        <w:right w:val="none" w:sz="0" w:space="0" w:color="auto"/>
      </w:divBdr>
    </w:div>
    <w:div w:id="1019965787">
      <w:marLeft w:val="0"/>
      <w:marRight w:val="0"/>
      <w:marTop w:val="0"/>
      <w:marBottom w:val="0"/>
      <w:divBdr>
        <w:top w:val="none" w:sz="0" w:space="0" w:color="auto"/>
        <w:left w:val="none" w:sz="0" w:space="0" w:color="auto"/>
        <w:bottom w:val="none" w:sz="0" w:space="0" w:color="auto"/>
        <w:right w:val="none" w:sz="0" w:space="0" w:color="auto"/>
      </w:divBdr>
    </w:div>
    <w:div w:id="1019965788">
      <w:marLeft w:val="0"/>
      <w:marRight w:val="0"/>
      <w:marTop w:val="0"/>
      <w:marBottom w:val="0"/>
      <w:divBdr>
        <w:top w:val="none" w:sz="0" w:space="0" w:color="auto"/>
        <w:left w:val="none" w:sz="0" w:space="0" w:color="auto"/>
        <w:bottom w:val="none" w:sz="0" w:space="0" w:color="auto"/>
        <w:right w:val="none" w:sz="0" w:space="0" w:color="auto"/>
      </w:divBdr>
    </w:div>
    <w:div w:id="1019965789">
      <w:marLeft w:val="0"/>
      <w:marRight w:val="0"/>
      <w:marTop w:val="0"/>
      <w:marBottom w:val="0"/>
      <w:divBdr>
        <w:top w:val="none" w:sz="0" w:space="0" w:color="auto"/>
        <w:left w:val="none" w:sz="0" w:space="0" w:color="auto"/>
        <w:bottom w:val="none" w:sz="0" w:space="0" w:color="auto"/>
        <w:right w:val="none" w:sz="0" w:space="0" w:color="auto"/>
      </w:divBdr>
    </w:div>
    <w:div w:id="1019965790">
      <w:marLeft w:val="0"/>
      <w:marRight w:val="0"/>
      <w:marTop w:val="0"/>
      <w:marBottom w:val="0"/>
      <w:divBdr>
        <w:top w:val="none" w:sz="0" w:space="0" w:color="auto"/>
        <w:left w:val="none" w:sz="0" w:space="0" w:color="auto"/>
        <w:bottom w:val="none" w:sz="0" w:space="0" w:color="auto"/>
        <w:right w:val="none" w:sz="0" w:space="0" w:color="auto"/>
      </w:divBdr>
    </w:div>
    <w:div w:id="1019965791">
      <w:marLeft w:val="0"/>
      <w:marRight w:val="0"/>
      <w:marTop w:val="0"/>
      <w:marBottom w:val="0"/>
      <w:divBdr>
        <w:top w:val="none" w:sz="0" w:space="0" w:color="auto"/>
        <w:left w:val="none" w:sz="0" w:space="0" w:color="auto"/>
        <w:bottom w:val="none" w:sz="0" w:space="0" w:color="auto"/>
        <w:right w:val="none" w:sz="0" w:space="0" w:color="auto"/>
      </w:divBdr>
    </w:div>
    <w:div w:id="1019965792">
      <w:marLeft w:val="0"/>
      <w:marRight w:val="0"/>
      <w:marTop w:val="0"/>
      <w:marBottom w:val="0"/>
      <w:divBdr>
        <w:top w:val="none" w:sz="0" w:space="0" w:color="auto"/>
        <w:left w:val="none" w:sz="0" w:space="0" w:color="auto"/>
        <w:bottom w:val="none" w:sz="0" w:space="0" w:color="auto"/>
        <w:right w:val="none" w:sz="0" w:space="0" w:color="auto"/>
      </w:divBdr>
    </w:div>
    <w:div w:id="1019965793">
      <w:marLeft w:val="0"/>
      <w:marRight w:val="0"/>
      <w:marTop w:val="0"/>
      <w:marBottom w:val="0"/>
      <w:divBdr>
        <w:top w:val="none" w:sz="0" w:space="0" w:color="auto"/>
        <w:left w:val="none" w:sz="0" w:space="0" w:color="auto"/>
        <w:bottom w:val="none" w:sz="0" w:space="0" w:color="auto"/>
        <w:right w:val="none" w:sz="0" w:space="0" w:color="auto"/>
      </w:divBdr>
    </w:div>
    <w:div w:id="1019965794">
      <w:marLeft w:val="0"/>
      <w:marRight w:val="0"/>
      <w:marTop w:val="0"/>
      <w:marBottom w:val="0"/>
      <w:divBdr>
        <w:top w:val="none" w:sz="0" w:space="0" w:color="auto"/>
        <w:left w:val="none" w:sz="0" w:space="0" w:color="auto"/>
        <w:bottom w:val="none" w:sz="0" w:space="0" w:color="auto"/>
        <w:right w:val="none" w:sz="0" w:space="0" w:color="auto"/>
      </w:divBdr>
    </w:div>
    <w:div w:id="1019965795">
      <w:marLeft w:val="0"/>
      <w:marRight w:val="0"/>
      <w:marTop w:val="0"/>
      <w:marBottom w:val="0"/>
      <w:divBdr>
        <w:top w:val="none" w:sz="0" w:space="0" w:color="auto"/>
        <w:left w:val="none" w:sz="0" w:space="0" w:color="auto"/>
        <w:bottom w:val="none" w:sz="0" w:space="0" w:color="auto"/>
        <w:right w:val="none" w:sz="0" w:space="0" w:color="auto"/>
      </w:divBdr>
    </w:div>
    <w:div w:id="1019965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linkfp01/data1/Governance%20Services/DCUSA/Administration/Change%20Process/DCP_158/Change%20Report/www.dcusa.co.uk"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2014-12-19T18:35:46+00:00</DateLastActivated1>
    <Commitees xmlns="c7312139-f4c2-453d-a4c8-c631b6303d87">
      <Value>145</Value>
    </Commitees>
    <DocNotes xmlns="c7312139-f4c2-453d-a4c8-c631b6303d87" xsi:nil="true"/>
    <Activities xmlns="c7312139-f4c2-453d-a4c8-c631b6303d87">
      <Value>1845</Value>
    </Activities>
    <Issues xmlns="c7312139-f4c2-453d-a4c8-c631b6303d87"/>
    <PublishDate xmlns="c7312139-f4c2-453d-a4c8-c631b6303d87">2014-12-19T00:00:00+00:00</PublishDate>
    <ChangeProposal1 xmlns="c7312139-f4c2-453d-a4c8-c631b6303d87">
      <Value>218</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58DE2-7B6D-4386-AADD-5979C8758422}"/>
</file>

<file path=customXml/itemProps2.xml><?xml version="1.0" encoding="utf-8"?>
<ds:datastoreItem xmlns:ds="http://schemas.openxmlformats.org/officeDocument/2006/customXml" ds:itemID="{6DEA26C4-E758-4280-B3B0-B1632D38F1A1}"/>
</file>

<file path=customXml/itemProps3.xml><?xml version="1.0" encoding="utf-8"?>
<ds:datastoreItem xmlns:ds="http://schemas.openxmlformats.org/officeDocument/2006/customXml" ds:itemID="{91695091-541C-4C36-852B-3DEB4E41C101}"/>
</file>

<file path=customXml/itemProps4.xml><?xml version="1.0" encoding="utf-8"?>
<ds:datastoreItem xmlns:ds="http://schemas.openxmlformats.org/officeDocument/2006/customXml" ds:itemID="{6FDD864E-7E91-4803-BB74-A822D66C195C}"/>
</file>

<file path=customXml/itemProps5.xml><?xml version="1.0" encoding="utf-8"?>
<ds:datastoreItem xmlns:ds="http://schemas.openxmlformats.org/officeDocument/2006/customXml" ds:itemID="{4DBBD712-032B-4C86-8288-799F1FADC880}"/>
</file>

<file path=docProps/app.xml><?xml version="1.0" encoding="utf-8"?>
<Properties xmlns="http://schemas.openxmlformats.org/officeDocument/2006/extended-properties" xmlns:vt="http://schemas.openxmlformats.org/officeDocument/2006/docPropsVTypes">
  <Template>Normal</Template>
  <TotalTime>1</TotalTime>
  <Pages>30</Pages>
  <Words>8918</Words>
  <Characters>50833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DCUSA CHANGE REPORT</vt:lpstr>
    </vt:vector>
  </TitlesOfParts>
  <Company>Microsoft</Company>
  <LinksUpToDate>false</LinksUpToDate>
  <CharactersWithSpaces>59632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205 Draft Change Report</dc:title>
  <dc:creator>lawlore</dc:creator>
  <cp:lastModifiedBy>Claire Hynes</cp:lastModifiedBy>
  <cp:revision>2</cp:revision>
  <cp:lastPrinted>2014-02-21T10:08:00Z</cp:lastPrinted>
  <dcterms:created xsi:type="dcterms:W3CDTF">2014-12-19T18:34:00Z</dcterms:created>
  <dcterms:modified xsi:type="dcterms:W3CDTF">2014-12-19T18:34:00Z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