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EC6" w:rsidRPr="00342B85" w:rsidRDefault="009D5EC6" w:rsidP="00342B85">
      <w:pPr>
        <w:ind w:hanging="851"/>
        <w:jc w:val="both"/>
        <w:rPr>
          <w:rFonts w:ascii="Verdana" w:hAnsi="Verdana"/>
          <w:noProof/>
          <w:sz w:val="20"/>
          <w:szCs w:val="20"/>
          <w:lang w:val="en-US"/>
        </w:rPr>
      </w:pPr>
      <w:r w:rsidRPr="00342B85">
        <w:rPr>
          <w:rFonts w:ascii="Verdana" w:hAnsi="Verdana"/>
          <w:sz w:val="20"/>
          <w:szCs w:val="20"/>
        </w:rPr>
        <w:t xml:space="preserve"> </w:t>
      </w:r>
      <w:r w:rsidR="00FD785F" w:rsidRPr="00342B85">
        <w:rPr>
          <w:rFonts w:ascii="Verdana" w:hAnsi="Verdana"/>
          <w:noProof/>
          <w:sz w:val="20"/>
          <w:szCs w:val="20"/>
        </w:rPr>
        <w:drawing>
          <wp:inline distT="0" distB="0" distL="0" distR="0" wp14:anchorId="2A89EDA4" wp14:editId="086E6C7F">
            <wp:extent cx="2590800" cy="83820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2590800" cy="838200"/>
                    </a:xfrm>
                    <a:prstGeom prst="rect">
                      <a:avLst/>
                    </a:prstGeom>
                    <a:noFill/>
                    <a:ln w="9525">
                      <a:noFill/>
                      <a:miter lim="800000"/>
                      <a:headEnd/>
                      <a:tailEnd/>
                    </a:ln>
                  </pic:spPr>
                </pic:pic>
              </a:graphicData>
            </a:graphic>
          </wp:inline>
        </w:drawing>
      </w:r>
    </w:p>
    <w:p w:rsidR="009D5EC6" w:rsidRPr="00342B85" w:rsidRDefault="009D5EC6" w:rsidP="00342B85">
      <w:pPr>
        <w:jc w:val="both"/>
        <w:rPr>
          <w:rFonts w:ascii="Verdana" w:hAnsi="Verdana"/>
          <w:noProof/>
          <w:sz w:val="20"/>
          <w:szCs w:val="20"/>
          <w:lang w:val="en-US"/>
        </w:rPr>
      </w:pPr>
    </w:p>
    <w:p w:rsidR="009D5EC6" w:rsidRPr="00342B85" w:rsidRDefault="000076FC" w:rsidP="000076FC">
      <w:pPr>
        <w:tabs>
          <w:tab w:val="left" w:pos="5358"/>
        </w:tabs>
        <w:jc w:val="both"/>
        <w:rPr>
          <w:rFonts w:ascii="Verdana" w:hAnsi="Verdana"/>
          <w:noProof/>
          <w:sz w:val="20"/>
          <w:szCs w:val="20"/>
          <w:lang w:val="en-US"/>
        </w:rPr>
      </w:pPr>
      <w:r>
        <w:rPr>
          <w:rFonts w:ascii="Verdana" w:hAnsi="Verdana"/>
          <w:noProof/>
          <w:sz w:val="20"/>
          <w:szCs w:val="20"/>
          <w:lang w:val="en-US"/>
        </w:rPr>
        <w:tab/>
      </w:r>
    </w:p>
    <w:p w:rsidR="009D5EC6" w:rsidRPr="00342B85" w:rsidRDefault="00892F04" w:rsidP="00342B85">
      <w:pPr>
        <w:jc w:val="both"/>
        <w:rPr>
          <w:rFonts w:ascii="Verdana" w:hAnsi="Verdana"/>
          <w:sz w:val="20"/>
          <w:szCs w:val="20"/>
        </w:rPr>
      </w:pPr>
      <w:r>
        <w:rPr>
          <w:rFonts w:ascii="Verdana" w:hAnsi="Verdana"/>
          <w:noProof/>
          <w:sz w:val="20"/>
          <w:szCs w:val="20"/>
        </w:rPr>
        <mc:AlternateContent>
          <mc:Choice Requires="wpg">
            <w:drawing>
              <wp:anchor distT="0" distB="0" distL="114300" distR="114300" simplePos="0" relativeHeight="251659264" behindDoc="1" locked="0" layoutInCell="1" allowOverlap="1" wp14:anchorId="0F44F54B" wp14:editId="6382F7B7">
                <wp:simplePos x="0" y="0"/>
                <wp:positionH relativeFrom="column">
                  <wp:posOffset>-276225</wp:posOffset>
                </wp:positionH>
                <wp:positionV relativeFrom="paragraph">
                  <wp:posOffset>753110</wp:posOffset>
                </wp:positionV>
                <wp:extent cx="6108065" cy="1736725"/>
                <wp:effectExtent l="0" t="4445" r="11430" b="1905"/>
                <wp:wrapTight wrapText="bothSides">
                  <wp:wrapPolygon edited="0">
                    <wp:start x="202" y="6168"/>
                    <wp:lineTo x="202" y="6168"/>
                    <wp:lineTo x="21634" y="6168"/>
                    <wp:lineTo x="21634" y="6168"/>
                    <wp:lineTo x="202" y="6168"/>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8065" cy="1736725"/>
                          <a:chOff x="1678" y="11011"/>
                          <a:chExt cx="9619" cy="2647"/>
                        </a:xfrm>
                      </wpg:grpSpPr>
                      <wps:wsp>
                        <wps:cNvPr id="3" name="Text Box 3"/>
                        <wps:cNvSpPr txBox="1">
                          <a:spLocks noChangeArrowheads="1"/>
                        </wps:cNvSpPr>
                        <wps:spPr bwMode="auto">
                          <a:xfrm>
                            <a:off x="1678" y="11011"/>
                            <a:ext cx="9000" cy="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7523" w:rsidRPr="00767B37" w:rsidRDefault="00BA7523" w:rsidP="00E63A20">
                              <w:pPr>
                                <w:ind w:left="-142"/>
                                <w:rPr>
                                  <w:rFonts w:ascii="Verdana" w:hAnsi="Verdana"/>
                                  <w:b/>
                                  <w:sz w:val="32"/>
                                  <w:szCs w:val="32"/>
                                </w:rPr>
                              </w:pPr>
                              <w:r w:rsidRPr="00767B37">
                                <w:rPr>
                                  <w:rFonts w:ascii="Verdana" w:hAnsi="Verdana"/>
                                  <w:b/>
                                  <w:sz w:val="32"/>
                                  <w:szCs w:val="32"/>
                                </w:rPr>
                                <w:t>DCUSA Change Report</w:t>
                              </w:r>
                            </w:p>
                          </w:txbxContent>
                        </wps:txbx>
                        <wps:bodyPr rot="0" vert="horz" wrap="square" lIns="91440" tIns="91440" rIns="91440" bIns="91440" anchor="t" anchorCtr="0" upright="1">
                          <a:noAutofit/>
                        </wps:bodyPr>
                      </wps:wsp>
                      <wps:wsp>
                        <wps:cNvPr id="4" name="Text Box 4"/>
                        <wps:cNvSpPr txBox="1">
                          <a:spLocks noChangeArrowheads="1"/>
                        </wps:cNvSpPr>
                        <wps:spPr bwMode="auto">
                          <a:xfrm>
                            <a:off x="1678" y="11918"/>
                            <a:ext cx="8603" cy="1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7523" w:rsidRPr="00435098" w:rsidRDefault="00BA7523" w:rsidP="00E63A20">
                              <w:pPr>
                                <w:ind w:left="-142"/>
                                <w:rPr>
                                  <w:rFonts w:ascii="Verdana" w:hAnsi="Verdana"/>
                                  <w:sz w:val="36"/>
                                  <w:szCs w:val="36"/>
                                </w:rPr>
                              </w:pPr>
                              <w:r>
                                <w:rPr>
                                  <w:rFonts w:ascii="Verdana" w:hAnsi="Verdana"/>
                                  <w:sz w:val="36"/>
                                  <w:szCs w:val="36"/>
                                </w:rPr>
                                <w:t xml:space="preserve">DCP 190 and DCP 190A – Credit </w:t>
                              </w:r>
                              <w:proofErr w:type="gramStart"/>
                              <w:r>
                                <w:rPr>
                                  <w:rFonts w:ascii="Verdana" w:hAnsi="Verdana"/>
                                  <w:sz w:val="36"/>
                                  <w:szCs w:val="36"/>
                                </w:rPr>
                                <w:t>For</w:t>
                              </w:r>
                              <w:proofErr w:type="gramEnd"/>
                              <w:r>
                                <w:rPr>
                                  <w:rFonts w:ascii="Verdana" w:hAnsi="Verdana"/>
                                  <w:sz w:val="36"/>
                                  <w:szCs w:val="36"/>
                                </w:rPr>
                                <w:t xml:space="preserve"> Equipment Recovery Associated With Temporary C</w:t>
                              </w:r>
                              <w:r w:rsidRPr="0017055C">
                                <w:rPr>
                                  <w:rFonts w:ascii="Verdana" w:hAnsi="Verdana"/>
                                  <w:sz w:val="36"/>
                                  <w:szCs w:val="36"/>
                                </w:rPr>
                                <w:t>onnections</w:t>
                              </w:r>
                              <w:r>
                                <w:rPr>
                                  <w:rFonts w:ascii="Verdana" w:hAnsi="Verdana"/>
                                  <w:sz w:val="36"/>
                                  <w:szCs w:val="36"/>
                                </w:rPr>
                                <w:t xml:space="preserve"> </w:t>
                              </w:r>
                            </w:p>
                          </w:txbxContent>
                        </wps:txbx>
                        <wps:bodyPr rot="0" vert="horz" wrap="square" lIns="91440" tIns="91440" rIns="91440" bIns="91440" anchor="t" anchorCtr="0" upright="1">
                          <a:noAutofit/>
                        </wps:bodyPr>
                      </wps:wsp>
                      <wps:wsp>
                        <wps:cNvPr id="5" name="Line 5"/>
                        <wps:cNvCnPr/>
                        <wps:spPr bwMode="auto">
                          <a:xfrm>
                            <a:off x="1803" y="11782"/>
                            <a:ext cx="9494" cy="0"/>
                          </a:xfrm>
                          <a:prstGeom prst="line">
                            <a:avLst/>
                          </a:prstGeom>
                          <a:noFill/>
                          <a:ln w="12700">
                            <a:solidFill>
                              <a:srgbClr val="4E612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1.75pt;margin-top:59.3pt;width:480.95pt;height:136.75pt;z-index:-251657216" coordorigin="1678,11011" coordsize="9619,2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">
                <v:shapetype id="_x0000_t202" coordsize="21600,21600" o:spt="202" path="m,l,21600r21600,l21600,xe">
                  <v:stroke joinstyle="miter"/>
                  <v:path gradientshapeok="t" o:connecttype="rect"/>
                </v:shapetype>
                <v:shape id="Text Box 3" o:spid="_x0000_s1027" type="#_x0000_t202" style="position:absolute;left:1678;top:11011;width:9000;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wDeMEA&#10;AADaAAAADwAAAGRycy9kb3ducmV2LnhtbESPQWsCMRSE74L/ITzBm2ZVWm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8A3jBAAAA2gAAAA8AAAAAAAAAAAAAAAAAmAIAAGRycy9kb3du&#10;cmV2LnhtbFBLBQYAAAAABAAEAPUAAACGAwAAAAA=&#10;" filled="f" stroked="f">
                  <v:textbox inset=",7.2pt,,7.2pt">
                    <w:txbxContent>
                      <w:p w:rsidR="00BA7523" w:rsidRPr="00767B37" w:rsidRDefault="00BA7523" w:rsidP="00E63A20">
                        <w:pPr>
                          <w:ind w:left="-142"/>
                          <w:rPr>
                            <w:rFonts w:ascii="Verdana" w:hAnsi="Verdana"/>
                            <w:b/>
                            <w:sz w:val="32"/>
                            <w:szCs w:val="32"/>
                          </w:rPr>
                        </w:pPr>
                        <w:r w:rsidRPr="00767B37">
                          <w:rPr>
                            <w:rFonts w:ascii="Verdana" w:hAnsi="Verdana"/>
                            <w:b/>
                            <w:sz w:val="32"/>
                            <w:szCs w:val="32"/>
                          </w:rPr>
                          <w:t>DCUSA Change Report</w:t>
                        </w:r>
                      </w:p>
                    </w:txbxContent>
                  </v:textbox>
                </v:shape>
                <v:shape id="Text Box 4" o:spid="_x0000_s1028" type="#_x0000_t202" style="position:absolute;left:1678;top:11918;width:8603;height:1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WbDMEA&#10;AADaAAAADwAAAGRycy9kb3ducmV2LnhtbESPQWsCMRSE74L/ITzBm2YVW2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VmwzBAAAA2gAAAA8AAAAAAAAAAAAAAAAAmAIAAGRycy9kb3du&#10;cmV2LnhtbFBLBQYAAAAABAAEAPUAAACGAwAAAAA=&#10;" filled="f" stroked="f">
                  <v:textbox inset=",7.2pt,,7.2pt">
                    <w:txbxContent>
                      <w:p w:rsidR="00BA7523" w:rsidRPr="00435098" w:rsidRDefault="00BA7523" w:rsidP="00E63A20">
                        <w:pPr>
                          <w:ind w:left="-142"/>
                          <w:rPr>
                            <w:rFonts w:ascii="Verdana" w:hAnsi="Verdana"/>
                            <w:sz w:val="36"/>
                            <w:szCs w:val="36"/>
                          </w:rPr>
                        </w:pPr>
                        <w:r>
                          <w:rPr>
                            <w:rFonts w:ascii="Verdana" w:hAnsi="Verdana"/>
                            <w:sz w:val="36"/>
                            <w:szCs w:val="36"/>
                          </w:rPr>
                          <w:t xml:space="preserve">DCP 190 and DCP 190A – Credit </w:t>
                        </w:r>
                        <w:proofErr w:type="gramStart"/>
                        <w:r>
                          <w:rPr>
                            <w:rFonts w:ascii="Verdana" w:hAnsi="Verdana"/>
                            <w:sz w:val="36"/>
                            <w:szCs w:val="36"/>
                          </w:rPr>
                          <w:t>For</w:t>
                        </w:r>
                        <w:proofErr w:type="gramEnd"/>
                        <w:r>
                          <w:rPr>
                            <w:rFonts w:ascii="Verdana" w:hAnsi="Verdana"/>
                            <w:sz w:val="36"/>
                            <w:szCs w:val="36"/>
                          </w:rPr>
                          <w:t xml:space="preserve"> Equipment Recovery Associated With Temporary C</w:t>
                        </w:r>
                        <w:r w:rsidRPr="0017055C">
                          <w:rPr>
                            <w:rFonts w:ascii="Verdana" w:hAnsi="Verdana"/>
                            <w:sz w:val="36"/>
                            <w:szCs w:val="36"/>
                          </w:rPr>
                          <w:t>onnections</w:t>
                        </w:r>
                        <w:r>
                          <w:rPr>
                            <w:rFonts w:ascii="Verdana" w:hAnsi="Verdana"/>
                            <w:sz w:val="36"/>
                            <w:szCs w:val="36"/>
                          </w:rPr>
                          <w:t xml:space="preserve"> </w:t>
                        </w:r>
                      </w:p>
                    </w:txbxContent>
                  </v:textbox>
                </v:shape>
                <v:line id="Line 5" o:spid="_x0000_s1029" style="position:absolute;visibility:visible;mso-wrap-style:square" from="1803,11782" to="11297,1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PrPMMAAADaAAAADwAAAGRycy9kb3ducmV2LnhtbESPQYvCMBSE7wv+h/AEb2uqoEjXKKug&#10;qCBsq5e9PZtn27V5KU3U+u/NguBxmJlvmOm8NZW4UeNKywoG/QgEcWZ1ybmC42H1OQHhPLLGyjIp&#10;eJCD+azzMcVY2zsndEt9LgKEXYwKCu/rWEqXFWTQ9W1NHLyzbQz6IJtc6gbvAW4qOYyisTRYclgo&#10;sKZlQdklvRoFh5/1yZvETn6rv2S3X1y2ezOslep12+8vEJ5a/w6/2hutYAT/V8INkL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T6zzDAAAA2gAAAA8AAAAAAAAAAAAA&#10;AAAAoQIAAGRycy9kb3ducmV2LnhtbFBLBQYAAAAABAAEAPkAAACRAwAAAAA=&#10;" strokecolor="#4e6128" strokeweight="1pt">
                  <v:shadow opacity="22938f" offset="0"/>
                </v:line>
                <w10:wrap type="tight"/>
              </v:group>
            </w:pict>
          </mc:Fallback>
        </mc:AlternateContent>
      </w:r>
      <w:r w:rsidR="009D5EC6" w:rsidRPr="00342B85">
        <w:rPr>
          <w:rFonts w:ascii="Verdana" w:hAnsi="Verdana"/>
          <w:sz w:val="20"/>
          <w:szCs w:val="20"/>
        </w:rPr>
        <w:br w:type="page"/>
      </w:r>
    </w:p>
    <w:p w:rsidR="009D5EC6" w:rsidRPr="00342B85" w:rsidRDefault="009D5EC6" w:rsidP="00891A0B">
      <w:pPr>
        <w:pStyle w:val="Heading1"/>
        <w:numPr>
          <w:ilvl w:val="0"/>
          <w:numId w:val="2"/>
        </w:numPr>
        <w:spacing w:line="360" w:lineRule="auto"/>
        <w:jc w:val="both"/>
      </w:pPr>
      <w:r w:rsidRPr="00342B85">
        <w:lastRenderedPageBreak/>
        <w:t>PURPOSE</w:t>
      </w:r>
    </w:p>
    <w:p w:rsidR="004E6E03" w:rsidRPr="00342B85" w:rsidRDefault="009D5EC6" w:rsidP="00891A0B">
      <w:pPr>
        <w:pStyle w:val="Heading2"/>
        <w:numPr>
          <w:ilvl w:val="1"/>
          <w:numId w:val="2"/>
        </w:numPr>
        <w:spacing w:line="360" w:lineRule="auto"/>
        <w:jc w:val="both"/>
      </w:pPr>
      <w:r w:rsidRPr="00342B85">
        <w:t xml:space="preserve">This document is issued in accordance with Clause 11.20 of the DCUSA and details DCP </w:t>
      </w:r>
      <w:r w:rsidR="004E6E03" w:rsidRPr="00342B85">
        <w:t>1</w:t>
      </w:r>
      <w:r w:rsidR="0017055C">
        <w:t>9</w:t>
      </w:r>
      <w:r w:rsidR="005807EF">
        <w:t>0</w:t>
      </w:r>
      <w:r w:rsidR="00D77D35" w:rsidRPr="00342B85">
        <w:t xml:space="preserve"> </w:t>
      </w:r>
      <w:r w:rsidR="0017055C">
        <w:t xml:space="preserve">and DCP 190A </w:t>
      </w:r>
      <w:r w:rsidRPr="00342B85">
        <w:t xml:space="preserve">– </w:t>
      </w:r>
      <w:r w:rsidR="005807EF">
        <w:t>C</w:t>
      </w:r>
      <w:r w:rsidR="0017055C">
        <w:t xml:space="preserve">redit </w:t>
      </w:r>
      <w:proofErr w:type="gramStart"/>
      <w:r w:rsidR="0017055C">
        <w:t>For Equipment Recovery Associated With</w:t>
      </w:r>
      <w:proofErr w:type="gramEnd"/>
      <w:r w:rsidR="0017055C">
        <w:t xml:space="preserve"> Temporary Connections</w:t>
      </w:r>
      <w:r w:rsidR="00AC17F0">
        <w:t xml:space="preserve"> (Attachment 3</w:t>
      </w:r>
      <w:r w:rsidR="00793065">
        <w:t>)</w:t>
      </w:r>
      <w:r w:rsidRPr="00342B85">
        <w:t xml:space="preserve">. </w:t>
      </w:r>
    </w:p>
    <w:p w:rsidR="009D5EC6" w:rsidRPr="00342B85" w:rsidRDefault="009D5EC6" w:rsidP="00891A0B">
      <w:pPr>
        <w:pStyle w:val="Heading2"/>
        <w:numPr>
          <w:ilvl w:val="1"/>
          <w:numId w:val="2"/>
        </w:numPr>
        <w:spacing w:line="360" w:lineRule="auto"/>
        <w:jc w:val="both"/>
      </w:pPr>
      <w:r w:rsidRPr="00342B85">
        <w:t xml:space="preserve">The voting process for the proposed variation and the timetable of the progression of the Change Proposal (CP) through the DCUSA Change Control Process is set out in this document. </w:t>
      </w:r>
    </w:p>
    <w:p w:rsidR="00C86340" w:rsidRDefault="00C86340" w:rsidP="00C45236">
      <w:pPr>
        <w:pStyle w:val="Heading2"/>
        <w:numPr>
          <w:ilvl w:val="1"/>
          <w:numId w:val="2"/>
        </w:numPr>
        <w:spacing w:line="360" w:lineRule="auto"/>
        <w:ind w:left="578" w:hanging="578"/>
        <w:jc w:val="both"/>
      </w:pPr>
      <w:r w:rsidRPr="00AC34B7">
        <w:t>Parties are invited to consider the proposed amen</w:t>
      </w:r>
      <w:r w:rsidR="001E0A6E">
        <w:t xml:space="preserve">dments (Attachment </w:t>
      </w:r>
      <w:r w:rsidR="00AC17F0">
        <w:t>2</w:t>
      </w:r>
      <w:r w:rsidRPr="00AC34B7">
        <w:t>) and submit their votes usi</w:t>
      </w:r>
      <w:r w:rsidR="001E0A6E">
        <w:t xml:space="preserve">ng the form attached as Attachment </w:t>
      </w:r>
      <w:r w:rsidR="00AC17F0">
        <w:t>1</w:t>
      </w:r>
      <w:r w:rsidR="001E0A6E">
        <w:t xml:space="preserve"> </w:t>
      </w:r>
      <w:r w:rsidRPr="00AC34B7">
        <w:t xml:space="preserve">to </w:t>
      </w:r>
      <w:r w:rsidRPr="00AC34B7">
        <w:rPr>
          <w:color w:val="0000FF"/>
          <w:u w:val="single"/>
        </w:rPr>
        <w:t>dcusa@electralink.co.uk</w:t>
      </w:r>
      <w:r w:rsidRPr="00AC34B7">
        <w:t xml:space="preserve"> </w:t>
      </w:r>
      <w:r w:rsidR="00C12F61" w:rsidRPr="00AC34B7">
        <w:t xml:space="preserve">no later </w:t>
      </w:r>
      <w:r w:rsidR="00C12F61" w:rsidRPr="009A455F">
        <w:t xml:space="preserve">than </w:t>
      </w:r>
      <w:r w:rsidR="009A455F" w:rsidRPr="009A455F">
        <w:rPr>
          <w:b/>
          <w:highlight w:val="yellow"/>
        </w:rPr>
        <w:t xml:space="preserve">08 October </w:t>
      </w:r>
      <w:r w:rsidR="0017055C" w:rsidRPr="009A455F">
        <w:rPr>
          <w:b/>
          <w:highlight w:val="yellow"/>
        </w:rPr>
        <w:t>2014</w:t>
      </w:r>
      <w:r w:rsidRPr="009A455F">
        <w:t>.</w:t>
      </w:r>
    </w:p>
    <w:p w:rsidR="00D810F7" w:rsidRDefault="00D810F7" w:rsidP="00D810F7">
      <w:pPr>
        <w:pStyle w:val="Heading1"/>
        <w:numPr>
          <w:ilvl w:val="0"/>
          <w:numId w:val="2"/>
        </w:numPr>
        <w:spacing w:line="360" w:lineRule="auto"/>
        <w:jc w:val="both"/>
      </w:pPr>
      <w:r>
        <w:t>EXECUTIVE SUMMARY</w:t>
      </w:r>
    </w:p>
    <w:p w:rsidR="00AC17F0" w:rsidRDefault="00AC17F0" w:rsidP="00AC17F0">
      <w:pPr>
        <w:pStyle w:val="Heading2"/>
        <w:keepNext w:val="0"/>
        <w:widowControl w:val="0"/>
        <w:numPr>
          <w:ilvl w:val="1"/>
          <w:numId w:val="2"/>
        </w:numPr>
        <w:spacing w:line="360" w:lineRule="auto"/>
        <w:ind w:left="578" w:hanging="578"/>
        <w:jc w:val="both"/>
      </w:pPr>
      <w:r>
        <w:t>DCP 190 was raised by Northern Powergrid on the 18 September 2013 to amend DCUSA Schedule 22 Common Connection Charging Methodology (CCCM) to allow customers with a</w:t>
      </w:r>
      <w:r w:rsidR="004854B7">
        <w:t xml:space="preserve"> </w:t>
      </w:r>
      <w:r>
        <w:t>temporary connection</w:t>
      </w:r>
      <w:r w:rsidR="004854B7">
        <w:t xml:space="preserve"> </w:t>
      </w:r>
      <w:r>
        <w:t xml:space="preserve">to receive a </w:t>
      </w:r>
      <w:r w:rsidRPr="00AD173F">
        <w:t xml:space="preserve">credit for the value of any </w:t>
      </w:r>
      <w:r w:rsidR="004854B7">
        <w:t>equipment recovered by DNOs</w:t>
      </w:r>
      <w:r>
        <w:t xml:space="preserve"> </w:t>
      </w:r>
      <w:r w:rsidRPr="00D80493">
        <w:t xml:space="preserve">that can subsequently </w:t>
      </w:r>
      <w:r w:rsidR="004854B7">
        <w:t xml:space="preserve">be </w:t>
      </w:r>
      <w:r w:rsidRPr="00D80493">
        <w:t>reuse</w:t>
      </w:r>
      <w:r w:rsidR="004854B7">
        <w:t>d upon its disconnection</w:t>
      </w:r>
      <w:r>
        <w:t>. All Working Group membe</w:t>
      </w:r>
      <w:r w:rsidR="004854B7">
        <w:t>rs agree with the principle of this CP and consider that where the customer receives a refund it will better reflect the costs incurred by the DNO.</w:t>
      </w:r>
      <w:r>
        <w:t xml:space="preserve"> </w:t>
      </w:r>
    </w:p>
    <w:p w:rsidR="00AC2C3E" w:rsidRDefault="00AC17F0" w:rsidP="004854B7">
      <w:pPr>
        <w:pStyle w:val="Heading2"/>
        <w:keepNext w:val="0"/>
        <w:widowControl w:val="0"/>
        <w:numPr>
          <w:ilvl w:val="1"/>
          <w:numId w:val="2"/>
        </w:numPr>
        <w:spacing w:line="360" w:lineRule="auto"/>
        <w:ind w:left="578" w:hanging="578"/>
        <w:jc w:val="both"/>
      </w:pPr>
      <w:r>
        <w:t>Over a period of one year the DCP 1</w:t>
      </w:r>
      <w:r w:rsidR="004854B7">
        <w:t>90</w:t>
      </w:r>
      <w:r>
        <w:t xml:space="preserve"> Working Group met </w:t>
      </w:r>
      <w:r w:rsidR="004854B7" w:rsidRPr="00C10F51">
        <w:rPr>
          <w:highlight w:val="yellow"/>
        </w:rPr>
        <w:t>five</w:t>
      </w:r>
      <w:r w:rsidR="004854B7">
        <w:t xml:space="preserve"> times and issued two</w:t>
      </w:r>
      <w:r>
        <w:t xml:space="preserve"> consultation</w:t>
      </w:r>
      <w:r w:rsidR="004854B7">
        <w:t xml:space="preserve">s. Consultation one considered the amendment of DCUSA Schedule 22 Clause 1.33 </w:t>
      </w:r>
      <w:r>
        <w:t>(Please see Att</w:t>
      </w:r>
      <w:r w:rsidR="00BA7523">
        <w:t>achment 2). The Working Group was</w:t>
      </w:r>
      <w:r>
        <w:t xml:space="preserve"> s</w:t>
      </w:r>
      <w:r w:rsidR="003D7E6C">
        <w:t xml:space="preserve">plit on the proposed legal text in regards to </w:t>
      </w:r>
      <w:r w:rsidR="003D7E6C" w:rsidRPr="002461EA">
        <w:t xml:space="preserve">the use of the wording of “we </w:t>
      </w:r>
      <w:r w:rsidR="003D7E6C" w:rsidRPr="003D7E6C">
        <w:t>may</w:t>
      </w:r>
      <w:r w:rsidR="003D7E6C" w:rsidRPr="002461EA">
        <w:t xml:space="preserve">” or “we </w:t>
      </w:r>
      <w:r w:rsidR="003D7E6C" w:rsidRPr="003D7E6C">
        <w:t>will</w:t>
      </w:r>
      <w:r w:rsidR="003D7E6C" w:rsidRPr="002461EA">
        <w:t xml:space="preserve"> make a payment”</w:t>
      </w:r>
      <w:r w:rsidR="009A455F">
        <w:t>.</w:t>
      </w:r>
      <w:r w:rsidR="003D7E6C">
        <w:t xml:space="preserve"> The majority of the Working Group </w:t>
      </w:r>
      <w:r w:rsidR="003D7E6C" w:rsidRPr="002461EA">
        <w:t>considered that inserti</w:t>
      </w:r>
      <w:r w:rsidR="009A455F">
        <w:t>ng the word “will” in proposed C</w:t>
      </w:r>
      <w:r w:rsidR="003D7E6C" w:rsidRPr="002461EA">
        <w:t xml:space="preserve">lause 1.33 would give the impression to customers that a credit was due in every case where this may not </w:t>
      </w:r>
      <w:r w:rsidR="003D7E6C" w:rsidRPr="003D7E6C">
        <w:t xml:space="preserve">happen when the costs of refurbishment and the effect of depreciation are taken into account. Whilst the </w:t>
      </w:r>
      <w:r w:rsidR="003D7E6C">
        <w:t xml:space="preserve">minority </w:t>
      </w:r>
      <w:r w:rsidR="003D7E6C" w:rsidRPr="00E058BF">
        <w:t>considered that the use of the word “may” did not require the DNO to undertake the process of calculat</w:t>
      </w:r>
      <w:r w:rsidR="009A455F">
        <w:t>ing a credit for the equipment.</w:t>
      </w:r>
      <w:r w:rsidR="003D7E6C" w:rsidRPr="003D7E6C">
        <w:t xml:space="preserve"> </w:t>
      </w:r>
      <w:r>
        <w:t xml:space="preserve">As a result </w:t>
      </w:r>
      <w:r w:rsidR="00496C6B">
        <w:t>one</w:t>
      </w:r>
      <w:r>
        <w:t xml:space="preserve"> Working Group member chose to raise an a</w:t>
      </w:r>
      <w:r w:rsidR="003D7E6C">
        <w:t>lternate Change Proposal DCP 190</w:t>
      </w:r>
      <w:r>
        <w:t>A.</w:t>
      </w:r>
      <w:r w:rsidR="003D7E6C">
        <w:t xml:space="preserve"> </w:t>
      </w:r>
    </w:p>
    <w:p w:rsidR="00AC2C3E" w:rsidRDefault="00D2580D" w:rsidP="004854B7">
      <w:pPr>
        <w:pStyle w:val="Heading2"/>
        <w:keepNext w:val="0"/>
        <w:widowControl w:val="0"/>
        <w:numPr>
          <w:ilvl w:val="1"/>
          <w:numId w:val="2"/>
        </w:numPr>
        <w:spacing w:line="360" w:lineRule="auto"/>
        <w:ind w:left="578" w:hanging="578"/>
        <w:jc w:val="both"/>
      </w:pPr>
      <w:r w:rsidRPr="002461EA">
        <w:t>Following the review of responses to consultation one</w:t>
      </w:r>
      <w:r>
        <w:t xml:space="preserve">, the Working Group </w:t>
      </w:r>
      <w:r w:rsidRPr="002461EA">
        <w:t>agreed that the DNO should undertake the process of calculating a credit for the equipment before determining whether the Customer was due a refund for this equipment</w:t>
      </w:r>
      <w:r>
        <w:t>.</w:t>
      </w:r>
      <w:r w:rsidR="00E313ED">
        <w:t xml:space="preserve"> A second consultation was issued to consider the revised </w:t>
      </w:r>
      <w:r w:rsidR="00E313ED" w:rsidRPr="00AC2C3E">
        <w:t>legal text</w:t>
      </w:r>
      <w:r w:rsidR="003D7E6C" w:rsidRPr="00AC2C3E">
        <w:t>.</w:t>
      </w:r>
    </w:p>
    <w:p w:rsidR="00D810F7" w:rsidRPr="00342B85" w:rsidRDefault="00BA7523" w:rsidP="004854B7">
      <w:pPr>
        <w:pStyle w:val="Heading2"/>
        <w:keepNext w:val="0"/>
        <w:widowControl w:val="0"/>
        <w:numPr>
          <w:ilvl w:val="1"/>
          <w:numId w:val="2"/>
        </w:numPr>
        <w:spacing w:line="360" w:lineRule="auto"/>
        <w:ind w:left="578" w:hanging="578"/>
        <w:jc w:val="both"/>
      </w:pPr>
      <w:r>
        <w:lastRenderedPageBreak/>
        <w:t xml:space="preserve"> The </w:t>
      </w:r>
      <w:r w:rsidR="00AC2C3E">
        <w:t>revised DCP 190 legal text approach</w:t>
      </w:r>
      <w:r w:rsidR="005F6544">
        <w:t xml:space="preserve"> developed in conjunction with the legal </w:t>
      </w:r>
      <w:proofErr w:type="gramStart"/>
      <w:r w:rsidR="005F6544">
        <w:t>advisor</w:t>
      </w:r>
      <w:proofErr w:type="gramEnd"/>
      <w:r>
        <w:t xml:space="preserve"> proposes that once the value of equipment for a disconnected temporary connection has been calculated the DNO will refund any amount above a de-</w:t>
      </w:r>
      <w:proofErr w:type="spellStart"/>
      <w:r>
        <w:t>minimus</w:t>
      </w:r>
      <w:proofErr w:type="spellEnd"/>
      <w:r>
        <w:t xml:space="preserve"> value set out in section 6 of the CCMS. Members considered that where there was a small refund to a customer, the de-</w:t>
      </w:r>
      <w:proofErr w:type="spellStart"/>
      <w:r>
        <w:t>minimus</w:t>
      </w:r>
      <w:proofErr w:type="spellEnd"/>
      <w:r>
        <w:t xml:space="preserve"> value would offset the administrative costs</w:t>
      </w:r>
      <w:r w:rsidR="00AC2C3E">
        <w:t xml:space="preserve"> and prevent the DNO from undertaking burdensome administration for very small amounts</w:t>
      </w:r>
      <w:r>
        <w:t xml:space="preserve">. The </w:t>
      </w:r>
      <w:r w:rsidR="00AC2C3E">
        <w:t xml:space="preserve">revised </w:t>
      </w:r>
      <w:r>
        <w:t>DCP 190</w:t>
      </w:r>
      <w:r w:rsidR="00AC2C3E">
        <w:t>A legal text proposes for the</w:t>
      </w:r>
      <w:r>
        <w:t xml:space="preserve"> refund to</w:t>
      </w:r>
      <w:r w:rsidR="00AC2C3E">
        <w:t xml:space="preserve"> be processed</w:t>
      </w:r>
      <w:r>
        <w:t xml:space="preserve"> less the net value of recovery, removal and depreciation costs.</w:t>
      </w:r>
      <w:r w:rsidR="00AC2C3E">
        <w:t xml:space="preserve"> This proposal contests the de-</w:t>
      </w:r>
      <w:proofErr w:type="spellStart"/>
      <w:r w:rsidR="00AC2C3E">
        <w:t>minimus</w:t>
      </w:r>
      <w:proofErr w:type="spellEnd"/>
      <w:r w:rsidR="00AC2C3E">
        <w:t xml:space="preserve"> value approach by suggesting that all refunds no matter the size should be refunded to the customer. The majority of the Working Group supports the original DCP 190 CP.</w:t>
      </w:r>
    </w:p>
    <w:p w:rsidR="004E6E03" w:rsidRPr="009153A4" w:rsidRDefault="00424807" w:rsidP="00774DAF">
      <w:pPr>
        <w:pStyle w:val="Heading1"/>
        <w:numPr>
          <w:ilvl w:val="0"/>
          <w:numId w:val="2"/>
        </w:numPr>
        <w:spacing w:line="360" w:lineRule="auto"/>
        <w:jc w:val="both"/>
      </w:pPr>
      <w:r>
        <w:t xml:space="preserve">INTENT OF </w:t>
      </w:r>
      <w:r w:rsidR="0017055C">
        <w:t>DCP 19</w:t>
      </w:r>
      <w:r w:rsidR="009153A4" w:rsidRPr="00774DAF">
        <w:t>0</w:t>
      </w:r>
      <w:r w:rsidR="0017055C">
        <w:t xml:space="preserve"> AND DCP 190A</w:t>
      </w:r>
      <w:r w:rsidR="009153A4" w:rsidRPr="00774DAF">
        <w:t xml:space="preserve"> – </w:t>
      </w:r>
      <w:r w:rsidR="0017055C">
        <w:t>CREDIT FOR EQUIPMENT RECOVERY ASSOCIATED WITH TEMPORARY CONNECTIONS</w:t>
      </w:r>
      <w:r w:rsidR="0074040D">
        <w:t xml:space="preserve"> </w:t>
      </w:r>
    </w:p>
    <w:p w:rsidR="0017055C" w:rsidRDefault="0017055C" w:rsidP="0017055C">
      <w:pPr>
        <w:pStyle w:val="Heading2"/>
        <w:numPr>
          <w:ilvl w:val="1"/>
          <w:numId w:val="2"/>
        </w:numPr>
        <w:spacing w:line="360" w:lineRule="auto"/>
        <w:ind w:left="578" w:hanging="578"/>
        <w:jc w:val="both"/>
      </w:pPr>
      <w:r w:rsidRPr="00DD2BA0">
        <w:t xml:space="preserve">DCP 190 has been raised by Northern Powergrid, following on from the work of the Connections Sub Group of the Commercial Operations Group which identified that some DNOs provide a refund to customers for </w:t>
      </w:r>
      <w:r w:rsidRPr="00C3299C">
        <w:t>plant</w:t>
      </w:r>
      <w:r w:rsidRPr="00DD2BA0">
        <w:t xml:space="preserve"> and equipment that is recovered when a temporary </w:t>
      </w:r>
      <w:r>
        <w:t xml:space="preserve">connection </w:t>
      </w:r>
      <w:r w:rsidRPr="00DD2BA0">
        <w:t xml:space="preserve">is no longer required. This generally relates only to switchgear and transformers that can be reused and any refund may take account of depreciation and maintenance required to allow the equipment to be reused on the network. </w:t>
      </w:r>
    </w:p>
    <w:p w:rsidR="0017055C" w:rsidRDefault="0017055C" w:rsidP="0017055C">
      <w:pPr>
        <w:pStyle w:val="Heading2"/>
        <w:numPr>
          <w:ilvl w:val="1"/>
          <w:numId w:val="2"/>
        </w:numPr>
        <w:spacing w:line="360" w:lineRule="auto"/>
        <w:ind w:left="578" w:hanging="578"/>
        <w:jc w:val="both"/>
      </w:pPr>
      <w:r w:rsidRPr="003D35AE">
        <w:t xml:space="preserve">The Change Proposal (CP) </w:t>
      </w:r>
      <w:r>
        <w:t xml:space="preserve">seeks to amend the Common Connection Charging Methodology (CCCM) such that customers may receive a </w:t>
      </w:r>
      <w:r w:rsidRPr="00AD173F">
        <w:t xml:space="preserve">credit for the value of any </w:t>
      </w:r>
      <w:r>
        <w:t xml:space="preserve">equipment recovered by DNOs that </w:t>
      </w:r>
      <w:r w:rsidRPr="00D80493">
        <w:t xml:space="preserve">can subsequently </w:t>
      </w:r>
      <w:r>
        <w:t xml:space="preserve">be </w:t>
      </w:r>
      <w:r w:rsidRPr="00D80493">
        <w:t>reuse</w:t>
      </w:r>
      <w:r>
        <w:t xml:space="preserve">d, </w:t>
      </w:r>
      <w:r w:rsidRPr="00AD173F">
        <w:t xml:space="preserve">as a result of </w:t>
      </w:r>
      <w:r>
        <w:t>the disconnection of a temporary</w:t>
      </w:r>
      <w:r w:rsidRPr="00AD173F">
        <w:t xml:space="preserve"> </w:t>
      </w:r>
      <w:r>
        <w:t xml:space="preserve">connection. </w:t>
      </w:r>
    </w:p>
    <w:p w:rsidR="0017055C" w:rsidRPr="00AC2C3E" w:rsidRDefault="0017055C" w:rsidP="0017055C">
      <w:pPr>
        <w:pStyle w:val="Heading2"/>
        <w:numPr>
          <w:ilvl w:val="1"/>
          <w:numId w:val="2"/>
        </w:numPr>
        <w:spacing w:line="360" w:lineRule="auto"/>
        <w:ind w:left="578" w:hanging="578"/>
        <w:jc w:val="both"/>
      </w:pPr>
      <w:r w:rsidRPr="00AC2C3E">
        <w:t xml:space="preserve">DCP 190A Alternate Change Proposal was raised by </w:t>
      </w:r>
      <w:r w:rsidR="00496C6B">
        <w:t>the Working Group</w:t>
      </w:r>
      <w:r w:rsidRPr="00AC2C3E">
        <w:t xml:space="preserve"> on the 21 November 2013 and seeks to meet the same intent as DCP 190 but with a difference in the proposed legal text w</w:t>
      </w:r>
      <w:r w:rsidR="00AC17F0" w:rsidRPr="00AC2C3E">
        <w:t xml:space="preserve">hich is </w:t>
      </w:r>
      <w:r w:rsidR="00AC2C3E" w:rsidRPr="00AC2C3E">
        <w:t xml:space="preserve">detailed in section </w:t>
      </w:r>
      <w:r w:rsidR="00AC2C3E" w:rsidRPr="00AC2C3E">
        <w:rPr>
          <w:highlight w:val="yellow"/>
        </w:rPr>
        <w:t>eight</w:t>
      </w:r>
      <w:r w:rsidRPr="00AC2C3E">
        <w:t xml:space="preserve"> of this </w:t>
      </w:r>
      <w:r w:rsidR="009A455F" w:rsidRPr="00AC2C3E">
        <w:t>Change report</w:t>
      </w:r>
      <w:r w:rsidRPr="00AC2C3E">
        <w:t>.</w:t>
      </w:r>
    </w:p>
    <w:p w:rsidR="00D77D35" w:rsidRPr="00342B85" w:rsidRDefault="007526E2" w:rsidP="00774DAF">
      <w:pPr>
        <w:pStyle w:val="Heading1"/>
        <w:numPr>
          <w:ilvl w:val="0"/>
          <w:numId w:val="2"/>
        </w:numPr>
        <w:spacing w:line="360" w:lineRule="auto"/>
        <w:jc w:val="both"/>
      </w:pPr>
      <w:r>
        <w:t xml:space="preserve">     </w:t>
      </w:r>
      <w:r w:rsidR="00EA65E9" w:rsidRPr="00342B85">
        <w:t>D</w:t>
      </w:r>
      <w:r w:rsidR="00892F04">
        <w:t>CP 1</w:t>
      </w:r>
      <w:r w:rsidR="00AC17F0">
        <w:t>9</w:t>
      </w:r>
      <w:r w:rsidR="00892F04">
        <w:t>0</w:t>
      </w:r>
      <w:r w:rsidR="00D77D35" w:rsidRPr="00342B85">
        <w:t xml:space="preserve"> – WORKING GROUP CONSIDERATIONS</w:t>
      </w:r>
    </w:p>
    <w:p w:rsidR="00B67A3C" w:rsidRDefault="00C10F51" w:rsidP="00B67A3C">
      <w:pPr>
        <w:pStyle w:val="Heading2"/>
        <w:keepNext w:val="0"/>
        <w:numPr>
          <w:ilvl w:val="1"/>
          <w:numId w:val="2"/>
        </w:numPr>
        <w:spacing w:line="360" w:lineRule="auto"/>
        <w:ind w:left="578" w:hanging="578"/>
        <w:jc w:val="both"/>
      </w:pPr>
      <w:r>
        <w:t>The DCUSA Panel</w:t>
      </w:r>
      <w:r w:rsidRPr="00BF2A1A">
        <w:t xml:space="preserve"> established the DCP 190 Working Group </w:t>
      </w:r>
      <w:r>
        <w:t xml:space="preserve">to analyse the change. An open invitation was issued to a wide audience including the DCUSA Contract Managers, the Distribution Charging Methodology Forum and the National Terms of Connection distribution lists. The Working Group met on </w:t>
      </w:r>
      <w:r w:rsidRPr="00B67A3C">
        <w:rPr>
          <w:highlight w:val="yellow"/>
        </w:rPr>
        <w:t>five</w:t>
      </w:r>
      <w:r>
        <w:t xml:space="preserve"> occasions and</w:t>
      </w:r>
      <w:r w:rsidRPr="00BF2A1A">
        <w:t xml:space="preserve"> consists of </w:t>
      </w:r>
      <w:r w:rsidR="00B67A3C" w:rsidRPr="00285BDD">
        <w:t xml:space="preserve">representatives from DNOs, Ofgem and other (non-DCUSA) parties whose work involves electricity network connections. </w:t>
      </w:r>
    </w:p>
    <w:p w:rsidR="00C10F51" w:rsidRDefault="00C10F51" w:rsidP="00B67A3C">
      <w:pPr>
        <w:pStyle w:val="Heading2"/>
        <w:keepNext w:val="0"/>
        <w:numPr>
          <w:ilvl w:val="1"/>
          <w:numId w:val="2"/>
        </w:numPr>
        <w:spacing w:line="360" w:lineRule="auto"/>
        <w:ind w:left="578" w:hanging="578"/>
        <w:jc w:val="both"/>
      </w:pPr>
      <w:r>
        <w:t>Meetings were</w:t>
      </w:r>
      <w:r w:rsidRPr="00BF2A1A">
        <w:t xml:space="preserve"> held in open session and the minutes and papers of each meeting are available on the DCUSA website – </w:t>
      </w:r>
      <w:hyperlink r:id="rId10" w:history="1">
        <w:r w:rsidRPr="00BF2A1A">
          <w:t>www.dcusa.co.uk</w:t>
        </w:r>
      </w:hyperlink>
      <w:r w:rsidRPr="00BF2A1A">
        <w:t>.</w:t>
      </w:r>
    </w:p>
    <w:p w:rsidR="00C10F51" w:rsidRDefault="00B67A3C" w:rsidP="00B67A3C">
      <w:pPr>
        <w:pStyle w:val="Heading2"/>
        <w:keepNext w:val="0"/>
        <w:numPr>
          <w:ilvl w:val="1"/>
          <w:numId w:val="2"/>
        </w:numPr>
        <w:spacing w:line="360" w:lineRule="auto"/>
        <w:ind w:left="578" w:hanging="578"/>
        <w:jc w:val="both"/>
      </w:pPr>
      <w:r>
        <w:t xml:space="preserve">All </w:t>
      </w:r>
      <w:r w:rsidR="00C10F51" w:rsidRPr="00342B85">
        <w:t xml:space="preserve">Working Group members </w:t>
      </w:r>
      <w:r w:rsidR="00C10F51">
        <w:t>we</w:t>
      </w:r>
      <w:r w:rsidR="00C10F51" w:rsidRPr="00342B85">
        <w:t xml:space="preserve">re supportive of the general principle of </w:t>
      </w:r>
      <w:r>
        <w:t>DCP 190</w:t>
      </w:r>
      <w:r w:rsidR="00C10F51" w:rsidRPr="00342B85">
        <w:t xml:space="preserve">. </w:t>
      </w:r>
    </w:p>
    <w:p w:rsidR="00C10F51" w:rsidRPr="000D5D03" w:rsidRDefault="00B67A3C" w:rsidP="00B67A3C">
      <w:pPr>
        <w:pStyle w:val="Heading2"/>
        <w:keepNext w:val="0"/>
        <w:numPr>
          <w:ilvl w:val="1"/>
          <w:numId w:val="2"/>
        </w:numPr>
        <w:spacing w:line="360" w:lineRule="auto"/>
        <w:ind w:left="578" w:hanging="578"/>
        <w:jc w:val="both"/>
      </w:pPr>
      <w:r>
        <w:t>The DCUSA defines ‘</w:t>
      </w:r>
      <w:r w:rsidR="00C10F51" w:rsidRPr="00B67A3C">
        <w:rPr>
          <w:i/>
        </w:rPr>
        <w:t>Temporary Connections</w:t>
      </w:r>
      <w:r w:rsidRPr="00B67A3C">
        <w:rPr>
          <w:i/>
        </w:rPr>
        <w:t>’</w:t>
      </w:r>
      <w:r w:rsidR="00C10F51" w:rsidRPr="000D5D03">
        <w:t xml:space="preserve"> in Schedule 22 Clause 1.19 </w:t>
      </w:r>
      <w:r w:rsidR="00C10F51" w:rsidRPr="00B67A3C">
        <w:rPr>
          <w:i/>
        </w:rPr>
        <w:t>“as connections that are only required for a period of up to five years, but exclude connections to provide the initial connection to a development, where the Reinforcement will subsequently be required for the permanent connection</w:t>
      </w:r>
      <w:r w:rsidR="00C10F51" w:rsidRPr="000D5D03">
        <w:t>”.</w:t>
      </w:r>
    </w:p>
    <w:p w:rsidR="00C10F51" w:rsidRPr="000D5D03" w:rsidRDefault="00C10F51" w:rsidP="00B67A3C">
      <w:pPr>
        <w:pStyle w:val="Heading2"/>
        <w:keepNext w:val="0"/>
        <w:numPr>
          <w:ilvl w:val="1"/>
          <w:numId w:val="2"/>
        </w:numPr>
        <w:spacing w:line="360" w:lineRule="auto"/>
        <w:ind w:left="578" w:hanging="578"/>
        <w:jc w:val="both"/>
      </w:pPr>
      <w:r w:rsidRPr="000D5D03">
        <w:t>For permanent connections that require reinforcement of the network in order to be connected, the cost of the connection is apportioned between the DNO and the Customer based on the minimum scheme required to make the connection under the Common Connection Charging Methodology</w:t>
      </w:r>
      <w:r w:rsidR="00AC2C3E">
        <w:t xml:space="preserve"> (CCCM)</w:t>
      </w:r>
      <w:r w:rsidRPr="000D5D03">
        <w:t>. If Reinforcement is required to accommodate a Temporary Connection then the Reinforcement is treated as Extension Assets and the apportionment rules do not apply.</w:t>
      </w:r>
    </w:p>
    <w:p w:rsidR="00C10F51" w:rsidRPr="000D5D03" w:rsidRDefault="00C10F51" w:rsidP="00C10F51">
      <w:pPr>
        <w:pStyle w:val="Heading2"/>
        <w:numPr>
          <w:ilvl w:val="1"/>
          <w:numId w:val="2"/>
        </w:numPr>
        <w:spacing w:line="360" w:lineRule="auto"/>
        <w:ind w:left="578" w:hanging="578"/>
        <w:jc w:val="both"/>
      </w:pPr>
      <w:r>
        <w:t>Therefore those Customers seeking Temporary Connections do not have their costs for the connection apportioned with the DNO. Currently s</w:t>
      </w:r>
      <w:r w:rsidRPr="000D5D03">
        <w:t>ome DNOs provide a credit for e</w:t>
      </w:r>
      <w:r>
        <w:t>quipment that is recovered and can be re-used once the Temporary Connection is terminated. This Change Proposal allows those DN</w:t>
      </w:r>
      <w:r w:rsidR="00E313ED">
        <w:t xml:space="preserve">Os who wish to pay a credit to </w:t>
      </w:r>
      <w:r>
        <w:t>do so whilst being compliant with the CCCM.</w:t>
      </w:r>
    </w:p>
    <w:p w:rsidR="00C10F51" w:rsidRDefault="00C10F51" w:rsidP="00C10F51">
      <w:pPr>
        <w:pStyle w:val="Heading2"/>
        <w:numPr>
          <w:ilvl w:val="1"/>
          <w:numId w:val="2"/>
        </w:numPr>
        <w:spacing w:line="360" w:lineRule="auto"/>
        <w:ind w:left="578" w:hanging="578"/>
        <w:jc w:val="both"/>
      </w:pPr>
      <w:r w:rsidRPr="00C10F51">
        <w:t xml:space="preserve">The majority of the Working Group has considered the Change Proposal and are in agreement that customers should receive a credit for the value of any equipment recovered by DNOs that can subsequently be reused. </w:t>
      </w:r>
    </w:p>
    <w:p w:rsidR="00B67A3C" w:rsidRPr="00B67A3C" w:rsidRDefault="00B67A3C" w:rsidP="00B67A3C">
      <w:pPr>
        <w:pStyle w:val="Heading2"/>
        <w:numPr>
          <w:ilvl w:val="1"/>
          <w:numId w:val="2"/>
        </w:numPr>
        <w:spacing w:line="360" w:lineRule="auto"/>
        <w:ind w:left="578" w:hanging="578"/>
        <w:jc w:val="both"/>
      </w:pPr>
      <w:r w:rsidRPr="00D2580D">
        <w:t>The Working Group agreed the scope of the CP does not include how the credit is calculated. Each company will have its own criteria for calculating this credit. This CP is to establish the principle of providing a credit only.</w:t>
      </w:r>
    </w:p>
    <w:p w:rsidR="0050021B" w:rsidRPr="008766E8" w:rsidRDefault="00904E02" w:rsidP="00AC17F0">
      <w:pPr>
        <w:pStyle w:val="Heading1"/>
        <w:numPr>
          <w:ilvl w:val="0"/>
          <w:numId w:val="2"/>
        </w:numPr>
        <w:spacing w:line="360" w:lineRule="auto"/>
        <w:jc w:val="both"/>
      </w:pPr>
      <w:r>
        <w:t>DC</w:t>
      </w:r>
      <w:r w:rsidR="0017055C">
        <w:t>P 19</w:t>
      </w:r>
      <w:r w:rsidR="00424807">
        <w:t>0</w:t>
      </w:r>
      <w:r w:rsidR="0050021B" w:rsidRPr="0050021B">
        <w:t xml:space="preserve"> C</w:t>
      </w:r>
      <w:r w:rsidR="0050021B">
        <w:t>ONSULTATION</w:t>
      </w:r>
    </w:p>
    <w:p w:rsidR="00424807" w:rsidRDefault="00174114" w:rsidP="00774DAF">
      <w:pPr>
        <w:pStyle w:val="Heading2"/>
        <w:numPr>
          <w:ilvl w:val="1"/>
          <w:numId w:val="2"/>
        </w:numPr>
        <w:spacing w:line="360" w:lineRule="auto"/>
        <w:jc w:val="both"/>
      </w:pPr>
      <w:r w:rsidRPr="005E1777">
        <w:t xml:space="preserve">The Working Group carried out a Consultation to give </w:t>
      </w:r>
      <w:r>
        <w:t xml:space="preserve">DCUSA </w:t>
      </w:r>
      <w:r w:rsidRPr="005E1777">
        <w:t>Parties</w:t>
      </w:r>
      <w:r>
        <w:t xml:space="preserve"> and other interested organisations</w:t>
      </w:r>
      <w:r w:rsidRPr="005E1777">
        <w:t xml:space="preserve"> an opportunity to review and comment on DCP </w:t>
      </w:r>
      <w:r w:rsidR="00622C1D">
        <w:t>19</w:t>
      </w:r>
      <w:r w:rsidR="00424807">
        <w:t>0</w:t>
      </w:r>
      <w:r w:rsidRPr="005E1777">
        <w:t xml:space="preserve">. </w:t>
      </w:r>
      <w:r w:rsidR="0055220F">
        <w:t xml:space="preserve">There were </w:t>
      </w:r>
      <w:r w:rsidR="009D35B7">
        <w:t>nine</w:t>
      </w:r>
      <w:r w:rsidR="0055220F">
        <w:t xml:space="preserve"> </w:t>
      </w:r>
      <w:r w:rsidRPr="00267A54">
        <w:t>responses</w:t>
      </w:r>
      <w:r>
        <w:t xml:space="preserve"> received to the </w:t>
      </w:r>
      <w:r w:rsidRPr="00267A54">
        <w:t>consultation</w:t>
      </w:r>
      <w:r w:rsidR="0055220F">
        <w:t xml:space="preserve"> from </w:t>
      </w:r>
      <w:r w:rsidR="00C63715">
        <w:t>six DNO parties, two</w:t>
      </w:r>
      <w:r w:rsidR="00B230F6" w:rsidRPr="00B230F6">
        <w:t xml:space="preserve"> consultants and one trade association</w:t>
      </w:r>
      <w:r w:rsidRPr="00B230F6">
        <w:t>.</w:t>
      </w:r>
      <w:r w:rsidRPr="00267A54">
        <w:t xml:space="preserve"> The Working Group discussed each response and its comments are summarised alongside the collated Cons</w:t>
      </w:r>
      <w:r w:rsidR="00424807">
        <w:t>ultation responses in Attachment 4.</w:t>
      </w:r>
      <w:r w:rsidRPr="008766E8">
        <w:t xml:space="preserve">  </w:t>
      </w:r>
    </w:p>
    <w:p w:rsidR="00174114" w:rsidRPr="00267A54" w:rsidRDefault="00174114" w:rsidP="00774DAF">
      <w:pPr>
        <w:pStyle w:val="Heading2"/>
        <w:numPr>
          <w:ilvl w:val="1"/>
          <w:numId w:val="2"/>
        </w:numPr>
        <w:spacing w:line="360" w:lineRule="auto"/>
        <w:jc w:val="both"/>
      </w:pPr>
      <w:r w:rsidRPr="00267A54">
        <w:t>A summary of the responses received, and the Working Group’s conclusions are set out below:</w:t>
      </w:r>
    </w:p>
    <w:p w:rsidR="00622C1D" w:rsidRPr="00622C1D" w:rsidRDefault="00174114" w:rsidP="00622C1D">
      <w:pPr>
        <w:pStyle w:val="Heading2"/>
        <w:keepNext w:val="0"/>
        <w:widowControl w:val="0"/>
        <w:tabs>
          <w:tab w:val="clear" w:pos="360"/>
        </w:tabs>
        <w:spacing w:line="360" w:lineRule="auto"/>
        <w:ind w:left="709" w:hanging="709"/>
        <w:jc w:val="both"/>
        <w:rPr>
          <w:b/>
          <w:u w:val="single"/>
        </w:rPr>
      </w:pPr>
      <w:r w:rsidRPr="00342793">
        <w:rPr>
          <w:b/>
          <w:u w:val="single"/>
        </w:rPr>
        <w:t xml:space="preserve">Question 1 - </w:t>
      </w:r>
      <w:r w:rsidR="00622C1D" w:rsidRPr="00622C1D">
        <w:rPr>
          <w:b/>
          <w:u w:val="single"/>
        </w:rPr>
        <w:t>Do you understand the intent of DCP 190 and DCP 190A?</w:t>
      </w:r>
    </w:p>
    <w:p w:rsidR="000E0234" w:rsidRPr="000E0234" w:rsidRDefault="000E0234" w:rsidP="0055220F"/>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9"/>
        <w:gridCol w:w="2411"/>
        <w:gridCol w:w="2654"/>
      </w:tblGrid>
      <w:tr w:rsidR="00E23865" w:rsidRPr="00C1018E" w:rsidTr="00E23865">
        <w:trPr>
          <w:trHeight w:val="236"/>
          <w:jc w:val="center"/>
        </w:trPr>
        <w:tc>
          <w:tcPr>
            <w:tcW w:w="2187" w:type="pct"/>
            <w:shd w:val="pct65" w:color="auto" w:fill="auto"/>
          </w:tcPr>
          <w:p w:rsidR="00E23865" w:rsidRPr="00C1018E" w:rsidRDefault="00E23865" w:rsidP="0055220F">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Respondent Party Type</w:t>
            </w:r>
          </w:p>
        </w:tc>
        <w:tc>
          <w:tcPr>
            <w:tcW w:w="1339" w:type="pct"/>
            <w:shd w:val="pct65" w:color="auto" w:fill="auto"/>
          </w:tcPr>
          <w:p w:rsidR="00E23865" w:rsidRPr="00C1018E" w:rsidRDefault="00E23865" w:rsidP="0055220F">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Yes</w:t>
            </w:r>
          </w:p>
        </w:tc>
        <w:tc>
          <w:tcPr>
            <w:tcW w:w="1474" w:type="pct"/>
            <w:shd w:val="pct65" w:color="auto" w:fill="auto"/>
          </w:tcPr>
          <w:p w:rsidR="00E23865" w:rsidRPr="00C1018E" w:rsidRDefault="00E23865" w:rsidP="0055220F">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No</w:t>
            </w:r>
          </w:p>
        </w:tc>
      </w:tr>
      <w:tr w:rsidR="00E23865" w:rsidTr="00E23865">
        <w:trPr>
          <w:trHeight w:val="236"/>
          <w:jc w:val="center"/>
        </w:trPr>
        <w:tc>
          <w:tcPr>
            <w:tcW w:w="2187" w:type="pct"/>
          </w:tcPr>
          <w:p w:rsidR="00E23865" w:rsidRPr="00A67FCE" w:rsidRDefault="00E23865" w:rsidP="0055220F">
            <w:pPr>
              <w:ind w:left="661" w:hanging="635"/>
              <w:jc w:val="center"/>
              <w:rPr>
                <w:rFonts w:ascii="Verdana" w:hAnsi="Verdana" w:cs="Arial"/>
                <w:b/>
                <w:bCs/>
                <w:iCs/>
                <w:sz w:val="18"/>
                <w:szCs w:val="18"/>
              </w:rPr>
            </w:pPr>
            <w:r w:rsidRPr="00A67FCE">
              <w:rPr>
                <w:rFonts w:ascii="Verdana" w:hAnsi="Verdana" w:cs="Arial"/>
                <w:b/>
                <w:bCs/>
                <w:iCs/>
                <w:sz w:val="18"/>
                <w:szCs w:val="18"/>
              </w:rPr>
              <w:t>DNOs</w:t>
            </w:r>
          </w:p>
        </w:tc>
        <w:tc>
          <w:tcPr>
            <w:tcW w:w="1339" w:type="pct"/>
          </w:tcPr>
          <w:p w:rsidR="00E23865" w:rsidRPr="00A67FCE" w:rsidRDefault="00E23865" w:rsidP="0055220F">
            <w:pPr>
              <w:ind w:left="661" w:hanging="635"/>
              <w:jc w:val="center"/>
              <w:rPr>
                <w:rFonts w:ascii="Verdana" w:hAnsi="Verdana" w:cs="Arial"/>
                <w:bCs/>
                <w:iCs/>
                <w:sz w:val="18"/>
                <w:szCs w:val="18"/>
              </w:rPr>
            </w:pPr>
            <w:r>
              <w:rPr>
                <w:rFonts w:ascii="Verdana" w:hAnsi="Verdana" w:cs="Arial"/>
                <w:bCs/>
                <w:iCs/>
                <w:sz w:val="18"/>
                <w:szCs w:val="18"/>
              </w:rPr>
              <w:t>6</w:t>
            </w:r>
          </w:p>
        </w:tc>
        <w:tc>
          <w:tcPr>
            <w:tcW w:w="1474" w:type="pct"/>
          </w:tcPr>
          <w:p w:rsidR="00E23865" w:rsidRPr="00A67FCE" w:rsidRDefault="00E23865" w:rsidP="0055220F">
            <w:pPr>
              <w:ind w:left="661" w:hanging="635"/>
              <w:jc w:val="center"/>
              <w:rPr>
                <w:rFonts w:ascii="Verdana" w:hAnsi="Verdana" w:cs="Arial"/>
                <w:bCs/>
                <w:iCs/>
                <w:sz w:val="18"/>
                <w:szCs w:val="18"/>
              </w:rPr>
            </w:pPr>
            <w:r>
              <w:rPr>
                <w:rFonts w:ascii="Verdana" w:hAnsi="Verdana" w:cs="Arial"/>
                <w:bCs/>
                <w:iCs/>
                <w:sz w:val="18"/>
                <w:szCs w:val="18"/>
              </w:rPr>
              <w:t>0</w:t>
            </w:r>
          </w:p>
        </w:tc>
      </w:tr>
      <w:tr w:rsidR="00E23865" w:rsidTr="00E23865">
        <w:trPr>
          <w:trHeight w:val="252"/>
          <w:jc w:val="center"/>
        </w:trPr>
        <w:tc>
          <w:tcPr>
            <w:tcW w:w="2187" w:type="pct"/>
          </w:tcPr>
          <w:p w:rsidR="00E23865" w:rsidRPr="00A67FCE" w:rsidRDefault="00E23865" w:rsidP="0055220F">
            <w:pPr>
              <w:ind w:left="661" w:hanging="635"/>
              <w:jc w:val="center"/>
              <w:rPr>
                <w:rFonts w:ascii="Verdana" w:hAnsi="Verdana" w:cs="Arial"/>
                <w:b/>
                <w:bCs/>
                <w:iCs/>
                <w:sz w:val="18"/>
                <w:szCs w:val="18"/>
              </w:rPr>
            </w:pPr>
            <w:r>
              <w:rPr>
                <w:rFonts w:ascii="Verdana" w:hAnsi="Verdana" w:cs="Arial"/>
                <w:b/>
                <w:bCs/>
                <w:iCs/>
                <w:sz w:val="18"/>
                <w:szCs w:val="18"/>
              </w:rPr>
              <w:t>Consultants</w:t>
            </w:r>
          </w:p>
        </w:tc>
        <w:tc>
          <w:tcPr>
            <w:tcW w:w="1339" w:type="pct"/>
          </w:tcPr>
          <w:p w:rsidR="00E23865" w:rsidRPr="00A67FCE" w:rsidRDefault="00E23865" w:rsidP="0055220F">
            <w:pPr>
              <w:ind w:left="661" w:hanging="635"/>
              <w:jc w:val="center"/>
              <w:rPr>
                <w:rFonts w:ascii="Verdana" w:hAnsi="Verdana" w:cs="Arial"/>
                <w:bCs/>
                <w:iCs/>
                <w:sz w:val="18"/>
                <w:szCs w:val="18"/>
              </w:rPr>
            </w:pPr>
            <w:r>
              <w:rPr>
                <w:rFonts w:ascii="Verdana" w:hAnsi="Verdana" w:cs="Arial"/>
                <w:bCs/>
                <w:iCs/>
                <w:sz w:val="18"/>
                <w:szCs w:val="18"/>
              </w:rPr>
              <w:t>2</w:t>
            </w:r>
          </w:p>
        </w:tc>
        <w:tc>
          <w:tcPr>
            <w:tcW w:w="1474" w:type="pct"/>
          </w:tcPr>
          <w:p w:rsidR="00E23865" w:rsidRPr="00A67FCE" w:rsidRDefault="00E23865" w:rsidP="0055220F">
            <w:pPr>
              <w:ind w:left="661" w:hanging="635"/>
              <w:jc w:val="center"/>
              <w:rPr>
                <w:rFonts w:ascii="Verdana" w:hAnsi="Verdana" w:cs="Arial"/>
                <w:bCs/>
                <w:iCs/>
                <w:sz w:val="18"/>
                <w:szCs w:val="18"/>
              </w:rPr>
            </w:pPr>
            <w:r>
              <w:rPr>
                <w:rFonts w:ascii="Verdana" w:hAnsi="Verdana" w:cs="Arial"/>
                <w:bCs/>
                <w:iCs/>
                <w:sz w:val="18"/>
                <w:szCs w:val="18"/>
              </w:rPr>
              <w:t>0</w:t>
            </w:r>
          </w:p>
        </w:tc>
      </w:tr>
      <w:tr w:rsidR="00E23865" w:rsidTr="00E23865">
        <w:trPr>
          <w:trHeight w:val="252"/>
          <w:jc w:val="center"/>
        </w:trPr>
        <w:tc>
          <w:tcPr>
            <w:tcW w:w="2187" w:type="pct"/>
          </w:tcPr>
          <w:p w:rsidR="00E23865" w:rsidRDefault="00E23865" w:rsidP="00E23865">
            <w:pPr>
              <w:ind w:left="661" w:hanging="635"/>
              <w:jc w:val="center"/>
              <w:rPr>
                <w:rFonts w:ascii="Verdana" w:hAnsi="Verdana" w:cs="Arial"/>
                <w:b/>
                <w:bCs/>
                <w:iCs/>
                <w:sz w:val="18"/>
                <w:szCs w:val="18"/>
              </w:rPr>
            </w:pPr>
            <w:r>
              <w:rPr>
                <w:rFonts w:ascii="Verdana" w:hAnsi="Verdana" w:cs="Arial"/>
                <w:b/>
                <w:bCs/>
                <w:iCs/>
                <w:sz w:val="18"/>
                <w:szCs w:val="18"/>
              </w:rPr>
              <w:t>Trade Associations</w:t>
            </w:r>
          </w:p>
        </w:tc>
        <w:tc>
          <w:tcPr>
            <w:tcW w:w="1339" w:type="pct"/>
          </w:tcPr>
          <w:p w:rsidR="00E23865" w:rsidRDefault="00E23865" w:rsidP="0055220F">
            <w:pPr>
              <w:ind w:left="661" w:hanging="635"/>
              <w:jc w:val="center"/>
              <w:rPr>
                <w:rFonts w:ascii="Verdana" w:hAnsi="Verdana" w:cs="Arial"/>
                <w:bCs/>
                <w:iCs/>
                <w:sz w:val="18"/>
                <w:szCs w:val="18"/>
              </w:rPr>
            </w:pPr>
            <w:r>
              <w:rPr>
                <w:rFonts w:ascii="Verdana" w:hAnsi="Verdana" w:cs="Arial"/>
                <w:bCs/>
                <w:iCs/>
                <w:sz w:val="18"/>
                <w:szCs w:val="18"/>
              </w:rPr>
              <w:t>1</w:t>
            </w:r>
          </w:p>
        </w:tc>
        <w:tc>
          <w:tcPr>
            <w:tcW w:w="1474" w:type="pct"/>
          </w:tcPr>
          <w:p w:rsidR="00E23865" w:rsidRDefault="00E23865" w:rsidP="0055220F">
            <w:pPr>
              <w:ind w:left="661" w:hanging="635"/>
              <w:jc w:val="center"/>
              <w:rPr>
                <w:rFonts w:ascii="Verdana" w:hAnsi="Verdana" w:cs="Arial"/>
                <w:bCs/>
                <w:iCs/>
                <w:sz w:val="18"/>
                <w:szCs w:val="18"/>
              </w:rPr>
            </w:pPr>
            <w:r>
              <w:rPr>
                <w:rFonts w:ascii="Verdana" w:hAnsi="Verdana" w:cs="Arial"/>
                <w:bCs/>
                <w:iCs/>
                <w:sz w:val="18"/>
                <w:szCs w:val="18"/>
              </w:rPr>
              <w:t>0</w:t>
            </w:r>
          </w:p>
        </w:tc>
      </w:tr>
    </w:tbl>
    <w:p w:rsidR="00E23865" w:rsidRDefault="00E23865" w:rsidP="00E23865">
      <w:pPr>
        <w:pStyle w:val="Heading2"/>
        <w:numPr>
          <w:ilvl w:val="1"/>
          <w:numId w:val="2"/>
        </w:numPr>
        <w:spacing w:line="360" w:lineRule="auto"/>
        <w:jc w:val="both"/>
      </w:pPr>
      <w:r w:rsidRPr="00342793">
        <w:t>The W</w:t>
      </w:r>
      <w:r>
        <w:t xml:space="preserve">orking Group noted that all </w:t>
      </w:r>
      <w:r w:rsidRPr="00342793">
        <w:t xml:space="preserve">respondents </w:t>
      </w:r>
      <w:r>
        <w:t>understood the intent of the CP.</w:t>
      </w:r>
    </w:p>
    <w:p w:rsidR="00622C1D" w:rsidRDefault="00C106CA" w:rsidP="00622C1D">
      <w:pPr>
        <w:pStyle w:val="Heading2"/>
        <w:keepNext w:val="0"/>
        <w:widowControl w:val="0"/>
        <w:tabs>
          <w:tab w:val="clear" w:pos="360"/>
        </w:tabs>
        <w:spacing w:line="360" w:lineRule="auto"/>
        <w:ind w:left="0" w:firstLine="0"/>
        <w:jc w:val="both"/>
        <w:rPr>
          <w:b/>
          <w:bCs w:val="0"/>
          <w:iCs w:val="0"/>
          <w:u w:val="single"/>
        </w:rPr>
      </w:pPr>
      <w:r w:rsidRPr="00C106CA">
        <w:rPr>
          <w:b/>
          <w:u w:val="single"/>
        </w:rPr>
        <w:t xml:space="preserve">Question 2: </w:t>
      </w:r>
      <w:r w:rsidR="00622C1D" w:rsidRPr="00622C1D">
        <w:rPr>
          <w:b/>
          <w:bCs w:val="0"/>
          <w:iCs w:val="0"/>
          <w:u w:val="single"/>
        </w:rPr>
        <w:t>Do you agree with the principles of DCP 190 and DCP 190A?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0"/>
        <w:gridCol w:w="1518"/>
        <w:gridCol w:w="1669"/>
        <w:gridCol w:w="1669"/>
        <w:gridCol w:w="1668"/>
      </w:tblGrid>
      <w:tr w:rsidR="0055452F" w:rsidRPr="00C1018E" w:rsidTr="0055452F">
        <w:trPr>
          <w:trHeight w:val="236"/>
          <w:jc w:val="center"/>
        </w:trPr>
        <w:tc>
          <w:tcPr>
            <w:tcW w:w="1377" w:type="pct"/>
            <w:shd w:val="pct65" w:color="auto" w:fill="auto"/>
          </w:tcPr>
          <w:p w:rsidR="0055452F" w:rsidRPr="00C1018E" w:rsidRDefault="0055452F" w:rsidP="00FB2368">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Respondent Party Type</w:t>
            </w:r>
          </w:p>
        </w:tc>
        <w:tc>
          <w:tcPr>
            <w:tcW w:w="843" w:type="pct"/>
            <w:shd w:val="pct65" w:color="auto" w:fill="auto"/>
          </w:tcPr>
          <w:p w:rsidR="0055452F" w:rsidRPr="00C1018E" w:rsidRDefault="0055452F" w:rsidP="00FB2368">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Yes</w:t>
            </w:r>
            <w:r>
              <w:rPr>
                <w:rFonts w:ascii="Verdana" w:hAnsi="Verdana" w:cs="Arial"/>
                <w:b/>
                <w:bCs/>
                <w:iCs/>
                <w:color w:val="FFFFFF" w:themeColor="background1"/>
                <w:sz w:val="18"/>
                <w:szCs w:val="18"/>
              </w:rPr>
              <w:t xml:space="preserve"> </w:t>
            </w:r>
          </w:p>
        </w:tc>
        <w:tc>
          <w:tcPr>
            <w:tcW w:w="927" w:type="pct"/>
            <w:shd w:val="pct65" w:color="auto" w:fill="auto"/>
          </w:tcPr>
          <w:p w:rsidR="0055452F" w:rsidRPr="00C1018E" w:rsidRDefault="0055452F" w:rsidP="0055452F">
            <w:pPr>
              <w:ind w:left="661" w:hanging="635"/>
              <w:jc w:val="center"/>
              <w:rPr>
                <w:rFonts w:ascii="Verdana" w:hAnsi="Verdana" w:cs="Arial"/>
                <w:b/>
                <w:bCs/>
                <w:iCs/>
                <w:color w:val="FFFFFF" w:themeColor="background1"/>
                <w:sz w:val="18"/>
                <w:szCs w:val="18"/>
              </w:rPr>
            </w:pPr>
            <w:r>
              <w:rPr>
                <w:rFonts w:ascii="Verdana" w:hAnsi="Verdana" w:cs="Arial"/>
                <w:b/>
                <w:bCs/>
                <w:iCs/>
                <w:color w:val="FFFFFF" w:themeColor="background1"/>
                <w:sz w:val="18"/>
                <w:szCs w:val="18"/>
              </w:rPr>
              <w:t>DCP 190 Only</w:t>
            </w:r>
          </w:p>
        </w:tc>
        <w:tc>
          <w:tcPr>
            <w:tcW w:w="927" w:type="pct"/>
            <w:shd w:val="pct65" w:color="auto" w:fill="auto"/>
          </w:tcPr>
          <w:p w:rsidR="0055452F" w:rsidRPr="00C1018E" w:rsidRDefault="0055452F" w:rsidP="0055452F">
            <w:pPr>
              <w:ind w:left="661" w:hanging="635"/>
              <w:jc w:val="center"/>
              <w:rPr>
                <w:rFonts w:ascii="Verdana" w:hAnsi="Verdana" w:cs="Arial"/>
                <w:b/>
                <w:bCs/>
                <w:iCs/>
                <w:color w:val="FFFFFF" w:themeColor="background1"/>
                <w:sz w:val="18"/>
                <w:szCs w:val="18"/>
              </w:rPr>
            </w:pPr>
            <w:r>
              <w:rPr>
                <w:rFonts w:ascii="Verdana" w:hAnsi="Verdana" w:cs="Arial"/>
                <w:b/>
                <w:bCs/>
                <w:iCs/>
                <w:color w:val="FFFFFF" w:themeColor="background1"/>
                <w:sz w:val="18"/>
                <w:szCs w:val="18"/>
              </w:rPr>
              <w:t>DCP 190A Only</w:t>
            </w:r>
          </w:p>
        </w:tc>
        <w:tc>
          <w:tcPr>
            <w:tcW w:w="926" w:type="pct"/>
            <w:shd w:val="pct65" w:color="auto" w:fill="auto"/>
          </w:tcPr>
          <w:p w:rsidR="0055452F" w:rsidRPr="00C1018E" w:rsidRDefault="0055452F" w:rsidP="00FB2368">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No</w:t>
            </w:r>
          </w:p>
        </w:tc>
      </w:tr>
      <w:tr w:rsidR="0055452F" w:rsidRPr="00A67FCE" w:rsidTr="0055452F">
        <w:trPr>
          <w:trHeight w:val="236"/>
          <w:jc w:val="center"/>
        </w:trPr>
        <w:tc>
          <w:tcPr>
            <w:tcW w:w="1377" w:type="pct"/>
          </w:tcPr>
          <w:p w:rsidR="0055452F" w:rsidRPr="00A67FCE" w:rsidRDefault="0055452F" w:rsidP="00FB2368">
            <w:pPr>
              <w:ind w:left="661" w:hanging="635"/>
              <w:jc w:val="center"/>
              <w:rPr>
                <w:rFonts w:ascii="Verdana" w:hAnsi="Verdana" w:cs="Arial"/>
                <w:b/>
                <w:bCs/>
                <w:iCs/>
                <w:sz w:val="18"/>
                <w:szCs w:val="18"/>
              </w:rPr>
            </w:pPr>
            <w:r w:rsidRPr="00A67FCE">
              <w:rPr>
                <w:rFonts w:ascii="Verdana" w:hAnsi="Verdana" w:cs="Arial"/>
                <w:b/>
                <w:bCs/>
                <w:iCs/>
                <w:sz w:val="18"/>
                <w:szCs w:val="18"/>
              </w:rPr>
              <w:t>DNOs</w:t>
            </w:r>
          </w:p>
        </w:tc>
        <w:tc>
          <w:tcPr>
            <w:tcW w:w="843" w:type="pct"/>
          </w:tcPr>
          <w:p w:rsidR="0055452F" w:rsidRPr="00A67FCE" w:rsidRDefault="0055452F" w:rsidP="00FB2368">
            <w:pPr>
              <w:ind w:left="661" w:hanging="635"/>
              <w:jc w:val="center"/>
              <w:rPr>
                <w:rFonts w:ascii="Verdana" w:hAnsi="Verdana" w:cs="Arial"/>
                <w:bCs/>
                <w:iCs/>
                <w:sz w:val="18"/>
                <w:szCs w:val="18"/>
              </w:rPr>
            </w:pPr>
            <w:r>
              <w:rPr>
                <w:rFonts w:ascii="Verdana" w:hAnsi="Verdana" w:cs="Arial"/>
                <w:bCs/>
                <w:iCs/>
                <w:sz w:val="18"/>
                <w:szCs w:val="18"/>
              </w:rPr>
              <w:t>3</w:t>
            </w:r>
          </w:p>
        </w:tc>
        <w:tc>
          <w:tcPr>
            <w:tcW w:w="927" w:type="pct"/>
          </w:tcPr>
          <w:p w:rsidR="0055452F" w:rsidRDefault="0055452F" w:rsidP="00FB2368">
            <w:pPr>
              <w:ind w:left="661" w:hanging="635"/>
              <w:jc w:val="center"/>
              <w:rPr>
                <w:rFonts w:ascii="Verdana" w:hAnsi="Verdana" w:cs="Arial"/>
                <w:bCs/>
                <w:iCs/>
                <w:sz w:val="18"/>
                <w:szCs w:val="18"/>
              </w:rPr>
            </w:pPr>
            <w:r>
              <w:rPr>
                <w:rFonts w:ascii="Verdana" w:hAnsi="Verdana" w:cs="Arial"/>
                <w:bCs/>
                <w:iCs/>
                <w:sz w:val="18"/>
                <w:szCs w:val="18"/>
              </w:rPr>
              <w:t>3</w:t>
            </w:r>
          </w:p>
        </w:tc>
        <w:tc>
          <w:tcPr>
            <w:tcW w:w="927" w:type="pct"/>
          </w:tcPr>
          <w:p w:rsidR="0055452F" w:rsidRDefault="0055452F" w:rsidP="00FB2368">
            <w:pPr>
              <w:ind w:left="661" w:hanging="635"/>
              <w:jc w:val="center"/>
              <w:rPr>
                <w:rFonts w:ascii="Verdana" w:hAnsi="Verdana" w:cs="Arial"/>
                <w:bCs/>
                <w:iCs/>
                <w:sz w:val="18"/>
                <w:szCs w:val="18"/>
              </w:rPr>
            </w:pPr>
            <w:r>
              <w:rPr>
                <w:rFonts w:ascii="Verdana" w:hAnsi="Verdana" w:cs="Arial"/>
                <w:bCs/>
                <w:iCs/>
                <w:sz w:val="18"/>
                <w:szCs w:val="18"/>
              </w:rPr>
              <w:t>0</w:t>
            </w:r>
          </w:p>
        </w:tc>
        <w:tc>
          <w:tcPr>
            <w:tcW w:w="926" w:type="pct"/>
          </w:tcPr>
          <w:p w:rsidR="0055452F" w:rsidRPr="00A67FCE" w:rsidRDefault="0055452F" w:rsidP="00FB2368">
            <w:pPr>
              <w:ind w:left="661" w:hanging="635"/>
              <w:jc w:val="center"/>
              <w:rPr>
                <w:rFonts w:ascii="Verdana" w:hAnsi="Verdana" w:cs="Arial"/>
                <w:bCs/>
                <w:iCs/>
                <w:sz w:val="18"/>
                <w:szCs w:val="18"/>
              </w:rPr>
            </w:pPr>
            <w:r>
              <w:rPr>
                <w:rFonts w:ascii="Verdana" w:hAnsi="Verdana" w:cs="Arial"/>
                <w:bCs/>
                <w:iCs/>
                <w:sz w:val="18"/>
                <w:szCs w:val="18"/>
              </w:rPr>
              <w:t>0</w:t>
            </w:r>
          </w:p>
        </w:tc>
      </w:tr>
      <w:tr w:rsidR="0055452F" w:rsidRPr="00A67FCE" w:rsidTr="0055452F">
        <w:trPr>
          <w:trHeight w:val="252"/>
          <w:jc w:val="center"/>
        </w:trPr>
        <w:tc>
          <w:tcPr>
            <w:tcW w:w="1377" w:type="pct"/>
          </w:tcPr>
          <w:p w:rsidR="0055452F" w:rsidRPr="00A67FCE" w:rsidRDefault="0055452F" w:rsidP="00FB2368">
            <w:pPr>
              <w:ind w:left="661" w:hanging="635"/>
              <w:jc w:val="center"/>
              <w:rPr>
                <w:rFonts w:ascii="Verdana" w:hAnsi="Verdana" w:cs="Arial"/>
                <w:b/>
                <w:bCs/>
                <w:iCs/>
                <w:sz w:val="18"/>
                <w:szCs w:val="18"/>
              </w:rPr>
            </w:pPr>
            <w:r>
              <w:rPr>
                <w:rFonts w:ascii="Verdana" w:hAnsi="Verdana" w:cs="Arial"/>
                <w:b/>
                <w:bCs/>
                <w:iCs/>
                <w:sz w:val="18"/>
                <w:szCs w:val="18"/>
              </w:rPr>
              <w:t>Consultants</w:t>
            </w:r>
          </w:p>
        </w:tc>
        <w:tc>
          <w:tcPr>
            <w:tcW w:w="843" w:type="pct"/>
          </w:tcPr>
          <w:p w:rsidR="0055452F" w:rsidRPr="00A67FCE" w:rsidRDefault="0055452F" w:rsidP="00FB2368">
            <w:pPr>
              <w:ind w:left="661" w:hanging="635"/>
              <w:jc w:val="center"/>
              <w:rPr>
                <w:rFonts w:ascii="Verdana" w:hAnsi="Verdana" w:cs="Arial"/>
                <w:bCs/>
                <w:iCs/>
                <w:sz w:val="18"/>
                <w:szCs w:val="18"/>
              </w:rPr>
            </w:pPr>
            <w:r>
              <w:rPr>
                <w:rFonts w:ascii="Verdana" w:hAnsi="Verdana" w:cs="Arial"/>
                <w:bCs/>
                <w:iCs/>
                <w:sz w:val="18"/>
                <w:szCs w:val="18"/>
              </w:rPr>
              <w:t>2</w:t>
            </w:r>
          </w:p>
        </w:tc>
        <w:tc>
          <w:tcPr>
            <w:tcW w:w="927" w:type="pct"/>
          </w:tcPr>
          <w:p w:rsidR="0055452F" w:rsidRDefault="0055452F" w:rsidP="00FB2368">
            <w:pPr>
              <w:ind w:left="661" w:hanging="635"/>
              <w:jc w:val="center"/>
              <w:rPr>
                <w:rFonts w:ascii="Verdana" w:hAnsi="Verdana" w:cs="Arial"/>
                <w:bCs/>
                <w:iCs/>
                <w:sz w:val="18"/>
                <w:szCs w:val="18"/>
              </w:rPr>
            </w:pPr>
            <w:r>
              <w:rPr>
                <w:rFonts w:ascii="Verdana" w:hAnsi="Verdana" w:cs="Arial"/>
                <w:bCs/>
                <w:iCs/>
                <w:sz w:val="18"/>
                <w:szCs w:val="18"/>
              </w:rPr>
              <w:t>0</w:t>
            </w:r>
          </w:p>
        </w:tc>
        <w:tc>
          <w:tcPr>
            <w:tcW w:w="927" w:type="pct"/>
          </w:tcPr>
          <w:p w:rsidR="0055452F" w:rsidRDefault="0055452F" w:rsidP="00FB2368">
            <w:pPr>
              <w:ind w:left="661" w:hanging="635"/>
              <w:jc w:val="center"/>
              <w:rPr>
                <w:rFonts w:ascii="Verdana" w:hAnsi="Verdana" w:cs="Arial"/>
                <w:bCs/>
                <w:iCs/>
                <w:sz w:val="18"/>
                <w:szCs w:val="18"/>
              </w:rPr>
            </w:pPr>
            <w:r>
              <w:rPr>
                <w:rFonts w:ascii="Verdana" w:hAnsi="Verdana" w:cs="Arial"/>
                <w:bCs/>
                <w:iCs/>
                <w:sz w:val="18"/>
                <w:szCs w:val="18"/>
              </w:rPr>
              <w:t>0</w:t>
            </w:r>
          </w:p>
        </w:tc>
        <w:tc>
          <w:tcPr>
            <w:tcW w:w="926" w:type="pct"/>
          </w:tcPr>
          <w:p w:rsidR="0055452F" w:rsidRPr="00A67FCE" w:rsidRDefault="0055452F" w:rsidP="00FB2368">
            <w:pPr>
              <w:ind w:left="661" w:hanging="635"/>
              <w:jc w:val="center"/>
              <w:rPr>
                <w:rFonts w:ascii="Verdana" w:hAnsi="Verdana" w:cs="Arial"/>
                <w:bCs/>
                <w:iCs/>
                <w:sz w:val="18"/>
                <w:szCs w:val="18"/>
              </w:rPr>
            </w:pPr>
            <w:r>
              <w:rPr>
                <w:rFonts w:ascii="Verdana" w:hAnsi="Verdana" w:cs="Arial"/>
                <w:bCs/>
                <w:iCs/>
                <w:sz w:val="18"/>
                <w:szCs w:val="18"/>
              </w:rPr>
              <w:t>0</w:t>
            </w:r>
          </w:p>
        </w:tc>
      </w:tr>
      <w:tr w:rsidR="0055452F" w:rsidTr="0055452F">
        <w:trPr>
          <w:trHeight w:val="252"/>
          <w:jc w:val="center"/>
        </w:trPr>
        <w:tc>
          <w:tcPr>
            <w:tcW w:w="1377" w:type="pct"/>
          </w:tcPr>
          <w:p w:rsidR="0055452F" w:rsidRDefault="0055452F" w:rsidP="00FB2368">
            <w:pPr>
              <w:ind w:left="661" w:hanging="635"/>
              <w:jc w:val="center"/>
              <w:rPr>
                <w:rFonts w:ascii="Verdana" w:hAnsi="Verdana" w:cs="Arial"/>
                <w:b/>
                <w:bCs/>
                <w:iCs/>
                <w:sz w:val="18"/>
                <w:szCs w:val="18"/>
              </w:rPr>
            </w:pPr>
            <w:r>
              <w:rPr>
                <w:rFonts w:ascii="Verdana" w:hAnsi="Verdana" w:cs="Arial"/>
                <w:b/>
                <w:bCs/>
                <w:iCs/>
                <w:sz w:val="18"/>
                <w:szCs w:val="18"/>
              </w:rPr>
              <w:t>Trade Associations</w:t>
            </w:r>
          </w:p>
        </w:tc>
        <w:tc>
          <w:tcPr>
            <w:tcW w:w="843" w:type="pct"/>
          </w:tcPr>
          <w:p w:rsidR="0055452F" w:rsidRDefault="0055452F" w:rsidP="00FB2368">
            <w:pPr>
              <w:ind w:left="661" w:hanging="635"/>
              <w:jc w:val="center"/>
              <w:rPr>
                <w:rFonts w:ascii="Verdana" w:hAnsi="Verdana" w:cs="Arial"/>
                <w:bCs/>
                <w:iCs/>
                <w:sz w:val="18"/>
                <w:szCs w:val="18"/>
              </w:rPr>
            </w:pPr>
            <w:r>
              <w:rPr>
                <w:rFonts w:ascii="Verdana" w:hAnsi="Verdana" w:cs="Arial"/>
                <w:bCs/>
                <w:iCs/>
                <w:sz w:val="18"/>
                <w:szCs w:val="18"/>
              </w:rPr>
              <w:t>1</w:t>
            </w:r>
          </w:p>
        </w:tc>
        <w:tc>
          <w:tcPr>
            <w:tcW w:w="927" w:type="pct"/>
          </w:tcPr>
          <w:p w:rsidR="0055452F" w:rsidRDefault="0055452F" w:rsidP="00FB2368">
            <w:pPr>
              <w:ind w:left="661" w:hanging="635"/>
              <w:jc w:val="center"/>
              <w:rPr>
                <w:rFonts w:ascii="Verdana" w:hAnsi="Verdana" w:cs="Arial"/>
                <w:bCs/>
                <w:iCs/>
                <w:sz w:val="18"/>
                <w:szCs w:val="18"/>
              </w:rPr>
            </w:pPr>
            <w:r>
              <w:rPr>
                <w:rFonts w:ascii="Verdana" w:hAnsi="Verdana" w:cs="Arial"/>
                <w:bCs/>
                <w:iCs/>
                <w:sz w:val="18"/>
                <w:szCs w:val="18"/>
              </w:rPr>
              <w:t>0</w:t>
            </w:r>
          </w:p>
        </w:tc>
        <w:tc>
          <w:tcPr>
            <w:tcW w:w="927" w:type="pct"/>
          </w:tcPr>
          <w:p w:rsidR="0055452F" w:rsidRDefault="0055452F" w:rsidP="00FB2368">
            <w:pPr>
              <w:ind w:left="661" w:hanging="635"/>
              <w:jc w:val="center"/>
              <w:rPr>
                <w:rFonts w:ascii="Verdana" w:hAnsi="Verdana" w:cs="Arial"/>
                <w:bCs/>
                <w:iCs/>
                <w:sz w:val="18"/>
                <w:szCs w:val="18"/>
              </w:rPr>
            </w:pPr>
            <w:r>
              <w:rPr>
                <w:rFonts w:ascii="Verdana" w:hAnsi="Verdana" w:cs="Arial"/>
                <w:bCs/>
                <w:iCs/>
                <w:sz w:val="18"/>
                <w:szCs w:val="18"/>
              </w:rPr>
              <w:t>0</w:t>
            </w:r>
          </w:p>
        </w:tc>
        <w:tc>
          <w:tcPr>
            <w:tcW w:w="926" w:type="pct"/>
          </w:tcPr>
          <w:p w:rsidR="0055452F" w:rsidRDefault="0055452F" w:rsidP="00FB2368">
            <w:pPr>
              <w:ind w:left="661" w:hanging="635"/>
              <w:jc w:val="center"/>
              <w:rPr>
                <w:rFonts w:ascii="Verdana" w:hAnsi="Verdana" w:cs="Arial"/>
                <w:bCs/>
                <w:iCs/>
                <w:sz w:val="18"/>
                <w:szCs w:val="18"/>
              </w:rPr>
            </w:pPr>
            <w:r>
              <w:rPr>
                <w:rFonts w:ascii="Verdana" w:hAnsi="Verdana" w:cs="Arial"/>
                <w:bCs/>
                <w:iCs/>
                <w:sz w:val="18"/>
                <w:szCs w:val="18"/>
              </w:rPr>
              <w:t>0</w:t>
            </w:r>
          </w:p>
        </w:tc>
      </w:tr>
    </w:tbl>
    <w:p w:rsidR="00E23865" w:rsidRPr="00E23865" w:rsidRDefault="00E23865" w:rsidP="00E23865"/>
    <w:p w:rsidR="00767F44" w:rsidRPr="00767F44" w:rsidRDefault="0055452F" w:rsidP="00767F44">
      <w:pPr>
        <w:pStyle w:val="Heading2"/>
        <w:numPr>
          <w:ilvl w:val="1"/>
          <w:numId w:val="2"/>
        </w:numPr>
        <w:spacing w:line="360" w:lineRule="auto"/>
        <w:jc w:val="both"/>
      </w:pPr>
      <w:r>
        <w:t>Six respondents indicated that they agreed with the principles of the DCP 190 and DCP 190A Change Proposals. Three respondents indicated that they agreed with the principles of the DCP 190 Change Proposal only</w:t>
      </w:r>
      <w:r w:rsidR="00481795">
        <w:t>.</w:t>
      </w:r>
      <w:r w:rsidR="00D929E8">
        <w:t xml:space="preserve"> </w:t>
      </w:r>
      <w:r w:rsidR="00767F44">
        <w:t>The Working Group noted the responses.</w:t>
      </w:r>
    </w:p>
    <w:p w:rsidR="00622C1D" w:rsidRDefault="00C32E13" w:rsidP="00622C1D">
      <w:pPr>
        <w:pStyle w:val="Heading2"/>
        <w:keepNext w:val="0"/>
        <w:widowControl w:val="0"/>
        <w:tabs>
          <w:tab w:val="clear" w:pos="360"/>
        </w:tabs>
        <w:spacing w:line="360" w:lineRule="auto"/>
        <w:ind w:left="0" w:firstLine="0"/>
        <w:jc w:val="both"/>
        <w:rPr>
          <w:b/>
          <w:bCs w:val="0"/>
          <w:iCs w:val="0"/>
          <w:u w:val="single"/>
        </w:rPr>
      </w:pPr>
      <w:r>
        <w:rPr>
          <w:b/>
          <w:u w:val="single"/>
        </w:rPr>
        <w:t>Question 3:</w:t>
      </w:r>
      <w:r w:rsidR="00226DB2">
        <w:rPr>
          <w:b/>
          <w:u w:val="single"/>
        </w:rPr>
        <w:t xml:space="preserve"> </w:t>
      </w:r>
      <w:r w:rsidR="00622C1D" w:rsidRPr="00622C1D">
        <w:rPr>
          <w:b/>
          <w:bCs w:val="0"/>
          <w:iCs w:val="0"/>
          <w:u w:val="single"/>
        </w:rPr>
        <w:t>Do you agree that customers should receive a credit for the value of any equipment recovered by DNOs that can subsequently be reused after the termination of a temporary connection?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9"/>
        <w:gridCol w:w="2411"/>
        <w:gridCol w:w="2654"/>
      </w:tblGrid>
      <w:tr w:rsidR="00481795" w:rsidRPr="00C1018E" w:rsidTr="00FB2368">
        <w:trPr>
          <w:trHeight w:val="236"/>
          <w:jc w:val="center"/>
        </w:trPr>
        <w:tc>
          <w:tcPr>
            <w:tcW w:w="2187" w:type="pct"/>
            <w:shd w:val="pct65" w:color="auto" w:fill="auto"/>
          </w:tcPr>
          <w:p w:rsidR="00481795" w:rsidRPr="00C1018E" w:rsidRDefault="00481795" w:rsidP="00FB2368">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Respondent Party Type</w:t>
            </w:r>
          </w:p>
        </w:tc>
        <w:tc>
          <w:tcPr>
            <w:tcW w:w="1339" w:type="pct"/>
            <w:shd w:val="pct65" w:color="auto" w:fill="auto"/>
          </w:tcPr>
          <w:p w:rsidR="00481795" w:rsidRPr="00C1018E" w:rsidRDefault="00481795" w:rsidP="00FB2368">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Yes</w:t>
            </w:r>
          </w:p>
        </w:tc>
        <w:tc>
          <w:tcPr>
            <w:tcW w:w="1474" w:type="pct"/>
            <w:shd w:val="pct65" w:color="auto" w:fill="auto"/>
          </w:tcPr>
          <w:p w:rsidR="00481795" w:rsidRPr="00C1018E" w:rsidRDefault="00481795" w:rsidP="00FB2368">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No</w:t>
            </w:r>
          </w:p>
        </w:tc>
      </w:tr>
      <w:tr w:rsidR="00481795" w:rsidRPr="00A67FCE" w:rsidTr="00FB2368">
        <w:trPr>
          <w:trHeight w:val="236"/>
          <w:jc w:val="center"/>
        </w:trPr>
        <w:tc>
          <w:tcPr>
            <w:tcW w:w="2187" w:type="pct"/>
          </w:tcPr>
          <w:p w:rsidR="00481795" w:rsidRPr="00A67FCE" w:rsidRDefault="00481795" w:rsidP="00FB2368">
            <w:pPr>
              <w:ind w:left="661" w:hanging="635"/>
              <w:jc w:val="center"/>
              <w:rPr>
                <w:rFonts w:ascii="Verdana" w:hAnsi="Verdana" w:cs="Arial"/>
                <w:b/>
                <w:bCs/>
                <w:iCs/>
                <w:sz w:val="18"/>
                <w:szCs w:val="18"/>
              </w:rPr>
            </w:pPr>
            <w:r w:rsidRPr="00A67FCE">
              <w:rPr>
                <w:rFonts w:ascii="Verdana" w:hAnsi="Verdana" w:cs="Arial"/>
                <w:b/>
                <w:bCs/>
                <w:iCs/>
                <w:sz w:val="18"/>
                <w:szCs w:val="18"/>
              </w:rPr>
              <w:t>DNOs</w:t>
            </w:r>
          </w:p>
        </w:tc>
        <w:tc>
          <w:tcPr>
            <w:tcW w:w="1339" w:type="pct"/>
          </w:tcPr>
          <w:p w:rsidR="00481795" w:rsidRPr="00A67FCE" w:rsidRDefault="00481795" w:rsidP="00FB2368">
            <w:pPr>
              <w:ind w:left="661" w:hanging="635"/>
              <w:jc w:val="center"/>
              <w:rPr>
                <w:rFonts w:ascii="Verdana" w:hAnsi="Verdana" w:cs="Arial"/>
                <w:bCs/>
                <w:iCs/>
                <w:sz w:val="18"/>
                <w:szCs w:val="18"/>
              </w:rPr>
            </w:pPr>
            <w:r>
              <w:rPr>
                <w:rFonts w:ascii="Verdana" w:hAnsi="Verdana" w:cs="Arial"/>
                <w:bCs/>
                <w:iCs/>
                <w:sz w:val="18"/>
                <w:szCs w:val="18"/>
              </w:rPr>
              <w:t>6</w:t>
            </w:r>
          </w:p>
        </w:tc>
        <w:tc>
          <w:tcPr>
            <w:tcW w:w="1474" w:type="pct"/>
          </w:tcPr>
          <w:p w:rsidR="00481795" w:rsidRPr="00A67FCE" w:rsidRDefault="00481795" w:rsidP="00FB2368">
            <w:pPr>
              <w:ind w:left="661" w:hanging="635"/>
              <w:jc w:val="center"/>
              <w:rPr>
                <w:rFonts w:ascii="Verdana" w:hAnsi="Verdana" w:cs="Arial"/>
                <w:bCs/>
                <w:iCs/>
                <w:sz w:val="18"/>
                <w:szCs w:val="18"/>
              </w:rPr>
            </w:pPr>
            <w:r>
              <w:rPr>
                <w:rFonts w:ascii="Verdana" w:hAnsi="Verdana" w:cs="Arial"/>
                <w:bCs/>
                <w:iCs/>
                <w:sz w:val="18"/>
                <w:szCs w:val="18"/>
              </w:rPr>
              <w:t>0</w:t>
            </w:r>
          </w:p>
        </w:tc>
      </w:tr>
      <w:tr w:rsidR="00481795" w:rsidRPr="00A67FCE" w:rsidTr="00FB2368">
        <w:trPr>
          <w:trHeight w:val="252"/>
          <w:jc w:val="center"/>
        </w:trPr>
        <w:tc>
          <w:tcPr>
            <w:tcW w:w="2187" w:type="pct"/>
          </w:tcPr>
          <w:p w:rsidR="00481795" w:rsidRPr="00A67FCE" w:rsidRDefault="00481795" w:rsidP="00FB2368">
            <w:pPr>
              <w:ind w:left="661" w:hanging="635"/>
              <w:jc w:val="center"/>
              <w:rPr>
                <w:rFonts w:ascii="Verdana" w:hAnsi="Verdana" w:cs="Arial"/>
                <w:b/>
                <w:bCs/>
                <w:iCs/>
                <w:sz w:val="18"/>
                <w:szCs w:val="18"/>
              </w:rPr>
            </w:pPr>
            <w:r>
              <w:rPr>
                <w:rFonts w:ascii="Verdana" w:hAnsi="Verdana" w:cs="Arial"/>
                <w:b/>
                <w:bCs/>
                <w:iCs/>
                <w:sz w:val="18"/>
                <w:szCs w:val="18"/>
              </w:rPr>
              <w:t>Consultants</w:t>
            </w:r>
          </w:p>
        </w:tc>
        <w:tc>
          <w:tcPr>
            <w:tcW w:w="1339" w:type="pct"/>
          </w:tcPr>
          <w:p w:rsidR="00481795" w:rsidRPr="00A67FCE" w:rsidRDefault="00481795" w:rsidP="00FB2368">
            <w:pPr>
              <w:ind w:left="661" w:hanging="635"/>
              <w:jc w:val="center"/>
              <w:rPr>
                <w:rFonts w:ascii="Verdana" w:hAnsi="Verdana" w:cs="Arial"/>
                <w:bCs/>
                <w:iCs/>
                <w:sz w:val="18"/>
                <w:szCs w:val="18"/>
              </w:rPr>
            </w:pPr>
            <w:r>
              <w:rPr>
                <w:rFonts w:ascii="Verdana" w:hAnsi="Verdana" w:cs="Arial"/>
                <w:bCs/>
                <w:iCs/>
                <w:sz w:val="18"/>
                <w:szCs w:val="18"/>
              </w:rPr>
              <w:t>2</w:t>
            </w:r>
          </w:p>
        </w:tc>
        <w:tc>
          <w:tcPr>
            <w:tcW w:w="1474" w:type="pct"/>
          </w:tcPr>
          <w:p w:rsidR="00481795" w:rsidRPr="00A67FCE" w:rsidRDefault="00481795" w:rsidP="00FB2368">
            <w:pPr>
              <w:ind w:left="661" w:hanging="635"/>
              <w:jc w:val="center"/>
              <w:rPr>
                <w:rFonts w:ascii="Verdana" w:hAnsi="Verdana" w:cs="Arial"/>
                <w:bCs/>
                <w:iCs/>
                <w:sz w:val="18"/>
                <w:szCs w:val="18"/>
              </w:rPr>
            </w:pPr>
            <w:r>
              <w:rPr>
                <w:rFonts w:ascii="Verdana" w:hAnsi="Verdana" w:cs="Arial"/>
                <w:bCs/>
                <w:iCs/>
                <w:sz w:val="18"/>
                <w:szCs w:val="18"/>
              </w:rPr>
              <w:t>0</w:t>
            </w:r>
          </w:p>
        </w:tc>
      </w:tr>
      <w:tr w:rsidR="00481795" w:rsidTr="00FB2368">
        <w:trPr>
          <w:trHeight w:val="252"/>
          <w:jc w:val="center"/>
        </w:trPr>
        <w:tc>
          <w:tcPr>
            <w:tcW w:w="2187" w:type="pct"/>
          </w:tcPr>
          <w:p w:rsidR="00481795" w:rsidRDefault="00481795" w:rsidP="00FB2368">
            <w:pPr>
              <w:ind w:left="661" w:hanging="635"/>
              <w:jc w:val="center"/>
              <w:rPr>
                <w:rFonts w:ascii="Verdana" w:hAnsi="Verdana" w:cs="Arial"/>
                <w:b/>
                <w:bCs/>
                <w:iCs/>
                <w:sz w:val="18"/>
                <w:szCs w:val="18"/>
              </w:rPr>
            </w:pPr>
            <w:r>
              <w:rPr>
                <w:rFonts w:ascii="Verdana" w:hAnsi="Verdana" w:cs="Arial"/>
                <w:b/>
                <w:bCs/>
                <w:iCs/>
                <w:sz w:val="18"/>
                <w:szCs w:val="18"/>
              </w:rPr>
              <w:t>Trade Associations</w:t>
            </w:r>
          </w:p>
        </w:tc>
        <w:tc>
          <w:tcPr>
            <w:tcW w:w="1339" w:type="pct"/>
          </w:tcPr>
          <w:p w:rsidR="00481795" w:rsidRDefault="00481795" w:rsidP="00FB2368">
            <w:pPr>
              <w:ind w:left="661" w:hanging="635"/>
              <w:jc w:val="center"/>
              <w:rPr>
                <w:rFonts w:ascii="Verdana" w:hAnsi="Verdana" w:cs="Arial"/>
                <w:bCs/>
                <w:iCs/>
                <w:sz w:val="18"/>
                <w:szCs w:val="18"/>
              </w:rPr>
            </w:pPr>
            <w:r>
              <w:rPr>
                <w:rFonts w:ascii="Verdana" w:hAnsi="Verdana" w:cs="Arial"/>
                <w:bCs/>
                <w:iCs/>
                <w:sz w:val="18"/>
                <w:szCs w:val="18"/>
              </w:rPr>
              <w:t>1</w:t>
            </w:r>
          </w:p>
        </w:tc>
        <w:tc>
          <w:tcPr>
            <w:tcW w:w="1474" w:type="pct"/>
          </w:tcPr>
          <w:p w:rsidR="00481795" w:rsidRDefault="00481795" w:rsidP="00FB2368">
            <w:pPr>
              <w:ind w:left="661" w:hanging="635"/>
              <w:jc w:val="center"/>
              <w:rPr>
                <w:rFonts w:ascii="Verdana" w:hAnsi="Verdana" w:cs="Arial"/>
                <w:bCs/>
                <w:iCs/>
                <w:sz w:val="18"/>
                <w:szCs w:val="18"/>
              </w:rPr>
            </w:pPr>
            <w:r>
              <w:rPr>
                <w:rFonts w:ascii="Verdana" w:hAnsi="Verdana" w:cs="Arial"/>
                <w:bCs/>
                <w:iCs/>
                <w:sz w:val="18"/>
                <w:szCs w:val="18"/>
              </w:rPr>
              <w:t>0</w:t>
            </w:r>
          </w:p>
        </w:tc>
      </w:tr>
    </w:tbl>
    <w:p w:rsidR="0044128D" w:rsidRDefault="00481795" w:rsidP="00481795">
      <w:pPr>
        <w:pStyle w:val="Heading2"/>
        <w:numPr>
          <w:ilvl w:val="1"/>
          <w:numId w:val="2"/>
        </w:numPr>
        <w:spacing w:line="360" w:lineRule="auto"/>
        <w:jc w:val="both"/>
      </w:pPr>
      <w:r>
        <w:t>All respondents agreed that the Customer should receive a credit for the value of any equipment recovered by the DNO that could be reused after the termin</w:t>
      </w:r>
      <w:r w:rsidR="0044128D">
        <w:t xml:space="preserve">ation of a temporary connection. </w:t>
      </w:r>
    </w:p>
    <w:p w:rsidR="00481795" w:rsidRDefault="0044128D" w:rsidP="00481795">
      <w:pPr>
        <w:pStyle w:val="Heading2"/>
        <w:numPr>
          <w:ilvl w:val="1"/>
          <w:numId w:val="2"/>
        </w:numPr>
        <w:spacing w:line="360" w:lineRule="auto"/>
        <w:jc w:val="both"/>
      </w:pPr>
      <w:r>
        <w:t xml:space="preserve">Some of the respondents caveated their response with a request that the credit be provided only once the equipment recovered is deemed to be re-usable and the value has been reduced by the removal, depreciation and refurbishment costs of the equipment. One DNO stipulated that the credit should be recoverable by the customer when they have paid the full value of the temporary connection upfront and another DNO stipulated that it should apply where the Electrical Plant </w:t>
      </w:r>
      <w:r w:rsidR="00555A26">
        <w:t>is reusable</w:t>
      </w:r>
      <w:r>
        <w:t>.</w:t>
      </w:r>
    </w:p>
    <w:p w:rsidR="00622C1D" w:rsidRDefault="007F6B3E" w:rsidP="008255C5">
      <w:pPr>
        <w:spacing w:line="360" w:lineRule="auto"/>
        <w:rPr>
          <w:rFonts w:ascii="Verdana" w:hAnsi="Verdana" w:cs="Arial"/>
          <w:b/>
          <w:bCs/>
          <w:iCs/>
          <w:sz w:val="20"/>
          <w:szCs w:val="20"/>
          <w:u w:val="single"/>
        </w:rPr>
      </w:pPr>
      <w:r w:rsidRPr="007F6B3E">
        <w:rPr>
          <w:b/>
          <w:u w:val="single"/>
        </w:rPr>
        <w:t xml:space="preserve">Question 4: </w:t>
      </w:r>
      <w:r w:rsidR="00622C1D" w:rsidRPr="00622C1D">
        <w:rPr>
          <w:rFonts w:ascii="Verdana" w:hAnsi="Verdana" w:cs="Arial"/>
          <w:b/>
          <w:bCs/>
          <w:iCs/>
          <w:sz w:val="20"/>
          <w:szCs w:val="20"/>
          <w:u w:val="single"/>
        </w:rPr>
        <w:t xml:space="preserve">Do you consider that </w:t>
      </w:r>
      <w:proofErr w:type="gramStart"/>
      <w:r w:rsidR="00622C1D" w:rsidRPr="00622C1D">
        <w:rPr>
          <w:rFonts w:ascii="Verdana" w:hAnsi="Verdana" w:cs="Arial"/>
          <w:b/>
          <w:bCs/>
          <w:iCs/>
          <w:sz w:val="20"/>
          <w:szCs w:val="20"/>
          <w:u w:val="single"/>
        </w:rPr>
        <w:t>the word “may” should</w:t>
      </w:r>
      <w:proofErr w:type="gramEnd"/>
      <w:r w:rsidR="00622C1D" w:rsidRPr="00622C1D">
        <w:rPr>
          <w:rFonts w:ascii="Verdana" w:hAnsi="Verdana" w:cs="Arial"/>
          <w:b/>
          <w:bCs/>
          <w:iCs/>
          <w:sz w:val="20"/>
          <w:szCs w:val="20"/>
          <w:u w:val="single"/>
        </w:rPr>
        <w:t xml:space="preserve"> be changed to the word “will” in proposed clause 1.33?</w:t>
      </w:r>
    </w:p>
    <w:p w:rsidR="00734CCC" w:rsidRDefault="00734CCC" w:rsidP="0044128D">
      <w:pPr>
        <w:rPr>
          <w:rFonts w:ascii="Verdana" w:hAnsi="Verdana" w:cs="Arial"/>
          <w:b/>
          <w:bCs/>
          <w:iCs/>
          <w:sz w:val="20"/>
          <w:szCs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9"/>
        <w:gridCol w:w="2411"/>
        <w:gridCol w:w="2654"/>
      </w:tblGrid>
      <w:tr w:rsidR="00734CCC" w:rsidRPr="00C1018E" w:rsidTr="00FB2368">
        <w:trPr>
          <w:trHeight w:val="236"/>
          <w:jc w:val="center"/>
        </w:trPr>
        <w:tc>
          <w:tcPr>
            <w:tcW w:w="2187" w:type="pct"/>
            <w:shd w:val="pct65" w:color="auto" w:fill="auto"/>
          </w:tcPr>
          <w:p w:rsidR="00734CCC" w:rsidRPr="00C1018E" w:rsidRDefault="00734CCC" w:rsidP="00FB2368">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Respondent Party Type</w:t>
            </w:r>
          </w:p>
        </w:tc>
        <w:tc>
          <w:tcPr>
            <w:tcW w:w="1339" w:type="pct"/>
            <w:shd w:val="pct65" w:color="auto" w:fill="auto"/>
          </w:tcPr>
          <w:p w:rsidR="00734CCC" w:rsidRPr="00C1018E" w:rsidRDefault="00734CCC" w:rsidP="00FB2368">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Yes</w:t>
            </w:r>
          </w:p>
        </w:tc>
        <w:tc>
          <w:tcPr>
            <w:tcW w:w="1474" w:type="pct"/>
            <w:shd w:val="pct65" w:color="auto" w:fill="auto"/>
          </w:tcPr>
          <w:p w:rsidR="00734CCC" w:rsidRPr="00C1018E" w:rsidRDefault="00734CCC" w:rsidP="00FB2368">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No</w:t>
            </w:r>
          </w:p>
        </w:tc>
      </w:tr>
      <w:tr w:rsidR="00734CCC" w:rsidRPr="00A67FCE" w:rsidTr="00FB2368">
        <w:trPr>
          <w:trHeight w:val="236"/>
          <w:jc w:val="center"/>
        </w:trPr>
        <w:tc>
          <w:tcPr>
            <w:tcW w:w="2187" w:type="pct"/>
          </w:tcPr>
          <w:p w:rsidR="00734CCC" w:rsidRPr="00A67FCE" w:rsidRDefault="00734CCC" w:rsidP="00FB2368">
            <w:pPr>
              <w:ind w:left="661" w:hanging="635"/>
              <w:jc w:val="center"/>
              <w:rPr>
                <w:rFonts w:ascii="Verdana" w:hAnsi="Verdana" w:cs="Arial"/>
                <w:b/>
                <w:bCs/>
                <w:iCs/>
                <w:sz w:val="18"/>
                <w:szCs w:val="18"/>
              </w:rPr>
            </w:pPr>
            <w:r w:rsidRPr="00A67FCE">
              <w:rPr>
                <w:rFonts w:ascii="Verdana" w:hAnsi="Verdana" w:cs="Arial"/>
                <w:b/>
                <w:bCs/>
                <w:iCs/>
                <w:sz w:val="18"/>
                <w:szCs w:val="18"/>
              </w:rPr>
              <w:t>DNOs</w:t>
            </w:r>
          </w:p>
        </w:tc>
        <w:tc>
          <w:tcPr>
            <w:tcW w:w="1339" w:type="pct"/>
          </w:tcPr>
          <w:p w:rsidR="00734CCC" w:rsidRPr="00A67FCE" w:rsidRDefault="00734CCC" w:rsidP="00FB2368">
            <w:pPr>
              <w:ind w:left="661" w:hanging="635"/>
              <w:jc w:val="center"/>
              <w:rPr>
                <w:rFonts w:ascii="Verdana" w:hAnsi="Verdana" w:cs="Arial"/>
                <w:bCs/>
                <w:iCs/>
                <w:sz w:val="18"/>
                <w:szCs w:val="18"/>
              </w:rPr>
            </w:pPr>
            <w:r>
              <w:rPr>
                <w:rFonts w:ascii="Verdana" w:hAnsi="Verdana" w:cs="Arial"/>
                <w:bCs/>
                <w:iCs/>
                <w:sz w:val="18"/>
                <w:szCs w:val="18"/>
              </w:rPr>
              <w:t>0</w:t>
            </w:r>
          </w:p>
        </w:tc>
        <w:tc>
          <w:tcPr>
            <w:tcW w:w="1474" w:type="pct"/>
          </w:tcPr>
          <w:p w:rsidR="00734CCC" w:rsidRPr="00A67FCE" w:rsidRDefault="00734CCC" w:rsidP="00FB2368">
            <w:pPr>
              <w:ind w:left="661" w:hanging="635"/>
              <w:jc w:val="center"/>
              <w:rPr>
                <w:rFonts w:ascii="Verdana" w:hAnsi="Verdana" w:cs="Arial"/>
                <w:bCs/>
                <w:iCs/>
                <w:sz w:val="18"/>
                <w:szCs w:val="18"/>
              </w:rPr>
            </w:pPr>
            <w:r>
              <w:rPr>
                <w:rFonts w:ascii="Verdana" w:hAnsi="Verdana" w:cs="Arial"/>
                <w:bCs/>
                <w:iCs/>
                <w:sz w:val="18"/>
                <w:szCs w:val="18"/>
              </w:rPr>
              <w:t>6</w:t>
            </w:r>
          </w:p>
        </w:tc>
      </w:tr>
      <w:tr w:rsidR="00734CCC" w:rsidRPr="00A67FCE" w:rsidTr="00FB2368">
        <w:trPr>
          <w:trHeight w:val="252"/>
          <w:jc w:val="center"/>
        </w:trPr>
        <w:tc>
          <w:tcPr>
            <w:tcW w:w="2187" w:type="pct"/>
          </w:tcPr>
          <w:p w:rsidR="00734CCC" w:rsidRPr="00A67FCE" w:rsidRDefault="00734CCC" w:rsidP="00FB2368">
            <w:pPr>
              <w:ind w:left="661" w:hanging="635"/>
              <w:jc w:val="center"/>
              <w:rPr>
                <w:rFonts w:ascii="Verdana" w:hAnsi="Verdana" w:cs="Arial"/>
                <w:b/>
                <w:bCs/>
                <w:iCs/>
                <w:sz w:val="18"/>
                <w:szCs w:val="18"/>
              </w:rPr>
            </w:pPr>
            <w:r>
              <w:rPr>
                <w:rFonts w:ascii="Verdana" w:hAnsi="Verdana" w:cs="Arial"/>
                <w:b/>
                <w:bCs/>
                <w:iCs/>
                <w:sz w:val="18"/>
                <w:szCs w:val="18"/>
              </w:rPr>
              <w:t>Consultants</w:t>
            </w:r>
          </w:p>
        </w:tc>
        <w:tc>
          <w:tcPr>
            <w:tcW w:w="1339" w:type="pct"/>
          </w:tcPr>
          <w:p w:rsidR="00734CCC" w:rsidRPr="00A67FCE" w:rsidRDefault="00734CCC" w:rsidP="00FB2368">
            <w:pPr>
              <w:ind w:left="661" w:hanging="635"/>
              <w:jc w:val="center"/>
              <w:rPr>
                <w:rFonts w:ascii="Verdana" w:hAnsi="Verdana" w:cs="Arial"/>
                <w:bCs/>
                <w:iCs/>
                <w:sz w:val="18"/>
                <w:szCs w:val="18"/>
              </w:rPr>
            </w:pPr>
            <w:r>
              <w:rPr>
                <w:rFonts w:ascii="Verdana" w:hAnsi="Verdana" w:cs="Arial"/>
                <w:bCs/>
                <w:iCs/>
                <w:sz w:val="18"/>
                <w:szCs w:val="18"/>
              </w:rPr>
              <w:t>2</w:t>
            </w:r>
          </w:p>
        </w:tc>
        <w:tc>
          <w:tcPr>
            <w:tcW w:w="1474" w:type="pct"/>
          </w:tcPr>
          <w:p w:rsidR="00734CCC" w:rsidRPr="00A67FCE" w:rsidRDefault="00734CCC" w:rsidP="00FB2368">
            <w:pPr>
              <w:ind w:left="661" w:hanging="635"/>
              <w:jc w:val="center"/>
              <w:rPr>
                <w:rFonts w:ascii="Verdana" w:hAnsi="Verdana" w:cs="Arial"/>
                <w:bCs/>
                <w:iCs/>
                <w:sz w:val="18"/>
                <w:szCs w:val="18"/>
              </w:rPr>
            </w:pPr>
            <w:r>
              <w:rPr>
                <w:rFonts w:ascii="Verdana" w:hAnsi="Verdana" w:cs="Arial"/>
                <w:bCs/>
                <w:iCs/>
                <w:sz w:val="18"/>
                <w:szCs w:val="18"/>
              </w:rPr>
              <w:t>0</w:t>
            </w:r>
          </w:p>
        </w:tc>
      </w:tr>
      <w:tr w:rsidR="00734CCC" w:rsidTr="00FB2368">
        <w:trPr>
          <w:trHeight w:val="252"/>
          <w:jc w:val="center"/>
        </w:trPr>
        <w:tc>
          <w:tcPr>
            <w:tcW w:w="2187" w:type="pct"/>
          </w:tcPr>
          <w:p w:rsidR="00734CCC" w:rsidRDefault="00734CCC" w:rsidP="00FB2368">
            <w:pPr>
              <w:ind w:left="661" w:hanging="635"/>
              <w:jc w:val="center"/>
              <w:rPr>
                <w:rFonts w:ascii="Verdana" w:hAnsi="Verdana" w:cs="Arial"/>
                <w:b/>
                <w:bCs/>
                <w:iCs/>
                <w:sz w:val="18"/>
                <w:szCs w:val="18"/>
              </w:rPr>
            </w:pPr>
            <w:r>
              <w:rPr>
                <w:rFonts w:ascii="Verdana" w:hAnsi="Verdana" w:cs="Arial"/>
                <w:b/>
                <w:bCs/>
                <w:iCs/>
                <w:sz w:val="18"/>
                <w:szCs w:val="18"/>
              </w:rPr>
              <w:t>Trade Associations</w:t>
            </w:r>
          </w:p>
        </w:tc>
        <w:tc>
          <w:tcPr>
            <w:tcW w:w="1339" w:type="pct"/>
          </w:tcPr>
          <w:p w:rsidR="00734CCC" w:rsidRDefault="00734CCC" w:rsidP="00FB2368">
            <w:pPr>
              <w:ind w:left="661" w:hanging="635"/>
              <w:jc w:val="center"/>
              <w:rPr>
                <w:rFonts w:ascii="Verdana" w:hAnsi="Verdana" w:cs="Arial"/>
                <w:bCs/>
                <w:iCs/>
                <w:sz w:val="18"/>
                <w:szCs w:val="18"/>
              </w:rPr>
            </w:pPr>
            <w:r>
              <w:rPr>
                <w:rFonts w:ascii="Verdana" w:hAnsi="Verdana" w:cs="Arial"/>
                <w:bCs/>
                <w:iCs/>
                <w:sz w:val="18"/>
                <w:szCs w:val="18"/>
              </w:rPr>
              <w:t>1</w:t>
            </w:r>
          </w:p>
        </w:tc>
        <w:tc>
          <w:tcPr>
            <w:tcW w:w="1474" w:type="pct"/>
          </w:tcPr>
          <w:p w:rsidR="00734CCC" w:rsidRDefault="00734CCC" w:rsidP="00FB2368">
            <w:pPr>
              <w:ind w:left="661" w:hanging="635"/>
              <w:jc w:val="center"/>
              <w:rPr>
                <w:rFonts w:ascii="Verdana" w:hAnsi="Verdana" w:cs="Arial"/>
                <w:bCs/>
                <w:iCs/>
                <w:sz w:val="18"/>
                <w:szCs w:val="18"/>
              </w:rPr>
            </w:pPr>
            <w:r>
              <w:rPr>
                <w:rFonts w:ascii="Verdana" w:hAnsi="Verdana" w:cs="Arial"/>
                <w:bCs/>
                <w:iCs/>
                <w:sz w:val="18"/>
                <w:szCs w:val="18"/>
              </w:rPr>
              <w:t>0</w:t>
            </w:r>
          </w:p>
        </w:tc>
      </w:tr>
    </w:tbl>
    <w:p w:rsidR="00734CCC" w:rsidRDefault="00734CCC" w:rsidP="004A488A">
      <w:pPr>
        <w:rPr>
          <w:rFonts w:ascii="Verdana" w:hAnsi="Verdana" w:cs="Arial"/>
          <w:b/>
          <w:bCs/>
          <w:iCs/>
          <w:sz w:val="20"/>
          <w:szCs w:val="20"/>
          <w:u w:val="single"/>
        </w:rPr>
      </w:pPr>
    </w:p>
    <w:p w:rsidR="00AF44D0" w:rsidRDefault="008255C5" w:rsidP="004A488A">
      <w:pPr>
        <w:pStyle w:val="Heading2"/>
        <w:keepNext w:val="0"/>
        <w:numPr>
          <w:ilvl w:val="1"/>
          <w:numId w:val="2"/>
        </w:numPr>
        <w:spacing w:line="360" w:lineRule="auto"/>
        <w:jc w:val="both"/>
      </w:pPr>
      <w:r>
        <w:t xml:space="preserve">Six DNO respondents did not consider that </w:t>
      </w:r>
      <w:proofErr w:type="gramStart"/>
      <w:r>
        <w:t>the word “may” should</w:t>
      </w:r>
      <w:proofErr w:type="gramEnd"/>
      <w:r>
        <w:t xml:space="preserve"> replace the word “will” in proposed clause 1.33. The </w:t>
      </w:r>
      <w:r w:rsidR="00AF44D0">
        <w:t xml:space="preserve">respondents were concerned that it would set unrealistic expectations for the customer as the costs of refurbishing the equipment for re-use may be greater than the depreciated value of the asset. </w:t>
      </w:r>
    </w:p>
    <w:p w:rsidR="008255C5" w:rsidRDefault="00094808" w:rsidP="004A488A">
      <w:pPr>
        <w:pStyle w:val="Heading2"/>
        <w:keepNext w:val="0"/>
        <w:numPr>
          <w:ilvl w:val="1"/>
          <w:numId w:val="2"/>
        </w:numPr>
        <w:spacing w:line="360" w:lineRule="auto"/>
        <w:jc w:val="both"/>
      </w:pPr>
      <w:r>
        <w:t>One respondent advised that t</w:t>
      </w:r>
      <w:r w:rsidR="00AF44D0">
        <w:t xml:space="preserve">he scenario in which a piece of equipment would generate credit would be an exception and therefore the word “may” as opposed to the word “will” would be more appropriate. Furthermore, the equipment may be low value and the administrative costs of making a payment may be greater than the payment itself or the cost may need to be offset against the debt of the customer. One respondent considered that using the word </w:t>
      </w:r>
      <w:r w:rsidR="00496C6B">
        <w:t>‘</w:t>
      </w:r>
      <w:r w:rsidR="00AF44D0">
        <w:t>may</w:t>
      </w:r>
      <w:r w:rsidR="00496C6B">
        <w:t>’ could</w:t>
      </w:r>
      <w:r w:rsidR="00AF44D0">
        <w:t xml:space="preserve"> prevent the requirement for further complex arrangement</w:t>
      </w:r>
      <w:r w:rsidR="00496C6B">
        <w:t>s</w:t>
      </w:r>
      <w:r w:rsidR="00AF44D0">
        <w:t xml:space="preserve"> such as setting up a de-</w:t>
      </w:r>
      <w:proofErr w:type="spellStart"/>
      <w:r w:rsidR="00AF44D0">
        <w:t>minimis</w:t>
      </w:r>
      <w:proofErr w:type="spellEnd"/>
      <w:r w:rsidR="00AF44D0">
        <w:t xml:space="preserve"> limit on the value to be paid.</w:t>
      </w:r>
    </w:p>
    <w:p w:rsidR="008255C5" w:rsidRDefault="008255C5" w:rsidP="004A488A">
      <w:pPr>
        <w:pStyle w:val="Heading2"/>
        <w:keepNext w:val="0"/>
        <w:numPr>
          <w:ilvl w:val="1"/>
          <w:numId w:val="2"/>
        </w:numPr>
        <w:spacing w:line="360" w:lineRule="auto"/>
        <w:jc w:val="both"/>
      </w:pPr>
      <w:r>
        <w:t>Two consultants and one trade association considered that the word “will” should replace the word “</w:t>
      </w:r>
      <w:proofErr w:type="gramStart"/>
      <w:r>
        <w:t>may</w:t>
      </w:r>
      <w:proofErr w:type="gramEnd"/>
      <w:r>
        <w:t xml:space="preserve">” in proposed clause 1.33. One consultant was concerned that the word “may” could lead to some DNOs being able to ignore the change introduced to DCUSA and as a result not provide any rebate. The trade association respondent considered that the use of the word “may” </w:t>
      </w:r>
      <w:proofErr w:type="gramStart"/>
      <w:r>
        <w:t>could</w:t>
      </w:r>
      <w:proofErr w:type="gramEnd"/>
      <w:r>
        <w:t xml:space="preserve"> provide inconsistent application across the licence areas and noted that consistency in the application of the CCCM was a major objective of the 2010 connection standards.</w:t>
      </w:r>
    </w:p>
    <w:p w:rsidR="00767F44" w:rsidRDefault="00767F44" w:rsidP="004A488A">
      <w:pPr>
        <w:pStyle w:val="Heading2"/>
        <w:keepNext w:val="0"/>
        <w:numPr>
          <w:ilvl w:val="1"/>
          <w:numId w:val="2"/>
        </w:numPr>
        <w:spacing w:line="360" w:lineRule="auto"/>
        <w:jc w:val="both"/>
      </w:pPr>
      <w:r>
        <w:t xml:space="preserve">The Working Group </w:t>
      </w:r>
      <w:r w:rsidRPr="00767F44">
        <w:t>consider</w:t>
      </w:r>
      <w:r>
        <w:t>ed</w:t>
      </w:r>
      <w:r w:rsidRPr="00767F44">
        <w:t xml:space="preserve"> that the DNO should be required to make an assessment in every circumstance. The</w:t>
      </w:r>
      <w:r>
        <w:t xml:space="preserve"> Working Group reached an</w:t>
      </w:r>
      <w:r w:rsidRPr="00767F44">
        <w:t xml:space="preserve"> agreement </w:t>
      </w:r>
      <w:r>
        <w:t xml:space="preserve">that </w:t>
      </w:r>
      <w:r w:rsidRPr="00767F44">
        <w:t xml:space="preserve">where appropriate the credit should be made. </w:t>
      </w:r>
      <w:r>
        <w:t>However</w:t>
      </w:r>
      <w:r w:rsidR="00D929E8">
        <w:t>,</w:t>
      </w:r>
      <w:r>
        <w:t xml:space="preserve"> there </w:t>
      </w:r>
      <w:r w:rsidRPr="00767F44">
        <w:t>are different views</w:t>
      </w:r>
      <w:r w:rsidR="00D929E8">
        <w:t xml:space="preserve"> within the Working Group</w:t>
      </w:r>
      <w:r w:rsidRPr="00767F44">
        <w:t xml:space="preserve"> on the exact drafting</w:t>
      </w:r>
      <w:r>
        <w:t xml:space="preserve"> of the legal text</w:t>
      </w:r>
      <w:r w:rsidRPr="00767F44">
        <w:t xml:space="preserve"> (e.g. use of the words </w:t>
      </w:r>
      <w:r w:rsidR="008664E2">
        <w:t>‘</w:t>
      </w:r>
      <w:r w:rsidRPr="00767F44">
        <w:t>will</w:t>
      </w:r>
      <w:r w:rsidR="008664E2">
        <w:t>’</w:t>
      </w:r>
      <w:r w:rsidRPr="00767F44">
        <w:t xml:space="preserve"> or </w:t>
      </w:r>
      <w:r w:rsidR="008664E2">
        <w:t>‘</w:t>
      </w:r>
      <w:proofErr w:type="gramStart"/>
      <w:r w:rsidRPr="00767F44">
        <w:t>may</w:t>
      </w:r>
      <w:proofErr w:type="gramEnd"/>
      <w:r w:rsidR="008664E2">
        <w:t>’</w:t>
      </w:r>
      <w:r w:rsidRPr="00767F44">
        <w:t>).</w:t>
      </w:r>
    </w:p>
    <w:p w:rsidR="006570EE" w:rsidRPr="006570EE" w:rsidRDefault="006570EE" w:rsidP="004A488A">
      <w:pPr>
        <w:pStyle w:val="Heading2"/>
        <w:keepNext w:val="0"/>
        <w:numPr>
          <w:ilvl w:val="1"/>
          <w:numId w:val="2"/>
        </w:numPr>
        <w:spacing w:line="360" w:lineRule="auto"/>
        <w:jc w:val="both"/>
      </w:pPr>
      <w:r w:rsidRPr="006570EE">
        <w:t>The Working Group considered the trade association’s response to consultation question four</w:t>
      </w:r>
      <w:r w:rsidR="000914AA">
        <w:t>,</w:t>
      </w:r>
      <w:r w:rsidRPr="006570EE">
        <w:t xml:space="preserve"> where the respondent considered that the word “will” make a payment as opposed to “</w:t>
      </w:r>
      <w:proofErr w:type="gramStart"/>
      <w:r w:rsidRPr="006570EE">
        <w:t>may” would</w:t>
      </w:r>
      <w:proofErr w:type="gramEnd"/>
      <w:r w:rsidRPr="006570EE">
        <w:t xml:space="preserve"> provide consistency of application in the CCCM. The Working Group noted that the calculation of the credit would not be part of the common methodology but part of the specific methodology </w:t>
      </w:r>
      <w:r w:rsidR="00094808">
        <w:t>published</w:t>
      </w:r>
      <w:r w:rsidRPr="006570EE">
        <w:t xml:space="preserve"> by each DNO</w:t>
      </w:r>
      <w:r w:rsidR="00496C6B">
        <w:t xml:space="preserve"> in section 6</w:t>
      </w:r>
      <w:r w:rsidRPr="006570EE">
        <w:t xml:space="preserve">. This is due to the inputs of such a calculation being </w:t>
      </w:r>
      <w:r w:rsidR="00496C6B">
        <w:t>different in each DNO area as DNOs are separate businesses</w:t>
      </w:r>
      <w:r w:rsidRPr="006570EE">
        <w:t>. One of the inputs to such a calculation would be operation and maintenance and this information is taken from a table which is DNO specific so the calculation of credit could not be placed in the common methodology and the use of the word “</w:t>
      </w:r>
      <w:proofErr w:type="gramStart"/>
      <w:r w:rsidRPr="006570EE">
        <w:t>will” would</w:t>
      </w:r>
      <w:proofErr w:type="gramEnd"/>
      <w:r w:rsidRPr="006570EE">
        <w:t xml:space="preserve"> not ensure the consistency of its application.</w:t>
      </w:r>
    </w:p>
    <w:p w:rsidR="00622C1D" w:rsidRDefault="00915BDE" w:rsidP="0094687E">
      <w:pPr>
        <w:pStyle w:val="Heading2"/>
        <w:keepNext w:val="0"/>
        <w:widowControl w:val="0"/>
        <w:tabs>
          <w:tab w:val="clear" w:pos="360"/>
        </w:tabs>
        <w:spacing w:line="360" w:lineRule="auto"/>
        <w:ind w:left="142" w:firstLine="0"/>
        <w:jc w:val="both"/>
        <w:rPr>
          <w:b/>
          <w:bCs w:val="0"/>
          <w:iCs w:val="0"/>
          <w:u w:val="single"/>
        </w:rPr>
      </w:pPr>
      <w:r w:rsidRPr="00915BDE">
        <w:rPr>
          <w:b/>
          <w:u w:val="single"/>
        </w:rPr>
        <w:t xml:space="preserve">Question 5: </w:t>
      </w:r>
      <w:r w:rsidR="00622C1D" w:rsidRPr="00622C1D">
        <w:rPr>
          <w:b/>
          <w:bCs w:val="0"/>
          <w:iCs w:val="0"/>
          <w:u w:val="single"/>
        </w:rPr>
        <w:t>Do you consider that inserting the word “will” as opposed to the word “</w:t>
      </w:r>
      <w:proofErr w:type="gramStart"/>
      <w:r w:rsidR="00622C1D" w:rsidRPr="00622C1D">
        <w:rPr>
          <w:b/>
          <w:bCs w:val="0"/>
          <w:iCs w:val="0"/>
          <w:u w:val="single"/>
        </w:rPr>
        <w:t>may</w:t>
      </w:r>
      <w:proofErr w:type="gramEnd"/>
      <w:r w:rsidR="00622C1D" w:rsidRPr="00622C1D">
        <w:rPr>
          <w:b/>
          <w:bCs w:val="0"/>
          <w:iCs w:val="0"/>
          <w:u w:val="single"/>
        </w:rPr>
        <w:t>” in to proposed clause 1.33 ensures consistency of treatment by DNOs of the provision of credit for equipment recovery associated with Temporary Connections to customers under the Common Connection Charging Methodology?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3"/>
        <w:gridCol w:w="1864"/>
        <w:gridCol w:w="2049"/>
        <w:gridCol w:w="2048"/>
      </w:tblGrid>
      <w:tr w:rsidR="00360307" w:rsidRPr="00C1018E" w:rsidTr="00360307">
        <w:trPr>
          <w:trHeight w:val="236"/>
          <w:jc w:val="center"/>
        </w:trPr>
        <w:tc>
          <w:tcPr>
            <w:tcW w:w="1690" w:type="pct"/>
            <w:shd w:val="pct65" w:color="auto" w:fill="auto"/>
          </w:tcPr>
          <w:p w:rsidR="00360307" w:rsidRPr="00C1018E" w:rsidRDefault="00360307" w:rsidP="0094687E">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Respondent Party Type</w:t>
            </w:r>
          </w:p>
        </w:tc>
        <w:tc>
          <w:tcPr>
            <w:tcW w:w="1035" w:type="pct"/>
            <w:shd w:val="pct65" w:color="auto" w:fill="auto"/>
          </w:tcPr>
          <w:p w:rsidR="00360307" w:rsidRPr="00C1018E" w:rsidRDefault="00360307" w:rsidP="0094687E">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Yes</w:t>
            </w:r>
          </w:p>
        </w:tc>
        <w:tc>
          <w:tcPr>
            <w:tcW w:w="1138" w:type="pct"/>
            <w:shd w:val="pct65" w:color="auto" w:fill="auto"/>
          </w:tcPr>
          <w:p w:rsidR="00360307" w:rsidRPr="00C1018E" w:rsidRDefault="00360307" w:rsidP="0094687E">
            <w:pPr>
              <w:ind w:left="661" w:hanging="635"/>
              <w:jc w:val="center"/>
              <w:rPr>
                <w:rFonts w:ascii="Verdana" w:hAnsi="Verdana" w:cs="Arial"/>
                <w:b/>
                <w:bCs/>
                <w:iCs/>
                <w:color w:val="FFFFFF" w:themeColor="background1"/>
                <w:sz w:val="18"/>
                <w:szCs w:val="18"/>
              </w:rPr>
            </w:pPr>
            <w:r w:rsidRPr="00C1018E">
              <w:rPr>
                <w:rFonts w:ascii="Verdana" w:hAnsi="Verdana" w:cs="Arial"/>
                <w:b/>
                <w:bCs/>
                <w:iCs/>
                <w:color w:val="FFFFFF" w:themeColor="background1"/>
                <w:sz w:val="18"/>
                <w:szCs w:val="18"/>
              </w:rPr>
              <w:t>No</w:t>
            </w:r>
          </w:p>
        </w:tc>
        <w:tc>
          <w:tcPr>
            <w:tcW w:w="1137" w:type="pct"/>
            <w:shd w:val="pct65" w:color="auto" w:fill="auto"/>
          </w:tcPr>
          <w:p w:rsidR="00360307" w:rsidRPr="00C1018E" w:rsidRDefault="00360307" w:rsidP="0094687E">
            <w:pPr>
              <w:ind w:left="661" w:hanging="635"/>
              <w:jc w:val="center"/>
              <w:rPr>
                <w:rFonts w:ascii="Verdana" w:hAnsi="Verdana" w:cs="Arial"/>
                <w:b/>
                <w:bCs/>
                <w:iCs/>
                <w:color w:val="FFFFFF" w:themeColor="background1"/>
                <w:sz w:val="18"/>
                <w:szCs w:val="18"/>
              </w:rPr>
            </w:pPr>
            <w:r>
              <w:rPr>
                <w:rFonts w:ascii="Verdana" w:hAnsi="Verdana" w:cs="Arial"/>
                <w:b/>
                <w:bCs/>
                <w:iCs/>
                <w:color w:val="FFFFFF" w:themeColor="background1"/>
                <w:sz w:val="18"/>
                <w:szCs w:val="18"/>
              </w:rPr>
              <w:t>Undecided</w:t>
            </w:r>
          </w:p>
        </w:tc>
      </w:tr>
      <w:tr w:rsidR="00360307" w:rsidRPr="00A67FCE" w:rsidTr="00360307">
        <w:trPr>
          <w:trHeight w:val="236"/>
          <w:jc w:val="center"/>
        </w:trPr>
        <w:tc>
          <w:tcPr>
            <w:tcW w:w="1690" w:type="pct"/>
          </w:tcPr>
          <w:p w:rsidR="00360307" w:rsidRPr="00A67FCE" w:rsidRDefault="00360307" w:rsidP="0094687E">
            <w:pPr>
              <w:ind w:left="661" w:hanging="635"/>
              <w:jc w:val="center"/>
              <w:rPr>
                <w:rFonts w:ascii="Verdana" w:hAnsi="Verdana" w:cs="Arial"/>
                <w:b/>
                <w:bCs/>
                <w:iCs/>
                <w:sz w:val="18"/>
                <w:szCs w:val="18"/>
              </w:rPr>
            </w:pPr>
            <w:r w:rsidRPr="00A67FCE">
              <w:rPr>
                <w:rFonts w:ascii="Verdana" w:hAnsi="Verdana" w:cs="Arial"/>
                <w:b/>
                <w:bCs/>
                <w:iCs/>
                <w:sz w:val="18"/>
                <w:szCs w:val="18"/>
              </w:rPr>
              <w:t>DNOs</w:t>
            </w:r>
          </w:p>
        </w:tc>
        <w:tc>
          <w:tcPr>
            <w:tcW w:w="1035" w:type="pct"/>
          </w:tcPr>
          <w:p w:rsidR="00360307" w:rsidRPr="00A67FCE" w:rsidRDefault="00360307" w:rsidP="0094687E">
            <w:pPr>
              <w:ind w:left="661" w:hanging="635"/>
              <w:jc w:val="center"/>
              <w:rPr>
                <w:rFonts w:ascii="Verdana" w:hAnsi="Verdana" w:cs="Arial"/>
                <w:bCs/>
                <w:iCs/>
                <w:sz w:val="18"/>
                <w:szCs w:val="18"/>
              </w:rPr>
            </w:pPr>
            <w:r>
              <w:rPr>
                <w:rFonts w:ascii="Verdana" w:hAnsi="Verdana" w:cs="Arial"/>
                <w:bCs/>
                <w:iCs/>
                <w:sz w:val="18"/>
                <w:szCs w:val="18"/>
              </w:rPr>
              <w:t>0</w:t>
            </w:r>
          </w:p>
        </w:tc>
        <w:tc>
          <w:tcPr>
            <w:tcW w:w="1138" w:type="pct"/>
          </w:tcPr>
          <w:p w:rsidR="00360307" w:rsidRPr="00A67FCE" w:rsidRDefault="00360307" w:rsidP="0094687E">
            <w:pPr>
              <w:ind w:left="661" w:hanging="635"/>
              <w:jc w:val="center"/>
              <w:rPr>
                <w:rFonts w:ascii="Verdana" w:hAnsi="Verdana" w:cs="Arial"/>
                <w:bCs/>
                <w:iCs/>
                <w:sz w:val="18"/>
                <w:szCs w:val="18"/>
              </w:rPr>
            </w:pPr>
            <w:r>
              <w:rPr>
                <w:rFonts w:ascii="Verdana" w:hAnsi="Verdana" w:cs="Arial"/>
                <w:bCs/>
                <w:iCs/>
                <w:sz w:val="18"/>
                <w:szCs w:val="18"/>
              </w:rPr>
              <w:t>2</w:t>
            </w:r>
          </w:p>
        </w:tc>
        <w:tc>
          <w:tcPr>
            <w:tcW w:w="1137" w:type="pct"/>
          </w:tcPr>
          <w:p w:rsidR="00360307" w:rsidRDefault="00360307" w:rsidP="0094687E">
            <w:pPr>
              <w:ind w:left="661" w:hanging="635"/>
              <w:jc w:val="center"/>
              <w:rPr>
                <w:rFonts w:ascii="Verdana" w:hAnsi="Verdana" w:cs="Arial"/>
                <w:bCs/>
                <w:iCs/>
                <w:sz w:val="18"/>
                <w:szCs w:val="18"/>
              </w:rPr>
            </w:pPr>
            <w:r>
              <w:rPr>
                <w:rFonts w:ascii="Verdana" w:hAnsi="Verdana" w:cs="Arial"/>
                <w:bCs/>
                <w:iCs/>
                <w:sz w:val="18"/>
                <w:szCs w:val="18"/>
              </w:rPr>
              <w:t>4</w:t>
            </w:r>
          </w:p>
        </w:tc>
      </w:tr>
      <w:tr w:rsidR="00360307" w:rsidRPr="00A67FCE" w:rsidTr="00360307">
        <w:trPr>
          <w:trHeight w:val="252"/>
          <w:jc w:val="center"/>
        </w:trPr>
        <w:tc>
          <w:tcPr>
            <w:tcW w:w="1690" w:type="pct"/>
          </w:tcPr>
          <w:p w:rsidR="00360307" w:rsidRPr="00A67FCE" w:rsidRDefault="00360307" w:rsidP="0094687E">
            <w:pPr>
              <w:ind w:left="661" w:hanging="635"/>
              <w:jc w:val="center"/>
              <w:rPr>
                <w:rFonts w:ascii="Verdana" w:hAnsi="Verdana" w:cs="Arial"/>
                <w:b/>
                <w:bCs/>
                <w:iCs/>
                <w:sz w:val="18"/>
                <w:szCs w:val="18"/>
              </w:rPr>
            </w:pPr>
            <w:r>
              <w:rPr>
                <w:rFonts w:ascii="Verdana" w:hAnsi="Verdana" w:cs="Arial"/>
                <w:b/>
                <w:bCs/>
                <w:iCs/>
                <w:sz w:val="18"/>
                <w:szCs w:val="18"/>
              </w:rPr>
              <w:t>Consultants</w:t>
            </w:r>
          </w:p>
        </w:tc>
        <w:tc>
          <w:tcPr>
            <w:tcW w:w="1035" w:type="pct"/>
          </w:tcPr>
          <w:p w:rsidR="00360307" w:rsidRPr="00A67FCE" w:rsidRDefault="00360307" w:rsidP="0094687E">
            <w:pPr>
              <w:ind w:left="661" w:hanging="635"/>
              <w:jc w:val="center"/>
              <w:rPr>
                <w:rFonts w:ascii="Verdana" w:hAnsi="Verdana" w:cs="Arial"/>
                <w:bCs/>
                <w:iCs/>
                <w:sz w:val="18"/>
                <w:szCs w:val="18"/>
              </w:rPr>
            </w:pPr>
            <w:r>
              <w:rPr>
                <w:rFonts w:ascii="Verdana" w:hAnsi="Verdana" w:cs="Arial"/>
                <w:bCs/>
                <w:iCs/>
                <w:sz w:val="18"/>
                <w:szCs w:val="18"/>
              </w:rPr>
              <w:t>2</w:t>
            </w:r>
          </w:p>
        </w:tc>
        <w:tc>
          <w:tcPr>
            <w:tcW w:w="1138" w:type="pct"/>
          </w:tcPr>
          <w:p w:rsidR="00360307" w:rsidRPr="00A67FCE" w:rsidRDefault="00360307" w:rsidP="0094687E">
            <w:pPr>
              <w:ind w:left="661" w:hanging="635"/>
              <w:jc w:val="center"/>
              <w:rPr>
                <w:rFonts w:ascii="Verdana" w:hAnsi="Verdana" w:cs="Arial"/>
                <w:bCs/>
                <w:iCs/>
                <w:sz w:val="18"/>
                <w:szCs w:val="18"/>
              </w:rPr>
            </w:pPr>
            <w:r>
              <w:rPr>
                <w:rFonts w:ascii="Verdana" w:hAnsi="Verdana" w:cs="Arial"/>
                <w:bCs/>
                <w:iCs/>
                <w:sz w:val="18"/>
                <w:szCs w:val="18"/>
              </w:rPr>
              <w:t>0</w:t>
            </w:r>
          </w:p>
        </w:tc>
        <w:tc>
          <w:tcPr>
            <w:tcW w:w="1137" w:type="pct"/>
          </w:tcPr>
          <w:p w:rsidR="00360307" w:rsidRDefault="00360307" w:rsidP="0094687E">
            <w:pPr>
              <w:ind w:left="661" w:hanging="635"/>
              <w:jc w:val="center"/>
              <w:rPr>
                <w:rFonts w:ascii="Verdana" w:hAnsi="Verdana" w:cs="Arial"/>
                <w:bCs/>
                <w:iCs/>
                <w:sz w:val="18"/>
                <w:szCs w:val="18"/>
              </w:rPr>
            </w:pPr>
            <w:r>
              <w:rPr>
                <w:rFonts w:ascii="Verdana" w:hAnsi="Verdana" w:cs="Arial"/>
                <w:bCs/>
                <w:iCs/>
                <w:sz w:val="18"/>
                <w:szCs w:val="18"/>
              </w:rPr>
              <w:t>0</w:t>
            </w:r>
          </w:p>
        </w:tc>
      </w:tr>
      <w:tr w:rsidR="00360307" w:rsidTr="00360307">
        <w:trPr>
          <w:trHeight w:val="252"/>
          <w:jc w:val="center"/>
        </w:trPr>
        <w:tc>
          <w:tcPr>
            <w:tcW w:w="1690" w:type="pct"/>
          </w:tcPr>
          <w:p w:rsidR="00360307" w:rsidRDefault="00360307" w:rsidP="0094687E">
            <w:pPr>
              <w:ind w:left="661" w:hanging="635"/>
              <w:jc w:val="center"/>
              <w:rPr>
                <w:rFonts w:ascii="Verdana" w:hAnsi="Verdana" w:cs="Arial"/>
                <w:b/>
                <w:bCs/>
                <w:iCs/>
                <w:sz w:val="18"/>
                <w:szCs w:val="18"/>
              </w:rPr>
            </w:pPr>
            <w:r>
              <w:rPr>
                <w:rFonts w:ascii="Verdana" w:hAnsi="Verdana" w:cs="Arial"/>
                <w:b/>
                <w:bCs/>
                <w:iCs/>
                <w:sz w:val="18"/>
                <w:szCs w:val="18"/>
              </w:rPr>
              <w:t>Trade Associations</w:t>
            </w:r>
          </w:p>
        </w:tc>
        <w:tc>
          <w:tcPr>
            <w:tcW w:w="1035" w:type="pct"/>
          </w:tcPr>
          <w:p w:rsidR="00360307" w:rsidRDefault="00360307" w:rsidP="0094687E">
            <w:pPr>
              <w:ind w:left="661" w:hanging="635"/>
              <w:jc w:val="center"/>
              <w:rPr>
                <w:rFonts w:ascii="Verdana" w:hAnsi="Verdana" w:cs="Arial"/>
                <w:bCs/>
                <w:iCs/>
                <w:sz w:val="18"/>
                <w:szCs w:val="18"/>
              </w:rPr>
            </w:pPr>
            <w:r>
              <w:rPr>
                <w:rFonts w:ascii="Verdana" w:hAnsi="Verdana" w:cs="Arial"/>
                <w:bCs/>
                <w:iCs/>
                <w:sz w:val="18"/>
                <w:szCs w:val="18"/>
              </w:rPr>
              <w:t>0</w:t>
            </w:r>
          </w:p>
        </w:tc>
        <w:tc>
          <w:tcPr>
            <w:tcW w:w="1138" w:type="pct"/>
          </w:tcPr>
          <w:p w:rsidR="00360307" w:rsidRDefault="00360307" w:rsidP="0094687E">
            <w:pPr>
              <w:ind w:left="661" w:hanging="635"/>
              <w:jc w:val="center"/>
              <w:rPr>
                <w:rFonts w:ascii="Verdana" w:hAnsi="Verdana" w:cs="Arial"/>
                <w:bCs/>
                <w:iCs/>
                <w:sz w:val="18"/>
                <w:szCs w:val="18"/>
              </w:rPr>
            </w:pPr>
            <w:r>
              <w:rPr>
                <w:rFonts w:ascii="Verdana" w:hAnsi="Verdana" w:cs="Arial"/>
                <w:bCs/>
                <w:iCs/>
                <w:sz w:val="18"/>
                <w:szCs w:val="18"/>
              </w:rPr>
              <w:t>0</w:t>
            </w:r>
          </w:p>
        </w:tc>
        <w:tc>
          <w:tcPr>
            <w:tcW w:w="1137" w:type="pct"/>
          </w:tcPr>
          <w:p w:rsidR="00360307" w:rsidRDefault="00360307" w:rsidP="0094687E">
            <w:pPr>
              <w:ind w:left="661" w:hanging="635"/>
              <w:jc w:val="center"/>
              <w:rPr>
                <w:rFonts w:ascii="Verdana" w:hAnsi="Verdana" w:cs="Arial"/>
                <w:bCs/>
                <w:iCs/>
                <w:sz w:val="18"/>
                <w:szCs w:val="18"/>
              </w:rPr>
            </w:pPr>
            <w:r>
              <w:rPr>
                <w:rFonts w:ascii="Verdana" w:hAnsi="Verdana" w:cs="Arial"/>
                <w:bCs/>
                <w:iCs/>
                <w:sz w:val="18"/>
                <w:szCs w:val="18"/>
              </w:rPr>
              <w:t>1</w:t>
            </w:r>
          </w:p>
        </w:tc>
      </w:tr>
    </w:tbl>
    <w:p w:rsidR="003762F6" w:rsidRDefault="00360307" w:rsidP="00AC17F0">
      <w:pPr>
        <w:pStyle w:val="Heading2"/>
        <w:keepNext w:val="0"/>
        <w:numPr>
          <w:ilvl w:val="1"/>
          <w:numId w:val="2"/>
        </w:numPr>
        <w:spacing w:line="360" w:lineRule="auto"/>
        <w:jc w:val="both"/>
      </w:pPr>
      <w:r>
        <w:t>Two DNO respondents stated that they did not consider that the word “</w:t>
      </w:r>
      <w:proofErr w:type="gramStart"/>
      <w:r w:rsidR="006570EE">
        <w:t>will” should</w:t>
      </w:r>
      <w:proofErr w:type="gramEnd"/>
      <w:r w:rsidR="006570EE">
        <w:t xml:space="preserve"> be inserted in to C</w:t>
      </w:r>
      <w:r>
        <w:t xml:space="preserve">lause 1.33. The respondents </w:t>
      </w:r>
      <w:r w:rsidR="004A488A">
        <w:t>considered that the word “</w:t>
      </w:r>
      <w:proofErr w:type="gramStart"/>
      <w:r w:rsidR="004A488A">
        <w:t xml:space="preserve">will” </w:t>
      </w:r>
      <w:r>
        <w:t>could</w:t>
      </w:r>
      <w:proofErr w:type="gramEnd"/>
      <w:r>
        <w:t xml:space="preserve"> be misleading as the customer would not receive a credit in all circumstances as there are valid exceptions such as the assessment of the condition of the equipment. One DNO noted that there </w:t>
      </w:r>
      <w:r w:rsidR="004A488A">
        <w:t xml:space="preserve">was a subjective element to </w:t>
      </w:r>
      <w:r w:rsidR="003762F6">
        <w:t xml:space="preserve">either version of the </w:t>
      </w:r>
      <w:r>
        <w:t>clause in regards to the condition assessment and ability for the equipment to be reused by the DNO</w:t>
      </w:r>
      <w:r w:rsidR="003762F6">
        <w:t xml:space="preserve"> which would not result in consistency of treatment. </w:t>
      </w:r>
    </w:p>
    <w:p w:rsidR="00735626" w:rsidRDefault="00E700E8" w:rsidP="0094687E">
      <w:pPr>
        <w:pStyle w:val="Heading2"/>
        <w:keepNext w:val="0"/>
        <w:numPr>
          <w:ilvl w:val="1"/>
          <w:numId w:val="2"/>
        </w:numPr>
        <w:spacing w:line="360" w:lineRule="auto"/>
        <w:jc w:val="both"/>
      </w:pPr>
      <w:r>
        <w:t xml:space="preserve">Four </w:t>
      </w:r>
      <w:r w:rsidR="00735626">
        <w:t>DNO respondents</w:t>
      </w:r>
      <w:r>
        <w:t xml:space="preserve"> commented on the question as opposed to providing a ‘Yes’ or ‘No’ respons</w:t>
      </w:r>
      <w:r w:rsidR="00735626">
        <w:t>e to the question. The respondents noted that there would be unintended consequences from the i</w:t>
      </w:r>
      <w:r w:rsidR="004A488A">
        <w:t>nsertion of the word “will” in C</w:t>
      </w:r>
      <w:r w:rsidR="00735626">
        <w:t xml:space="preserve">lause 1.33 as payment may not always be appropriate such as where the equipment is in reusable condition but is obsolete. </w:t>
      </w:r>
    </w:p>
    <w:p w:rsidR="00735626" w:rsidRPr="00735626" w:rsidRDefault="00735626" w:rsidP="0094687E">
      <w:pPr>
        <w:pStyle w:val="Heading2"/>
        <w:keepNext w:val="0"/>
        <w:numPr>
          <w:ilvl w:val="1"/>
          <w:numId w:val="2"/>
        </w:numPr>
        <w:spacing w:line="360" w:lineRule="auto"/>
        <w:jc w:val="both"/>
      </w:pPr>
      <w:commentRangeStart w:id="0"/>
      <w:r>
        <w:t>One DNO respondent considered the question based on the consistent application of the CCCM and noted that they considered that all DNOs intended to prov</w:t>
      </w:r>
      <w:r w:rsidR="0094687E">
        <w:t>ide a credit once this change i</w:t>
      </w:r>
      <w:r>
        <w:t>s enacted. Although there is a difference between how DNOs calculate the credit due to different policies relati</w:t>
      </w:r>
      <w:r w:rsidR="0094687E">
        <w:t xml:space="preserve">ng to </w:t>
      </w:r>
      <w:r w:rsidR="00094808">
        <w:t xml:space="preserve">the </w:t>
      </w:r>
      <w:r w:rsidR="0094687E">
        <w:t xml:space="preserve">use of equipment, </w:t>
      </w:r>
      <w:r>
        <w:t xml:space="preserve">the DNOs are required to apply their </w:t>
      </w:r>
      <w:r w:rsidR="0094687E">
        <w:t xml:space="preserve">own </w:t>
      </w:r>
      <w:r>
        <w:t>policies on a non-discriminatory basis under other obligations. Therefore</w:t>
      </w:r>
      <w:r w:rsidR="0094687E">
        <w:t>,</w:t>
      </w:r>
      <w:r>
        <w:t xml:space="preserve"> each DNO will </w:t>
      </w:r>
      <w:r w:rsidR="0094687E">
        <w:t xml:space="preserve">need to apply </w:t>
      </w:r>
      <w:proofErr w:type="gramStart"/>
      <w:r w:rsidR="0094687E">
        <w:t xml:space="preserve">their </w:t>
      </w:r>
      <w:r w:rsidRPr="00735626">
        <w:t>own</w:t>
      </w:r>
      <w:proofErr w:type="gramEnd"/>
      <w:r w:rsidRPr="00735626">
        <w:t xml:space="preserve"> policy on a consistent basis</w:t>
      </w:r>
      <w:r w:rsidR="0094687E">
        <w:t xml:space="preserve"> whether or not the word “will” is used</w:t>
      </w:r>
      <w:r w:rsidRPr="00735626">
        <w:t>.</w:t>
      </w:r>
      <w:commentRangeEnd w:id="0"/>
      <w:r w:rsidR="0094687E">
        <w:rPr>
          <w:rStyle w:val="CommentReference"/>
          <w:rFonts w:ascii="Times New Roman" w:hAnsi="Times New Roman"/>
          <w:bCs w:val="0"/>
          <w:iCs w:val="0"/>
        </w:rPr>
        <w:commentReference w:id="0"/>
      </w:r>
    </w:p>
    <w:p w:rsidR="00735626" w:rsidRDefault="002667E2" w:rsidP="0094687E">
      <w:pPr>
        <w:pStyle w:val="Heading2"/>
        <w:keepNext w:val="0"/>
        <w:numPr>
          <w:ilvl w:val="1"/>
          <w:numId w:val="2"/>
        </w:numPr>
        <w:spacing w:line="360" w:lineRule="auto"/>
        <w:jc w:val="both"/>
      </w:pPr>
      <w:r>
        <w:t>Two consultant respondents stated that they did consider the</w:t>
      </w:r>
      <w:r w:rsidR="00D929E8">
        <w:t xml:space="preserve"> word “will” should be used in C</w:t>
      </w:r>
      <w:r>
        <w:t>lause 1.33 but did not provide any further reasoning. One trade association respondent noted that not all DNOs were in the same position on the application of this clause but considered that the addition of the word “will” would ensure consistency and provide a clear position and impetus for the networks to work towards.</w:t>
      </w:r>
    </w:p>
    <w:p w:rsidR="00D929E8" w:rsidRDefault="00CC1894" w:rsidP="00CE7462">
      <w:pPr>
        <w:pStyle w:val="Heading2"/>
        <w:keepNext w:val="0"/>
        <w:numPr>
          <w:ilvl w:val="1"/>
          <w:numId w:val="2"/>
        </w:numPr>
        <w:spacing w:line="360" w:lineRule="auto"/>
        <w:jc w:val="both"/>
      </w:pPr>
      <w:r>
        <w:t xml:space="preserve">The Working Group noted </w:t>
      </w:r>
      <w:r w:rsidR="00CE7462">
        <w:t>the responses to whether</w:t>
      </w:r>
      <w:r w:rsidR="00CE7462" w:rsidRPr="00CE7462">
        <w:t xml:space="preserve"> inserting the word “will” as opposed to the word “may” in to proposed </w:t>
      </w:r>
      <w:r w:rsidR="00CE7462">
        <w:t>C</w:t>
      </w:r>
      <w:r w:rsidR="00CE7462" w:rsidRPr="00CE7462">
        <w:t>lause 1.33 ensure</w:t>
      </w:r>
      <w:r w:rsidR="00CE7462">
        <w:t>d</w:t>
      </w:r>
      <w:r w:rsidR="00CE7462" w:rsidRPr="00CE7462">
        <w:t xml:space="preserve"> consistency of treatment by DNOs of the provision of credit for equipment recovery associated with Temporary Connections to customers</w:t>
      </w:r>
      <w:r w:rsidR="00CE7462">
        <w:t>.</w:t>
      </w:r>
    </w:p>
    <w:p w:rsidR="00CE7462" w:rsidRPr="00D929E8" w:rsidRDefault="00CE7462" w:rsidP="00D929E8"/>
    <w:p w:rsidR="00622C1D" w:rsidRDefault="00735626" w:rsidP="002667E2">
      <w:pPr>
        <w:jc w:val="both"/>
        <w:rPr>
          <w:b/>
          <w:u w:val="single"/>
        </w:rPr>
      </w:pPr>
      <w:r>
        <w:t xml:space="preserve"> </w:t>
      </w:r>
      <w:r w:rsidR="00622C1D" w:rsidRPr="00622C1D">
        <w:rPr>
          <w:b/>
          <w:u w:val="single"/>
        </w:rPr>
        <w:t>Question 6:</w:t>
      </w:r>
      <w:r w:rsidR="00622C1D">
        <w:rPr>
          <w:b/>
          <w:u w:val="single"/>
        </w:rPr>
        <w:tab/>
        <w:t xml:space="preserve"> </w:t>
      </w:r>
      <w:r w:rsidR="00622C1D" w:rsidRPr="00622C1D">
        <w:rPr>
          <w:b/>
          <w:u w:val="single"/>
        </w:rPr>
        <w:t>Do you have any comments on the proposed legal text for DCP 190 and DCP 190A?</w:t>
      </w:r>
    </w:p>
    <w:p w:rsidR="002667E2" w:rsidRDefault="002667E2" w:rsidP="002667E2">
      <w:pPr>
        <w:jc w:val="both"/>
        <w:rPr>
          <w:b/>
          <w:u w:val="single"/>
        </w:rPr>
      </w:pPr>
    </w:p>
    <w:p w:rsidR="002667E2" w:rsidRDefault="00550201" w:rsidP="00702981">
      <w:pPr>
        <w:pStyle w:val="Heading2"/>
        <w:keepNext w:val="0"/>
        <w:numPr>
          <w:ilvl w:val="1"/>
          <w:numId w:val="2"/>
        </w:numPr>
        <w:spacing w:line="360" w:lineRule="auto"/>
        <w:jc w:val="both"/>
      </w:pPr>
      <w:r>
        <w:t>Two</w:t>
      </w:r>
      <w:r w:rsidR="00702981" w:rsidRPr="00702981">
        <w:t xml:space="preserve"> DNO</w:t>
      </w:r>
      <w:r w:rsidR="00224865">
        <w:t>s</w:t>
      </w:r>
      <w:r w:rsidR="00702981" w:rsidRPr="00702981">
        <w:t xml:space="preserve"> and one consultant respondent had no further comments on the legal text.</w:t>
      </w:r>
      <w:r w:rsidR="00584D5B">
        <w:t xml:space="preserve"> The </w:t>
      </w:r>
      <w:r w:rsidR="00224865">
        <w:t>other four</w:t>
      </w:r>
      <w:r w:rsidR="00584D5B">
        <w:t xml:space="preserve"> DNO respondents did not indicate a </w:t>
      </w:r>
      <w:r w:rsidR="008F4533">
        <w:t>‘</w:t>
      </w:r>
      <w:r w:rsidR="00584D5B">
        <w:t>Yes</w:t>
      </w:r>
      <w:r w:rsidR="008F4533">
        <w:t>’</w:t>
      </w:r>
      <w:r w:rsidR="00584D5B">
        <w:t xml:space="preserve"> or </w:t>
      </w:r>
      <w:r w:rsidR="008F4533">
        <w:t>‘</w:t>
      </w:r>
      <w:r w:rsidR="00584D5B">
        <w:t>No</w:t>
      </w:r>
      <w:r w:rsidR="008F4533">
        <w:t>’</w:t>
      </w:r>
      <w:r w:rsidR="00584D5B">
        <w:t xml:space="preserve"> answer</w:t>
      </w:r>
      <w:r w:rsidR="008F4533">
        <w:t xml:space="preserve"> but commented on the question</w:t>
      </w:r>
      <w:r w:rsidR="00584D5B">
        <w:t xml:space="preserve">. </w:t>
      </w:r>
    </w:p>
    <w:p w:rsidR="00584D5B" w:rsidRPr="00042730" w:rsidRDefault="00550201" w:rsidP="00584D5B">
      <w:pPr>
        <w:pStyle w:val="Heading2"/>
        <w:keepNext w:val="0"/>
        <w:numPr>
          <w:ilvl w:val="1"/>
          <w:numId w:val="2"/>
        </w:numPr>
        <w:spacing w:line="360" w:lineRule="auto"/>
        <w:jc w:val="both"/>
      </w:pPr>
      <w:r>
        <w:t>One DNO responde</w:t>
      </w:r>
      <w:r w:rsidR="00224865">
        <w:t>nt noted that the amendment to C</w:t>
      </w:r>
      <w:r>
        <w:t>lause 1.33 by the DCP 190 C</w:t>
      </w:r>
      <w:r w:rsidR="004A488A">
        <w:t>P</w:t>
      </w:r>
      <w:r>
        <w:t xml:space="preserve"> allowed those DNOs who currently provide a credit to customers to comply with the methodology in circumstances where the provision of a credit is appropriate. This DNO considered that if the DCP 190A Change Proposal was approved it would mislead customers in to believing that they would always receive a credit</w:t>
      </w:r>
      <w:r w:rsidR="00042730">
        <w:t xml:space="preserve"> for equipment recovered. The term ‘Temporary Connection’ is defined in DCUSA as </w:t>
      </w:r>
      <w:r w:rsidR="00042730" w:rsidRPr="00042730">
        <w:rPr>
          <w:i/>
        </w:rPr>
        <w:t>“connections that are only required for a period of up to five years”</w:t>
      </w:r>
      <w:r w:rsidR="00042730">
        <w:t xml:space="preserve"> and there are also other scenarios where a customer would not be provided with a credit such as:</w:t>
      </w:r>
    </w:p>
    <w:p w:rsidR="00584D5B" w:rsidRPr="00042730" w:rsidRDefault="00042730" w:rsidP="00584D5B">
      <w:pPr>
        <w:numPr>
          <w:ilvl w:val="0"/>
          <w:numId w:val="40"/>
        </w:numPr>
        <w:spacing w:after="200" w:line="276" w:lineRule="auto"/>
        <w:jc w:val="both"/>
        <w:rPr>
          <w:rFonts w:cs="Arial"/>
          <w:i/>
        </w:rPr>
      </w:pPr>
      <w:r w:rsidRPr="00042730">
        <w:rPr>
          <w:rFonts w:cs="Arial"/>
          <w:i/>
        </w:rPr>
        <w:t>“</w:t>
      </w:r>
      <w:r w:rsidR="00584D5B" w:rsidRPr="00042730">
        <w:rPr>
          <w:rFonts w:cs="Arial"/>
          <w:i/>
        </w:rPr>
        <w:t>the equipment may be scrapped after removal;</w:t>
      </w:r>
    </w:p>
    <w:p w:rsidR="00584D5B" w:rsidRPr="00042730" w:rsidRDefault="00584D5B" w:rsidP="00584D5B">
      <w:pPr>
        <w:numPr>
          <w:ilvl w:val="0"/>
          <w:numId w:val="40"/>
        </w:numPr>
        <w:spacing w:after="200" w:line="276" w:lineRule="auto"/>
        <w:jc w:val="both"/>
        <w:rPr>
          <w:rFonts w:cs="Arial"/>
          <w:i/>
        </w:rPr>
      </w:pPr>
      <w:r w:rsidRPr="00042730">
        <w:rPr>
          <w:rFonts w:cs="Arial"/>
          <w:i/>
        </w:rPr>
        <w:t>the residual value after depreciation, removal costs and refurbishment may not result in a credit; or</w:t>
      </w:r>
    </w:p>
    <w:p w:rsidR="00584D5B" w:rsidRPr="00501384" w:rsidRDefault="00584D5B" w:rsidP="00042730">
      <w:pPr>
        <w:numPr>
          <w:ilvl w:val="0"/>
          <w:numId w:val="40"/>
        </w:numPr>
        <w:spacing w:after="200" w:line="276" w:lineRule="auto"/>
        <w:jc w:val="both"/>
        <w:rPr>
          <w:rFonts w:ascii="Verdana" w:hAnsi="Verdana" w:cs="Arial"/>
          <w:i/>
          <w:sz w:val="20"/>
          <w:szCs w:val="20"/>
        </w:rPr>
      </w:pPr>
      <w:proofErr w:type="gramStart"/>
      <w:r w:rsidRPr="00042730">
        <w:rPr>
          <w:rFonts w:cs="Arial"/>
          <w:i/>
        </w:rPr>
        <w:t>the</w:t>
      </w:r>
      <w:proofErr w:type="gramEnd"/>
      <w:r w:rsidRPr="00042730">
        <w:rPr>
          <w:rFonts w:cs="Arial"/>
          <w:i/>
        </w:rPr>
        <w:t xml:space="preserve"> equipment recovered may not comply with the latest specifications and may not be </w:t>
      </w:r>
      <w:r w:rsidRPr="00501384">
        <w:rPr>
          <w:rFonts w:ascii="Verdana" w:hAnsi="Verdana" w:cs="Arial"/>
          <w:i/>
          <w:sz w:val="20"/>
          <w:szCs w:val="20"/>
        </w:rPr>
        <w:t>reusable</w:t>
      </w:r>
      <w:r w:rsidR="00042730" w:rsidRPr="00501384">
        <w:rPr>
          <w:rFonts w:ascii="Verdana" w:hAnsi="Verdana" w:cs="Arial"/>
          <w:i/>
          <w:sz w:val="20"/>
          <w:szCs w:val="20"/>
        </w:rPr>
        <w:t>”</w:t>
      </w:r>
      <w:r w:rsidRPr="00501384">
        <w:rPr>
          <w:rFonts w:ascii="Verdana" w:hAnsi="Verdana" w:cs="Arial"/>
          <w:i/>
          <w:sz w:val="20"/>
          <w:szCs w:val="20"/>
        </w:rPr>
        <w:t>.</w:t>
      </w:r>
    </w:p>
    <w:p w:rsidR="00501384" w:rsidRPr="00501384" w:rsidRDefault="00501384" w:rsidP="00501384">
      <w:pPr>
        <w:numPr>
          <w:ilvl w:val="0"/>
          <w:numId w:val="40"/>
        </w:numPr>
        <w:spacing w:after="200" w:line="276" w:lineRule="auto"/>
        <w:ind w:left="1701" w:hanging="567"/>
        <w:jc w:val="both"/>
        <w:rPr>
          <w:rFonts w:ascii="Verdana" w:hAnsi="Verdana" w:cs="Arial"/>
          <w:i/>
          <w:sz w:val="20"/>
          <w:szCs w:val="20"/>
        </w:rPr>
      </w:pPr>
      <w:r w:rsidRPr="00501384">
        <w:rPr>
          <w:rFonts w:ascii="Verdana" w:hAnsi="Verdana" w:cs="Arial"/>
          <w:sz w:val="20"/>
          <w:szCs w:val="20"/>
        </w:rPr>
        <w:t>Some Working Group members disagree as there is no drafting which states that a credit will have to be given.</w:t>
      </w:r>
    </w:p>
    <w:p w:rsidR="00584D5B" w:rsidRPr="00022C8C" w:rsidRDefault="008F4533" w:rsidP="00584D5B">
      <w:pPr>
        <w:pStyle w:val="Heading2"/>
        <w:keepNext w:val="0"/>
        <w:numPr>
          <w:ilvl w:val="1"/>
          <w:numId w:val="2"/>
        </w:numPr>
        <w:spacing w:line="360" w:lineRule="auto"/>
        <w:jc w:val="both"/>
        <w:rPr>
          <w:sz w:val="24"/>
          <w:szCs w:val="24"/>
        </w:rPr>
      </w:pPr>
      <w:r w:rsidRPr="00022C8C">
        <w:t>One DNO advised that they agreed with the legal text provided by the DCP 190 C</w:t>
      </w:r>
      <w:r w:rsidR="004A488A">
        <w:t xml:space="preserve">P </w:t>
      </w:r>
      <w:r w:rsidRPr="00022C8C">
        <w:t>but considered that this change would be an appropriate opportunity to improve the ‘Temporary Connection’ d</w:t>
      </w:r>
      <w:r w:rsidR="00224865">
        <w:t>efinition at DCUSA Schedule 22 C</w:t>
      </w:r>
      <w:r w:rsidRPr="00022C8C">
        <w:t>lause 1.19.</w:t>
      </w:r>
      <w:r w:rsidR="00022C8C">
        <w:t xml:space="preserve"> The Working Group were asked to consider clarifying the definition so </w:t>
      </w:r>
      <w:r w:rsidR="00022C8C" w:rsidRPr="00022C8C">
        <w:rPr>
          <w:i/>
        </w:rPr>
        <w:t>“</w:t>
      </w:r>
      <w:r w:rsidR="00584D5B" w:rsidRPr="00022C8C">
        <w:rPr>
          <w:i/>
        </w:rPr>
        <w:t>that this term only refers to connections which are identified as temporary at the time of their provision and do not refer to connections which become redundant under other circumstances, or assets which become subject to removal/replacement on provision of an upgrade, within the 5 year period</w:t>
      </w:r>
      <w:r w:rsidR="00022C8C" w:rsidRPr="00022C8C">
        <w:rPr>
          <w:i/>
        </w:rPr>
        <w:t>”</w:t>
      </w:r>
      <w:r w:rsidR="00584D5B" w:rsidRPr="00022C8C">
        <w:rPr>
          <w:i/>
        </w:rPr>
        <w:t>.</w:t>
      </w:r>
    </w:p>
    <w:p w:rsidR="00022C8C" w:rsidRDefault="00022C8C" w:rsidP="00022C8C">
      <w:pPr>
        <w:pStyle w:val="Heading2"/>
        <w:keepNext w:val="0"/>
        <w:numPr>
          <w:ilvl w:val="1"/>
          <w:numId w:val="2"/>
        </w:numPr>
        <w:spacing w:line="360" w:lineRule="auto"/>
        <w:jc w:val="both"/>
      </w:pPr>
      <w:r>
        <w:t>Furthermore the respondent asks the Working Group to provide clarity on who is entitled to a credit under these provisions and suggests that it is applied in line with the EECR established ‘original contributor’ principles.</w:t>
      </w:r>
    </w:p>
    <w:p w:rsidR="00584D5B" w:rsidRPr="00501384" w:rsidRDefault="00224865" w:rsidP="00501384">
      <w:pPr>
        <w:pStyle w:val="Heading2"/>
        <w:keepNext w:val="0"/>
        <w:numPr>
          <w:ilvl w:val="1"/>
          <w:numId w:val="43"/>
        </w:numPr>
        <w:tabs>
          <w:tab w:val="clear" w:pos="576"/>
          <w:tab w:val="num" w:pos="1134"/>
        </w:tabs>
        <w:spacing w:line="360" w:lineRule="auto"/>
        <w:ind w:left="1134"/>
        <w:jc w:val="both"/>
      </w:pPr>
      <w:r w:rsidRPr="00501384">
        <w:t>The Working Group considered that this comment is worth considering but out of scope of this CP.</w:t>
      </w:r>
    </w:p>
    <w:p w:rsidR="00550201" w:rsidRDefault="00550201" w:rsidP="00550201">
      <w:pPr>
        <w:pStyle w:val="Heading2"/>
        <w:keepNext w:val="0"/>
        <w:numPr>
          <w:ilvl w:val="1"/>
          <w:numId w:val="2"/>
        </w:numPr>
        <w:spacing w:line="360" w:lineRule="auto"/>
        <w:jc w:val="both"/>
      </w:pPr>
      <w:r>
        <w:t>Two DNO respondents considered that the legal text for DCP 190A was inappropriate and one of the respondents requested for the Working Group to consider the question of depreciation of the equipment.</w:t>
      </w:r>
    </w:p>
    <w:p w:rsidR="00042730" w:rsidRDefault="00042730" w:rsidP="00E433AC">
      <w:pPr>
        <w:pStyle w:val="Heading2"/>
        <w:keepNext w:val="0"/>
        <w:numPr>
          <w:ilvl w:val="1"/>
          <w:numId w:val="2"/>
        </w:numPr>
        <w:spacing w:line="360" w:lineRule="auto"/>
        <w:jc w:val="both"/>
      </w:pPr>
      <w:r w:rsidRPr="00E433AC">
        <w:t>The consultant respondent suggested that a de-</w:t>
      </w:r>
      <w:proofErr w:type="spellStart"/>
      <w:r w:rsidRPr="00E433AC">
        <w:t>minimis</w:t>
      </w:r>
      <w:proofErr w:type="spellEnd"/>
      <w:r w:rsidRPr="00E433AC">
        <w:t xml:space="preserve"> level could be set and suggested the wording a </w:t>
      </w:r>
      <w:r w:rsidRPr="00E433AC">
        <w:rPr>
          <w:i/>
        </w:rPr>
        <w:t>“‘de-</w:t>
      </w:r>
      <w:proofErr w:type="spellStart"/>
      <w:r w:rsidRPr="00E433AC">
        <w:rPr>
          <w:i/>
        </w:rPr>
        <w:t>minimis</w:t>
      </w:r>
      <w:proofErr w:type="spellEnd"/>
      <w:r w:rsidRPr="00E433AC">
        <w:rPr>
          <w:i/>
        </w:rPr>
        <w:t>’ level as set by the Panel from time to time</w:t>
      </w:r>
      <w:r w:rsidR="00394F90" w:rsidRPr="00E433AC">
        <w:rPr>
          <w:i/>
        </w:rPr>
        <w:t>”</w:t>
      </w:r>
      <w:r w:rsidRPr="00E433AC">
        <w:t>.</w:t>
      </w:r>
      <w:r w:rsidR="00394F90">
        <w:t xml:space="preserve"> </w:t>
      </w:r>
      <w:r>
        <w:t xml:space="preserve">The respondent suggested that the level could be £1,000 to ensure that </w:t>
      </w:r>
      <w:r w:rsidR="00E433AC">
        <w:t xml:space="preserve">the value of the credit could be sufficiently </w:t>
      </w:r>
      <w:r>
        <w:t xml:space="preserve">of set against the </w:t>
      </w:r>
      <w:r w:rsidR="00E433AC">
        <w:t>administration costs. The consultant further suggested that if the credit is not reimbursed then it should be offset against customer contributions and not DNO profit.</w:t>
      </w:r>
    </w:p>
    <w:p w:rsidR="00224865" w:rsidRPr="006570EE" w:rsidRDefault="000914AA" w:rsidP="00224865">
      <w:pPr>
        <w:pStyle w:val="Heading2"/>
        <w:keepNext w:val="0"/>
        <w:numPr>
          <w:ilvl w:val="1"/>
          <w:numId w:val="41"/>
        </w:numPr>
        <w:tabs>
          <w:tab w:val="clear" w:pos="576"/>
          <w:tab w:val="num" w:pos="1418"/>
        </w:tabs>
        <w:spacing w:line="360" w:lineRule="auto"/>
        <w:ind w:left="1134"/>
        <w:jc w:val="both"/>
      </w:pPr>
      <w:r>
        <w:t>In response t</w:t>
      </w:r>
      <w:r w:rsidR="00224865" w:rsidRPr="006570EE">
        <w:t>he Working Gro</w:t>
      </w:r>
      <w:r w:rsidR="004A488A">
        <w:t xml:space="preserve">up </w:t>
      </w:r>
      <w:r>
        <w:t>advis</w:t>
      </w:r>
      <w:r w:rsidR="005F6544">
        <w:t>e</w:t>
      </w:r>
      <w:r>
        <w:t>d</w:t>
      </w:r>
      <w:r w:rsidR="004A488A">
        <w:t xml:space="preserve"> that any de-</w:t>
      </w:r>
      <w:proofErr w:type="spellStart"/>
      <w:r w:rsidR="004A488A">
        <w:t>minimu</w:t>
      </w:r>
      <w:r w:rsidR="00224865" w:rsidRPr="006570EE">
        <w:t>s</w:t>
      </w:r>
      <w:proofErr w:type="spellEnd"/>
      <w:r w:rsidR="00224865" w:rsidRPr="006570EE">
        <w:t xml:space="preserve"> level would be within the remit of the DNO to set but not the DCUSA Panel. </w:t>
      </w:r>
      <w:r w:rsidR="006570EE" w:rsidRPr="006570EE">
        <w:t>Furthermore, the Working Group considered that £</w:t>
      </w:r>
      <w:r w:rsidR="004A488A">
        <w:t>1000 was too high for a de-</w:t>
      </w:r>
      <w:proofErr w:type="spellStart"/>
      <w:r w:rsidR="004A488A">
        <w:t>minimu</w:t>
      </w:r>
      <w:r w:rsidR="006570EE" w:rsidRPr="006570EE">
        <w:t>s</w:t>
      </w:r>
      <w:proofErr w:type="spellEnd"/>
      <w:r w:rsidR="006570EE" w:rsidRPr="006570EE">
        <w:t xml:space="preserve"> level as small customers may be happy with a £100 refund and large customers with a £1,000 refund.</w:t>
      </w:r>
      <w:bookmarkStart w:id="1" w:name="_GoBack"/>
      <w:bookmarkEnd w:id="1"/>
    </w:p>
    <w:p w:rsidR="00E433AC" w:rsidRDefault="00E433AC" w:rsidP="00E433AC">
      <w:pPr>
        <w:pStyle w:val="Heading2"/>
        <w:keepNext w:val="0"/>
        <w:numPr>
          <w:ilvl w:val="1"/>
          <w:numId w:val="2"/>
        </w:numPr>
        <w:spacing w:line="360" w:lineRule="auto"/>
        <w:jc w:val="both"/>
      </w:pPr>
      <w:r>
        <w:t>The trade association respondent considered the Working Groups concerns in regards to a false expectation of payment and advised that the drafting of the legal text should give equal weight to the provision of credit on equipment up to 5 years and whether it is reusable equipment. The respondent advised that if the conditions of this credit are clearly stated then the customer will not misunderstand.</w:t>
      </w:r>
    </w:p>
    <w:p w:rsidR="00224865" w:rsidRPr="00224865" w:rsidRDefault="00224865" w:rsidP="00224865">
      <w:pPr>
        <w:pStyle w:val="Heading2"/>
        <w:keepNext w:val="0"/>
        <w:numPr>
          <w:ilvl w:val="1"/>
          <w:numId w:val="42"/>
        </w:numPr>
        <w:tabs>
          <w:tab w:val="clear" w:pos="576"/>
          <w:tab w:val="num" w:pos="1134"/>
        </w:tabs>
        <w:spacing w:line="360" w:lineRule="auto"/>
        <w:ind w:left="1134"/>
        <w:jc w:val="both"/>
      </w:pPr>
      <w:r w:rsidRPr="00224865">
        <w:t>The Working Group consider</w:t>
      </w:r>
      <w:r>
        <w:t>ed</w:t>
      </w:r>
      <w:r w:rsidRPr="00224865">
        <w:t xml:space="preserve"> that adding any age restriction of the equipment would be detrimental.</w:t>
      </w:r>
      <w:r>
        <w:t xml:space="preserve"> </w:t>
      </w:r>
      <w:r w:rsidRPr="00224865">
        <w:t>The temporary connection would be up to 5 y</w:t>
      </w:r>
      <w:r w:rsidR="00501384">
        <w:t>ea</w:t>
      </w:r>
      <w:r w:rsidRPr="00224865">
        <w:t>rs old but there should be nothing in the CCCM limiting the age of equipment. It would be inappropriate if a DNO was not permitted to make a refund payment where the connection was five years old but the equipment is six years old.</w:t>
      </w:r>
    </w:p>
    <w:p w:rsidR="00622C1D" w:rsidRPr="00622C1D" w:rsidRDefault="00013CA0" w:rsidP="00622C1D">
      <w:pPr>
        <w:pStyle w:val="Heading2"/>
        <w:keepNext w:val="0"/>
        <w:widowControl w:val="0"/>
        <w:tabs>
          <w:tab w:val="clear" w:pos="360"/>
        </w:tabs>
        <w:spacing w:line="360" w:lineRule="auto"/>
        <w:ind w:left="142" w:firstLine="0"/>
        <w:jc w:val="both"/>
        <w:rPr>
          <w:b/>
          <w:u w:val="single"/>
        </w:rPr>
      </w:pPr>
      <w:r>
        <w:rPr>
          <w:b/>
          <w:u w:val="single"/>
        </w:rPr>
        <w:t>Question 7</w:t>
      </w:r>
      <w:r w:rsidR="00B94484">
        <w:rPr>
          <w:b/>
          <w:u w:val="single"/>
        </w:rPr>
        <w:t xml:space="preserve">: </w:t>
      </w:r>
      <w:r w:rsidR="00622C1D" w:rsidRPr="00622C1D">
        <w:rPr>
          <w:b/>
          <w:u w:val="single"/>
        </w:rPr>
        <w:t>Do you consider that the proposals (DCP 190 &amp; DCP 190A) better facilitates the DCUSA General objectives? Please give supporting reasons.</w:t>
      </w:r>
    </w:p>
    <w:p w:rsidR="00226DB2" w:rsidRPr="00226DB2" w:rsidRDefault="00226DB2" w:rsidP="00226DB2">
      <w:pPr>
        <w:pStyle w:val="Heading2"/>
        <w:keepNext w:val="0"/>
        <w:widowControl w:val="0"/>
        <w:numPr>
          <w:ilvl w:val="0"/>
          <w:numId w:val="23"/>
        </w:numPr>
        <w:jc w:val="both"/>
        <w:rPr>
          <w:b/>
          <w:u w:val="single"/>
        </w:rPr>
      </w:pPr>
      <w:proofErr w:type="gramStart"/>
      <w:r w:rsidRPr="00226DB2">
        <w:rPr>
          <w:b/>
          <w:u w:val="single"/>
        </w:rPr>
        <w:t>The development, maintenance and operation by each of the DNO Parties and IDNO Parties of an efficient, co-ordinated, and economical Distribution System.</w:t>
      </w:r>
      <w:proofErr w:type="gramEnd"/>
    </w:p>
    <w:p w:rsidR="00226DB2" w:rsidRPr="00226DB2" w:rsidRDefault="00226DB2" w:rsidP="00226DB2">
      <w:pPr>
        <w:pStyle w:val="Heading2"/>
        <w:keepNext w:val="0"/>
        <w:widowControl w:val="0"/>
        <w:numPr>
          <w:ilvl w:val="0"/>
          <w:numId w:val="23"/>
        </w:numPr>
        <w:jc w:val="both"/>
        <w:rPr>
          <w:b/>
          <w:u w:val="single"/>
        </w:rPr>
      </w:pPr>
      <w:r w:rsidRPr="00226DB2">
        <w:rPr>
          <w:b/>
          <w:u w:val="single"/>
        </w:rPr>
        <w:t xml:space="preserve">The facilitation of effective competition in the generation and supply of electricity and (so far as is consistent with that) the promotion of such competition in the sale, distribution and purchase of electricity. </w:t>
      </w:r>
    </w:p>
    <w:p w:rsidR="00226DB2" w:rsidRPr="00226DB2" w:rsidRDefault="00226DB2" w:rsidP="00226DB2">
      <w:pPr>
        <w:pStyle w:val="Heading2"/>
        <w:keepNext w:val="0"/>
        <w:widowControl w:val="0"/>
        <w:numPr>
          <w:ilvl w:val="0"/>
          <w:numId w:val="23"/>
        </w:numPr>
        <w:jc w:val="both"/>
        <w:rPr>
          <w:b/>
          <w:u w:val="single"/>
        </w:rPr>
      </w:pPr>
      <w:r w:rsidRPr="00226DB2">
        <w:rPr>
          <w:b/>
          <w:u w:val="single"/>
        </w:rPr>
        <w:t>The efficient discharge by each of the DNO Parties and IDNO Parties of the obligations imposed upon them by their Distribution Licences.</w:t>
      </w:r>
    </w:p>
    <w:p w:rsidR="00226DB2" w:rsidRPr="00226DB2" w:rsidRDefault="00226DB2" w:rsidP="00226DB2">
      <w:pPr>
        <w:pStyle w:val="Heading2"/>
        <w:keepNext w:val="0"/>
        <w:widowControl w:val="0"/>
        <w:numPr>
          <w:ilvl w:val="0"/>
          <w:numId w:val="23"/>
        </w:numPr>
        <w:jc w:val="both"/>
        <w:rPr>
          <w:b/>
          <w:u w:val="single"/>
        </w:rPr>
      </w:pPr>
      <w:proofErr w:type="gramStart"/>
      <w:r w:rsidRPr="00226DB2">
        <w:rPr>
          <w:b/>
          <w:u w:val="single"/>
        </w:rPr>
        <w:t>The promotion of efficiency in the implementation and administration of this Agreement</w:t>
      </w:r>
      <w:r>
        <w:rPr>
          <w:b/>
          <w:u w:val="single"/>
        </w:rPr>
        <w:t xml:space="preserve"> and the arrangements under it.</w:t>
      </w:r>
      <w:proofErr w:type="gramEnd"/>
    </w:p>
    <w:p w:rsidR="00C7746A" w:rsidRDefault="002847BE" w:rsidP="00774DAF">
      <w:pPr>
        <w:pStyle w:val="Heading2"/>
        <w:keepNext w:val="0"/>
        <w:widowControl w:val="0"/>
        <w:numPr>
          <w:ilvl w:val="0"/>
          <w:numId w:val="23"/>
        </w:numPr>
        <w:jc w:val="both"/>
        <w:rPr>
          <w:b/>
          <w:u w:val="single"/>
        </w:rPr>
      </w:pPr>
      <w:r>
        <w:rPr>
          <w:b/>
          <w:u w:val="single"/>
        </w:rPr>
        <w:t>C</w:t>
      </w:r>
      <w:r w:rsidR="00226DB2" w:rsidRPr="00226DB2">
        <w:rPr>
          <w:b/>
          <w:u w:val="single"/>
        </w:rPr>
        <w:t>ompliance with the Regulation on Cross-Border Exchange in Electricity and any relevant legally binding decisions of the European Commission and/or the Agency for the Co-operation of Energy Regulators.</w:t>
      </w:r>
    </w:p>
    <w:p w:rsidR="00B46142" w:rsidRPr="00B46142" w:rsidRDefault="00B46142" w:rsidP="00774DAF">
      <w:pPr>
        <w:pStyle w:val="Heading2"/>
        <w:keepNext w:val="0"/>
        <w:numPr>
          <w:ilvl w:val="1"/>
          <w:numId w:val="2"/>
        </w:numPr>
        <w:spacing w:line="360" w:lineRule="auto"/>
        <w:jc w:val="both"/>
        <w:rPr>
          <w:bCs w:val="0"/>
          <w:iCs w:val="0"/>
        </w:rPr>
      </w:pPr>
      <w:r>
        <w:t xml:space="preserve">Two DNOs considered that </w:t>
      </w:r>
      <w:r w:rsidR="000B37B0">
        <w:t xml:space="preserve">DCUSA General </w:t>
      </w:r>
      <w:r>
        <w:t>Objective one was better facili</w:t>
      </w:r>
      <w:r w:rsidR="000B37B0">
        <w:t>tated, One DNO considered that O</w:t>
      </w:r>
      <w:r>
        <w:t xml:space="preserve">bjective two was better facilitated and another DNO considered that </w:t>
      </w:r>
      <w:r w:rsidR="000B37B0">
        <w:t>O</w:t>
      </w:r>
      <w:r>
        <w:t>bjective three was better facilitated</w:t>
      </w:r>
      <w:r w:rsidR="000B37B0">
        <w:t>.</w:t>
      </w:r>
    </w:p>
    <w:p w:rsidR="00A70FFC" w:rsidRDefault="00562C2E" w:rsidP="00562C2E">
      <w:pPr>
        <w:pStyle w:val="Heading2"/>
        <w:keepNext w:val="0"/>
        <w:numPr>
          <w:ilvl w:val="1"/>
          <w:numId w:val="2"/>
        </w:numPr>
        <w:spacing w:line="360" w:lineRule="auto"/>
        <w:jc w:val="both"/>
      </w:pPr>
      <w:r>
        <w:t xml:space="preserve">One consultant respondent did not identify which DCUSA </w:t>
      </w:r>
      <w:r w:rsidR="000B37B0">
        <w:t xml:space="preserve">General </w:t>
      </w:r>
      <w:r>
        <w:t xml:space="preserve">Objective was better facilitated but stated that the change </w:t>
      </w:r>
      <w:r w:rsidRPr="000B37B0">
        <w:t>“</w:t>
      </w:r>
      <w:r w:rsidRPr="000B37B0">
        <w:rPr>
          <w:i/>
        </w:rPr>
        <w:t>allows for better cost reflectivity of the temporary supplies”</w:t>
      </w:r>
      <w:r w:rsidRPr="00562C2E">
        <w:t>.</w:t>
      </w:r>
      <w:r>
        <w:t xml:space="preserve"> One DNO respondent considered that th</w:t>
      </w:r>
      <w:r w:rsidR="000B37B0">
        <w:t>is change</w:t>
      </w:r>
      <w:r>
        <w:t xml:space="preserve"> was neut</w:t>
      </w:r>
      <w:r w:rsidR="000B37B0">
        <w:t>r</w:t>
      </w:r>
      <w:r>
        <w:t xml:space="preserve">al on the </w:t>
      </w:r>
      <w:r w:rsidR="000B37B0">
        <w:t>DCUSA General O</w:t>
      </w:r>
      <w:r>
        <w:t>bjectives</w:t>
      </w:r>
      <w:r w:rsidR="000B37B0">
        <w:t xml:space="preserve">. </w:t>
      </w:r>
    </w:p>
    <w:p w:rsidR="00562C2E" w:rsidRDefault="000B37B0" w:rsidP="00562C2E">
      <w:pPr>
        <w:pStyle w:val="Heading2"/>
        <w:keepNext w:val="0"/>
        <w:numPr>
          <w:ilvl w:val="1"/>
          <w:numId w:val="2"/>
        </w:numPr>
        <w:spacing w:line="360" w:lineRule="auto"/>
        <w:jc w:val="both"/>
      </w:pPr>
      <w:r>
        <w:t xml:space="preserve">Another DNO respondent specifically considered that the DCP 190A CP did not better facilitate DCUSA General Objective one </w:t>
      </w:r>
      <w:r w:rsidRPr="000B37B0">
        <w:t xml:space="preserve">as </w:t>
      </w:r>
      <w:r w:rsidRPr="000B37B0">
        <w:rPr>
          <w:i/>
        </w:rPr>
        <w:t>“the use of the term “will” could imply that a credit will be provided in all cases and this does not provide an appropriate economic signal</w:t>
      </w:r>
      <w:r>
        <w:t>”</w:t>
      </w:r>
      <w:r w:rsidRPr="000B37B0">
        <w:t>.</w:t>
      </w:r>
    </w:p>
    <w:p w:rsidR="000B37B0" w:rsidRPr="000B37B0" w:rsidRDefault="000B37B0" w:rsidP="000B37B0">
      <w:pPr>
        <w:pStyle w:val="Heading2"/>
        <w:keepNext w:val="0"/>
        <w:numPr>
          <w:ilvl w:val="1"/>
          <w:numId w:val="45"/>
        </w:numPr>
        <w:tabs>
          <w:tab w:val="clear" w:pos="576"/>
          <w:tab w:val="num" w:pos="1276"/>
        </w:tabs>
        <w:spacing w:line="360" w:lineRule="auto"/>
        <w:ind w:left="1276" w:hanging="709"/>
        <w:jc w:val="both"/>
      </w:pPr>
      <w:r w:rsidRPr="000B37B0">
        <w:t>Some Working Group members disagree</w:t>
      </w:r>
      <w:r w:rsidR="00A70FFC">
        <w:t>d</w:t>
      </w:r>
      <w:r w:rsidRPr="000B37B0">
        <w:t xml:space="preserve"> as there is no drafting which states that a credit will have to be given</w:t>
      </w:r>
      <w:r>
        <w:t>.</w:t>
      </w:r>
    </w:p>
    <w:p w:rsidR="00622C1D" w:rsidRPr="00622C1D" w:rsidRDefault="00C7746A" w:rsidP="00622C1D">
      <w:pPr>
        <w:pStyle w:val="Heading2"/>
        <w:keepNext w:val="0"/>
        <w:numPr>
          <w:ilvl w:val="1"/>
          <w:numId w:val="2"/>
        </w:numPr>
        <w:tabs>
          <w:tab w:val="clear" w:pos="576"/>
          <w:tab w:val="num" w:pos="1134"/>
        </w:tabs>
        <w:spacing w:line="360" w:lineRule="auto"/>
        <w:jc w:val="both"/>
      </w:pPr>
      <w:r w:rsidRPr="000B37B0">
        <w:t xml:space="preserve">The Working Group considered that </w:t>
      </w:r>
      <w:r w:rsidR="000B37B0" w:rsidRPr="000B37B0">
        <w:t xml:space="preserve">DCUSA General </w:t>
      </w:r>
      <w:r w:rsidRPr="000B37B0">
        <w:t>Objective three was better facilitated by the CP.</w:t>
      </w:r>
      <w:r w:rsidR="00694897" w:rsidRPr="00694897">
        <w:t xml:space="preserve"> </w:t>
      </w:r>
      <w:r w:rsidR="00694897">
        <w:t xml:space="preserve">The reasoning for this view is explained </w:t>
      </w:r>
      <w:r w:rsidR="00694897" w:rsidRPr="00774DAF">
        <w:t xml:space="preserve">in </w:t>
      </w:r>
      <w:r w:rsidR="00694897" w:rsidRPr="004A488A">
        <w:t>section</w:t>
      </w:r>
      <w:r w:rsidR="00694897" w:rsidRPr="004A488A">
        <w:rPr>
          <w:highlight w:val="yellow"/>
        </w:rPr>
        <w:t xml:space="preserve"> </w:t>
      </w:r>
      <w:r w:rsidR="004A488A" w:rsidRPr="004A488A">
        <w:rPr>
          <w:highlight w:val="yellow"/>
        </w:rPr>
        <w:t>nine</w:t>
      </w:r>
      <w:r w:rsidR="00694897" w:rsidRPr="00774DAF">
        <w:t xml:space="preserve"> of this Change</w:t>
      </w:r>
      <w:r w:rsidR="00694897">
        <w:t xml:space="preserve"> Report.</w:t>
      </w:r>
      <w:r w:rsidR="005D7372" w:rsidRPr="000B37B0">
        <w:t xml:space="preserve"> </w:t>
      </w:r>
    </w:p>
    <w:p w:rsidR="00622C1D" w:rsidRPr="00622C1D" w:rsidRDefault="00013CA0" w:rsidP="00622C1D">
      <w:pPr>
        <w:keepNext/>
        <w:widowControl w:val="0"/>
        <w:spacing w:before="240" w:after="60" w:line="360" w:lineRule="auto"/>
        <w:jc w:val="both"/>
        <w:rPr>
          <w:rFonts w:ascii="Verdana" w:hAnsi="Verdana"/>
          <w:b/>
          <w:sz w:val="20"/>
          <w:szCs w:val="20"/>
          <w:u w:val="single"/>
        </w:rPr>
      </w:pPr>
      <w:r>
        <w:rPr>
          <w:rFonts w:ascii="Verdana" w:hAnsi="Verdana"/>
          <w:b/>
          <w:sz w:val="20"/>
          <w:szCs w:val="20"/>
          <w:u w:val="single"/>
        </w:rPr>
        <w:t>Question 8</w:t>
      </w:r>
      <w:r w:rsidR="007640E7" w:rsidRPr="002A1A5B">
        <w:rPr>
          <w:rFonts w:ascii="Verdana" w:hAnsi="Verdana"/>
          <w:b/>
          <w:sz w:val="20"/>
          <w:szCs w:val="20"/>
          <w:u w:val="single"/>
        </w:rPr>
        <w:t xml:space="preserve">: </w:t>
      </w:r>
      <w:r w:rsidR="00622C1D" w:rsidRPr="00622C1D">
        <w:rPr>
          <w:rFonts w:ascii="Verdana" w:hAnsi="Verdana"/>
          <w:b/>
          <w:sz w:val="20"/>
          <w:szCs w:val="20"/>
          <w:u w:val="single"/>
        </w:rPr>
        <w:t>Do you consider that the proposals (DCP 190 &amp; DCP 190A) better facilitates the DCUSA Charging objectives? Please give supporting reasons.</w:t>
      </w:r>
    </w:p>
    <w:p w:rsidR="00013CA0" w:rsidRPr="00013CA0" w:rsidRDefault="00013CA0" w:rsidP="00013CA0">
      <w:pPr>
        <w:numPr>
          <w:ilvl w:val="0"/>
          <w:numId w:val="39"/>
        </w:numPr>
        <w:jc w:val="both"/>
        <w:rPr>
          <w:rFonts w:ascii="Verdana" w:hAnsi="Verdana"/>
          <w:b/>
          <w:sz w:val="20"/>
          <w:szCs w:val="20"/>
        </w:rPr>
      </w:pPr>
      <w:r w:rsidRPr="00013CA0">
        <w:rPr>
          <w:rFonts w:ascii="Verdana" w:hAnsi="Verdana"/>
          <w:b/>
          <w:sz w:val="20"/>
          <w:szCs w:val="20"/>
        </w:rPr>
        <w:t>That compliance by each DNO Party with the Charging Methodologies facilitates the discharge by the DNO Party of the obligations imposed on it under the Act and by its Distribution Licence</w:t>
      </w:r>
    </w:p>
    <w:p w:rsidR="00013CA0" w:rsidRPr="00013CA0" w:rsidRDefault="00013CA0" w:rsidP="00013CA0">
      <w:pPr>
        <w:ind w:left="720"/>
        <w:jc w:val="both"/>
        <w:rPr>
          <w:rFonts w:ascii="Verdana" w:hAnsi="Verdana"/>
          <w:b/>
          <w:sz w:val="20"/>
          <w:szCs w:val="20"/>
        </w:rPr>
      </w:pPr>
    </w:p>
    <w:p w:rsidR="00013CA0" w:rsidRPr="00013CA0" w:rsidRDefault="00013CA0" w:rsidP="00013CA0">
      <w:pPr>
        <w:numPr>
          <w:ilvl w:val="0"/>
          <w:numId w:val="39"/>
        </w:numPr>
        <w:jc w:val="both"/>
        <w:rPr>
          <w:rFonts w:ascii="Verdana" w:hAnsi="Verdana"/>
          <w:b/>
          <w:sz w:val="20"/>
          <w:szCs w:val="20"/>
        </w:rPr>
      </w:pPr>
      <w:r w:rsidRPr="00013CA0">
        <w:rPr>
          <w:rFonts w:ascii="Verdana" w:hAnsi="Verdana"/>
          <w:b/>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013CA0" w:rsidRPr="00013CA0" w:rsidRDefault="00013CA0" w:rsidP="00013CA0">
      <w:pPr>
        <w:ind w:left="720"/>
        <w:jc w:val="both"/>
        <w:rPr>
          <w:rFonts w:ascii="Verdana" w:hAnsi="Verdana"/>
          <w:b/>
          <w:sz w:val="20"/>
          <w:szCs w:val="20"/>
        </w:rPr>
      </w:pPr>
    </w:p>
    <w:p w:rsidR="00013CA0" w:rsidRPr="00013CA0" w:rsidRDefault="00013CA0" w:rsidP="00013CA0">
      <w:pPr>
        <w:numPr>
          <w:ilvl w:val="0"/>
          <w:numId w:val="39"/>
        </w:numPr>
        <w:jc w:val="both"/>
        <w:rPr>
          <w:rFonts w:ascii="Verdana" w:hAnsi="Verdana"/>
          <w:b/>
          <w:sz w:val="20"/>
          <w:szCs w:val="20"/>
        </w:rPr>
      </w:pPr>
      <w:r w:rsidRPr="00013CA0">
        <w:rPr>
          <w:rFonts w:ascii="Verdana" w:hAnsi="Verdana"/>
          <w:b/>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013CA0" w:rsidRPr="00013CA0" w:rsidRDefault="00013CA0" w:rsidP="00013CA0">
      <w:pPr>
        <w:ind w:left="720"/>
        <w:jc w:val="both"/>
        <w:rPr>
          <w:rFonts w:ascii="Verdana" w:hAnsi="Verdana"/>
          <w:b/>
          <w:sz w:val="20"/>
          <w:szCs w:val="20"/>
        </w:rPr>
      </w:pPr>
    </w:p>
    <w:p w:rsidR="00013CA0" w:rsidRPr="00013CA0" w:rsidRDefault="00013CA0" w:rsidP="00013CA0">
      <w:pPr>
        <w:numPr>
          <w:ilvl w:val="0"/>
          <w:numId w:val="39"/>
        </w:numPr>
        <w:jc w:val="both"/>
        <w:rPr>
          <w:rFonts w:ascii="Verdana" w:hAnsi="Verdana"/>
          <w:b/>
          <w:sz w:val="20"/>
          <w:szCs w:val="20"/>
        </w:rPr>
      </w:pPr>
      <w:r w:rsidRPr="00013CA0">
        <w:rPr>
          <w:rFonts w:ascii="Verdana" w:hAnsi="Verdana"/>
          <w:b/>
          <w:sz w:val="20"/>
          <w:szCs w:val="20"/>
        </w:rPr>
        <w:t>That, so far as is consistent with Clauses 3.2.1 to 3.2.3, the Charging Methodologies, so far as is reasonably practicable, properly take account of developments in each DNO Party’s Distribution Business</w:t>
      </w:r>
    </w:p>
    <w:p w:rsidR="00013CA0" w:rsidRPr="0072288F" w:rsidRDefault="00013CA0" w:rsidP="00013CA0">
      <w:pPr>
        <w:ind w:left="720"/>
        <w:jc w:val="both"/>
        <w:rPr>
          <w:rFonts w:ascii="Verdana" w:hAnsi="Verdana"/>
          <w:sz w:val="20"/>
          <w:szCs w:val="20"/>
        </w:rPr>
      </w:pPr>
    </w:p>
    <w:p w:rsidR="00622C1D" w:rsidRDefault="00013CA0" w:rsidP="00013CA0">
      <w:pPr>
        <w:numPr>
          <w:ilvl w:val="0"/>
          <w:numId w:val="39"/>
        </w:numPr>
        <w:jc w:val="both"/>
        <w:rPr>
          <w:rFonts w:ascii="Verdana" w:hAnsi="Verdana"/>
          <w:b/>
          <w:sz w:val="20"/>
          <w:szCs w:val="20"/>
        </w:rPr>
      </w:pPr>
      <w:r w:rsidRPr="00013CA0">
        <w:rPr>
          <w:rFonts w:ascii="Verdana" w:hAnsi="Verdana"/>
          <w:b/>
          <w:sz w:val="20"/>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2847BE" w:rsidRDefault="002847BE" w:rsidP="002847BE">
      <w:pPr>
        <w:pStyle w:val="ListParagraph"/>
        <w:rPr>
          <w:rFonts w:ascii="Verdana" w:hAnsi="Verdana"/>
          <w:b/>
          <w:sz w:val="20"/>
          <w:szCs w:val="20"/>
        </w:rPr>
      </w:pPr>
    </w:p>
    <w:p w:rsidR="002847BE" w:rsidRDefault="0060344E" w:rsidP="00C2760A">
      <w:pPr>
        <w:pStyle w:val="Heading2"/>
        <w:keepNext w:val="0"/>
        <w:numPr>
          <w:ilvl w:val="1"/>
          <w:numId w:val="2"/>
        </w:numPr>
        <w:tabs>
          <w:tab w:val="clear" w:pos="576"/>
          <w:tab w:val="num" w:pos="1134"/>
        </w:tabs>
        <w:spacing w:line="360" w:lineRule="auto"/>
        <w:jc w:val="both"/>
      </w:pPr>
      <w:r>
        <w:t>Five</w:t>
      </w:r>
      <w:r w:rsidR="00C2760A" w:rsidRPr="00C2760A">
        <w:t xml:space="preserve"> DNO</w:t>
      </w:r>
      <w:r w:rsidR="00C2760A">
        <w:t xml:space="preserve"> respondent</w:t>
      </w:r>
      <w:r>
        <w:t xml:space="preserve">s considered that this change better facilitates DCUSA </w:t>
      </w:r>
      <w:r w:rsidRPr="008737B9">
        <w:t xml:space="preserve">Objective One </w:t>
      </w:r>
      <w:r w:rsidR="008737B9" w:rsidRPr="008737B9">
        <w:t xml:space="preserve">with three respondents agreeing with the Working Group analysis set out in the consultation. The remaining </w:t>
      </w:r>
      <w:r w:rsidR="00975598">
        <w:t xml:space="preserve">two </w:t>
      </w:r>
      <w:r w:rsidR="008737B9" w:rsidRPr="008737B9">
        <w:t>respondents</w:t>
      </w:r>
      <w:r w:rsidRPr="008737B9">
        <w:t xml:space="preserve"> provided the following reasons:</w:t>
      </w:r>
    </w:p>
    <w:p w:rsidR="008737B9" w:rsidRPr="00975598" w:rsidRDefault="00975598" w:rsidP="008737B9">
      <w:pPr>
        <w:pStyle w:val="Heading2"/>
        <w:keepNext w:val="0"/>
        <w:numPr>
          <w:ilvl w:val="1"/>
          <w:numId w:val="46"/>
        </w:numPr>
        <w:tabs>
          <w:tab w:val="clear" w:pos="576"/>
          <w:tab w:val="num" w:pos="1134"/>
        </w:tabs>
        <w:spacing w:line="360" w:lineRule="auto"/>
        <w:ind w:left="1134" w:hanging="567"/>
        <w:jc w:val="both"/>
        <w:rPr>
          <w:i/>
        </w:rPr>
      </w:pPr>
      <w:r w:rsidRPr="00975598">
        <w:rPr>
          <w:i/>
        </w:rPr>
        <w:t>“</w:t>
      </w:r>
      <w:proofErr w:type="gramStart"/>
      <w:r w:rsidR="004A488A">
        <w:rPr>
          <w:i/>
        </w:rPr>
        <w:t>as</w:t>
      </w:r>
      <w:proofErr w:type="gramEnd"/>
      <w:r w:rsidR="004A488A">
        <w:rPr>
          <w:i/>
        </w:rPr>
        <w:t xml:space="preserve"> a</w:t>
      </w:r>
      <w:r w:rsidR="008737B9" w:rsidRPr="00975598">
        <w:rPr>
          <w:i/>
        </w:rPr>
        <w:t xml:space="preserve"> current practice exists where some DNOs offer a credit for the value of any equipment recovered by DNOs that can subsequently be reused.</w:t>
      </w:r>
      <w:r w:rsidR="004A488A">
        <w:rPr>
          <w:i/>
        </w:rPr>
        <w:t xml:space="preserve"> This change ensures that this </w:t>
      </w:r>
      <w:r w:rsidR="008737B9" w:rsidRPr="00975598">
        <w:rPr>
          <w:i/>
        </w:rPr>
        <w:t xml:space="preserve">practice </w:t>
      </w:r>
      <w:r w:rsidR="004A488A">
        <w:rPr>
          <w:i/>
        </w:rPr>
        <w:t xml:space="preserve">is </w:t>
      </w:r>
      <w:r w:rsidR="008737B9" w:rsidRPr="00975598">
        <w:rPr>
          <w:i/>
        </w:rPr>
        <w:t>in compliance with the charging methodology within the meaning of standard condition 13</w:t>
      </w:r>
      <w:r w:rsidRPr="00975598">
        <w:rPr>
          <w:i/>
        </w:rPr>
        <w:t>”</w:t>
      </w:r>
      <w:r w:rsidR="008737B9" w:rsidRPr="00975598">
        <w:rPr>
          <w:i/>
        </w:rPr>
        <w:t xml:space="preserve">.  </w:t>
      </w:r>
    </w:p>
    <w:p w:rsidR="008737B9" w:rsidRPr="00975598" w:rsidRDefault="00975598" w:rsidP="008737B9">
      <w:pPr>
        <w:pStyle w:val="Heading2"/>
        <w:keepNext w:val="0"/>
        <w:numPr>
          <w:ilvl w:val="1"/>
          <w:numId w:val="46"/>
        </w:numPr>
        <w:tabs>
          <w:tab w:val="clear" w:pos="576"/>
          <w:tab w:val="num" w:pos="1134"/>
        </w:tabs>
        <w:spacing w:line="360" w:lineRule="auto"/>
        <w:ind w:left="1134" w:hanging="567"/>
        <w:jc w:val="both"/>
        <w:rPr>
          <w:i/>
        </w:rPr>
      </w:pPr>
      <w:r w:rsidRPr="00975598">
        <w:rPr>
          <w:i/>
        </w:rPr>
        <w:t>“</w:t>
      </w:r>
      <w:proofErr w:type="gramStart"/>
      <w:r w:rsidR="008737B9" w:rsidRPr="00975598">
        <w:rPr>
          <w:i/>
        </w:rPr>
        <w:t>as</w:t>
      </w:r>
      <w:proofErr w:type="gramEnd"/>
      <w:r w:rsidR="008737B9" w:rsidRPr="00975598">
        <w:rPr>
          <w:i/>
        </w:rPr>
        <w:t xml:space="preserve"> this will improved clarity within the common connection charging methodology and will help ensure a more consistent application of relevant licence conditions (SLC13, SLC14)</w:t>
      </w:r>
      <w:r w:rsidRPr="00975598">
        <w:rPr>
          <w:i/>
        </w:rPr>
        <w:t>”</w:t>
      </w:r>
      <w:r w:rsidR="008737B9" w:rsidRPr="00975598">
        <w:rPr>
          <w:i/>
        </w:rPr>
        <w:t>.</w:t>
      </w:r>
    </w:p>
    <w:p w:rsidR="0060344E" w:rsidRDefault="0060344E" w:rsidP="0060344E">
      <w:pPr>
        <w:pStyle w:val="Heading2"/>
        <w:keepNext w:val="0"/>
        <w:numPr>
          <w:ilvl w:val="1"/>
          <w:numId w:val="2"/>
        </w:numPr>
        <w:tabs>
          <w:tab w:val="clear" w:pos="576"/>
          <w:tab w:val="num" w:pos="1134"/>
        </w:tabs>
        <w:spacing w:line="360" w:lineRule="auto"/>
        <w:jc w:val="both"/>
      </w:pPr>
      <w:r>
        <w:t>Six</w:t>
      </w:r>
      <w:r w:rsidRPr="00C2760A">
        <w:t xml:space="preserve"> DNO</w:t>
      </w:r>
      <w:r>
        <w:t xml:space="preserve"> respondents considered that this change better facilitates DCUSA Objective T</w:t>
      </w:r>
      <w:r w:rsidR="008737B9">
        <w:t>hree</w:t>
      </w:r>
      <w:r w:rsidR="00975598">
        <w:t xml:space="preserve"> </w:t>
      </w:r>
      <w:r w:rsidR="00975598" w:rsidRPr="008737B9">
        <w:t>with three respondents agreeing with the Working Group analysis set out in the consultation</w:t>
      </w:r>
      <w:r w:rsidR="00975598">
        <w:t>. The remaining three respondents</w:t>
      </w:r>
      <w:r>
        <w:t xml:space="preserve"> provided </w:t>
      </w:r>
      <w:r w:rsidRPr="00975598">
        <w:t>the following reasons:</w:t>
      </w:r>
    </w:p>
    <w:p w:rsidR="008737B9" w:rsidRPr="00975598" w:rsidRDefault="00975598" w:rsidP="00975598">
      <w:pPr>
        <w:pStyle w:val="Heading2"/>
        <w:keepNext w:val="0"/>
        <w:numPr>
          <w:ilvl w:val="1"/>
          <w:numId w:val="46"/>
        </w:numPr>
        <w:tabs>
          <w:tab w:val="clear" w:pos="576"/>
          <w:tab w:val="num" w:pos="1134"/>
        </w:tabs>
        <w:spacing w:line="360" w:lineRule="auto"/>
        <w:ind w:left="1134" w:hanging="567"/>
        <w:jc w:val="both"/>
        <w:rPr>
          <w:i/>
        </w:rPr>
      </w:pPr>
      <w:r w:rsidRPr="00975598">
        <w:rPr>
          <w:i/>
        </w:rPr>
        <w:t>“</w:t>
      </w:r>
      <w:proofErr w:type="gramStart"/>
      <w:r w:rsidR="008737B9" w:rsidRPr="00975598">
        <w:rPr>
          <w:i/>
        </w:rPr>
        <w:t>is</w:t>
      </w:r>
      <w:proofErr w:type="gramEnd"/>
      <w:r w:rsidR="008737B9" w:rsidRPr="00975598">
        <w:rPr>
          <w:i/>
        </w:rPr>
        <w:t xml:space="preserve"> better facilitated by this change as by providing the Customer with a credit for the reusable equipment it better reflects the cost of the connection</w:t>
      </w:r>
      <w:r w:rsidRPr="00975598">
        <w:rPr>
          <w:i/>
        </w:rPr>
        <w:t>”</w:t>
      </w:r>
      <w:r w:rsidR="008737B9" w:rsidRPr="00975598">
        <w:rPr>
          <w:i/>
        </w:rPr>
        <w:t>.</w:t>
      </w:r>
    </w:p>
    <w:p w:rsidR="008737B9" w:rsidRDefault="00975598" w:rsidP="00975598">
      <w:pPr>
        <w:pStyle w:val="Heading2"/>
        <w:keepNext w:val="0"/>
        <w:numPr>
          <w:ilvl w:val="1"/>
          <w:numId w:val="46"/>
        </w:numPr>
        <w:tabs>
          <w:tab w:val="clear" w:pos="576"/>
          <w:tab w:val="num" w:pos="1134"/>
        </w:tabs>
        <w:spacing w:line="360" w:lineRule="auto"/>
        <w:ind w:left="1134" w:hanging="567"/>
        <w:jc w:val="both"/>
      </w:pPr>
      <w:r w:rsidRPr="00975598">
        <w:rPr>
          <w:i/>
        </w:rPr>
        <w:t>“</w:t>
      </w:r>
      <w:proofErr w:type="gramStart"/>
      <w:r w:rsidR="008737B9" w:rsidRPr="00975598">
        <w:rPr>
          <w:i/>
        </w:rPr>
        <w:t>as</w:t>
      </w:r>
      <w:proofErr w:type="gramEnd"/>
      <w:r w:rsidR="008737B9" w:rsidRPr="00975598">
        <w:rPr>
          <w:i/>
        </w:rPr>
        <w:t xml:space="preserve"> this will more accurately reflect the costs incurred by the business by providing the Customer with a credit for the reusable equipment, in certain circumstances, which better reflects the cost of the connection</w:t>
      </w:r>
      <w:r w:rsidRPr="00975598">
        <w:rPr>
          <w:i/>
        </w:rPr>
        <w:t>”</w:t>
      </w:r>
      <w:r w:rsidR="008737B9" w:rsidRPr="00975598">
        <w:t>.</w:t>
      </w:r>
    </w:p>
    <w:p w:rsidR="008737B9" w:rsidRPr="00975598" w:rsidRDefault="00975598" w:rsidP="008737B9">
      <w:pPr>
        <w:pStyle w:val="Heading2"/>
        <w:keepNext w:val="0"/>
        <w:numPr>
          <w:ilvl w:val="1"/>
          <w:numId w:val="46"/>
        </w:numPr>
        <w:tabs>
          <w:tab w:val="clear" w:pos="576"/>
          <w:tab w:val="num" w:pos="1134"/>
        </w:tabs>
        <w:spacing w:line="360" w:lineRule="auto"/>
        <w:ind w:left="1134" w:hanging="567"/>
        <w:jc w:val="both"/>
        <w:rPr>
          <w:i/>
        </w:rPr>
      </w:pPr>
      <w:r w:rsidRPr="00975598">
        <w:rPr>
          <w:i/>
        </w:rPr>
        <w:t>“</w:t>
      </w:r>
      <w:proofErr w:type="gramStart"/>
      <w:r w:rsidR="008737B9" w:rsidRPr="00975598">
        <w:rPr>
          <w:i/>
        </w:rPr>
        <w:t>better</w:t>
      </w:r>
      <w:proofErr w:type="gramEnd"/>
      <w:r w:rsidR="008737B9" w:rsidRPr="00975598">
        <w:rPr>
          <w:i/>
        </w:rPr>
        <w:t xml:space="preserve"> facilitated by this change, it provides the customer with a credit where equipment can be reused. It will better reflect the cost of the connection</w:t>
      </w:r>
      <w:r w:rsidRPr="00975598">
        <w:rPr>
          <w:i/>
        </w:rPr>
        <w:t>”</w:t>
      </w:r>
      <w:r w:rsidR="008737B9" w:rsidRPr="00975598">
        <w:rPr>
          <w:i/>
        </w:rPr>
        <w:t>.</w:t>
      </w:r>
    </w:p>
    <w:p w:rsidR="0060344E" w:rsidRPr="0060344E" w:rsidRDefault="0060344E" w:rsidP="0060344E">
      <w:pPr>
        <w:pStyle w:val="Heading2"/>
        <w:keepNext w:val="0"/>
        <w:numPr>
          <w:ilvl w:val="1"/>
          <w:numId w:val="2"/>
        </w:numPr>
        <w:tabs>
          <w:tab w:val="clear" w:pos="576"/>
          <w:tab w:val="num" w:pos="1134"/>
        </w:tabs>
        <w:spacing w:line="360" w:lineRule="auto"/>
        <w:jc w:val="both"/>
      </w:pPr>
      <w:r w:rsidRPr="0060344E">
        <w:t xml:space="preserve">One consultant respondent agreed that the DCUSA Charging Objectives were better facilitated and commented </w:t>
      </w:r>
      <w:r w:rsidRPr="0060344E">
        <w:rPr>
          <w:i/>
        </w:rPr>
        <w:t>“I can see issues of how each DNO calculates the rebates in relation to refurbishment and recovery costs. This may need further investigation after a period of time”</w:t>
      </w:r>
      <w:r w:rsidRPr="0060344E">
        <w:t xml:space="preserve">.  </w:t>
      </w:r>
    </w:p>
    <w:p w:rsidR="002847BE" w:rsidRDefault="0060344E" w:rsidP="0060344E">
      <w:pPr>
        <w:pStyle w:val="Heading2"/>
        <w:keepNext w:val="0"/>
        <w:numPr>
          <w:ilvl w:val="1"/>
          <w:numId w:val="2"/>
        </w:numPr>
        <w:tabs>
          <w:tab w:val="clear" w:pos="576"/>
          <w:tab w:val="num" w:pos="1134"/>
        </w:tabs>
        <w:spacing w:line="360" w:lineRule="auto"/>
        <w:jc w:val="both"/>
      </w:pPr>
      <w:r w:rsidRPr="0060344E">
        <w:t>One DNO respondent considered that DCP 190A did not better facilitate DCUSA Charging Objecti</w:t>
      </w:r>
      <w:r w:rsidR="00DF187B">
        <w:t>ves 1 and 3 for the following reasons:</w:t>
      </w:r>
    </w:p>
    <w:p w:rsidR="00DF187B" w:rsidRPr="00DF187B" w:rsidRDefault="00DF187B" w:rsidP="00DF187B">
      <w:pPr>
        <w:pStyle w:val="Heading2"/>
        <w:keepNext w:val="0"/>
        <w:numPr>
          <w:ilvl w:val="1"/>
          <w:numId w:val="46"/>
        </w:numPr>
        <w:tabs>
          <w:tab w:val="clear" w:pos="576"/>
          <w:tab w:val="num" w:pos="1134"/>
        </w:tabs>
        <w:spacing w:line="360" w:lineRule="auto"/>
        <w:ind w:left="1134" w:hanging="567"/>
        <w:jc w:val="both"/>
        <w:rPr>
          <w:i/>
        </w:rPr>
      </w:pPr>
      <w:r>
        <w:rPr>
          <w:i/>
        </w:rPr>
        <w:t>“</w:t>
      </w:r>
      <w:proofErr w:type="gramStart"/>
      <w:r w:rsidRPr="00DF187B">
        <w:rPr>
          <w:i/>
        </w:rPr>
        <w:t>as</w:t>
      </w:r>
      <w:proofErr w:type="gramEnd"/>
      <w:r w:rsidRPr="00DF187B">
        <w:rPr>
          <w:i/>
        </w:rPr>
        <w:t xml:space="preserve"> the methodology is already clear that the customer “will not receive any credit for the value of any equipment recovered”. </w:t>
      </w:r>
    </w:p>
    <w:p w:rsidR="00DF187B" w:rsidRPr="00DF187B" w:rsidRDefault="00DF187B" w:rsidP="00DF187B">
      <w:pPr>
        <w:pStyle w:val="Heading2"/>
        <w:keepNext w:val="0"/>
        <w:numPr>
          <w:ilvl w:val="1"/>
          <w:numId w:val="46"/>
        </w:numPr>
        <w:tabs>
          <w:tab w:val="clear" w:pos="576"/>
          <w:tab w:val="num" w:pos="1134"/>
        </w:tabs>
        <w:spacing w:line="360" w:lineRule="auto"/>
        <w:ind w:left="1134" w:hanging="567"/>
        <w:jc w:val="both"/>
        <w:rPr>
          <w:i/>
        </w:rPr>
      </w:pPr>
      <w:r>
        <w:rPr>
          <w:i/>
        </w:rPr>
        <w:t>“</w:t>
      </w:r>
      <w:r w:rsidRPr="00DF187B">
        <w:rPr>
          <w:i/>
        </w:rPr>
        <w:t>as the use of the term “will” cannot result in charges which reflect the costs incurred, or reasonably expected to be incurred, by the Business if there are clear circumstances where a credit is not appropriate such as those given in response to question 6</w:t>
      </w:r>
      <w:r>
        <w:rPr>
          <w:i/>
        </w:rPr>
        <w:t>”</w:t>
      </w:r>
      <w:r w:rsidRPr="00DF187B">
        <w:rPr>
          <w:i/>
        </w:rPr>
        <w:t>.</w:t>
      </w:r>
    </w:p>
    <w:p w:rsidR="00C2760A" w:rsidRPr="0060344E" w:rsidRDefault="0060344E" w:rsidP="00DE0021">
      <w:pPr>
        <w:pStyle w:val="Heading2"/>
        <w:keepNext w:val="0"/>
        <w:numPr>
          <w:ilvl w:val="1"/>
          <w:numId w:val="2"/>
        </w:numPr>
        <w:tabs>
          <w:tab w:val="clear" w:pos="576"/>
          <w:tab w:val="num" w:pos="1134"/>
        </w:tabs>
        <w:spacing w:line="360" w:lineRule="auto"/>
        <w:ind w:left="720"/>
        <w:jc w:val="both"/>
        <w:rPr>
          <w:b/>
        </w:rPr>
      </w:pPr>
      <w:r>
        <w:t>The Working Group agreed</w:t>
      </w:r>
      <w:r w:rsidR="00975598">
        <w:t xml:space="preserve"> that</w:t>
      </w:r>
      <w:r w:rsidR="00DF187B">
        <w:t xml:space="preserve"> DCUSA Charging</w:t>
      </w:r>
      <w:r w:rsidR="00975598">
        <w:t xml:space="preserve"> O</w:t>
      </w:r>
      <w:r w:rsidRPr="0060344E">
        <w:t>bjectives 1 and 3 are better facilitated by the DCP 190 C</w:t>
      </w:r>
      <w:r w:rsidR="00975598">
        <w:t>P</w:t>
      </w:r>
      <w:r w:rsidRPr="0060344E">
        <w:t xml:space="preserve">. </w:t>
      </w:r>
      <w:r w:rsidR="00694897">
        <w:t xml:space="preserve">The reasoning for this view is explained </w:t>
      </w:r>
      <w:r w:rsidR="00694897" w:rsidRPr="00774DAF">
        <w:t xml:space="preserve">in </w:t>
      </w:r>
      <w:r w:rsidR="00694897" w:rsidRPr="004A488A">
        <w:rPr>
          <w:highlight w:val="yellow"/>
        </w:rPr>
        <w:t xml:space="preserve">section </w:t>
      </w:r>
      <w:r w:rsidR="004A488A" w:rsidRPr="004A488A">
        <w:rPr>
          <w:highlight w:val="yellow"/>
        </w:rPr>
        <w:t>nine</w:t>
      </w:r>
      <w:r w:rsidR="00694897" w:rsidRPr="00774DAF">
        <w:t xml:space="preserve"> of this Change</w:t>
      </w:r>
      <w:r w:rsidR="00694897">
        <w:t xml:space="preserve"> Report. </w:t>
      </w:r>
      <w:r w:rsidRPr="0060344E">
        <w:t xml:space="preserve">The Working Group </w:t>
      </w:r>
      <w:r w:rsidR="00DF187B">
        <w:t>is</w:t>
      </w:r>
      <w:r w:rsidR="00975598">
        <w:t xml:space="preserve"> not in agreement on whether O</w:t>
      </w:r>
      <w:r w:rsidRPr="0060344E">
        <w:t xml:space="preserve">bjectives 1 and 3 are better facilitated by the </w:t>
      </w:r>
      <w:r w:rsidR="00DF187B" w:rsidRPr="00EA1235">
        <w:t xml:space="preserve">alternate Change Proposal </w:t>
      </w:r>
      <w:r w:rsidR="00DF187B">
        <w:t>DCP 190A</w:t>
      </w:r>
      <w:r w:rsidRPr="0060344E">
        <w:rPr>
          <w:sz w:val="24"/>
          <w:szCs w:val="24"/>
        </w:rPr>
        <w:t>.</w:t>
      </w:r>
      <w:r w:rsidR="00DF187B">
        <w:rPr>
          <w:sz w:val="24"/>
          <w:szCs w:val="24"/>
        </w:rPr>
        <w:t xml:space="preserve"> </w:t>
      </w:r>
    </w:p>
    <w:p w:rsidR="00013CA0" w:rsidRDefault="00D40D81" w:rsidP="00226DB2">
      <w:pPr>
        <w:spacing w:before="240" w:after="60" w:line="360" w:lineRule="auto"/>
        <w:rPr>
          <w:rFonts w:ascii="Verdana" w:hAnsi="Verdana" w:cs="Arial"/>
          <w:b/>
          <w:sz w:val="20"/>
          <w:u w:val="single"/>
        </w:rPr>
      </w:pPr>
      <w:r>
        <w:rPr>
          <w:rFonts w:ascii="Verdana" w:hAnsi="Verdana" w:cs="Arial"/>
          <w:b/>
          <w:sz w:val="20"/>
          <w:u w:val="single"/>
        </w:rPr>
        <w:t>Question 9</w:t>
      </w:r>
      <w:r w:rsidR="00A1770A" w:rsidRPr="00A1770A">
        <w:rPr>
          <w:rFonts w:ascii="Verdana" w:hAnsi="Verdana" w:cs="Arial"/>
          <w:b/>
          <w:sz w:val="20"/>
          <w:u w:val="single"/>
        </w:rPr>
        <w:t xml:space="preserve">: </w:t>
      </w:r>
      <w:r w:rsidR="00013CA0" w:rsidRPr="00D40D81">
        <w:rPr>
          <w:rFonts w:ascii="Verdana" w:hAnsi="Verdana" w:cs="Arial"/>
          <w:b/>
          <w:sz w:val="20"/>
          <w:u w:val="single"/>
        </w:rPr>
        <w:t>Are you supportive of the proposed implementation date of DCP 190 and DCP 190A as the next DCUSA release following Authority consent?</w:t>
      </w:r>
    </w:p>
    <w:p w:rsidR="00093C1D" w:rsidRPr="00093C1D" w:rsidRDefault="00093C1D" w:rsidP="00093C1D">
      <w:pPr>
        <w:pStyle w:val="Heading2"/>
        <w:keepNext w:val="0"/>
        <w:numPr>
          <w:ilvl w:val="1"/>
          <w:numId w:val="2"/>
        </w:numPr>
        <w:tabs>
          <w:tab w:val="clear" w:pos="576"/>
          <w:tab w:val="num" w:pos="1134"/>
        </w:tabs>
        <w:spacing w:line="360" w:lineRule="auto"/>
        <w:ind w:left="720"/>
        <w:jc w:val="both"/>
      </w:pPr>
      <w:r w:rsidRPr="00093C1D">
        <w:t>The Working Group noted that all respondents were supportive of the implementation date of the next DCUSA release following Authority consent.</w:t>
      </w:r>
    </w:p>
    <w:p w:rsidR="00D40D81" w:rsidRDefault="00D40D81" w:rsidP="00226DB2">
      <w:pPr>
        <w:spacing w:before="240" w:after="60" w:line="360" w:lineRule="auto"/>
        <w:rPr>
          <w:rFonts w:ascii="Verdana" w:hAnsi="Verdana" w:cs="Arial"/>
          <w:b/>
          <w:bCs/>
          <w:iCs/>
          <w:sz w:val="20"/>
          <w:szCs w:val="20"/>
          <w:u w:val="single"/>
        </w:rPr>
      </w:pPr>
      <w:r>
        <w:rPr>
          <w:rFonts w:ascii="Verdana" w:hAnsi="Verdana" w:cs="Arial"/>
          <w:b/>
          <w:bCs/>
          <w:iCs/>
          <w:sz w:val="20"/>
          <w:szCs w:val="20"/>
          <w:u w:val="single"/>
        </w:rPr>
        <w:t>Question 10</w:t>
      </w:r>
      <w:r w:rsidR="00F44B3B" w:rsidRPr="00F44B3B">
        <w:rPr>
          <w:rFonts w:ascii="Verdana" w:hAnsi="Verdana" w:cs="Arial"/>
          <w:b/>
          <w:bCs/>
          <w:iCs/>
          <w:sz w:val="20"/>
          <w:szCs w:val="20"/>
          <w:u w:val="single"/>
        </w:rPr>
        <w:t xml:space="preserve">: </w:t>
      </w:r>
      <w:r w:rsidRPr="00D40D81">
        <w:rPr>
          <w:rFonts w:ascii="Verdana" w:hAnsi="Verdana" w:cs="Arial"/>
          <w:b/>
          <w:bCs/>
          <w:iCs/>
          <w:sz w:val="20"/>
          <w:szCs w:val="20"/>
          <w:u w:val="single"/>
        </w:rPr>
        <w:t>Are there any alternative solutions or matters that should be considered by the Working Group? </w:t>
      </w:r>
    </w:p>
    <w:p w:rsidR="00093C1D" w:rsidRDefault="00093C1D" w:rsidP="00093C1D">
      <w:pPr>
        <w:pStyle w:val="Heading2"/>
        <w:keepNext w:val="0"/>
        <w:numPr>
          <w:ilvl w:val="1"/>
          <w:numId w:val="2"/>
        </w:numPr>
        <w:tabs>
          <w:tab w:val="clear" w:pos="576"/>
          <w:tab w:val="num" w:pos="1134"/>
        </w:tabs>
        <w:spacing w:line="360" w:lineRule="auto"/>
        <w:ind w:left="720"/>
        <w:jc w:val="both"/>
      </w:pPr>
      <w:r w:rsidRPr="00093C1D">
        <w:t>The Working Group noted that the majority of respondents had no further comments. One respondent proposed that the DNOs “</w:t>
      </w:r>
      <w:r w:rsidRPr="00093C1D">
        <w:rPr>
          <w:i/>
        </w:rPr>
        <w:t>Give a discount in the first instance for anticipated recovery of plant so that rebates are not necessary”.</w:t>
      </w:r>
      <w:r w:rsidRPr="00093C1D">
        <w:t xml:space="preserve"> </w:t>
      </w:r>
    </w:p>
    <w:p w:rsidR="00093C1D" w:rsidRDefault="00093C1D" w:rsidP="00093C1D">
      <w:pPr>
        <w:pStyle w:val="Heading2"/>
        <w:keepNext w:val="0"/>
        <w:numPr>
          <w:ilvl w:val="1"/>
          <w:numId w:val="2"/>
        </w:numPr>
        <w:tabs>
          <w:tab w:val="clear" w:pos="576"/>
          <w:tab w:val="num" w:pos="1134"/>
        </w:tabs>
        <w:spacing w:line="360" w:lineRule="auto"/>
        <w:ind w:left="720"/>
        <w:jc w:val="both"/>
      </w:pPr>
      <w:r w:rsidRPr="00093C1D">
        <w:t>The Working Group noted that this comment was outside of the scope of this change.</w:t>
      </w:r>
    </w:p>
    <w:p w:rsidR="00C63715" w:rsidRDefault="00C63715" w:rsidP="00C63715">
      <w:pPr>
        <w:pStyle w:val="Heading1"/>
        <w:numPr>
          <w:ilvl w:val="0"/>
          <w:numId w:val="2"/>
        </w:numPr>
        <w:spacing w:line="360" w:lineRule="auto"/>
        <w:jc w:val="both"/>
      </w:pPr>
      <w:r>
        <w:t>CONSULTATION TWO</w:t>
      </w:r>
    </w:p>
    <w:p w:rsidR="00C63715" w:rsidRDefault="00C63715" w:rsidP="00C63715">
      <w:pPr>
        <w:pStyle w:val="Heading2"/>
        <w:keepNext w:val="0"/>
        <w:numPr>
          <w:ilvl w:val="1"/>
          <w:numId w:val="2"/>
        </w:numPr>
        <w:spacing w:line="360" w:lineRule="auto"/>
        <w:jc w:val="both"/>
      </w:pPr>
      <w:r w:rsidRPr="002461EA">
        <w:t>Following the revie</w:t>
      </w:r>
      <w:r>
        <w:t>w of responses to C</w:t>
      </w:r>
      <w:r w:rsidRPr="002461EA">
        <w:t>onsultation one</w:t>
      </w:r>
      <w:r>
        <w:t xml:space="preserve">, the Working Group </w:t>
      </w:r>
      <w:r w:rsidRPr="002461EA">
        <w:t xml:space="preserve">agreed that the DNO should undertake the process of calculating a credit for the equipment before determining whether the Customer was due a refund for this </w:t>
      </w:r>
      <w:r w:rsidRPr="00C63715">
        <w:t xml:space="preserve">equipment. The Working Group developed and examined seven versions of the draft legal text with the DCUSA legal advisor in an attempt to recommend a single solution in this CP. The Working Group concluded that a common way forward on the draft legal text for this change could not be agreed upon and decided to issue the new DCP 190 and DCP 190A draft legal text to Parties for further comment before submitting to a final Change Report. </w:t>
      </w:r>
    </w:p>
    <w:p w:rsidR="00C63715" w:rsidRDefault="00C63715" w:rsidP="00C63715">
      <w:pPr>
        <w:pStyle w:val="Heading2"/>
        <w:numPr>
          <w:ilvl w:val="1"/>
          <w:numId w:val="2"/>
        </w:numPr>
        <w:spacing w:line="360" w:lineRule="auto"/>
        <w:jc w:val="both"/>
      </w:pPr>
      <w:r>
        <w:t xml:space="preserve">There were </w:t>
      </w:r>
      <w:r w:rsidR="009A455F">
        <w:t>seven</w:t>
      </w:r>
      <w:r>
        <w:t xml:space="preserve"> </w:t>
      </w:r>
      <w:r w:rsidRPr="00267A54">
        <w:t>responses</w:t>
      </w:r>
      <w:r>
        <w:t xml:space="preserve"> received to the </w:t>
      </w:r>
      <w:r w:rsidRPr="00267A54">
        <w:t>consultation</w:t>
      </w:r>
      <w:r>
        <w:t xml:space="preserve"> from </w:t>
      </w:r>
      <w:r w:rsidR="0024554A">
        <w:t>four</w:t>
      </w:r>
      <w:r w:rsidRPr="00B230F6">
        <w:t xml:space="preserve"> DNO parties, </w:t>
      </w:r>
      <w:r w:rsidRPr="0024554A">
        <w:t xml:space="preserve">two consultants and one </w:t>
      </w:r>
      <w:r w:rsidR="00552A51">
        <w:t>anonymous respondent</w:t>
      </w:r>
      <w:r w:rsidRPr="00B230F6">
        <w:t>.</w:t>
      </w:r>
      <w:r w:rsidRPr="00267A54">
        <w:t xml:space="preserve"> </w:t>
      </w:r>
      <w:r w:rsidR="00051CD8">
        <w:t xml:space="preserve">The </w:t>
      </w:r>
      <w:r w:rsidR="00552A51">
        <w:t xml:space="preserve">anonymous </w:t>
      </w:r>
      <w:r w:rsidR="00051CD8">
        <w:t xml:space="preserve">respondent requested that their response remain confidential </w:t>
      </w:r>
      <w:r w:rsidR="00552A51">
        <w:t xml:space="preserve">but allowed the response to </w:t>
      </w:r>
      <w:r w:rsidR="00051CD8">
        <w:t xml:space="preserve">be viewed by the Working Group </w:t>
      </w:r>
      <w:r w:rsidR="00552A51">
        <w:t xml:space="preserve">and Ofgem </w:t>
      </w:r>
      <w:r w:rsidR="00051CD8">
        <w:t>only</w:t>
      </w:r>
      <w:r w:rsidR="00552A51">
        <w:t xml:space="preserve"> and to be anonymously summarised in this report</w:t>
      </w:r>
      <w:r w:rsidR="00051CD8">
        <w:t xml:space="preserve">. </w:t>
      </w:r>
      <w:r w:rsidRPr="00267A54">
        <w:t>The Working Group discussed each response and its comments are summarised alongside the collated Cons</w:t>
      </w:r>
      <w:r>
        <w:t xml:space="preserve">ultation responses in </w:t>
      </w:r>
      <w:r w:rsidRPr="00DD61A2">
        <w:rPr>
          <w:highlight w:val="yellow"/>
        </w:rPr>
        <w:t xml:space="preserve">Attachment </w:t>
      </w:r>
      <w:r w:rsidR="00D6101D" w:rsidRPr="00DD61A2">
        <w:rPr>
          <w:highlight w:val="yellow"/>
        </w:rPr>
        <w:t>5</w:t>
      </w:r>
      <w:r w:rsidRPr="00DD61A2">
        <w:rPr>
          <w:highlight w:val="yellow"/>
        </w:rPr>
        <w:t>.</w:t>
      </w:r>
      <w:r w:rsidRPr="008766E8">
        <w:t xml:space="preserve">  </w:t>
      </w:r>
    </w:p>
    <w:p w:rsidR="00C63715" w:rsidRDefault="00C63715" w:rsidP="00C63715">
      <w:pPr>
        <w:pStyle w:val="Heading2"/>
        <w:numPr>
          <w:ilvl w:val="1"/>
          <w:numId w:val="2"/>
        </w:numPr>
        <w:spacing w:line="360" w:lineRule="auto"/>
        <w:jc w:val="both"/>
      </w:pPr>
      <w:r w:rsidRPr="00267A54">
        <w:t>A summary of the responses received, and the Working Group’s conclusions are set out below:</w:t>
      </w:r>
    </w:p>
    <w:p w:rsidR="00C63715" w:rsidRDefault="00C63715" w:rsidP="00051CD8">
      <w:pPr>
        <w:spacing w:before="240" w:after="60" w:line="360" w:lineRule="auto"/>
        <w:rPr>
          <w:rFonts w:ascii="Verdana" w:hAnsi="Verdana" w:cs="Arial"/>
          <w:b/>
          <w:bCs/>
          <w:iCs/>
          <w:sz w:val="20"/>
          <w:szCs w:val="20"/>
          <w:u w:val="single"/>
        </w:rPr>
      </w:pPr>
      <w:r>
        <w:rPr>
          <w:rFonts w:ascii="Verdana" w:hAnsi="Verdana" w:cs="Arial"/>
          <w:b/>
          <w:bCs/>
          <w:iCs/>
          <w:sz w:val="20"/>
          <w:szCs w:val="20"/>
          <w:u w:val="single"/>
        </w:rPr>
        <w:t xml:space="preserve">Question 1 - </w:t>
      </w:r>
      <w:r w:rsidRPr="00C63715">
        <w:rPr>
          <w:rFonts w:ascii="Verdana" w:hAnsi="Verdana" w:cs="Arial"/>
          <w:b/>
          <w:bCs/>
          <w:iCs/>
          <w:sz w:val="20"/>
          <w:szCs w:val="20"/>
          <w:u w:val="single"/>
        </w:rPr>
        <w:t>Do you have any comments on the proposed DCP 190 legal text?</w:t>
      </w:r>
    </w:p>
    <w:p w:rsidR="00D265E7" w:rsidRDefault="00051CD8" w:rsidP="00051CD8">
      <w:pPr>
        <w:pStyle w:val="Heading2"/>
        <w:keepNext w:val="0"/>
        <w:numPr>
          <w:ilvl w:val="1"/>
          <w:numId w:val="2"/>
        </w:numPr>
        <w:spacing w:line="360" w:lineRule="auto"/>
        <w:jc w:val="both"/>
      </w:pPr>
      <w:r>
        <w:t>There were four DNO respondents, two DNO respondents indicated that they were supportive of the DCP 190 legal text and the remaining t</w:t>
      </w:r>
      <w:r w:rsidR="00D265E7" w:rsidRPr="00D265E7">
        <w:t>wo DNO respondents advised that they did not have any further comments</w:t>
      </w:r>
      <w:r>
        <w:t xml:space="preserve"> on the DCP 190 legal text.</w:t>
      </w:r>
      <w:r w:rsidR="003B3D32">
        <w:t xml:space="preserve"> The anonymous respondent advised that they did not favour this option due to the de-</w:t>
      </w:r>
      <w:proofErr w:type="spellStart"/>
      <w:r w:rsidR="003B3D32">
        <w:t>minimus</w:t>
      </w:r>
      <w:proofErr w:type="spellEnd"/>
      <w:r w:rsidR="003B3D32">
        <w:t xml:space="preserve"> value concept proposed within it.</w:t>
      </w:r>
    </w:p>
    <w:p w:rsidR="00051CD8" w:rsidRDefault="00051CD8" w:rsidP="00051CD8">
      <w:pPr>
        <w:pStyle w:val="Heading2"/>
        <w:keepNext w:val="0"/>
        <w:numPr>
          <w:ilvl w:val="1"/>
          <w:numId w:val="2"/>
        </w:numPr>
        <w:spacing w:line="360" w:lineRule="auto"/>
        <w:jc w:val="both"/>
      </w:pPr>
      <w:r>
        <w:t>One customer respondent referred to their response to question three which the Working Group consider</w:t>
      </w:r>
      <w:r w:rsidR="003B3D32">
        <w:t>s</w:t>
      </w:r>
      <w:r>
        <w:t xml:space="preserve"> at question three. The second customer respondent did </w:t>
      </w:r>
      <w:r w:rsidR="003B3D32">
        <w:t>not comment on the DCP 190 legal text.</w:t>
      </w:r>
    </w:p>
    <w:p w:rsidR="00051CD8" w:rsidRPr="000256DB" w:rsidRDefault="00051CD8" w:rsidP="00051CD8">
      <w:pPr>
        <w:pStyle w:val="Heading2"/>
        <w:keepNext w:val="0"/>
        <w:numPr>
          <w:ilvl w:val="1"/>
          <w:numId w:val="2"/>
        </w:numPr>
        <w:spacing w:line="360" w:lineRule="auto"/>
        <w:jc w:val="both"/>
        <w:rPr>
          <w:highlight w:val="yellow"/>
        </w:rPr>
      </w:pPr>
      <w:r w:rsidRPr="000256DB">
        <w:rPr>
          <w:highlight w:val="yellow"/>
        </w:rPr>
        <w:t xml:space="preserve">The Working Group </w:t>
      </w:r>
      <w:commentRangeStart w:id="2"/>
      <w:r w:rsidRPr="000256DB">
        <w:rPr>
          <w:highlight w:val="yellow"/>
        </w:rPr>
        <w:t>noted the responses.</w:t>
      </w:r>
      <w:commentRangeEnd w:id="2"/>
      <w:r w:rsidR="003B3D32" w:rsidRPr="000256DB">
        <w:rPr>
          <w:rStyle w:val="CommentReference"/>
          <w:rFonts w:ascii="Times New Roman" w:hAnsi="Times New Roman"/>
          <w:bCs w:val="0"/>
          <w:iCs w:val="0"/>
          <w:highlight w:val="yellow"/>
        </w:rPr>
        <w:commentReference w:id="2"/>
      </w:r>
    </w:p>
    <w:p w:rsidR="00C63715" w:rsidRDefault="00C63715" w:rsidP="00C63715">
      <w:pPr>
        <w:spacing w:before="240" w:after="60" w:line="360" w:lineRule="auto"/>
        <w:rPr>
          <w:rFonts w:ascii="Verdana" w:hAnsi="Verdana" w:cs="Arial"/>
          <w:b/>
          <w:bCs/>
          <w:iCs/>
          <w:sz w:val="20"/>
          <w:szCs w:val="20"/>
          <w:u w:val="single"/>
        </w:rPr>
      </w:pPr>
      <w:r>
        <w:rPr>
          <w:rFonts w:ascii="Verdana" w:hAnsi="Verdana" w:cs="Arial"/>
          <w:b/>
          <w:bCs/>
          <w:iCs/>
          <w:sz w:val="20"/>
          <w:szCs w:val="20"/>
          <w:u w:val="single"/>
        </w:rPr>
        <w:t xml:space="preserve">Question 2 - </w:t>
      </w:r>
      <w:r w:rsidRPr="00C63715">
        <w:rPr>
          <w:rFonts w:ascii="Verdana" w:hAnsi="Verdana" w:cs="Arial"/>
          <w:b/>
          <w:bCs/>
          <w:iCs/>
          <w:sz w:val="20"/>
          <w:szCs w:val="20"/>
          <w:u w:val="single"/>
        </w:rPr>
        <w:t>Do you have any comments on the proposed DCP 190A legal text?</w:t>
      </w:r>
    </w:p>
    <w:p w:rsidR="00412A05" w:rsidRDefault="00A06592" w:rsidP="00412A05">
      <w:pPr>
        <w:pStyle w:val="Heading2"/>
        <w:keepNext w:val="0"/>
        <w:numPr>
          <w:ilvl w:val="1"/>
          <w:numId w:val="2"/>
        </w:numPr>
        <w:spacing w:line="360" w:lineRule="auto"/>
        <w:jc w:val="both"/>
      </w:pPr>
      <w:r>
        <w:t>Two</w:t>
      </w:r>
      <w:r w:rsidR="00412A05">
        <w:t xml:space="preserve"> DNO respondents noted the difference between DCP 190 and DCP 190A </w:t>
      </w:r>
      <w:r>
        <w:t>w</w:t>
      </w:r>
      <w:r w:rsidR="00412A05">
        <w:t xml:space="preserve">as the </w:t>
      </w:r>
      <w:r>
        <w:t xml:space="preserve">concept of the </w:t>
      </w:r>
      <w:r w:rsidR="00412A05">
        <w:t>de-</w:t>
      </w:r>
      <w:proofErr w:type="spellStart"/>
      <w:r w:rsidR="00412A05">
        <w:t>minimus</w:t>
      </w:r>
      <w:proofErr w:type="spellEnd"/>
      <w:r w:rsidR="00412A05">
        <w:t xml:space="preserve"> value</w:t>
      </w:r>
      <w:r>
        <w:t xml:space="preserve"> with one DNO respondent advising that they were concerned about the lack of de-</w:t>
      </w:r>
      <w:proofErr w:type="spellStart"/>
      <w:r>
        <w:t>minimus</w:t>
      </w:r>
      <w:proofErr w:type="spellEnd"/>
      <w:r>
        <w:t xml:space="preserve"> provision for payments that would be administratively burdensome</w:t>
      </w:r>
      <w:r w:rsidR="00DD61A2">
        <w:t xml:space="preserve"> in the DCP 190A legal text</w:t>
      </w:r>
      <w:r>
        <w:t>. One DNO respondent advised that the revised drafting of DCP 190A provided in consultation two was an improvement on the drafting provided in consultation one as it removes the impression that a credit is due in every case.</w:t>
      </w:r>
    </w:p>
    <w:p w:rsidR="00412A05" w:rsidRDefault="00412A05" w:rsidP="00412A05">
      <w:pPr>
        <w:pStyle w:val="Heading2"/>
        <w:keepNext w:val="0"/>
        <w:numPr>
          <w:ilvl w:val="1"/>
          <w:numId w:val="2"/>
        </w:numPr>
        <w:spacing w:line="360" w:lineRule="auto"/>
        <w:jc w:val="both"/>
      </w:pPr>
      <w:r>
        <w:t>One DNO and o</w:t>
      </w:r>
      <w:r w:rsidRPr="00412A05">
        <w:t>ne customer respondent did not have any comments on the DCP 190A legal text. One customer respondent considered the legal tex</w:t>
      </w:r>
      <w:r>
        <w:t>t to be definitive and adequate whilst t</w:t>
      </w:r>
      <w:r w:rsidRPr="00412A05">
        <w:t>he anonymous respondent considered that the DCP 190A legal text was a comprehendible set of words for customers and</w:t>
      </w:r>
      <w:r>
        <w:t xml:space="preserve"> restated their preference for their not being a reference to a de-</w:t>
      </w:r>
      <w:proofErr w:type="spellStart"/>
      <w:r>
        <w:t>minimus</w:t>
      </w:r>
      <w:proofErr w:type="spellEnd"/>
      <w:r>
        <w:t xml:space="preserve"> value.</w:t>
      </w:r>
    </w:p>
    <w:p w:rsidR="00A06592" w:rsidRPr="00A06592" w:rsidRDefault="00A06592" w:rsidP="00A06592">
      <w:pPr>
        <w:pStyle w:val="Heading2"/>
        <w:keepNext w:val="0"/>
        <w:numPr>
          <w:ilvl w:val="1"/>
          <w:numId w:val="2"/>
        </w:numPr>
        <w:spacing w:line="360" w:lineRule="auto"/>
        <w:jc w:val="both"/>
      </w:pPr>
      <w:r w:rsidRPr="000256DB">
        <w:rPr>
          <w:highlight w:val="yellow"/>
        </w:rPr>
        <w:t>The Working Group considered the responses</w:t>
      </w:r>
      <w:r>
        <w:t>---------------</w:t>
      </w:r>
    </w:p>
    <w:p w:rsidR="00C63715" w:rsidRDefault="00C63715" w:rsidP="00C63715">
      <w:pPr>
        <w:spacing w:before="240" w:after="60" w:line="360" w:lineRule="auto"/>
        <w:rPr>
          <w:rFonts w:ascii="Verdana" w:hAnsi="Verdana" w:cs="Arial"/>
          <w:b/>
          <w:bCs/>
          <w:iCs/>
          <w:sz w:val="20"/>
          <w:szCs w:val="20"/>
          <w:u w:val="single"/>
        </w:rPr>
      </w:pPr>
      <w:r>
        <w:rPr>
          <w:rFonts w:ascii="Verdana" w:hAnsi="Verdana" w:cs="Arial"/>
          <w:b/>
          <w:bCs/>
          <w:iCs/>
          <w:sz w:val="20"/>
          <w:szCs w:val="20"/>
          <w:u w:val="single"/>
        </w:rPr>
        <w:t xml:space="preserve">Question 3 - </w:t>
      </w:r>
      <w:r w:rsidRPr="00C63715">
        <w:rPr>
          <w:rFonts w:ascii="Verdana" w:hAnsi="Verdana" w:cs="Arial"/>
          <w:b/>
          <w:bCs/>
          <w:iCs/>
          <w:sz w:val="20"/>
          <w:szCs w:val="20"/>
          <w:u w:val="single"/>
        </w:rPr>
        <w:t>Do you have a preference for the DCP 190 proposed legal text or the DCP 190A proposed legal text? Please provide your reasoning.</w:t>
      </w:r>
    </w:p>
    <w:p w:rsidR="00A06592" w:rsidRDefault="00033EE9" w:rsidP="00033EE9">
      <w:pPr>
        <w:pStyle w:val="Heading2"/>
        <w:keepNext w:val="0"/>
        <w:numPr>
          <w:ilvl w:val="1"/>
          <w:numId w:val="2"/>
        </w:numPr>
        <w:spacing w:line="360" w:lineRule="auto"/>
        <w:jc w:val="both"/>
      </w:pPr>
      <w:r w:rsidRPr="00033EE9">
        <w:t>Fo</w:t>
      </w:r>
      <w:r>
        <w:t xml:space="preserve">ur DNO respondents advised </w:t>
      </w:r>
      <w:r w:rsidRPr="00033EE9">
        <w:t>of their prefer</w:t>
      </w:r>
      <w:r>
        <w:t>ence for the DCP 190 legal text. Two DNO respondents considered that the DCP 190 legal text recognised the circumstances where it was not appropriate to provide a refund. This may include cases where it may be uneconomical to provide a refund due to administrative costs</w:t>
      </w:r>
      <w:r w:rsidR="00456724">
        <w:t>.</w:t>
      </w:r>
      <w:r>
        <w:t xml:space="preserve"> Another DNO respondent </w:t>
      </w:r>
      <w:r w:rsidR="00456724">
        <w:t xml:space="preserve">considered it to be beneficial to be able to </w:t>
      </w:r>
      <w:r>
        <w:t xml:space="preserve">set a </w:t>
      </w:r>
      <w:r w:rsidR="00456724">
        <w:t xml:space="preserve">reasonable </w:t>
      </w:r>
      <w:r>
        <w:t>de-</w:t>
      </w:r>
      <w:proofErr w:type="spellStart"/>
      <w:r>
        <w:t>minimus</w:t>
      </w:r>
      <w:proofErr w:type="spellEnd"/>
      <w:r>
        <w:t xml:space="preserve"> value below which no payment would apply.</w:t>
      </w:r>
    </w:p>
    <w:p w:rsidR="00456724" w:rsidRDefault="00456724" w:rsidP="00456724">
      <w:pPr>
        <w:pStyle w:val="Heading2"/>
        <w:keepNext w:val="0"/>
        <w:numPr>
          <w:ilvl w:val="1"/>
          <w:numId w:val="2"/>
        </w:numPr>
        <w:spacing w:line="360" w:lineRule="auto"/>
        <w:jc w:val="both"/>
      </w:pPr>
      <w:r>
        <w:t>Two customer respondents advised that they preferred the DCP 190A legal text. One of the customer respondents did not provide a rationale for their choice. T</w:t>
      </w:r>
      <w:r w:rsidR="00C5101B">
        <w:t>he other</w:t>
      </w:r>
      <w:r>
        <w:t xml:space="preserve"> customer respondent provided their rationale for not choosing the DCP 190 legal text. This respondent considered t</w:t>
      </w:r>
      <w:r w:rsidR="00C5101B">
        <w:t>hat there was no rationale for entering a provision for a de-</w:t>
      </w:r>
      <w:proofErr w:type="spellStart"/>
      <w:r w:rsidR="00C5101B">
        <w:t>minimus</w:t>
      </w:r>
      <w:proofErr w:type="spellEnd"/>
      <w:r w:rsidR="00C5101B">
        <w:t xml:space="preserve"> value in to the DCUSA legal text as the DCP 190 legal text does not define the circumstances under which it would apply. This respondent considered </w:t>
      </w:r>
      <w:r w:rsidR="00160CC4">
        <w:t xml:space="preserve">that </w:t>
      </w:r>
      <w:r w:rsidR="00C5101B">
        <w:t>as the de-</w:t>
      </w:r>
      <w:proofErr w:type="spellStart"/>
      <w:r w:rsidR="00C5101B">
        <w:t>minimus</w:t>
      </w:r>
      <w:proofErr w:type="spellEnd"/>
      <w:r w:rsidR="00C5101B">
        <w:t xml:space="preserve"> value remained undefined, its application could vary significantly between DNOs. This respondent questioned whether it was acceptable for the DNO to place a de-</w:t>
      </w:r>
      <w:proofErr w:type="spellStart"/>
      <w:r w:rsidR="00C5101B">
        <w:t>minimus</w:t>
      </w:r>
      <w:proofErr w:type="spellEnd"/>
      <w:r w:rsidR="00C5101B">
        <w:t xml:space="preserve"> value on a </w:t>
      </w:r>
      <w:proofErr w:type="spellStart"/>
      <w:r w:rsidR="00C5101B">
        <w:t>customers</w:t>
      </w:r>
      <w:proofErr w:type="spellEnd"/>
      <w:r w:rsidR="00C5101B">
        <w:t xml:space="preserve"> refund when the customer could not place a de-</w:t>
      </w:r>
      <w:proofErr w:type="spellStart"/>
      <w:r w:rsidR="00C5101B">
        <w:t>minimus</w:t>
      </w:r>
      <w:proofErr w:type="spellEnd"/>
      <w:r w:rsidR="00C5101B">
        <w:t xml:space="preserve"> value on their refunds to a</w:t>
      </w:r>
      <w:r w:rsidR="00160CC4">
        <w:t xml:space="preserve"> DNO. This respondent considered that </w:t>
      </w:r>
      <w:r w:rsidR="00C5101B">
        <w:t>the co</w:t>
      </w:r>
      <w:r w:rsidR="00160CC4">
        <w:t>ncept of the de-</w:t>
      </w:r>
      <w:proofErr w:type="spellStart"/>
      <w:r w:rsidR="00160CC4">
        <w:t>minimus</w:t>
      </w:r>
      <w:proofErr w:type="spellEnd"/>
      <w:r w:rsidR="00160CC4">
        <w:t xml:space="preserve"> value would</w:t>
      </w:r>
      <w:r w:rsidR="00C5101B">
        <w:t xml:space="preserve"> set a precedent within the charging statements. </w:t>
      </w:r>
    </w:p>
    <w:p w:rsidR="00456724" w:rsidRDefault="00456724" w:rsidP="00456724">
      <w:pPr>
        <w:pStyle w:val="Heading2"/>
        <w:keepNext w:val="0"/>
        <w:numPr>
          <w:ilvl w:val="1"/>
          <w:numId w:val="2"/>
        </w:numPr>
        <w:spacing w:line="360" w:lineRule="auto"/>
        <w:jc w:val="both"/>
      </w:pPr>
      <w:r>
        <w:t>The anonymous respondent also preferred the DCP 190A legal text as once the DNO had calculated the payment there were no additional tests to reduce the chance of the customer receiving their credit.</w:t>
      </w:r>
    </w:p>
    <w:p w:rsidR="000256DB" w:rsidRPr="000256DB" w:rsidRDefault="000256DB" w:rsidP="000256DB">
      <w:pPr>
        <w:pStyle w:val="Heading2"/>
        <w:keepNext w:val="0"/>
        <w:numPr>
          <w:ilvl w:val="1"/>
          <w:numId w:val="2"/>
        </w:numPr>
        <w:spacing w:line="360" w:lineRule="auto"/>
        <w:jc w:val="both"/>
        <w:rPr>
          <w:highlight w:val="yellow"/>
        </w:rPr>
      </w:pPr>
      <w:r w:rsidRPr="000256DB">
        <w:rPr>
          <w:highlight w:val="yellow"/>
        </w:rPr>
        <w:t>The Working Group agreed</w:t>
      </w:r>
      <w:r>
        <w:rPr>
          <w:highlight w:val="yellow"/>
        </w:rPr>
        <w:t>-----</w:t>
      </w:r>
    </w:p>
    <w:p w:rsidR="00160CC4" w:rsidRDefault="00160CC4" w:rsidP="00C63715">
      <w:pPr>
        <w:spacing w:before="240" w:after="60" w:line="360" w:lineRule="auto"/>
        <w:rPr>
          <w:rFonts w:ascii="Verdana" w:hAnsi="Verdana" w:cs="Arial"/>
          <w:b/>
          <w:bCs/>
          <w:iCs/>
          <w:sz w:val="20"/>
          <w:szCs w:val="20"/>
          <w:u w:val="single"/>
        </w:rPr>
      </w:pPr>
      <w:r>
        <w:rPr>
          <w:rFonts w:ascii="Verdana" w:hAnsi="Verdana" w:cs="Arial"/>
          <w:b/>
          <w:bCs/>
          <w:iCs/>
          <w:sz w:val="20"/>
          <w:szCs w:val="20"/>
          <w:u w:val="single"/>
        </w:rPr>
        <w:t xml:space="preserve">Question 4 - </w:t>
      </w:r>
      <w:r w:rsidRPr="00160CC4">
        <w:rPr>
          <w:rFonts w:ascii="Verdana" w:hAnsi="Verdana" w:cs="Arial"/>
          <w:b/>
          <w:bCs/>
          <w:iCs/>
          <w:sz w:val="20"/>
          <w:szCs w:val="20"/>
          <w:u w:val="single"/>
        </w:rPr>
        <w:t>Do you consider it reasonable to accept the principle of a de-</w:t>
      </w:r>
      <w:proofErr w:type="spellStart"/>
      <w:r w:rsidRPr="00160CC4">
        <w:rPr>
          <w:rFonts w:ascii="Verdana" w:hAnsi="Verdana" w:cs="Arial"/>
          <w:b/>
          <w:bCs/>
          <w:iCs/>
          <w:sz w:val="20"/>
          <w:szCs w:val="20"/>
          <w:u w:val="single"/>
        </w:rPr>
        <w:t>minimus</w:t>
      </w:r>
      <w:proofErr w:type="spellEnd"/>
      <w:r w:rsidRPr="00160CC4">
        <w:rPr>
          <w:rFonts w:ascii="Verdana" w:hAnsi="Verdana" w:cs="Arial"/>
          <w:b/>
          <w:bCs/>
          <w:iCs/>
          <w:sz w:val="20"/>
          <w:szCs w:val="20"/>
          <w:u w:val="single"/>
        </w:rPr>
        <w:t xml:space="preserve"> value? Please provide your reasoning.</w:t>
      </w:r>
    </w:p>
    <w:p w:rsidR="00B27B13" w:rsidRDefault="00B27B13" w:rsidP="000B64F4">
      <w:pPr>
        <w:pStyle w:val="Heading2"/>
        <w:keepNext w:val="0"/>
        <w:numPr>
          <w:ilvl w:val="1"/>
          <w:numId w:val="2"/>
        </w:numPr>
        <w:spacing w:line="360" w:lineRule="auto"/>
        <w:jc w:val="both"/>
      </w:pPr>
      <w:r>
        <w:t>Four DNO respondents considered the principle of the de-</w:t>
      </w:r>
      <w:proofErr w:type="spellStart"/>
      <w:r>
        <w:t>minimus</w:t>
      </w:r>
      <w:proofErr w:type="spellEnd"/>
      <w:r>
        <w:t xml:space="preserve"> value to be acceptable</w:t>
      </w:r>
      <w:r w:rsidR="000B64F4">
        <w:t>. Two DNO</w:t>
      </w:r>
      <w:r>
        <w:t xml:space="preserve"> respondents noted that the principle of a de-</w:t>
      </w:r>
      <w:proofErr w:type="spellStart"/>
      <w:r>
        <w:t>minimus</w:t>
      </w:r>
      <w:proofErr w:type="spellEnd"/>
      <w:r>
        <w:t xml:space="preserve"> value in relation to refunds was already established under the Electricity Connection Charges</w:t>
      </w:r>
      <w:r w:rsidRPr="00105172">
        <w:t xml:space="preserve"> Regulations </w:t>
      </w:r>
      <w:r>
        <w:t xml:space="preserve">(ECCR) </w:t>
      </w:r>
      <w:r w:rsidRPr="00105172">
        <w:t>2002</w:t>
      </w:r>
      <w:r>
        <w:t>. Two DNO respondents considered that the de-</w:t>
      </w:r>
      <w:proofErr w:type="spellStart"/>
      <w:r>
        <w:t>minimus</w:t>
      </w:r>
      <w:proofErr w:type="spellEnd"/>
      <w:r>
        <w:t xml:space="preserve"> value allowed the DNO to consider the level of the refund against the minimum costs of processing such a refund</w:t>
      </w:r>
      <w:r w:rsidR="000B64F4">
        <w:t xml:space="preserve"> so that it would save the DNO from raising a refund for a very small amount. One DNO noted that although it would be up to each DNO to set their de-</w:t>
      </w:r>
      <w:proofErr w:type="spellStart"/>
      <w:r w:rsidR="000B64F4">
        <w:t>minimus</w:t>
      </w:r>
      <w:proofErr w:type="spellEnd"/>
      <w:r w:rsidR="000B64F4">
        <w:t xml:space="preserve"> value, they considered that it would be a nominal amount.</w:t>
      </w:r>
    </w:p>
    <w:p w:rsidR="00160CC4" w:rsidRDefault="000B64F4" w:rsidP="00C23C7A">
      <w:pPr>
        <w:pStyle w:val="Heading2"/>
        <w:keepNext w:val="0"/>
        <w:numPr>
          <w:ilvl w:val="1"/>
          <w:numId w:val="2"/>
        </w:numPr>
        <w:spacing w:line="360" w:lineRule="auto"/>
        <w:jc w:val="both"/>
      </w:pPr>
      <w:r>
        <w:t>One customer respondent and the anonymous respondent advised that the principle of a de-</w:t>
      </w:r>
      <w:proofErr w:type="spellStart"/>
      <w:r>
        <w:t>minimus</w:t>
      </w:r>
      <w:proofErr w:type="spellEnd"/>
      <w:r>
        <w:t xml:space="preserve"> value was not acceptable. The customer respondent considered that the addition of a de-</w:t>
      </w:r>
      <w:proofErr w:type="spellStart"/>
      <w:r>
        <w:t>minimus</w:t>
      </w:r>
      <w:proofErr w:type="spellEnd"/>
      <w:r>
        <w:t xml:space="preserve"> value to the CCCM did not add clarity or transparency for the customer. The anonymous respondent considered the principle of the de-</w:t>
      </w:r>
      <w:proofErr w:type="spellStart"/>
      <w:r>
        <w:t>minimus</w:t>
      </w:r>
      <w:proofErr w:type="spellEnd"/>
      <w:r>
        <w:t xml:space="preserve"> value to be unacceptable as it has not been defined and therefore its application was unknown and could be treated differently by each DNO. Furthermore this respondent could not see the justification for a de-</w:t>
      </w:r>
      <w:proofErr w:type="spellStart"/>
      <w:r>
        <w:t>minimus</w:t>
      </w:r>
      <w:proofErr w:type="spellEnd"/>
      <w:r>
        <w:t xml:space="preserve"> value where provision had already been made for depreciation and the cost of refurbish</w:t>
      </w:r>
      <w:r w:rsidR="00C23C7A">
        <w:t>ment.</w:t>
      </w:r>
    </w:p>
    <w:p w:rsidR="00C23C7A" w:rsidRPr="00C23C7A" w:rsidRDefault="00C23C7A" w:rsidP="00C23C7A">
      <w:pPr>
        <w:pStyle w:val="Heading2"/>
        <w:keepNext w:val="0"/>
        <w:numPr>
          <w:ilvl w:val="1"/>
          <w:numId w:val="2"/>
        </w:numPr>
        <w:spacing w:line="360" w:lineRule="auto"/>
        <w:jc w:val="both"/>
      </w:pPr>
      <w:r w:rsidRPr="00C23C7A">
        <w:t>The second customer respondent considered that the costs of th</w:t>
      </w:r>
      <w:r>
        <w:t>is change being considered under the</w:t>
      </w:r>
      <w:r w:rsidRPr="00C23C7A">
        <w:t xml:space="preserve"> DCUSA change process may be greater than the costs of the refunds referred to in this CP and considered there to be other more important issues that participants should be considering</w:t>
      </w:r>
      <w:r>
        <w:t>.</w:t>
      </w:r>
    </w:p>
    <w:p w:rsidR="00160CC4" w:rsidRPr="000256DB" w:rsidRDefault="000256DB" w:rsidP="00C63715">
      <w:pPr>
        <w:pStyle w:val="Heading2"/>
        <w:keepNext w:val="0"/>
        <w:numPr>
          <w:ilvl w:val="1"/>
          <w:numId w:val="2"/>
        </w:numPr>
        <w:spacing w:line="360" w:lineRule="auto"/>
        <w:jc w:val="both"/>
        <w:rPr>
          <w:b/>
          <w:u w:val="single"/>
        </w:rPr>
      </w:pPr>
      <w:r w:rsidRPr="000256DB">
        <w:rPr>
          <w:highlight w:val="yellow"/>
        </w:rPr>
        <w:t>The Working Group agreed-----</w:t>
      </w:r>
    </w:p>
    <w:p w:rsidR="00C63715" w:rsidRDefault="00160CC4" w:rsidP="00C63715">
      <w:pPr>
        <w:spacing w:before="240" w:after="60" w:line="360" w:lineRule="auto"/>
        <w:rPr>
          <w:rFonts w:ascii="Verdana" w:hAnsi="Verdana" w:cs="Arial"/>
          <w:b/>
          <w:bCs/>
          <w:iCs/>
          <w:sz w:val="20"/>
          <w:szCs w:val="20"/>
          <w:u w:val="single"/>
        </w:rPr>
      </w:pPr>
      <w:r>
        <w:rPr>
          <w:rFonts w:ascii="Verdana" w:hAnsi="Verdana" w:cs="Arial"/>
          <w:b/>
          <w:bCs/>
          <w:iCs/>
          <w:sz w:val="20"/>
          <w:szCs w:val="20"/>
          <w:u w:val="single"/>
        </w:rPr>
        <w:t>Question 5</w:t>
      </w:r>
      <w:r w:rsidR="00C63715">
        <w:rPr>
          <w:rFonts w:ascii="Verdana" w:hAnsi="Verdana" w:cs="Arial"/>
          <w:b/>
          <w:bCs/>
          <w:iCs/>
          <w:sz w:val="20"/>
          <w:szCs w:val="20"/>
          <w:u w:val="single"/>
        </w:rPr>
        <w:t xml:space="preserve"> - </w:t>
      </w:r>
      <w:r w:rsidR="00C63715" w:rsidRPr="00C63715">
        <w:rPr>
          <w:rFonts w:ascii="Verdana" w:hAnsi="Verdana" w:cs="Arial"/>
          <w:b/>
          <w:bCs/>
          <w:iCs/>
          <w:sz w:val="20"/>
          <w:szCs w:val="20"/>
          <w:u w:val="single"/>
        </w:rPr>
        <w:t>Are there any alternative solutions or matters that should be considered by the Working Group? </w:t>
      </w:r>
    </w:p>
    <w:p w:rsidR="00C5101B" w:rsidRDefault="00C23C7A" w:rsidP="00C23C7A">
      <w:pPr>
        <w:pStyle w:val="Heading2"/>
        <w:keepNext w:val="0"/>
        <w:numPr>
          <w:ilvl w:val="1"/>
          <w:numId w:val="2"/>
        </w:numPr>
        <w:spacing w:line="360" w:lineRule="auto"/>
        <w:jc w:val="both"/>
      </w:pPr>
      <w:r w:rsidRPr="00C23C7A">
        <w:t>Five respondents had no further comments. One customer respondent proposed that a nominal sum of £100 should be the de-</w:t>
      </w:r>
      <w:proofErr w:type="spellStart"/>
      <w:r w:rsidRPr="00C23C7A">
        <w:t>minimus</w:t>
      </w:r>
      <w:proofErr w:type="spellEnd"/>
      <w:r w:rsidRPr="00C23C7A">
        <w:t xml:space="preserve"> value over which all refunds are then provided to the customer </w:t>
      </w:r>
      <w:r>
        <w:t xml:space="preserve">or alternatively </w:t>
      </w:r>
      <w:r w:rsidRPr="00C23C7A">
        <w:t>an aggregate saving on the DNOs administration costs should be paid in to a charity on a yearly basis</w:t>
      </w:r>
      <w:r>
        <w:t xml:space="preserve"> along with the value of any uncashed cheques.</w:t>
      </w:r>
    </w:p>
    <w:p w:rsidR="00C23C7A" w:rsidRDefault="00C23C7A" w:rsidP="006501B8">
      <w:pPr>
        <w:pStyle w:val="Heading2"/>
        <w:keepNext w:val="0"/>
        <w:numPr>
          <w:ilvl w:val="1"/>
          <w:numId w:val="2"/>
        </w:numPr>
        <w:spacing w:line="360" w:lineRule="auto"/>
        <w:jc w:val="both"/>
      </w:pPr>
      <w:r w:rsidRPr="006501B8">
        <w:t>Another customer respondent highlighted instances which were not covered by this CP such as where the original equipment provided was installed by an ICP and subsequently adopted by the DNO</w:t>
      </w:r>
      <w:r w:rsidR="006501B8">
        <w:t>.</w:t>
      </w:r>
      <w:r w:rsidRPr="006501B8">
        <w:t xml:space="preserve"> The respondent considered that </w:t>
      </w:r>
      <w:r w:rsidR="006501B8">
        <w:t>as it was not u</w:t>
      </w:r>
      <w:r w:rsidRPr="006501B8">
        <w:t xml:space="preserve">sual practice for DNOs to adopt second hand equipment, it is likely that the application of this CP may </w:t>
      </w:r>
      <w:proofErr w:type="gramStart"/>
      <w:r w:rsidRPr="006501B8">
        <w:t>limited</w:t>
      </w:r>
      <w:proofErr w:type="gramEnd"/>
      <w:r>
        <w:t>.</w:t>
      </w:r>
    </w:p>
    <w:p w:rsidR="006501B8" w:rsidRPr="006501B8" w:rsidRDefault="006501B8" w:rsidP="006501B8">
      <w:pPr>
        <w:pStyle w:val="Heading2"/>
        <w:keepNext w:val="0"/>
        <w:numPr>
          <w:ilvl w:val="1"/>
          <w:numId w:val="2"/>
        </w:numPr>
        <w:spacing w:line="360" w:lineRule="auto"/>
        <w:jc w:val="both"/>
      </w:pPr>
      <w:commentRangeStart w:id="3"/>
      <w:r>
        <w:t>The Working Group considered the responses and advised that the debate on the adoption of equipment installed by an ICP was a valid point but outside of the scope of this CP.</w:t>
      </w:r>
      <w:commentRangeEnd w:id="3"/>
      <w:r>
        <w:rPr>
          <w:rStyle w:val="CommentReference"/>
          <w:rFonts w:ascii="Times New Roman" w:hAnsi="Times New Roman"/>
          <w:bCs w:val="0"/>
          <w:iCs w:val="0"/>
        </w:rPr>
        <w:commentReference w:id="3"/>
      </w:r>
    </w:p>
    <w:p w:rsidR="004E6E03" w:rsidRPr="00342B85" w:rsidRDefault="00E61F01" w:rsidP="00774DAF">
      <w:pPr>
        <w:pStyle w:val="Heading1"/>
        <w:numPr>
          <w:ilvl w:val="0"/>
          <w:numId w:val="2"/>
        </w:numPr>
        <w:spacing w:line="360" w:lineRule="auto"/>
        <w:jc w:val="both"/>
      </w:pPr>
      <w:r>
        <w:t>D</w:t>
      </w:r>
      <w:r w:rsidR="00DF187B">
        <w:t>CP 19</w:t>
      </w:r>
      <w:r w:rsidR="00226DB2">
        <w:t>0</w:t>
      </w:r>
      <w:r w:rsidR="004E6E03" w:rsidRPr="00342B85">
        <w:t xml:space="preserve"> </w:t>
      </w:r>
      <w:r w:rsidR="00716440">
        <w:t xml:space="preserve">and DCP 190A </w:t>
      </w:r>
      <w:r w:rsidR="004E6E03" w:rsidRPr="00342B85">
        <w:t xml:space="preserve">WORKING GROUP </w:t>
      </w:r>
      <w:r w:rsidR="004039FE">
        <w:t>C</w:t>
      </w:r>
      <w:r w:rsidR="00224BF1" w:rsidRPr="00342B85">
        <w:t>ONCLUSIONS</w:t>
      </w:r>
    </w:p>
    <w:p w:rsidR="0033023F" w:rsidRDefault="0033023F" w:rsidP="00CC1894">
      <w:pPr>
        <w:pStyle w:val="Heading2"/>
        <w:keepNext w:val="0"/>
        <w:numPr>
          <w:ilvl w:val="1"/>
          <w:numId w:val="2"/>
        </w:numPr>
        <w:tabs>
          <w:tab w:val="num" w:pos="709"/>
        </w:tabs>
        <w:spacing w:line="360" w:lineRule="auto"/>
        <w:jc w:val="both"/>
      </w:pPr>
      <w:r>
        <w:t>The Working Group reviewed each of the responses received to consultation one and concluded that the majority of the respondents understood the intent of DCP 190.</w:t>
      </w:r>
    </w:p>
    <w:p w:rsidR="0033023F" w:rsidRDefault="0033023F" w:rsidP="00CC1894">
      <w:pPr>
        <w:pStyle w:val="Heading2"/>
        <w:keepNext w:val="0"/>
        <w:numPr>
          <w:ilvl w:val="1"/>
          <w:numId w:val="2"/>
        </w:numPr>
        <w:tabs>
          <w:tab w:val="num" w:pos="709"/>
        </w:tabs>
        <w:spacing w:line="360" w:lineRule="auto"/>
        <w:jc w:val="both"/>
      </w:pPr>
      <w:r>
        <w:t xml:space="preserve">The Working Group agreed that all respondents were supportive of the principle of the CP. </w:t>
      </w:r>
    </w:p>
    <w:p w:rsidR="00A17ED5" w:rsidRDefault="004B0AEE" w:rsidP="00774DAF">
      <w:pPr>
        <w:pStyle w:val="Heading2"/>
        <w:keepNext w:val="0"/>
        <w:numPr>
          <w:ilvl w:val="1"/>
          <w:numId w:val="2"/>
        </w:numPr>
        <w:tabs>
          <w:tab w:val="num" w:pos="709"/>
        </w:tabs>
        <w:spacing w:line="360" w:lineRule="auto"/>
        <w:jc w:val="both"/>
      </w:pPr>
      <w:r>
        <w:t>The Working Group noted that the majority of respondents</w:t>
      </w:r>
      <w:r w:rsidR="0033023F">
        <w:t xml:space="preserve"> considered that DCUSA Charging Objectives 1 and 3 were better facilitated by this CP</w:t>
      </w:r>
      <w:r>
        <w:t xml:space="preserve">. The Working Group agreed that the CP </w:t>
      </w:r>
      <w:r w:rsidR="0033023F">
        <w:t>better facilitated DCUSA General Objective three and DCUSA Charging Objectives one and three</w:t>
      </w:r>
      <w:r>
        <w:t>.</w:t>
      </w:r>
      <w:r w:rsidR="0082114D">
        <w:t xml:space="preserve"> The reasoning for this view is explained </w:t>
      </w:r>
      <w:r w:rsidR="00DD61A2">
        <w:t xml:space="preserve">in section </w:t>
      </w:r>
      <w:r w:rsidR="00DD61A2" w:rsidRPr="00DD61A2">
        <w:rPr>
          <w:highlight w:val="yellow"/>
        </w:rPr>
        <w:t>nine</w:t>
      </w:r>
      <w:r w:rsidR="0082114D" w:rsidRPr="00774DAF">
        <w:t xml:space="preserve"> of this Change</w:t>
      </w:r>
      <w:r w:rsidR="0082114D">
        <w:t xml:space="preserve"> Report.</w:t>
      </w:r>
    </w:p>
    <w:p w:rsidR="00253BE8" w:rsidRDefault="00253BE8" w:rsidP="00774DAF">
      <w:pPr>
        <w:pStyle w:val="Heading2"/>
        <w:keepNext w:val="0"/>
        <w:numPr>
          <w:ilvl w:val="1"/>
          <w:numId w:val="2"/>
        </w:numPr>
        <w:tabs>
          <w:tab w:val="num" w:pos="709"/>
        </w:tabs>
        <w:spacing w:line="360" w:lineRule="auto"/>
        <w:jc w:val="both"/>
      </w:pPr>
      <w:r w:rsidRPr="00342B85">
        <w:t>The Working Group concluded that the CP will provide the following benefits:</w:t>
      </w:r>
    </w:p>
    <w:p w:rsidR="003E0BDF" w:rsidRPr="006C757C" w:rsidRDefault="003E0BDF" w:rsidP="003E0BDF">
      <w:pPr>
        <w:pStyle w:val="Heading2"/>
        <w:keepNext w:val="0"/>
        <w:widowControl w:val="0"/>
        <w:numPr>
          <w:ilvl w:val="0"/>
          <w:numId w:val="5"/>
        </w:numPr>
        <w:spacing w:line="360" w:lineRule="auto"/>
        <w:jc w:val="both"/>
      </w:pPr>
      <w:r w:rsidRPr="006C757C">
        <w:t xml:space="preserve">Customers will receive a credit where appropriate for the value of any equipment recovered by DNOs that can subsequently be reused thus better reflecting </w:t>
      </w:r>
      <w:r>
        <w:t xml:space="preserve">the costs incurred; </w:t>
      </w:r>
    </w:p>
    <w:p w:rsidR="00CC1894" w:rsidRPr="006C757C" w:rsidRDefault="005F62C4" w:rsidP="00CC1894">
      <w:pPr>
        <w:pStyle w:val="Heading2"/>
        <w:keepNext w:val="0"/>
        <w:widowControl w:val="0"/>
        <w:numPr>
          <w:ilvl w:val="0"/>
          <w:numId w:val="5"/>
        </w:numPr>
        <w:spacing w:line="360" w:lineRule="auto"/>
        <w:jc w:val="both"/>
      </w:pPr>
      <w:r w:rsidRPr="006C757C">
        <w:t>It will meet the obligation</w:t>
      </w:r>
      <w:r w:rsidR="000B2718" w:rsidRPr="006C757C">
        <w:t>s</w:t>
      </w:r>
      <w:r w:rsidRPr="006C757C">
        <w:t xml:space="preserve"> of DNOs</w:t>
      </w:r>
      <w:r w:rsidR="000B2718" w:rsidRPr="006C757C">
        <w:t xml:space="preserve"> imposed upon them in their Distribution Licence</w:t>
      </w:r>
      <w:r w:rsidR="003E0BDF">
        <w:t>; and</w:t>
      </w:r>
    </w:p>
    <w:p w:rsidR="0033023F" w:rsidRDefault="00CC1894" w:rsidP="004C0F4B">
      <w:pPr>
        <w:pStyle w:val="Heading2"/>
        <w:keepNext w:val="0"/>
        <w:widowControl w:val="0"/>
        <w:numPr>
          <w:ilvl w:val="0"/>
          <w:numId w:val="5"/>
        </w:numPr>
        <w:spacing w:line="360" w:lineRule="auto"/>
        <w:jc w:val="both"/>
      </w:pPr>
      <w:r w:rsidRPr="006C757C">
        <w:t>It will meet the obligations of DNOs imposed upon them in the fulfilment of Electricity Act Section 9.</w:t>
      </w:r>
    </w:p>
    <w:p w:rsidR="001E3EC2" w:rsidRPr="00261AC0" w:rsidRDefault="001E3EC2" w:rsidP="00FB2368">
      <w:pPr>
        <w:pStyle w:val="Heading1"/>
        <w:numPr>
          <w:ilvl w:val="0"/>
          <w:numId w:val="2"/>
        </w:numPr>
        <w:spacing w:line="360" w:lineRule="auto"/>
        <w:jc w:val="both"/>
      </w:pPr>
      <w:r>
        <w:t xml:space="preserve">ALTERNATE </w:t>
      </w:r>
      <w:commentRangeStart w:id="4"/>
      <w:r>
        <w:t>CHANGE PROPOSAL</w:t>
      </w:r>
      <w:r w:rsidRPr="00261AC0">
        <w:t xml:space="preserve"> RAISED</w:t>
      </w:r>
      <w:commentRangeEnd w:id="4"/>
      <w:r w:rsidRPr="00FB2368">
        <w:commentReference w:id="4"/>
      </w:r>
    </w:p>
    <w:p w:rsidR="00DD61A2" w:rsidRDefault="001E3EC2" w:rsidP="0006034C">
      <w:pPr>
        <w:pStyle w:val="Heading2"/>
        <w:keepNext w:val="0"/>
        <w:numPr>
          <w:ilvl w:val="1"/>
          <w:numId w:val="2"/>
        </w:numPr>
        <w:spacing w:line="360" w:lineRule="auto"/>
        <w:jc w:val="both"/>
      </w:pPr>
      <w:r>
        <w:t>One</w:t>
      </w:r>
      <w:r w:rsidR="00A85473">
        <w:t xml:space="preserve"> Working Group member</w:t>
      </w:r>
      <w:r>
        <w:t xml:space="preserve"> disagreed with the Working Group’s preferred solution and exercised the right to raise an alternate proposal (DCP190A, Attachment 3 to this report). </w:t>
      </w:r>
    </w:p>
    <w:p w:rsidR="002A16A4" w:rsidRDefault="002A16A4" w:rsidP="0006034C">
      <w:pPr>
        <w:pStyle w:val="Heading2"/>
        <w:keepNext w:val="0"/>
        <w:numPr>
          <w:ilvl w:val="1"/>
          <w:numId w:val="2"/>
        </w:numPr>
        <w:spacing w:line="360" w:lineRule="auto"/>
        <w:jc w:val="both"/>
      </w:pPr>
      <w:r>
        <w:t xml:space="preserve">In the alternate proposals </w:t>
      </w:r>
      <w:r w:rsidR="00A85473">
        <w:t>draft legal text</w:t>
      </w:r>
      <w:r>
        <w:t xml:space="preserve"> (incorporated in to Consultation one)</w:t>
      </w:r>
      <w:r w:rsidR="00A85473">
        <w:t xml:space="preserve"> the word “will” replaces the word “may” to prevent DNOs from choosing to not provide a credit to a customer through the o</w:t>
      </w:r>
      <w:r>
        <w:t>pen interpretation of proposed C</w:t>
      </w:r>
      <w:r w:rsidR="00A85473">
        <w:t>lause 1.33.</w:t>
      </w:r>
      <w:r w:rsidR="00DD61A2">
        <w:t xml:space="preserve"> </w:t>
      </w:r>
    </w:p>
    <w:p w:rsidR="004B1FEA" w:rsidRDefault="004B1FEA" w:rsidP="0006034C">
      <w:pPr>
        <w:pStyle w:val="Heading2"/>
        <w:keepNext w:val="0"/>
        <w:numPr>
          <w:ilvl w:val="1"/>
          <w:numId w:val="2"/>
        </w:numPr>
        <w:tabs>
          <w:tab w:val="num" w:pos="709"/>
        </w:tabs>
        <w:spacing w:line="360" w:lineRule="auto"/>
        <w:jc w:val="both"/>
      </w:pPr>
      <w:r w:rsidRPr="002461EA">
        <w:t>Following the review of responses to consultation one</w:t>
      </w:r>
      <w:r>
        <w:t xml:space="preserve">, the Working Group </w:t>
      </w:r>
      <w:r w:rsidRPr="002461EA">
        <w:t>agreed that the DNO should undertake the process of calculating a credit for the equipment before determining whether the Customer was due a refund for this equipment</w:t>
      </w:r>
      <w:r>
        <w:t xml:space="preserve">. </w:t>
      </w:r>
      <w:r w:rsidR="001E3EC2">
        <w:t>Further analysis was unde</w:t>
      </w:r>
      <w:r w:rsidR="00A85473">
        <w:t xml:space="preserve">rtaken in developing the </w:t>
      </w:r>
      <w:r w:rsidR="001E3EC2">
        <w:t>legal text</w:t>
      </w:r>
      <w:r w:rsidR="002A16A4">
        <w:t xml:space="preserve"> </w:t>
      </w:r>
      <w:r>
        <w:t>for both DCP 190 and DCP 190A</w:t>
      </w:r>
      <w:r w:rsidR="003F4134">
        <w:t xml:space="preserve"> CPs</w:t>
      </w:r>
      <w:r>
        <w:t xml:space="preserve"> </w:t>
      </w:r>
      <w:r w:rsidR="002A16A4">
        <w:t>with the legal advisor</w:t>
      </w:r>
      <w:r>
        <w:t xml:space="preserve"> in an attempt to find a common approach</w:t>
      </w:r>
      <w:r w:rsidR="001E3EC2">
        <w:t>.</w:t>
      </w:r>
      <w:r w:rsidR="002A16A4">
        <w:t xml:space="preserve"> </w:t>
      </w:r>
      <w:r>
        <w:t>The proposer remained concerned that the approach taken by DCP 190 would provide an inconsistent approach to providing a credit to customers across the DNOs licence areas and decided to retain the alternate CP.</w:t>
      </w:r>
    </w:p>
    <w:p w:rsidR="002A16A4" w:rsidRDefault="004B1FEA" w:rsidP="002A16A4">
      <w:pPr>
        <w:pStyle w:val="Heading2"/>
        <w:keepNext w:val="0"/>
        <w:numPr>
          <w:ilvl w:val="1"/>
          <w:numId w:val="2"/>
        </w:numPr>
        <w:spacing w:line="360" w:lineRule="auto"/>
        <w:jc w:val="both"/>
      </w:pPr>
      <w:r>
        <w:t>Under Consultation two the proposer modified the legal text to provide a credit to the customer less the net value of the depreciation, removal and refurbishment costs.</w:t>
      </w:r>
      <w:r w:rsidR="002A16A4">
        <w:t xml:space="preserve"> </w:t>
      </w:r>
      <w:r>
        <w:t>The legal text for the alternate proposal acts as Attachment 2 to this report.</w:t>
      </w:r>
    </w:p>
    <w:p w:rsidR="004E6E03" w:rsidRPr="00FB2368" w:rsidRDefault="004E6E03" w:rsidP="00774DAF">
      <w:pPr>
        <w:pStyle w:val="Heading1"/>
        <w:numPr>
          <w:ilvl w:val="0"/>
          <w:numId w:val="2"/>
        </w:numPr>
        <w:spacing w:line="360" w:lineRule="auto"/>
        <w:jc w:val="both"/>
      </w:pPr>
      <w:r w:rsidRPr="00FB2368">
        <w:t>PROPOSED LEGAL TEXT</w:t>
      </w:r>
    </w:p>
    <w:p w:rsidR="00AE6794" w:rsidRPr="00342B85" w:rsidRDefault="00A17ED5" w:rsidP="00552FB0">
      <w:pPr>
        <w:pStyle w:val="Heading2"/>
        <w:keepNext w:val="0"/>
        <w:numPr>
          <w:ilvl w:val="1"/>
          <w:numId w:val="2"/>
        </w:numPr>
        <w:tabs>
          <w:tab w:val="num" w:pos="709"/>
        </w:tabs>
        <w:spacing w:line="360" w:lineRule="auto"/>
        <w:jc w:val="both"/>
      </w:pPr>
      <w:r w:rsidRPr="00342B85">
        <w:t>The draft legal text</w:t>
      </w:r>
      <w:r w:rsidR="00552FB0">
        <w:t xml:space="preserve"> of both DCP 190 and DCP 190A</w:t>
      </w:r>
      <w:r w:rsidRPr="00342B85">
        <w:t xml:space="preserve"> has been reviewed by </w:t>
      </w:r>
      <w:r w:rsidR="00BE4814">
        <w:t>the DCUSA Legal Advisor</w:t>
      </w:r>
      <w:r w:rsidRPr="00342B85">
        <w:t xml:space="preserve"> and </w:t>
      </w:r>
      <w:r w:rsidR="005D3851">
        <w:t>acts as</w:t>
      </w:r>
      <w:r w:rsidRPr="00342B85">
        <w:t xml:space="preserve"> A</w:t>
      </w:r>
      <w:r w:rsidR="00552FB0">
        <w:t>ttachment 1</w:t>
      </w:r>
      <w:r w:rsidRPr="00342B85">
        <w:t xml:space="preserve">. </w:t>
      </w:r>
    </w:p>
    <w:p w:rsidR="009D5EC6" w:rsidRPr="00FB2368" w:rsidRDefault="009D5EC6" w:rsidP="00774DAF">
      <w:pPr>
        <w:pStyle w:val="Heading1"/>
        <w:numPr>
          <w:ilvl w:val="0"/>
          <w:numId w:val="2"/>
        </w:numPr>
        <w:spacing w:line="360" w:lineRule="auto"/>
        <w:jc w:val="both"/>
      </w:pPr>
      <w:r w:rsidRPr="00FB2368">
        <w:t>EVALUATION AGAINST THE DCUSA</w:t>
      </w:r>
      <w:r w:rsidR="00593A36" w:rsidRPr="00FB2368">
        <w:t xml:space="preserve"> </w:t>
      </w:r>
      <w:commentRangeStart w:id="5"/>
      <w:r w:rsidR="00593A36" w:rsidRPr="00FB2368">
        <w:t>OBJECTIVES</w:t>
      </w:r>
      <w:commentRangeEnd w:id="5"/>
      <w:r w:rsidR="00693B5E" w:rsidRPr="00FB2368">
        <w:commentReference w:id="5"/>
      </w:r>
    </w:p>
    <w:p w:rsidR="00166100" w:rsidRDefault="00166100" w:rsidP="00FB2368">
      <w:pPr>
        <w:pStyle w:val="Heading2"/>
        <w:keepNext w:val="0"/>
        <w:numPr>
          <w:ilvl w:val="1"/>
          <w:numId w:val="2"/>
        </w:numPr>
        <w:tabs>
          <w:tab w:val="num" w:pos="709"/>
        </w:tabs>
        <w:spacing w:line="360" w:lineRule="auto"/>
        <w:jc w:val="both"/>
      </w:pPr>
      <w:r w:rsidRPr="00342B85">
        <w:t xml:space="preserve">The </w:t>
      </w:r>
      <w:r>
        <w:t xml:space="preserve">majority of the </w:t>
      </w:r>
      <w:r w:rsidRPr="00342B85">
        <w:t xml:space="preserve">Working Group </w:t>
      </w:r>
      <w:r>
        <w:t xml:space="preserve">considers </w:t>
      </w:r>
      <w:r w:rsidRPr="00342B85">
        <w:t>that</w:t>
      </w:r>
      <w:r>
        <w:t xml:space="preserve"> </w:t>
      </w:r>
      <w:r w:rsidRPr="00AD5B5F">
        <w:t>DCUSA General Objective</w:t>
      </w:r>
      <w:r>
        <w:t xml:space="preserve"> 1 </w:t>
      </w:r>
      <w:r w:rsidRPr="00AD5B5F">
        <w:t xml:space="preserve">and DCUSA </w:t>
      </w:r>
      <w:r>
        <w:t>Charging Objective</w:t>
      </w:r>
      <w:r w:rsidR="00DB17E8">
        <w:t>s</w:t>
      </w:r>
      <w:r>
        <w:t xml:space="preserve"> 1 and 3</w:t>
      </w:r>
      <w:r w:rsidRPr="00AD5B5F">
        <w:t xml:space="preserve"> </w:t>
      </w:r>
      <w:r>
        <w:t xml:space="preserve">are better facilitated by DCP 190. Some Working Group members consider </w:t>
      </w:r>
      <w:r w:rsidRPr="00342B85">
        <w:t>that</w:t>
      </w:r>
      <w:r>
        <w:t xml:space="preserve"> </w:t>
      </w:r>
      <w:r w:rsidRPr="00AD5B5F">
        <w:t>DCUSA General Objective</w:t>
      </w:r>
      <w:r>
        <w:t xml:space="preserve">s - </w:t>
      </w:r>
      <w:r w:rsidRPr="00AD5B5F">
        <w:t xml:space="preserve">and DCUSA </w:t>
      </w:r>
      <w:r>
        <w:t>Charging Objective -</w:t>
      </w:r>
      <w:r w:rsidRPr="00AD5B5F">
        <w:t xml:space="preserve"> </w:t>
      </w:r>
      <w:r>
        <w:t>are better facilitated by DCP 190A. The reasoning against each objective is detailed below</w:t>
      </w:r>
      <w:r w:rsidRPr="00342B85">
        <w:t>:</w:t>
      </w:r>
    </w:p>
    <w:p w:rsidR="00990ADD" w:rsidRPr="00DB17E8" w:rsidRDefault="00FC2106" w:rsidP="00DB17E8">
      <w:pPr>
        <w:pStyle w:val="Heading2"/>
        <w:keepNext w:val="0"/>
        <w:tabs>
          <w:tab w:val="clear" w:pos="360"/>
          <w:tab w:val="left" w:pos="2552"/>
        </w:tabs>
        <w:spacing w:after="120" w:line="360" w:lineRule="auto"/>
        <w:ind w:left="2127" w:hanging="1560"/>
        <w:jc w:val="both"/>
        <w:rPr>
          <w:b/>
        </w:rPr>
      </w:pPr>
      <w:r w:rsidRPr="0082790B">
        <w:rPr>
          <w:b/>
        </w:rPr>
        <w:t>Objective 1</w:t>
      </w:r>
      <w:r w:rsidR="00990ADD" w:rsidRPr="0082790B">
        <w:rPr>
          <w:b/>
        </w:rPr>
        <w:t>–</w:t>
      </w:r>
      <w:r w:rsidR="00DB17E8">
        <w:rPr>
          <w:b/>
        </w:rPr>
        <w:tab/>
      </w:r>
      <w:r w:rsidR="00EA79CB" w:rsidRPr="00DB17E8">
        <w:rPr>
          <w:i/>
        </w:rPr>
        <w:t>The development, maintenance and operation by the DNO Parties and IDNO Parties of efficient, co-ordinated, and economical Distribution Networks</w:t>
      </w:r>
      <w:r w:rsidR="001A132B" w:rsidRPr="00DB17E8">
        <w:rPr>
          <w:i/>
        </w:rPr>
        <w:t>.</w:t>
      </w:r>
      <w:r w:rsidR="00D846F5" w:rsidRPr="00DB17E8">
        <w:rPr>
          <w:b/>
        </w:rPr>
        <w:t xml:space="preserve"> </w:t>
      </w:r>
    </w:p>
    <w:p w:rsidR="00A00BCE" w:rsidRDefault="00166100" w:rsidP="00A00BCE">
      <w:pPr>
        <w:pStyle w:val="Heading2"/>
        <w:keepNext w:val="0"/>
        <w:widowControl w:val="0"/>
        <w:numPr>
          <w:ilvl w:val="0"/>
          <w:numId w:val="5"/>
        </w:numPr>
        <w:spacing w:line="360" w:lineRule="auto"/>
        <w:jc w:val="both"/>
      </w:pPr>
      <w:r>
        <w:rPr>
          <w:b/>
        </w:rPr>
        <w:t xml:space="preserve">Majority </w:t>
      </w:r>
      <w:r w:rsidRPr="00FB3819">
        <w:rPr>
          <w:b/>
        </w:rPr>
        <w:t>Working Group view</w:t>
      </w:r>
      <w:r>
        <w:rPr>
          <w:b/>
        </w:rPr>
        <w:t xml:space="preserve"> on DCP 190</w:t>
      </w:r>
      <w:r w:rsidRPr="00FB3819">
        <w:rPr>
          <w:b/>
        </w:rPr>
        <w:t>:</w:t>
      </w:r>
      <w:r w:rsidR="00A00BCE" w:rsidRPr="00041510">
        <w:rPr>
          <w:b/>
        </w:rPr>
        <w:t xml:space="preserve"> </w:t>
      </w:r>
      <w:r w:rsidR="00A00BCE" w:rsidRPr="00041510">
        <w:t xml:space="preserve">The Working Group agreed that the impact on </w:t>
      </w:r>
      <w:r w:rsidR="00A00BCE">
        <w:t>Objective one</w:t>
      </w:r>
      <w:r w:rsidR="00A00BCE" w:rsidRPr="00041510">
        <w:t xml:space="preserve"> is neutral.</w:t>
      </w:r>
    </w:p>
    <w:p w:rsidR="00166100" w:rsidRPr="00166100" w:rsidRDefault="00166100" w:rsidP="00166100">
      <w:pPr>
        <w:pStyle w:val="Heading2"/>
        <w:keepNext w:val="0"/>
        <w:widowControl w:val="0"/>
        <w:numPr>
          <w:ilvl w:val="0"/>
          <w:numId w:val="5"/>
        </w:numPr>
        <w:spacing w:line="360" w:lineRule="auto"/>
        <w:jc w:val="both"/>
      </w:pPr>
      <w:r w:rsidRPr="00166100">
        <w:rPr>
          <w:b/>
        </w:rPr>
        <w:t xml:space="preserve">Some Working Group members view on DCP 190A: </w:t>
      </w:r>
    </w:p>
    <w:p w:rsidR="00A00BCE" w:rsidRPr="00DB17E8" w:rsidRDefault="00DB17E8" w:rsidP="00DB17E8">
      <w:pPr>
        <w:pStyle w:val="Heading2"/>
        <w:keepNext w:val="0"/>
        <w:tabs>
          <w:tab w:val="clear" w:pos="360"/>
          <w:tab w:val="left" w:pos="2552"/>
        </w:tabs>
        <w:spacing w:after="120" w:line="360" w:lineRule="auto"/>
        <w:ind w:left="2127" w:hanging="1560"/>
        <w:jc w:val="both"/>
        <w:rPr>
          <w:b/>
        </w:rPr>
      </w:pPr>
      <w:proofErr w:type="gramStart"/>
      <w:r>
        <w:rPr>
          <w:b/>
        </w:rPr>
        <w:t>Objective 2</w:t>
      </w:r>
      <w:r w:rsidR="00FC2106" w:rsidRPr="0082790B">
        <w:rPr>
          <w:b/>
        </w:rPr>
        <w:t>–</w:t>
      </w:r>
      <w:r w:rsidR="00EA79CB" w:rsidRPr="00DB17E8">
        <w:rPr>
          <w:i/>
        </w:rPr>
        <w:t>The facilitation of effective competition in the generation and supply of electricity and (so far as is consistent therewith) the promotion of such competition in the sale, distribution and purchase of electricity</w:t>
      </w:r>
      <w:r w:rsidR="001A132B" w:rsidRPr="00DB17E8">
        <w:rPr>
          <w:i/>
        </w:rPr>
        <w:t>.</w:t>
      </w:r>
      <w:proofErr w:type="gramEnd"/>
      <w:r w:rsidR="007F72E7" w:rsidRPr="00DB17E8">
        <w:rPr>
          <w:b/>
        </w:rPr>
        <w:t xml:space="preserve"> </w:t>
      </w:r>
    </w:p>
    <w:p w:rsidR="00A00BCE" w:rsidRDefault="00166100" w:rsidP="00A00BCE">
      <w:pPr>
        <w:pStyle w:val="Heading2"/>
        <w:keepNext w:val="0"/>
        <w:widowControl w:val="0"/>
        <w:numPr>
          <w:ilvl w:val="0"/>
          <w:numId w:val="5"/>
        </w:numPr>
        <w:spacing w:line="360" w:lineRule="auto"/>
        <w:jc w:val="both"/>
      </w:pPr>
      <w:r>
        <w:rPr>
          <w:b/>
        </w:rPr>
        <w:t xml:space="preserve">Majority </w:t>
      </w:r>
      <w:r w:rsidRPr="00FB3819">
        <w:rPr>
          <w:b/>
        </w:rPr>
        <w:t>Working Group view</w:t>
      </w:r>
      <w:r>
        <w:rPr>
          <w:b/>
        </w:rPr>
        <w:t xml:space="preserve"> on DCP 190</w:t>
      </w:r>
      <w:r w:rsidRPr="00FB3819">
        <w:rPr>
          <w:b/>
        </w:rPr>
        <w:t>:</w:t>
      </w:r>
      <w:r w:rsidR="00A00BCE" w:rsidRPr="00A00BCE">
        <w:rPr>
          <w:b/>
        </w:rPr>
        <w:t xml:space="preserve"> </w:t>
      </w:r>
      <w:r w:rsidR="00A00BCE" w:rsidRPr="00041510">
        <w:t xml:space="preserve">The Working Group agreed that the impact on </w:t>
      </w:r>
      <w:r w:rsidR="00A00BCE">
        <w:t>Objective two</w:t>
      </w:r>
      <w:r w:rsidR="00A00BCE" w:rsidRPr="00041510">
        <w:t xml:space="preserve"> is neutral.</w:t>
      </w:r>
    </w:p>
    <w:p w:rsidR="00166100" w:rsidRPr="00166100" w:rsidRDefault="00166100" w:rsidP="00166100">
      <w:pPr>
        <w:pStyle w:val="Heading2"/>
        <w:keepNext w:val="0"/>
        <w:widowControl w:val="0"/>
        <w:numPr>
          <w:ilvl w:val="0"/>
          <w:numId w:val="5"/>
        </w:numPr>
        <w:spacing w:line="360" w:lineRule="auto"/>
        <w:jc w:val="both"/>
      </w:pPr>
      <w:r w:rsidRPr="00166100">
        <w:rPr>
          <w:b/>
        </w:rPr>
        <w:t xml:space="preserve">Some Working Group members view on DCP 190A: </w:t>
      </w:r>
    </w:p>
    <w:p w:rsidR="00A00BCE" w:rsidRDefault="00FC2106" w:rsidP="00DB17E8">
      <w:pPr>
        <w:pStyle w:val="Heading2"/>
        <w:keepNext w:val="0"/>
        <w:widowControl w:val="0"/>
        <w:tabs>
          <w:tab w:val="clear" w:pos="360"/>
        </w:tabs>
        <w:spacing w:line="360" w:lineRule="auto"/>
        <w:ind w:left="2127" w:hanging="1560"/>
        <w:jc w:val="both"/>
      </w:pPr>
      <w:r w:rsidRPr="0082790B">
        <w:rPr>
          <w:b/>
        </w:rPr>
        <w:t>Objective 3 –</w:t>
      </w:r>
      <w:r w:rsidR="00EA79CB" w:rsidRPr="0082790B">
        <w:t xml:space="preserve"> </w:t>
      </w:r>
      <w:r w:rsidR="00EA79CB" w:rsidRPr="0082790B">
        <w:rPr>
          <w:i/>
        </w:rPr>
        <w:t xml:space="preserve">The efficient discharge by the DNO Parties and IDNO Parties of </w:t>
      </w:r>
      <w:r w:rsidR="00DB17E8">
        <w:rPr>
          <w:i/>
        </w:rPr>
        <w:tab/>
      </w:r>
      <w:r w:rsidR="00EA79CB" w:rsidRPr="0082790B">
        <w:rPr>
          <w:i/>
        </w:rPr>
        <w:t>obligations imposed upon them in their Distribution Licences</w:t>
      </w:r>
      <w:r w:rsidR="001A132B" w:rsidRPr="0082790B">
        <w:rPr>
          <w:i/>
        </w:rPr>
        <w:t>.</w:t>
      </w:r>
      <w:r w:rsidR="0082790B">
        <w:t xml:space="preserve"> </w:t>
      </w:r>
    </w:p>
    <w:p w:rsidR="00A00BCE" w:rsidRDefault="00166100" w:rsidP="0033023F">
      <w:pPr>
        <w:pStyle w:val="Heading2"/>
        <w:keepNext w:val="0"/>
        <w:widowControl w:val="0"/>
        <w:numPr>
          <w:ilvl w:val="0"/>
          <w:numId w:val="5"/>
        </w:numPr>
        <w:spacing w:line="360" w:lineRule="auto"/>
        <w:jc w:val="both"/>
      </w:pPr>
      <w:r>
        <w:rPr>
          <w:b/>
        </w:rPr>
        <w:t xml:space="preserve">Majority </w:t>
      </w:r>
      <w:r w:rsidRPr="00FB3819">
        <w:rPr>
          <w:b/>
        </w:rPr>
        <w:t>Working Group view</w:t>
      </w:r>
      <w:r>
        <w:rPr>
          <w:b/>
        </w:rPr>
        <w:t xml:space="preserve"> on DCP 190</w:t>
      </w:r>
      <w:r w:rsidRPr="00FB3819">
        <w:rPr>
          <w:b/>
        </w:rPr>
        <w:t>:</w:t>
      </w:r>
      <w:r w:rsidR="00A00BCE" w:rsidRPr="00A00BCE">
        <w:rPr>
          <w:b/>
        </w:rPr>
        <w:t xml:space="preserve"> </w:t>
      </w:r>
      <w:r w:rsidR="00A00BCE" w:rsidRPr="0033023F">
        <w:t xml:space="preserve">The Working Group agreed that </w:t>
      </w:r>
      <w:r w:rsidR="0033023F" w:rsidRPr="0033023F">
        <w:t>objective three is better facilitated by DCP 19</w:t>
      </w:r>
      <w:r w:rsidR="00A00BCE" w:rsidRPr="0033023F">
        <w:t xml:space="preserve">0 as </w:t>
      </w:r>
      <w:r w:rsidR="0033023F" w:rsidRPr="0033023F">
        <w:t>it helps to fulfil the obligations imposed on the DNO under licence condition 13 and 14 (13.3c or 14.6A) of its Distribution licence</w:t>
      </w:r>
      <w:r w:rsidR="00A00BCE" w:rsidRPr="0033023F">
        <w:t>.</w:t>
      </w:r>
    </w:p>
    <w:p w:rsidR="00166100" w:rsidRPr="00166100" w:rsidRDefault="00166100" w:rsidP="00166100">
      <w:pPr>
        <w:pStyle w:val="Heading2"/>
        <w:keepNext w:val="0"/>
        <w:widowControl w:val="0"/>
        <w:numPr>
          <w:ilvl w:val="0"/>
          <w:numId w:val="5"/>
        </w:numPr>
        <w:spacing w:line="360" w:lineRule="auto"/>
        <w:jc w:val="both"/>
      </w:pPr>
      <w:r w:rsidRPr="00166100">
        <w:rPr>
          <w:b/>
        </w:rPr>
        <w:t xml:space="preserve">Some Working Group members view on DCP 190A: </w:t>
      </w:r>
    </w:p>
    <w:p w:rsidR="005B3DD3" w:rsidRPr="00DB17E8" w:rsidRDefault="00FC2106" w:rsidP="00DB17E8">
      <w:pPr>
        <w:pStyle w:val="Heading2"/>
        <w:keepNext w:val="0"/>
        <w:widowControl w:val="0"/>
        <w:tabs>
          <w:tab w:val="clear" w:pos="360"/>
        </w:tabs>
        <w:spacing w:line="360" w:lineRule="auto"/>
        <w:ind w:left="2127" w:hanging="1560"/>
        <w:jc w:val="both"/>
        <w:rPr>
          <w:b/>
        </w:rPr>
      </w:pPr>
      <w:r w:rsidRPr="00DB17E8">
        <w:rPr>
          <w:b/>
        </w:rPr>
        <w:t>Objective</w:t>
      </w:r>
      <w:r w:rsidRPr="001A132B">
        <w:rPr>
          <w:b/>
        </w:rPr>
        <w:t xml:space="preserve"> 4</w:t>
      </w:r>
      <w:r w:rsidRPr="00DB17E8">
        <w:rPr>
          <w:b/>
        </w:rPr>
        <w:t xml:space="preserve"> –</w:t>
      </w:r>
      <w:r w:rsidR="00EA79CB" w:rsidRPr="00DB17E8">
        <w:rPr>
          <w:b/>
        </w:rPr>
        <w:t xml:space="preserve"> </w:t>
      </w:r>
      <w:r w:rsidR="00EA79CB" w:rsidRPr="00DB17E8">
        <w:rPr>
          <w:i/>
        </w:rPr>
        <w:t xml:space="preserve">The promotion of efficiency in the implementation and </w:t>
      </w:r>
      <w:r w:rsidR="00DB17E8" w:rsidRPr="00DB17E8">
        <w:rPr>
          <w:i/>
        </w:rPr>
        <w:tab/>
      </w:r>
      <w:r w:rsidR="00DB17E8" w:rsidRPr="00DB17E8">
        <w:rPr>
          <w:i/>
        </w:rPr>
        <w:tab/>
      </w:r>
      <w:r w:rsidR="00EA79CB" w:rsidRPr="00DB17E8">
        <w:rPr>
          <w:i/>
        </w:rPr>
        <w:t>administration of this Agreement</w:t>
      </w:r>
      <w:r w:rsidR="001A132B" w:rsidRPr="00DB17E8">
        <w:rPr>
          <w:i/>
        </w:rPr>
        <w:t>.</w:t>
      </w:r>
      <w:r w:rsidR="0082790B" w:rsidRPr="00DB17E8">
        <w:rPr>
          <w:b/>
        </w:rPr>
        <w:t xml:space="preserve"> </w:t>
      </w:r>
    </w:p>
    <w:p w:rsidR="00A00BCE" w:rsidRDefault="00166100" w:rsidP="00B524B4">
      <w:pPr>
        <w:pStyle w:val="Heading2"/>
        <w:keepNext w:val="0"/>
        <w:widowControl w:val="0"/>
        <w:numPr>
          <w:ilvl w:val="0"/>
          <w:numId w:val="5"/>
        </w:numPr>
        <w:spacing w:line="360" w:lineRule="auto"/>
        <w:jc w:val="both"/>
      </w:pPr>
      <w:r>
        <w:rPr>
          <w:b/>
        </w:rPr>
        <w:t xml:space="preserve">Majority </w:t>
      </w:r>
      <w:r w:rsidRPr="00FB3819">
        <w:rPr>
          <w:b/>
        </w:rPr>
        <w:t>Working Group view</w:t>
      </w:r>
      <w:r>
        <w:rPr>
          <w:b/>
        </w:rPr>
        <w:t xml:space="preserve"> on DCP 190</w:t>
      </w:r>
      <w:r w:rsidRPr="00FB3819">
        <w:rPr>
          <w:b/>
        </w:rPr>
        <w:t>:</w:t>
      </w:r>
      <w:r w:rsidR="0033023F" w:rsidRPr="0033023F">
        <w:t xml:space="preserve"> </w:t>
      </w:r>
      <w:r w:rsidR="0033023F" w:rsidRPr="00041510">
        <w:t xml:space="preserve">The Working Group agreed that the impact on </w:t>
      </w:r>
      <w:r w:rsidR="0033023F">
        <w:t xml:space="preserve">Objective four </w:t>
      </w:r>
      <w:r w:rsidR="0033023F" w:rsidRPr="00041510">
        <w:t>is neutral.</w:t>
      </w:r>
    </w:p>
    <w:p w:rsidR="00166100" w:rsidRPr="00166100" w:rsidRDefault="00166100" w:rsidP="00166100">
      <w:pPr>
        <w:pStyle w:val="Heading2"/>
        <w:keepNext w:val="0"/>
        <w:widowControl w:val="0"/>
        <w:numPr>
          <w:ilvl w:val="0"/>
          <w:numId w:val="5"/>
        </w:numPr>
        <w:spacing w:line="360" w:lineRule="auto"/>
        <w:jc w:val="both"/>
      </w:pPr>
      <w:r w:rsidRPr="00166100">
        <w:rPr>
          <w:b/>
        </w:rPr>
        <w:t xml:space="preserve">Some Working Group members view on DCP 190A: </w:t>
      </w:r>
    </w:p>
    <w:p w:rsidR="00A00BCE" w:rsidRPr="00DB17E8" w:rsidRDefault="001E1D36" w:rsidP="00DB17E8">
      <w:pPr>
        <w:pStyle w:val="Heading2"/>
        <w:keepNext w:val="0"/>
        <w:widowControl w:val="0"/>
        <w:tabs>
          <w:tab w:val="clear" w:pos="360"/>
        </w:tabs>
        <w:spacing w:line="360" w:lineRule="auto"/>
        <w:ind w:left="2127" w:hanging="1560"/>
        <w:jc w:val="both"/>
        <w:rPr>
          <w:i/>
        </w:rPr>
      </w:pPr>
      <w:r w:rsidRPr="001E1D36">
        <w:rPr>
          <w:b/>
        </w:rPr>
        <w:t>Objectiv</w:t>
      </w:r>
      <w:r w:rsidRPr="00DB17E8">
        <w:rPr>
          <w:b/>
        </w:rPr>
        <w:t xml:space="preserve">e </w:t>
      </w:r>
      <w:r w:rsidR="00FC2106" w:rsidRPr="00DB17E8">
        <w:rPr>
          <w:b/>
        </w:rPr>
        <w:t>5</w:t>
      </w:r>
      <w:r w:rsidR="00DB17E8">
        <w:rPr>
          <w:b/>
        </w:rPr>
        <w:t xml:space="preserve"> </w:t>
      </w:r>
      <w:r w:rsidRPr="00DB17E8">
        <w:rPr>
          <w:b/>
        </w:rPr>
        <w:t>–</w:t>
      </w:r>
      <w:r w:rsidR="00DB17E8">
        <w:rPr>
          <w:b/>
        </w:rPr>
        <w:tab/>
      </w:r>
      <w:r w:rsidRPr="00DB17E8">
        <w:rPr>
          <w:i/>
        </w:rPr>
        <w:t>Compliance with the Regulation on Cross-Border Exchange in Electricity and any relevant legally bi</w:t>
      </w:r>
      <w:r w:rsidR="00EA79CB" w:rsidRPr="00DB17E8">
        <w:rPr>
          <w:i/>
        </w:rPr>
        <w:t>nding decisions of the European Commission and/or the Agency for the Co-operation of Energy Regulators.</w:t>
      </w:r>
      <w:r w:rsidR="00047450" w:rsidRPr="00DB17E8">
        <w:rPr>
          <w:i/>
        </w:rPr>
        <w:t xml:space="preserve"> </w:t>
      </w:r>
    </w:p>
    <w:p w:rsidR="00A00BCE" w:rsidRDefault="00166100" w:rsidP="00A00BCE">
      <w:pPr>
        <w:pStyle w:val="Heading2"/>
        <w:keepNext w:val="0"/>
        <w:widowControl w:val="0"/>
        <w:numPr>
          <w:ilvl w:val="0"/>
          <w:numId w:val="5"/>
        </w:numPr>
        <w:spacing w:line="360" w:lineRule="auto"/>
        <w:jc w:val="both"/>
      </w:pPr>
      <w:r>
        <w:rPr>
          <w:b/>
        </w:rPr>
        <w:t xml:space="preserve">Majority </w:t>
      </w:r>
      <w:r w:rsidRPr="00FB3819">
        <w:rPr>
          <w:b/>
        </w:rPr>
        <w:t>Working Group view</w:t>
      </w:r>
      <w:r>
        <w:rPr>
          <w:b/>
        </w:rPr>
        <w:t xml:space="preserve"> on DCP 190</w:t>
      </w:r>
      <w:r w:rsidRPr="00FB3819">
        <w:rPr>
          <w:b/>
        </w:rPr>
        <w:t>:</w:t>
      </w:r>
      <w:r w:rsidR="00A00BCE" w:rsidRPr="00A00BCE">
        <w:rPr>
          <w:b/>
        </w:rPr>
        <w:t xml:space="preserve"> </w:t>
      </w:r>
      <w:r w:rsidR="00A00BCE" w:rsidRPr="00041510">
        <w:t xml:space="preserve">The Working Group agreed that the impact on </w:t>
      </w:r>
      <w:r w:rsidR="00A00BCE">
        <w:t>Objective five</w:t>
      </w:r>
      <w:r w:rsidR="00A00BCE" w:rsidRPr="00041510">
        <w:t xml:space="preserve"> is neutral.</w:t>
      </w:r>
    </w:p>
    <w:p w:rsidR="00166100" w:rsidRPr="00166100" w:rsidRDefault="00166100" w:rsidP="00166100">
      <w:pPr>
        <w:pStyle w:val="Heading2"/>
        <w:keepNext w:val="0"/>
        <w:widowControl w:val="0"/>
        <w:numPr>
          <w:ilvl w:val="0"/>
          <w:numId w:val="5"/>
        </w:numPr>
        <w:spacing w:line="360" w:lineRule="auto"/>
        <w:jc w:val="both"/>
      </w:pPr>
      <w:r w:rsidRPr="00166100">
        <w:rPr>
          <w:b/>
        </w:rPr>
        <w:t xml:space="preserve">Some Working Group members view on DCP 190A: </w:t>
      </w:r>
    </w:p>
    <w:p w:rsidR="0033023F" w:rsidRDefault="0033023F" w:rsidP="0033023F">
      <w:pPr>
        <w:pStyle w:val="Heading2"/>
        <w:keepNext w:val="0"/>
        <w:tabs>
          <w:tab w:val="num" w:pos="709"/>
        </w:tabs>
        <w:spacing w:after="120" w:line="360" w:lineRule="auto"/>
        <w:ind w:left="709" w:firstLine="0"/>
        <w:jc w:val="both"/>
        <w:rPr>
          <w:b/>
          <w:u w:val="single"/>
        </w:rPr>
      </w:pPr>
      <w:r w:rsidRPr="0039493D">
        <w:rPr>
          <w:b/>
          <w:u w:val="single"/>
        </w:rPr>
        <w:t>Charging Objectives</w:t>
      </w:r>
    </w:p>
    <w:p w:rsidR="0033023F" w:rsidRDefault="0033023F" w:rsidP="0033023F">
      <w:pPr>
        <w:pStyle w:val="Heading2"/>
        <w:keepNext w:val="0"/>
        <w:tabs>
          <w:tab w:val="clear" w:pos="360"/>
        </w:tabs>
        <w:spacing w:after="120" w:line="360" w:lineRule="auto"/>
        <w:ind w:left="2694" w:hanging="1985"/>
        <w:jc w:val="both"/>
      </w:pPr>
      <w:r>
        <w:rPr>
          <w:b/>
        </w:rPr>
        <w:t xml:space="preserve">Objective One - </w:t>
      </w:r>
      <w:r w:rsidRPr="00FB3819">
        <w:rPr>
          <w:i/>
        </w:rPr>
        <w:t>That compliance by each DNO Party with the Charging Methodologies facilitates the discharge by the DNO Party of the obligations imposed on it under the Act and by its Distribution Licence.</w:t>
      </w:r>
    </w:p>
    <w:p w:rsidR="00166100" w:rsidRPr="00166100" w:rsidRDefault="0033023F" w:rsidP="00166100">
      <w:pPr>
        <w:pStyle w:val="Heading2"/>
        <w:keepNext w:val="0"/>
        <w:widowControl w:val="0"/>
        <w:numPr>
          <w:ilvl w:val="0"/>
          <w:numId w:val="5"/>
        </w:numPr>
        <w:spacing w:line="360" w:lineRule="auto"/>
        <w:jc w:val="both"/>
      </w:pPr>
      <w:r>
        <w:rPr>
          <w:b/>
        </w:rPr>
        <w:t xml:space="preserve">Majority </w:t>
      </w:r>
      <w:r w:rsidRPr="00FB3819">
        <w:rPr>
          <w:b/>
        </w:rPr>
        <w:t>Working Group view</w:t>
      </w:r>
      <w:r>
        <w:rPr>
          <w:b/>
        </w:rPr>
        <w:t xml:space="preserve"> on DCP 1</w:t>
      </w:r>
      <w:r w:rsidR="00166100">
        <w:rPr>
          <w:b/>
        </w:rPr>
        <w:t>90</w:t>
      </w:r>
      <w:r w:rsidRPr="00FB3819">
        <w:rPr>
          <w:b/>
        </w:rPr>
        <w:t>:</w:t>
      </w:r>
      <w:r>
        <w:rPr>
          <w:b/>
        </w:rPr>
        <w:t xml:space="preserve"> </w:t>
      </w:r>
      <w:r w:rsidRPr="00166100">
        <w:t>The majority of the Working Group agreed that Objective one is better facilitated by DCP 1</w:t>
      </w:r>
      <w:r w:rsidR="00166100" w:rsidRPr="00166100">
        <w:t>90 through the fulfilment of section 9 of the electricity act and distribution licence condition 13 and 14.</w:t>
      </w:r>
    </w:p>
    <w:p w:rsidR="0033023F" w:rsidRPr="00F9337D" w:rsidRDefault="0033023F" w:rsidP="0033023F">
      <w:pPr>
        <w:pStyle w:val="Heading2"/>
        <w:keepNext w:val="0"/>
        <w:widowControl w:val="0"/>
        <w:numPr>
          <w:ilvl w:val="0"/>
          <w:numId w:val="5"/>
        </w:numPr>
        <w:spacing w:line="360" w:lineRule="auto"/>
        <w:jc w:val="both"/>
      </w:pPr>
      <w:r>
        <w:rPr>
          <w:b/>
        </w:rPr>
        <w:t xml:space="preserve">Some </w:t>
      </w:r>
      <w:r w:rsidRPr="00FB3819">
        <w:rPr>
          <w:b/>
        </w:rPr>
        <w:t xml:space="preserve">Working Group </w:t>
      </w:r>
      <w:r>
        <w:rPr>
          <w:b/>
        </w:rPr>
        <w:t xml:space="preserve">members </w:t>
      </w:r>
      <w:r w:rsidRPr="00FB3819">
        <w:rPr>
          <w:b/>
        </w:rPr>
        <w:t>view</w:t>
      </w:r>
      <w:r w:rsidR="00166100">
        <w:rPr>
          <w:b/>
        </w:rPr>
        <w:t xml:space="preserve"> on DCP 190</w:t>
      </w:r>
      <w:r>
        <w:rPr>
          <w:b/>
        </w:rPr>
        <w:t>A</w:t>
      </w:r>
      <w:r w:rsidRPr="00FB3819">
        <w:rPr>
          <w:b/>
        </w:rPr>
        <w:t>:</w:t>
      </w:r>
      <w:r>
        <w:rPr>
          <w:b/>
        </w:rPr>
        <w:t xml:space="preserve"> </w:t>
      </w:r>
    </w:p>
    <w:p w:rsidR="0033023F" w:rsidRDefault="0033023F" w:rsidP="0033023F">
      <w:pPr>
        <w:pStyle w:val="Heading2"/>
        <w:keepNext w:val="0"/>
        <w:tabs>
          <w:tab w:val="clear" w:pos="360"/>
        </w:tabs>
        <w:spacing w:after="120" w:line="360" w:lineRule="auto"/>
        <w:ind w:left="2694" w:hanging="1985"/>
        <w:jc w:val="both"/>
        <w:rPr>
          <w:i/>
        </w:rPr>
      </w:pPr>
      <w:r w:rsidRPr="00E13C23">
        <w:rPr>
          <w:b/>
          <w:noProof/>
        </w:rPr>
        <w:t>Objective</w:t>
      </w:r>
      <w:r>
        <w:rPr>
          <w:b/>
          <w:noProof/>
        </w:rPr>
        <w:t xml:space="preserve"> T</w:t>
      </w:r>
      <w:r w:rsidRPr="00E13C23">
        <w:rPr>
          <w:b/>
          <w:noProof/>
        </w:rPr>
        <w:t>wo</w:t>
      </w:r>
      <w:r>
        <w:rPr>
          <w:noProof/>
        </w:rPr>
        <w:t xml:space="preserve"> - </w:t>
      </w:r>
      <w:r w:rsidRPr="004C0150">
        <w:rPr>
          <w: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33023F" w:rsidRDefault="0033023F" w:rsidP="0033023F">
      <w:pPr>
        <w:pStyle w:val="Heading2"/>
        <w:keepNext w:val="0"/>
        <w:widowControl w:val="0"/>
        <w:numPr>
          <w:ilvl w:val="0"/>
          <w:numId w:val="5"/>
        </w:numPr>
        <w:spacing w:line="360" w:lineRule="auto"/>
        <w:jc w:val="both"/>
      </w:pPr>
      <w:r>
        <w:rPr>
          <w:b/>
        </w:rPr>
        <w:t xml:space="preserve">Majority </w:t>
      </w:r>
      <w:r w:rsidRPr="00950048">
        <w:rPr>
          <w:b/>
        </w:rPr>
        <w:t>Working Group view</w:t>
      </w:r>
      <w:r>
        <w:rPr>
          <w:b/>
        </w:rPr>
        <w:t xml:space="preserve"> on DCP 1</w:t>
      </w:r>
      <w:r w:rsidR="00166100">
        <w:rPr>
          <w:b/>
        </w:rPr>
        <w:t>90</w:t>
      </w:r>
      <w:r w:rsidRPr="00950048">
        <w:rPr>
          <w:b/>
        </w:rPr>
        <w:t xml:space="preserve">: </w:t>
      </w:r>
      <w:r w:rsidRPr="00041510">
        <w:t xml:space="preserve">The </w:t>
      </w:r>
      <w:r>
        <w:t xml:space="preserve">majority of the </w:t>
      </w:r>
      <w:r w:rsidRPr="00041510">
        <w:t xml:space="preserve">Working Group agreed that the impact on </w:t>
      </w:r>
      <w:r>
        <w:t xml:space="preserve">Charging Objective two is neutral. </w:t>
      </w:r>
    </w:p>
    <w:p w:rsidR="0033023F" w:rsidRPr="00C066DA" w:rsidRDefault="0033023F" w:rsidP="0033023F">
      <w:pPr>
        <w:pStyle w:val="Heading2"/>
        <w:keepNext w:val="0"/>
        <w:widowControl w:val="0"/>
        <w:numPr>
          <w:ilvl w:val="0"/>
          <w:numId w:val="5"/>
        </w:numPr>
        <w:spacing w:line="360" w:lineRule="auto"/>
        <w:jc w:val="both"/>
      </w:pPr>
      <w:r w:rsidRPr="00EB7886">
        <w:rPr>
          <w:b/>
        </w:rPr>
        <w:t>Some Worki</w:t>
      </w:r>
      <w:r w:rsidR="00166100">
        <w:rPr>
          <w:b/>
        </w:rPr>
        <w:t>ng Group members view on DCP 190</w:t>
      </w:r>
      <w:r w:rsidRPr="00EB7886">
        <w:rPr>
          <w:b/>
        </w:rPr>
        <w:t xml:space="preserve">A: </w:t>
      </w:r>
    </w:p>
    <w:p w:rsidR="0033023F" w:rsidRDefault="0033023F" w:rsidP="0033023F">
      <w:pPr>
        <w:pStyle w:val="Heading2"/>
        <w:keepNext w:val="0"/>
        <w:tabs>
          <w:tab w:val="clear" w:pos="360"/>
        </w:tabs>
        <w:spacing w:after="120" w:line="360" w:lineRule="auto"/>
        <w:ind w:left="2694" w:hanging="1985"/>
        <w:jc w:val="both"/>
        <w:rPr>
          <w:i/>
          <w:noProof/>
        </w:rPr>
      </w:pPr>
      <w:r>
        <w:rPr>
          <w:b/>
          <w:noProof/>
        </w:rPr>
        <w:t>Objective T</w:t>
      </w:r>
      <w:r w:rsidRPr="00D26E9D">
        <w:rPr>
          <w:b/>
          <w:noProof/>
        </w:rPr>
        <w:t>hree</w:t>
      </w:r>
      <w:r>
        <w:rPr>
          <w:b/>
          <w:noProof/>
        </w:rPr>
        <w:t xml:space="preserve"> </w:t>
      </w:r>
      <w:r w:rsidR="00DB17E8">
        <w:rPr>
          <w:noProof/>
        </w:rPr>
        <w:t>-</w:t>
      </w:r>
      <w:r w:rsidRPr="004C0150">
        <w:rPr>
          <w:i/>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33023F" w:rsidRDefault="0033023F" w:rsidP="0033023F">
      <w:pPr>
        <w:pStyle w:val="Heading2"/>
        <w:keepNext w:val="0"/>
        <w:widowControl w:val="0"/>
        <w:numPr>
          <w:ilvl w:val="0"/>
          <w:numId w:val="5"/>
        </w:numPr>
        <w:spacing w:line="360" w:lineRule="auto"/>
        <w:jc w:val="both"/>
      </w:pPr>
      <w:r>
        <w:rPr>
          <w:b/>
        </w:rPr>
        <w:t xml:space="preserve">Majority </w:t>
      </w:r>
      <w:r w:rsidRPr="00950048">
        <w:rPr>
          <w:b/>
        </w:rPr>
        <w:t>Working Group view</w:t>
      </w:r>
      <w:r>
        <w:rPr>
          <w:b/>
        </w:rPr>
        <w:t xml:space="preserve"> on DCP 1</w:t>
      </w:r>
      <w:r w:rsidR="00166100">
        <w:rPr>
          <w:b/>
        </w:rPr>
        <w:t>90</w:t>
      </w:r>
      <w:r w:rsidRPr="00950048">
        <w:rPr>
          <w:b/>
        </w:rPr>
        <w:t xml:space="preserve">: </w:t>
      </w:r>
      <w:r w:rsidRPr="00041510">
        <w:t xml:space="preserve">The </w:t>
      </w:r>
      <w:r>
        <w:t xml:space="preserve">majority of the </w:t>
      </w:r>
      <w:r w:rsidRPr="00041510">
        <w:t xml:space="preserve">Working </w:t>
      </w:r>
      <w:r w:rsidR="00166100">
        <w:t xml:space="preserve">Group agreed that </w:t>
      </w:r>
      <w:r>
        <w:t xml:space="preserve">Charging Objective three </w:t>
      </w:r>
      <w:r w:rsidR="00166100">
        <w:t xml:space="preserve">was better facilitated by this change as </w:t>
      </w:r>
      <w:r w:rsidR="00166100">
        <w:rPr>
          <w:szCs w:val="24"/>
        </w:rPr>
        <w:t>the introduction of the provision of a credit to the customer for equipment that was reusable following the termination of a temporary connection would better reflect costs incurred</w:t>
      </w:r>
      <w:r>
        <w:t xml:space="preserve">. </w:t>
      </w:r>
    </w:p>
    <w:p w:rsidR="0033023F" w:rsidRPr="00567AD4" w:rsidRDefault="0033023F" w:rsidP="0033023F">
      <w:pPr>
        <w:pStyle w:val="Heading2"/>
        <w:keepNext w:val="0"/>
        <w:widowControl w:val="0"/>
        <w:numPr>
          <w:ilvl w:val="0"/>
          <w:numId w:val="5"/>
        </w:numPr>
        <w:spacing w:line="360" w:lineRule="auto"/>
        <w:jc w:val="both"/>
        <w:rPr>
          <w:i/>
        </w:rPr>
      </w:pPr>
      <w:r>
        <w:rPr>
          <w:b/>
        </w:rPr>
        <w:t xml:space="preserve">Some </w:t>
      </w:r>
      <w:r w:rsidRPr="00567AD4">
        <w:rPr>
          <w:b/>
        </w:rPr>
        <w:t>Working Group</w:t>
      </w:r>
      <w:r>
        <w:rPr>
          <w:b/>
        </w:rPr>
        <w:t xml:space="preserve"> members</w:t>
      </w:r>
      <w:r w:rsidR="00166100">
        <w:rPr>
          <w:b/>
        </w:rPr>
        <w:t xml:space="preserve"> view on DCP 190</w:t>
      </w:r>
      <w:r w:rsidRPr="00567AD4">
        <w:rPr>
          <w:b/>
        </w:rPr>
        <w:t xml:space="preserve">A: </w:t>
      </w:r>
    </w:p>
    <w:p w:rsidR="0033023F" w:rsidRPr="004C0150" w:rsidRDefault="0033023F" w:rsidP="0033023F">
      <w:pPr>
        <w:pStyle w:val="Heading2"/>
        <w:keepNext w:val="0"/>
        <w:tabs>
          <w:tab w:val="clear" w:pos="360"/>
        </w:tabs>
        <w:spacing w:after="120" w:line="360" w:lineRule="auto"/>
        <w:ind w:left="2694" w:hanging="1985"/>
        <w:jc w:val="both"/>
        <w:rPr>
          <w:i/>
          <w:noProof/>
        </w:rPr>
      </w:pPr>
      <w:r w:rsidRPr="00E13C23">
        <w:rPr>
          <w:b/>
          <w:noProof/>
        </w:rPr>
        <w:t xml:space="preserve">Objective </w:t>
      </w:r>
      <w:r>
        <w:rPr>
          <w:b/>
          <w:noProof/>
        </w:rPr>
        <w:t>F</w:t>
      </w:r>
      <w:r w:rsidRPr="00D26E9D">
        <w:rPr>
          <w:b/>
          <w:noProof/>
        </w:rPr>
        <w:t xml:space="preserve">our </w:t>
      </w:r>
      <w:r w:rsidRPr="00D26E9D">
        <w:rPr>
          <w:noProof/>
        </w:rPr>
        <w:t xml:space="preserve">- </w:t>
      </w:r>
      <w:r w:rsidRPr="004C0150">
        <w:rPr>
          <w:i/>
          <w:noProof/>
        </w:rPr>
        <w:t>That, so far as is consistent with Clauses 3.2.1 to 3.2.3, the Charging Methodologies, so far as is reasonably practicable, properly take account of developments in each DNO Party’s Distribution Business.</w:t>
      </w:r>
    </w:p>
    <w:p w:rsidR="0033023F" w:rsidRDefault="0033023F" w:rsidP="0033023F">
      <w:pPr>
        <w:pStyle w:val="Heading2"/>
        <w:keepNext w:val="0"/>
        <w:widowControl w:val="0"/>
        <w:numPr>
          <w:ilvl w:val="0"/>
          <w:numId w:val="5"/>
        </w:numPr>
        <w:spacing w:line="360" w:lineRule="auto"/>
        <w:jc w:val="both"/>
      </w:pPr>
      <w:r>
        <w:rPr>
          <w:b/>
        </w:rPr>
        <w:t xml:space="preserve">Majority </w:t>
      </w:r>
      <w:r w:rsidRPr="0039493D">
        <w:rPr>
          <w:b/>
        </w:rPr>
        <w:t xml:space="preserve">Working Group </w:t>
      </w:r>
      <w:r>
        <w:rPr>
          <w:b/>
        </w:rPr>
        <w:t>view on DCP 1</w:t>
      </w:r>
      <w:r w:rsidR="00166100">
        <w:rPr>
          <w:b/>
        </w:rPr>
        <w:t>90</w:t>
      </w:r>
      <w:r w:rsidRPr="0039493D">
        <w:rPr>
          <w:b/>
        </w:rPr>
        <w:t xml:space="preserve">: </w:t>
      </w:r>
      <w:r w:rsidRPr="004C0150">
        <w:t xml:space="preserve">The </w:t>
      </w:r>
      <w:r>
        <w:t xml:space="preserve">majority of the </w:t>
      </w:r>
      <w:r w:rsidRPr="004C0150">
        <w:t>Working Group agreed that the impact on</w:t>
      </w:r>
      <w:r>
        <w:t xml:space="preserve"> Charging</w:t>
      </w:r>
      <w:r w:rsidRPr="004C0150">
        <w:t xml:space="preserve"> Objective four is neutral.</w:t>
      </w:r>
    </w:p>
    <w:p w:rsidR="0033023F" w:rsidRPr="00041510" w:rsidRDefault="0033023F" w:rsidP="0033023F">
      <w:pPr>
        <w:pStyle w:val="Heading2"/>
        <w:keepNext w:val="0"/>
        <w:widowControl w:val="0"/>
        <w:numPr>
          <w:ilvl w:val="0"/>
          <w:numId w:val="5"/>
        </w:numPr>
        <w:spacing w:line="360" w:lineRule="auto"/>
        <w:jc w:val="both"/>
      </w:pPr>
      <w:r w:rsidRPr="00EB7886">
        <w:rPr>
          <w:b/>
        </w:rPr>
        <w:t>Some Working Group members view on DCP 1</w:t>
      </w:r>
      <w:r w:rsidR="00166100">
        <w:rPr>
          <w:b/>
        </w:rPr>
        <w:t>90</w:t>
      </w:r>
      <w:r w:rsidRPr="00EB7886">
        <w:rPr>
          <w:b/>
        </w:rPr>
        <w:t xml:space="preserve">A: </w:t>
      </w:r>
    </w:p>
    <w:p w:rsidR="0033023F" w:rsidRPr="00041510" w:rsidRDefault="0033023F" w:rsidP="0033023F">
      <w:pPr>
        <w:pStyle w:val="Heading2"/>
        <w:keepNext w:val="0"/>
        <w:tabs>
          <w:tab w:val="clear" w:pos="360"/>
        </w:tabs>
        <w:spacing w:after="120" w:line="360" w:lineRule="auto"/>
        <w:ind w:left="2694" w:hanging="1985"/>
        <w:jc w:val="both"/>
        <w:rPr>
          <w:i/>
          <w:noProof/>
        </w:rPr>
      </w:pPr>
      <w:r w:rsidRPr="00E13C23">
        <w:rPr>
          <w:b/>
          <w:noProof/>
        </w:rPr>
        <w:t xml:space="preserve">Objective </w:t>
      </w:r>
      <w:r>
        <w:rPr>
          <w:b/>
          <w:noProof/>
        </w:rPr>
        <w:t>Five</w:t>
      </w:r>
      <w:r w:rsidR="00DB17E8">
        <w:rPr>
          <w:b/>
          <w:noProof/>
        </w:rPr>
        <w:t xml:space="preserve"> </w:t>
      </w:r>
      <w:r w:rsidRPr="00D26E9D">
        <w:rPr>
          <w:noProof/>
        </w:rPr>
        <w:t>-</w:t>
      </w:r>
      <w:r w:rsidR="00DB17E8">
        <w:rPr>
          <w:noProof/>
        </w:rPr>
        <w:t xml:space="preserve"> </w:t>
      </w:r>
      <w:r w:rsidRPr="00041510">
        <w:rPr>
          <w:i/>
          <w:noProof/>
        </w:rPr>
        <w:t xml:space="preserve">That compliance by each DNO Party with the Charging Methodologies facilitates compliance with the Regulation on Cross-Border Exchange in Electricity and any relevant legally binding decisions of the European Commission and/or the Agency for the Co-operation of Energy </w:t>
      </w:r>
      <w:r w:rsidRPr="002C6F74">
        <w:rPr>
          <w:i/>
          <w:noProof/>
        </w:rPr>
        <w:t>Regulators (ACER).</w:t>
      </w:r>
    </w:p>
    <w:p w:rsidR="0033023F" w:rsidRPr="002C6F74" w:rsidRDefault="0033023F" w:rsidP="0033023F">
      <w:pPr>
        <w:pStyle w:val="Heading2"/>
        <w:keepNext w:val="0"/>
        <w:widowControl w:val="0"/>
        <w:numPr>
          <w:ilvl w:val="0"/>
          <w:numId w:val="5"/>
        </w:numPr>
        <w:spacing w:line="360" w:lineRule="auto"/>
        <w:jc w:val="both"/>
        <w:rPr>
          <w:rFonts w:ascii="Calibri" w:hAnsi="Calibri" w:cs="Times New Roman"/>
        </w:rPr>
      </w:pPr>
      <w:r>
        <w:rPr>
          <w:b/>
        </w:rPr>
        <w:t xml:space="preserve">Majority </w:t>
      </w:r>
      <w:r w:rsidRPr="002C6F74">
        <w:rPr>
          <w:b/>
        </w:rPr>
        <w:t>Working Group view</w:t>
      </w:r>
      <w:r>
        <w:rPr>
          <w:b/>
        </w:rPr>
        <w:t xml:space="preserve"> on DCP 1</w:t>
      </w:r>
      <w:r w:rsidR="00166100">
        <w:rPr>
          <w:b/>
        </w:rPr>
        <w:t>90</w:t>
      </w:r>
      <w:r w:rsidRPr="002C6F74">
        <w:rPr>
          <w:b/>
        </w:rPr>
        <w:t xml:space="preserve">: </w:t>
      </w:r>
      <w:r w:rsidRPr="002C6F74">
        <w:t xml:space="preserve">The </w:t>
      </w:r>
      <w:r>
        <w:t xml:space="preserve">majority of the </w:t>
      </w:r>
      <w:r w:rsidRPr="002C6F74">
        <w:t xml:space="preserve">Working Group agreed that the impact on Charging Objective five is neutral. </w:t>
      </w:r>
      <w:r w:rsidR="00166100">
        <w:rPr>
          <w:rFonts w:cs="Times New Roman"/>
        </w:rPr>
        <w:t>DCP 190</w:t>
      </w:r>
      <w:r w:rsidRPr="002C6F74">
        <w:rPr>
          <w:rFonts w:cs="Times New Roman"/>
        </w:rPr>
        <w:t xml:space="preserve"> was not raised as the result of a legally binding decision</w:t>
      </w:r>
      <w:r w:rsidRPr="002C6F74">
        <w:t xml:space="preserve"> of the European Commission or </w:t>
      </w:r>
      <w:r w:rsidRPr="002C6F74">
        <w:rPr>
          <w:rFonts w:cs="Times New Roman"/>
        </w:rPr>
        <w:t>ACER and therefo</w:t>
      </w:r>
      <w:r w:rsidRPr="002C6F74">
        <w:t>re does not better facilitate Charging Objective five.</w:t>
      </w:r>
    </w:p>
    <w:p w:rsidR="0033023F" w:rsidRPr="0033023F" w:rsidRDefault="0033023F" w:rsidP="0033023F">
      <w:pPr>
        <w:pStyle w:val="Heading2"/>
        <w:keepNext w:val="0"/>
        <w:widowControl w:val="0"/>
        <w:numPr>
          <w:ilvl w:val="0"/>
          <w:numId w:val="5"/>
        </w:numPr>
        <w:spacing w:line="360" w:lineRule="auto"/>
        <w:jc w:val="both"/>
      </w:pPr>
      <w:r w:rsidRPr="00166100">
        <w:rPr>
          <w:b/>
        </w:rPr>
        <w:t>Some Working Group members view on DCP 1</w:t>
      </w:r>
      <w:r w:rsidR="00166100" w:rsidRPr="00166100">
        <w:rPr>
          <w:b/>
        </w:rPr>
        <w:t>90</w:t>
      </w:r>
      <w:r w:rsidRPr="00166100">
        <w:rPr>
          <w:b/>
        </w:rPr>
        <w:t xml:space="preserve">A: </w:t>
      </w:r>
    </w:p>
    <w:p w:rsidR="00E91AC0" w:rsidRPr="00774DAF" w:rsidRDefault="00AF42D4" w:rsidP="00774DAF">
      <w:pPr>
        <w:pStyle w:val="Heading1"/>
        <w:numPr>
          <w:ilvl w:val="0"/>
          <w:numId w:val="2"/>
        </w:numPr>
        <w:spacing w:line="360" w:lineRule="auto"/>
        <w:jc w:val="both"/>
      </w:pPr>
      <w:r w:rsidRPr="00774DAF">
        <w:t>I</w:t>
      </w:r>
      <w:r w:rsidR="00774DAF">
        <w:t>MPACT ON GREENHOUSE GAS OMISSIONS</w:t>
      </w:r>
    </w:p>
    <w:p w:rsidR="00AF42D4" w:rsidRPr="00A83111" w:rsidRDefault="00A83111" w:rsidP="00774DAF">
      <w:pPr>
        <w:pStyle w:val="Heading2"/>
        <w:keepNext w:val="0"/>
        <w:numPr>
          <w:ilvl w:val="1"/>
          <w:numId w:val="2"/>
        </w:numPr>
        <w:tabs>
          <w:tab w:val="num" w:pos="709"/>
        </w:tabs>
        <w:spacing w:line="360" w:lineRule="auto"/>
        <w:jc w:val="both"/>
      </w:pPr>
      <w:r w:rsidRPr="00A83111">
        <w:t>In accordance with DCUSA clause 11.14.6, the Working Group assessed whether there would be a material impact on gre</w:t>
      </w:r>
      <w:r w:rsidR="00693B5E">
        <w:t>enhouse gas emissions if DCP 19</w:t>
      </w:r>
      <w:r w:rsidR="001E0A6E">
        <w:t>0</w:t>
      </w:r>
      <w:r w:rsidRPr="00A83111">
        <w:t xml:space="preserve"> </w:t>
      </w:r>
      <w:r w:rsidR="00552FB0">
        <w:t xml:space="preserve">or DCP 190A </w:t>
      </w:r>
      <w:r w:rsidR="00033711">
        <w:t>were implemented.</w:t>
      </w:r>
      <w:r w:rsidRPr="00A83111">
        <w:t xml:space="preserve"> The W</w:t>
      </w:r>
      <w:r>
        <w:t xml:space="preserve">orking </w:t>
      </w:r>
      <w:r w:rsidRPr="00A83111">
        <w:t>G</w:t>
      </w:r>
      <w:r>
        <w:t>roup</w:t>
      </w:r>
      <w:r w:rsidRPr="00A83111">
        <w:t xml:space="preserve"> did not identify any material impact on greenhouse gas emissions from the implementation of this Change Proposal</w:t>
      </w:r>
      <w:r>
        <w:t>.</w:t>
      </w:r>
    </w:p>
    <w:p w:rsidR="000C7E72" w:rsidRPr="00774DAF" w:rsidRDefault="000C7E72" w:rsidP="00774DAF">
      <w:pPr>
        <w:pStyle w:val="Heading1"/>
        <w:numPr>
          <w:ilvl w:val="0"/>
          <w:numId w:val="2"/>
        </w:numPr>
        <w:spacing w:line="360" w:lineRule="auto"/>
        <w:jc w:val="both"/>
      </w:pPr>
      <w:r w:rsidRPr="00774DAF">
        <w:t>IMPLEMENTATION</w:t>
      </w:r>
    </w:p>
    <w:p w:rsidR="000C7E72" w:rsidRPr="00342B85" w:rsidRDefault="00691F09" w:rsidP="00774DAF">
      <w:pPr>
        <w:pStyle w:val="Heading2"/>
        <w:keepNext w:val="0"/>
        <w:numPr>
          <w:ilvl w:val="1"/>
          <w:numId w:val="2"/>
        </w:numPr>
        <w:tabs>
          <w:tab w:val="num" w:pos="709"/>
        </w:tabs>
        <w:spacing w:line="360" w:lineRule="auto"/>
        <w:jc w:val="both"/>
      </w:pPr>
      <w:r w:rsidRPr="00342B85">
        <w:t>Subject to Party approval</w:t>
      </w:r>
      <w:r w:rsidR="001E0A6E">
        <w:t xml:space="preserve"> and Authority consent</w:t>
      </w:r>
      <w:r w:rsidRPr="00342B85">
        <w:t xml:space="preserve">, </w:t>
      </w:r>
      <w:r w:rsidR="003B6C54" w:rsidRPr="00342B85">
        <w:t>DCP 1</w:t>
      </w:r>
      <w:r w:rsidR="00693B5E">
        <w:t>9</w:t>
      </w:r>
      <w:r w:rsidR="005B7CF1">
        <w:t>0</w:t>
      </w:r>
      <w:r w:rsidR="00693B5E">
        <w:t xml:space="preserve"> or DCP 190A</w:t>
      </w:r>
      <w:r w:rsidR="000C7E72" w:rsidRPr="00342B85">
        <w:t xml:space="preserve"> will be implemented </w:t>
      </w:r>
      <w:r w:rsidR="00EA79CB">
        <w:t xml:space="preserve">in </w:t>
      </w:r>
      <w:r w:rsidR="001E0A6E">
        <w:t xml:space="preserve">to the </w:t>
      </w:r>
      <w:r w:rsidR="00693B5E">
        <w:t xml:space="preserve">next </w:t>
      </w:r>
      <w:r w:rsidR="001E0A6E">
        <w:t xml:space="preserve">DCUSA </w:t>
      </w:r>
      <w:r w:rsidR="00693B5E">
        <w:t>release</w:t>
      </w:r>
      <w:r w:rsidR="00552FB0">
        <w:t xml:space="preserve"> following Authority consent</w:t>
      </w:r>
      <w:r w:rsidR="00EA79CB">
        <w:t>.</w:t>
      </w:r>
    </w:p>
    <w:p w:rsidR="009D5EC6" w:rsidRPr="00342B85" w:rsidRDefault="009D5EC6" w:rsidP="00774DAF">
      <w:pPr>
        <w:pStyle w:val="Heading1"/>
        <w:numPr>
          <w:ilvl w:val="0"/>
          <w:numId w:val="2"/>
        </w:numPr>
        <w:spacing w:line="360" w:lineRule="auto"/>
        <w:jc w:val="both"/>
      </w:pPr>
      <w:r w:rsidRPr="00342B85">
        <w:t xml:space="preserve">PANEL </w:t>
      </w:r>
      <w:r w:rsidR="003B6C54" w:rsidRPr="00342B85">
        <w:t>RECOMMENDATION</w:t>
      </w:r>
    </w:p>
    <w:p w:rsidR="009D5EC6" w:rsidRDefault="009D5EC6" w:rsidP="00774DAF">
      <w:pPr>
        <w:pStyle w:val="Heading2"/>
        <w:keepNext w:val="0"/>
        <w:numPr>
          <w:ilvl w:val="1"/>
          <w:numId w:val="2"/>
        </w:numPr>
        <w:tabs>
          <w:tab w:val="num" w:pos="709"/>
        </w:tabs>
        <w:spacing w:line="360" w:lineRule="auto"/>
        <w:jc w:val="both"/>
      </w:pPr>
      <w:r w:rsidRPr="0076441A">
        <w:t xml:space="preserve">The </w:t>
      </w:r>
      <w:r w:rsidR="00B46F38" w:rsidRPr="0076441A">
        <w:t xml:space="preserve">DCUSA </w:t>
      </w:r>
      <w:r w:rsidRPr="0076441A">
        <w:t xml:space="preserve">Panel approved </w:t>
      </w:r>
      <w:r w:rsidR="00552FB0">
        <w:t>the DCP 19</w:t>
      </w:r>
      <w:r w:rsidR="001E0A6E">
        <w:t>0</w:t>
      </w:r>
      <w:r w:rsidR="00503BF7">
        <w:t xml:space="preserve"> Change Report </w:t>
      </w:r>
      <w:r w:rsidR="00B46F38" w:rsidRPr="0076441A">
        <w:t>on</w:t>
      </w:r>
      <w:r w:rsidR="00EA79CB" w:rsidRPr="0076441A">
        <w:t xml:space="preserve"> </w:t>
      </w:r>
      <w:r w:rsidR="0024554A" w:rsidRPr="005F6544">
        <w:rPr>
          <w:b/>
          <w:highlight w:val="yellow"/>
        </w:rPr>
        <w:t>15 October</w:t>
      </w:r>
      <w:r w:rsidR="007C6550" w:rsidRPr="005F6544">
        <w:rPr>
          <w:b/>
          <w:highlight w:val="yellow"/>
        </w:rPr>
        <w:t xml:space="preserve"> </w:t>
      </w:r>
      <w:r w:rsidR="001E0A6E" w:rsidRPr="005F6544">
        <w:rPr>
          <w:b/>
          <w:highlight w:val="yellow"/>
        </w:rPr>
        <w:t>201</w:t>
      </w:r>
      <w:r w:rsidR="007C6550" w:rsidRPr="005F6544">
        <w:rPr>
          <w:b/>
          <w:highlight w:val="yellow"/>
        </w:rPr>
        <w:t>4</w:t>
      </w:r>
      <w:r w:rsidR="00B46F38" w:rsidRPr="0076441A">
        <w:t>.</w:t>
      </w:r>
      <w:r w:rsidRPr="0076441A">
        <w:t xml:space="preserve"> </w:t>
      </w:r>
      <w:r w:rsidRPr="00342B85">
        <w:t>The timetable for the progression of the C</w:t>
      </w:r>
      <w:r w:rsidR="0076441A">
        <w:t>P</w:t>
      </w:r>
      <w:r w:rsidRPr="00342B85">
        <w:t xml:space="preserve"> is set out below:</w:t>
      </w:r>
    </w:p>
    <w:tbl>
      <w:tblPr>
        <w:tblW w:w="0" w:type="auto"/>
        <w:jc w:val="center"/>
        <w:tblInd w:w="-652"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739"/>
        <w:gridCol w:w="3516"/>
      </w:tblGrid>
      <w:tr w:rsidR="003D7E6C" w:rsidRPr="00342B85" w:rsidTr="00BA7523">
        <w:trPr>
          <w:jc w:val="center"/>
        </w:trPr>
        <w:tc>
          <w:tcPr>
            <w:tcW w:w="3739" w:type="dxa"/>
            <w:tcBorders>
              <w:top w:val="single" w:sz="4" w:space="0" w:color="auto"/>
            </w:tcBorders>
            <w:shd w:val="clear" w:color="auto" w:fill="E6E6E6"/>
            <w:tcMar>
              <w:top w:w="0" w:type="dxa"/>
              <w:left w:w="108" w:type="dxa"/>
              <w:bottom w:w="0" w:type="dxa"/>
              <w:right w:w="108" w:type="dxa"/>
            </w:tcMar>
          </w:tcPr>
          <w:p w:rsidR="003D7E6C" w:rsidRPr="00342B85" w:rsidRDefault="003D7E6C" w:rsidP="00BA7523">
            <w:pPr>
              <w:spacing w:line="360" w:lineRule="auto"/>
              <w:jc w:val="both"/>
              <w:rPr>
                <w:rFonts w:ascii="Verdana" w:hAnsi="Verdana" w:cs="Tahoma"/>
                <w:b/>
                <w:sz w:val="20"/>
                <w:szCs w:val="20"/>
              </w:rPr>
            </w:pPr>
            <w:r w:rsidRPr="00342B85">
              <w:rPr>
                <w:rFonts w:ascii="Verdana" w:hAnsi="Verdana" w:cs="Tahoma"/>
                <w:b/>
                <w:sz w:val="20"/>
                <w:szCs w:val="20"/>
              </w:rPr>
              <w:t xml:space="preserve">Activity </w:t>
            </w:r>
          </w:p>
        </w:tc>
        <w:tc>
          <w:tcPr>
            <w:tcW w:w="3516" w:type="dxa"/>
            <w:tcBorders>
              <w:top w:val="single" w:sz="4" w:space="0" w:color="auto"/>
            </w:tcBorders>
            <w:shd w:val="clear" w:color="auto" w:fill="E6E6E6"/>
            <w:tcMar>
              <w:top w:w="0" w:type="dxa"/>
              <w:left w:w="108" w:type="dxa"/>
              <w:bottom w:w="0" w:type="dxa"/>
              <w:right w:w="108" w:type="dxa"/>
            </w:tcMar>
          </w:tcPr>
          <w:p w:rsidR="003D7E6C" w:rsidRPr="00342B85" w:rsidRDefault="003D7E6C" w:rsidP="00BA7523">
            <w:pPr>
              <w:spacing w:line="360" w:lineRule="auto"/>
              <w:jc w:val="both"/>
              <w:rPr>
                <w:rFonts w:ascii="Verdana" w:hAnsi="Verdana" w:cs="Tahoma"/>
                <w:b/>
                <w:sz w:val="20"/>
                <w:szCs w:val="20"/>
              </w:rPr>
            </w:pPr>
            <w:r w:rsidRPr="00342B85">
              <w:rPr>
                <w:rFonts w:ascii="Verdana" w:hAnsi="Verdana" w:cs="Tahoma"/>
                <w:b/>
                <w:sz w:val="20"/>
                <w:szCs w:val="20"/>
              </w:rPr>
              <w:t>Target Date</w:t>
            </w:r>
          </w:p>
        </w:tc>
      </w:tr>
      <w:tr w:rsidR="003D7E6C" w:rsidRPr="00342B85" w:rsidTr="00BA7523">
        <w:trPr>
          <w:jc w:val="center"/>
        </w:trPr>
        <w:tc>
          <w:tcPr>
            <w:tcW w:w="3739" w:type="dxa"/>
            <w:tcMar>
              <w:top w:w="0" w:type="dxa"/>
              <w:left w:w="108" w:type="dxa"/>
              <w:bottom w:w="0" w:type="dxa"/>
              <w:right w:w="108" w:type="dxa"/>
            </w:tcMar>
          </w:tcPr>
          <w:p w:rsidR="003D7E6C" w:rsidRPr="00342B85" w:rsidRDefault="003D7E6C" w:rsidP="00BA7523">
            <w:pPr>
              <w:spacing w:line="360" w:lineRule="auto"/>
              <w:jc w:val="both"/>
              <w:rPr>
                <w:rFonts w:ascii="Verdana" w:hAnsi="Verdana" w:cs="Tahoma"/>
                <w:sz w:val="20"/>
                <w:szCs w:val="20"/>
              </w:rPr>
            </w:pPr>
            <w:r w:rsidRPr="00342B85">
              <w:rPr>
                <w:rFonts w:ascii="Verdana" w:hAnsi="Verdana" w:cs="Tahoma"/>
                <w:sz w:val="20"/>
                <w:szCs w:val="20"/>
              </w:rPr>
              <w:t>Change Report Agreed</w:t>
            </w:r>
          </w:p>
        </w:tc>
        <w:tc>
          <w:tcPr>
            <w:tcW w:w="3516" w:type="dxa"/>
            <w:tcMar>
              <w:top w:w="0" w:type="dxa"/>
              <w:left w:w="108" w:type="dxa"/>
              <w:bottom w:w="0" w:type="dxa"/>
              <w:right w:w="108" w:type="dxa"/>
            </w:tcMar>
          </w:tcPr>
          <w:p w:rsidR="003D7E6C" w:rsidRPr="00342B85" w:rsidRDefault="0024554A" w:rsidP="0024554A">
            <w:pPr>
              <w:spacing w:line="360" w:lineRule="auto"/>
              <w:jc w:val="both"/>
              <w:rPr>
                <w:rFonts w:ascii="Verdana" w:hAnsi="Verdana" w:cs="Tahoma"/>
                <w:sz w:val="20"/>
                <w:szCs w:val="20"/>
                <w:highlight w:val="yellow"/>
              </w:rPr>
            </w:pPr>
            <w:r>
              <w:rPr>
                <w:rFonts w:ascii="Verdana" w:hAnsi="Verdana" w:cs="Tahoma"/>
                <w:sz w:val="20"/>
                <w:szCs w:val="20"/>
              </w:rPr>
              <w:t xml:space="preserve">15 October </w:t>
            </w:r>
            <w:r w:rsidR="003D7E6C">
              <w:rPr>
                <w:rFonts w:ascii="Verdana" w:hAnsi="Verdana" w:cs="Tahoma"/>
                <w:sz w:val="20"/>
                <w:szCs w:val="20"/>
              </w:rPr>
              <w:t>2014</w:t>
            </w:r>
          </w:p>
        </w:tc>
      </w:tr>
      <w:tr w:rsidR="003D7E6C" w:rsidRPr="00342B85" w:rsidTr="00BA7523">
        <w:trPr>
          <w:jc w:val="center"/>
        </w:trPr>
        <w:tc>
          <w:tcPr>
            <w:tcW w:w="3739" w:type="dxa"/>
            <w:tcMar>
              <w:top w:w="0" w:type="dxa"/>
              <w:left w:w="108" w:type="dxa"/>
              <w:bottom w:w="0" w:type="dxa"/>
              <w:right w:w="108" w:type="dxa"/>
            </w:tcMar>
          </w:tcPr>
          <w:p w:rsidR="003D7E6C" w:rsidRPr="00342B85" w:rsidRDefault="003D7E6C" w:rsidP="00BA7523">
            <w:pPr>
              <w:spacing w:line="360" w:lineRule="auto"/>
              <w:jc w:val="both"/>
              <w:rPr>
                <w:rFonts w:ascii="Verdana" w:hAnsi="Verdana" w:cs="Tahoma"/>
                <w:sz w:val="20"/>
                <w:szCs w:val="20"/>
              </w:rPr>
            </w:pPr>
            <w:r>
              <w:rPr>
                <w:rFonts w:ascii="Verdana" w:hAnsi="Verdana" w:cs="Tahoma"/>
                <w:sz w:val="20"/>
                <w:szCs w:val="20"/>
              </w:rPr>
              <w:t>Change Report Issued For Voting</w:t>
            </w:r>
          </w:p>
        </w:tc>
        <w:tc>
          <w:tcPr>
            <w:tcW w:w="3516" w:type="dxa"/>
            <w:tcMar>
              <w:top w:w="0" w:type="dxa"/>
              <w:left w:w="108" w:type="dxa"/>
              <w:bottom w:w="0" w:type="dxa"/>
              <w:right w:w="108" w:type="dxa"/>
            </w:tcMar>
          </w:tcPr>
          <w:p w:rsidR="003D7E6C" w:rsidRDefault="0024554A" w:rsidP="0024554A">
            <w:pPr>
              <w:spacing w:line="360" w:lineRule="auto"/>
              <w:jc w:val="both"/>
              <w:rPr>
                <w:rFonts w:ascii="Verdana" w:hAnsi="Verdana" w:cs="Tahoma"/>
                <w:sz w:val="20"/>
                <w:szCs w:val="20"/>
              </w:rPr>
            </w:pPr>
            <w:r>
              <w:rPr>
                <w:rFonts w:ascii="Verdana" w:hAnsi="Verdana" w:cs="Tahoma"/>
                <w:sz w:val="20"/>
                <w:szCs w:val="20"/>
              </w:rPr>
              <w:t xml:space="preserve">17 October </w:t>
            </w:r>
            <w:r w:rsidR="003D7E6C">
              <w:rPr>
                <w:rFonts w:ascii="Verdana" w:hAnsi="Verdana" w:cs="Tahoma"/>
                <w:sz w:val="20"/>
                <w:szCs w:val="20"/>
              </w:rPr>
              <w:t>2014</w:t>
            </w:r>
          </w:p>
        </w:tc>
      </w:tr>
      <w:tr w:rsidR="003D7E6C" w:rsidRPr="00342B85" w:rsidTr="00BA7523">
        <w:trPr>
          <w:jc w:val="center"/>
        </w:trPr>
        <w:tc>
          <w:tcPr>
            <w:tcW w:w="3739" w:type="dxa"/>
            <w:tcMar>
              <w:top w:w="0" w:type="dxa"/>
              <w:left w:w="108" w:type="dxa"/>
              <w:bottom w:w="0" w:type="dxa"/>
              <w:right w:w="108" w:type="dxa"/>
            </w:tcMar>
          </w:tcPr>
          <w:p w:rsidR="003D7E6C" w:rsidRPr="00342B85" w:rsidRDefault="003D7E6C" w:rsidP="00BA7523">
            <w:pPr>
              <w:spacing w:line="360" w:lineRule="auto"/>
              <w:jc w:val="both"/>
              <w:rPr>
                <w:rFonts w:ascii="Verdana" w:hAnsi="Verdana" w:cs="Tahoma"/>
                <w:sz w:val="20"/>
                <w:szCs w:val="20"/>
              </w:rPr>
            </w:pPr>
            <w:r w:rsidRPr="00342B85">
              <w:rPr>
                <w:rFonts w:ascii="Verdana" w:hAnsi="Verdana" w:cs="Tahoma"/>
                <w:sz w:val="20"/>
                <w:szCs w:val="20"/>
              </w:rPr>
              <w:t>Party Voting Ends</w:t>
            </w:r>
          </w:p>
        </w:tc>
        <w:tc>
          <w:tcPr>
            <w:tcW w:w="3516" w:type="dxa"/>
            <w:tcMar>
              <w:top w:w="0" w:type="dxa"/>
              <w:left w:w="108" w:type="dxa"/>
              <w:bottom w:w="0" w:type="dxa"/>
              <w:right w:w="108" w:type="dxa"/>
            </w:tcMar>
          </w:tcPr>
          <w:p w:rsidR="003D7E6C" w:rsidRPr="00342B85" w:rsidRDefault="0024554A" w:rsidP="0024554A">
            <w:pPr>
              <w:spacing w:line="360" w:lineRule="auto"/>
              <w:jc w:val="both"/>
              <w:rPr>
                <w:rFonts w:ascii="Verdana" w:hAnsi="Verdana" w:cs="Tahoma"/>
                <w:sz w:val="20"/>
                <w:szCs w:val="20"/>
                <w:highlight w:val="yellow"/>
              </w:rPr>
            </w:pPr>
            <w:r>
              <w:rPr>
                <w:rFonts w:ascii="Verdana" w:hAnsi="Verdana" w:cs="Tahoma"/>
                <w:sz w:val="20"/>
                <w:szCs w:val="20"/>
              </w:rPr>
              <w:t>31 October</w:t>
            </w:r>
            <w:r w:rsidR="007C6550">
              <w:rPr>
                <w:rFonts w:ascii="Verdana" w:hAnsi="Verdana" w:cs="Tahoma"/>
                <w:sz w:val="20"/>
                <w:szCs w:val="20"/>
              </w:rPr>
              <w:t xml:space="preserve"> </w:t>
            </w:r>
            <w:r w:rsidR="003D7E6C">
              <w:rPr>
                <w:rFonts w:ascii="Verdana" w:hAnsi="Verdana" w:cs="Tahoma"/>
                <w:sz w:val="20"/>
                <w:szCs w:val="20"/>
              </w:rPr>
              <w:t>2014</w:t>
            </w:r>
          </w:p>
        </w:tc>
      </w:tr>
      <w:tr w:rsidR="003D7E6C" w:rsidRPr="00342B85" w:rsidTr="00BA7523">
        <w:trPr>
          <w:jc w:val="center"/>
        </w:trPr>
        <w:tc>
          <w:tcPr>
            <w:tcW w:w="3739" w:type="dxa"/>
            <w:tcMar>
              <w:top w:w="0" w:type="dxa"/>
              <w:left w:w="108" w:type="dxa"/>
              <w:bottom w:w="0" w:type="dxa"/>
              <w:right w:w="108" w:type="dxa"/>
            </w:tcMar>
          </w:tcPr>
          <w:p w:rsidR="003D7E6C" w:rsidRDefault="003D7E6C" w:rsidP="00BA7523">
            <w:pPr>
              <w:spacing w:line="360" w:lineRule="auto"/>
              <w:jc w:val="both"/>
              <w:rPr>
                <w:rFonts w:ascii="Verdana" w:hAnsi="Verdana" w:cs="Tahoma"/>
                <w:sz w:val="20"/>
                <w:szCs w:val="20"/>
              </w:rPr>
            </w:pPr>
            <w:r w:rsidRPr="00342B85">
              <w:rPr>
                <w:rFonts w:ascii="Verdana" w:hAnsi="Verdana" w:cs="Tahoma"/>
                <w:sz w:val="20"/>
                <w:szCs w:val="20"/>
              </w:rPr>
              <w:t>Change Declaration Issued</w:t>
            </w:r>
          </w:p>
          <w:p w:rsidR="003D7E6C" w:rsidRPr="00CE4EE4" w:rsidRDefault="003D7E6C" w:rsidP="00BA7523">
            <w:pPr>
              <w:rPr>
                <w:rFonts w:ascii="Verdana" w:hAnsi="Verdana" w:cs="Tahoma"/>
                <w:sz w:val="20"/>
                <w:szCs w:val="20"/>
              </w:rPr>
            </w:pPr>
            <w:r>
              <w:rPr>
                <w:rFonts w:ascii="Verdana" w:hAnsi="Verdana" w:cs="Tahoma"/>
                <w:sz w:val="20"/>
                <w:szCs w:val="20"/>
              </w:rPr>
              <w:t>Authority Decision</w:t>
            </w:r>
            <w:r>
              <w:rPr>
                <w:rStyle w:val="FootnoteReference"/>
                <w:rFonts w:ascii="Verdana" w:hAnsi="Verdana"/>
                <w:sz w:val="20"/>
                <w:szCs w:val="20"/>
              </w:rPr>
              <w:footnoteReference w:id="1"/>
            </w:r>
          </w:p>
        </w:tc>
        <w:tc>
          <w:tcPr>
            <w:tcW w:w="3516" w:type="dxa"/>
            <w:tcMar>
              <w:top w:w="0" w:type="dxa"/>
              <w:left w:w="108" w:type="dxa"/>
              <w:bottom w:w="0" w:type="dxa"/>
              <w:right w:w="108" w:type="dxa"/>
            </w:tcMar>
          </w:tcPr>
          <w:p w:rsidR="003D7E6C" w:rsidRDefault="0024554A" w:rsidP="00BA7523">
            <w:pPr>
              <w:spacing w:line="360" w:lineRule="auto"/>
              <w:jc w:val="both"/>
              <w:rPr>
                <w:rFonts w:ascii="Verdana" w:hAnsi="Verdana" w:cs="Tahoma"/>
                <w:sz w:val="20"/>
                <w:szCs w:val="20"/>
              </w:rPr>
            </w:pPr>
            <w:r>
              <w:rPr>
                <w:rFonts w:ascii="Verdana" w:hAnsi="Verdana" w:cs="Tahoma"/>
                <w:sz w:val="20"/>
                <w:szCs w:val="20"/>
              </w:rPr>
              <w:t>04 November</w:t>
            </w:r>
            <w:r w:rsidR="003D7E6C">
              <w:rPr>
                <w:rFonts w:ascii="Verdana" w:hAnsi="Verdana" w:cs="Tahoma"/>
                <w:sz w:val="20"/>
                <w:szCs w:val="20"/>
              </w:rPr>
              <w:t xml:space="preserve"> 2014</w:t>
            </w:r>
          </w:p>
          <w:p w:rsidR="003D7E6C" w:rsidRPr="00342B85" w:rsidRDefault="0024554A" w:rsidP="0024554A">
            <w:pPr>
              <w:spacing w:line="360" w:lineRule="auto"/>
              <w:jc w:val="both"/>
              <w:rPr>
                <w:rFonts w:ascii="Verdana" w:hAnsi="Verdana" w:cs="Tahoma"/>
                <w:sz w:val="20"/>
                <w:szCs w:val="20"/>
                <w:highlight w:val="yellow"/>
              </w:rPr>
            </w:pPr>
            <w:r>
              <w:rPr>
                <w:rFonts w:ascii="Verdana" w:hAnsi="Verdana" w:cs="Tahoma"/>
                <w:sz w:val="20"/>
                <w:szCs w:val="20"/>
              </w:rPr>
              <w:t xml:space="preserve">09 December </w:t>
            </w:r>
            <w:r w:rsidR="003D7E6C">
              <w:rPr>
                <w:rFonts w:ascii="Verdana" w:hAnsi="Verdana" w:cs="Tahoma"/>
                <w:sz w:val="20"/>
                <w:szCs w:val="20"/>
              </w:rPr>
              <w:t>2014</w:t>
            </w:r>
          </w:p>
        </w:tc>
      </w:tr>
      <w:tr w:rsidR="003D7E6C" w:rsidRPr="00342B85" w:rsidTr="00BA7523">
        <w:trPr>
          <w:jc w:val="center"/>
        </w:trPr>
        <w:tc>
          <w:tcPr>
            <w:tcW w:w="3739" w:type="dxa"/>
            <w:tcBorders>
              <w:bottom w:val="single" w:sz="4" w:space="0" w:color="auto"/>
            </w:tcBorders>
            <w:tcMar>
              <w:top w:w="0" w:type="dxa"/>
              <w:left w:w="108" w:type="dxa"/>
              <w:bottom w:w="0" w:type="dxa"/>
              <w:right w:w="108" w:type="dxa"/>
            </w:tcMar>
          </w:tcPr>
          <w:p w:rsidR="003D7E6C" w:rsidRPr="00342B85" w:rsidRDefault="003D7E6C" w:rsidP="00BA7523">
            <w:pPr>
              <w:spacing w:line="360" w:lineRule="auto"/>
              <w:jc w:val="both"/>
              <w:rPr>
                <w:rFonts w:ascii="Verdana" w:hAnsi="Verdana" w:cs="Tahoma"/>
                <w:sz w:val="20"/>
                <w:szCs w:val="20"/>
              </w:rPr>
            </w:pPr>
            <w:r w:rsidRPr="00342B85">
              <w:rPr>
                <w:rFonts w:ascii="Verdana" w:hAnsi="Verdana" w:cs="Tahoma"/>
                <w:sz w:val="20"/>
                <w:szCs w:val="20"/>
              </w:rPr>
              <w:t>Implementation</w:t>
            </w:r>
          </w:p>
        </w:tc>
        <w:tc>
          <w:tcPr>
            <w:tcW w:w="3516" w:type="dxa"/>
            <w:tcBorders>
              <w:bottom w:val="single" w:sz="4" w:space="0" w:color="auto"/>
            </w:tcBorders>
            <w:tcMar>
              <w:top w:w="0" w:type="dxa"/>
              <w:left w:w="108" w:type="dxa"/>
              <w:bottom w:w="0" w:type="dxa"/>
              <w:right w:w="108" w:type="dxa"/>
            </w:tcMar>
          </w:tcPr>
          <w:p w:rsidR="003D7E6C" w:rsidRPr="00342B85" w:rsidRDefault="003D7E6C" w:rsidP="00BA7523">
            <w:pPr>
              <w:spacing w:line="360" w:lineRule="auto"/>
              <w:jc w:val="both"/>
              <w:rPr>
                <w:rFonts w:ascii="Verdana" w:hAnsi="Verdana" w:cs="Tahoma"/>
                <w:sz w:val="20"/>
                <w:szCs w:val="20"/>
                <w:highlight w:val="yellow"/>
              </w:rPr>
            </w:pPr>
            <w:r w:rsidRPr="00342B85">
              <w:rPr>
                <w:rFonts w:ascii="Verdana" w:hAnsi="Verdana"/>
                <w:sz w:val="20"/>
                <w:szCs w:val="20"/>
              </w:rPr>
              <w:t>Next DCUSA Release following</w:t>
            </w:r>
            <w:r>
              <w:rPr>
                <w:rFonts w:ascii="Verdana" w:hAnsi="Verdana"/>
                <w:sz w:val="20"/>
                <w:szCs w:val="20"/>
              </w:rPr>
              <w:t xml:space="preserve"> </w:t>
            </w:r>
            <w:r w:rsidRPr="00342B85">
              <w:rPr>
                <w:rFonts w:ascii="Verdana" w:hAnsi="Verdana"/>
                <w:sz w:val="20"/>
                <w:szCs w:val="20"/>
              </w:rPr>
              <w:t xml:space="preserve"> A</w:t>
            </w:r>
            <w:r>
              <w:rPr>
                <w:rFonts w:ascii="Verdana" w:hAnsi="Verdana"/>
                <w:sz w:val="20"/>
                <w:szCs w:val="20"/>
              </w:rPr>
              <w:t>uthority Consent</w:t>
            </w:r>
          </w:p>
        </w:tc>
      </w:tr>
    </w:tbl>
    <w:p w:rsidR="003D7E6C" w:rsidRPr="003D7E6C" w:rsidRDefault="003D7E6C" w:rsidP="003D7E6C"/>
    <w:p w:rsidR="009D5EC6" w:rsidRPr="00342B85" w:rsidRDefault="005807EF" w:rsidP="00645A94">
      <w:pPr>
        <w:pStyle w:val="Heading1"/>
        <w:keepNext w:val="0"/>
        <w:numPr>
          <w:ilvl w:val="0"/>
          <w:numId w:val="2"/>
        </w:numPr>
        <w:spacing w:line="360" w:lineRule="auto"/>
        <w:jc w:val="both"/>
      </w:pPr>
      <w:r>
        <w:t>ATTACHMENTS</w:t>
      </w:r>
      <w:r w:rsidR="009D5EC6" w:rsidRPr="00342B85">
        <w:t xml:space="preserve">: </w:t>
      </w:r>
    </w:p>
    <w:p w:rsidR="00552FB0" w:rsidRDefault="00552FB0" w:rsidP="00552FB0">
      <w:pPr>
        <w:pStyle w:val="Heading1"/>
        <w:numPr>
          <w:ilvl w:val="0"/>
          <w:numId w:val="4"/>
        </w:numPr>
        <w:spacing w:line="360" w:lineRule="auto"/>
        <w:jc w:val="both"/>
        <w:rPr>
          <w:b w:val="0"/>
        </w:rPr>
      </w:pPr>
      <w:r w:rsidRPr="00342B85">
        <w:rPr>
          <w:b w:val="0"/>
        </w:rPr>
        <w:t>A</w:t>
      </w:r>
      <w:r>
        <w:rPr>
          <w:b w:val="0"/>
        </w:rPr>
        <w:t>ttachment 1 – DCP 190 and DCP190A Voting Form</w:t>
      </w:r>
    </w:p>
    <w:p w:rsidR="00552FB0" w:rsidRDefault="00552FB0" w:rsidP="00552FB0">
      <w:pPr>
        <w:pStyle w:val="Heading1"/>
        <w:numPr>
          <w:ilvl w:val="0"/>
          <w:numId w:val="4"/>
        </w:numPr>
        <w:spacing w:line="360" w:lineRule="auto"/>
        <w:jc w:val="both"/>
        <w:rPr>
          <w:b w:val="0"/>
        </w:rPr>
      </w:pPr>
      <w:r>
        <w:rPr>
          <w:b w:val="0"/>
        </w:rPr>
        <w:t>Attachment 2 – DCP 190 Proposed Legal Text</w:t>
      </w:r>
    </w:p>
    <w:p w:rsidR="00552FB0" w:rsidRPr="00E629FC" w:rsidRDefault="00552FB0" w:rsidP="00552FB0">
      <w:pPr>
        <w:pStyle w:val="Heading1"/>
        <w:numPr>
          <w:ilvl w:val="0"/>
          <w:numId w:val="4"/>
        </w:numPr>
        <w:spacing w:line="360" w:lineRule="auto"/>
        <w:jc w:val="both"/>
        <w:rPr>
          <w:b w:val="0"/>
        </w:rPr>
      </w:pPr>
      <w:r w:rsidRPr="00E629FC">
        <w:rPr>
          <w:b w:val="0"/>
        </w:rPr>
        <w:t>Attachment 2 –</w:t>
      </w:r>
      <w:r>
        <w:rPr>
          <w:b w:val="0"/>
        </w:rPr>
        <w:t xml:space="preserve"> DCP 190</w:t>
      </w:r>
      <w:r w:rsidRPr="00E629FC">
        <w:rPr>
          <w:b w:val="0"/>
        </w:rPr>
        <w:t>A Proposed Legal Text</w:t>
      </w:r>
    </w:p>
    <w:p w:rsidR="00552FB0" w:rsidRDefault="00552FB0" w:rsidP="00552FB0">
      <w:pPr>
        <w:pStyle w:val="Heading1"/>
        <w:numPr>
          <w:ilvl w:val="0"/>
          <w:numId w:val="4"/>
        </w:numPr>
        <w:spacing w:line="360" w:lineRule="auto"/>
        <w:jc w:val="both"/>
        <w:rPr>
          <w:b w:val="0"/>
        </w:rPr>
      </w:pPr>
      <w:r>
        <w:rPr>
          <w:b w:val="0"/>
        </w:rPr>
        <w:t>Attachment 3 - DCP 190 Change Proposal</w:t>
      </w:r>
    </w:p>
    <w:p w:rsidR="00552FB0" w:rsidRPr="00272FDD" w:rsidRDefault="00552FB0" w:rsidP="00552FB0">
      <w:pPr>
        <w:pStyle w:val="Heading1"/>
        <w:numPr>
          <w:ilvl w:val="0"/>
          <w:numId w:val="4"/>
        </w:numPr>
        <w:spacing w:line="360" w:lineRule="auto"/>
        <w:jc w:val="both"/>
        <w:rPr>
          <w:b w:val="0"/>
        </w:rPr>
      </w:pPr>
      <w:r>
        <w:rPr>
          <w:b w:val="0"/>
        </w:rPr>
        <w:t>Attachment 3 –DCP 190A</w:t>
      </w:r>
      <w:r w:rsidRPr="00272FDD">
        <w:rPr>
          <w:b w:val="0"/>
        </w:rPr>
        <w:t xml:space="preserve"> Change Proposal</w:t>
      </w:r>
    </w:p>
    <w:p w:rsidR="00552FB0" w:rsidRDefault="00552FB0" w:rsidP="00552FB0">
      <w:pPr>
        <w:pStyle w:val="Heading1"/>
        <w:numPr>
          <w:ilvl w:val="0"/>
          <w:numId w:val="4"/>
        </w:numPr>
        <w:spacing w:line="360" w:lineRule="auto"/>
        <w:jc w:val="both"/>
        <w:rPr>
          <w:b w:val="0"/>
        </w:rPr>
      </w:pPr>
      <w:r>
        <w:rPr>
          <w:b w:val="0"/>
        </w:rPr>
        <w:t>Attachment 4 – DCP 190</w:t>
      </w:r>
      <w:r w:rsidR="005D4D3A">
        <w:rPr>
          <w:b w:val="0"/>
        </w:rPr>
        <w:t xml:space="preserve"> and DCP 190A</w:t>
      </w:r>
      <w:r>
        <w:rPr>
          <w:b w:val="0"/>
        </w:rPr>
        <w:t xml:space="preserve"> Consultation </w:t>
      </w:r>
      <w:r w:rsidR="005D4D3A">
        <w:rPr>
          <w:b w:val="0"/>
        </w:rPr>
        <w:t xml:space="preserve">One </w:t>
      </w:r>
    </w:p>
    <w:p w:rsidR="005D4D3A" w:rsidRPr="005D4D3A" w:rsidRDefault="005D4D3A" w:rsidP="005D4D3A">
      <w:pPr>
        <w:pStyle w:val="Heading1"/>
        <w:numPr>
          <w:ilvl w:val="0"/>
          <w:numId w:val="4"/>
        </w:numPr>
        <w:spacing w:line="360" w:lineRule="auto"/>
        <w:jc w:val="both"/>
        <w:rPr>
          <w:b w:val="0"/>
        </w:rPr>
      </w:pPr>
      <w:r w:rsidRPr="005D4D3A">
        <w:rPr>
          <w:b w:val="0"/>
        </w:rPr>
        <w:t>Attachment 5 – DCP 190</w:t>
      </w:r>
      <w:r>
        <w:rPr>
          <w:b w:val="0"/>
        </w:rPr>
        <w:t xml:space="preserve"> and DCP 190A </w:t>
      </w:r>
      <w:r w:rsidRPr="005D4D3A">
        <w:rPr>
          <w:b w:val="0"/>
        </w:rPr>
        <w:t>Consultation Two</w:t>
      </w:r>
    </w:p>
    <w:sectPr w:rsidR="005D4D3A" w:rsidRPr="005D4D3A" w:rsidSect="003106F0">
      <w:headerReference w:type="default" r:id="rId12"/>
      <w:footerReference w:type="default" r:id="rId13"/>
      <w:pgSz w:w="11906" w:h="16838"/>
      <w:pgMar w:top="1440" w:right="1700" w:bottom="1440"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ynesc" w:date="2014-05-19T15:14:00Z" w:initials="h">
    <w:p w:rsidR="00BA7523" w:rsidRDefault="00BA7523">
      <w:pPr>
        <w:pStyle w:val="CommentText"/>
      </w:pPr>
      <w:r>
        <w:rPr>
          <w:rStyle w:val="CommentReference"/>
        </w:rPr>
        <w:annotationRef/>
      </w:r>
      <w:r>
        <w:t xml:space="preserve">Hi David And Brian, is this a correct summary from your response to question 5 </w:t>
      </w:r>
    </w:p>
    <w:p w:rsidR="00BA7523" w:rsidRPr="0094687E" w:rsidRDefault="00BA7523" w:rsidP="0094687E">
      <w:pPr>
        <w:jc w:val="both"/>
        <w:rPr>
          <w:rFonts w:cs="Arial"/>
          <w:i/>
        </w:rPr>
      </w:pPr>
      <w:r w:rsidRPr="0094687E">
        <w:rPr>
          <w:rFonts w:cs="Arial"/>
          <w:i/>
        </w:rPr>
        <w:t xml:space="preserve">“We believe that all DNOs intend to provide some level of credit, should this change be enacted.  Whilst there may be some difference between DNOs in terms of how they calculate the credit (due to different policies relating to use for equipment </w:t>
      </w:r>
      <w:proofErr w:type="spellStart"/>
      <w:r w:rsidRPr="0094687E">
        <w:rPr>
          <w:rFonts w:cs="Arial"/>
          <w:i/>
        </w:rPr>
        <w:t>etc</w:t>
      </w:r>
      <w:proofErr w:type="spellEnd"/>
      <w:r w:rsidRPr="0094687E">
        <w:rPr>
          <w:rFonts w:cs="Arial"/>
          <w:i/>
        </w:rPr>
        <w:t>), DNOs will need to apply their own policy on a consistent basis.  DNOs have other non-discrimination obligations that will require this”.</w:t>
      </w:r>
    </w:p>
    <w:p w:rsidR="00BA7523" w:rsidRDefault="00BA7523">
      <w:pPr>
        <w:pStyle w:val="CommentText"/>
      </w:pPr>
    </w:p>
  </w:comment>
  <w:comment w:id="2" w:author="hynesc" w:date="2014-09-12T11:12:00Z" w:initials="h">
    <w:p w:rsidR="00BA7523" w:rsidRDefault="00BA7523">
      <w:pPr>
        <w:pStyle w:val="CommentText"/>
      </w:pPr>
      <w:r>
        <w:rPr>
          <w:rStyle w:val="CommentReference"/>
        </w:rPr>
        <w:annotationRef/>
      </w:r>
      <w:r>
        <w:t>Do you wish to add any further response?</w:t>
      </w:r>
    </w:p>
  </w:comment>
  <w:comment w:id="3" w:author="hynesc" w:date="2014-09-12T12:50:00Z" w:initials="h">
    <w:p w:rsidR="00BA7523" w:rsidRDefault="00BA7523">
      <w:pPr>
        <w:pStyle w:val="CommentText"/>
      </w:pPr>
      <w:r>
        <w:rPr>
          <w:rStyle w:val="CommentReference"/>
        </w:rPr>
        <w:annotationRef/>
      </w:r>
      <w:r>
        <w:t>Is this a suitable response</w:t>
      </w:r>
    </w:p>
  </w:comment>
  <w:comment w:id="4" w:author="hynesc" w:date="2014-05-19T15:14:00Z" w:initials="h">
    <w:p w:rsidR="00BA7523" w:rsidRDefault="00BA7523" w:rsidP="001E3EC2">
      <w:pPr>
        <w:pStyle w:val="CommentText"/>
      </w:pPr>
      <w:r>
        <w:rPr>
          <w:rStyle w:val="CommentReference"/>
        </w:rPr>
        <w:annotationRef/>
      </w:r>
      <w:r>
        <w:t>Hi Bob please let me know if you are happy with the wording for the Alternate Change Proposal?</w:t>
      </w:r>
    </w:p>
  </w:comment>
  <w:comment w:id="5" w:author="hynesc" w:date="2014-09-15T17:54:00Z" w:initials="h">
    <w:p w:rsidR="00BA7523" w:rsidRDefault="00BA7523">
      <w:pPr>
        <w:pStyle w:val="CommentText"/>
      </w:pPr>
      <w:r>
        <w:rPr>
          <w:rStyle w:val="CommentReference"/>
        </w:rPr>
        <w:annotationRef/>
      </w:r>
      <w:r>
        <w:t>Hi Bob, I would be grateful if you could advise which Objectives that you consider are better facilitated by DCP 190A</w:t>
      </w:r>
      <w:r w:rsidR="00033711">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3EF" w:rsidRDefault="000263EF">
      <w:r>
        <w:separator/>
      </w:r>
    </w:p>
  </w:endnote>
  <w:endnote w:type="continuationSeparator" w:id="0">
    <w:p w:rsidR="000263EF" w:rsidRDefault="00026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523" w:rsidRPr="003D26C2" w:rsidRDefault="00BA7523">
    <w:pPr>
      <w:pStyle w:val="Footer"/>
      <w:rPr>
        <w:rFonts w:ascii="Verdana" w:hAnsi="Verdana"/>
        <w:sz w:val="16"/>
        <w:szCs w:val="16"/>
      </w:rPr>
    </w:pPr>
    <w:r>
      <w:rPr>
        <w:rFonts w:ascii="Verdana" w:hAnsi="Verdana"/>
        <w:sz w:val="16"/>
        <w:szCs w:val="16"/>
      </w:rPr>
      <w:t xml:space="preserve">08 October 2014  </w:t>
    </w:r>
    <w:r w:rsidRPr="003D26C2">
      <w:rPr>
        <w:rFonts w:ascii="Verdana" w:hAnsi="Verdana"/>
        <w:sz w:val="16"/>
        <w:szCs w:val="16"/>
      </w:rPr>
      <w:t xml:space="preserve"> </w:t>
    </w:r>
    <w:r>
      <w:rPr>
        <w:rFonts w:ascii="Verdana" w:hAnsi="Verdana"/>
        <w:sz w:val="16"/>
        <w:szCs w:val="16"/>
      </w:rPr>
      <w:tab/>
    </w:r>
    <w:r w:rsidRPr="002B045C">
      <w:rPr>
        <w:rFonts w:ascii="Verdana" w:hAnsi="Verdana"/>
        <w:sz w:val="16"/>
        <w:szCs w:val="16"/>
      </w:rPr>
      <w:t xml:space="preserve">Page </w:t>
    </w:r>
    <w:r w:rsidRPr="002B045C">
      <w:rPr>
        <w:rFonts w:ascii="Verdana" w:hAnsi="Verdana"/>
        <w:sz w:val="16"/>
        <w:szCs w:val="16"/>
      </w:rPr>
      <w:fldChar w:fldCharType="begin"/>
    </w:r>
    <w:r w:rsidRPr="002B045C">
      <w:rPr>
        <w:rFonts w:ascii="Verdana" w:hAnsi="Verdana"/>
        <w:sz w:val="16"/>
        <w:szCs w:val="16"/>
      </w:rPr>
      <w:instrText xml:space="preserve"> PAGE </w:instrText>
    </w:r>
    <w:r w:rsidRPr="002B045C">
      <w:rPr>
        <w:rFonts w:ascii="Verdana" w:hAnsi="Verdana"/>
        <w:sz w:val="16"/>
        <w:szCs w:val="16"/>
      </w:rPr>
      <w:fldChar w:fldCharType="separate"/>
    </w:r>
    <w:r w:rsidR="00597893">
      <w:rPr>
        <w:rFonts w:ascii="Verdana" w:hAnsi="Verdana"/>
        <w:noProof/>
        <w:sz w:val="16"/>
        <w:szCs w:val="16"/>
      </w:rPr>
      <w:t>22</w:t>
    </w:r>
    <w:r w:rsidRPr="002B045C">
      <w:rPr>
        <w:rFonts w:ascii="Verdana" w:hAnsi="Verdana"/>
        <w:sz w:val="16"/>
        <w:szCs w:val="16"/>
      </w:rPr>
      <w:fldChar w:fldCharType="end"/>
    </w:r>
    <w:r w:rsidRPr="002B045C">
      <w:rPr>
        <w:rFonts w:ascii="Verdana" w:hAnsi="Verdana"/>
        <w:sz w:val="16"/>
        <w:szCs w:val="16"/>
      </w:rPr>
      <w:t xml:space="preserve"> of </w:t>
    </w:r>
    <w:r w:rsidRPr="002B045C">
      <w:rPr>
        <w:rFonts w:ascii="Verdana" w:hAnsi="Verdana"/>
        <w:sz w:val="16"/>
        <w:szCs w:val="16"/>
      </w:rPr>
      <w:fldChar w:fldCharType="begin"/>
    </w:r>
    <w:r w:rsidRPr="002B045C">
      <w:rPr>
        <w:rFonts w:ascii="Verdana" w:hAnsi="Verdana"/>
        <w:sz w:val="16"/>
        <w:szCs w:val="16"/>
      </w:rPr>
      <w:instrText xml:space="preserve"> NUMPAGES </w:instrText>
    </w:r>
    <w:r w:rsidRPr="002B045C">
      <w:rPr>
        <w:rFonts w:ascii="Verdana" w:hAnsi="Verdana"/>
        <w:sz w:val="16"/>
        <w:szCs w:val="16"/>
      </w:rPr>
      <w:fldChar w:fldCharType="separate"/>
    </w:r>
    <w:r w:rsidR="00597893">
      <w:rPr>
        <w:rFonts w:ascii="Verdana" w:hAnsi="Verdana"/>
        <w:noProof/>
        <w:sz w:val="16"/>
        <w:szCs w:val="16"/>
      </w:rPr>
      <w:t>22</w:t>
    </w:r>
    <w:r w:rsidRPr="002B045C">
      <w:rPr>
        <w:rFonts w:ascii="Verdana" w:hAnsi="Verdana"/>
        <w:sz w:val="16"/>
        <w:szCs w:val="16"/>
      </w:rPr>
      <w:fldChar w:fldCharType="end"/>
    </w:r>
    <w:r>
      <w:rPr>
        <w:rFonts w:ascii="Verdana" w:hAnsi="Verdana"/>
        <w:sz w:val="16"/>
        <w:szCs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3EF" w:rsidRDefault="000263EF">
      <w:r>
        <w:separator/>
      </w:r>
    </w:p>
  </w:footnote>
  <w:footnote w:type="continuationSeparator" w:id="0">
    <w:p w:rsidR="000263EF" w:rsidRDefault="000263EF">
      <w:r>
        <w:continuationSeparator/>
      </w:r>
    </w:p>
  </w:footnote>
  <w:footnote w:id="1">
    <w:p w:rsidR="00BA7523" w:rsidRDefault="00BA7523" w:rsidP="003D7E6C">
      <w:pPr>
        <w:pStyle w:val="FootnoteText"/>
      </w:pPr>
      <w:r>
        <w:rPr>
          <w:rStyle w:val="FootnoteReference"/>
        </w:rPr>
        <w:footnoteRef/>
      </w:r>
      <w:r>
        <w:t xml:space="preserve"> Indicative decision date based on the 25 Working Day KPI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523" w:rsidRPr="003D26C2" w:rsidRDefault="00BA7523">
    <w:pPr>
      <w:pStyle w:val="Header"/>
      <w:rPr>
        <w:rFonts w:ascii="Verdana" w:hAnsi="Verdana"/>
        <w:sz w:val="16"/>
        <w:szCs w:val="16"/>
      </w:rPr>
    </w:pPr>
    <w:r w:rsidRPr="003D26C2">
      <w:rPr>
        <w:rFonts w:ascii="Verdana" w:hAnsi="Verdana"/>
        <w:sz w:val="16"/>
        <w:szCs w:val="16"/>
      </w:rPr>
      <w:t xml:space="preserve">DCP </w:t>
    </w:r>
    <w:r>
      <w:rPr>
        <w:rFonts w:ascii="Verdana" w:hAnsi="Verdana"/>
        <w:sz w:val="16"/>
        <w:szCs w:val="16"/>
      </w:rPr>
      <w:t>190</w:t>
    </w:r>
    <w:r w:rsidRPr="003D26C2">
      <w:rPr>
        <w:rFonts w:ascii="Verdana" w:hAnsi="Verdana"/>
        <w:sz w:val="16"/>
        <w:szCs w:val="16"/>
      </w:rPr>
      <w:tab/>
    </w:r>
    <w:r w:rsidRPr="003D26C2">
      <w:rPr>
        <w:rFonts w:ascii="Verdana" w:hAnsi="Verdana"/>
        <w:sz w:val="16"/>
        <w:szCs w:val="16"/>
      </w:rPr>
      <w:tab/>
    </w:r>
    <w:r>
      <w:rPr>
        <w:rFonts w:ascii="Verdana" w:hAnsi="Verdana"/>
        <w:sz w:val="16"/>
        <w:szCs w:val="16"/>
      </w:rPr>
      <w:t>Change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028BEF6"/>
    <w:lvl w:ilvl="0">
      <w:start w:val="1"/>
      <w:numFmt w:val="decimal"/>
      <w:pStyle w:val="ListNumber"/>
      <w:lvlText w:val="%1."/>
      <w:lvlJc w:val="left"/>
      <w:pPr>
        <w:tabs>
          <w:tab w:val="num" w:pos="360"/>
        </w:tabs>
        <w:ind w:left="360" w:hanging="360"/>
      </w:pPr>
      <w:rPr>
        <w:rFonts w:cs="Times New Roman"/>
      </w:rPr>
    </w:lvl>
  </w:abstractNum>
  <w:abstractNum w:abstractNumId="1">
    <w:nsid w:val="0152531E"/>
    <w:multiLevelType w:val="hybridMultilevel"/>
    <w:tmpl w:val="5ECAC97A"/>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
    <w:nsid w:val="01E67A63"/>
    <w:multiLevelType w:val="hybridMultilevel"/>
    <w:tmpl w:val="D5C8F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FA7F23"/>
    <w:multiLevelType w:val="hybridMultilevel"/>
    <w:tmpl w:val="8B50E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2576C3"/>
    <w:multiLevelType w:val="hybridMultilevel"/>
    <w:tmpl w:val="C18E1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BE5FC9"/>
    <w:multiLevelType w:val="hybridMultilevel"/>
    <w:tmpl w:val="763C6C90"/>
    <w:lvl w:ilvl="0" w:tplc="D240824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92572EE"/>
    <w:multiLevelType w:val="multilevel"/>
    <w:tmpl w:val="37B2FB24"/>
    <w:lvl w:ilvl="0">
      <w:start w:val="3"/>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092E61FB"/>
    <w:multiLevelType w:val="multilevel"/>
    <w:tmpl w:val="A27AD03E"/>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0B4A41E7"/>
    <w:multiLevelType w:val="multilevel"/>
    <w:tmpl w:val="A27AD03E"/>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nsid w:val="0EEA5985"/>
    <w:multiLevelType w:val="multilevel"/>
    <w:tmpl w:val="37B2FB24"/>
    <w:lvl w:ilvl="0">
      <w:start w:val="3"/>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1">
    <w:nsid w:val="17E26EC9"/>
    <w:multiLevelType w:val="hybridMultilevel"/>
    <w:tmpl w:val="366C3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8652F1"/>
    <w:multiLevelType w:val="hybridMultilevel"/>
    <w:tmpl w:val="5EB47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3E09E9"/>
    <w:multiLevelType w:val="hybridMultilevel"/>
    <w:tmpl w:val="DDD6F7DC"/>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A70ECE"/>
    <w:multiLevelType w:val="hybridMultilevel"/>
    <w:tmpl w:val="D91EE132"/>
    <w:lvl w:ilvl="0" w:tplc="0809000F">
      <w:start w:val="1"/>
      <w:numFmt w:val="decimal"/>
      <w:lvlText w:val="%1."/>
      <w:lvlJc w:val="left"/>
      <w:pPr>
        <w:tabs>
          <w:tab w:val="num" w:pos="1080"/>
        </w:tabs>
        <w:ind w:left="1080" w:hanging="360"/>
      </w:pPr>
      <w:rPr>
        <w:rFonts w:hint="default"/>
        <w:sz w:val="20"/>
        <w:szCs w:val="20"/>
      </w:rPr>
    </w:lvl>
    <w:lvl w:ilvl="1" w:tplc="7818919E">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21590085"/>
    <w:multiLevelType w:val="multilevel"/>
    <w:tmpl w:val="7324B22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nsid w:val="23A1087B"/>
    <w:multiLevelType w:val="hybridMultilevel"/>
    <w:tmpl w:val="2A042398"/>
    <w:lvl w:ilvl="0" w:tplc="04090001">
      <w:start w:val="1"/>
      <w:numFmt w:val="bullet"/>
      <w:lvlText w:val=""/>
      <w:lvlJc w:val="left"/>
      <w:pPr>
        <w:tabs>
          <w:tab w:val="num" w:pos="1069"/>
        </w:tabs>
        <w:ind w:left="1069" w:hanging="360"/>
      </w:pPr>
      <w:rPr>
        <w:rFonts w:ascii="Symbol" w:hAnsi="Symbol" w:hint="default"/>
        <w:sz w:val="20"/>
        <w:szCs w:val="20"/>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
    <w:nsid w:val="24172CF1"/>
    <w:multiLevelType w:val="hybridMultilevel"/>
    <w:tmpl w:val="C21EA1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27A772E6"/>
    <w:multiLevelType w:val="hybridMultilevel"/>
    <w:tmpl w:val="7DA6E9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7FA4B45"/>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274469"/>
    <w:multiLevelType w:val="hybridMultilevel"/>
    <w:tmpl w:val="6B8AEA3E"/>
    <w:lvl w:ilvl="0" w:tplc="0809000F">
      <w:start w:val="1"/>
      <w:numFmt w:val="decimal"/>
      <w:lvlText w:val="%1."/>
      <w:lvlJc w:val="left"/>
      <w:pPr>
        <w:ind w:left="862" w:hanging="360"/>
      </w:p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21">
    <w:nsid w:val="2B982CAB"/>
    <w:multiLevelType w:val="hybridMultilevel"/>
    <w:tmpl w:val="33604A54"/>
    <w:lvl w:ilvl="0" w:tplc="8904CA7A">
      <w:start w:val="22"/>
      <w:numFmt w:val="bullet"/>
      <w:lvlText w:val="-"/>
      <w:lvlJc w:val="left"/>
      <w:pPr>
        <w:ind w:left="405" w:hanging="360"/>
      </w:pPr>
      <w:rPr>
        <w:rFonts w:ascii="Calibri" w:eastAsia="Times New Roman" w:hAnsi="Calibri" w:cs="Times New Roman"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22">
    <w:nsid w:val="36592C10"/>
    <w:multiLevelType w:val="hybridMultilevel"/>
    <w:tmpl w:val="BA4472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3906525E"/>
    <w:multiLevelType w:val="multilevel"/>
    <w:tmpl w:val="A27AD03E"/>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nsid w:val="395523CC"/>
    <w:multiLevelType w:val="hybridMultilevel"/>
    <w:tmpl w:val="A7A25D5E"/>
    <w:lvl w:ilvl="0" w:tplc="BA34D436">
      <w:start w:val="2"/>
      <w:numFmt w:val="decimal"/>
      <w:lvlText w:val="%1)"/>
      <w:lvlJc w:val="left"/>
      <w:pPr>
        <w:ind w:left="1051" w:hanging="360"/>
      </w:pPr>
      <w:rPr>
        <w:rFonts w:hint="default"/>
      </w:rPr>
    </w:lvl>
    <w:lvl w:ilvl="1" w:tplc="08090019" w:tentative="1">
      <w:start w:val="1"/>
      <w:numFmt w:val="lowerLetter"/>
      <w:lvlText w:val="%2."/>
      <w:lvlJc w:val="left"/>
      <w:pPr>
        <w:ind w:left="1771" w:hanging="360"/>
      </w:pPr>
    </w:lvl>
    <w:lvl w:ilvl="2" w:tplc="0809001B" w:tentative="1">
      <w:start w:val="1"/>
      <w:numFmt w:val="lowerRoman"/>
      <w:lvlText w:val="%3."/>
      <w:lvlJc w:val="right"/>
      <w:pPr>
        <w:ind w:left="2491" w:hanging="180"/>
      </w:pPr>
    </w:lvl>
    <w:lvl w:ilvl="3" w:tplc="0809000F" w:tentative="1">
      <w:start w:val="1"/>
      <w:numFmt w:val="decimal"/>
      <w:lvlText w:val="%4."/>
      <w:lvlJc w:val="left"/>
      <w:pPr>
        <w:ind w:left="3211" w:hanging="360"/>
      </w:pPr>
    </w:lvl>
    <w:lvl w:ilvl="4" w:tplc="08090019" w:tentative="1">
      <w:start w:val="1"/>
      <w:numFmt w:val="lowerLetter"/>
      <w:lvlText w:val="%5."/>
      <w:lvlJc w:val="left"/>
      <w:pPr>
        <w:ind w:left="3931" w:hanging="360"/>
      </w:pPr>
    </w:lvl>
    <w:lvl w:ilvl="5" w:tplc="0809001B" w:tentative="1">
      <w:start w:val="1"/>
      <w:numFmt w:val="lowerRoman"/>
      <w:lvlText w:val="%6."/>
      <w:lvlJc w:val="right"/>
      <w:pPr>
        <w:ind w:left="4651" w:hanging="180"/>
      </w:pPr>
    </w:lvl>
    <w:lvl w:ilvl="6" w:tplc="0809000F" w:tentative="1">
      <w:start w:val="1"/>
      <w:numFmt w:val="decimal"/>
      <w:lvlText w:val="%7."/>
      <w:lvlJc w:val="left"/>
      <w:pPr>
        <w:ind w:left="5371" w:hanging="360"/>
      </w:pPr>
    </w:lvl>
    <w:lvl w:ilvl="7" w:tplc="08090019" w:tentative="1">
      <w:start w:val="1"/>
      <w:numFmt w:val="lowerLetter"/>
      <w:lvlText w:val="%8."/>
      <w:lvlJc w:val="left"/>
      <w:pPr>
        <w:ind w:left="6091" w:hanging="360"/>
      </w:pPr>
    </w:lvl>
    <w:lvl w:ilvl="8" w:tplc="0809001B" w:tentative="1">
      <w:start w:val="1"/>
      <w:numFmt w:val="lowerRoman"/>
      <w:lvlText w:val="%9."/>
      <w:lvlJc w:val="right"/>
      <w:pPr>
        <w:ind w:left="6811" w:hanging="180"/>
      </w:pPr>
    </w:lvl>
  </w:abstractNum>
  <w:abstractNum w:abstractNumId="25">
    <w:nsid w:val="418436C6"/>
    <w:multiLevelType w:val="hybridMultilevel"/>
    <w:tmpl w:val="8CBC76BC"/>
    <w:lvl w:ilvl="0" w:tplc="08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8A1D97"/>
    <w:multiLevelType w:val="hybridMultilevel"/>
    <w:tmpl w:val="5C769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4D90A53"/>
    <w:multiLevelType w:val="hybridMultilevel"/>
    <w:tmpl w:val="93746F1E"/>
    <w:lvl w:ilvl="0" w:tplc="7286EB84">
      <w:start w:val="1"/>
      <w:numFmt w:val="decimal"/>
      <w:lvlText w:val="%1."/>
      <w:lvlJc w:val="left"/>
      <w:pPr>
        <w:ind w:left="720" w:hanging="360"/>
      </w:pPr>
      <w:rPr>
        <w:rFonts w:ascii="Verdana"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333AC0"/>
    <w:multiLevelType w:val="multilevel"/>
    <w:tmpl w:val="C4D00574"/>
    <w:lvl w:ilvl="0">
      <w:start w:val="1"/>
      <w:numFmt w:val="decimal"/>
      <w:lvlText w:val="%1"/>
      <w:lvlJc w:val="left"/>
      <w:pPr>
        <w:tabs>
          <w:tab w:val="num" w:pos="432"/>
        </w:tabs>
        <w:ind w:left="432" w:hanging="432"/>
      </w:pPr>
      <w:rPr>
        <w:rFonts w:cs="Times New Roman"/>
        <w:b/>
        <w:sz w:val="20"/>
        <w:szCs w:val="20"/>
      </w:rPr>
    </w:lvl>
    <w:lvl w:ilvl="1">
      <w:start w:val="1"/>
      <w:numFmt w:val="decimal"/>
      <w:lvlText w:val="%1.%2"/>
      <w:lvlJc w:val="left"/>
      <w:pPr>
        <w:tabs>
          <w:tab w:val="num" w:pos="576"/>
        </w:tabs>
        <w:ind w:left="576" w:hanging="576"/>
      </w:pPr>
      <w:rPr>
        <w:rFonts w:ascii="Verdana" w:hAnsi="Verdana" w:cs="Times New Roman"/>
        <w:b w:val="0"/>
        <w:bCs w:val="0"/>
        <w:i w:val="0"/>
        <w:iCs w:val="0"/>
        <w:caps w:val="0"/>
        <w:smallCaps w:val="0"/>
        <w:strike w:val="0"/>
        <w:dstrike w:val="0"/>
        <w:color w:val="auto"/>
        <w:spacing w:val="0"/>
        <w:w w:val="100"/>
        <w:kern w:val="0"/>
        <w:position w:val="0"/>
        <w:sz w:val="20"/>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nsid w:val="4A1D7001"/>
    <w:multiLevelType w:val="hybridMultilevel"/>
    <w:tmpl w:val="60143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AE900AC"/>
    <w:multiLevelType w:val="multilevel"/>
    <w:tmpl w:val="A27AD03E"/>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nsid w:val="4D336815"/>
    <w:multiLevelType w:val="hybridMultilevel"/>
    <w:tmpl w:val="5EFC52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520006D0"/>
    <w:multiLevelType w:val="hybridMultilevel"/>
    <w:tmpl w:val="2E1C5CB6"/>
    <w:lvl w:ilvl="0" w:tplc="04090001">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3CC7DCF"/>
    <w:multiLevelType w:val="multilevel"/>
    <w:tmpl w:val="A27AD03E"/>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4">
    <w:nsid w:val="5A652106"/>
    <w:multiLevelType w:val="hybridMultilevel"/>
    <w:tmpl w:val="4580B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5A1D84"/>
    <w:multiLevelType w:val="hybridMultilevel"/>
    <w:tmpl w:val="3FD8CBA6"/>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5FEF0FF4"/>
    <w:multiLevelType w:val="multilevel"/>
    <w:tmpl w:val="A27AD03E"/>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7">
    <w:nsid w:val="6881623E"/>
    <w:multiLevelType w:val="multilevel"/>
    <w:tmpl w:val="0409001F"/>
    <w:styleLink w:val="Style2"/>
    <w:lvl w:ilvl="0">
      <w:start w:val="1"/>
      <w:numFmt w:val="decimal"/>
      <w:lvlText w:val="%1."/>
      <w:lvlJc w:val="left"/>
      <w:pPr>
        <w:tabs>
          <w:tab w:val="num" w:pos="360"/>
        </w:tabs>
        <w:ind w:left="360" w:hanging="360"/>
      </w:pPr>
      <w:rPr>
        <w:rFonts w:cs="Times New Roman"/>
        <w:sz w:val="20"/>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1800"/>
        </w:tabs>
        <w:ind w:left="1440" w:hanging="1440"/>
      </w:pPr>
      <w:rPr>
        <w:rFonts w:cs="Times New Roman"/>
      </w:rPr>
    </w:lvl>
  </w:abstractNum>
  <w:abstractNum w:abstractNumId="38">
    <w:nsid w:val="6A4E7EAE"/>
    <w:multiLevelType w:val="multilevel"/>
    <w:tmpl w:val="0C58CB8C"/>
    <w:lvl w:ilvl="0">
      <w:start w:val="3"/>
      <w:numFmt w:val="decimal"/>
      <w:lvlText w:val="%1"/>
      <w:lvlJc w:val="left"/>
      <w:pPr>
        <w:ind w:left="360" w:hanging="360"/>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6B8E68CD"/>
    <w:multiLevelType w:val="hybridMultilevel"/>
    <w:tmpl w:val="96781A2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0">
    <w:nsid w:val="6D5B7A3C"/>
    <w:multiLevelType w:val="multilevel"/>
    <w:tmpl w:val="C2CA503C"/>
    <w:lvl w:ilvl="0">
      <w:start w:val="1"/>
      <w:numFmt w:val="decimal"/>
      <w:lvlText w:val="%1."/>
      <w:lvlJc w:val="left"/>
      <w:pPr>
        <w:ind w:left="360" w:hanging="360"/>
      </w:pPr>
      <w:rPr>
        <w:rFonts w:hint="default"/>
      </w:rPr>
    </w:lvl>
    <w:lvl w:ilvl="1">
      <w:start w:val="1"/>
      <w:numFmt w:val="decimal"/>
      <w:lvlText w:val="%1.5"/>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nsid w:val="6D9B2D9C"/>
    <w:multiLevelType w:val="hybridMultilevel"/>
    <w:tmpl w:val="EE664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463946"/>
    <w:multiLevelType w:val="hybridMultilevel"/>
    <w:tmpl w:val="847E442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91E45A2C">
      <w:start w:val="15"/>
      <w:numFmt w:val="bullet"/>
      <w:lvlText w:val="-"/>
      <w:lvlJc w:val="left"/>
      <w:pPr>
        <w:ind w:left="2880" w:hanging="360"/>
      </w:pPr>
      <w:rPr>
        <w:rFonts w:ascii="Verdana" w:eastAsia="Times New Roman" w:hAnsi="Verdana" w:cs="Aria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335B5A"/>
    <w:multiLevelType w:val="multilevel"/>
    <w:tmpl w:val="38D823E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nsid w:val="7FC326A7"/>
    <w:multiLevelType w:val="multilevel"/>
    <w:tmpl w:val="37B2FB24"/>
    <w:lvl w:ilvl="0">
      <w:start w:val="3"/>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28"/>
  </w:num>
  <w:num w:numId="3">
    <w:abstractNumId w:val="37"/>
  </w:num>
  <w:num w:numId="4">
    <w:abstractNumId w:val="32"/>
  </w:num>
  <w:num w:numId="5">
    <w:abstractNumId w:val="35"/>
  </w:num>
  <w:num w:numId="6">
    <w:abstractNumId w:val="4"/>
  </w:num>
  <w:num w:numId="7">
    <w:abstractNumId w:val="42"/>
  </w:num>
  <w:num w:numId="8">
    <w:abstractNumId w:val="38"/>
  </w:num>
  <w:num w:numId="9">
    <w:abstractNumId w:val="1"/>
  </w:num>
  <w:num w:numId="10">
    <w:abstractNumId w:val="31"/>
  </w:num>
  <w:num w:numId="11">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2"/>
  </w:num>
  <w:num w:numId="14">
    <w:abstractNumId w:val="29"/>
  </w:num>
  <w:num w:numId="15">
    <w:abstractNumId w:val="41"/>
  </w:num>
  <w:num w:numId="16">
    <w:abstractNumId w:val="11"/>
  </w:num>
  <w:num w:numId="17">
    <w:abstractNumId w:val="34"/>
  </w:num>
  <w:num w:numId="18">
    <w:abstractNumId w:val="40"/>
  </w:num>
  <w:num w:numId="19">
    <w:abstractNumId w:val="21"/>
  </w:num>
  <w:num w:numId="20">
    <w:abstractNumId w:val="5"/>
  </w:num>
  <w:num w:numId="21">
    <w:abstractNumId w:val="24"/>
  </w:num>
  <w:num w:numId="22">
    <w:abstractNumId w:val="19"/>
  </w:num>
  <w:num w:numId="23">
    <w:abstractNumId w:val="20"/>
  </w:num>
  <w:num w:numId="24">
    <w:abstractNumId w:val="25"/>
  </w:num>
  <w:num w:numId="25">
    <w:abstractNumId w:val="18"/>
  </w:num>
  <w:num w:numId="26">
    <w:abstractNumId w:val="13"/>
  </w:num>
  <w:num w:numId="27">
    <w:abstractNumId w:val="3"/>
  </w:num>
  <w:num w:numId="28">
    <w:abstractNumId w:val="26"/>
  </w:num>
  <w:num w:numId="29">
    <w:abstractNumId w:val="17"/>
  </w:num>
  <w:num w:numId="30">
    <w:abstractNumId w:val="16"/>
  </w:num>
  <w:num w:numId="31">
    <w:abstractNumId w:val="14"/>
  </w:num>
  <w:num w:numId="32">
    <w:abstractNumId w:val="10"/>
  </w:num>
  <w:num w:numId="33">
    <w:abstractNumId w:val="43"/>
  </w:num>
  <w:num w:numId="34">
    <w:abstractNumId w:val="15"/>
  </w:num>
  <w:num w:numId="35">
    <w:abstractNumId w:val="44"/>
  </w:num>
  <w:num w:numId="36">
    <w:abstractNumId w:val="9"/>
  </w:num>
  <w:num w:numId="37">
    <w:abstractNumId w:val="6"/>
  </w:num>
  <w:num w:numId="38">
    <w:abstractNumId w:val="39"/>
  </w:num>
  <w:num w:numId="39">
    <w:abstractNumId w:val="27"/>
  </w:num>
  <w:num w:numId="40">
    <w:abstractNumId w:val="12"/>
  </w:num>
  <w:num w:numId="41">
    <w:abstractNumId w:val="33"/>
  </w:num>
  <w:num w:numId="42">
    <w:abstractNumId w:val="36"/>
  </w:num>
  <w:num w:numId="43">
    <w:abstractNumId w:val="23"/>
  </w:num>
  <w:num w:numId="44">
    <w:abstractNumId w:val="8"/>
  </w:num>
  <w:num w:numId="45">
    <w:abstractNumId w:val="7"/>
  </w:num>
  <w:num w:numId="46">
    <w:abstractNumId w:val="3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23E"/>
    <w:rsid w:val="00000212"/>
    <w:rsid w:val="00000EB5"/>
    <w:rsid w:val="0000106C"/>
    <w:rsid w:val="0000122A"/>
    <w:rsid w:val="0000238B"/>
    <w:rsid w:val="00002D4B"/>
    <w:rsid w:val="00003806"/>
    <w:rsid w:val="00003D34"/>
    <w:rsid w:val="0000421C"/>
    <w:rsid w:val="000046FB"/>
    <w:rsid w:val="0000606B"/>
    <w:rsid w:val="00006113"/>
    <w:rsid w:val="00006E06"/>
    <w:rsid w:val="000076FC"/>
    <w:rsid w:val="0001044D"/>
    <w:rsid w:val="00010A51"/>
    <w:rsid w:val="000114A5"/>
    <w:rsid w:val="00011DDD"/>
    <w:rsid w:val="00013CA0"/>
    <w:rsid w:val="0001483C"/>
    <w:rsid w:val="00015E2C"/>
    <w:rsid w:val="00016053"/>
    <w:rsid w:val="00016E5C"/>
    <w:rsid w:val="00016ECB"/>
    <w:rsid w:val="0002057D"/>
    <w:rsid w:val="00020A4E"/>
    <w:rsid w:val="00021E03"/>
    <w:rsid w:val="000226BD"/>
    <w:rsid w:val="00022C8C"/>
    <w:rsid w:val="000244AC"/>
    <w:rsid w:val="000256DB"/>
    <w:rsid w:val="00025B24"/>
    <w:rsid w:val="000263EF"/>
    <w:rsid w:val="00030B15"/>
    <w:rsid w:val="00030C70"/>
    <w:rsid w:val="000325CB"/>
    <w:rsid w:val="00032705"/>
    <w:rsid w:val="00033711"/>
    <w:rsid w:val="00033919"/>
    <w:rsid w:val="00033AB7"/>
    <w:rsid w:val="00033EE9"/>
    <w:rsid w:val="0003441E"/>
    <w:rsid w:val="00034F41"/>
    <w:rsid w:val="00035797"/>
    <w:rsid w:val="00035A07"/>
    <w:rsid w:val="0003615B"/>
    <w:rsid w:val="00037720"/>
    <w:rsid w:val="0003774D"/>
    <w:rsid w:val="000402DF"/>
    <w:rsid w:val="00041435"/>
    <w:rsid w:val="00042730"/>
    <w:rsid w:val="00043256"/>
    <w:rsid w:val="00043457"/>
    <w:rsid w:val="000434ED"/>
    <w:rsid w:val="000452CD"/>
    <w:rsid w:val="000458B8"/>
    <w:rsid w:val="00045F1C"/>
    <w:rsid w:val="000463C4"/>
    <w:rsid w:val="0004654A"/>
    <w:rsid w:val="00046E76"/>
    <w:rsid w:val="00047450"/>
    <w:rsid w:val="00047A50"/>
    <w:rsid w:val="00047BF5"/>
    <w:rsid w:val="00050019"/>
    <w:rsid w:val="00050BE1"/>
    <w:rsid w:val="000512B2"/>
    <w:rsid w:val="00051BF9"/>
    <w:rsid w:val="00051C9B"/>
    <w:rsid w:val="00051CD8"/>
    <w:rsid w:val="00052461"/>
    <w:rsid w:val="00052ABA"/>
    <w:rsid w:val="00052B0F"/>
    <w:rsid w:val="00052FE1"/>
    <w:rsid w:val="00055A21"/>
    <w:rsid w:val="00057546"/>
    <w:rsid w:val="00057986"/>
    <w:rsid w:val="00057AA3"/>
    <w:rsid w:val="0006034C"/>
    <w:rsid w:val="00060D57"/>
    <w:rsid w:val="00062E05"/>
    <w:rsid w:val="000631AB"/>
    <w:rsid w:val="00064070"/>
    <w:rsid w:val="00065571"/>
    <w:rsid w:val="00066BED"/>
    <w:rsid w:val="0006721C"/>
    <w:rsid w:val="000673AA"/>
    <w:rsid w:val="00067E59"/>
    <w:rsid w:val="00070763"/>
    <w:rsid w:val="000716A8"/>
    <w:rsid w:val="00074D6B"/>
    <w:rsid w:val="00075B03"/>
    <w:rsid w:val="000766C9"/>
    <w:rsid w:val="000769B2"/>
    <w:rsid w:val="00077325"/>
    <w:rsid w:val="00077503"/>
    <w:rsid w:val="00077657"/>
    <w:rsid w:val="0008486C"/>
    <w:rsid w:val="000852FC"/>
    <w:rsid w:val="00085602"/>
    <w:rsid w:val="00085643"/>
    <w:rsid w:val="00086A69"/>
    <w:rsid w:val="00087BB7"/>
    <w:rsid w:val="00090753"/>
    <w:rsid w:val="00090CD7"/>
    <w:rsid w:val="00090F88"/>
    <w:rsid w:val="00090FE5"/>
    <w:rsid w:val="000914AA"/>
    <w:rsid w:val="00091A6E"/>
    <w:rsid w:val="00092C25"/>
    <w:rsid w:val="000931CB"/>
    <w:rsid w:val="0009364B"/>
    <w:rsid w:val="00093C1D"/>
    <w:rsid w:val="00094445"/>
    <w:rsid w:val="00094523"/>
    <w:rsid w:val="000946A4"/>
    <w:rsid w:val="00094808"/>
    <w:rsid w:val="0009498F"/>
    <w:rsid w:val="00095A2E"/>
    <w:rsid w:val="00095B4D"/>
    <w:rsid w:val="00095E4B"/>
    <w:rsid w:val="00096059"/>
    <w:rsid w:val="00096987"/>
    <w:rsid w:val="000A13F4"/>
    <w:rsid w:val="000A424F"/>
    <w:rsid w:val="000A42B0"/>
    <w:rsid w:val="000A4465"/>
    <w:rsid w:val="000A4DA6"/>
    <w:rsid w:val="000A51FE"/>
    <w:rsid w:val="000A5340"/>
    <w:rsid w:val="000A5464"/>
    <w:rsid w:val="000A6CD4"/>
    <w:rsid w:val="000A763A"/>
    <w:rsid w:val="000B1307"/>
    <w:rsid w:val="000B1872"/>
    <w:rsid w:val="000B1ED1"/>
    <w:rsid w:val="000B215E"/>
    <w:rsid w:val="000B2718"/>
    <w:rsid w:val="000B2BEC"/>
    <w:rsid w:val="000B3029"/>
    <w:rsid w:val="000B3041"/>
    <w:rsid w:val="000B36F0"/>
    <w:rsid w:val="000B37B0"/>
    <w:rsid w:val="000B55A7"/>
    <w:rsid w:val="000B5EC7"/>
    <w:rsid w:val="000B5FD3"/>
    <w:rsid w:val="000B62C2"/>
    <w:rsid w:val="000B6478"/>
    <w:rsid w:val="000B64F4"/>
    <w:rsid w:val="000C0176"/>
    <w:rsid w:val="000C0605"/>
    <w:rsid w:val="000C0CB2"/>
    <w:rsid w:val="000C1A46"/>
    <w:rsid w:val="000C1F3F"/>
    <w:rsid w:val="000C29F8"/>
    <w:rsid w:val="000C2D55"/>
    <w:rsid w:val="000C3D4D"/>
    <w:rsid w:val="000C4A56"/>
    <w:rsid w:val="000C617B"/>
    <w:rsid w:val="000C64A7"/>
    <w:rsid w:val="000C7616"/>
    <w:rsid w:val="000C777D"/>
    <w:rsid w:val="000C7891"/>
    <w:rsid w:val="000C7DE7"/>
    <w:rsid w:val="000C7E72"/>
    <w:rsid w:val="000D0909"/>
    <w:rsid w:val="000D1051"/>
    <w:rsid w:val="000D259C"/>
    <w:rsid w:val="000D2F06"/>
    <w:rsid w:val="000D4F84"/>
    <w:rsid w:val="000E0234"/>
    <w:rsid w:val="000E1065"/>
    <w:rsid w:val="000E1164"/>
    <w:rsid w:val="000E16C4"/>
    <w:rsid w:val="000E1AB1"/>
    <w:rsid w:val="000E1ED0"/>
    <w:rsid w:val="000E2169"/>
    <w:rsid w:val="000E4441"/>
    <w:rsid w:val="000E4A5D"/>
    <w:rsid w:val="000E4AFB"/>
    <w:rsid w:val="000E6582"/>
    <w:rsid w:val="000F0403"/>
    <w:rsid w:val="000F3C38"/>
    <w:rsid w:val="000F3F2F"/>
    <w:rsid w:val="000F460E"/>
    <w:rsid w:val="000F465A"/>
    <w:rsid w:val="000F4B61"/>
    <w:rsid w:val="000F53C0"/>
    <w:rsid w:val="000F59A3"/>
    <w:rsid w:val="000F6908"/>
    <w:rsid w:val="000F6DB8"/>
    <w:rsid w:val="000F754D"/>
    <w:rsid w:val="000F7959"/>
    <w:rsid w:val="00100649"/>
    <w:rsid w:val="0010083B"/>
    <w:rsid w:val="00100E0C"/>
    <w:rsid w:val="00101045"/>
    <w:rsid w:val="001035BE"/>
    <w:rsid w:val="0010370C"/>
    <w:rsid w:val="0010440D"/>
    <w:rsid w:val="0010544B"/>
    <w:rsid w:val="00105C9F"/>
    <w:rsid w:val="00106555"/>
    <w:rsid w:val="00106663"/>
    <w:rsid w:val="00106A4D"/>
    <w:rsid w:val="0010745E"/>
    <w:rsid w:val="0011015C"/>
    <w:rsid w:val="001121E7"/>
    <w:rsid w:val="001122EE"/>
    <w:rsid w:val="001142DE"/>
    <w:rsid w:val="001142E1"/>
    <w:rsid w:val="00114315"/>
    <w:rsid w:val="00114EDD"/>
    <w:rsid w:val="00115BFB"/>
    <w:rsid w:val="001173C3"/>
    <w:rsid w:val="00120408"/>
    <w:rsid w:val="00120B60"/>
    <w:rsid w:val="00120DB4"/>
    <w:rsid w:val="00121111"/>
    <w:rsid w:val="00121582"/>
    <w:rsid w:val="00123AB8"/>
    <w:rsid w:val="00124EA6"/>
    <w:rsid w:val="00126360"/>
    <w:rsid w:val="001278AC"/>
    <w:rsid w:val="001302D8"/>
    <w:rsid w:val="0013198C"/>
    <w:rsid w:val="00131A84"/>
    <w:rsid w:val="00133025"/>
    <w:rsid w:val="001331A5"/>
    <w:rsid w:val="00134FE5"/>
    <w:rsid w:val="00141471"/>
    <w:rsid w:val="0014182E"/>
    <w:rsid w:val="0014227F"/>
    <w:rsid w:val="00143794"/>
    <w:rsid w:val="001448C0"/>
    <w:rsid w:val="00144EFF"/>
    <w:rsid w:val="001506C7"/>
    <w:rsid w:val="00150B07"/>
    <w:rsid w:val="00153D42"/>
    <w:rsid w:val="001542D8"/>
    <w:rsid w:val="001562F2"/>
    <w:rsid w:val="0015687E"/>
    <w:rsid w:val="001603A6"/>
    <w:rsid w:val="00160541"/>
    <w:rsid w:val="00160CC4"/>
    <w:rsid w:val="00162540"/>
    <w:rsid w:val="00162573"/>
    <w:rsid w:val="001628BB"/>
    <w:rsid w:val="001642E2"/>
    <w:rsid w:val="0016469C"/>
    <w:rsid w:val="00165484"/>
    <w:rsid w:val="00165C23"/>
    <w:rsid w:val="00165D44"/>
    <w:rsid w:val="00165EDE"/>
    <w:rsid w:val="00166100"/>
    <w:rsid w:val="00167B25"/>
    <w:rsid w:val="0017039E"/>
    <w:rsid w:val="0017055C"/>
    <w:rsid w:val="00170F5B"/>
    <w:rsid w:val="0017122A"/>
    <w:rsid w:val="0017193F"/>
    <w:rsid w:val="00171DB4"/>
    <w:rsid w:val="001727B9"/>
    <w:rsid w:val="0017296B"/>
    <w:rsid w:val="00174114"/>
    <w:rsid w:val="00174757"/>
    <w:rsid w:val="00175C50"/>
    <w:rsid w:val="00176273"/>
    <w:rsid w:val="00177C08"/>
    <w:rsid w:val="00180BDD"/>
    <w:rsid w:val="00181353"/>
    <w:rsid w:val="00185503"/>
    <w:rsid w:val="00186A02"/>
    <w:rsid w:val="001904D5"/>
    <w:rsid w:val="00190AE8"/>
    <w:rsid w:val="00190F09"/>
    <w:rsid w:val="001924CB"/>
    <w:rsid w:val="00192A90"/>
    <w:rsid w:val="00194CB7"/>
    <w:rsid w:val="0019619B"/>
    <w:rsid w:val="0019772B"/>
    <w:rsid w:val="001A0132"/>
    <w:rsid w:val="001A052C"/>
    <w:rsid w:val="001A132B"/>
    <w:rsid w:val="001A1377"/>
    <w:rsid w:val="001A140F"/>
    <w:rsid w:val="001A1DC1"/>
    <w:rsid w:val="001A271E"/>
    <w:rsid w:val="001A4116"/>
    <w:rsid w:val="001A4582"/>
    <w:rsid w:val="001A4C25"/>
    <w:rsid w:val="001A4C57"/>
    <w:rsid w:val="001A75E0"/>
    <w:rsid w:val="001B0469"/>
    <w:rsid w:val="001B1008"/>
    <w:rsid w:val="001B19B9"/>
    <w:rsid w:val="001B2C55"/>
    <w:rsid w:val="001B37C9"/>
    <w:rsid w:val="001B3FEC"/>
    <w:rsid w:val="001B4A4B"/>
    <w:rsid w:val="001B4ECB"/>
    <w:rsid w:val="001B55AA"/>
    <w:rsid w:val="001B5807"/>
    <w:rsid w:val="001B5C80"/>
    <w:rsid w:val="001B6D00"/>
    <w:rsid w:val="001B6E10"/>
    <w:rsid w:val="001B7665"/>
    <w:rsid w:val="001B7821"/>
    <w:rsid w:val="001B7A73"/>
    <w:rsid w:val="001B7EA9"/>
    <w:rsid w:val="001C0A82"/>
    <w:rsid w:val="001C2C0D"/>
    <w:rsid w:val="001C39C7"/>
    <w:rsid w:val="001C48F1"/>
    <w:rsid w:val="001C53FC"/>
    <w:rsid w:val="001C7F91"/>
    <w:rsid w:val="001D07F2"/>
    <w:rsid w:val="001D152B"/>
    <w:rsid w:val="001D1E76"/>
    <w:rsid w:val="001D2398"/>
    <w:rsid w:val="001D2D17"/>
    <w:rsid w:val="001D5A4A"/>
    <w:rsid w:val="001D7BAA"/>
    <w:rsid w:val="001D7EBD"/>
    <w:rsid w:val="001E00CF"/>
    <w:rsid w:val="001E08C3"/>
    <w:rsid w:val="001E0A6E"/>
    <w:rsid w:val="001E0A86"/>
    <w:rsid w:val="001E0B25"/>
    <w:rsid w:val="001E0C9E"/>
    <w:rsid w:val="001E1D36"/>
    <w:rsid w:val="001E1F23"/>
    <w:rsid w:val="001E33D7"/>
    <w:rsid w:val="001E3EC2"/>
    <w:rsid w:val="001E47D4"/>
    <w:rsid w:val="001E71F8"/>
    <w:rsid w:val="001F1E9E"/>
    <w:rsid w:val="001F231D"/>
    <w:rsid w:val="001F3CB1"/>
    <w:rsid w:val="001F59FD"/>
    <w:rsid w:val="001F73B3"/>
    <w:rsid w:val="00200109"/>
    <w:rsid w:val="002004A1"/>
    <w:rsid w:val="00201097"/>
    <w:rsid w:val="002012FA"/>
    <w:rsid w:val="00201EEF"/>
    <w:rsid w:val="00204AA8"/>
    <w:rsid w:val="00205B6A"/>
    <w:rsid w:val="00206480"/>
    <w:rsid w:val="00207E04"/>
    <w:rsid w:val="00207F0A"/>
    <w:rsid w:val="00210E92"/>
    <w:rsid w:val="00212800"/>
    <w:rsid w:val="00212E0B"/>
    <w:rsid w:val="00213F81"/>
    <w:rsid w:val="00214286"/>
    <w:rsid w:val="00214C0C"/>
    <w:rsid w:val="002157DB"/>
    <w:rsid w:val="0021586E"/>
    <w:rsid w:val="00220A9C"/>
    <w:rsid w:val="002216D2"/>
    <w:rsid w:val="00221EC8"/>
    <w:rsid w:val="0022255B"/>
    <w:rsid w:val="00222F77"/>
    <w:rsid w:val="00223FDD"/>
    <w:rsid w:val="002242B8"/>
    <w:rsid w:val="00224865"/>
    <w:rsid w:val="00224BF1"/>
    <w:rsid w:val="00224C39"/>
    <w:rsid w:val="00225BED"/>
    <w:rsid w:val="00225D05"/>
    <w:rsid w:val="00226DB2"/>
    <w:rsid w:val="0022732D"/>
    <w:rsid w:val="00230FE6"/>
    <w:rsid w:val="00231774"/>
    <w:rsid w:val="00233483"/>
    <w:rsid w:val="002336C4"/>
    <w:rsid w:val="00234AD0"/>
    <w:rsid w:val="00236F6A"/>
    <w:rsid w:val="00237994"/>
    <w:rsid w:val="002437E5"/>
    <w:rsid w:val="002450D0"/>
    <w:rsid w:val="002451F3"/>
    <w:rsid w:val="0024554A"/>
    <w:rsid w:val="0024591A"/>
    <w:rsid w:val="002467AF"/>
    <w:rsid w:val="00246E33"/>
    <w:rsid w:val="0025044C"/>
    <w:rsid w:val="0025074F"/>
    <w:rsid w:val="00253BE8"/>
    <w:rsid w:val="0025467E"/>
    <w:rsid w:val="00255709"/>
    <w:rsid w:val="00255899"/>
    <w:rsid w:val="0025600F"/>
    <w:rsid w:val="002562FD"/>
    <w:rsid w:val="0025659D"/>
    <w:rsid w:val="002624A9"/>
    <w:rsid w:val="002632E0"/>
    <w:rsid w:val="002633A7"/>
    <w:rsid w:val="002637CB"/>
    <w:rsid w:val="0026515D"/>
    <w:rsid w:val="00265354"/>
    <w:rsid w:val="002667E2"/>
    <w:rsid w:val="002670A8"/>
    <w:rsid w:val="00270591"/>
    <w:rsid w:val="00270B31"/>
    <w:rsid w:val="0027142C"/>
    <w:rsid w:val="0027167B"/>
    <w:rsid w:val="0027199C"/>
    <w:rsid w:val="00272AE0"/>
    <w:rsid w:val="00274377"/>
    <w:rsid w:val="00274F52"/>
    <w:rsid w:val="00276430"/>
    <w:rsid w:val="00283BD7"/>
    <w:rsid w:val="002843BE"/>
    <w:rsid w:val="002847BE"/>
    <w:rsid w:val="00285648"/>
    <w:rsid w:val="00285FB5"/>
    <w:rsid w:val="00286AE9"/>
    <w:rsid w:val="00287652"/>
    <w:rsid w:val="002913EE"/>
    <w:rsid w:val="0029156C"/>
    <w:rsid w:val="00291BA1"/>
    <w:rsid w:val="00291DAE"/>
    <w:rsid w:val="002921A1"/>
    <w:rsid w:val="00292ADF"/>
    <w:rsid w:val="0029319D"/>
    <w:rsid w:val="00293BA3"/>
    <w:rsid w:val="00294099"/>
    <w:rsid w:val="00295416"/>
    <w:rsid w:val="0029559B"/>
    <w:rsid w:val="00295B64"/>
    <w:rsid w:val="00295CC9"/>
    <w:rsid w:val="002960E9"/>
    <w:rsid w:val="0029715F"/>
    <w:rsid w:val="002A13AC"/>
    <w:rsid w:val="002A16A4"/>
    <w:rsid w:val="002A1A5B"/>
    <w:rsid w:val="002A6C4A"/>
    <w:rsid w:val="002B045C"/>
    <w:rsid w:val="002B0A1D"/>
    <w:rsid w:val="002B19E1"/>
    <w:rsid w:val="002B22C1"/>
    <w:rsid w:val="002B54EE"/>
    <w:rsid w:val="002B63B8"/>
    <w:rsid w:val="002B6961"/>
    <w:rsid w:val="002C134C"/>
    <w:rsid w:val="002C1747"/>
    <w:rsid w:val="002C21AA"/>
    <w:rsid w:val="002C3728"/>
    <w:rsid w:val="002C38F5"/>
    <w:rsid w:val="002C4241"/>
    <w:rsid w:val="002C4976"/>
    <w:rsid w:val="002C5E92"/>
    <w:rsid w:val="002C65D3"/>
    <w:rsid w:val="002C691B"/>
    <w:rsid w:val="002C6CA3"/>
    <w:rsid w:val="002C7EB1"/>
    <w:rsid w:val="002D0A4E"/>
    <w:rsid w:val="002D0D4E"/>
    <w:rsid w:val="002D171A"/>
    <w:rsid w:val="002D184C"/>
    <w:rsid w:val="002D2644"/>
    <w:rsid w:val="002D2BBA"/>
    <w:rsid w:val="002D2FFA"/>
    <w:rsid w:val="002D38FE"/>
    <w:rsid w:val="002D45B3"/>
    <w:rsid w:val="002D5DF6"/>
    <w:rsid w:val="002D6BE3"/>
    <w:rsid w:val="002E1A32"/>
    <w:rsid w:val="002E20C1"/>
    <w:rsid w:val="002E2C99"/>
    <w:rsid w:val="002E38A8"/>
    <w:rsid w:val="002E5EC3"/>
    <w:rsid w:val="002F1A25"/>
    <w:rsid w:val="002F201D"/>
    <w:rsid w:val="002F30E6"/>
    <w:rsid w:val="002F4756"/>
    <w:rsid w:val="002F4FD9"/>
    <w:rsid w:val="002F5310"/>
    <w:rsid w:val="002F6F17"/>
    <w:rsid w:val="002F709C"/>
    <w:rsid w:val="002F70E1"/>
    <w:rsid w:val="002F7164"/>
    <w:rsid w:val="002F78B1"/>
    <w:rsid w:val="003012A0"/>
    <w:rsid w:val="00301958"/>
    <w:rsid w:val="00301D83"/>
    <w:rsid w:val="00302D84"/>
    <w:rsid w:val="00303BE5"/>
    <w:rsid w:val="00305283"/>
    <w:rsid w:val="003058A9"/>
    <w:rsid w:val="00305D45"/>
    <w:rsid w:val="003064B8"/>
    <w:rsid w:val="00307DBD"/>
    <w:rsid w:val="0031055F"/>
    <w:rsid w:val="003106F0"/>
    <w:rsid w:val="003118E9"/>
    <w:rsid w:val="00312123"/>
    <w:rsid w:val="003131CE"/>
    <w:rsid w:val="00313B2C"/>
    <w:rsid w:val="003140D7"/>
    <w:rsid w:val="00316C1B"/>
    <w:rsid w:val="00316F55"/>
    <w:rsid w:val="00317079"/>
    <w:rsid w:val="00317E91"/>
    <w:rsid w:val="00322159"/>
    <w:rsid w:val="00323688"/>
    <w:rsid w:val="00323F3B"/>
    <w:rsid w:val="00323FAD"/>
    <w:rsid w:val="0032408B"/>
    <w:rsid w:val="0032499F"/>
    <w:rsid w:val="0032547B"/>
    <w:rsid w:val="003257DB"/>
    <w:rsid w:val="00325A3E"/>
    <w:rsid w:val="0032670F"/>
    <w:rsid w:val="00326C53"/>
    <w:rsid w:val="00327354"/>
    <w:rsid w:val="0033023F"/>
    <w:rsid w:val="003310E7"/>
    <w:rsid w:val="0033139A"/>
    <w:rsid w:val="003313D0"/>
    <w:rsid w:val="00331420"/>
    <w:rsid w:val="00331CA8"/>
    <w:rsid w:val="003320A9"/>
    <w:rsid w:val="0033234D"/>
    <w:rsid w:val="00333FE9"/>
    <w:rsid w:val="0033786C"/>
    <w:rsid w:val="00340853"/>
    <w:rsid w:val="00341A0E"/>
    <w:rsid w:val="00342B85"/>
    <w:rsid w:val="003432B5"/>
    <w:rsid w:val="00343394"/>
    <w:rsid w:val="00343FC6"/>
    <w:rsid w:val="003469A9"/>
    <w:rsid w:val="00347436"/>
    <w:rsid w:val="00350418"/>
    <w:rsid w:val="00350EB8"/>
    <w:rsid w:val="00353B27"/>
    <w:rsid w:val="00355B69"/>
    <w:rsid w:val="00355D8A"/>
    <w:rsid w:val="003564F4"/>
    <w:rsid w:val="0035672E"/>
    <w:rsid w:val="00356ECD"/>
    <w:rsid w:val="003576B8"/>
    <w:rsid w:val="00357916"/>
    <w:rsid w:val="00360307"/>
    <w:rsid w:val="00360840"/>
    <w:rsid w:val="00360EE8"/>
    <w:rsid w:val="00361F13"/>
    <w:rsid w:val="00362F22"/>
    <w:rsid w:val="00363CAB"/>
    <w:rsid w:val="003641A5"/>
    <w:rsid w:val="0036576C"/>
    <w:rsid w:val="00365800"/>
    <w:rsid w:val="00365E8D"/>
    <w:rsid w:val="00367273"/>
    <w:rsid w:val="003675AD"/>
    <w:rsid w:val="0037007D"/>
    <w:rsid w:val="00370A61"/>
    <w:rsid w:val="00370C37"/>
    <w:rsid w:val="00370C5C"/>
    <w:rsid w:val="00370E6D"/>
    <w:rsid w:val="0037117E"/>
    <w:rsid w:val="00372019"/>
    <w:rsid w:val="00372864"/>
    <w:rsid w:val="00372AB3"/>
    <w:rsid w:val="00372C77"/>
    <w:rsid w:val="003738B6"/>
    <w:rsid w:val="00373C7A"/>
    <w:rsid w:val="00374A63"/>
    <w:rsid w:val="003762D4"/>
    <w:rsid w:val="003762F6"/>
    <w:rsid w:val="0037634E"/>
    <w:rsid w:val="0037687A"/>
    <w:rsid w:val="0037705F"/>
    <w:rsid w:val="00380078"/>
    <w:rsid w:val="0038037E"/>
    <w:rsid w:val="00380C1F"/>
    <w:rsid w:val="00382B5D"/>
    <w:rsid w:val="003835E0"/>
    <w:rsid w:val="00383A8E"/>
    <w:rsid w:val="00383EBF"/>
    <w:rsid w:val="00384A47"/>
    <w:rsid w:val="00384B6E"/>
    <w:rsid w:val="00384D2B"/>
    <w:rsid w:val="00385CAE"/>
    <w:rsid w:val="00387252"/>
    <w:rsid w:val="00387690"/>
    <w:rsid w:val="00387930"/>
    <w:rsid w:val="003900EC"/>
    <w:rsid w:val="00390D1B"/>
    <w:rsid w:val="00391546"/>
    <w:rsid w:val="00391654"/>
    <w:rsid w:val="003921B3"/>
    <w:rsid w:val="00392330"/>
    <w:rsid w:val="00392741"/>
    <w:rsid w:val="003944DA"/>
    <w:rsid w:val="00394F90"/>
    <w:rsid w:val="003952AA"/>
    <w:rsid w:val="0039708C"/>
    <w:rsid w:val="003A2686"/>
    <w:rsid w:val="003A2F73"/>
    <w:rsid w:val="003A522C"/>
    <w:rsid w:val="003A6180"/>
    <w:rsid w:val="003A72F6"/>
    <w:rsid w:val="003B0A5A"/>
    <w:rsid w:val="003B144B"/>
    <w:rsid w:val="003B1B6E"/>
    <w:rsid w:val="003B1E53"/>
    <w:rsid w:val="003B3593"/>
    <w:rsid w:val="003B3A44"/>
    <w:rsid w:val="003B3D32"/>
    <w:rsid w:val="003B47AC"/>
    <w:rsid w:val="003B4E5E"/>
    <w:rsid w:val="003B6561"/>
    <w:rsid w:val="003B6C48"/>
    <w:rsid w:val="003B6C54"/>
    <w:rsid w:val="003B7F69"/>
    <w:rsid w:val="003C0039"/>
    <w:rsid w:val="003C0607"/>
    <w:rsid w:val="003C09F3"/>
    <w:rsid w:val="003C458B"/>
    <w:rsid w:val="003C478F"/>
    <w:rsid w:val="003C4AC7"/>
    <w:rsid w:val="003C4D4B"/>
    <w:rsid w:val="003C516A"/>
    <w:rsid w:val="003C541C"/>
    <w:rsid w:val="003C6C67"/>
    <w:rsid w:val="003C6F3F"/>
    <w:rsid w:val="003D083A"/>
    <w:rsid w:val="003D0842"/>
    <w:rsid w:val="003D0E83"/>
    <w:rsid w:val="003D23DE"/>
    <w:rsid w:val="003D26C2"/>
    <w:rsid w:val="003D3444"/>
    <w:rsid w:val="003D499B"/>
    <w:rsid w:val="003D5B4B"/>
    <w:rsid w:val="003D5EE9"/>
    <w:rsid w:val="003D5EF9"/>
    <w:rsid w:val="003D77EB"/>
    <w:rsid w:val="003D7E6C"/>
    <w:rsid w:val="003E0677"/>
    <w:rsid w:val="003E0883"/>
    <w:rsid w:val="003E0BDF"/>
    <w:rsid w:val="003E128F"/>
    <w:rsid w:val="003E1A93"/>
    <w:rsid w:val="003E1D7E"/>
    <w:rsid w:val="003E1E16"/>
    <w:rsid w:val="003E2214"/>
    <w:rsid w:val="003E2762"/>
    <w:rsid w:val="003E3048"/>
    <w:rsid w:val="003E363E"/>
    <w:rsid w:val="003E3A4A"/>
    <w:rsid w:val="003E437E"/>
    <w:rsid w:val="003E51D6"/>
    <w:rsid w:val="003E63EA"/>
    <w:rsid w:val="003E69EE"/>
    <w:rsid w:val="003E6C2B"/>
    <w:rsid w:val="003E72E4"/>
    <w:rsid w:val="003E76D9"/>
    <w:rsid w:val="003E7805"/>
    <w:rsid w:val="003F040B"/>
    <w:rsid w:val="003F0DDA"/>
    <w:rsid w:val="003F12D6"/>
    <w:rsid w:val="003F1943"/>
    <w:rsid w:val="003F3B45"/>
    <w:rsid w:val="003F4134"/>
    <w:rsid w:val="003F4713"/>
    <w:rsid w:val="003F49DC"/>
    <w:rsid w:val="003F54E4"/>
    <w:rsid w:val="003F6190"/>
    <w:rsid w:val="003F6D8A"/>
    <w:rsid w:val="003F6E51"/>
    <w:rsid w:val="003F6FEA"/>
    <w:rsid w:val="004025BC"/>
    <w:rsid w:val="00402B79"/>
    <w:rsid w:val="004037E6"/>
    <w:rsid w:val="004039FE"/>
    <w:rsid w:val="00403C90"/>
    <w:rsid w:val="004040A8"/>
    <w:rsid w:val="0040429F"/>
    <w:rsid w:val="00405491"/>
    <w:rsid w:val="00405686"/>
    <w:rsid w:val="00405EC1"/>
    <w:rsid w:val="00406E4A"/>
    <w:rsid w:val="00410349"/>
    <w:rsid w:val="00410908"/>
    <w:rsid w:val="00410992"/>
    <w:rsid w:val="00410BFC"/>
    <w:rsid w:val="00410F26"/>
    <w:rsid w:val="00411E6B"/>
    <w:rsid w:val="00411E8C"/>
    <w:rsid w:val="00412A05"/>
    <w:rsid w:val="004168D5"/>
    <w:rsid w:val="00417797"/>
    <w:rsid w:val="00420343"/>
    <w:rsid w:val="0042170A"/>
    <w:rsid w:val="0042229D"/>
    <w:rsid w:val="0042312B"/>
    <w:rsid w:val="00424807"/>
    <w:rsid w:val="00424AC0"/>
    <w:rsid w:val="00425091"/>
    <w:rsid w:val="0042511A"/>
    <w:rsid w:val="00425AD8"/>
    <w:rsid w:val="00425BC4"/>
    <w:rsid w:val="0042675A"/>
    <w:rsid w:val="00426CA1"/>
    <w:rsid w:val="00427988"/>
    <w:rsid w:val="00427BF9"/>
    <w:rsid w:val="004315FB"/>
    <w:rsid w:val="00431AB0"/>
    <w:rsid w:val="0043290A"/>
    <w:rsid w:val="00432ADC"/>
    <w:rsid w:val="00432AF1"/>
    <w:rsid w:val="00432E57"/>
    <w:rsid w:val="00433172"/>
    <w:rsid w:val="004334BA"/>
    <w:rsid w:val="00435032"/>
    <w:rsid w:val="00435098"/>
    <w:rsid w:val="004354F8"/>
    <w:rsid w:val="0043744D"/>
    <w:rsid w:val="004374F2"/>
    <w:rsid w:val="004403AC"/>
    <w:rsid w:val="00440534"/>
    <w:rsid w:val="00440BB7"/>
    <w:rsid w:val="0044128D"/>
    <w:rsid w:val="00441AD2"/>
    <w:rsid w:val="00441F49"/>
    <w:rsid w:val="00442117"/>
    <w:rsid w:val="00442F49"/>
    <w:rsid w:val="00444424"/>
    <w:rsid w:val="00444962"/>
    <w:rsid w:val="00444FFF"/>
    <w:rsid w:val="004451A1"/>
    <w:rsid w:val="004460DB"/>
    <w:rsid w:val="00446BAA"/>
    <w:rsid w:val="0044730E"/>
    <w:rsid w:val="0044742D"/>
    <w:rsid w:val="0045078B"/>
    <w:rsid w:val="00451805"/>
    <w:rsid w:val="00451C04"/>
    <w:rsid w:val="00452FCD"/>
    <w:rsid w:val="004530DA"/>
    <w:rsid w:val="00453C0F"/>
    <w:rsid w:val="00455208"/>
    <w:rsid w:val="00456250"/>
    <w:rsid w:val="004565E9"/>
    <w:rsid w:val="00456724"/>
    <w:rsid w:val="0045770E"/>
    <w:rsid w:val="00457ABB"/>
    <w:rsid w:val="0046029E"/>
    <w:rsid w:val="00460507"/>
    <w:rsid w:val="0046109D"/>
    <w:rsid w:val="004631DE"/>
    <w:rsid w:val="0046503C"/>
    <w:rsid w:val="004656CE"/>
    <w:rsid w:val="00465AE1"/>
    <w:rsid w:val="004664E7"/>
    <w:rsid w:val="004667EC"/>
    <w:rsid w:val="00467565"/>
    <w:rsid w:val="0047005D"/>
    <w:rsid w:val="004709C2"/>
    <w:rsid w:val="00471248"/>
    <w:rsid w:val="0047174C"/>
    <w:rsid w:val="00471A78"/>
    <w:rsid w:val="0047221B"/>
    <w:rsid w:val="0047223B"/>
    <w:rsid w:val="004729E1"/>
    <w:rsid w:val="00473A37"/>
    <w:rsid w:val="004741A9"/>
    <w:rsid w:val="004753C8"/>
    <w:rsid w:val="004758BC"/>
    <w:rsid w:val="00475B23"/>
    <w:rsid w:val="0047724D"/>
    <w:rsid w:val="00477599"/>
    <w:rsid w:val="004779F0"/>
    <w:rsid w:val="00481795"/>
    <w:rsid w:val="00484DA2"/>
    <w:rsid w:val="004854B7"/>
    <w:rsid w:val="004859EC"/>
    <w:rsid w:val="00485A13"/>
    <w:rsid w:val="00485ECD"/>
    <w:rsid w:val="00492139"/>
    <w:rsid w:val="00492583"/>
    <w:rsid w:val="00496C6B"/>
    <w:rsid w:val="004972C4"/>
    <w:rsid w:val="00497307"/>
    <w:rsid w:val="00497695"/>
    <w:rsid w:val="00497B17"/>
    <w:rsid w:val="004A000A"/>
    <w:rsid w:val="004A0355"/>
    <w:rsid w:val="004A08AB"/>
    <w:rsid w:val="004A0A25"/>
    <w:rsid w:val="004A14F7"/>
    <w:rsid w:val="004A29D6"/>
    <w:rsid w:val="004A3515"/>
    <w:rsid w:val="004A488A"/>
    <w:rsid w:val="004A4894"/>
    <w:rsid w:val="004A59FE"/>
    <w:rsid w:val="004A652A"/>
    <w:rsid w:val="004A6B86"/>
    <w:rsid w:val="004B0AEE"/>
    <w:rsid w:val="004B1FEA"/>
    <w:rsid w:val="004B28FA"/>
    <w:rsid w:val="004B33C3"/>
    <w:rsid w:val="004B35AE"/>
    <w:rsid w:val="004B3A28"/>
    <w:rsid w:val="004B50AC"/>
    <w:rsid w:val="004B6ABC"/>
    <w:rsid w:val="004B6B9A"/>
    <w:rsid w:val="004B788C"/>
    <w:rsid w:val="004B7B67"/>
    <w:rsid w:val="004C0C70"/>
    <w:rsid w:val="004C0F4B"/>
    <w:rsid w:val="004C140B"/>
    <w:rsid w:val="004C2163"/>
    <w:rsid w:val="004C27D7"/>
    <w:rsid w:val="004C300C"/>
    <w:rsid w:val="004C3688"/>
    <w:rsid w:val="004C6AFA"/>
    <w:rsid w:val="004D0FC6"/>
    <w:rsid w:val="004D1487"/>
    <w:rsid w:val="004D20BC"/>
    <w:rsid w:val="004D3126"/>
    <w:rsid w:val="004D322C"/>
    <w:rsid w:val="004D32C1"/>
    <w:rsid w:val="004D32C6"/>
    <w:rsid w:val="004D3739"/>
    <w:rsid w:val="004D42F5"/>
    <w:rsid w:val="004D67F9"/>
    <w:rsid w:val="004D7021"/>
    <w:rsid w:val="004E3BCD"/>
    <w:rsid w:val="004E409D"/>
    <w:rsid w:val="004E44D3"/>
    <w:rsid w:val="004E4AF7"/>
    <w:rsid w:val="004E4BE4"/>
    <w:rsid w:val="004E54F6"/>
    <w:rsid w:val="004E575B"/>
    <w:rsid w:val="004E5E1D"/>
    <w:rsid w:val="004E6498"/>
    <w:rsid w:val="004E6E03"/>
    <w:rsid w:val="004F062A"/>
    <w:rsid w:val="004F077A"/>
    <w:rsid w:val="004F1668"/>
    <w:rsid w:val="004F1B51"/>
    <w:rsid w:val="004F34FE"/>
    <w:rsid w:val="004F3599"/>
    <w:rsid w:val="004F3D1D"/>
    <w:rsid w:val="004F4893"/>
    <w:rsid w:val="004F5074"/>
    <w:rsid w:val="004F529B"/>
    <w:rsid w:val="004F56E8"/>
    <w:rsid w:val="004F5BD3"/>
    <w:rsid w:val="004F5C9B"/>
    <w:rsid w:val="004F738A"/>
    <w:rsid w:val="0050021B"/>
    <w:rsid w:val="00501368"/>
    <w:rsid w:val="00501384"/>
    <w:rsid w:val="005017E8"/>
    <w:rsid w:val="00502679"/>
    <w:rsid w:val="00502C0A"/>
    <w:rsid w:val="00503BF7"/>
    <w:rsid w:val="00503F73"/>
    <w:rsid w:val="005042DE"/>
    <w:rsid w:val="005045E9"/>
    <w:rsid w:val="00504771"/>
    <w:rsid w:val="005047FB"/>
    <w:rsid w:val="005050BA"/>
    <w:rsid w:val="00505C9D"/>
    <w:rsid w:val="00506096"/>
    <w:rsid w:val="00506ED7"/>
    <w:rsid w:val="00507B88"/>
    <w:rsid w:val="00511408"/>
    <w:rsid w:val="00511A85"/>
    <w:rsid w:val="00511B91"/>
    <w:rsid w:val="00512B07"/>
    <w:rsid w:val="0051340F"/>
    <w:rsid w:val="005144F4"/>
    <w:rsid w:val="00514620"/>
    <w:rsid w:val="0051514A"/>
    <w:rsid w:val="00515C62"/>
    <w:rsid w:val="00515CF2"/>
    <w:rsid w:val="00515DC7"/>
    <w:rsid w:val="00516C0F"/>
    <w:rsid w:val="00516F88"/>
    <w:rsid w:val="0052016A"/>
    <w:rsid w:val="00520ECC"/>
    <w:rsid w:val="005213E9"/>
    <w:rsid w:val="005215CD"/>
    <w:rsid w:val="00521716"/>
    <w:rsid w:val="00521786"/>
    <w:rsid w:val="005218B9"/>
    <w:rsid w:val="00521AC0"/>
    <w:rsid w:val="00521C71"/>
    <w:rsid w:val="00522754"/>
    <w:rsid w:val="005228D4"/>
    <w:rsid w:val="0052458A"/>
    <w:rsid w:val="00524DDA"/>
    <w:rsid w:val="00525037"/>
    <w:rsid w:val="005254D2"/>
    <w:rsid w:val="00531205"/>
    <w:rsid w:val="00531D86"/>
    <w:rsid w:val="00533C00"/>
    <w:rsid w:val="00535905"/>
    <w:rsid w:val="00535ABA"/>
    <w:rsid w:val="00536657"/>
    <w:rsid w:val="005366A4"/>
    <w:rsid w:val="00536FAA"/>
    <w:rsid w:val="00540217"/>
    <w:rsid w:val="005405D0"/>
    <w:rsid w:val="00540DEF"/>
    <w:rsid w:val="00542FEC"/>
    <w:rsid w:val="0054364B"/>
    <w:rsid w:val="00544415"/>
    <w:rsid w:val="005452D7"/>
    <w:rsid w:val="005456D9"/>
    <w:rsid w:val="00546F85"/>
    <w:rsid w:val="00547027"/>
    <w:rsid w:val="00547C1E"/>
    <w:rsid w:val="00547C7D"/>
    <w:rsid w:val="00547CB4"/>
    <w:rsid w:val="00550201"/>
    <w:rsid w:val="00550EF9"/>
    <w:rsid w:val="0055220F"/>
    <w:rsid w:val="00552A51"/>
    <w:rsid w:val="00552B3D"/>
    <w:rsid w:val="00552FB0"/>
    <w:rsid w:val="005530A6"/>
    <w:rsid w:val="00553319"/>
    <w:rsid w:val="005537AD"/>
    <w:rsid w:val="0055444F"/>
    <w:rsid w:val="0055452F"/>
    <w:rsid w:val="00554CEB"/>
    <w:rsid w:val="00554DB9"/>
    <w:rsid w:val="00555066"/>
    <w:rsid w:val="00555A26"/>
    <w:rsid w:val="005561FD"/>
    <w:rsid w:val="00556876"/>
    <w:rsid w:val="0055708E"/>
    <w:rsid w:val="0055789A"/>
    <w:rsid w:val="00560F1E"/>
    <w:rsid w:val="005615C4"/>
    <w:rsid w:val="00561DA4"/>
    <w:rsid w:val="00562C2E"/>
    <w:rsid w:val="005641F7"/>
    <w:rsid w:val="0056530A"/>
    <w:rsid w:val="005673B6"/>
    <w:rsid w:val="0057062D"/>
    <w:rsid w:val="00570E6C"/>
    <w:rsid w:val="00571068"/>
    <w:rsid w:val="00574C6A"/>
    <w:rsid w:val="00574CF2"/>
    <w:rsid w:val="00575171"/>
    <w:rsid w:val="005755FA"/>
    <w:rsid w:val="005755FC"/>
    <w:rsid w:val="005801BE"/>
    <w:rsid w:val="005807EF"/>
    <w:rsid w:val="00580B2E"/>
    <w:rsid w:val="00580C17"/>
    <w:rsid w:val="0058180A"/>
    <w:rsid w:val="005820D4"/>
    <w:rsid w:val="0058300A"/>
    <w:rsid w:val="00583044"/>
    <w:rsid w:val="005831B3"/>
    <w:rsid w:val="005833F6"/>
    <w:rsid w:val="005837CF"/>
    <w:rsid w:val="00584D5B"/>
    <w:rsid w:val="005853A0"/>
    <w:rsid w:val="00585ECE"/>
    <w:rsid w:val="005869C4"/>
    <w:rsid w:val="005905C7"/>
    <w:rsid w:val="005909E8"/>
    <w:rsid w:val="005931BD"/>
    <w:rsid w:val="00593A36"/>
    <w:rsid w:val="00594EE4"/>
    <w:rsid w:val="00595D3D"/>
    <w:rsid w:val="00596272"/>
    <w:rsid w:val="005965D1"/>
    <w:rsid w:val="00597893"/>
    <w:rsid w:val="005A00CB"/>
    <w:rsid w:val="005A0759"/>
    <w:rsid w:val="005A0A9E"/>
    <w:rsid w:val="005A2720"/>
    <w:rsid w:val="005A2AC4"/>
    <w:rsid w:val="005A3E08"/>
    <w:rsid w:val="005A42AA"/>
    <w:rsid w:val="005A4756"/>
    <w:rsid w:val="005A6709"/>
    <w:rsid w:val="005A734B"/>
    <w:rsid w:val="005B078C"/>
    <w:rsid w:val="005B0C36"/>
    <w:rsid w:val="005B0DB8"/>
    <w:rsid w:val="005B1E2F"/>
    <w:rsid w:val="005B210F"/>
    <w:rsid w:val="005B22DE"/>
    <w:rsid w:val="005B28AC"/>
    <w:rsid w:val="005B2AC0"/>
    <w:rsid w:val="005B2EA2"/>
    <w:rsid w:val="005B3DD3"/>
    <w:rsid w:val="005B5220"/>
    <w:rsid w:val="005B6333"/>
    <w:rsid w:val="005B64B5"/>
    <w:rsid w:val="005B6777"/>
    <w:rsid w:val="005B67B3"/>
    <w:rsid w:val="005B7C10"/>
    <w:rsid w:val="005B7CF1"/>
    <w:rsid w:val="005C14E9"/>
    <w:rsid w:val="005C1DF8"/>
    <w:rsid w:val="005C1F67"/>
    <w:rsid w:val="005C1F8F"/>
    <w:rsid w:val="005C3AD7"/>
    <w:rsid w:val="005C515D"/>
    <w:rsid w:val="005C51BF"/>
    <w:rsid w:val="005C5E4E"/>
    <w:rsid w:val="005D01A4"/>
    <w:rsid w:val="005D0520"/>
    <w:rsid w:val="005D0D12"/>
    <w:rsid w:val="005D10AD"/>
    <w:rsid w:val="005D1347"/>
    <w:rsid w:val="005D1581"/>
    <w:rsid w:val="005D1B62"/>
    <w:rsid w:val="005D28DF"/>
    <w:rsid w:val="005D2C42"/>
    <w:rsid w:val="005D3851"/>
    <w:rsid w:val="005D446B"/>
    <w:rsid w:val="005D4D3A"/>
    <w:rsid w:val="005D5447"/>
    <w:rsid w:val="005D5610"/>
    <w:rsid w:val="005D5930"/>
    <w:rsid w:val="005D59ED"/>
    <w:rsid w:val="005D5CAF"/>
    <w:rsid w:val="005D61A7"/>
    <w:rsid w:val="005D6BE7"/>
    <w:rsid w:val="005D7372"/>
    <w:rsid w:val="005E0152"/>
    <w:rsid w:val="005E231F"/>
    <w:rsid w:val="005E2EED"/>
    <w:rsid w:val="005E51CC"/>
    <w:rsid w:val="005E7005"/>
    <w:rsid w:val="005E7D27"/>
    <w:rsid w:val="005F1518"/>
    <w:rsid w:val="005F164D"/>
    <w:rsid w:val="005F1D81"/>
    <w:rsid w:val="005F1E4B"/>
    <w:rsid w:val="005F2066"/>
    <w:rsid w:val="005F22A7"/>
    <w:rsid w:val="005F26B8"/>
    <w:rsid w:val="005F32AF"/>
    <w:rsid w:val="005F41BD"/>
    <w:rsid w:val="005F452B"/>
    <w:rsid w:val="005F4786"/>
    <w:rsid w:val="005F5058"/>
    <w:rsid w:val="005F5087"/>
    <w:rsid w:val="005F5ADB"/>
    <w:rsid w:val="005F5BF6"/>
    <w:rsid w:val="005F62C4"/>
    <w:rsid w:val="005F6520"/>
    <w:rsid w:val="005F6544"/>
    <w:rsid w:val="005F6DFA"/>
    <w:rsid w:val="005F7261"/>
    <w:rsid w:val="005F729D"/>
    <w:rsid w:val="005F7C61"/>
    <w:rsid w:val="00601508"/>
    <w:rsid w:val="006019B1"/>
    <w:rsid w:val="00601C79"/>
    <w:rsid w:val="00601EB3"/>
    <w:rsid w:val="00602ABA"/>
    <w:rsid w:val="00602B15"/>
    <w:rsid w:val="00602CD5"/>
    <w:rsid w:val="0060344E"/>
    <w:rsid w:val="00603BD0"/>
    <w:rsid w:val="006049F8"/>
    <w:rsid w:val="00605E98"/>
    <w:rsid w:val="0060778B"/>
    <w:rsid w:val="0060789A"/>
    <w:rsid w:val="00610AC6"/>
    <w:rsid w:val="00610D45"/>
    <w:rsid w:val="00611353"/>
    <w:rsid w:val="00611619"/>
    <w:rsid w:val="006133B8"/>
    <w:rsid w:val="00614BE3"/>
    <w:rsid w:val="00614CD5"/>
    <w:rsid w:val="0061626F"/>
    <w:rsid w:val="00620261"/>
    <w:rsid w:val="00620D05"/>
    <w:rsid w:val="0062200B"/>
    <w:rsid w:val="00622C1D"/>
    <w:rsid w:val="00623D34"/>
    <w:rsid w:val="00625A43"/>
    <w:rsid w:val="00626641"/>
    <w:rsid w:val="00626873"/>
    <w:rsid w:val="00626B25"/>
    <w:rsid w:val="006301B6"/>
    <w:rsid w:val="00630398"/>
    <w:rsid w:val="00630E65"/>
    <w:rsid w:val="00631BF1"/>
    <w:rsid w:val="006351D8"/>
    <w:rsid w:val="0063578E"/>
    <w:rsid w:val="00636DCD"/>
    <w:rsid w:val="0063769D"/>
    <w:rsid w:val="00640112"/>
    <w:rsid w:val="006402CE"/>
    <w:rsid w:val="00641D21"/>
    <w:rsid w:val="00642458"/>
    <w:rsid w:val="00642466"/>
    <w:rsid w:val="006429FF"/>
    <w:rsid w:val="006443B1"/>
    <w:rsid w:val="006447D1"/>
    <w:rsid w:val="00645422"/>
    <w:rsid w:val="00645509"/>
    <w:rsid w:val="006459DA"/>
    <w:rsid w:val="006459F3"/>
    <w:rsid w:val="00645A94"/>
    <w:rsid w:val="006501B8"/>
    <w:rsid w:val="006519A2"/>
    <w:rsid w:val="006521FB"/>
    <w:rsid w:val="0065223E"/>
    <w:rsid w:val="00652BA7"/>
    <w:rsid w:val="00652E00"/>
    <w:rsid w:val="00652EC4"/>
    <w:rsid w:val="00654895"/>
    <w:rsid w:val="00654E6A"/>
    <w:rsid w:val="00656843"/>
    <w:rsid w:val="00656E73"/>
    <w:rsid w:val="00656FCA"/>
    <w:rsid w:val="006570EE"/>
    <w:rsid w:val="0065722E"/>
    <w:rsid w:val="00657C68"/>
    <w:rsid w:val="00657FF4"/>
    <w:rsid w:val="00660A9F"/>
    <w:rsid w:val="00660D16"/>
    <w:rsid w:val="006610DA"/>
    <w:rsid w:val="006618B3"/>
    <w:rsid w:val="00662D45"/>
    <w:rsid w:val="00664C04"/>
    <w:rsid w:val="00665200"/>
    <w:rsid w:val="00665AA7"/>
    <w:rsid w:val="006666F9"/>
    <w:rsid w:val="006667C3"/>
    <w:rsid w:val="006671D5"/>
    <w:rsid w:val="0067006F"/>
    <w:rsid w:val="00670AEC"/>
    <w:rsid w:val="006721AD"/>
    <w:rsid w:val="00674D1C"/>
    <w:rsid w:val="00676A5E"/>
    <w:rsid w:val="006772F0"/>
    <w:rsid w:val="00677FD9"/>
    <w:rsid w:val="006808A7"/>
    <w:rsid w:val="006808B8"/>
    <w:rsid w:val="0068203D"/>
    <w:rsid w:val="00682605"/>
    <w:rsid w:val="0068264E"/>
    <w:rsid w:val="006826C9"/>
    <w:rsid w:val="00682AC6"/>
    <w:rsid w:val="00682B2D"/>
    <w:rsid w:val="00682E19"/>
    <w:rsid w:val="00683B83"/>
    <w:rsid w:val="00683C27"/>
    <w:rsid w:val="006841F4"/>
    <w:rsid w:val="006866E1"/>
    <w:rsid w:val="00686B0E"/>
    <w:rsid w:val="00691A65"/>
    <w:rsid w:val="00691F09"/>
    <w:rsid w:val="006922CD"/>
    <w:rsid w:val="00693B5E"/>
    <w:rsid w:val="00694897"/>
    <w:rsid w:val="00694C65"/>
    <w:rsid w:val="006960D6"/>
    <w:rsid w:val="006971EB"/>
    <w:rsid w:val="0069766B"/>
    <w:rsid w:val="00697748"/>
    <w:rsid w:val="006A0FDB"/>
    <w:rsid w:val="006A28A2"/>
    <w:rsid w:val="006A2BE8"/>
    <w:rsid w:val="006A3B33"/>
    <w:rsid w:val="006A4032"/>
    <w:rsid w:val="006A6547"/>
    <w:rsid w:val="006A7C6F"/>
    <w:rsid w:val="006B1860"/>
    <w:rsid w:val="006B1E3F"/>
    <w:rsid w:val="006B25E3"/>
    <w:rsid w:val="006B2E22"/>
    <w:rsid w:val="006B34A4"/>
    <w:rsid w:val="006B429E"/>
    <w:rsid w:val="006B4974"/>
    <w:rsid w:val="006B6492"/>
    <w:rsid w:val="006B65C2"/>
    <w:rsid w:val="006B7470"/>
    <w:rsid w:val="006B777B"/>
    <w:rsid w:val="006B77D9"/>
    <w:rsid w:val="006C0AF4"/>
    <w:rsid w:val="006C1969"/>
    <w:rsid w:val="006C1BF3"/>
    <w:rsid w:val="006C2927"/>
    <w:rsid w:val="006C2F8B"/>
    <w:rsid w:val="006C39E7"/>
    <w:rsid w:val="006C49A6"/>
    <w:rsid w:val="006C4B9C"/>
    <w:rsid w:val="006C4BCE"/>
    <w:rsid w:val="006C5E2C"/>
    <w:rsid w:val="006C5F31"/>
    <w:rsid w:val="006C6026"/>
    <w:rsid w:val="006C658F"/>
    <w:rsid w:val="006C7321"/>
    <w:rsid w:val="006C757C"/>
    <w:rsid w:val="006D148F"/>
    <w:rsid w:val="006D1DF5"/>
    <w:rsid w:val="006D2F67"/>
    <w:rsid w:val="006D3061"/>
    <w:rsid w:val="006D3474"/>
    <w:rsid w:val="006D3962"/>
    <w:rsid w:val="006D4C40"/>
    <w:rsid w:val="006D4ECF"/>
    <w:rsid w:val="006D4FE2"/>
    <w:rsid w:val="006D59EE"/>
    <w:rsid w:val="006D6AD0"/>
    <w:rsid w:val="006E0DAE"/>
    <w:rsid w:val="006E2378"/>
    <w:rsid w:val="006E28D7"/>
    <w:rsid w:val="006E3906"/>
    <w:rsid w:val="006E403E"/>
    <w:rsid w:val="006E4E37"/>
    <w:rsid w:val="006E550E"/>
    <w:rsid w:val="006E55AB"/>
    <w:rsid w:val="006E5829"/>
    <w:rsid w:val="006E625B"/>
    <w:rsid w:val="006E66C5"/>
    <w:rsid w:val="006F12C5"/>
    <w:rsid w:val="006F1734"/>
    <w:rsid w:val="006F1DFD"/>
    <w:rsid w:val="006F2841"/>
    <w:rsid w:val="006F5A42"/>
    <w:rsid w:val="006F5E5E"/>
    <w:rsid w:val="006F6BB5"/>
    <w:rsid w:val="007009D1"/>
    <w:rsid w:val="00702981"/>
    <w:rsid w:val="00702E13"/>
    <w:rsid w:val="00702FF3"/>
    <w:rsid w:val="00703ED1"/>
    <w:rsid w:val="0070631D"/>
    <w:rsid w:val="00706755"/>
    <w:rsid w:val="00706C16"/>
    <w:rsid w:val="00707DA0"/>
    <w:rsid w:val="00707F3C"/>
    <w:rsid w:val="007104EF"/>
    <w:rsid w:val="007110D4"/>
    <w:rsid w:val="007114F9"/>
    <w:rsid w:val="00711B05"/>
    <w:rsid w:val="00711C77"/>
    <w:rsid w:val="00711CEA"/>
    <w:rsid w:val="007128CD"/>
    <w:rsid w:val="007129AF"/>
    <w:rsid w:val="0071399F"/>
    <w:rsid w:val="007145F4"/>
    <w:rsid w:val="00714BA4"/>
    <w:rsid w:val="00715282"/>
    <w:rsid w:val="007154A7"/>
    <w:rsid w:val="00715BDD"/>
    <w:rsid w:val="00716307"/>
    <w:rsid w:val="00716440"/>
    <w:rsid w:val="007170A7"/>
    <w:rsid w:val="007173A8"/>
    <w:rsid w:val="00720734"/>
    <w:rsid w:val="00720949"/>
    <w:rsid w:val="007215C2"/>
    <w:rsid w:val="00721721"/>
    <w:rsid w:val="0072263E"/>
    <w:rsid w:val="007227E8"/>
    <w:rsid w:val="00723445"/>
    <w:rsid w:val="00724DDA"/>
    <w:rsid w:val="00724F82"/>
    <w:rsid w:val="00725372"/>
    <w:rsid w:val="00725496"/>
    <w:rsid w:val="007256B1"/>
    <w:rsid w:val="00725B82"/>
    <w:rsid w:val="00730441"/>
    <w:rsid w:val="0073282F"/>
    <w:rsid w:val="00732885"/>
    <w:rsid w:val="007336F3"/>
    <w:rsid w:val="007345B8"/>
    <w:rsid w:val="00734860"/>
    <w:rsid w:val="00734CCC"/>
    <w:rsid w:val="0073528D"/>
    <w:rsid w:val="00735626"/>
    <w:rsid w:val="00736262"/>
    <w:rsid w:val="0074040D"/>
    <w:rsid w:val="00741509"/>
    <w:rsid w:val="007418DF"/>
    <w:rsid w:val="00741A6F"/>
    <w:rsid w:val="00741B1F"/>
    <w:rsid w:val="00742DE9"/>
    <w:rsid w:val="00742EFD"/>
    <w:rsid w:val="00743790"/>
    <w:rsid w:val="00743A66"/>
    <w:rsid w:val="00743C4B"/>
    <w:rsid w:val="007446E9"/>
    <w:rsid w:val="007463FF"/>
    <w:rsid w:val="00750898"/>
    <w:rsid w:val="007526E2"/>
    <w:rsid w:val="0075290A"/>
    <w:rsid w:val="007555A1"/>
    <w:rsid w:val="00756CE1"/>
    <w:rsid w:val="00756E4B"/>
    <w:rsid w:val="00757638"/>
    <w:rsid w:val="00757A74"/>
    <w:rsid w:val="00760DC9"/>
    <w:rsid w:val="00760FB5"/>
    <w:rsid w:val="00762063"/>
    <w:rsid w:val="00762B68"/>
    <w:rsid w:val="00762C0D"/>
    <w:rsid w:val="007639E9"/>
    <w:rsid w:val="00763ABE"/>
    <w:rsid w:val="007640E7"/>
    <w:rsid w:val="0076441A"/>
    <w:rsid w:val="007648BF"/>
    <w:rsid w:val="007665E2"/>
    <w:rsid w:val="00766B7D"/>
    <w:rsid w:val="00767A47"/>
    <w:rsid w:val="00767B37"/>
    <w:rsid w:val="00767F44"/>
    <w:rsid w:val="00770490"/>
    <w:rsid w:val="00771DB1"/>
    <w:rsid w:val="0077219C"/>
    <w:rsid w:val="00772F70"/>
    <w:rsid w:val="00773DC1"/>
    <w:rsid w:val="00774B31"/>
    <w:rsid w:val="00774D50"/>
    <w:rsid w:val="00774DAF"/>
    <w:rsid w:val="00775373"/>
    <w:rsid w:val="00775D2D"/>
    <w:rsid w:val="0077692B"/>
    <w:rsid w:val="00776A91"/>
    <w:rsid w:val="00776F0D"/>
    <w:rsid w:val="007775D9"/>
    <w:rsid w:val="007778D6"/>
    <w:rsid w:val="007802BD"/>
    <w:rsid w:val="007805D0"/>
    <w:rsid w:val="007839A0"/>
    <w:rsid w:val="00783C2E"/>
    <w:rsid w:val="00784530"/>
    <w:rsid w:val="007847A4"/>
    <w:rsid w:val="007850F7"/>
    <w:rsid w:val="00790DCA"/>
    <w:rsid w:val="00791029"/>
    <w:rsid w:val="00793065"/>
    <w:rsid w:val="007931D4"/>
    <w:rsid w:val="00793478"/>
    <w:rsid w:val="007940F8"/>
    <w:rsid w:val="00794846"/>
    <w:rsid w:val="00794C55"/>
    <w:rsid w:val="00794CEA"/>
    <w:rsid w:val="00795643"/>
    <w:rsid w:val="007973DB"/>
    <w:rsid w:val="007A0505"/>
    <w:rsid w:val="007A2258"/>
    <w:rsid w:val="007A2C92"/>
    <w:rsid w:val="007A304D"/>
    <w:rsid w:val="007A3625"/>
    <w:rsid w:val="007A41B5"/>
    <w:rsid w:val="007A4AA9"/>
    <w:rsid w:val="007A4AEF"/>
    <w:rsid w:val="007A61BC"/>
    <w:rsid w:val="007A63B4"/>
    <w:rsid w:val="007A63CE"/>
    <w:rsid w:val="007A6644"/>
    <w:rsid w:val="007A69C3"/>
    <w:rsid w:val="007A6AFD"/>
    <w:rsid w:val="007A6BC6"/>
    <w:rsid w:val="007A7B86"/>
    <w:rsid w:val="007B04B2"/>
    <w:rsid w:val="007B3451"/>
    <w:rsid w:val="007B3B76"/>
    <w:rsid w:val="007B3C1F"/>
    <w:rsid w:val="007B4AAF"/>
    <w:rsid w:val="007B5EF4"/>
    <w:rsid w:val="007B6FC7"/>
    <w:rsid w:val="007B7460"/>
    <w:rsid w:val="007C06E8"/>
    <w:rsid w:val="007C155B"/>
    <w:rsid w:val="007C2453"/>
    <w:rsid w:val="007C372F"/>
    <w:rsid w:val="007C46DE"/>
    <w:rsid w:val="007C5250"/>
    <w:rsid w:val="007C52EA"/>
    <w:rsid w:val="007C53DC"/>
    <w:rsid w:val="007C5789"/>
    <w:rsid w:val="007C649D"/>
    <w:rsid w:val="007C6550"/>
    <w:rsid w:val="007C663D"/>
    <w:rsid w:val="007C6BA5"/>
    <w:rsid w:val="007C6FA9"/>
    <w:rsid w:val="007D0039"/>
    <w:rsid w:val="007D052E"/>
    <w:rsid w:val="007D142A"/>
    <w:rsid w:val="007D1606"/>
    <w:rsid w:val="007D2FDF"/>
    <w:rsid w:val="007D39AA"/>
    <w:rsid w:val="007D43E2"/>
    <w:rsid w:val="007D5E39"/>
    <w:rsid w:val="007D60FB"/>
    <w:rsid w:val="007D6E1F"/>
    <w:rsid w:val="007E03B0"/>
    <w:rsid w:val="007E0654"/>
    <w:rsid w:val="007E0A74"/>
    <w:rsid w:val="007E0E21"/>
    <w:rsid w:val="007E1402"/>
    <w:rsid w:val="007E1E0C"/>
    <w:rsid w:val="007E352B"/>
    <w:rsid w:val="007E3C2F"/>
    <w:rsid w:val="007E3EE8"/>
    <w:rsid w:val="007E54AC"/>
    <w:rsid w:val="007E6987"/>
    <w:rsid w:val="007E74F8"/>
    <w:rsid w:val="007F0FBC"/>
    <w:rsid w:val="007F14AF"/>
    <w:rsid w:val="007F20AE"/>
    <w:rsid w:val="007F28C8"/>
    <w:rsid w:val="007F35AD"/>
    <w:rsid w:val="007F4487"/>
    <w:rsid w:val="007F572E"/>
    <w:rsid w:val="007F5EA3"/>
    <w:rsid w:val="007F5F15"/>
    <w:rsid w:val="007F60C2"/>
    <w:rsid w:val="007F6B3E"/>
    <w:rsid w:val="007F72E7"/>
    <w:rsid w:val="007F732F"/>
    <w:rsid w:val="007F74C7"/>
    <w:rsid w:val="007F7FDC"/>
    <w:rsid w:val="00801AA2"/>
    <w:rsid w:val="008027A0"/>
    <w:rsid w:val="00802AFA"/>
    <w:rsid w:val="0080450F"/>
    <w:rsid w:val="00805561"/>
    <w:rsid w:val="00806249"/>
    <w:rsid w:val="00806623"/>
    <w:rsid w:val="00807138"/>
    <w:rsid w:val="00807BE8"/>
    <w:rsid w:val="0081078F"/>
    <w:rsid w:val="00810E46"/>
    <w:rsid w:val="00811054"/>
    <w:rsid w:val="00812C25"/>
    <w:rsid w:val="00812F7A"/>
    <w:rsid w:val="00813B61"/>
    <w:rsid w:val="00813C8A"/>
    <w:rsid w:val="0081451B"/>
    <w:rsid w:val="00814ACD"/>
    <w:rsid w:val="008158D3"/>
    <w:rsid w:val="00816C9D"/>
    <w:rsid w:val="00817000"/>
    <w:rsid w:val="00817ECB"/>
    <w:rsid w:val="0082114D"/>
    <w:rsid w:val="00823B2B"/>
    <w:rsid w:val="00823C90"/>
    <w:rsid w:val="00824844"/>
    <w:rsid w:val="008255C5"/>
    <w:rsid w:val="00825849"/>
    <w:rsid w:val="00825B41"/>
    <w:rsid w:val="008260A8"/>
    <w:rsid w:val="008269FB"/>
    <w:rsid w:val="0082790B"/>
    <w:rsid w:val="008305AC"/>
    <w:rsid w:val="00830DA6"/>
    <w:rsid w:val="0083179E"/>
    <w:rsid w:val="008325F0"/>
    <w:rsid w:val="00832D4C"/>
    <w:rsid w:val="008333A8"/>
    <w:rsid w:val="008339EA"/>
    <w:rsid w:val="00833B2D"/>
    <w:rsid w:val="00833EFB"/>
    <w:rsid w:val="00834746"/>
    <w:rsid w:val="00834998"/>
    <w:rsid w:val="00835B27"/>
    <w:rsid w:val="00837708"/>
    <w:rsid w:val="00841D42"/>
    <w:rsid w:val="00841ED4"/>
    <w:rsid w:val="00842EE6"/>
    <w:rsid w:val="00843EAC"/>
    <w:rsid w:val="008448E6"/>
    <w:rsid w:val="00844DBC"/>
    <w:rsid w:val="00845AAB"/>
    <w:rsid w:val="00846029"/>
    <w:rsid w:val="00846118"/>
    <w:rsid w:val="00846FBE"/>
    <w:rsid w:val="008510E8"/>
    <w:rsid w:val="00852CB7"/>
    <w:rsid w:val="00852F05"/>
    <w:rsid w:val="008546BE"/>
    <w:rsid w:val="008577F9"/>
    <w:rsid w:val="00860118"/>
    <w:rsid w:val="00860D65"/>
    <w:rsid w:val="0086117C"/>
    <w:rsid w:val="0086120A"/>
    <w:rsid w:val="008612BD"/>
    <w:rsid w:val="008612EE"/>
    <w:rsid w:val="008614F5"/>
    <w:rsid w:val="00861B8E"/>
    <w:rsid w:val="0086207D"/>
    <w:rsid w:val="00863A38"/>
    <w:rsid w:val="00864DB7"/>
    <w:rsid w:val="008664E2"/>
    <w:rsid w:val="0087013E"/>
    <w:rsid w:val="00870D17"/>
    <w:rsid w:val="00871D01"/>
    <w:rsid w:val="0087321C"/>
    <w:rsid w:val="0087333E"/>
    <w:rsid w:val="00873487"/>
    <w:rsid w:val="008737B9"/>
    <w:rsid w:val="00873DEC"/>
    <w:rsid w:val="008740BC"/>
    <w:rsid w:val="008756F2"/>
    <w:rsid w:val="00875A5B"/>
    <w:rsid w:val="008766E8"/>
    <w:rsid w:val="0087695A"/>
    <w:rsid w:val="00876B33"/>
    <w:rsid w:val="00876FD4"/>
    <w:rsid w:val="0087772E"/>
    <w:rsid w:val="00880E98"/>
    <w:rsid w:val="00881197"/>
    <w:rsid w:val="008826CE"/>
    <w:rsid w:val="008832B3"/>
    <w:rsid w:val="0088414E"/>
    <w:rsid w:val="00884607"/>
    <w:rsid w:val="00884EAA"/>
    <w:rsid w:val="0088777E"/>
    <w:rsid w:val="00887947"/>
    <w:rsid w:val="0089128D"/>
    <w:rsid w:val="00891A0B"/>
    <w:rsid w:val="00891C50"/>
    <w:rsid w:val="00891CF6"/>
    <w:rsid w:val="00891F43"/>
    <w:rsid w:val="00892A25"/>
    <w:rsid w:val="00892F04"/>
    <w:rsid w:val="00893C5F"/>
    <w:rsid w:val="00893EBC"/>
    <w:rsid w:val="00894171"/>
    <w:rsid w:val="00894B1F"/>
    <w:rsid w:val="0089509C"/>
    <w:rsid w:val="008955CA"/>
    <w:rsid w:val="008A012E"/>
    <w:rsid w:val="008A0FEA"/>
    <w:rsid w:val="008A40A3"/>
    <w:rsid w:val="008A4BE7"/>
    <w:rsid w:val="008A4DFF"/>
    <w:rsid w:val="008A4EB1"/>
    <w:rsid w:val="008A4F7C"/>
    <w:rsid w:val="008A533C"/>
    <w:rsid w:val="008A53F5"/>
    <w:rsid w:val="008A5D54"/>
    <w:rsid w:val="008A5D78"/>
    <w:rsid w:val="008A6512"/>
    <w:rsid w:val="008A6A9C"/>
    <w:rsid w:val="008B0190"/>
    <w:rsid w:val="008B052E"/>
    <w:rsid w:val="008B38A9"/>
    <w:rsid w:val="008B4729"/>
    <w:rsid w:val="008B4CDA"/>
    <w:rsid w:val="008B5229"/>
    <w:rsid w:val="008B6690"/>
    <w:rsid w:val="008B6896"/>
    <w:rsid w:val="008B6C3F"/>
    <w:rsid w:val="008C03D0"/>
    <w:rsid w:val="008C29F9"/>
    <w:rsid w:val="008C3DDB"/>
    <w:rsid w:val="008C6735"/>
    <w:rsid w:val="008C6B62"/>
    <w:rsid w:val="008C7F64"/>
    <w:rsid w:val="008D015C"/>
    <w:rsid w:val="008D0572"/>
    <w:rsid w:val="008D0860"/>
    <w:rsid w:val="008D18F2"/>
    <w:rsid w:val="008D3D5D"/>
    <w:rsid w:val="008D4A9F"/>
    <w:rsid w:val="008D4E02"/>
    <w:rsid w:val="008D584F"/>
    <w:rsid w:val="008D5905"/>
    <w:rsid w:val="008D6B8E"/>
    <w:rsid w:val="008D72D1"/>
    <w:rsid w:val="008D779F"/>
    <w:rsid w:val="008E028E"/>
    <w:rsid w:val="008E04D3"/>
    <w:rsid w:val="008E0919"/>
    <w:rsid w:val="008E17DD"/>
    <w:rsid w:val="008E2CA9"/>
    <w:rsid w:val="008E2D4D"/>
    <w:rsid w:val="008E545B"/>
    <w:rsid w:val="008E775A"/>
    <w:rsid w:val="008F0379"/>
    <w:rsid w:val="008F05EA"/>
    <w:rsid w:val="008F06F8"/>
    <w:rsid w:val="008F1628"/>
    <w:rsid w:val="008F237C"/>
    <w:rsid w:val="008F265D"/>
    <w:rsid w:val="008F3983"/>
    <w:rsid w:val="008F4533"/>
    <w:rsid w:val="008F7A95"/>
    <w:rsid w:val="009004E9"/>
    <w:rsid w:val="0090158F"/>
    <w:rsid w:val="00901ECC"/>
    <w:rsid w:val="00902246"/>
    <w:rsid w:val="009034EF"/>
    <w:rsid w:val="00904117"/>
    <w:rsid w:val="00904888"/>
    <w:rsid w:val="009048EA"/>
    <w:rsid w:val="00904E02"/>
    <w:rsid w:val="00905F58"/>
    <w:rsid w:val="0090629F"/>
    <w:rsid w:val="00906967"/>
    <w:rsid w:val="0090700A"/>
    <w:rsid w:val="009075A1"/>
    <w:rsid w:val="00907843"/>
    <w:rsid w:val="00910212"/>
    <w:rsid w:val="00910EC5"/>
    <w:rsid w:val="00911DB3"/>
    <w:rsid w:val="009122BF"/>
    <w:rsid w:val="00912442"/>
    <w:rsid w:val="00912859"/>
    <w:rsid w:val="009128D2"/>
    <w:rsid w:val="00913E0D"/>
    <w:rsid w:val="009153A4"/>
    <w:rsid w:val="00915713"/>
    <w:rsid w:val="009158D9"/>
    <w:rsid w:val="00915BDE"/>
    <w:rsid w:val="00915F87"/>
    <w:rsid w:val="00916571"/>
    <w:rsid w:val="0091798A"/>
    <w:rsid w:val="00917CF8"/>
    <w:rsid w:val="009219C9"/>
    <w:rsid w:val="00923520"/>
    <w:rsid w:val="00923EA5"/>
    <w:rsid w:val="0092474C"/>
    <w:rsid w:val="009248FD"/>
    <w:rsid w:val="009255BE"/>
    <w:rsid w:val="009269C6"/>
    <w:rsid w:val="0092768E"/>
    <w:rsid w:val="009305D9"/>
    <w:rsid w:val="00930674"/>
    <w:rsid w:val="009318A8"/>
    <w:rsid w:val="00935962"/>
    <w:rsid w:val="00936AF1"/>
    <w:rsid w:val="00936D96"/>
    <w:rsid w:val="0094081A"/>
    <w:rsid w:val="009420CE"/>
    <w:rsid w:val="009439F6"/>
    <w:rsid w:val="00943D26"/>
    <w:rsid w:val="00945A05"/>
    <w:rsid w:val="00946341"/>
    <w:rsid w:val="00946700"/>
    <w:rsid w:val="0094687E"/>
    <w:rsid w:val="00946DCF"/>
    <w:rsid w:val="00950120"/>
    <w:rsid w:val="00951CF4"/>
    <w:rsid w:val="00953EA2"/>
    <w:rsid w:val="00955CD5"/>
    <w:rsid w:val="009569FB"/>
    <w:rsid w:val="00956BF5"/>
    <w:rsid w:val="00956E65"/>
    <w:rsid w:val="00957092"/>
    <w:rsid w:val="00960734"/>
    <w:rsid w:val="00960919"/>
    <w:rsid w:val="00961348"/>
    <w:rsid w:val="00961871"/>
    <w:rsid w:val="00961BEF"/>
    <w:rsid w:val="009627FE"/>
    <w:rsid w:val="00964010"/>
    <w:rsid w:val="00965A83"/>
    <w:rsid w:val="00965FD5"/>
    <w:rsid w:val="009701DF"/>
    <w:rsid w:val="00970505"/>
    <w:rsid w:val="0097153F"/>
    <w:rsid w:val="009721B3"/>
    <w:rsid w:val="009723F9"/>
    <w:rsid w:val="00972FB8"/>
    <w:rsid w:val="00973750"/>
    <w:rsid w:val="00974AA2"/>
    <w:rsid w:val="00975598"/>
    <w:rsid w:val="00975D7B"/>
    <w:rsid w:val="00975F9B"/>
    <w:rsid w:val="009765F4"/>
    <w:rsid w:val="00976694"/>
    <w:rsid w:val="009766E2"/>
    <w:rsid w:val="00976DCD"/>
    <w:rsid w:val="00977D71"/>
    <w:rsid w:val="00977FC7"/>
    <w:rsid w:val="0098027C"/>
    <w:rsid w:val="009809EB"/>
    <w:rsid w:val="00980B17"/>
    <w:rsid w:val="00980DD8"/>
    <w:rsid w:val="00980FD4"/>
    <w:rsid w:val="009815C6"/>
    <w:rsid w:val="00981E93"/>
    <w:rsid w:val="0098228D"/>
    <w:rsid w:val="00982716"/>
    <w:rsid w:val="00982787"/>
    <w:rsid w:val="00982DF8"/>
    <w:rsid w:val="009870BC"/>
    <w:rsid w:val="00987869"/>
    <w:rsid w:val="009879C8"/>
    <w:rsid w:val="00990ADD"/>
    <w:rsid w:val="00990DEF"/>
    <w:rsid w:val="00991F4C"/>
    <w:rsid w:val="009920DE"/>
    <w:rsid w:val="009938BA"/>
    <w:rsid w:val="009941A7"/>
    <w:rsid w:val="0099422B"/>
    <w:rsid w:val="00994323"/>
    <w:rsid w:val="00994471"/>
    <w:rsid w:val="009955B2"/>
    <w:rsid w:val="009956F8"/>
    <w:rsid w:val="009975EE"/>
    <w:rsid w:val="009A0261"/>
    <w:rsid w:val="009A126C"/>
    <w:rsid w:val="009A1F1C"/>
    <w:rsid w:val="009A2DE7"/>
    <w:rsid w:val="009A357E"/>
    <w:rsid w:val="009A3752"/>
    <w:rsid w:val="009A38A2"/>
    <w:rsid w:val="009A390C"/>
    <w:rsid w:val="009A3E50"/>
    <w:rsid w:val="009A3FD1"/>
    <w:rsid w:val="009A455F"/>
    <w:rsid w:val="009A4B78"/>
    <w:rsid w:val="009A5908"/>
    <w:rsid w:val="009A601E"/>
    <w:rsid w:val="009A75B3"/>
    <w:rsid w:val="009A7BB4"/>
    <w:rsid w:val="009B2723"/>
    <w:rsid w:val="009B32B5"/>
    <w:rsid w:val="009B45B6"/>
    <w:rsid w:val="009B6F95"/>
    <w:rsid w:val="009B7310"/>
    <w:rsid w:val="009B79AB"/>
    <w:rsid w:val="009C0301"/>
    <w:rsid w:val="009C0874"/>
    <w:rsid w:val="009C0CE2"/>
    <w:rsid w:val="009C1105"/>
    <w:rsid w:val="009C1644"/>
    <w:rsid w:val="009C1DC4"/>
    <w:rsid w:val="009C2FC2"/>
    <w:rsid w:val="009C3264"/>
    <w:rsid w:val="009C4369"/>
    <w:rsid w:val="009C4397"/>
    <w:rsid w:val="009C497B"/>
    <w:rsid w:val="009C4EDE"/>
    <w:rsid w:val="009C5776"/>
    <w:rsid w:val="009C59BC"/>
    <w:rsid w:val="009C5E81"/>
    <w:rsid w:val="009C5E8E"/>
    <w:rsid w:val="009C5FC1"/>
    <w:rsid w:val="009C6051"/>
    <w:rsid w:val="009C60E3"/>
    <w:rsid w:val="009C6800"/>
    <w:rsid w:val="009D01B7"/>
    <w:rsid w:val="009D35B7"/>
    <w:rsid w:val="009D4650"/>
    <w:rsid w:val="009D4F58"/>
    <w:rsid w:val="009D5D38"/>
    <w:rsid w:val="009D5EC6"/>
    <w:rsid w:val="009D6362"/>
    <w:rsid w:val="009D7F19"/>
    <w:rsid w:val="009E12F0"/>
    <w:rsid w:val="009E15F9"/>
    <w:rsid w:val="009E15FC"/>
    <w:rsid w:val="009E2BCE"/>
    <w:rsid w:val="009E2D5A"/>
    <w:rsid w:val="009E4CF0"/>
    <w:rsid w:val="009E4F4D"/>
    <w:rsid w:val="009E5A87"/>
    <w:rsid w:val="009E6018"/>
    <w:rsid w:val="009E60CE"/>
    <w:rsid w:val="009E610A"/>
    <w:rsid w:val="009E6554"/>
    <w:rsid w:val="009E6E4C"/>
    <w:rsid w:val="009E702E"/>
    <w:rsid w:val="009E7354"/>
    <w:rsid w:val="009E747B"/>
    <w:rsid w:val="009F1320"/>
    <w:rsid w:val="009F1548"/>
    <w:rsid w:val="009F2B13"/>
    <w:rsid w:val="009F2B2F"/>
    <w:rsid w:val="009F2C1E"/>
    <w:rsid w:val="009F479D"/>
    <w:rsid w:val="009F68A2"/>
    <w:rsid w:val="009F70E4"/>
    <w:rsid w:val="009F7D89"/>
    <w:rsid w:val="00A003A3"/>
    <w:rsid w:val="00A009D6"/>
    <w:rsid w:val="00A00B5F"/>
    <w:rsid w:val="00A00BCE"/>
    <w:rsid w:val="00A0302B"/>
    <w:rsid w:val="00A0347B"/>
    <w:rsid w:val="00A03875"/>
    <w:rsid w:val="00A03A38"/>
    <w:rsid w:val="00A04478"/>
    <w:rsid w:val="00A0472F"/>
    <w:rsid w:val="00A04929"/>
    <w:rsid w:val="00A05B7F"/>
    <w:rsid w:val="00A063B2"/>
    <w:rsid w:val="00A06592"/>
    <w:rsid w:val="00A100A0"/>
    <w:rsid w:val="00A1166A"/>
    <w:rsid w:val="00A11F2A"/>
    <w:rsid w:val="00A12107"/>
    <w:rsid w:val="00A12545"/>
    <w:rsid w:val="00A1356A"/>
    <w:rsid w:val="00A1447E"/>
    <w:rsid w:val="00A14C15"/>
    <w:rsid w:val="00A14DEF"/>
    <w:rsid w:val="00A164CD"/>
    <w:rsid w:val="00A16892"/>
    <w:rsid w:val="00A1770A"/>
    <w:rsid w:val="00A179A1"/>
    <w:rsid w:val="00A17ED5"/>
    <w:rsid w:val="00A20CD6"/>
    <w:rsid w:val="00A21337"/>
    <w:rsid w:val="00A217AC"/>
    <w:rsid w:val="00A224B1"/>
    <w:rsid w:val="00A227B3"/>
    <w:rsid w:val="00A23B31"/>
    <w:rsid w:val="00A23F68"/>
    <w:rsid w:val="00A242F4"/>
    <w:rsid w:val="00A25A9C"/>
    <w:rsid w:val="00A26BA6"/>
    <w:rsid w:val="00A27077"/>
    <w:rsid w:val="00A27534"/>
    <w:rsid w:val="00A27AC6"/>
    <w:rsid w:val="00A30137"/>
    <w:rsid w:val="00A3023D"/>
    <w:rsid w:val="00A30E59"/>
    <w:rsid w:val="00A31A43"/>
    <w:rsid w:val="00A331C7"/>
    <w:rsid w:val="00A33902"/>
    <w:rsid w:val="00A33A2C"/>
    <w:rsid w:val="00A34269"/>
    <w:rsid w:val="00A34A38"/>
    <w:rsid w:val="00A371BB"/>
    <w:rsid w:val="00A376D4"/>
    <w:rsid w:val="00A4131D"/>
    <w:rsid w:val="00A419A4"/>
    <w:rsid w:val="00A42001"/>
    <w:rsid w:val="00A423DB"/>
    <w:rsid w:val="00A42577"/>
    <w:rsid w:val="00A44BC9"/>
    <w:rsid w:val="00A44F56"/>
    <w:rsid w:val="00A456C4"/>
    <w:rsid w:val="00A45816"/>
    <w:rsid w:val="00A45B40"/>
    <w:rsid w:val="00A46B8E"/>
    <w:rsid w:val="00A46BE3"/>
    <w:rsid w:val="00A46ECA"/>
    <w:rsid w:val="00A47703"/>
    <w:rsid w:val="00A500F3"/>
    <w:rsid w:val="00A504C8"/>
    <w:rsid w:val="00A50A24"/>
    <w:rsid w:val="00A50B38"/>
    <w:rsid w:val="00A51D5A"/>
    <w:rsid w:val="00A51D90"/>
    <w:rsid w:val="00A52A7D"/>
    <w:rsid w:val="00A54009"/>
    <w:rsid w:val="00A54046"/>
    <w:rsid w:val="00A540AF"/>
    <w:rsid w:val="00A56AFA"/>
    <w:rsid w:val="00A56EDE"/>
    <w:rsid w:val="00A577C5"/>
    <w:rsid w:val="00A6093C"/>
    <w:rsid w:val="00A61E99"/>
    <w:rsid w:val="00A62192"/>
    <w:rsid w:val="00A6437D"/>
    <w:rsid w:val="00A64E7F"/>
    <w:rsid w:val="00A65EF5"/>
    <w:rsid w:val="00A672B7"/>
    <w:rsid w:val="00A67458"/>
    <w:rsid w:val="00A67908"/>
    <w:rsid w:val="00A679D0"/>
    <w:rsid w:val="00A70FFC"/>
    <w:rsid w:val="00A7279E"/>
    <w:rsid w:val="00A72C9E"/>
    <w:rsid w:val="00A7301F"/>
    <w:rsid w:val="00A74363"/>
    <w:rsid w:val="00A75C98"/>
    <w:rsid w:val="00A76094"/>
    <w:rsid w:val="00A76881"/>
    <w:rsid w:val="00A80BA5"/>
    <w:rsid w:val="00A81991"/>
    <w:rsid w:val="00A826B8"/>
    <w:rsid w:val="00A82F39"/>
    <w:rsid w:val="00A83111"/>
    <w:rsid w:val="00A83940"/>
    <w:rsid w:val="00A83B50"/>
    <w:rsid w:val="00A85473"/>
    <w:rsid w:val="00A86BD3"/>
    <w:rsid w:val="00A9057F"/>
    <w:rsid w:val="00A91014"/>
    <w:rsid w:val="00A91A6C"/>
    <w:rsid w:val="00A957C8"/>
    <w:rsid w:val="00A95902"/>
    <w:rsid w:val="00A9726E"/>
    <w:rsid w:val="00A979C4"/>
    <w:rsid w:val="00A97FF1"/>
    <w:rsid w:val="00AA0129"/>
    <w:rsid w:val="00AA0F21"/>
    <w:rsid w:val="00AA0F5D"/>
    <w:rsid w:val="00AA18FA"/>
    <w:rsid w:val="00AA2644"/>
    <w:rsid w:val="00AA2D93"/>
    <w:rsid w:val="00AA3977"/>
    <w:rsid w:val="00AA39F6"/>
    <w:rsid w:val="00AA470F"/>
    <w:rsid w:val="00AA4990"/>
    <w:rsid w:val="00AA4D23"/>
    <w:rsid w:val="00AA6197"/>
    <w:rsid w:val="00AA6987"/>
    <w:rsid w:val="00AA73FE"/>
    <w:rsid w:val="00AB0A67"/>
    <w:rsid w:val="00AB12E3"/>
    <w:rsid w:val="00AB19DB"/>
    <w:rsid w:val="00AB2C35"/>
    <w:rsid w:val="00AB37FD"/>
    <w:rsid w:val="00AB4059"/>
    <w:rsid w:val="00AB4D19"/>
    <w:rsid w:val="00AB4DCE"/>
    <w:rsid w:val="00AB50F2"/>
    <w:rsid w:val="00AB5347"/>
    <w:rsid w:val="00AB5C09"/>
    <w:rsid w:val="00AB6D95"/>
    <w:rsid w:val="00AB6E36"/>
    <w:rsid w:val="00AB6ED7"/>
    <w:rsid w:val="00AB7114"/>
    <w:rsid w:val="00AB7E89"/>
    <w:rsid w:val="00AC0CFF"/>
    <w:rsid w:val="00AC17F0"/>
    <w:rsid w:val="00AC180E"/>
    <w:rsid w:val="00AC1D61"/>
    <w:rsid w:val="00AC1F2A"/>
    <w:rsid w:val="00AC26DD"/>
    <w:rsid w:val="00AC2C3E"/>
    <w:rsid w:val="00AC34B7"/>
    <w:rsid w:val="00AC3B1B"/>
    <w:rsid w:val="00AC4D5A"/>
    <w:rsid w:val="00AC5F27"/>
    <w:rsid w:val="00AC5F32"/>
    <w:rsid w:val="00AC684D"/>
    <w:rsid w:val="00AD0CF3"/>
    <w:rsid w:val="00AD1208"/>
    <w:rsid w:val="00AD16B8"/>
    <w:rsid w:val="00AD1FD7"/>
    <w:rsid w:val="00AD2345"/>
    <w:rsid w:val="00AD2492"/>
    <w:rsid w:val="00AD36C8"/>
    <w:rsid w:val="00AD3DFB"/>
    <w:rsid w:val="00AD4ADF"/>
    <w:rsid w:val="00AD605E"/>
    <w:rsid w:val="00AD65FD"/>
    <w:rsid w:val="00AD6AEF"/>
    <w:rsid w:val="00AD6E15"/>
    <w:rsid w:val="00AD6F74"/>
    <w:rsid w:val="00AD74BA"/>
    <w:rsid w:val="00AD7F3C"/>
    <w:rsid w:val="00AE1410"/>
    <w:rsid w:val="00AE1B78"/>
    <w:rsid w:val="00AE1DEE"/>
    <w:rsid w:val="00AE2060"/>
    <w:rsid w:val="00AE2192"/>
    <w:rsid w:val="00AE2ECE"/>
    <w:rsid w:val="00AE61D4"/>
    <w:rsid w:val="00AE6354"/>
    <w:rsid w:val="00AE64AE"/>
    <w:rsid w:val="00AE6794"/>
    <w:rsid w:val="00AE6A6E"/>
    <w:rsid w:val="00AE7BE5"/>
    <w:rsid w:val="00AF1ECD"/>
    <w:rsid w:val="00AF217B"/>
    <w:rsid w:val="00AF2434"/>
    <w:rsid w:val="00AF42D4"/>
    <w:rsid w:val="00AF44A8"/>
    <w:rsid w:val="00AF44D0"/>
    <w:rsid w:val="00AF5479"/>
    <w:rsid w:val="00AF54F5"/>
    <w:rsid w:val="00AF610F"/>
    <w:rsid w:val="00B00C20"/>
    <w:rsid w:val="00B01022"/>
    <w:rsid w:val="00B016EC"/>
    <w:rsid w:val="00B01D66"/>
    <w:rsid w:val="00B028DC"/>
    <w:rsid w:val="00B02B81"/>
    <w:rsid w:val="00B0316D"/>
    <w:rsid w:val="00B03D7F"/>
    <w:rsid w:val="00B03FF3"/>
    <w:rsid w:val="00B04D3D"/>
    <w:rsid w:val="00B055F2"/>
    <w:rsid w:val="00B05ACD"/>
    <w:rsid w:val="00B07A0C"/>
    <w:rsid w:val="00B101A5"/>
    <w:rsid w:val="00B10CC6"/>
    <w:rsid w:val="00B1107D"/>
    <w:rsid w:val="00B11512"/>
    <w:rsid w:val="00B1266C"/>
    <w:rsid w:val="00B137B6"/>
    <w:rsid w:val="00B14DEC"/>
    <w:rsid w:val="00B150C7"/>
    <w:rsid w:val="00B15763"/>
    <w:rsid w:val="00B16262"/>
    <w:rsid w:val="00B17E27"/>
    <w:rsid w:val="00B17FEA"/>
    <w:rsid w:val="00B203A0"/>
    <w:rsid w:val="00B205A0"/>
    <w:rsid w:val="00B20EA1"/>
    <w:rsid w:val="00B230F6"/>
    <w:rsid w:val="00B239C0"/>
    <w:rsid w:val="00B23CF9"/>
    <w:rsid w:val="00B23DA8"/>
    <w:rsid w:val="00B243DB"/>
    <w:rsid w:val="00B248E4"/>
    <w:rsid w:val="00B25770"/>
    <w:rsid w:val="00B263A3"/>
    <w:rsid w:val="00B26A4B"/>
    <w:rsid w:val="00B2701A"/>
    <w:rsid w:val="00B27B13"/>
    <w:rsid w:val="00B27C69"/>
    <w:rsid w:val="00B30848"/>
    <w:rsid w:val="00B31E93"/>
    <w:rsid w:val="00B34A62"/>
    <w:rsid w:val="00B34D16"/>
    <w:rsid w:val="00B34E97"/>
    <w:rsid w:val="00B35371"/>
    <w:rsid w:val="00B3537D"/>
    <w:rsid w:val="00B35908"/>
    <w:rsid w:val="00B36FFA"/>
    <w:rsid w:val="00B40929"/>
    <w:rsid w:val="00B43846"/>
    <w:rsid w:val="00B443AD"/>
    <w:rsid w:val="00B45626"/>
    <w:rsid w:val="00B46142"/>
    <w:rsid w:val="00B463F2"/>
    <w:rsid w:val="00B46F38"/>
    <w:rsid w:val="00B50E8E"/>
    <w:rsid w:val="00B5156A"/>
    <w:rsid w:val="00B51BC1"/>
    <w:rsid w:val="00B524B4"/>
    <w:rsid w:val="00B52D1D"/>
    <w:rsid w:val="00B53E96"/>
    <w:rsid w:val="00B555DF"/>
    <w:rsid w:val="00B55BA7"/>
    <w:rsid w:val="00B561CD"/>
    <w:rsid w:val="00B60853"/>
    <w:rsid w:val="00B620E3"/>
    <w:rsid w:val="00B625B5"/>
    <w:rsid w:val="00B629B1"/>
    <w:rsid w:val="00B630B6"/>
    <w:rsid w:val="00B63868"/>
    <w:rsid w:val="00B64B75"/>
    <w:rsid w:val="00B660B2"/>
    <w:rsid w:val="00B660F9"/>
    <w:rsid w:val="00B665EB"/>
    <w:rsid w:val="00B66D09"/>
    <w:rsid w:val="00B675D5"/>
    <w:rsid w:val="00B67A3C"/>
    <w:rsid w:val="00B703C0"/>
    <w:rsid w:val="00B70D4C"/>
    <w:rsid w:val="00B71708"/>
    <w:rsid w:val="00B72136"/>
    <w:rsid w:val="00B72E93"/>
    <w:rsid w:val="00B74691"/>
    <w:rsid w:val="00B746C9"/>
    <w:rsid w:val="00B75B79"/>
    <w:rsid w:val="00B76F23"/>
    <w:rsid w:val="00B80381"/>
    <w:rsid w:val="00B8081B"/>
    <w:rsid w:val="00B81371"/>
    <w:rsid w:val="00B81A26"/>
    <w:rsid w:val="00B81BB9"/>
    <w:rsid w:val="00B84943"/>
    <w:rsid w:val="00B8766A"/>
    <w:rsid w:val="00B876D1"/>
    <w:rsid w:val="00B8787C"/>
    <w:rsid w:val="00B87B96"/>
    <w:rsid w:val="00B87CF7"/>
    <w:rsid w:val="00B90A7E"/>
    <w:rsid w:val="00B934AC"/>
    <w:rsid w:val="00B94484"/>
    <w:rsid w:val="00B95C58"/>
    <w:rsid w:val="00B96172"/>
    <w:rsid w:val="00B9695D"/>
    <w:rsid w:val="00B96C8A"/>
    <w:rsid w:val="00B96CD8"/>
    <w:rsid w:val="00BA0C97"/>
    <w:rsid w:val="00BA1588"/>
    <w:rsid w:val="00BA1AB6"/>
    <w:rsid w:val="00BA1DA5"/>
    <w:rsid w:val="00BA20E4"/>
    <w:rsid w:val="00BA3C7C"/>
    <w:rsid w:val="00BA4410"/>
    <w:rsid w:val="00BA6750"/>
    <w:rsid w:val="00BA727B"/>
    <w:rsid w:val="00BA72F5"/>
    <w:rsid w:val="00BA7523"/>
    <w:rsid w:val="00BA7F89"/>
    <w:rsid w:val="00BB0654"/>
    <w:rsid w:val="00BB09E3"/>
    <w:rsid w:val="00BB1028"/>
    <w:rsid w:val="00BB1E7B"/>
    <w:rsid w:val="00BB33D1"/>
    <w:rsid w:val="00BB357D"/>
    <w:rsid w:val="00BB5322"/>
    <w:rsid w:val="00BB7988"/>
    <w:rsid w:val="00BB7999"/>
    <w:rsid w:val="00BC0129"/>
    <w:rsid w:val="00BC0329"/>
    <w:rsid w:val="00BC0FB5"/>
    <w:rsid w:val="00BC11A4"/>
    <w:rsid w:val="00BC2C13"/>
    <w:rsid w:val="00BC3583"/>
    <w:rsid w:val="00BC358B"/>
    <w:rsid w:val="00BC3A71"/>
    <w:rsid w:val="00BC3B57"/>
    <w:rsid w:val="00BC3F13"/>
    <w:rsid w:val="00BC428C"/>
    <w:rsid w:val="00BC4FF2"/>
    <w:rsid w:val="00BC5793"/>
    <w:rsid w:val="00BC5E07"/>
    <w:rsid w:val="00BC6268"/>
    <w:rsid w:val="00BC6497"/>
    <w:rsid w:val="00BC7512"/>
    <w:rsid w:val="00BC75BC"/>
    <w:rsid w:val="00BC7FF2"/>
    <w:rsid w:val="00BD2E62"/>
    <w:rsid w:val="00BD345A"/>
    <w:rsid w:val="00BD42CA"/>
    <w:rsid w:val="00BD5134"/>
    <w:rsid w:val="00BD5FCF"/>
    <w:rsid w:val="00BD66B4"/>
    <w:rsid w:val="00BD6EFE"/>
    <w:rsid w:val="00BE00FA"/>
    <w:rsid w:val="00BE1FC1"/>
    <w:rsid w:val="00BE2798"/>
    <w:rsid w:val="00BE36DB"/>
    <w:rsid w:val="00BE39FE"/>
    <w:rsid w:val="00BE42B7"/>
    <w:rsid w:val="00BE4814"/>
    <w:rsid w:val="00BE4B55"/>
    <w:rsid w:val="00BE592F"/>
    <w:rsid w:val="00BE7FA0"/>
    <w:rsid w:val="00BF021E"/>
    <w:rsid w:val="00BF07F9"/>
    <w:rsid w:val="00BF1389"/>
    <w:rsid w:val="00BF1937"/>
    <w:rsid w:val="00BF19BB"/>
    <w:rsid w:val="00BF2CAE"/>
    <w:rsid w:val="00BF36F3"/>
    <w:rsid w:val="00BF4C59"/>
    <w:rsid w:val="00BF641F"/>
    <w:rsid w:val="00BF6EC1"/>
    <w:rsid w:val="00BF7971"/>
    <w:rsid w:val="00C01B29"/>
    <w:rsid w:val="00C022DA"/>
    <w:rsid w:val="00C045FD"/>
    <w:rsid w:val="00C048C1"/>
    <w:rsid w:val="00C04AA0"/>
    <w:rsid w:val="00C052C1"/>
    <w:rsid w:val="00C057C2"/>
    <w:rsid w:val="00C06277"/>
    <w:rsid w:val="00C07840"/>
    <w:rsid w:val="00C102BB"/>
    <w:rsid w:val="00C106CA"/>
    <w:rsid w:val="00C10B98"/>
    <w:rsid w:val="00C10F51"/>
    <w:rsid w:val="00C11393"/>
    <w:rsid w:val="00C12357"/>
    <w:rsid w:val="00C12E1C"/>
    <w:rsid w:val="00C12F61"/>
    <w:rsid w:val="00C1556A"/>
    <w:rsid w:val="00C17315"/>
    <w:rsid w:val="00C179B9"/>
    <w:rsid w:val="00C17EA7"/>
    <w:rsid w:val="00C20321"/>
    <w:rsid w:val="00C21064"/>
    <w:rsid w:val="00C22B71"/>
    <w:rsid w:val="00C23C7A"/>
    <w:rsid w:val="00C23D39"/>
    <w:rsid w:val="00C24826"/>
    <w:rsid w:val="00C24B1D"/>
    <w:rsid w:val="00C26623"/>
    <w:rsid w:val="00C274D3"/>
    <w:rsid w:val="00C2760A"/>
    <w:rsid w:val="00C30801"/>
    <w:rsid w:val="00C32E13"/>
    <w:rsid w:val="00C333CE"/>
    <w:rsid w:val="00C34363"/>
    <w:rsid w:val="00C34E97"/>
    <w:rsid w:val="00C34FEF"/>
    <w:rsid w:val="00C35176"/>
    <w:rsid w:val="00C35A29"/>
    <w:rsid w:val="00C3677D"/>
    <w:rsid w:val="00C373F9"/>
    <w:rsid w:val="00C4048F"/>
    <w:rsid w:val="00C40E61"/>
    <w:rsid w:val="00C40EB4"/>
    <w:rsid w:val="00C4170D"/>
    <w:rsid w:val="00C41E80"/>
    <w:rsid w:val="00C41F62"/>
    <w:rsid w:val="00C42BCF"/>
    <w:rsid w:val="00C42E5F"/>
    <w:rsid w:val="00C43E5C"/>
    <w:rsid w:val="00C45236"/>
    <w:rsid w:val="00C45F31"/>
    <w:rsid w:val="00C468C0"/>
    <w:rsid w:val="00C46DFA"/>
    <w:rsid w:val="00C4719D"/>
    <w:rsid w:val="00C4775D"/>
    <w:rsid w:val="00C47850"/>
    <w:rsid w:val="00C47CE3"/>
    <w:rsid w:val="00C47DE8"/>
    <w:rsid w:val="00C5101B"/>
    <w:rsid w:val="00C513B6"/>
    <w:rsid w:val="00C522F0"/>
    <w:rsid w:val="00C52D1D"/>
    <w:rsid w:val="00C533C0"/>
    <w:rsid w:val="00C538F5"/>
    <w:rsid w:val="00C54437"/>
    <w:rsid w:val="00C55342"/>
    <w:rsid w:val="00C55B70"/>
    <w:rsid w:val="00C55C6D"/>
    <w:rsid w:val="00C563C5"/>
    <w:rsid w:val="00C563E2"/>
    <w:rsid w:val="00C563E4"/>
    <w:rsid w:val="00C60127"/>
    <w:rsid w:val="00C62B03"/>
    <w:rsid w:val="00C63715"/>
    <w:rsid w:val="00C63FD3"/>
    <w:rsid w:val="00C64170"/>
    <w:rsid w:val="00C646D8"/>
    <w:rsid w:val="00C647A4"/>
    <w:rsid w:val="00C65C8A"/>
    <w:rsid w:val="00C65D1C"/>
    <w:rsid w:val="00C65EEC"/>
    <w:rsid w:val="00C67A63"/>
    <w:rsid w:val="00C70838"/>
    <w:rsid w:val="00C7205E"/>
    <w:rsid w:val="00C7244F"/>
    <w:rsid w:val="00C72552"/>
    <w:rsid w:val="00C729BA"/>
    <w:rsid w:val="00C7317B"/>
    <w:rsid w:val="00C73AD8"/>
    <w:rsid w:val="00C7409B"/>
    <w:rsid w:val="00C7418A"/>
    <w:rsid w:val="00C74BCD"/>
    <w:rsid w:val="00C74E0B"/>
    <w:rsid w:val="00C755F0"/>
    <w:rsid w:val="00C755FD"/>
    <w:rsid w:val="00C76E61"/>
    <w:rsid w:val="00C7746A"/>
    <w:rsid w:val="00C77A08"/>
    <w:rsid w:val="00C804D2"/>
    <w:rsid w:val="00C80C74"/>
    <w:rsid w:val="00C8193A"/>
    <w:rsid w:val="00C8533C"/>
    <w:rsid w:val="00C858DD"/>
    <w:rsid w:val="00C86340"/>
    <w:rsid w:val="00C86801"/>
    <w:rsid w:val="00C86F33"/>
    <w:rsid w:val="00C92162"/>
    <w:rsid w:val="00C937D7"/>
    <w:rsid w:val="00C94339"/>
    <w:rsid w:val="00C94473"/>
    <w:rsid w:val="00C94F4A"/>
    <w:rsid w:val="00C95A22"/>
    <w:rsid w:val="00C97829"/>
    <w:rsid w:val="00C97EC8"/>
    <w:rsid w:val="00CA022E"/>
    <w:rsid w:val="00CA0531"/>
    <w:rsid w:val="00CA0B5B"/>
    <w:rsid w:val="00CA3150"/>
    <w:rsid w:val="00CA3238"/>
    <w:rsid w:val="00CA67E7"/>
    <w:rsid w:val="00CA7A5E"/>
    <w:rsid w:val="00CB005A"/>
    <w:rsid w:val="00CB283A"/>
    <w:rsid w:val="00CB2A75"/>
    <w:rsid w:val="00CB2CE4"/>
    <w:rsid w:val="00CB33E2"/>
    <w:rsid w:val="00CB3492"/>
    <w:rsid w:val="00CB40C7"/>
    <w:rsid w:val="00CB46A6"/>
    <w:rsid w:val="00CB4B1B"/>
    <w:rsid w:val="00CB4BD4"/>
    <w:rsid w:val="00CB5EFA"/>
    <w:rsid w:val="00CC0182"/>
    <w:rsid w:val="00CC1894"/>
    <w:rsid w:val="00CC3085"/>
    <w:rsid w:val="00CC4C93"/>
    <w:rsid w:val="00CC55C8"/>
    <w:rsid w:val="00CC5BC7"/>
    <w:rsid w:val="00CC6B8C"/>
    <w:rsid w:val="00CD2904"/>
    <w:rsid w:val="00CD359F"/>
    <w:rsid w:val="00CD3A2B"/>
    <w:rsid w:val="00CD3BC2"/>
    <w:rsid w:val="00CD4678"/>
    <w:rsid w:val="00CD6329"/>
    <w:rsid w:val="00CE1629"/>
    <w:rsid w:val="00CE1AC1"/>
    <w:rsid w:val="00CE1B7E"/>
    <w:rsid w:val="00CE1BE7"/>
    <w:rsid w:val="00CE280C"/>
    <w:rsid w:val="00CE2CF8"/>
    <w:rsid w:val="00CE520C"/>
    <w:rsid w:val="00CE5DD8"/>
    <w:rsid w:val="00CE6017"/>
    <w:rsid w:val="00CE6541"/>
    <w:rsid w:val="00CE7462"/>
    <w:rsid w:val="00CE74D6"/>
    <w:rsid w:val="00CF028E"/>
    <w:rsid w:val="00CF07FF"/>
    <w:rsid w:val="00CF0CEA"/>
    <w:rsid w:val="00CF13C0"/>
    <w:rsid w:val="00CF23B8"/>
    <w:rsid w:val="00CF243F"/>
    <w:rsid w:val="00CF268B"/>
    <w:rsid w:val="00CF2F81"/>
    <w:rsid w:val="00CF2FF2"/>
    <w:rsid w:val="00CF4AB9"/>
    <w:rsid w:val="00CF4FD4"/>
    <w:rsid w:val="00CF60D3"/>
    <w:rsid w:val="00CF7B4B"/>
    <w:rsid w:val="00D0042F"/>
    <w:rsid w:val="00D011EE"/>
    <w:rsid w:val="00D01C20"/>
    <w:rsid w:val="00D01DD8"/>
    <w:rsid w:val="00D0213D"/>
    <w:rsid w:val="00D03610"/>
    <w:rsid w:val="00D0458A"/>
    <w:rsid w:val="00D0528C"/>
    <w:rsid w:val="00D05790"/>
    <w:rsid w:val="00D057E2"/>
    <w:rsid w:val="00D07392"/>
    <w:rsid w:val="00D074B2"/>
    <w:rsid w:val="00D0757D"/>
    <w:rsid w:val="00D07D07"/>
    <w:rsid w:val="00D10967"/>
    <w:rsid w:val="00D11464"/>
    <w:rsid w:val="00D12355"/>
    <w:rsid w:val="00D1252E"/>
    <w:rsid w:val="00D13900"/>
    <w:rsid w:val="00D1469F"/>
    <w:rsid w:val="00D1470D"/>
    <w:rsid w:val="00D14F9D"/>
    <w:rsid w:val="00D14FBD"/>
    <w:rsid w:val="00D15051"/>
    <w:rsid w:val="00D15423"/>
    <w:rsid w:val="00D154E0"/>
    <w:rsid w:val="00D16C1D"/>
    <w:rsid w:val="00D20BA6"/>
    <w:rsid w:val="00D22205"/>
    <w:rsid w:val="00D2438C"/>
    <w:rsid w:val="00D2580D"/>
    <w:rsid w:val="00D265E7"/>
    <w:rsid w:val="00D27AD9"/>
    <w:rsid w:val="00D27B33"/>
    <w:rsid w:val="00D27EC2"/>
    <w:rsid w:val="00D3074A"/>
    <w:rsid w:val="00D30BBF"/>
    <w:rsid w:val="00D3202D"/>
    <w:rsid w:val="00D323A1"/>
    <w:rsid w:val="00D32CC7"/>
    <w:rsid w:val="00D33E0F"/>
    <w:rsid w:val="00D34F51"/>
    <w:rsid w:val="00D35035"/>
    <w:rsid w:val="00D356C7"/>
    <w:rsid w:val="00D35896"/>
    <w:rsid w:val="00D359CF"/>
    <w:rsid w:val="00D362A4"/>
    <w:rsid w:val="00D36F21"/>
    <w:rsid w:val="00D3746A"/>
    <w:rsid w:val="00D40491"/>
    <w:rsid w:val="00D408BA"/>
    <w:rsid w:val="00D40D81"/>
    <w:rsid w:val="00D41C3F"/>
    <w:rsid w:val="00D42555"/>
    <w:rsid w:val="00D428FE"/>
    <w:rsid w:val="00D42BE7"/>
    <w:rsid w:val="00D43DF5"/>
    <w:rsid w:val="00D44C29"/>
    <w:rsid w:val="00D44DF5"/>
    <w:rsid w:val="00D45FEC"/>
    <w:rsid w:val="00D46408"/>
    <w:rsid w:val="00D46D03"/>
    <w:rsid w:val="00D47B9C"/>
    <w:rsid w:val="00D5005A"/>
    <w:rsid w:val="00D51AFD"/>
    <w:rsid w:val="00D52E36"/>
    <w:rsid w:val="00D537DD"/>
    <w:rsid w:val="00D54C26"/>
    <w:rsid w:val="00D563F8"/>
    <w:rsid w:val="00D567F8"/>
    <w:rsid w:val="00D6101D"/>
    <w:rsid w:val="00D61303"/>
    <w:rsid w:val="00D6158D"/>
    <w:rsid w:val="00D621F5"/>
    <w:rsid w:val="00D62400"/>
    <w:rsid w:val="00D635A7"/>
    <w:rsid w:val="00D63738"/>
    <w:rsid w:val="00D65BA8"/>
    <w:rsid w:val="00D661DD"/>
    <w:rsid w:val="00D66D49"/>
    <w:rsid w:val="00D67B4F"/>
    <w:rsid w:val="00D70067"/>
    <w:rsid w:val="00D701F7"/>
    <w:rsid w:val="00D70289"/>
    <w:rsid w:val="00D71A69"/>
    <w:rsid w:val="00D71F98"/>
    <w:rsid w:val="00D728D9"/>
    <w:rsid w:val="00D7348B"/>
    <w:rsid w:val="00D7452F"/>
    <w:rsid w:val="00D74FA2"/>
    <w:rsid w:val="00D751F1"/>
    <w:rsid w:val="00D77437"/>
    <w:rsid w:val="00D77D35"/>
    <w:rsid w:val="00D80112"/>
    <w:rsid w:val="00D810F7"/>
    <w:rsid w:val="00D823FD"/>
    <w:rsid w:val="00D82B19"/>
    <w:rsid w:val="00D83740"/>
    <w:rsid w:val="00D83C2D"/>
    <w:rsid w:val="00D846F5"/>
    <w:rsid w:val="00D84F75"/>
    <w:rsid w:val="00D86012"/>
    <w:rsid w:val="00D86AC2"/>
    <w:rsid w:val="00D8783E"/>
    <w:rsid w:val="00D90A75"/>
    <w:rsid w:val="00D91267"/>
    <w:rsid w:val="00D91CA1"/>
    <w:rsid w:val="00D92937"/>
    <w:rsid w:val="00D929E8"/>
    <w:rsid w:val="00D94450"/>
    <w:rsid w:val="00D94746"/>
    <w:rsid w:val="00D94D91"/>
    <w:rsid w:val="00D95961"/>
    <w:rsid w:val="00D966D8"/>
    <w:rsid w:val="00DA0F84"/>
    <w:rsid w:val="00DA131D"/>
    <w:rsid w:val="00DA14DC"/>
    <w:rsid w:val="00DA180C"/>
    <w:rsid w:val="00DA1EBD"/>
    <w:rsid w:val="00DA22B2"/>
    <w:rsid w:val="00DA3832"/>
    <w:rsid w:val="00DA39FF"/>
    <w:rsid w:val="00DA3F79"/>
    <w:rsid w:val="00DA41B6"/>
    <w:rsid w:val="00DA4B3B"/>
    <w:rsid w:val="00DA6BAA"/>
    <w:rsid w:val="00DA7BB9"/>
    <w:rsid w:val="00DA7EE8"/>
    <w:rsid w:val="00DB076D"/>
    <w:rsid w:val="00DB08BD"/>
    <w:rsid w:val="00DB1593"/>
    <w:rsid w:val="00DB17E8"/>
    <w:rsid w:val="00DB1826"/>
    <w:rsid w:val="00DB2562"/>
    <w:rsid w:val="00DB2771"/>
    <w:rsid w:val="00DB291C"/>
    <w:rsid w:val="00DB2DE4"/>
    <w:rsid w:val="00DB2F38"/>
    <w:rsid w:val="00DB452B"/>
    <w:rsid w:val="00DB4752"/>
    <w:rsid w:val="00DB518D"/>
    <w:rsid w:val="00DB58DA"/>
    <w:rsid w:val="00DB58DC"/>
    <w:rsid w:val="00DB5FE8"/>
    <w:rsid w:val="00DB7BF7"/>
    <w:rsid w:val="00DB7D57"/>
    <w:rsid w:val="00DC0983"/>
    <w:rsid w:val="00DC13A0"/>
    <w:rsid w:val="00DC2327"/>
    <w:rsid w:val="00DC25DA"/>
    <w:rsid w:val="00DC2D9D"/>
    <w:rsid w:val="00DC2FD6"/>
    <w:rsid w:val="00DC3155"/>
    <w:rsid w:val="00DC3B97"/>
    <w:rsid w:val="00DC5B08"/>
    <w:rsid w:val="00DC6F6C"/>
    <w:rsid w:val="00DD03B3"/>
    <w:rsid w:val="00DD1291"/>
    <w:rsid w:val="00DD196E"/>
    <w:rsid w:val="00DD2EEA"/>
    <w:rsid w:val="00DD3015"/>
    <w:rsid w:val="00DD3B7D"/>
    <w:rsid w:val="00DD3E4B"/>
    <w:rsid w:val="00DD41E3"/>
    <w:rsid w:val="00DD61A2"/>
    <w:rsid w:val="00DD623F"/>
    <w:rsid w:val="00DD67DF"/>
    <w:rsid w:val="00DD7E78"/>
    <w:rsid w:val="00DE0021"/>
    <w:rsid w:val="00DE0452"/>
    <w:rsid w:val="00DE0B57"/>
    <w:rsid w:val="00DE187D"/>
    <w:rsid w:val="00DE5D2D"/>
    <w:rsid w:val="00DE6116"/>
    <w:rsid w:val="00DE62A3"/>
    <w:rsid w:val="00DE69C0"/>
    <w:rsid w:val="00DE6D82"/>
    <w:rsid w:val="00DE7749"/>
    <w:rsid w:val="00DF0AF6"/>
    <w:rsid w:val="00DF10A5"/>
    <w:rsid w:val="00DF1587"/>
    <w:rsid w:val="00DF187B"/>
    <w:rsid w:val="00DF2B32"/>
    <w:rsid w:val="00DF2D94"/>
    <w:rsid w:val="00DF3298"/>
    <w:rsid w:val="00DF3AB1"/>
    <w:rsid w:val="00DF74C7"/>
    <w:rsid w:val="00DF762F"/>
    <w:rsid w:val="00DF76AC"/>
    <w:rsid w:val="00DF7EA6"/>
    <w:rsid w:val="00E000DA"/>
    <w:rsid w:val="00E0119C"/>
    <w:rsid w:val="00E01B55"/>
    <w:rsid w:val="00E01BC6"/>
    <w:rsid w:val="00E027F9"/>
    <w:rsid w:val="00E02ADF"/>
    <w:rsid w:val="00E03A22"/>
    <w:rsid w:val="00E04007"/>
    <w:rsid w:val="00E0463D"/>
    <w:rsid w:val="00E06B81"/>
    <w:rsid w:val="00E07B03"/>
    <w:rsid w:val="00E100ED"/>
    <w:rsid w:val="00E10C7E"/>
    <w:rsid w:val="00E111E6"/>
    <w:rsid w:val="00E11CA8"/>
    <w:rsid w:val="00E11CDC"/>
    <w:rsid w:val="00E12E1D"/>
    <w:rsid w:val="00E12F4B"/>
    <w:rsid w:val="00E13391"/>
    <w:rsid w:val="00E13A4D"/>
    <w:rsid w:val="00E13EEE"/>
    <w:rsid w:val="00E14522"/>
    <w:rsid w:val="00E153F5"/>
    <w:rsid w:val="00E16316"/>
    <w:rsid w:val="00E16C84"/>
    <w:rsid w:val="00E16E47"/>
    <w:rsid w:val="00E17602"/>
    <w:rsid w:val="00E178CC"/>
    <w:rsid w:val="00E17F96"/>
    <w:rsid w:val="00E207DB"/>
    <w:rsid w:val="00E20C05"/>
    <w:rsid w:val="00E21A11"/>
    <w:rsid w:val="00E2243A"/>
    <w:rsid w:val="00E22BD1"/>
    <w:rsid w:val="00E2350E"/>
    <w:rsid w:val="00E23865"/>
    <w:rsid w:val="00E23CFB"/>
    <w:rsid w:val="00E2463E"/>
    <w:rsid w:val="00E24919"/>
    <w:rsid w:val="00E25ACC"/>
    <w:rsid w:val="00E26306"/>
    <w:rsid w:val="00E26689"/>
    <w:rsid w:val="00E27244"/>
    <w:rsid w:val="00E276DD"/>
    <w:rsid w:val="00E30672"/>
    <w:rsid w:val="00E30A77"/>
    <w:rsid w:val="00E30BA7"/>
    <w:rsid w:val="00E313ED"/>
    <w:rsid w:val="00E32864"/>
    <w:rsid w:val="00E32AA1"/>
    <w:rsid w:val="00E338C5"/>
    <w:rsid w:val="00E3402D"/>
    <w:rsid w:val="00E342FC"/>
    <w:rsid w:val="00E37E18"/>
    <w:rsid w:val="00E403E9"/>
    <w:rsid w:val="00E410A1"/>
    <w:rsid w:val="00E410F3"/>
    <w:rsid w:val="00E42A1C"/>
    <w:rsid w:val="00E42B0D"/>
    <w:rsid w:val="00E42BCD"/>
    <w:rsid w:val="00E433AC"/>
    <w:rsid w:val="00E438B4"/>
    <w:rsid w:val="00E43B89"/>
    <w:rsid w:val="00E43E95"/>
    <w:rsid w:val="00E442EB"/>
    <w:rsid w:val="00E44C19"/>
    <w:rsid w:val="00E453CD"/>
    <w:rsid w:val="00E4609B"/>
    <w:rsid w:val="00E46814"/>
    <w:rsid w:val="00E477C2"/>
    <w:rsid w:val="00E5139F"/>
    <w:rsid w:val="00E513EF"/>
    <w:rsid w:val="00E51D05"/>
    <w:rsid w:val="00E5231C"/>
    <w:rsid w:val="00E52802"/>
    <w:rsid w:val="00E53D89"/>
    <w:rsid w:val="00E5402B"/>
    <w:rsid w:val="00E5605B"/>
    <w:rsid w:val="00E56EFD"/>
    <w:rsid w:val="00E61E12"/>
    <w:rsid w:val="00E61F01"/>
    <w:rsid w:val="00E623F8"/>
    <w:rsid w:val="00E63102"/>
    <w:rsid w:val="00E639AF"/>
    <w:rsid w:val="00E63A20"/>
    <w:rsid w:val="00E63ACD"/>
    <w:rsid w:val="00E63B26"/>
    <w:rsid w:val="00E64815"/>
    <w:rsid w:val="00E64D67"/>
    <w:rsid w:val="00E65460"/>
    <w:rsid w:val="00E65E9F"/>
    <w:rsid w:val="00E700E8"/>
    <w:rsid w:val="00E70878"/>
    <w:rsid w:val="00E709AB"/>
    <w:rsid w:val="00E769CE"/>
    <w:rsid w:val="00E76E4E"/>
    <w:rsid w:val="00E80132"/>
    <w:rsid w:val="00E80AC0"/>
    <w:rsid w:val="00E80B0D"/>
    <w:rsid w:val="00E80D5A"/>
    <w:rsid w:val="00E82BB0"/>
    <w:rsid w:val="00E839CE"/>
    <w:rsid w:val="00E83F20"/>
    <w:rsid w:val="00E84951"/>
    <w:rsid w:val="00E856F3"/>
    <w:rsid w:val="00E85D0E"/>
    <w:rsid w:val="00E87A8B"/>
    <w:rsid w:val="00E87BF6"/>
    <w:rsid w:val="00E87C7A"/>
    <w:rsid w:val="00E904FD"/>
    <w:rsid w:val="00E90839"/>
    <w:rsid w:val="00E90EE0"/>
    <w:rsid w:val="00E90F0B"/>
    <w:rsid w:val="00E910E0"/>
    <w:rsid w:val="00E911B7"/>
    <w:rsid w:val="00E91AC0"/>
    <w:rsid w:val="00E91B90"/>
    <w:rsid w:val="00E94919"/>
    <w:rsid w:val="00E94B58"/>
    <w:rsid w:val="00E94D61"/>
    <w:rsid w:val="00E9570A"/>
    <w:rsid w:val="00E9656A"/>
    <w:rsid w:val="00E967CB"/>
    <w:rsid w:val="00EA06E6"/>
    <w:rsid w:val="00EA1883"/>
    <w:rsid w:val="00EA1B0C"/>
    <w:rsid w:val="00EA2168"/>
    <w:rsid w:val="00EA3302"/>
    <w:rsid w:val="00EA3D64"/>
    <w:rsid w:val="00EA3E4C"/>
    <w:rsid w:val="00EA40D0"/>
    <w:rsid w:val="00EA421A"/>
    <w:rsid w:val="00EA499D"/>
    <w:rsid w:val="00EA4CAA"/>
    <w:rsid w:val="00EA5B4D"/>
    <w:rsid w:val="00EA5D0F"/>
    <w:rsid w:val="00EA5F55"/>
    <w:rsid w:val="00EA5FE5"/>
    <w:rsid w:val="00EA65E9"/>
    <w:rsid w:val="00EA6FB6"/>
    <w:rsid w:val="00EA7106"/>
    <w:rsid w:val="00EA79CB"/>
    <w:rsid w:val="00EB02A6"/>
    <w:rsid w:val="00EB0404"/>
    <w:rsid w:val="00EB2018"/>
    <w:rsid w:val="00EB4441"/>
    <w:rsid w:val="00EB4EEC"/>
    <w:rsid w:val="00EB5495"/>
    <w:rsid w:val="00EB56C4"/>
    <w:rsid w:val="00EB59CC"/>
    <w:rsid w:val="00EB63C4"/>
    <w:rsid w:val="00EB6CF2"/>
    <w:rsid w:val="00EB7964"/>
    <w:rsid w:val="00EB7C31"/>
    <w:rsid w:val="00EC1780"/>
    <w:rsid w:val="00EC28E2"/>
    <w:rsid w:val="00EC2A96"/>
    <w:rsid w:val="00EC2E91"/>
    <w:rsid w:val="00EC511D"/>
    <w:rsid w:val="00EC54AE"/>
    <w:rsid w:val="00EC54D0"/>
    <w:rsid w:val="00EC619D"/>
    <w:rsid w:val="00ED0273"/>
    <w:rsid w:val="00ED123D"/>
    <w:rsid w:val="00ED12D9"/>
    <w:rsid w:val="00ED4411"/>
    <w:rsid w:val="00ED4733"/>
    <w:rsid w:val="00ED58B2"/>
    <w:rsid w:val="00EE2ABB"/>
    <w:rsid w:val="00EE4E1B"/>
    <w:rsid w:val="00EE60B6"/>
    <w:rsid w:val="00EE7289"/>
    <w:rsid w:val="00EF0FD7"/>
    <w:rsid w:val="00EF12BB"/>
    <w:rsid w:val="00EF143E"/>
    <w:rsid w:val="00EF18EF"/>
    <w:rsid w:val="00EF21BC"/>
    <w:rsid w:val="00EF5507"/>
    <w:rsid w:val="00EF6748"/>
    <w:rsid w:val="00EF7B77"/>
    <w:rsid w:val="00EF7CA2"/>
    <w:rsid w:val="00F00A20"/>
    <w:rsid w:val="00F027AE"/>
    <w:rsid w:val="00F02922"/>
    <w:rsid w:val="00F02B75"/>
    <w:rsid w:val="00F05AEA"/>
    <w:rsid w:val="00F05BBF"/>
    <w:rsid w:val="00F06A15"/>
    <w:rsid w:val="00F1004C"/>
    <w:rsid w:val="00F11356"/>
    <w:rsid w:val="00F11E6A"/>
    <w:rsid w:val="00F154E7"/>
    <w:rsid w:val="00F16E13"/>
    <w:rsid w:val="00F20801"/>
    <w:rsid w:val="00F20852"/>
    <w:rsid w:val="00F22FFB"/>
    <w:rsid w:val="00F235C3"/>
    <w:rsid w:val="00F23DC0"/>
    <w:rsid w:val="00F24558"/>
    <w:rsid w:val="00F249ED"/>
    <w:rsid w:val="00F24B11"/>
    <w:rsid w:val="00F25A56"/>
    <w:rsid w:val="00F2647D"/>
    <w:rsid w:val="00F271BA"/>
    <w:rsid w:val="00F3087E"/>
    <w:rsid w:val="00F32714"/>
    <w:rsid w:val="00F33475"/>
    <w:rsid w:val="00F34D7C"/>
    <w:rsid w:val="00F34F1D"/>
    <w:rsid w:val="00F359F8"/>
    <w:rsid w:val="00F4306B"/>
    <w:rsid w:val="00F43080"/>
    <w:rsid w:val="00F43673"/>
    <w:rsid w:val="00F44B3B"/>
    <w:rsid w:val="00F44C77"/>
    <w:rsid w:val="00F459B8"/>
    <w:rsid w:val="00F45BD7"/>
    <w:rsid w:val="00F47023"/>
    <w:rsid w:val="00F47151"/>
    <w:rsid w:val="00F47BB3"/>
    <w:rsid w:val="00F536C8"/>
    <w:rsid w:val="00F54995"/>
    <w:rsid w:val="00F54F00"/>
    <w:rsid w:val="00F5573F"/>
    <w:rsid w:val="00F56DDE"/>
    <w:rsid w:val="00F57C73"/>
    <w:rsid w:val="00F6089E"/>
    <w:rsid w:val="00F60EDA"/>
    <w:rsid w:val="00F6238E"/>
    <w:rsid w:val="00F629FB"/>
    <w:rsid w:val="00F62A84"/>
    <w:rsid w:val="00F63487"/>
    <w:rsid w:val="00F640A3"/>
    <w:rsid w:val="00F651E6"/>
    <w:rsid w:val="00F6659B"/>
    <w:rsid w:val="00F66BC1"/>
    <w:rsid w:val="00F66C21"/>
    <w:rsid w:val="00F67DAD"/>
    <w:rsid w:val="00F67E04"/>
    <w:rsid w:val="00F70F69"/>
    <w:rsid w:val="00F72091"/>
    <w:rsid w:val="00F73DF1"/>
    <w:rsid w:val="00F753ED"/>
    <w:rsid w:val="00F80588"/>
    <w:rsid w:val="00F8106C"/>
    <w:rsid w:val="00F811E4"/>
    <w:rsid w:val="00F82FAE"/>
    <w:rsid w:val="00F83D17"/>
    <w:rsid w:val="00F84730"/>
    <w:rsid w:val="00F85CC5"/>
    <w:rsid w:val="00F87DC0"/>
    <w:rsid w:val="00F90035"/>
    <w:rsid w:val="00F90540"/>
    <w:rsid w:val="00F90BDC"/>
    <w:rsid w:val="00F911FD"/>
    <w:rsid w:val="00F9237D"/>
    <w:rsid w:val="00F932B7"/>
    <w:rsid w:val="00F947B7"/>
    <w:rsid w:val="00F9485D"/>
    <w:rsid w:val="00F94D0B"/>
    <w:rsid w:val="00F95003"/>
    <w:rsid w:val="00F95632"/>
    <w:rsid w:val="00F966BD"/>
    <w:rsid w:val="00F96B69"/>
    <w:rsid w:val="00F97844"/>
    <w:rsid w:val="00F97D8B"/>
    <w:rsid w:val="00FA17F2"/>
    <w:rsid w:val="00FA33C5"/>
    <w:rsid w:val="00FA3AB3"/>
    <w:rsid w:val="00FA3C69"/>
    <w:rsid w:val="00FA69DA"/>
    <w:rsid w:val="00FA720A"/>
    <w:rsid w:val="00FA78CC"/>
    <w:rsid w:val="00FA7FDD"/>
    <w:rsid w:val="00FB0A71"/>
    <w:rsid w:val="00FB0B8B"/>
    <w:rsid w:val="00FB0C70"/>
    <w:rsid w:val="00FB1051"/>
    <w:rsid w:val="00FB1745"/>
    <w:rsid w:val="00FB1C8B"/>
    <w:rsid w:val="00FB2368"/>
    <w:rsid w:val="00FB2DE3"/>
    <w:rsid w:val="00FB356A"/>
    <w:rsid w:val="00FB3D6B"/>
    <w:rsid w:val="00FB3E2A"/>
    <w:rsid w:val="00FB440D"/>
    <w:rsid w:val="00FB6E0C"/>
    <w:rsid w:val="00FC076B"/>
    <w:rsid w:val="00FC0C73"/>
    <w:rsid w:val="00FC126C"/>
    <w:rsid w:val="00FC1484"/>
    <w:rsid w:val="00FC2106"/>
    <w:rsid w:val="00FC2A57"/>
    <w:rsid w:val="00FC55C0"/>
    <w:rsid w:val="00FC57D1"/>
    <w:rsid w:val="00FC5BF2"/>
    <w:rsid w:val="00FC5D60"/>
    <w:rsid w:val="00FC5DA4"/>
    <w:rsid w:val="00FC6E47"/>
    <w:rsid w:val="00FC745E"/>
    <w:rsid w:val="00FC7500"/>
    <w:rsid w:val="00FC7F34"/>
    <w:rsid w:val="00FD0355"/>
    <w:rsid w:val="00FD0947"/>
    <w:rsid w:val="00FD0A3E"/>
    <w:rsid w:val="00FD0B23"/>
    <w:rsid w:val="00FD16F6"/>
    <w:rsid w:val="00FD1B31"/>
    <w:rsid w:val="00FD266E"/>
    <w:rsid w:val="00FD3A44"/>
    <w:rsid w:val="00FD3C38"/>
    <w:rsid w:val="00FD4B85"/>
    <w:rsid w:val="00FD56D1"/>
    <w:rsid w:val="00FD5FBA"/>
    <w:rsid w:val="00FD7281"/>
    <w:rsid w:val="00FD7777"/>
    <w:rsid w:val="00FD785F"/>
    <w:rsid w:val="00FE284A"/>
    <w:rsid w:val="00FE303C"/>
    <w:rsid w:val="00FE356B"/>
    <w:rsid w:val="00FE3FE4"/>
    <w:rsid w:val="00FE462D"/>
    <w:rsid w:val="00FE4AED"/>
    <w:rsid w:val="00FE5904"/>
    <w:rsid w:val="00FE621D"/>
    <w:rsid w:val="00FE67CC"/>
    <w:rsid w:val="00FE7AA4"/>
    <w:rsid w:val="00FF0290"/>
    <w:rsid w:val="00FF0E86"/>
    <w:rsid w:val="00FF173F"/>
    <w:rsid w:val="00FF1965"/>
    <w:rsid w:val="00FF3233"/>
    <w:rsid w:val="00FF338D"/>
    <w:rsid w:val="00FF4653"/>
    <w:rsid w:val="00FF50BC"/>
    <w:rsid w:val="00FF54A4"/>
    <w:rsid w:val="00FF553E"/>
    <w:rsid w:val="00FF5553"/>
    <w:rsid w:val="00FF5A19"/>
    <w:rsid w:val="00FF5D7A"/>
    <w:rsid w:val="00FF5DE8"/>
    <w:rsid w:val="00FF6931"/>
    <w:rsid w:val="00FF6D2A"/>
    <w:rsid w:val="00FF6FD1"/>
    <w:rsid w:val="00FF7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3E"/>
    <w:rPr>
      <w:sz w:val="24"/>
      <w:szCs w:val="24"/>
      <w:lang w:val="en-GB" w:eastAsia="en-GB"/>
    </w:rPr>
  </w:style>
  <w:style w:type="paragraph" w:styleId="Heading1">
    <w:name w:val="heading 1"/>
    <w:aliases w:val="JPW-num-section,level 1,level1,Nadpis 1,Heading 1 Char,Char Char,Char, Char Char, Char"/>
    <w:basedOn w:val="Normal"/>
    <w:next w:val="Normal"/>
    <w:link w:val="Heading1Char1"/>
    <w:uiPriority w:val="99"/>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rsid w:val="0065223E"/>
    <w:rPr>
      <w:sz w:val="20"/>
      <w:szCs w:val="20"/>
    </w:rPr>
  </w:style>
  <w:style w:type="character" w:customStyle="1" w:styleId="FootnoteTextChar">
    <w:name w:val="Footnote Text Char"/>
    <w:basedOn w:val="DefaultParagraphFont"/>
    <w:link w:val="FootnoteText"/>
    <w:locked/>
    <w:rsid w:val="003E437E"/>
    <w:rPr>
      <w:rFonts w:cs="Times New Roman"/>
      <w:lang w:val="en-GB" w:eastAsia="en-GB"/>
    </w:rPr>
  </w:style>
  <w:style w:type="character" w:styleId="FootnoteReference">
    <w:name w:val="footnote reference"/>
    <w:basedOn w:val="DefaultParagraphFont"/>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rsid w:val="00C54437"/>
    <w:rPr>
      <w:rFonts w:cs="Times New Roman"/>
      <w:color w:val="0000FF"/>
      <w:u w:val="single"/>
    </w:rPr>
  </w:style>
  <w:style w:type="paragraph" w:styleId="ListNumber">
    <w:name w:val="List Number"/>
    <w:basedOn w:val="Normal"/>
    <w:uiPriority w:val="99"/>
    <w:rsid w:val="001173C3"/>
    <w:pPr>
      <w:numPr>
        <w:numId w:val="1"/>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lang w:val="en-GB" w:eastAsia="en-GB"/>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numbering" w:customStyle="1" w:styleId="Style2">
    <w:name w:val="Style2"/>
    <w:rsid w:val="00A82A3A"/>
    <w:pPr>
      <w:numPr>
        <w:numId w:val="3"/>
      </w:numPr>
    </w:pPr>
  </w:style>
  <w:style w:type="table" w:styleId="TableGrid">
    <w:name w:val="Table Grid"/>
    <w:basedOn w:val="TableNormal"/>
    <w:uiPriority w:val="59"/>
    <w:locked/>
    <w:rsid w:val="00C53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unhideWhenUsed/>
    <w:rsid w:val="00FF5553"/>
    <w:rPr>
      <w:rFonts w:ascii="Courier New" w:eastAsiaTheme="minorHAnsi" w:hAnsi="Courier New" w:cs="Courier New" w:hint="default"/>
      <w:sz w:val="20"/>
      <w:szCs w:val="20"/>
    </w:rPr>
  </w:style>
  <w:style w:type="table" w:customStyle="1" w:styleId="LightShading1">
    <w:name w:val="Light Shading1"/>
    <w:basedOn w:val="TableNormal"/>
    <w:uiPriority w:val="60"/>
    <w:rsid w:val="006C732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gsbodyparawithnumb0">
    <w:name w:val="gsbodyparawithnumb"/>
    <w:basedOn w:val="Normal"/>
    <w:rsid w:val="006B429E"/>
    <w:pPr>
      <w:spacing w:before="60" w:after="120"/>
      <w:ind w:left="567" w:hanging="567"/>
    </w:pPr>
    <w:rPr>
      <w:rFonts w:ascii="Calibri" w:eastAsiaTheme="minorHAnsi" w:hAnsi="Calibri"/>
    </w:rPr>
  </w:style>
  <w:style w:type="paragraph" w:customStyle="1" w:styleId="GSBodyParawithnumb">
    <w:name w:val="GS Body Para with numb"/>
    <w:basedOn w:val="Normal"/>
    <w:link w:val="GSBodyParawithnumbChar"/>
    <w:qFormat/>
    <w:rsid w:val="0001044D"/>
    <w:pPr>
      <w:numPr>
        <w:ilvl w:val="1"/>
        <w:numId w:val="32"/>
      </w:numPr>
      <w:spacing w:before="60" w:after="120"/>
      <w:outlineLvl w:val="1"/>
    </w:pPr>
    <w:rPr>
      <w:rFonts w:ascii="Calibri" w:eastAsiaTheme="minorHAnsi" w:hAnsi="Calibri" w:cstheme="minorBidi"/>
      <w:szCs w:val="22"/>
      <w:lang w:eastAsia="en-US"/>
    </w:rPr>
  </w:style>
  <w:style w:type="character" w:customStyle="1" w:styleId="GSBodyParawithnumbChar">
    <w:name w:val="GS Body Para with numb Char"/>
    <w:basedOn w:val="DefaultParagraphFont"/>
    <w:link w:val="GSBodyParawithnumb"/>
    <w:rsid w:val="0001044D"/>
    <w:rPr>
      <w:rFonts w:ascii="Calibri" w:eastAsiaTheme="minorHAnsi" w:hAnsi="Calibri" w:cstheme="minorBidi"/>
      <w:sz w:val="24"/>
      <w:lang w:val="en-GB"/>
    </w:rPr>
  </w:style>
  <w:style w:type="paragraph" w:customStyle="1" w:styleId="GSHeading1withnumb">
    <w:name w:val="GS Heading 1 with numb"/>
    <w:basedOn w:val="Normal"/>
    <w:qFormat/>
    <w:rsid w:val="0001044D"/>
    <w:pPr>
      <w:numPr>
        <w:numId w:val="32"/>
      </w:numPr>
      <w:spacing w:before="240" w:after="240"/>
      <w:outlineLvl w:val="0"/>
    </w:pPr>
    <w:rPr>
      <w:rFonts w:ascii="Calibri" w:eastAsiaTheme="minorHAnsi" w:hAnsi="Calibri" w:cstheme="minorBidi"/>
      <w:b/>
      <w:caps/>
      <w:szCs w:val="22"/>
      <w:lang w:eastAsia="en-US"/>
    </w:rPr>
  </w:style>
  <w:style w:type="paragraph" w:customStyle="1" w:styleId="GSHeading2">
    <w:name w:val="GS Heading 2"/>
    <w:basedOn w:val="Normal"/>
    <w:next w:val="Normal"/>
    <w:link w:val="GSHeading2Char"/>
    <w:qFormat/>
    <w:rsid w:val="005D3851"/>
    <w:pPr>
      <w:spacing w:before="240" w:after="240"/>
      <w:ind w:left="567"/>
      <w:outlineLvl w:val="4"/>
    </w:pPr>
    <w:rPr>
      <w:rFonts w:ascii="Calibri" w:eastAsiaTheme="minorHAnsi" w:hAnsi="Calibri" w:cstheme="minorBidi"/>
      <w:szCs w:val="22"/>
      <w:u w:val="single"/>
      <w:lang w:eastAsia="en-US"/>
    </w:rPr>
  </w:style>
  <w:style w:type="character" w:customStyle="1" w:styleId="GSHeading2Char">
    <w:name w:val="GS Heading 2 Char"/>
    <w:basedOn w:val="DefaultParagraphFont"/>
    <w:link w:val="GSHeading2"/>
    <w:rsid w:val="005D3851"/>
    <w:rPr>
      <w:rFonts w:ascii="Calibri" w:eastAsiaTheme="minorHAnsi" w:hAnsi="Calibri" w:cstheme="minorBidi"/>
      <w:sz w:val="24"/>
      <w:u w:val="single"/>
      <w:lang w:val="en-GB"/>
    </w:rPr>
  </w:style>
  <w:style w:type="paragraph" w:customStyle="1" w:styleId="GSAction">
    <w:name w:val="GS Action"/>
    <w:basedOn w:val="Normal"/>
    <w:link w:val="GSActionChar"/>
    <w:qFormat/>
    <w:rsid w:val="005D3851"/>
    <w:pPr>
      <w:spacing w:before="60" w:after="120"/>
      <w:jc w:val="right"/>
    </w:pPr>
    <w:rPr>
      <w:rFonts w:ascii="Calibri" w:eastAsiaTheme="minorHAnsi" w:hAnsi="Calibri" w:cstheme="minorBidi"/>
      <w:b/>
      <w:caps/>
      <w:szCs w:val="22"/>
      <w:lang w:eastAsia="en-US"/>
    </w:rPr>
  </w:style>
  <w:style w:type="character" w:customStyle="1" w:styleId="GSActionChar">
    <w:name w:val="GS Action Char"/>
    <w:basedOn w:val="DefaultParagraphFont"/>
    <w:link w:val="GSAction"/>
    <w:rsid w:val="005D3851"/>
    <w:rPr>
      <w:rFonts w:ascii="Calibri" w:eastAsiaTheme="minorHAnsi" w:hAnsi="Calibri" w:cstheme="minorBidi"/>
      <w:b/>
      <w:caps/>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3E"/>
    <w:rPr>
      <w:sz w:val="24"/>
      <w:szCs w:val="24"/>
      <w:lang w:val="en-GB" w:eastAsia="en-GB"/>
    </w:rPr>
  </w:style>
  <w:style w:type="paragraph" w:styleId="Heading1">
    <w:name w:val="heading 1"/>
    <w:aliases w:val="JPW-num-section,level 1,level1,Nadpis 1,Heading 1 Char,Char Char,Char, Char Char, Char"/>
    <w:basedOn w:val="Normal"/>
    <w:next w:val="Normal"/>
    <w:link w:val="Heading1Char1"/>
    <w:uiPriority w:val="99"/>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rsid w:val="0065223E"/>
    <w:rPr>
      <w:sz w:val="20"/>
      <w:szCs w:val="20"/>
    </w:rPr>
  </w:style>
  <w:style w:type="character" w:customStyle="1" w:styleId="FootnoteTextChar">
    <w:name w:val="Footnote Text Char"/>
    <w:basedOn w:val="DefaultParagraphFont"/>
    <w:link w:val="FootnoteText"/>
    <w:locked/>
    <w:rsid w:val="003E437E"/>
    <w:rPr>
      <w:rFonts w:cs="Times New Roman"/>
      <w:lang w:val="en-GB" w:eastAsia="en-GB"/>
    </w:rPr>
  </w:style>
  <w:style w:type="character" w:styleId="FootnoteReference">
    <w:name w:val="footnote reference"/>
    <w:basedOn w:val="DefaultParagraphFont"/>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rsid w:val="00C54437"/>
    <w:rPr>
      <w:rFonts w:cs="Times New Roman"/>
      <w:color w:val="0000FF"/>
      <w:u w:val="single"/>
    </w:rPr>
  </w:style>
  <w:style w:type="paragraph" w:styleId="ListNumber">
    <w:name w:val="List Number"/>
    <w:basedOn w:val="Normal"/>
    <w:uiPriority w:val="99"/>
    <w:rsid w:val="001173C3"/>
    <w:pPr>
      <w:numPr>
        <w:numId w:val="1"/>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lang w:val="en-GB" w:eastAsia="en-GB"/>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numbering" w:customStyle="1" w:styleId="Style2">
    <w:name w:val="Style2"/>
    <w:rsid w:val="00A82A3A"/>
    <w:pPr>
      <w:numPr>
        <w:numId w:val="3"/>
      </w:numPr>
    </w:pPr>
  </w:style>
  <w:style w:type="table" w:styleId="TableGrid">
    <w:name w:val="Table Grid"/>
    <w:basedOn w:val="TableNormal"/>
    <w:uiPriority w:val="59"/>
    <w:locked/>
    <w:rsid w:val="00C53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unhideWhenUsed/>
    <w:rsid w:val="00FF5553"/>
    <w:rPr>
      <w:rFonts w:ascii="Courier New" w:eastAsiaTheme="minorHAnsi" w:hAnsi="Courier New" w:cs="Courier New" w:hint="default"/>
      <w:sz w:val="20"/>
      <w:szCs w:val="20"/>
    </w:rPr>
  </w:style>
  <w:style w:type="table" w:customStyle="1" w:styleId="LightShading1">
    <w:name w:val="Light Shading1"/>
    <w:basedOn w:val="TableNormal"/>
    <w:uiPriority w:val="60"/>
    <w:rsid w:val="006C732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gsbodyparawithnumb0">
    <w:name w:val="gsbodyparawithnumb"/>
    <w:basedOn w:val="Normal"/>
    <w:rsid w:val="006B429E"/>
    <w:pPr>
      <w:spacing w:before="60" w:after="120"/>
      <w:ind w:left="567" w:hanging="567"/>
    </w:pPr>
    <w:rPr>
      <w:rFonts w:ascii="Calibri" w:eastAsiaTheme="minorHAnsi" w:hAnsi="Calibri"/>
    </w:rPr>
  </w:style>
  <w:style w:type="paragraph" w:customStyle="1" w:styleId="GSBodyParawithnumb">
    <w:name w:val="GS Body Para with numb"/>
    <w:basedOn w:val="Normal"/>
    <w:link w:val="GSBodyParawithnumbChar"/>
    <w:qFormat/>
    <w:rsid w:val="0001044D"/>
    <w:pPr>
      <w:numPr>
        <w:ilvl w:val="1"/>
        <w:numId w:val="32"/>
      </w:numPr>
      <w:spacing w:before="60" w:after="120"/>
      <w:outlineLvl w:val="1"/>
    </w:pPr>
    <w:rPr>
      <w:rFonts w:ascii="Calibri" w:eastAsiaTheme="minorHAnsi" w:hAnsi="Calibri" w:cstheme="minorBidi"/>
      <w:szCs w:val="22"/>
      <w:lang w:eastAsia="en-US"/>
    </w:rPr>
  </w:style>
  <w:style w:type="character" w:customStyle="1" w:styleId="GSBodyParawithnumbChar">
    <w:name w:val="GS Body Para with numb Char"/>
    <w:basedOn w:val="DefaultParagraphFont"/>
    <w:link w:val="GSBodyParawithnumb"/>
    <w:rsid w:val="0001044D"/>
    <w:rPr>
      <w:rFonts w:ascii="Calibri" w:eastAsiaTheme="minorHAnsi" w:hAnsi="Calibri" w:cstheme="minorBidi"/>
      <w:sz w:val="24"/>
      <w:lang w:val="en-GB"/>
    </w:rPr>
  </w:style>
  <w:style w:type="paragraph" w:customStyle="1" w:styleId="GSHeading1withnumb">
    <w:name w:val="GS Heading 1 with numb"/>
    <w:basedOn w:val="Normal"/>
    <w:qFormat/>
    <w:rsid w:val="0001044D"/>
    <w:pPr>
      <w:numPr>
        <w:numId w:val="32"/>
      </w:numPr>
      <w:spacing w:before="240" w:after="240"/>
      <w:outlineLvl w:val="0"/>
    </w:pPr>
    <w:rPr>
      <w:rFonts w:ascii="Calibri" w:eastAsiaTheme="minorHAnsi" w:hAnsi="Calibri" w:cstheme="minorBidi"/>
      <w:b/>
      <w:caps/>
      <w:szCs w:val="22"/>
      <w:lang w:eastAsia="en-US"/>
    </w:rPr>
  </w:style>
  <w:style w:type="paragraph" w:customStyle="1" w:styleId="GSHeading2">
    <w:name w:val="GS Heading 2"/>
    <w:basedOn w:val="Normal"/>
    <w:next w:val="Normal"/>
    <w:link w:val="GSHeading2Char"/>
    <w:qFormat/>
    <w:rsid w:val="005D3851"/>
    <w:pPr>
      <w:spacing w:before="240" w:after="240"/>
      <w:ind w:left="567"/>
      <w:outlineLvl w:val="4"/>
    </w:pPr>
    <w:rPr>
      <w:rFonts w:ascii="Calibri" w:eastAsiaTheme="minorHAnsi" w:hAnsi="Calibri" w:cstheme="minorBidi"/>
      <w:szCs w:val="22"/>
      <w:u w:val="single"/>
      <w:lang w:eastAsia="en-US"/>
    </w:rPr>
  </w:style>
  <w:style w:type="character" w:customStyle="1" w:styleId="GSHeading2Char">
    <w:name w:val="GS Heading 2 Char"/>
    <w:basedOn w:val="DefaultParagraphFont"/>
    <w:link w:val="GSHeading2"/>
    <w:rsid w:val="005D3851"/>
    <w:rPr>
      <w:rFonts w:ascii="Calibri" w:eastAsiaTheme="minorHAnsi" w:hAnsi="Calibri" w:cstheme="minorBidi"/>
      <w:sz w:val="24"/>
      <w:u w:val="single"/>
      <w:lang w:val="en-GB"/>
    </w:rPr>
  </w:style>
  <w:style w:type="paragraph" w:customStyle="1" w:styleId="GSAction">
    <w:name w:val="GS Action"/>
    <w:basedOn w:val="Normal"/>
    <w:link w:val="GSActionChar"/>
    <w:qFormat/>
    <w:rsid w:val="005D3851"/>
    <w:pPr>
      <w:spacing w:before="60" w:after="120"/>
      <w:jc w:val="right"/>
    </w:pPr>
    <w:rPr>
      <w:rFonts w:ascii="Calibri" w:eastAsiaTheme="minorHAnsi" w:hAnsi="Calibri" w:cstheme="minorBidi"/>
      <w:b/>
      <w:caps/>
      <w:szCs w:val="22"/>
      <w:lang w:eastAsia="en-US"/>
    </w:rPr>
  </w:style>
  <w:style w:type="character" w:customStyle="1" w:styleId="GSActionChar">
    <w:name w:val="GS Action Char"/>
    <w:basedOn w:val="DefaultParagraphFont"/>
    <w:link w:val="GSAction"/>
    <w:rsid w:val="005D3851"/>
    <w:rPr>
      <w:rFonts w:ascii="Calibri" w:eastAsiaTheme="minorHAnsi" w:hAnsi="Calibri" w:cstheme="minorBidi"/>
      <w:b/>
      <w:caps/>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23547">
      <w:bodyDiv w:val="1"/>
      <w:marLeft w:val="0"/>
      <w:marRight w:val="0"/>
      <w:marTop w:val="0"/>
      <w:marBottom w:val="0"/>
      <w:divBdr>
        <w:top w:val="none" w:sz="0" w:space="0" w:color="auto"/>
        <w:left w:val="none" w:sz="0" w:space="0" w:color="auto"/>
        <w:bottom w:val="none" w:sz="0" w:space="0" w:color="auto"/>
        <w:right w:val="none" w:sz="0" w:space="0" w:color="auto"/>
      </w:divBdr>
    </w:div>
    <w:div w:id="189031154">
      <w:marLeft w:val="0"/>
      <w:marRight w:val="0"/>
      <w:marTop w:val="0"/>
      <w:marBottom w:val="0"/>
      <w:divBdr>
        <w:top w:val="none" w:sz="0" w:space="0" w:color="auto"/>
        <w:left w:val="none" w:sz="0" w:space="0" w:color="auto"/>
        <w:bottom w:val="none" w:sz="0" w:space="0" w:color="auto"/>
        <w:right w:val="none" w:sz="0" w:space="0" w:color="auto"/>
      </w:divBdr>
    </w:div>
    <w:div w:id="189031155">
      <w:marLeft w:val="0"/>
      <w:marRight w:val="0"/>
      <w:marTop w:val="0"/>
      <w:marBottom w:val="0"/>
      <w:divBdr>
        <w:top w:val="none" w:sz="0" w:space="0" w:color="auto"/>
        <w:left w:val="none" w:sz="0" w:space="0" w:color="auto"/>
        <w:bottom w:val="none" w:sz="0" w:space="0" w:color="auto"/>
        <w:right w:val="none" w:sz="0" w:space="0" w:color="auto"/>
      </w:divBdr>
    </w:div>
    <w:div w:id="189031156">
      <w:marLeft w:val="0"/>
      <w:marRight w:val="0"/>
      <w:marTop w:val="0"/>
      <w:marBottom w:val="0"/>
      <w:divBdr>
        <w:top w:val="none" w:sz="0" w:space="0" w:color="auto"/>
        <w:left w:val="none" w:sz="0" w:space="0" w:color="auto"/>
        <w:bottom w:val="none" w:sz="0" w:space="0" w:color="auto"/>
        <w:right w:val="none" w:sz="0" w:space="0" w:color="auto"/>
      </w:divBdr>
    </w:div>
    <w:div w:id="189031157">
      <w:marLeft w:val="0"/>
      <w:marRight w:val="0"/>
      <w:marTop w:val="0"/>
      <w:marBottom w:val="0"/>
      <w:divBdr>
        <w:top w:val="none" w:sz="0" w:space="0" w:color="auto"/>
        <w:left w:val="none" w:sz="0" w:space="0" w:color="auto"/>
        <w:bottom w:val="none" w:sz="0" w:space="0" w:color="auto"/>
        <w:right w:val="none" w:sz="0" w:space="0" w:color="auto"/>
      </w:divBdr>
    </w:div>
    <w:div w:id="189031158">
      <w:marLeft w:val="0"/>
      <w:marRight w:val="0"/>
      <w:marTop w:val="0"/>
      <w:marBottom w:val="0"/>
      <w:divBdr>
        <w:top w:val="none" w:sz="0" w:space="0" w:color="auto"/>
        <w:left w:val="none" w:sz="0" w:space="0" w:color="auto"/>
        <w:bottom w:val="none" w:sz="0" w:space="0" w:color="auto"/>
        <w:right w:val="none" w:sz="0" w:space="0" w:color="auto"/>
      </w:divBdr>
    </w:div>
    <w:div w:id="189031159">
      <w:marLeft w:val="0"/>
      <w:marRight w:val="0"/>
      <w:marTop w:val="0"/>
      <w:marBottom w:val="0"/>
      <w:divBdr>
        <w:top w:val="none" w:sz="0" w:space="0" w:color="auto"/>
        <w:left w:val="none" w:sz="0" w:space="0" w:color="auto"/>
        <w:bottom w:val="none" w:sz="0" w:space="0" w:color="auto"/>
        <w:right w:val="none" w:sz="0" w:space="0" w:color="auto"/>
      </w:divBdr>
    </w:div>
    <w:div w:id="189031160">
      <w:marLeft w:val="0"/>
      <w:marRight w:val="0"/>
      <w:marTop w:val="0"/>
      <w:marBottom w:val="0"/>
      <w:divBdr>
        <w:top w:val="none" w:sz="0" w:space="0" w:color="auto"/>
        <w:left w:val="none" w:sz="0" w:space="0" w:color="auto"/>
        <w:bottom w:val="none" w:sz="0" w:space="0" w:color="auto"/>
        <w:right w:val="none" w:sz="0" w:space="0" w:color="auto"/>
      </w:divBdr>
    </w:div>
    <w:div w:id="189031161">
      <w:marLeft w:val="0"/>
      <w:marRight w:val="0"/>
      <w:marTop w:val="0"/>
      <w:marBottom w:val="0"/>
      <w:divBdr>
        <w:top w:val="none" w:sz="0" w:space="0" w:color="auto"/>
        <w:left w:val="none" w:sz="0" w:space="0" w:color="auto"/>
        <w:bottom w:val="none" w:sz="0" w:space="0" w:color="auto"/>
        <w:right w:val="none" w:sz="0" w:space="0" w:color="auto"/>
      </w:divBdr>
    </w:div>
    <w:div w:id="189031162">
      <w:marLeft w:val="0"/>
      <w:marRight w:val="0"/>
      <w:marTop w:val="0"/>
      <w:marBottom w:val="0"/>
      <w:divBdr>
        <w:top w:val="none" w:sz="0" w:space="0" w:color="auto"/>
        <w:left w:val="none" w:sz="0" w:space="0" w:color="auto"/>
        <w:bottom w:val="none" w:sz="0" w:space="0" w:color="auto"/>
        <w:right w:val="none" w:sz="0" w:space="0" w:color="auto"/>
      </w:divBdr>
    </w:div>
    <w:div w:id="189031163">
      <w:marLeft w:val="0"/>
      <w:marRight w:val="0"/>
      <w:marTop w:val="0"/>
      <w:marBottom w:val="0"/>
      <w:divBdr>
        <w:top w:val="none" w:sz="0" w:space="0" w:color="auto"/>
        <w:left w:val="none" w:sz="0" w:space="0" w:color="auto"/>
        <w:bottom w:val="none" w:sz="0" w:space="0" w:color="auto"/>
        <w:right w:val="none" w:sz="0" w:space="0" w:color="auto"/>
      </w:divBdr>
    </w:div>
    <w:div w:id="189031164">
      <w:marLeft w:val="0"/>
      <w:marRight w:val="0"/>
      <w:marTop w:val="0"/>
      <w:marBottom w:val="0"/>
      <w:divBdr>
        <w:top w:val="none" w:sz="0" w:space="0" w:color="auto"/>
        <w:left w:val="none" w:sz="0" w:space="0" w:color="auto"/>
        <w:bottom w:val="none" w:sz="0" w:space="0" w:color="auto"/>
        <w:right w:val="none" w:sz="0" w:space="0" w:color="auto"/>
      </w:divBdr>
    </w:div>
    <w:div w:id="189031165">
      <w:marLeft w:val="0"/>
      <w:marRight w:val="0"/>
      <w:marTop w:val="0"/>
      <w:marBottom w:val="0"/>
      <w:divBdr>
        <w:top w:val="none" w:sz="0" w:space="0" w:color="auto"/>
        <w:left w:val="none" w:sz="0" w:space="0" w:color="auto"/>
        <w:bottom w:val="none" w:sz="0" w:space="0" w:color="auto"/>
        <w:right w:val="none" w:sz="0" w:space="0" w:color="auto"/>
      </w:divBdr>
    </w:div>
    <w:div w:id="189031166">
      <w:marLeft w:val="0"/>
      <w:marRight w:val="0"/>
      <w:marTop w:val="0"/>
      <w:marBottom w:val="0"/>
      <w:divBdr>
        <w:top w:val="none" w:sz="0" w:space="0" w:color="auto"/>
        <w:left w:val="none" w:sz="0" w:space="0" w:color="auto"/>
        <w:bottom w:val="none" w:sz="0" w:space="0" w:color="auto"/>
        <w:right w:val="none" w:sz="0" w:space="0" w:color="auto"/>
      </w:divBdr>
    </w:div>
    <w:div w:id="210119027">
      <w:bodyDiv w:val="1"/>
      <w:marLeft w:val="0"/>
      <w:marRight w:val="0"/>
      <w:marTop w:val="0"/>
      <w:marBottom w:val="0"/>
      <w:divBdr>
        <w:top w:val="none" w:sz="0" w:space="0" w:color="auto"/>
        <w:left w:val="none" w:sz="0" w:space="0" w:color="auto"/>
        <w:bottom w:val="none" w:sz="0" w:space="0" w:color="auto"/>
        <w:right w:val="none" w:sz="0" w:space="0" w:color="auto"/>
      </w:divBdr>
    </w:div>
    <w:div w:id="236130066">
      <w:bodyDiv w:val="1"/>
      <w:marLeft w:val="0"/>
      <w:marRight w:val="0"/>
      <w:marTop w:val="0"/>
      <w:marBottom w:val="0"/>
      <w:divBdr>
        <w:top w:val="none" w:sz="0" w:space="0" w:color="auto"/>
        <w:left w:val="none" w:sz="0" w:space="0" w:color="auto"/>
        <w:bottom w:val="none" w:sz="0" w:space="0" w:color="auto"/>
        <w:right w:val="none" w:sz="0" w:space="0" w:color="auto"/>
      </w:divBdr>
    </w:div>
    <w:div w:id="693578222">
      <w:bodyDiv w:val="1"/>
      <w:marLeft w:val="0"/>
      <w:marRight w:val="0"/>
      <w:marTop w:val="0"/>
      <w:marBottom w:val="0"/>
      <w:divBdr>
        <w:top w:val="none" w:sz="0" w:space="0" w:color="auto"/>
        <w:left w:val="none" w:sz="0" w:space="0" w:color="auto"/>
        <w:bottom w:val="none" w:sz="0" w:space="0" w:color="auto"/>
        <w:right w:val="none" w:sz="0" w:space="0" w:color="auto"/>
      </w:divBdr>
    </w:div>
    <w:div w:id="1073939176">
      <w:bodyDiv w:val="1"/>
      <w:marLeft w:val="0"/>
      <w:marRight w:val="0"/>
      <w:marTop w:val="0"/>
      <w:marBottom w:val="0"/>
      <w:divBdr>
        <w:top w:val="none" w:sz="0" w:space="0" w:color="auto"/>
        <w:left w:val="none" w:sz="0" w:space="0" w:color="auto"/>
        <w:bottom w:val="none" w:sz="0" w:space="0" w:color="auto"/>
        <w:right w:val="none" w:sz="0" w:space="0" w:color="auto"/>
      </w:divBdr>
    </w:div>
    <w:div w:id="1437098241">
      <w:bodyDiv w:val="1"/>
      <w:marLeft w:val="0"/>
      <w:marRight w:val="0"/>
      <w:marTop w:val="0"/>
      <w:marBottom w:val="0"/>
      <w:divBdr>
        <w:top w:val="none" w:sz="0" w:space="0" w:color="auto"/>
        <w:left w:val="none" w:sz="0" w:space="0" w:color="auto"/>
        <w:bottom w:val="none" w:sz="0" w:space="0" w:color="auto"/>
        <w:right w:val="none" w:sz="0" w:space="0" w:color="auto"/>
      </w:divBdr>
    </w:div>
    <w:div w:id="1455367098">
      <w:bodyDiv w:val="1"/>
      <w:marLeft w:val="0"/>
      <w:marRight w:val="0"/>
      <w:marTop w:val="0"/>
      <w:marBottom w:val="0"/>
      <w:divBdr>
        <w:top w:val="none" w:sz="0" w:space="0" w:color="auto"/>
        <w:left w:val="none" w:sz="0" w:space="0" w:color="auto"/>
        <w:bottom w:val="none" w:sz="0" w:space="0" w:color="auto"/>
        <w:right w:val="none" w:sz="0" w:space="0" w:color="auto"/>
      </w:divBdr>
    </w:div>
    <w:div w:id="1521311484">
      <w:bodyDiv w:val="1"/>
      <w:marLeft w:val="0"/>
      <w:marRight w:val="0"/>
      <w:marTop w:val="0"/>
      <w:marBottom w:val="0"/>
      <w:divBdr>
        <w:top w:val="none" w:sz="0" w:space="0" w:color="auto"/>
        <w:left w:val="none" w:sz="0" w:space="0" w:color="auto"/>
        <w:bottom w:val="none" w:sz="0" w:space="0" w:color="auto"/>
        <w:right w:val="none" w:sz="0" w:space="0" w:color="auto"/>
      </w:divBdr>
    </w:div>
    <w:div w:id="1522551126">
      <w:bodyDiv w:val="1"/>
      <w:marLeft w:val="0"/>
      <w:marRight w:val="0"/>
      <w:marTop w:val="0"/>
      <w:marBottom w:val="0"/>
      <w:divBdr>
        <w:top w:val="none" w:sz="0" w:space="0" w:color="auto"/>
        <w:left w:val="none" w:sz="0" w:space="0" w:color="auto"/>
        <w:bottom w:val="none" w:sz="0" w:space="0" w:color="auto"/>
        <w:right w:val="none" w:sz="0" w:space="0" w:color="auto"/>
      </w:divBdr>
    </w:div>
    <w:div w:id="1687517825">
      <w:bodyDiv w:val="1"/>
      <w:marLeft w:val="0"/>
      <w:marRight w:val="0"/>
      <w:marTop w:val="0"/>
      <w:marBottom w:val="0"/>
      <w:divBdr>
        <w:top w:val="none" w:sz="0" w:space="0" w:color="auto"/>
        <w:left w:val="none" w:sz="0" w:space="0" w:color="auto"/>
        <w:bottom w:val="none" w:sz="0" w:space="0" w:color="auto"/>
        <w:right w:val="none" w:sz="0" w:space="0" w:color="auto"/>
      </w:divBdr>
    </w:div>
    <w:div w:id="205515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C:\Users\hynesc\AppData\Local\Microsoft\Windows\Temporary%20Internet%20Files\DCP_158\Change%20Report\www.dcusa.co.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B4FF4-D086-445F-8B49-4717A315F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16292E09</Template>
  <TotalTime>0</TotalTime>
  <Pages>22</Pages>
  <Words>6120</Words>
  <Characters>34889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DCUSA CHANGE REPORT</vt:lpstr>
    </vt:vector>
  </TitlesOfParts>
  <Company>Microsoft</Company>
  <LinksUpToDate>false</LinksUpToDate>
  <CharactersWithSpaces>40928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CHANGE REPORT</dc:title>
  <dc:creator>lawlore</dc:creator>
  <cp:lastModifiedBy>hynesc</cp:lastModifiedBy>
  <cp:revision>2</cp:revision>
  <cp:lastPrinted>2014-09-15T12:41:00Z</cp:lastPrinted>
  <dcterms:created xsi:type="dcterms:W3CDTF">2014-09-17T14:13:00Z</dcterms:created>
  <dcterms:modified xsi:type="dcterms:W3CDTF">2014-09-17T14:13:00Z</dcterms:modified>
</cp:coreProperties>
</file>