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FB3F3A" w:rsidRDefault="00BA4419" w:rsidP="007B260F">
      <w:pPr>
        <w:pStyle w:val="Title"/>
        <w:keepNext/>
        <w:rPr>
          <w:rFonts w:ascii="Calibri" w:hAnsi="Calibri"/>
          <w:sz w:val="22"/>
          <w:szCs w:val="22"/>
        </w:rPr>
      </w:pPr>
      <w:r>
        <w:rPr>
          <w:rFonts w:ascii="Calibri" w:hAnsi="Calibri"/>
          <w:sz w:val="22"/>
          <w:szCs w:val="22"/>
        </w:rPr>
        <w:t xml:space="preserve">DCP 189 - </w:t>
      </w:r>
      <w:r w:rsidRPr="00BA4419">
        <w:rPr>
          <w:rFonts w:ascii="Calibri" w:hAnsi="Calibri"/>
          <w:sz w:val="22"/>
          <w:szCs w:val="22"/>
        </w:rPr>
        <w:t>Un-expired Capitalised O&amp;M</w:t>
      </w:r>
    </w:p>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 xml:space="preserve">To: </w:t>
      </w:r>
      <w:r w:rsidR="00BA4419">
        <w:rPr>
          <w:rFonts w:ascii="Calibri" w:hAnsi="Calibri"/>
          <w:sz w:val="22"/>
          <w:szCs w:val="22"/>
        </w:rPr>
        <w:t>Rosalind Timperley</w:t>
      </w:r>
    </w:p>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 xml:space="preserve">Email: </w:t>
      </w:r>
      <w:hyperlink r:id="rId9" w:history="1">
        <w:r w:rsidRPr="00FB3F3A">
          <w:rPr>
            <w:rStyle w:val="Hyperlink"/>
            <w:rFonts w:ascii="Calibri" w:hAnsi="Calibri"/>
            <w:sz w:val="22"/>
            <w:szCs w:val="22"/>
          </w:rPr>
          <w:t>DCUSA@electralink.co.uk</w:t>
        </w:r>
      </w:hyperlink>
    </w:p>
    <w:p w:rsidR="00BA4419" w:rsidRDefault="00A828F0" w:rsidP="007B260F">
      <w:pPr>
        <w:pStyle w:val="BodyTextNoSpacing"/>
        <w:keepNext/>
        <w:rPr>
          <w:rFonts w:ascii="Calibri" w:hAnsi="Calibri"/>
          <w:sz w:val="22"/>
          <w:szCs w:val="22"/>
        </w:rPr>
      </w:pPr>
      <w:r w:rsidRPr="00FB3F3A">
        <w:rPr>
          <w:rFonts w:ascii="Calibri" w:hAnsi="Calibri"/>
          <w:sz w:val="22"/>
          <w:szCs w:val="22"/>
        </w:rPr>
        <w:t xml:space="preserve">Fax: 020 7432 </w:t>
      </w:r>
      <w:r w:rsidR="00BA4419">
        <w:rPr>
          <w:rFonts w:ascii="Calibri" w:hAnsi="Calibri"/>
          <w:sz w:val="22"/>
          <w:szCs w:val="22"/>
        </w:rPr>
        <w:t>2842</w:t>
      </w:r>
    </w:p>
    <w:p w:rsidR="00BA4419" w:rsidRDefault="00BA4419" w:rsidP="007B260F">
      <w:pPr>
        <w:pStyle w:val="BodyTextNoSpacing"/>
        <w:keepNext/>
        <w:rPr>
          <w:rFonts w:ascii="Calibri" w:hAnsi="Calibri"/>
          <w:sz w:val="22"/>
          <w:szCs w:val="22"/>
        </w:rPr>
      </w:pPr>
      <w:r>
        <w:rPr>
          <w:rFonts w:ascii="Calibri" w:hAnsi="Calibri"/>
          <w:sz w:val="22"/>
          <w:szCs w:val="22"/>
        </w:rPr>
        <w:t xml:space="preserve">Responses Due: </w:t>
      </w:r>
      <w:r w:rsidRPr="00BA4419">
        <w:rPr>
          <w:rFonts w:ascii="Calibri" w:hAnsi="Calibri"/>
          <w:b/>
          <w:sz w:val="22"/>
          <w:szCs w:val="22"/>
        </w:rPr>
        <w:t>Wednesday, 27 August 2014</w:t>
      </w:r>
    </w:p>
    <w:p w:rsidR="00BA4419" w:rsidRPr="00FB3F3A" w:rsidRDefault="00BA4419" w:rsidP="007B260F">
      <w:pPr>
        <w:pStyle w:val="BodyTextNoSpacing"/>
        <w:keepNext/>
        <w:rPr>
          <w:rFonts w:ascii="Calibri" w:hAnsi="Calibri"/>
          <w:sz w:val="22"/>
          <w:szCs w:val="22"/>
        </w:rPr>
      </w:pP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7CD4EA032FDF4C97AEB1C7C3499A4136"/>
            </w:placeholder>
            <w:showingPlcHdr/>
            <w:text/>
          </w:sdtPr>
          <w:sdtEndPr/>
          <w:sdtContent>
            <w:tc>
              <w:tcPr>
                <w:tcW w:w="6761" w:type="dxa"/>
              </w:tcPr>
              <w:p w:rsidR="00A828F0" w:rsidRPr="00FB3F3A" w:rsidRDefault="00A828F0" w:rsidP="007B260F">
                <w:pPr>
                  <w:pStyle w:val="BodyTextNoSpacing"/>
                  <w:keepNext/>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7CD4EA032FDF4C97AEB1C7C3499A4136"/>
            </w:placeholder>
            <w:showingPlcHdr/>
            <w:text/>
          </w:sdtPr>
          <w:sdtEndPr/>
          <w:sdtContent>
            <w:tc>
              <w:tcPr>
                <w:tcW w:w="6761" w:type="dxa"/>
              </w:tcPr>
              <w:p w:rsidR="00A828F0" w:rsidRPr="00FB3F3A" w:rsidRDefault="00A828F0" w:rsidP="007B260F">
                <w:pPr>
                  <w:pStyle w:val="BodyTextNoSpacing"/>
                  <w:keepNext/>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08F582DABBD3476AB90C2B39FF5546D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7B260F">
                <w:pPr>
                  <w:pStyle w:val="BodyTextNoSpacing"/>
                  <w:keepNext/>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7CD4EA032FDF4C97AEB1C7C3499A4136"/>
            </w:placeholder>
            <w:showingPlcHdr/>
            <w:text/>
          </w:sdtPr>
          <w:sdtEndPr/>
          <w:sdtContent>
            <w:tc>
              <w:tcPr>
                <w:tcW w:w="6761" w:type="dxa"/>
              </w:tcPr>
              <w:p w:rsidR="00A828F0" w:rsidRPr="00FB3F3A" w:rsidRDefault="007361B2" w:rsidP="007B260F">
                <w:pPr>
                  <w:pStyle w:val="BodyTextNoSpacing"/>
                  <w:keepNext/>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7B260F">
            <w:pPr>
              <w:pStyle w:val="BodyTextNoSpacing"/>
              <w:keepNext/>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7CD4EA032FDF4C97AEB1C7C3499A4136"/>
            </w:placeholder>
            <w:showingPlcHdr/>
            <w:text/>
          </w:sdtPr>
          <w:sdtEndPr/>
          <w:sdtContent>
            <w:tc>
              <w:tcPr>
                <w:tcW w:w="6761" w:type="dxa"/>
              </w:tcPr>
              <w:p w:rsidR="00A828F0" w:rsidRPr="00FB3F3A" w:rsidRDefault="007361B2" w:rsidP="007B260F">
                <w:pPr>
                  <w:pStyle w:val="BodyTextNoSpacing"/>
                  <w:keepNext/>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7B260F">
            <w:pPr>
              <w:pStyle w:val="BodyTextNoSpacing"/>
              <w:keepNext/>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08F582DABBD3476AB90C2B39FF5546D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7B260F">
                <w:pPr>
                  <w:pStyle w:val="BodyTextNoSpacing"/>
                  <w:keepNext/>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7B260F">
      <w:pPr>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understand the intent of the CP?</w:t>
            </w:r>
          </w:p>
        </w:tc>
      </w:tr>
      <w:tr w:rsidR="00BA4419" w:rsidTr="00BA4419">
        <w:sdt>
          <w:sdtPr>
            <w:tag w:val="dcusa_response1"/>
            <w:id w:val="-933510372"/>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9B338D" w:rsidRDefault="009B338D"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Are you supportive of the principles established by this proposal?</w:t>
            </w:r>
          </w:p>
        </w:tc>
      </w:tr>
      <w:tr w:rsidR="00BA4419" w:rsidTr="00BA4419">
        <w:sdt>
          <w:sdtPr>
            <w:tag w:val="dcusa_response2"/>
            <w:id w:val="525610362"/>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agree that the default position under DCP 189 should be that all exempt pre-2005 EDCM generators should be exempt from the fixed charge component of the SUA charges in their import charges?</w:t>
            </w:r>
          </w:p>
        </w:tc>
      </w:tr>
      <w:tr w:rsidR="00BA4419" w:rsidTr="00BA4419">
        <w:sdt>
          <w:sdtPr>
            <w:tag w:val="dcusa_response3"/>
            <w:id w:val="1836260544"/>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agree that the treatment of O&amp;M for customers that have requested assets above the minimum scheme is out of scope for DCP 189?</w:t>
            </w:r>
          </w:p>
        </w:tc>
      </w:tr>
      <w:tr w:rsidR="00BA4419" w:rsidTr="00BA4419">
        <w:sdt>
          <w:sdtPr>
            <w:tag w:val="dcusa_response4"/>
            <w:id w:val="-1277793566"/>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agree with the Working Group’s recommendation to not amend tariffs retrospectively?</w:t>
            </w:r>
          </w:p>
        </w:tc>
      </w:tr>
      <w:tr w:rsidR="00BA4419" w:rsidTr="00BA4419">
        <w:sdt>
          <w:sdtPr>
            <w:tag w:val="dcusa_response5"/>
            <w:id w:val="-1965721151"/>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agree with the proposed approach to customers providing evidence where they believe that they have paid upfront O&amp;M?</w:t>
            </w:r>
          </w:p>
        </w:tc>
      </w:tr>
      <w:tr w:rsidR="00BA4419" w:rsidTr="00BA4419">
        <w:sdt>
          <w:sdtPr>
            <w:tag w:val="dcusa_response6"/>
            <w:id w:val="-2029408021"/>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584F56">
              <w:t>Are there any unintended consequences of this proposal?</w:t>
            </w:r>
          </w:p>
        </w:tc>
      </w:tr>
      <w:tr w:rsidR="00BA4419" w:rsidTr="00BA4419">
        <w:sdt>
          <w:sdtPr>
            <w:tag w:val="dcusa_response7"/>
            <w:id w:val="-1727987858"/>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spacing w:after="0" w:line="240" w:lineRule="auto"/>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584F56" w:rsidRPr="00584F56" w:rsidRDefault="00BA4419" w:rsidP="007B260F">
            <w:pPr>
              <w:pStyle w:val="Question"/>
            </w:pPr>
            <w:r w:rsidRPr="00BA4419">
              <w:t>Do you consider that the proposal better facilitates the DCUSA objectives?</w:t>
            </w:r>
          </w:p>
          <w:p w:rsidR="00584F56" w:rsidRPr="00576C56" w:rsidRDefault="00584F56" w:rsidP="007B260F">
            <w:pPr>
              <w:keepNext/>
              <w:rPr>
                <w:szCs w:val="20"/>
                <w:u w:val="single"/>
              </w:rPr>
            </w:pPr>
            <w:r>
              <w:rPr>
                <w:szCs w:val="20"/>
                <w:u w:val="single"/>
              </w:rPr>
              <w:t>Charging</w:t>
            </w:r>
            <w:r w:rsidRPr="00576C56">
              <w:rPr>
                <w:szCs w:val="20"/>
                <w:u w:val="single"/>
              </w:rPr>
              <w:t xml:space="preserve"> Objectives:</w:t>
            </w:r>
          </w:p>
          <w:p w:rsidR="00584F56" w:rsidRDefault="00584F56" w:rsidP="007B260F">
            <w:pPr>
              <w:pStyle w:val="BodyText"/>
              <w:keepNext/>
              <w:numPr>
                <w:ilvl w:val="0"/>
                <w:numId w:val="18"/>
              </w:numPr>
              <w:spacing w:after="120" w:line="240" w:lineRule="auto"/>
              <w:jc w:val="both"/>
              <w:rPr>
                <w:noProof/>
              </w:rPr>
            </w:pPr>
            <w:r>
              <w:rPr>
                <w:noProof/>
              </w:rPr>
              <w:t>T</w:t>
            </w:r>
            <w:r w:rsidRPr="002F610D">
              <w:rPr>
                <w:noProof/>
              </w:rPr>
              <w:t>hat compliance by each DNO Party with the Charging Methodologies facilitates the discharge by the DNO Party of the obligations imposed on it under the Act and by its Distribution Licence</w:t>
            </w:r>
          </w:p>
          <w:p w:rsidR="00584F56" w:rsidRDefault="00584F56" w:rsidP="007B260F">
            <w:pPr>
              <w:pStyle w:val="BodyText"/>
              <w:keepNext/>
              <w:numPr>
                <w:ilvl w:val="0"/>
                <w:numId w:val="18"/>
              </w:numPr>
              <w:spacing w:after="120" w:line="240" w:lineRule="auto"/>
              <w:jc w:val="both"/>
              <w:rPr>
                <w:noProof/>
              </w:rPr>
            </w:pPr>
            <w:r>
              <w:rPr>
                <w:noProof/>
              </w:rPr>
              <w:t>T</w:t>
            </w:r>
            <w:r w:rsidRPr="008F6701">
              <w:rPr>
                <w:noProof/>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noProof/>
              </w:rPr>
              <w:t>)</w:t>
            </w:r>
          </w:p>
          <w:p w:rsidR="00584F56" w:rsidRDefault="00584F56" w:rsidP="007B260F">
            <w:pPr>
              <w:pStyle w:val="BodyText"/>
              <w:keepNext/>
              <w:numPr>
                <w:ilvl w:val="0"/>
                <w:numId w:val="18"/>
              </w:numPr>
              <w:spacing w:after="120" w:line="240" w:lineRule="auto"/>
              <w:jc w:val="both"/>
              <w:rPr>
                <w:noProof/>
              </w:rPr>
            </w:pPr>
            <w:r>
              <w:rPr>
                <w:noProof/>
              </w:rPr>
              <w:t>T</w:t>
            </w:r>
            <w:r w:rsidRPr="008F6701">
              <w:rPr>
                <w:noProof/>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584F56" w:rsidRDefault="00584F56" w:rsidP="007B260F">
            <w:pPr>
              <w:pStyle w:val="BodyText"/>
              <w:keepNext/>
              <w:numPr>
                <w:ilvl w:val="0"/>
                <w:numId w:val="18"/>
              </w:numPr>
              <w:spacing w:after="120" w:line="240" w:lineRule="auto"/>
              <w:jc w:val="both"/>
              <w:rPr>
                <w:noProof/>
              </w:rPr>
            </w:pPr>
            <w:r>
              <w:rPr>
                <w:noProof/>
              </w:rPr>
              <w:t>T</w:t>
            </w:r>
            <w:r w:rsidRPr="008F6701">
              <w:rPr>
                <w:noProof/>
              </w:rPr>
              <w:t xml:space="preserve">hat, so far as is consistent with paragraphs 13A.6A to 13A.9, the CDCM, so far as is reasonably practicable, properly take account of developments in each DNO Party’s Distribution Business </w:t>
            </w:r>
          </w:p>
          <w:p w:rsidR="00584F56" w:rsidRPr="008F6701" w:rsidRDefault="00584F56" w:rsidP="007B260F">
            <w:pPr>
              <w:pStyle w:val="BodyText"/>
              <w:keepNext/>
              <w:numPr>
                <w:ilvl w:val="0"/>
                <w:numId w:val="18"/>
              </w:numPr>
              <w:spacing w:after="120" w:line="240" w:lineRule="auto"/>
              <w:jc w:val="both"/>
              <w:rPr>
                <w:noProof/>
              </w:rPr>
            </w:pPr>
            <w:r>
              <w:rPr>
                <w:noProof/>
              </w:rPr>
              <w:t>T</w:t>
            </w:r>
            <w:r w:rsidRPr="008F6701">
              <w:rPr>
                <w:noProof/>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584F56" w:rsidRPr="009B338D" w:rsidRDefault="00584F56" w:rsidP="007B260F">
            <w:pPr>
              <w:keepNext/>
              <w:rPr>
                <w:szCs w:val="20"/>
                <w:u w:val="single"/>
              </w:rPr>
            </w:pPr>
            <w:r w:rsidRPr="00576C56">
              <w:rPr>
                <w:szCs w:val="20"/>
                <w:u w:val="single"/>
              </w:rPr>
              <w:t>General Objectives:</w:t>
            </w:r>
          </w:p>
          <w:p w:rsidR="00584F56" w:rsidRDefault="00584F56" w:rsidP="007B260F">
            <w:pPr>
              <w:pStyle w:val="BodyText"/>
              <w:keepNext/>
              <w:numPr>
                <w:ilvl w:val="0"/>
                <w:numId w:val="19"/>
              </w:numPr>
              <w:spacing w:after="120" w:line="240" w:lineRule="auto"/>
              <w:jc w:val="both"/>
              <w:rPr>
                <w:noProof/>
              </w:rPr>
            </w:pPr>
            <w:r>
              <w:rPr>
                <w:noProof/>
              </w:rPr>
              <w:t>T</w:t>
            </w:r>
            <w:r w:rsidRPr="002F610D">
              <w:rPr>
                <w:noProof/>
              </w:rPr>
              <w:t>he development, maintenance and operation by the DNO Parties and IDNO Parties of efficient, co-ordinated, and economical Distribution Networks</w:t>
            </w:r>
          </w:p>
          <w:p w:rsidR="00584F56" w:rsidRDefault="00584F56" w:rsidP="007B260F">
            <w:pPr>
              <w:pStyle w:val="BodyText"/>
              <w:keepNext/>
              <w:numPr>
                <w:ilvl w:val="0"/>
                <w:numId w:val="19"/>
              </w:numPr>
              <w:spacing w:after="120" w:line="240" w:lineRule="auto"/>
              <w:jc w:val="both"/>
              <w:rPr>
                <w:noProof/>
              </w:rPr>
            </w:pPr>
            <w:r w:rsidRPr="008F6701">
              <w:rPr>
                <w:noProof/>
              </w:rPr>
              <w:t>The facilitation of effective competition in the generation and supply of electricity and (so far as is consistent therewith) the promotion of such competition in the sale, distribution and purchase of electricity</w:t>
            </w:r>
          </w:p>
          <w:p w:rsidR="00584F56" w:rsidRDefault="00584F56" w:rsidP="007B260F">
            <w:pPr>
              <w:pStyle w:val="BodyText"/>
              <w:keepNext/>
              <w:numPr>
                <w:ilvl w:val="0"/>
                <w:numId w:val="19"/>
              </w:numPr>
              <w:spacing w:after="120" w:line="240" w:lineRule="auto"/>
              <w:jc w:val="both"/>
              <w:rPr>
                <w:noProof/>
              </w:rPr>
            </w:pPr>
            <w:r w:rsidRPr="008F6701">
              <w:rPr>
                <w:noProof/>
              </w:rPr>
              <w:t>The efficient discharge by the DNO Parties and IDNO Parties of obligations imposed upon them in their Distribution Licences</w:t>
            </w:r>
          </w:p>
          <w:p w:rsidR="009B338D" w:rsidRDefault="00584F56" w:rsidP="007B260F">
            <w:pPr>
              <w:pStyle w:val="BodyText"/>
              <w:keepNext/>
              <w:numPr>
                <w:ilvl w:val="0"/>
                <w:numId w:val="19"/>
              </w:numPr>
              <w:spacing w:after="120" w:line="240" w:lineRule="auto"/>
              <w:jc w:val="both"/>
              <w:rPr>
                <w:noProof/>
              </w:rPr>
            </w:pPr>
            <w:r w:rsidRPr="008F6701">
              <w:rPr>
                <w:noProof/>
              </w:rPr>
              <w:t>The promotion of efficiency in the implementation and administration of this Agreemen</w:t>
            </w:r>
            <w:r>
              <w:rPr>
                <w:noProof/>
              </w:rPr>
              <w:t>t</w:t>
            </w:r>
            <w:r w:rsidRPr="008F6701">
              <w:rPr>
                <w:noProof/>
              </w:rPr>
              <w:t xml:space="preserve"> </w:t>
            </w:r>
          </w:p>
          <w:p w:rsidR="00584F56" w:rsidRPr="00584F56" w:rsidRDefault="00584F56" w:rsidP="007B260F">
            <w:pPr>
              <w:pStyle w:val="BodyText"/>
              <w:keepNext/>
              <w:numPr>
                <w:ilvl w:val="0"/>
                <w:numId w:val="19"/>
              </w:numPr>
              <w:spacing w:after="120" w:line="240" w:lineRule="auto"/>
              <w:jc w:val="both"/>
              <w:rPr>
                <w:noProof/>
              </w:rPr>
            </w:pPr>
            <w:r w:rsidRPr="00B133EC">
              <w:rPr>
                <w:noProof/>
              </w:rPr>
              <w:t>Compliance with the Regulation on Cross-Border Exchange in Electricity and any relevant legally binding decisions of the European Commission and/or the Agency for the Co-operation of Energy Regulators.</w:t>
            </w:r>
          </w:p>
        </w:tc>
      </w:tr>
      <w:tr w:rsidR="00BA4419" w:rsidTr="00BA4419">
        <w:sdt>
          <w:sdtPr>
            <w:tag w:val="dcusa_response8"/>
            <w:id w:val="-2116278239"/>
            <w:placeholder>
              <w:docPart w:val="DefaultPlaceholder_1082065158"/>
            </w:placeholder>
            <w:showingPlcHdr/>
          </w:sdtPr>
          <w:sdtEndPr/>
          <w:sdtContent>
            <w:bookmarkStart w:id="0" w:name="_GoBack" w:displacedByCustomXml="prev"/>
            <w:tc>
              <w:tcPr>
                <w:tcW w:w="9287" w:type="dxa"/>
              </w:tcPr>
              <w:p w:rsidR="00BA4419" w:rsidRDefault="00BA4419" w:rsidP="007B260F">
                <w:pPr>
                  <w:pStyle w:val="BodyText"/>
                  <w:keepNext/>
                </w:pPr>
                <w:r w:rsidRPr="00CD3088">
                  <w:rPr>
                    <w:rStyle w:val="PlaceholderText"/>
                  </w:rPr>
                  <w:t>Click here to enter text.</w:t>
                </w:r>
              </w:p>
            </w:tc>
            <w:bookmarkEnd w:id="0" w:displacedByCustomXml="next"/>
          </w:sdtContent>
        </w:sdt>
      </w:tr>
    </w:tbl>
    <w:p w:rsidR="00BA4419" w:rsidRDefault="00BA4419" w:rsidP="007B260F">
      <w:pPr>
        <w:pStyle w:val="BodyText"/>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have any comments on the proposed legal text?</w:t>
            </w:r>
          </w:p>
        </w:tc>
      </w:tr>
      <w:tr w:rsidR="00BA4419" w:rsidTr="00BA4419">
        <w:sdt>
          <w:sdtPr>
            <w:tag w:val="dcusa_response9"/>
            <w:id w:val="-1237241106"/>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Are there any alternative solutions or matters that should be considered?</w:t>
            </w:r>
          </w:p>
        </w:tc>
      </w:tr>
      <w:tr w:rsidR="00BA4419" w:rsidTr="00BA4419">
        <w:sdt>
          <w:sdtPr>
            <w:tag w:val="dcusa_response10"/>
            <w:id w:val="-1565710263"/>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Are you supportive of the proposed implementation date of 1 April 2015?</w:t>
            </w:r>
          </w:p>
        </w:tc>
      </w:tr>
      <w:tr w:rsidR="00BA4419" w:rsidTr="00BA4419">
        <w:sdt>
          <w:sdtPr>
            <w:tag w:val="dcusa_response11"/>
            <w:id w:val="1195972379"/>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Do you have any comments on the proposed EDCM model?</w:t>
            </w:r>
          </w:p>
        </w:tc>
      </w:tr>
      <w:tr w:rsidR="00BA4419" w:rsidTr="00BA4419">
        <w:sdt>
          <w:sdtPr>
            <w:tag w:val="dcusa_response12"/>
            <w:id w:val="-576363678"/>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Default="00BA4419" w:rsidP="007B260F">
      <w:pPr>
        <w:pStyle w:val="BodyText"/>
        <w:keepN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A4419" w:rsidTr="00BA4419">
        <w:trPr>
          <w:cnfStyle w:val="100000000000" w:firstRow="1" w:lastRow="0" w:firstColumn="0" w:lastColumn="0" w:oddVBand="0" w:evenVBand="0" w:oddHBand="0" w:evenHBand="0" w:firstRowFirstColumn="0" w:firstRowLastColumn="0" w:lastRowFirstColumn="0" w:lastRowLastColumn="0"/>
        </w:trPr>
        <w:tc>
          <w:tcPr>
            <w:tcW w:w="9287" w:type="dxa"/>
          </w:tcPr>
          <w:p w:rsidR="00BA4419" w:rsidRDefault="00BA4419" w:rsidP="007B260F">
            <w:pPr>
              <w:pStyle w:val="Question"/>
            </w:pPr>
            <w:r w:rsidRPr="00BA4419">
              <w:t>Please state any other comments or views on the Change Proposal.</w:t>
            </w:r>
          </w:p>
        </w:tc>
      </w:tr>
      <w:tr w:rsidR="00BA4419" w:rsidTr="00BA4419">
        <w:sdt>
          <w:sdtPr>
            <w:tag w:val="dcusa_response13"/>
            <w:id w:val="1477560810"/>
            <w:placeholder>
              <w:docPart w:val="DefaultPlaceholder_1082065158"/>
            </w:placeholder>
            <w:showingPlcHdr/>
          </w:sdtPr>
          <w:sdtEndPr/>
          <w:sdtContent>
            <w:tc>
              <w:tcPr>
                <w:tcW w:w="9287" w:type="dxa"/>
              </w:tcPr>
              <w:p w:rsidR="00BA4419" w:rsidRDefault="00BA4419" w:rsidP="007B260F">
                <w:pPr>
                  <w:pStyle w:val="BodyText"/>
                  <w:keepNext/>
                </w:pPr>
                <w:r w:rsidRPr="00CD3088">
                  <w:rPr>
                    <w:rStyle w:val="PlaceholderText"/>
                  </w:rPr>
                  <w:t>Click here to enter text.</w:t>
                </w:r>
              </w:p>
            </w:tc>
          </w:sdtContent>
        </w:sdt>
      </w:tr>
    </w:tbl>
    <w:p w:rsidR="00BA4419" w:rsidRPr="00FB3F3A" w:rsidRDefault="00BA4419" w:rsidP="0023069B">
      <w:pPr>
        <w:pStyle w:val="BodyText"/>
        <w:rPr>
          <w:rFonts w:ascii="Calibri" w:hAnsi="Calibri"/>
          <w:sz w:val="22"/>
          <w:szCs w:val="22"/>
        </w:rPr>
      </w:pPr>
    </w:p>
    <w:sectPr w:rsidR="00BA4419" w:rsidRPr="00FB3F3A"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419" w:rsidRDefault="00BA4419" w:rsidP="00FD00A2">
      <w:r>
        <w:separator/>
      </w:r>
    </w:p>
  </w:endnote>
  <w:endnote w:type="continuationSeparator" w:id="0">
    <w:p w:rsidR="00BA4419" w:rsidRDefault="00BA44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95" w:rsidRDefault="008255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FB3F3A" w:rsidRDefault="00825595">
    <w:pPr>
      <w:pStyle w:val="Footer"/>
      <w:rPr>
        <w:rFonts w:ascii="Calibri" w:hAnsi="Calibri"/>
      </w:rPr>
    </w:pPr>
    <w:r>
      <w:rPr>
        <w:rFonts w:ascii="Calibri" w:hAnsi="Calibri"/>
      </w:rPr>
      <w:t>6 August 2014</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7B260F">
      <w:rPr>
        <w:rFonts w:ascii="Calibri" w:hAnsi="Calibri"/>
        <w:noProof/>
      </w:rPr>
      <w:t>3</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7B260F">
      <w:rPr>
        <w:rFonts w:ascii="Calibri" w:hAnsi="Calibri"/>
        <w:noProof/>
      </w:rPr>
      <w:t>3</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BA4419">
      <w:rPr>
        <w:rFonts w:ascii="Calibri" w:hAnsi="Calibri"/>
      </w:rPr>
      <w:t>Version</w:t>
    </w:r>
    <w:r w:rsidR="00FD00A2" w:rsidRPr="00FB3F3A">
      <w:rPr>
        <w:rFonts w:ascii="Calibri" w:hAnsi="Calibri"/>
      </w:rPr>
      <w:fldChar w:fldCharType="end"/>
    </w:r>
    <w:r>
      <w:rPr>
        <w:rFonts w:ascii="Calibri" w:hAnsi="Calibri"/>
      </w:rPr>
      <w:t xml:space="preserve"> 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95" w:rsidRDefault="008255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419" w:rsidRDefault="00BA4419" w:rsidP="00FD00A2">
      <w:r>
        <w:separator/>
      </w:r>
    </w:p>
  </w:footnote>
  <w:footnote w:type="continuationSeparator" w:id="0">
    <w:p w:rsidR="00BA4419" w:rsidRDefault="00BA4419" w:rsidP="00FD00A2">
      <w:r>
        <w:continuationSeparator/>
      </w:r>
    </w:p>
  </w:footnote>
  <w:footnote w:id="1">
    <w:p w:rsidR="00AC6DB4" w:rsidRPr="009B338D" w:rsidRDefault="00AC6DB4" w:rsidP="009B338D">
      <w:pPr>
        <w:pStyle w:val="FootnoteText"/>
        <w:spacing w:after="120"/>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r w:rsidR="009B338D">
        <w:rPr>
          <w:rFonts w:ascii="Calibri" w:hAnsi="Calibri"/>
        </w:rPr>
        <w:t xml:space="preserve"> </w:t>
      </w:r>
      <w:r w:rsidRPr="00FB3F3A">
        <w:rPr>
          <w:rFonts w:ascii="Calibri" w:hAnsi="Calibri"/>
        </w:rPr>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r w:rsidR="009B338D">
        <w:rPr>
          <w:rFonts w:ascii="Calibri" w:hAnsi="Calibri"/>
        </w:rPr>
        <w:t xml:space="preserve"> </w:t>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95" w:rsidRDefault="008255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BA4419">
      <w:rPr>
        <w:rFonts w:ascii="Calibri" w:hAnsi="Calibri"/>
      </w:rPr>
      <w:t>189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95" w:rsidRDefault="008255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7"/>
  </w:num>
  <w:num w:numId="10">
    <w:abstractNumId w:val="1"/>
  </w:num>
  <w:num w:numId="11">
    <w:abstractNumId w:val="7"/>
  </w:num>
  <w:num w:numId="12">
    <w:abstractNumId w:val="0"/>
  </w:num>
  <w:num w:numId="13">
    <w:abstractNumId w:val="7"/>
  </w:num>
  <w:num w:numId="14">
    <w:abstractNumId w:val="9"/>
  </w:num>
  <w:num w:numId="15">
    <w:abstractNumId w:val="6"/>
  </w:num>
  <w:num w:numId="16">
    <w:abstractNumId w:val="6"/>
  </w:num>
  <w:num w:numId="17">
    <w:abstractNumId w:val="10"/>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419"/>
    <w:rsid w:val="00077D80"/>
    <w:rsid w:val="00134AF7"/>
    <w:rsid w:val="001E03C5"/>
    <w:rsid w:val="001F2288"/>
    <w:rsid w:val="00223DF1"/>
    <w:rsid w:val="0023069B"/>
    <w:rsid w:val="002B61A0"/>
    <w:rsid w:val="0031153A"/>
    <w:rsid w:val="0040580C"/>
    <w:rsid w:val="00410907"/>
    <w:rsid w:val="00554409"/>
    <w:rsid w:val="00584F56"/>
    <w:rsid w:val="00703AF3"/>
    <w:rsid w:val="00711B18"/>
    <w:rsid w:val="007361B2"/>
    <w:rsid w:val="0076726D"/>
    <w:rsid w:val="007B260F"/>
    <w:rsid w:val="00825595"/>
    <w:rsid w:val="00884177"/>
    <w:rsid w:val="008D01AD"/>
    <w:rsid w:val="008F22A5"/>
    <w:rsid w:val="00963A66"/>
    <w:rsid w:val="009A3EA3"/>
    <w:rsid w:val="009B02DB"/>
    <w:rsid w:val="009B338D"/>
    <w:rsid w:val="009F1AFC"/>
    <w:rsid w:val="00A817E9"/>
    <w:rsid w:val="00A828F0"/>
    <w:rsid w:val="00AC6DB4"/>
    <w:rsid w:val="00BA4419"/>
    <w:rsid w:val="00C01797"/>
    <w:rsid w:val="00CE497A"/>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locked/>
    <w:rsid w:val="00584F56"/>
    <w:rPr>
      <w:rFonts w:ascii="Verdana" w:hAnsi="Verdana" w:cs="Arial"/>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locked/>
    <w:rsid w:val="00584F56"/>
    <w:rPr>
      <w:rFonts w:ascii="Verdana" w:hAnsi="Verdana" w:cs="Arial"/>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t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D4EA032FDF4C97AEB1C7C3499A4136"/>
        <w:category>
          <w:name w:val="General"/>
          <w:gallery w:val="placeholder"/>
        </w:category>
        <w:types>
          <w:type w:val="bbPlcHdr"/>
        </w:types>
        <w:behaviors>
          <w:behavior w:val="content"/>
        </w:behaviors>
        <w:guid w:val="{B3C8F03F-29B7-4D3E-B353-C07986068D22}"/>
      </w:docPartPr>
      <w:docPartBody>
        <w:p w:rsidR="00E04F96" w:rsidRDefault="00CB07D8">
          <w:pPr>
            <w:pStyle w:val="7CD4EA032FDF4C97AEB1C7C3499A4136"/>
          </w:pPr>
          <w:r w:rsidRPr="005D19FB">
            <w:rPr>
              <w:rStyle w:val="PlaceholderText"/>
            </w:rPr>
            <w:t>Click here to enter text.</w:t>
          </w:r>
        </w:p>
      </w:docPartBody>
    </w:docPart>
    <w:docPart>
      <w:docPartPr>
        <w:name w:val="08F582DABBD3476AB90C2B39FF5546DE"/>
        <w:category>
          <w:name w:val="General"/>
          <w:gallery w:val="placeholder"/>
        </w:category>
        <w:types>
          <w:type w:val="bbPlcHdr"/>
        </w:types>
        <w:behaviors>
          <w:behavior w:val="content"/>
        </w:behaviors>
        <w:guid w:val="{A98F4656-3135-415D-953C-2782ABF7CB89}"/>
      </w:docPartPr>
      <w:docPartBody>
        <w:p w:rsidR="00E04F96" w:rsidRDefault="00CB07D8">
          <w:pPr>
            <w:pStyle w:val="08F582DABBD3476AB90C2B39FF5546DE"/>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826183A6-B3EB-4449-B502-17BB3CDF8C60}"/>
      </w:docPartPr>
      <w:docPartBody>
        <w:p w:rsidR="00E04F96" w:rsidRDefault="00CB07D8">
          <w:r w:rsidRPr="00CD308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7D8"/>
    <w:rsid w:val="00CB07D8"/>
    <w:rsid w:val="00E04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7D8"/>
    <w:rPr>
      <w:color w:val="808080"/>
    </w:rPr>
  </w:style>
  <w:style w:type="paragraph" w:customStyle="1" w:styleId="7CD4EA032FDF4C97AEB1C7C3499A4136">
    <w:name w:val="7CD4EA032FDF4C97AEB1C7C3499A4136"/>
  </w:style>
  <w:style w:type="paragraph" w:customStyle="1" w:styleId="08F582DABBD3476AB90C2B39FF5546DE">
    <w:name w:val="08F582DABBD3476AB90C2B39FF5546D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7D8"/>
    <w:rPr>
      <w:color w:val="808080"/>
    </w:rPr>
  </w:style>
  <w:style w:type="paragraph" w:customStyle="1" w:styleId="7CD4EA032FDF4C97AEB1C7C3499A4136">
    <w:name w:val="7CD4EA032FDF4C97AEB1C7C3499A4136"/>
  </w:style>
  <w:style w:type="paragraph" w:customStyle="1" w:styleId="08F582DABBD3476AB90C2B39FF5546DE">
    <w:name w:val="08F582DABBD3476AB90C2B39FF5546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FDE01-5B77-47D5-803F-1DB13A48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11</TotalTime>
  <Pages>3</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Consultation Response Form</vt:lpstr>
    </vt:vector>
  </TitlesOfParts>
  <Company>Electralink</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dc:creator>
  <cp:lastModifiedBy>RT</cp:lastModifiedBy>
  <cp:revision>6</cp:revision>
  <dcterms:created xsi:type="dcterms:W3CDTF">2014-08-05T10:31:00Z</dcterms:created>
  <dcterms:modified xsi:type="dcterms:W3CDTF">2014-08-06T14:38:00Z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