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56FC3F" w14:textId="03CD541E" w:rsidR="00964778" w:rsidRDefault="00964778" w:rsidP="00964778">
      <w:pPr>
        <w:pStyle w:val="Heading1"/>
        <w:numPr>
          <w:ilvl w:val="0"/>
          <w:numId w:val="12"/>
        </w:numPr>
      </w:pPr>
      <w:r>
        <w:t>DCP 185</w:t>
      </w:r>
      <w:r w:rsidR="00426956">
        <w:t xml:space="preserve"> EDCM</w:t>
      </w:r>
      <w:r w:rsidR="00F60916">
        <w:t>/</w:t>
      </w:r>
      <w:r w:rsidR="00CB216C">
        <w:t>LRIC</w:t>
      </w:r>
      <w:r w:rsidR="00995939">
        <w:t xml:space="preserve"> model r6396</w:t>
      </w:r>
      <w:bookmarkStart w:id="0" w:name="_GoBack"/>
      <w:bookmarkEnd w:id="0"/>
    </w:p>
    <w:p w14:paraId="22A1B3AF" w14:textId="77777777" w:rsidR="00A41F4A" w:rsidRDefault="00A41F4A" w:rsidP="00A41F4A">
      <w:pPr>
        <w:pStyle w:val="Byline"/>
        <w:numPr>
          <w:ilvl w:val="0"/>
          <w:numId w:val="12"/>
        </w:numPr>
      </w:pPr>
      <w:r w:rsidRPr="00AB6F30">
        <w:fldChar w:fldCharType="begin"/>
      </w:r>
      <w:r w:rsidRPr="00AB6F30">
        <w:instrText xml:space="preserve"> SAVEDATE \@ "dddd d MMMM yyyy" </w:instrText>
      </w:r>
      <w:r w:rsidRPr="00AB6F30">
        <w:fldChar w:fldCharType="separate"/>
      </w:r>
      <w:r w:rsidR="00995939">
        <w:rPr>
          <w:noProof/>
        </w:rPr>
        <w:t>Monday 6 January 2014</w:t>
      </w:r>
      <w:r w:rsidRPr="00AB6F30">
        <w:fldChar w:fldCharType="end"/>
      </w:r>
    </w:p>
    <w:p w14:paraId="3217E244" w14:textId="2A9F3B09" w:rsidR="00964778" w:rsidRDefault="00964778" w:rsidP="00964778">
      <w:pPr>
        <w:pStyle w:val="Text"/>
        <w:numPr>
          <w:ilvl w:val="1"/>
          <w:numId w:val="12"/>
        </w:numPr>
      </w:pPr>
      <w:r>
        <w:t>This document describes an EDCM/</w:t>
      </w:r>
      <w:r w:rsidR="00CB216C">
        <w:t>LRIC</w:t>
      </w:r>
      <w:r>
        <w:t xml:space="preserve"> tariff model developed for the DCP 185 working group.  </w:t>
      </w:r>
      <w:r w:rsidR="00CB216C">
        <w:t>The reference version is model L</w:t>
      </w:r>
      <w:r w:rsidR="009D597E">
        <w:t>201 published by the DCUSA P</w:t>
      </w:r>
      <w:r>
        <w:t>anel</w:t>
      </w:r>
      <w:r w:rsidR="009D597E">
        <w:t xml:space="preserve"> in 2013</w:t>
      </w:r>
      <w:r>
        <w:t>.</w:t>
      </w:r>
    </w:p>
    <w:p w14:paraId="59501B53" w14:textId="77777777" w:rsidR="00964778" w:rsidRDefault="00964778" w:rsidP="004F03A7">
      <w:pPr>
        <w:pStyle w:val="Heading2"/>
      </w:pPr>
      <w:r>
        <w:t>Structural changes</w:t>
      </w:r>
    </w:p>
    <w:p w14:paraId="58CFF6BB" w14:textId="77777777" w:rsidR="00CB216C" w:rsidRPr="00964778" w:rsidRDefault="00CB216C" w:rsidP="00CB216C">
      <w:pPr>
        <w:pStyle w:val="Text"/>
        <w:numPr>
          <w:ilvl w:val="1"/>
          <w:numId w:val="3"/>
        </w:numPr>
      </w:pPr>
      <w:r>
        <w:t>The general structure of the model is unchanged.</w:t>
      </w:r>
    </w:p>
    <w:p w14:paraId="1F9BFC76" w14:textId="77777777" w:rsidR="00964778" w:rsidRDefault="00964778" w:rsidP="004F03A7">
      <w:pPr>
        <w:pStyle w:val="Heading2"/>
      </w:pPr>
      <w:r>
        <w:t>Additional input data</w:t>
      </w:r>
    </w:p>
    <w:p w14:paraId="3E310186" w14:textId="77777777" w:rsidR="00964778" w:rsidRPr="00964778" w:rsidRDefault="00964778" w:rsidP="00964778">
      <w:pPr>
        <w:pStyle w:val="Text"/>
      </w:pPr>
      <w:r>
        <w:t>No additional input data are required.</w:t>
      </w:r>
    </w:p>
    <w:p w14:paraId="79145688" w14:textId="77777777" w:rsidR="00964778" w:rsidRDefault="00964778" w:rsidP="004F03A7">
      <w:pPr>
        <w:pStyle w:val="Heading2"/>
      </w:pPr>
      <w:r>
        <w:t>Modified input data</w:t>
      </w:r>
    </w:p>
    <w:p w14:paraId="1C488BFB" w14:textId="03D037F5" w:rsidR="00964778" w:rsidRDefault="00964778" w:rsidP="00964778">
      <w:pPr>
        <w:pStyle w:val="Text"/>
      </w:pPr>
      <w:r>
        <w:t xml:space="preserve">In table </w:t>
      </w:r>
      <w:r w:rsidRPr="009D597E">
        <w:rPr>
          <w:b/>
        </w:rPr>
        <w:t>935</w:t>
      </w:r>
      <w:r w:rsidR="009D597E" w:rsidRPr="009D597E">
        <w:rPr>
          <w:b/>
        </w:rPr>
        <w:t>. Tariff data</w:t>
      </w:r>
      <w:r>
        <w:t>, the column “</w:t>
      </w:r>
      <w:r w:rsidRPr="00964778">
        <w:t>Proportion exposed to indirect cost allocation</w:t>
      </w:r>
      <w:r>
        <w:t>” has been renamed “</w:t>
      </w:r>
      <w:r w:rsidRPr="00964778">
        <w:t>Proportion exposed to indirect cost allocation</w:t>
      </w:r>
      <w:r>
        <w:t xml:space="preserve"> and fixed adder”.</w:t>
      </w:r>
    </w:p>
    <w:p w14:paraId="262ED74E" w14:textId="77777777" w:rsidR="00964778" w:rsidRPr="00964778" w:rsidRDefault="00964778" w:rsidP="00964778">
      <w:pPr>
        <w:pStyle w:val="Text"/>
      </w:pPr>
      <w:r>
        <w:t xml:space="preserve">The specification of the data to be entered into this column is unchanged: it should be 1 for all-the-way tariffs and 0.5 for LDNO and qualifying private network tariffs. </w:t>
      </w:r>
    </w:p>
    <w:p w14:paraId="6E068ADF" w14:textId="77777777" w:rsidR="00964778" w:rsidRDefault="00964778" w:rsidP="004F03A7">
      <w:pPr>
        <w:pStyle w:val="Heading2"/>
      </w:pPr>
      <w:r>
        <w:t>Additional or modified outputs</w:t>
      </w:r>
    </w:p>
    <w:p w14:paraId="0C0A8E6B" w14:textId="77777777" w:rsidR="00964778" w:rsidRPr="00964778" w:rsidRDefault="00964778" w:rsidP="00964778">
      <w:pPr>
        <w:pStyle w:val="Text"/>
      </w:pPr>
      <w:r>
        <w:t>There are no additional output data.</w:t>
      </w:r>
    </w:p>
    <w:p w14:paraId="0C0646A9" w14:textId="77777777" w:rsidR="00964778" w:rsidRDefault="00964778" w:rsidP="004F03A7">
      <w:pPr>
        <w:pStyle w:val="Heading2"/>
      </w:pPr>
      <w:r>
        <w:t>Additional calculation tables</w:t>
      </w:r>
    </w:p>
    <w:p w14:paraId="67D1862D" w14:textId="77777777" w:rsidR="00964778" w:rsidRPr="00964778" w:rsidRDefault="00964778" w:rsidP="00964778">
      <w:pPr>
        <w:pStyle w:val="Text"/>
      </w:pPr>
      <w:r>
        <w:t>There are no additional calculation tables.</w:t>
      </w:r>
    </w:p>
    <w:p w14:paraId="6C1562CF" w14:textId="77777777" w:rsidR="00964778" w:rsidRDefault="00964778" w:rsidP="00964778">
      <w:pPr>
        <w:pStyle w:val="Heading2"/>
      </w:pPr>
      <w:r>
        <w:t>Modified calculation tables</w:t>
      </w:r>
    </w:p>
    <w:p w14:paraId="0B7C7FB6" w14:textId="08C0869D" w:rsidR="00964778" w:rsidRDefault="00964778" w:rsidP="00964778">
      <w:pPr>
        <w:pStyle w:val="Text"/>
      </w:pPr>
      <w:r>
        <w:t xml:space="preserve">In table </w:t>
      </w:r>
      <w:r w:rsidR="00CB216C" w:rsidRPr="00CB216C">
        <w:rPr>
          <w:b/>
        </w:rPr>
        <w:t>4458. Marginal revenue effect of demand adder</w:t>
      </w:r>
      <w:r>
        <w:t>, the formula has been changed so as to apply the p</w:t>
      </w:r>
      <w:r w:rsidRPr="00964778">
        <w:t>roportion exposed to indirect cost allocation</w:t>
      </w:r>
      <w:r>
        <w:t xml:space="preserve"> and fixed adder provided that the fixed adder amount is not negative.</w:t>
      </w:r>
      <w:r w:rsidR="00CB216C">
        <w:t xml:space="preserve">  Previously that proportion was never applied.</w:t>
      </w:r>
    </w:p>
    <w:p w14:paraId="423C1ACB" w14:textId="681E7CCD" w:rsidR="00964778" w:rsidRDefault="00964778" w:rsidP="00964778">
      <w:pPr>
        <w:pStyle w:val="Text"/>
      </w:pPr>
      <w:r>
        <w:t xml:space="preserve">In table </w:t>
      </w:r>
      <w:r w:rsidR="00CB216C" w:rsidRPr="00CB216C">
        <w:rPr>
          <w:b/>
        </w:rPr>
        <w:t>4462. Data for capacity-based allocation of indirect costs</w:t>
      </w:r>
      <w:r>
        <w:t xml:space="preserve">, reference is made to the </w:t>
      </w:r>
      <w:r w:rsidRPr="00964778">
        <w:t>Proportion exposed to indirect cost allocation</w:t>
      </w:r>
      <w:r>
        <w:t xml:space="preserve"> and fixed adder instead of the </w:t>
      </w:r>
      <w:r w:rsidRPr="00964778">
        <w:t>Proportion exposed to indirect cost allocation</w:t>
      </w:r>
      <w:r>
        <w:t>.  This does not affect the calculations.</w:t>
      </w:r>
    </w:p>
    <w:p w14:paraId="7951834D" w14:textId="77777777" w:rsidR="00007E86" w:rsidRDefault="00007E86" w:rsidP="00007E86">
      <w:pPr>
        <w:pStyle w:val="Text"/>
      </w:pPr>
      <w:r>
        <w:t xml:space="preserve">In table </w:t>
      </w:r>
      <w:r w:rsidRPr="00CB216C">
        <w:rPr>
          <w:b/>
        </w:rPr>
        <w:t>4468. Capacity charge after applying fixed adder ex indirects p/kVA/day</w:t>
      </w:r>
      <w:r>
        <w:t>, the formula has been changed so as to apply the p</w:t>
      </w:r>
      <w:r w:rsidRPr="00964778">
        <w:t>roportion exposed to indirect cost allocation</w:t>
      </w:r>
      <w:r>
        <w:t xml:space="preserve"> and fixed adder provided that the fixed adder amount is not negative.  Previously that proportion was never applied.</w:t>
      </w:r>
    </w:p>
    <w:p w14:paraId="4727097F" w14:textId="0166732E" w:rsidR="00007E86" w:rsidRDefault="00007E86" w:rsidP="00007E86">
      <w:pPr>
        <w:pStyle w:val="Text"/>
      </w:pPr>
      <w:r>
        <w:t xml:space="preserve">In table </w:t>
      </w:r>
      <w:r>
        <w:rPr>
          <w:b/>
        </w:rPr>
        <w:t>4601</w:t>
      </w:r>
      <w:r w:rsidRPr="00CB216C">
        <w:rPr>
          <w:b/>
        </w:rPr>
        <w:t xml:space="preserve">. </w:t>
      </w:r>
      <w:r>
        <w:rPr>
          <w:b/>
        </w:rPr>
        <w:t>Horizontal information</w:t>
      </w:r>
      <w:r>
        <w:t>, the formula in the column “</w:t>
      </w:r>
      <w:r w:rsidRPr="00007E86">
        <w:t>De</w:t>
      </w:r>
      <w:r>
        <w:t>mand scaling fixed adder (£</w:t>
      </w:r>
      <w:r w:rsidRPr="00007E86">
        <w:t>/year)</w:t>
      </w:r>
      <w:r>
        <w:t>” has been changed so as to apply the p</w:t>
      </w:r>
      <w:r w:rsidRPr="00964778">
        <w:t xml:space="preserve">roportion exposed to </w:t>
      </w:r>
      <w:r w:rsidRPr="00964778">
        <w:lastRenderedPageBreak/>
        <w:t>indirect cost allocation</w:t>
      </w:r>
      <w:r>
        <w:t xml:space="preserve"> and fixed adder provided that the fixed adder amount is not negative.  Previously that proportion was never applied.</w:t>
      </w:r>
    </w:p>
    <w:p w14:paraId="2EF14AD8" w14:textId="77777777" w:rsidR="00964778" w:rsidRDefault="00964778" w:rsidP="00964778">
      <w:pPr>
        <w:pStyle w:val="Heading2"/>
      </w:pPr>
      <w:r>
        <w:t>Other changes</w:t>
      </w:r>
    </w:p>
    <w:p w14:paraId="79D105B3" w14:textId="77777777" w:rsidR="00964778" w:rsidRDefault="00964778" w:rsidP="00964778">
      <w:pPr>
        <w:pStyle w:val="Text"/>
      </w:pPr>
      <w:r>
        <w:t>There are no other changes.</w:t>
      </w:r>
    </w:p>
    <w:p w14:paraId="4BAAE763" w14:textId="0050329B" w:rsidR="008E237B" w:rsidRDefault="008E237B" w:rsidP="008E237B">
      <w:pPr>
        <w:pStyle w:val="Heading2"/>
      </w:pPr>
      <w:r>
        <w:t>Basis of impact statement</w:t>
      </w:r>
    </w:p>
    <w:p w14:paraId="767BA404" w14:textId="71268C47" w:rsidR="008E237B" w:rsidRDefault="008E237B" w:rsidP="008E237B">
      <w:pPr>
        <w:pStyle w:val="Text"/>
      </w:pPr>
      <w:r>
        <w:t>The impact statement is purely illustrative and does not reflect any actual tariff.  It uses DNO-level data disclosed as part of the MIG Issue 70 process, and the illustrative import tariffs summarised in the tables below.</w:t>
      </w:r>
    </w:p>
    <w:p w14:paraId="5BADE004" w14:textId="77777777" w:rsidR="00FB08DF" w:rsidRDefault="00FB08DF" w:rsidP="00FB08DF">
      <w:pPr>
        <w:pStyle w:val="Caption"/>
      </w:pPr>
      <w:r>
        <w:t xml:space="preserve">Table </w:t>
      </w:r>
      <w:r>
        <w:fldChar w:fldCharType="begin"/>
      </w:r>
      <w:r>
        <w:instrText xml:space="preserve"> SEQ Table \* ARABIC </w:instrText>
      </w:r>
      <w:r>
        <w:fldChar w:fldCharType="separate"/>
      </w:r>
      <w:r>
        <w:rPr>
          <w:noProof/>
        </w:rPr>
        <w:t>1</w:t>
      </w:r>
      <w:r>
        <w:fldChar w:fldCharType="end"/>
      </w:r>
      <w:r>
        <w:tab/>
        <w:t>Location of illustrative tariffs</w:t>
      </w:r>
    </w:p>
    <w:tbl>
      <w:tblPr>
        <w:tblStyle w:val="TableGrid"/>
        <w:tblW w:w="0" w:type="auto"/>
        <w:tblLook w:val="04A0" w:firstRow="1" w:lastRow="0" w:firstColumn="1" w:lastColumn="0" w:noHBand="0" w:noVBand="1"/>
      </w:tblPr>
      <w:tblGrid>
        <w:gridCol w:w="4701"/>
        <w:gridCol w:w="1591"/>
        <w:gridCol w:w="1737"/>
      </w:tblGrid>
      <w:tr w:rsidR="00FB08DF" w:rsidRPr="00FB08DF" w14:paraId="48E58514" w14:textId="77777777" w:rsidTr="00FB08DF">
        <w:trPr>
          <w:cantSplit/>
          <w:tblHeader/>
        </w:trPr>
        <w:tc>
          <w:tcPr>
            <w:tcW w:w="0" w:type="auto"/>
          </w:tcPr>
          <w:p w14:paraId="3877D3AB" w14:textId="77777777" w:rsidR="00FB08DF" w:rsidRPr="00FB08DF" w:rsidRDefault="00FB08DF" w:rsidP="00FB08DF">
            <w:pPr>
              <w:pStyle w:val="Table"/>
              <w:keepNext/>
              <w:numPr>
                <w:ilvl w:val="0"/>
                <w:numId w:val="10"/>
              </w:numPr>
              <w:rPr>
                <w:b/>
              </w:rPr>
            </w:pPr>
            <w:r w:rsidRPr="00FB08DF">
              <w:rPr>
                <w:b/>
              </w:rPr>
              <w:t>Tariffs</w:t>
            </w:r>
          </w:p>
        </w:tc>
        <w:tc>
          <w:tcPr>
            <w:tcW w:w="0" w:type="auto"/>
          </w:tcPr>
          <w:p w14:paraId="68001545" w14:textId="77777777" w:rsidR="00FB08DF" w:rsidRPr="00FB08DF" w:rsidRDefault="00FB08DF" w:rsidP="00FB08DF">
            <w:pPr>
              <w:pStyle w:val="Table"/>
              <w:keepNext/>
              <w:rPr>
                <w:b/>
              </w:rPr>
            </w:pPr>
            <w:r w:rsidRPr="00FB08DF">
              <w:rPr>
                <w:b/>
              </w:rPr>
              <w:t>DNO areas</w:t>
            </w:r>
          </w:p>
        </w:tc>
        <w:tc>
          <w:tcPr>
            <w:tcW w:w="0" w:type="auto"/>
          </w:tcPr>
          <w:p w14:paraId="663CE336" w14:textId="77777777" w:rsidR="00FB08DF" w:rsidRPr="00FB08DF" w:rsidRDefault="00FB08DF" w:rsidP="00FB08DF">
            <w:pPr>
              <w:pStyle w:val="Table"/>
              <w:keepNext/>
              <w:rPr>
                <w:b/>
              </w:rPr>
            </w:pPr>
            <w:r w:rsidRPr="00FB08DF">
              <w:rPr>
                <w:b/>
              </w:rPr>
              <w:t>Location</w:t>
            </w:r>
          </w:p>
        </w:tc>
      </w:tr>
      <w:tr w:rsidR="00FB08DF" w:rsidRPr="008E237B" w14:paraId="58DBE68B" w14:textId="77777777" w:rsidTr="001A6E03">
        <w:trPr>
          <w:cantSplit/>
          <w:trHeight w:val="1499"/>
        </w:trPr>
        <w:tc>
          <w:tcPr>
            <w:tcW w:w="0" w:type="auto"/>
          </w:tcPr>
          <w:p w14:paraId="282F30C6" w14:textId="77777777" w:rsidR="00FB08DF" w:rsidRPr="005F4316" w:rsidRDefault="00FB08DF" w:rsidP="001A6E03">
            <w:pPr>
              <w:pStyle w:val="Table"/>
            </w:pPr>
            <w:r w:rsidRPr="005F4316">
              <w:t>Tariff 1: Demand 0011 zero charge 1</w:t>
            </w:r>
          </w:p>
          <w:p w14:paraId="356EF3F9" w14:textId="77777777" w:rsidR="00FB08DF" w:rsidRPr="005F4316" w:rsidRDefault="00FB08DF" w:rsidP="001A6E03">
            <w:pPr>
              <w:pStyle w:val="Table"/>
            </w:pPr>
            <w:r w:rsidRPr="005F4316">
              <w:t>Tariff 3: Demand 0011 zero charge 1 high reactive</w:t>
            </w:r>
          </w:p>
          <w:p w14:paraId="7C925B57" w14:textId="77777777" w:rsidR="00FB08DF" w:rsidRPr="005F4316" w:rsidRDefault="00FB08DF" w:rsidP="001A6E03">
            <w:pPr>
              <w:pStyle w:val="Table"/>
            </w:pPr>
            <w:r w:rsidRPr="005F4316">
              <w:t>Tariff 5: Demand 0011 zero charge 1 LDNO</w:t>
            </w:r>
          </w:p>
        </w:tc>
        <w:tc>
          <w:tcPr>
            <w:tcW w:w="0" w:type="auto"/>
          </w:tcPr>
          <w:p w14:paraId="15C7082D" w14:textId="77777777" w:rsidR="00FB08DF" w:rsidRDefault="00FB08DF" w:rsidP="001A6E03">
            <w:pPr>
              <w:pStyle w:val="Table"/>
            </w:pPr>
            <w:r>
              <w:t>Any DNO area</w:t>
            </w:r>
          </w:p>
        </w:tc>
        <w:tc>
          <w:tcPr>
            <w:tcW w:w="0" w:type="auto"/>
          </w:tcPr>
          <w:p w14:paraId="0F916BA9" w14:textId="77777777" w:rsidR="00FB08DF" w:rsidRPr="005F4316" w:rsidRDefault="00FB08DF" w:rsidP="001A6E03">
            <w:pPr>
              <w:pStyle w:val="Table"/>
            </w:pPr>
            <w:r>
              <w:t>Nowhere</w:t>
            </w:r>
          </w:p>
        </w:tc>
      </w:tr>
      <w:tr w:rsidR="00FB08DF" w:rsidRPr="008E237B" w14:paraId="78A76C7C" w14:textId="77777777" w:rsidTr="001A6E03">
        <w:trPr>
          <w:cantSplit/>
        </w:trPr>
        <w:tc>
          <w:tcPr>
            <w:tcW w:w="0" w:type="auto"/>
            <w:vMerge w:val="restart"/>
          </w:tcPr>
          <w:p w14:paraId="07284C86" w14:textId="77777777" w:rsidR="00FB08DF" w:rsidRPr="005F4316" w:rsidRDefault="00FB08DF" w:rsidP="001A6E03">
            <w:pPr>
              <w:pStyle w:val="Table"/>
            </w:pPr>
            <w:r w:rsidRPr="005F4316">
              <w:t>Tariff 2: Demand 0011 high charge 1</w:t>
            </w:r>
          </w:p>
          <w:p w14:paraId="300C64FB" w14:textId="77777777" w:rsidR="00FB08DF" w:rsidRPr="005F4316" w:rsidRDefault="00FB08DF" w:rsidP="001A6E03">
            <w:pPr>
              <w:pStyle w:val="Table"/>
            </w:pPr>
            <w:r w:rsidRPr="005F4316">
              <w:t>Tariff 4: Demand 0011 high charge 1 high reactive</w:t>
            </w:r>
          </w:p>
          <w:p w14:paraId="668AC2C7" w14:textId="77777777" w:rsidR="00FB08DF" w:rsidRPr="005F4316" w:rsidRDefault="00FB08DF" w:rsidP="001A6E03">
            <w:pPr>
              <w:pStyle w:val="Table"/>
            </w:pPr>
            <w:r w:rsidRPr="005F4316">
              <w:t>Tariff 6: Demand 0011 high charge 1 LDNO</w:t>
            </w:r>
          </w:p>
        </w:tc>
        <w:tc>
          <w:tcPr>
            <w:tcW w:w="0" w:type="auto"/>
          </w:tcPr>
          <w:p w14:paraId="745F4513" w14:textId="77777777" w:rsidR="00FB08DF" w:rsidRPr="005F4316" w:rsidRDefault="00FB08DF" w:rsidP="001A6E03">
            <w:pPr>
              <w:pStyle w:val="Table"/>
            </w:pPr>
            <w:r w:rsidRPr="00566E3B">
              <w:t>ENWL</w:t>
            </w:r>
          </w:p>
        </w:tc>
        <w:tc>
          <w:tcPr>
            <w:tcW w:w="0" w:type="auto"/>
          </w:tcPr>
          <w:p w14:paraId="05E9E29E" w14:textId="77777777" w:rsidR="00FB08DF" w:rsidRPr="005F4316" w:rsidRDefault="00FB08DF" w:rsidP="001A6E03">
            <w:pPr>
              <w:pStyle w:val="Table"/>
            </w:pPr>
            <w:r w:rsidRPr="00566E3B">
              <w:t>D1_kirlon_11_a</w:t>
            </w:r>
          </w:p>
        </w:tc>
      </w:tr>
      <w:tr w:rsidR="00FB08DF" w:rsidRPr="008E237B" w14:paraId="336B0C82" w14:textId="77777777" w:rsidTr="001A6E03">
        <w:trPr>
          <w:cantSplit/>
        </w:trPr>
        <w:tc>
          <w:tcPr>
            <w:tcW w:w="0" w:type="auto"/>
            <w:vMerge/>
          </w:tcPr>
          <w:p w14:paraId="49F9CDE1" w14:textId="77777777" w:rsidR="00FB08DF" w:rsidRPr="005F4316" w:rsidRDefault="00FB08DF" w:rsidP="001A6E03">
            <w:pPr>
              <w:pStyle w:val="Table"/>
            </w:pPr>
          </w:p>
        </w:tc>
        <w:tc>
          <w:tcPr>
            <w:tcW w:w="0" w:type="auto"/>
          </w:tcPr>
          <w:p w14:paraId="0F5BFBE5" w14:textId="77777777" w:rsidR="00FB08DF" w:rsidRPr="005F4316" w:rsidRDefault="00FB08DF" w:rsidP="001A6E03">
            <w:pPr>
              <w:pStyle w:val="Table"/>
            </w:pPr>
            <w:r w:rsidRPr="00566E3B">
              <w:t>NPG Northeast</w:t>
            </w:r>
          </w:p>
        </w:tc>
        <w:tc>
          <w:tcPr>
            <w:tcW w:w="0" w:type="auto"/>
          </w:tcPr>
          <w:p w14:paraId="56DB3AC9" w14:textId="77777777" w:rsidR="00FB08DF" w:rsidRPr="005F4316" w:rsidRDefault="00FB08DF" w:rsidP="001A6E03">
            <w:pPr>
              <w:pStyle w:val="Table"/>
            </w:pPr>
            <w:r w:rsidRPr="00566E3B">
              <w:t>nessfield (1018)</w:t>
            </w:r>
          </w:p>
        </w:tc>
      </w:tr>
      <w:tr w:rsidR="00FB08DF" w:rsidRPr="008E237B" w14:paraId="2769326D" w14:textId="77777777" w:rsidTr="001A6E03">
        <w:trPr>
          <w:cantSplit/>
        </w:trPr>
        <w:tc>
          <w:tcPr>
            <w:tcW w:w="0" w:type="auto"/>
            <w:vMerge/>
          </w:tcPr>
          <w:p w14:paraId="2CCBA8C0" w14:textId="77777777" w:rsidR="00FB08DF" w:rsidRPr="005F4316" w:rsidRDefault="00FB08DF" w:rsidP="001A6E03">
            <w:pPr>
              <w:pStyle w:val="Table"/>
            </w:pPr>
          </w:p>
        </w:tc>
        <w:tc>
          <w:tcPr>
            <w:tcW w:w="0" w:type="auto"/>
          </w:tcPr>
          <w:p w14:paraId="1C159935" w14:textId="77777777" w:rsidR="00FB08DF" w:rsidRPr="005F4316" w:rsidRDefault="00FB08DF" w:rsidP="001A6E03">
            <w:pPr>
              <w:pStyle w:val="Table"/>
            </w:pPr>
            <w:r w:rsidRPr="00566E3B">
              <w:t>NPG Yorkshire</w:t>
            </w:r>
          </w:p>
        </w:tc>
        <w:tc>
          <w:tcPr>
            <w:tcW w:w="0" w:type="auto"/>
          </w:tcPr>
          <w:p w14:paraId="03A3365D" w14:textId="77777777" w:rsidR="00FB08DF" w:rsidRPr="005F4316" w:rsidRDefault="00FB08DF" w:rsidP="001A6E03">
            <w:pPr>
              <w:pStyle w:val="Table"/>
            </w:pPr>
            <w:r w:rsidRPr="00566E3B">
              <w:t>hazelhead (1034)</w:t>
            </w:r>
          </w:p>
        </w:tc>
      </w:tr>
      <w:tr w:rsidR="00FB08DF" w:rsidRPr="008E237B" w14:paraId="17FDF857" w14:textId="77777777" w:rsidTr="001A6E03">
        <w:trPr>
          <w:cantSplit/>
        </w:trPr>
        <w:tc>
          <w:tcPr>
            <w:tcW w:w="0" w:type="auto"/>
            <w:vMerge/>
          </w:tcPr>
          <w:p w14:paraId="09C0529F" w14:textId="77777777" w:rsidR="00FB08DF" w:rsidRPr="005F4316" w:rsidRDefault="00FB08DF" w:rsidP="001A6E03">
            <w:pPr>
              <w:pStyle w:val="Table"/>
            </w:pPr>
          </w:p>
        </w:tc>
        <w:tc>
          <w:tcPr>
            <w:tcW w:w="0" w:type="auto"/>
          </w:tcPr>
          <w:p w14:paraId="322E5B21" w14:textId="77777777" w:rsidR="00FB08DF" w:rsidRPr="005F4316" w:rsidRDefault="00FB08DF" w:rsidP="001A6E03">
            <w:pPr>
              <w:pStyle w:val="Table"/>
            </w:pPr>
            <w:r w:rsidRPr="00566E3B">
              <w:t>UKPN EPN</w:t>
            </w:r>
          </w:p>
        </w:tc>
        <w:tc>
          <w:tcPr>
            <w:tcW w:w="0" w:type="auto"/>
          </w:tcPr>
          <w:p w14:paraId="376AD1C3" w14:textId="77777777" w:rsidR="00FB08DF" w:rsidRPr="005F4316" w:rsidRDefault="00FB08DF" w:rsidP="001A6E03">
            <w:pPr>
              <w:pStyle w:val="Table"/>
            </w:pPr>
            <w:r w:rsidRPr="00566E3B">
              <w:t xml:space="preserve">11185 </w:t>
            </w:r>
          </w:p>
        </w:tc>
      </w:tr>
      <w:tr w:rsidR="00FB08DF" w:rsidRPr="008E237B" w14:paraId="7BBE9B96" w14:textId="77777777" w:rsidTr="001A6E03">
        <w:trPr>
          <w:cantSplit/>
        </w:trPr>
        <w:tc>
          <w:tcPr>
            <w:tcW w:w="0" w:type="auto"/>
            <w:vMerge/>
          </w:tcPr>
          <w:p w14:paraId="052CD490" w14:textId="77777777" w:rsidR="00FB08DF" w:rsidRPr="005F4316" w:rsidRDefault="00FB08DF" w:rsidP="001A6E03">
            <w:pPr>
              <w:pStyle w:val="Table"/>
            </w:pPr>
          </w:p>
        </w:tc>
        <w:tc>
          <w:tcPr>
            <w:tcW w:w="0" w:type="auto"/>
          </w:tcPr>
          <w:p w14:paraId="23E33935" w14:textId="77777777" w:rsidR="00FB08DF" w:rsidRPr="005F4316" w:rsidRDefault="00FB08DF" w:rsidP="001A6E03">
            <w:pPr>
              <w:pStyle w:val="Table"/>
            </w:pPr>
            <w:r w:rsidRPr="00566E3B">
              <w:t>UKPN LPN</w:t>
            </w:r>
          </w:p>
        </w:tc>
        <w:tc>
          <w:tcPr>
            <w:tcW w:w="0" w:type="auto"/>
          </w:tcPr>
          <w:p w14:paraId="5F167620" w14:textId="77777777" w:rsidR="00FB08DF" w:rsidRPr="005F4316" w:rsidRDefault="00FB08DF" w:rsidP="001A6E03">
            <w:pPr>
              <w:pStyle w:val="Table"/>
            </w:pPr>
            <w:r w:rsidRPr="00566E3B">
              <w:t xml:space="preserve">7225 </w:t>
            </w:r>
          </w:p>
        </w:tc>
      </w:tr>
      <w:tr w:rsidR="00FB08DF" w:rsidRPr="008E237B" w14:paraId="767168AA" w14:textId="77777777" w:rsidTr="001A6E03">
        <w:trPr>
          <w:cantSplit/>
        </w:trPr>
        <w:tc>
          <w:tcPr>
            <w:tcW w:w="0" w:type="auto"/>
            <w:vMerge/>
          </w:tcPr>
          <w:p w14:paraId="5A63D442" w14:textId="77777777" w:rsidR="00FB08DF" w:rsidRPr="005F4316" w:rsidRDefault="00FB08DF" w:rsidP="001A6E03">
            <w:pPr>
              <w:pStyle w:val="Table"/>
            </w:pPr>
          </w:p>
        </w:tc>
        <w:tc>
          <w:tcPr>
            <w:tcW w:w="0" w:type="auto"/>
          </w:tcPr>
          <w:p w14:paraId="42D2D11A" w14:textId="77777777" w:rsidR="00FB08DF" w:rsidRPr="005F4316" w:rsidRDefault="00FB08DF" w:rsidP="001A6E03">
            <w:pPr>
              <w:pStyle w:val="Table"/>
            </w:pPr>
            <w:r w:rsidRPr="00566E3B">
              <w:t>UKPN SPN</w:t>
            </w:r>
          </w:p>
        </w:tc>
        <w:tc>
          <w:tcPr>
            <w:tcW w:w="0" w:type="auto"/>
          </w:tcPr>
          <w:p w14:paraId="2CACA637" w14:textId="77777777" w:rsidR="00FB08DF" w:rsidRPr="005F4316" w:rsidRDefault="00FB08DF" w:rsidP="001A6E03">
            <w:pPr>
              <w:pStyle w:val="Table"/>
            </w:pPr>
            <w:r w:rsidRPr="00566E3B">
              <w:t xml:space="preserve">84460 </w:t>
            </w:r>
          </w:p>
        </w:tc>
      </w:tr>
      <w:tr w:rsidR="00FB08DF" w:rsidRPr="008E237B" w14:paraId="4202C51C" w14:textId="77777777" w:rsidTr="001A6E03">
        <w:trPr>
          <w:cantSplit/>
        </w:trPr>
        <w:tc>
          <w:tcPr>
            <w:tcW w:w="0" w:type="auto"/>
            <w:vMerge/>
          </w:tcPr>
          <w:p w14:paraId="77C9360B" w14:textId="77777777" w:rsidR="00FB08DF" w:rsidRPr="005F4316" w:rsidRDefault="00FB08DF" w:rsidP="001A6E03">
            <w:pPr>
              <w:pStyle w:val="Table"/>
            </w:pPr>
          </w:p>
        </w:tc>
        <w:tc>
          <w:tcPr>
            <w:tcW w:w="0" w:type="auto"/>
          </w:tcPr>
          <w:p w14:paraId="7D2B4099" w14:textId="77777777" w:rsidR="00FB08DF" w:rsidRPr="005F4316" w:rsidRDefault="00FB08DF" w:rsidP="001A6E03">
            <w:pPr>
              <w:pStyle w:val="Table"/>
            </w:pPr>
            <w:r w:rsidRPr="00566E3B">
              <w:t>WPD SWales</w:t>
            </w:r>
          </w:p>
        </w:tc>
        <w:tc>
          <w:tcPr>
            <w:tcW w:w="0" w:type="auto"/>
          </w:tcPr>
          <w:p w14:paraId="7F5A307A" w14:textId="77777777" w:rsidR="00FB08DF" w:rsidRPr="005F4316" w:rsidRDefault="00FB08DF" w:rsidP="001A6E03">
            <w:pPr>
              <w:pStyle w:val="Table"/>
            </w:pPr>
            <w:r w:rsidRPr="00566E3B">
              <w:t>BROF5</w:t>
            </w:r>
          </w:p>
        </w:tc>
      </w:tr>
      <w:tr w:rsidR="00FB08DF" w:rsidRPr="008E237B" w14:paraId="5D6A4408" w14:textId="77777777" w:rsidTr="001A6E03">
        <w:trPr>
          <w:cantSplit/>
        </w:trPr>
        <w:tc>
          <w:tcPr>
            <w:tcW w:w="0" w:type="auto"/>
            <w:vMerge/>
          </w:tcPr>
          <w:p w14:paraId="7F50A8B2" w14:textId="77777777" w:rsidR="00FB08DF" w:rsidRPr="005F4316" w:rsidRDefault="00FB08DF" w:rsidP="001A6E03">
            <w:pPr>
              <w:pStyle w:val="Table"/>
            </w:pPr>
          </w:p>
        </w:tc>
        <w:tc>
          <w:tcPr>
            <w:tcW w:w="0" w:type="auto"/>
          </w:tcPr>
          <w:p w14:paraId="5464B996" w14:textId="77777777" w:rsidR="00FB08DF" w:rsidRPr="005F4316" w:rsidRDefault="00FB08DF" w:rsidP="001A6E03">
            <w:pPr>
              <w:pStyle w:val="Table"/>
            </w:pPr>
            <w:r w:rsidRPr="00566E3B">
              <w:t>WPD SWest</w:t>
            </w:r>
          </w:p>
        </w:tc>
        <w:tc>
          <w:tcPr>
            <w:tcW w:w="0" w:type="auto"/>
          </w:tcPr>
          <w:p w14:paraId="37309253" w14:textId="77777777" w:rsidR="00FB08DF" w:rsidRPr="005F4316" w:rsidRDefault="00FB08DF" w:rsidP="001A6E03">
            <w:pPr>
              <w:pStyle w:val="Table"/>
            </w:pPr>
            <w:r w:rsidRPr="00566E3B">
              <w:t>STBU5</w:t>
            </w:r>
          </w:p>
        </w:tc>
      </w:tr>
    </w:tbl>
    <w:p w14:paraId="50C0C47E" w14:textId="77777777" w:rsidR="00FB08DF" w:rsidRPr="008E237B" w:rsidRDefault="00FB08DF" w:rsidP="00FB08DF">
      <w:pPr>
        <w:pStyle w:val="TableLastNote"/>
      </w:pPr>
    </w:p>
    <w:p w14:paraId="2D9FA3A8" w14:textId="77777777" w:rsidR="00D7790A" w:rsidRDefault="00D7790A" w:rsidP="00D7790A">
      <w:pPr>
        <w:pStyle w:val="Caption"/>
      </w:pPr>
      <w:r>
        <w:t xml:space="preserve">Table </w:t>
      </w:r>
      <w:r>
        <w:fldChar w:fldCharType="begin"/>
      </w:r>
      <w:r>
        <w:instrText xml:space="preserve"> SEQ Table \* ARABIC </w:instrText>
      </w:r>
      <w:r>
        <w:fldChar w:fldCharType="separate"/>
      </w:r>
      <w:r>
        <w:rPr>
          <w:noProof/>
        </w:rPr>
        <w:t>2</w:t>
      </w:r>
      <w:r>
        <w:fldChar w:fldCharType="end"/>
      </w:r>
      <w:r>
        <w:tab/>
        <w:t>Common parameters to all illustrative tariffs</w:t>
      </w:r>
    </w:p>
    <w:tbl>
      <w:tblPr>
        <w:tblStyle w:val="TableGrid"/>
        <w:tblW w:w="0" w:type="auto"/>
        <w:tblLook w:val="04A0" w:firstRow="1" w:lastRow="0" w:firstColumn="1" w:lastColumn="0" w:noHBand="0" w:noVBand="1"/>
      </w:tblPr>
      <w:tblGrid>
        <w:gridCol w:w="2333"/>
        <w:gridCol w:w="2561"/>
        <w:gridCol w:w="2253"/>
        <w:gridCol w:w="2089"/>
      </w:tblGrid>
      <w:tr w:rsidR="00D7790A" w:rsidRPr="00FB08DF" w14:paraId="1D10DF45" w14:textId="77777777" w:rsidTr="001A6E03">
        <w:trPr>
          <w:cantSplit/>
          <w:tblHeader/>
        </w:trPr>
        <w:tc>
          <w:tcPr>
            <w:tcW w:w="0" w:type="auto"/>
          </w:tcPr>
          <w:p w14:paraId="60562E22" w14:textId="77777777" w:rsidR="00D7790A" w:rsidRPr="00FB08DF" w:rsidRDefault="00D7790A" w:rsidP="001A6E03">
            <w:pPr>
              <w:pStyle w:val="Table"/>
              <w:keepNext/>
              <w:rPr>
                <w:b/>
              </w:rPr>
            </w:pPr>
            <w:r w:rsidRPr="00FB08DF">
              <w:rPr>
                <w:b/>
              </w:rPr>
              <w:t>Maximum import capacity (kVA)</w:t>
            </w:r>
          </w:p>
        </w:tc>
        <w:tc>
          <w:tcPr>
            <w:tcW w:w="0" w:type="auto"/>
          </w:tcPr>
          <w:p w14:paraId="6534C0D7" w14:textId="77777777" w:rsidR="00D7790A" w:rsidRPr="00FB08DF" w:rsidRDefault="00D7790A" w:rsidP="001A6E03">
            <w:pPr>
              <w:pStyle w:val="Table"/>
              <w:keepNext/>
              <w:rPr>
                <w:b/>
              </w:rPr>
            </w:pPr>
            <w:r w:rsidRPr="00FB08DF">
              <w:rPr>
                <w:b/>
              </w:rPr>
              <w:t>Customer category for demand scaling</w:t>
            </w:r>
          </w:p>
        </w:tc>
        <w:tc>
          <w:tcPr>
            <w:tcW w:w="0" w:type="auto"/>
          </w:tcPr>
          <w:p w14:paraId="33D6E6ED" w14:textId="77777777" w:rsidR="00D7790A" w:rsidRPr="00FB08DF" w:rsidRDefault="00D7790A" w:rsidP="001A6E03">
            <w:pPr>
              <w:pStyle w:val="Table"/>
              <w:keepNext/>
              <w:rPr>
                <w:b/>
              </w:rPr>
            </w:pPr>
            <w:r w:rsidRPr="00FB08DF">
              <w:rPr>
                <w:b/>
              </w:rPr>
              <w:t>Network use factor: EHV circuits</w:t>
            </w:r>
          </w:p>
        </w:tc>
        <w:tc>
          <w:tcPr>
            <w:tcW w:w="0" w:type="auto"/>
          </w:tcPr>
          <w:p w14:paraId="5665DE60" w14:textId="77777777" w:rsidR="00D7790A" w:rsidRPr="00FB08DF" w:rsidRDefault="00D7790A" w:rsidP="001A6E03">
            <w:pPr>
              <w:pStyle w:val="Table"/>
              <w:keepNext/>
              <w:rPr>
                <w:b/>
              </w:rPr>
            </w:pPr>
            <w:r w:rsidRPr="00FB08DF">
              <w:rPr>
                <w:b/>
              </w:rPr>
              <w:t>Network use factor: EHV/HV</w:t>
            </w:r>
          </w:p>
        </w:tc>
      </w:tr>
      <w:tr w:rsidR="00D7790A" w:rsidRPr="008E237B" w14:paraId="397E36CD" w14:textId="77777777" w:rsidTr="001A6E03">
        <w:trPr>
          <w:cantSplit/>
        </w:trPr>
        <w:tc>
          <w:tcPr>
            <w:tcW w:w="0" w:type="auto"/>
          </w:tcPr>
          <w:p w14:paraId="2B521E1A" w14:textId="77777777" w:rsidR="00D7790A" w:rsidRPr="00FB08DF" w:rsidRDefault="00D7790A" w:rsidP="001A6E03">
            <w:pPr>
              <w:pStyle w:val="Table"/>
              <w:jc w:val="center"/>
            </w:pPr>
            <w:r w:rsidRPr="00FB08DF">
              <w:t>15,000</w:t>
            </w:r>
          </w:p>
        </w:tc>
        <w:tc>
          <w:tcPr>
            <w:tcW w:w="0" w:type="auto"/>
          </w:tcPr>
          <w:p w14:paraId="0859A297" w14:textId="77777777" w:rsidR="00D7790A" w:rsidRPr="00FB08DF" w:rsidRDefault="00D7790A" w:rsidP="001A6E03">
            <w:pPr>
              <w:pStyle w:val="Table"/>
              <w:jc w:val="center"/>
            </w:pPr>
            <w:r w:rsidRPr="00FB08DF">
              <w:t>0011</w:t>
            </w:r>
          </w:p>
        </w:tc>
        <w:tc>
          <w:tcPr>
            <w:tcW w:w="0" w:type="auto"/>
          </w:tcPr>
          <w:p w14:paraId="71BF37D8" w14:textId="77777777" w:rsidR="00D7790A" w:rsidRPr="00FB08DF" w:rsidRDefault="00D7790A" w:rsidP="001A6E03">
            <w:pPr>
              <w:pStyle w:val="Table"/>
              <w:jc w:val="center"/>
            </w:pPr>
            <w:r w:rsidRPr="00FB08DF">
              <w:t>1.000</w:t>
            </w:r>
          </w:p>
        </w:tc>
        <w:tc>
          <w:tcPr>
            <w:tcW w:w="0" w:type="auto"/>
          </w:tcPr>
          <w:p w14:paraId="4FCE5420" w14:textId="77777777" w:rsidR="00D7790A" w:rsidRPr="00FB08DF" w:rsidRDefault="00D7790A" w:rsidP="001A6E03">
            <w:pPr>
              <w:pStyle w:val="Table"/>
              <w:jc w:val="center"/>
            </w:pPr>
            <w:r w:rsidRPr="00FB08DF">
              <w:t>1.000</w:t>
            </w:r>
          </w:p>
        </w:tc>
      </w:tr>
    </w:tbl>
    <w:p w14:paraId="3A0934E2" w14:textId="77777777" w:rsidR="00D7790A" w:rsidRPr="008E237B" w:rsidRDefault="00D7790A" w:rsidP="00D7790A">
      <w:pPr>
        <w:pStyle w:val="TableLastNote"/>
      </w:pPr>
    </w:p>
    <w:p w14:paraId="0E3E96D9" w14:textId="77777777" w:rsidR="00D7790A" w:rsidRDefault="00D7790A" w:rsidP="00D7790A">
      <w:pPr>
        <w:pStyle w:val="Caption"/>
      </w:pPr>
      <w:r>
        <w:lastRenderedPageBreak/>
        <w:t xml:space="preserve">Table </w:t>
      </w:r>
      <w:r>
        <w:fldChar w:fldCharType="begin"/>
      </w:r>
      <w:r>
        <w:instrText xml:space="preserve"> SEQ Table \* ARABIC </w:instrText>
      </w:r>
      <w:r>
        <w:fldChar w:fldCharType="separate"/>
      </w:r>
      <w:r>
        <w:rPr>
          <w:noProof/>
        </w:rPr>
        <w:t>3</w:t>
      </w:r>
      <w:r>
        <w:fldChar w:fldCharType="end"/>
      </w:r>
      <w:r>
        <w:tab/>
        <w:t>Specific parameters for individual illustrative tariffs</w:t>
      </w:r>
    </w:p>
    <w:tbl>
      <w:tblPr>
        <w:tblStyle w:val="TableGrid"/>
        <w:tblW w:w="9236" w:type="dxa"/>
        <w:tblLook w:val="04A0" w:firstRow="1" w:lastRow="0" w:firstColumn="1" w:lastColumn="0" w:noHBand="0" w:noVBand="1"/>
      </w:tblPr>
      <w:tblGrid>
        <w:gridCol w:w="3276"/>
        <w:gridCol w:w="1490"/>
        <w:gridCol w:w="1490"/>
        <w:gridCol w:w="1490"/>
        <w:gridCol w:w="1490"/>
      </w:tblGrid>
      <w:tr w:rsidR="00D7790A" w:rsidRPr="00FB08DF" w14:paraId="4F13943B" w14:textId="77777777" w:rsidTr="001A6E03">
        <w:trPr>
          <w:cantSplit/>
          <w:tblHeader/>
        </w:trPr>
        <w:tc>
          <w:tcPr>
            <w:tcW w:w="3168" w:type="dxa"/>
          </w:tcPr>
          <w:p w14:paraId="122DC705" w14:textId="77777777" w:rsidR="00D7790A" w:rsidRPr="00FB08DF" w:rsidRDefault="00D7790A" w:rsidP="00D7790A">
            <w:pPr>
              <w:pStyle w:val="Table"/>
              <w:keepNext/>
              <w:numPr>
                <w:ilvl w:val="0"/>
                <w:numId w:val="3"/>
              </w:numPr>
              <w:rPr>
                <w:b/>
              </w:rPr>
            </w:pPr>
            <w:r w:rsidRPr="00FB08DF">
              <w:rPr>
                <w:b/>
              </w:rPr>
              <w:t>Tariff</w:t>
            </w:r>
          </w:p>
        </w:tc>
        <w:tc>
          <w:tcPr>
            <w:tcW w:w="1440" w:type="dxa"/>
          </w:tcPr>
          <w:p w14:paraId="0138C989" w14:textId="77777777" w:rsidR="00D7790A" w:rsidRPr="00FB08DF" w:rsidRDefault="00D7790A" w:rsidP="001A6E03">
            <w:pPr>
              <w:pStyle w:val="Table"/>
              <w:keepNext/>
              <w:rPr>
                <w:b/>
              </w:rPr>
            </w:pPr>
            <w:r w:rsidRPr="00FB08DF">
              <w:rPr>
                <w:b/>
              </w:rPr>
              <w:t>Sole use asset MEAV (£)</w:t>
            </w:r>
          </w:p>
        </w:tc>
        <w:tc>
          <w:tcPr>
            <w:tcW w:w="1440" w:type="dxa"/>
            <w:vAlign w:val="center"/>
          </w:tcPr>
          <w:p w14:paraId="7A984184" w14:textId="77777777" w:rsidR="00D7790A" w:rsidRPr="00FB08DF" w:rsidRDefault="00D7790A" w:rsidP="001A6E03">
            <w:pPr>
              <w:pStyle w:val="Table"/>
              <w:keepNext/>
              <w:rPr>
                <w:b/>
              </w:rPr>
            </w:pPr>
            <w:r w:rsidRPr="00FB08DF">
              <w:rPr>
                <w:b/>
              </w:rPr>
              <w:t>Super red kW import divided by kVA capacity</w:t>
            </w:r>
          </w:p>
        </w:tc>
        <w:tc>
          <w:tcPr>
            <w:tcW w:w="1440" w:type="dxa"/>
            <w:vAlign w:val="center"/>
          </w:tcPr>
          <w:p w14:paraId="3E16605D" w14:textId="77777777" w:rsidR="00D7790A" w:rsidRPr="00FB08DF" w:rsidRDefault="00D7790A" w:rsidP="001A6E03">
            <w:pPr>
              <w:pStyle w:val="Table"/>
              <w:keepNext/>
              <w:rPr>
                <w:b/>
              </w:rPr>
            </w:pPr>
            <w:r w:rsidRPr="00FB08DF">
              <w:rPr>
                <w:b/>
              </w:rPr>
              <w:t>Super red kVAr import divided by kVA capacity</w:t>
            </w:r>
          </w:p>
        </w:tc>
        <w:tc>
          <w:tcPr>
            <w:tcW w:w="1440" w:type="dxa"/>
            <w:vAlign w:val="center"/>
          </w:tcPr>
          <w:p w14:paraId="7B7B9517" w14:textId="77777777" w:rsidR="00D7790A" w:rsidRPr="00FB08DF" w:rsidRDefault="00D7790A" w:rsidP="001A6E03">
            <w:pPr>
              <w:pStyle w:val="Table"/>
              <w:keepNext/>
              <w:rPr>
                <w:b/>
              </w:rPr>
            </w:pPr>
            <w:r w:rsidRPr="00FB08DF">
              <w:rPr>
                <w:b/>
              </w:rPr>
              <w:t>Proportion exposed to indirect cost allocation</w:t>
            </w:r>
          </w:p>
        </w:tc>
      </w:tr>
      <w:tr w:rsidR="00D7790A" w:rsidRPr="008E237B" w14:paraId="3DA662AD" w14:textId="77777777" w:rsidTr="001A6E03">
        <w:trPr>
          <w:cantSplit/>
        </w:trPr>
        <w:tc>
          <w:tcPr>
            <w:tcW w:w="3168" w:type="dxa"/>
          </w:tcPr>
          <w:p w14:paraId="3D2A8575" w14:textId="77777777" w:rsidR="00D7790A" w:rsidRPr="005F4316" w:rsidRDefault="00D7790A" w:rsidP="001A6E03">
            <w:pPr>
              <w:pStyle w:val="Table"/>
            </w:pPr>
            <w:r w:rsidRPr="005F4316">
              <w:t>Tariff 1: Demand 0011 zero charge 1</w:t>
            </w:r>
          </w:p>
        </w:tc>
        <w:tc>
          <w:tcPr>
            <w:tcW w:w="1440" w:type="dxa"/>
          </w:tcPr>
          <w:p w14:paraId="234EB42B" w14:textId="77777777" w:rsidR="00D7790A" w:rsidRPr="005F4316" w:rsidRDefault="00D7790A" w:rsidP="001A6E03">
            <w:pPr>
              <w:pStyle w:val="Table"/>
              <w:jc w:val="center"/>
            </w:pPr>
            <w:r w:rsidRPr="00FB08DF">
              <w:t>50,000</w:t>
            </w:r>
          </w:p>
        </w:tc>
        <w:tc>
          <w:tcPr>
            <w:tcW w:w="1440" w:type="dxa"/>
          </w:tcPr>
          <w:p w14:paraId="1D62A738" w14:textId="77777777" w:rsidR="00D7790A" w:rsidRPr="005F4316" w:rsidRDefault="00D7790A" w:rsidP="001A6E03">
            <w:pPr>
              <w:pStyle w:val="Table"/>
              <w:jc w:val="center"/>
            </w:pPr>
            <w:r w:rsidRPr="005F4316">
              <w:t>0.500</w:t>
            </w:r>
          </w:p>
        </w:tc>
        <w:tc>
          <w:tcPr>
            <w:tcW w:w="1440" w:type="dxa"/>
          </w:tcPr>
          <w:p w14:paraId="6CB5E1C3" w14:textId="77777777" w:rsidR="00D7790A" w:rsidRPr="005F4316" w:rsidRDefault="00D7790A" w:rsidP="001A6E03">
            <w:pPr>
              <w:pStyle w:val="Table"/>
              <w:jc w:val="center"/>
            </w:pPr>
          </w:p>
        </w:tc>
        <w:tc>
          <w:tcPr>
            <w:tcW w:w="1440" w:type="dxa"/>
          </w:tcPr>
          <w:p w14:paraId="18A2EE8D" w14:textId="77777777" w:rsidR="00D7790A" w:rsidRPr="005F4316" w:rsidRDefault="00D7790A" w:rsidP="001A6E03">
            <w:pPr>
              <w:pStyle w:val="Table"/>
              <w:jc w:val="center"/>
            </w:pPr>
            <w:r w:rsidRPr="005F4316">
              <w:t>1.000</w:t>
            </w:r>
          </w:p>
        </w:tc>
      </w:tr>
      <w:tr w:rsidR="00D7790A" w:rsidRPr="008E237B" w14:paraId="1AB0F528" w14:textId="77777777" w:rsidTr="001A6E03">
        <w:trPr>
          <w:cantSplit/>
        </w:trPr>
        <w:tc>
          <w:tcPr>
            <w:tcW w:w="3168" w:type="dxa"/>
          </w:tcPr>
          <w:p w14:paraId="33245D51" w14:textId="77777777" w:rsidR="00D7790A" w:rsidRPr="005F4316" w:rsidRDefault="00D7790A" w:rsidP="001A6E03">
            <w:pPr>
              <w:pStyle w:val="Table"/>
            </w:pPr>
            <w:r w:rsidRPr="005F4316">
              <w:t>Tariff 2: Demand 0011 high charge 1</w:t>
            </w:r>
          </w:p>
        </w:tc>
        <w:tc>
          <w:tcPr>
            <w:tcW w:w="1440" w:type="dxa"/>
          </w:tcPr>
          <w:p w14:paraId="151CB76F" w14:textId="77777777" w:rsidR="00D7790A" w:rsidRPr="005F4316" w:rsidRDefault="00D7790A" w:rsidP="001A6E03">
            <w:pPr>
              <w:pStyle w:val="Table"/>
              <w:jc w:val="center"/>
            </w:pPr>
            <w:r w:rsidRPr="00FB08DF">
              <w:t>50,000</w:t>
            </w:r>
          </w:p>
        </w:tc>
        <w:tc>
          <w:tcPr>
            <w:tcW w:w="1440" w:type="dxa"/>
          </w:tcPr>
          <w:p w14:paraId="09B5C9FC" w14:textId="77777777" w:rsidR="00D7790A" w:rsidRPr="005F4316" w:rsidRDefault="00D7790A" w:rsidP="001A6E03">
            <w:pPr>
              <w:pStyle w:val="Table"/>
              <w:jc w:val="center"/>
            </w:pPr>
            <w:r w:rsidRPr="005F4316">
              <w:t>0.500</w:t>
            </w:r>
          </w:p>
        </w:tc>
        <w:tc>
          <w:tcPr>
            <w:tcW w:w="1440" w:type="dxa"/>
          </w:tcPr>
          <w:p w14:paraId="1E1285EA" w14:textId="77777777" w:rsidR="00D7790A" w:rsidRPr="005F4316" w:rsidRDefault="00D7790A" w:rsidP="001A6E03">
            <w:pPr>
              <w:pStyle w:val="Table"/>
              <w:jc w:val="center"/>
            </w:pPr>
          </w:p>
        </w:tc>
        <w:tc>
          <w:tcPr>
            <w:tcW w:w="1440" w:type="dxa"/>
          </w:tcPr>
          <w:p w14:paraId="47A832C8" w14:textId="77777777" w:rsidR="00D7790A" w:rsidRPr="005F4316" w:rsidRDefault="00D7790A" w:rsidP="001A6E03">
            <w:pPr>
              <w:pStyle w:val="Table"/>
              <w:jc w:val="center"/>
            </w:pPr>
            <w:r w:rsidRPr="005F4316">
              <w:t>1.000</w:t>
            </w:r>
          </w:p>
        </w:tc>
      </w:tr>
      <w:tr w:rsidR="00D7790A" w:rsidRPr="008E237B" w14:paraId="584F3161" w14:textId="77777777" w:rsidTr="001A6E03">
        <w:trPr>
          <w:cantSplit/>
        </w:trPr>
        <w:tc>
          <w:tcPr>
            <w:tcW w:w="3168" w:type="dxa"/>
          </w:tcPr>
          <w:p w14:paraId="11B9B27C" w14:textId="77777777" w:rsidR="00D7790A" w:rsidRPr="005F4316" w:rsidRDefault="00D7790A" w:rsidP="001A6E03">
            <w:pPr>
              <w:pStyle w:val="Table"/>
            </w:pPr>
            <w:r w:rsidRPr="005F4316">
              <w:t>Tariff 3: Demand 0011 zero charge 1 high reactive</w:t>
            </w:r>
          </w:p>
        </w:tc>
        <w:tc>
          <w:tcPr>
            <w:tcW w:w="1440" w:type="dxa"/>
          </w:tcPr>
          <w:p w14:paraId="1C01064E" w14:textId="77777777" w:rsidR="00D7790A" w:rsidRPr="005F4316" w:rsidRDefault="00D7790A" w:rsidP="001A6E03">
            <w:pPr>
              <w:pStyle w:val="Table"/>
              <w:jc w:val="center"/>
            </w:pPr>
            <w:r w:rsidRPr="00FB08DF">
              <w:t>50,000</w:t>
            </w:r>
          </w:p>
        </w:tc>
        <w:tc>
          <w:tcPr>
            <w:tcW w:w="1440" w:type="dxa"/>
          </w:tcPr>
          <w:p w14:paraId="6E5BAE35" w14:textId="77777777" w:rsidR="00D7790A" w:rsidRPr="005F4316" w:rsidRDefault="00D7790A" w:rsidP="001A6E03">
            <w:pPr>
              <w:pStyle w:val="Table"/>
              <w:jc w:val="center"/>
            </w:pPr>
            <w:r w:rsidRPr="005F4316">
              <w:t>0.500</w:t>
            </w:r>
          </w:p>
        </w:tc>
        <w:tc>
          <w:tcPr>
            <w:tcW w:w="1440" w:type="dxa"/>
          </w:tcPr>
          <w:p w14:paraId="4E371938" w14:textId="77777777" w:rsidR="00D7790A" w:rsidRPr="005F4316" w:rsidRDefault="00D7790A" w:rsidP="001A6E03">
            <w:pPr>
              <w:pStyle w:val="Table"/>
              <w:jc w:val="center"/>
            </w:pPr>
            <w:r w:rsidRPr="005F4316">
              <w:t>1.000</w:t>
            </w:r>
          </w:p>
        </w:tc>
        <w:tc>
          <w:tcPr>
            <w:tcW w:w="1440" w:type="dxa"/>
          </w:tcPr>
          <w:p w14:paraId="32CF5DD3" w14:textId="77777777" w:rsidR="00D7790A" w:rsidRPr="005F4316" w:rsidRDefault="00D7790A" w:rsidP="001A6E03">
            <w:pPr>
              <w:pStyle w:val="Table"/>
              <w:jc w:val="center"/>
            </w:pPr>
            <w:r w:rsidRPr="005F4316">
              <w:t>1.000</w:t>
            </w:r>
          </w:p>
        </w:tc>
      </w:tr>
      <w:tr w:rsidR="00D7790A" w:rsidRPr="008E237B" w14:paraId="47680CBF" w14:textId="77777777" w:rsidTr="001A6E03">
        <w:trPr>
          <w:cantSplit/>
        </w:trPr>
        <w:tc>
          <w:tcPr>
            <w:tcW w:w="3168" w:type="dxa"/>
          </w:tcPr>
          <w:p w14:paraId="71264C3F" w14:textId="77777777" w:rsidR="00D7790A" w:rsidRPr="005F4316" w:rsidRDefault="00D7790A" w:rsidP="001A6E03">
            <w:pPr>
              <w:pStyle w:val="Table"/>
            </w:pPr>
            <w:r w:rsidRPr="005F4316">
              <w:t>Tariff 4: Demand 0011 high charge 1 high reactive</w:t>
            </w:r>
          </w:p>
        </w:tc>
        <w:tc>
          <w:tcPr>
            <w:tcW w:w="1440" w:type="dxa"/>
          </w:tcPr>
          <w:p w14:paraId="6548104F" w14:textId="77777777" w:rsidR="00D7790A" w:rsidRPr="005F4316" w:rsidRDefault="00D7790A" w:rsidP="001A6E03">
            <w:pPr>
              <w:pStyle w:val="Table"/>
              <w:jc w:val="center"/>
            </w:pPr>
            <w:r w:rsidRPr="00FB08DF">
              <w:t>50,000</w:t>
            </w:r>
          </w:p>
        </w:tc>
        <w:tc>
          <w:tcPr>
            <w:tcW w:w="1440" w:type="dxa"/>
          </w:tcPr>
          <w:p w14:paraId="18A6979E" w14:textId="77777777" w:rsidR="00D7790A" w:rsidRPr="005F4316" w:rsidRDefault="00D7790A" w:rsidP="001A6E03">
            <w:pPr>
              <w:pStyle w:val="Table"/>
              <w:jc w:val="center"/>
            </w:pPr>
            <w:r w:rsidRPr="005F4316">
              <w:t>0.500</w:t>
            </w:r>
          </w:p>
        </w:tc>
        <w:tc>
          <w:tcPr>
            <w:tcW w:w="1440" w:type="dxa"/>
          </w:tcPr>
          <w:p w14:paraId="4A1357F9" w14:textId="77777777" w:rsidR="00D7790A" w:rsidRPr="005F4316" w:rsidRDefault="00D7790A" w:rsidP="001A6E03">
            <w:pPr>
              <w:pStyle w:val="Table"/>
              <w:jc w:val="center"/>
            </w:pPr>
            <w:r w:rsidRPr="005F4316">
              <w:t>1.000</w:t>
            </w:r>
          </w:p>
        </w:tc>
        <w:tc>
          <w:tcPr>
            <w:tcW w:w="1440" w:type="dxa"/>
          </w:tcPr>
          <w:p w14:paraId="6322C18C" w14:textId="77777777" w:rsidR="00D7790A" w:rsidRPr="005F4316" w:rsidRDefault="00D7790A" w:rsidP="001A6E03">
            <w:pPr>
              <w:pStyle w:val="Table"/>
              <w:jc w:val="center"/>
            </w:pPr>
            <w:r w:rsidRPr="005F4316">
              <w:t>1.000</w:t>
            </w:r>
          </w:p>
        </w:tc>
      </w:tr>
      <w:tr w:rsidR="00D7790A" w:rsidRPr="008E237B" w14:paraId="547C14EE" w14:textId="77777777" w:rsidTr="001A6E03">
        <w:trPr>
          <w:cantSplit/>
        </w:trPr>
        <w:tc>
          <w:tcPr>
            <w:tcW w:w="3168" w:type="dxa"/>
          </w:tcPr>
          <w:p w14:paraId="7DBDE302" w14:textId="77777777" w:rsidR="00D7790A" w:rsidRPr="005F4316" w:rsidRDefault="00D7790A" w:rsidP="001A6E03">
            <w:pPr>
              <w:pStyle w:val="Table"/>
            </w:pPr>
            <w:r w:rsidRPr="005F4316">
              <w:t>Tariff 5: Demand 0011 zero charge 1 LDNO</w:t>
            </w:r>
          </w:p>
        </w:tc>
        <w:tc>
          <w:tcPr>
            <w:tcW w:w="1440" w:type="dxa"/>
          </w:tcPr>
          <w:p w14:paraId="78BACBF1" w14:textId="77777777" w:rsidR="00D7790A" w:rsidRPr="005F4316" w:rsidRDefault="00D7790A" w:rsidP="001A6E03">
            <w:pPr>
              <w:pStyle w:val="Table"/>
              <w:jc w:val="center"/>
            </w:pPr>
            <w:r>
              <w:t>25</w:t>
            </w:r>
            <w:r w:rsidRPr="00FB08DF">
              <w:t>,000</w:t>
            </w:r>
          </w:p>
        </w:tc>
        <w:tc>
          <w:tcPr>
            <w:tcW w:w="1440" w:type="dxa"/>
          </w:tcPr>
          <w:p w14:paraId="312EE572" w14:textId="77777777" w:rsidR="00D7790A" w:rsidRPr="005F4316" w:rsidRDefault="00D7790A" w:rsidP="001A6E03">
            <w:pPr>
              <w:pStyle w:val="Table"/>
              <w:jc w:val="center"/>
            </w:pPr>
            <w:r w:rsidRPr="005F4316">
              <w:t>0.500</w:t>
            </w:r>
          </w:p>
        </w:tc>
        <w:tc>
          <w:tcPr>
            <w:tcW w:w="1440" w:type="dxa"/>
          </w:tcPr>
          <w:p w14:paraId="6F251ADB" w14:textId="77777777" w:rsidR="00D7790A" w:rsidRPr="005F4316" w:rsidRDefault="00D7790A" w:rsidP="001A6E03">
            <w:pPr>
              <w:pStyle w:val="Table"/>
              <w:jc w:val="center"/>
            </w:pPr>
          </w:p>
        </w:tc>
        <w:tc>
          <w:tcPr>
            <w:tcW w:w="1440" w:type="dxa"/>
          </w:tcPr>
          <w:p w14:paraId="7D843898" w14:textId="77777777" w:rsidR="00D7790A" w:rsidRPr="005F4316" w:rsidRDefault="00D7790A" w:rsidP="001A6E03">
            <w:pPr>
              <w:pStyle w:val="Table"/>
              <w:jc w:val="center"/>
            </w:pPr>
            <w:r w:rsidRPr="005F4316">
              <w:t>0.500</w:t>
            </w:r>
          </w:p>
        </w:tc>
      </w:tr>
      <w:tr w:rsidR="00D7790A" w:rsidRPr="008E237B" w14:paraId="21A30714" w14:textId="77777777" w:rsidTr="001A6E03">
        <w:trPr>
          <w:cantSplit/>
        </w:trPr>
        <w:tc>
          <w:tcPr>
            <w:tcW w:w="3168" w:type="dxa"/>
          </w:tcPr>
          <w:p w14:paraId="373BD616" w14:textId="77777777" w:rsidR="00D7790A" w:rsidRPr="005F4316" w:rsidRDefault="00D7790A" w:rsidP="001A6E03">
            <w:pPr>
              <w:pStyle w:val="Table"/>
            </w:pPr>
            <w:r w:rsidRPr="005F4316">
              <w:t>Tariff 6: Demand 0011 high charge 1 LDNO</w:t>
            </w:r>
          </w:p>
        </w:tc>
        <w:tc>
          <w:tcPr>
            <w:tcW w:w="1440" w:type="dxa"/>
          </w:tcPr>
          <w:p w14:paraId="0D90EBDA" w14:textId="77777777" w:rsidR="00D7790A" w:rsidRPr="005F4316" w:rsidRDefault="00D7790A" w:rsidP="001A6E03">
            <w:pPr>
              <w:pStyle w:val="Table"/>
              <w:jc w:val="center"/>
            </w:pPr>
            <w:r>
              <w:t>25</w:t>
            </w:r>
            <w:r w:rsidRPr="00FB08DF">
              <w:t>,000</w:t>
            </w:r>
          </w:p>
        </w:tc>
        <w:tc>
          <w:tcPr>
            <w:tcW w:w="1440" w:type="dxa"/>
          </w:tcPr>
          <w:p w14:paraId="0BB4C637" w14:textId="77777777" w:rsidR="00D7790A" w:rsidRPr="005F4316" w:rsidRDefault="00D7790A" w:rsidP="001A6E03">
            <w:pPr>
              <w:pStyle w:val="Table"/>
              <w:jc w:val="center"/>
            </w:pPr>
            <w:r w:rsidRPr="005F4316">
              <w:t>0.500</w:t>
            </w:r>
          </w:p>
        </w:tc>
        <w:tc>
          <w:tcPr>
            <w:tcW w:w="1440" w:type="dxa"/>
          </w:tcPr>
          <w:p w14:paraId="3124F26A" w14:textId="77777777" w:rsidR="00D7790A" w:rsidRPr="005F4316" w:rsidRDefault="00D7790A" w:rsidP="001A6E03">
            <w:pPr>
              <w:pStyle w:val="Table"/>
              <w:jc w:val="center"/>
            </w:pPr>
          </w:p>
        </w:tc>
        <w:tc>
          <w:tcPr>
            <w:tcW w:w="1440" w:type="dxa"/>
          </w:tcPr>
          <w:p w14:paraId="71749C74" w14:textId="77777777" w:rsidR="00D7790A" w:rsidRPr="005F4316" w:rsidRDefault="00D7790A" w:rsidP="001A6E03">
            <w:pPr>
              <w:pStyle w:val="Table"/>
              <w:jc w:val="center"/>
            </w:pPr>
            <w:r w:rsidRPr="005F4316">
              <w:t>0.500</w:t>
            </w:r>
          </w:p>
        </w:tc>
      </w:tr>
    </w:tbl>
    <w:p w14:paraId="06534457" w14:textId="77777777" w:rsidR="00D7790A" w:rsidRDefault="00D7790A" w:rsidP="00D7790A">
      <w:pPr>
        <w:pStyle w:val="TableLastNote"/>
      </w:pPr>
    </w:p>
    <w:p w14:paraId="43716851" w14:textId="77777777" w:rsidR="00D7790A" w:rsidRDefault="00D7790A" w:rsidP="00D7790A">
      <w:pPr>
        <w:pStyle w:val="Text"/>
        <w:numPr>
          <w:ilvl w:val="1"/>
          <w:numId w:val="3"/>
        </w:numPr>
      </w:pPr>
      <w:r>
        <w:t>The impact statement takes account of the impact on DNO data of the illustrative tariffs above, but does not take full account of the impact of the change on the actual tariffs.</w:t>
      </w:r>
    </w:p>
    <w:sectPr w:rsidR="00D7790A" w:rsidSect="00964778">
      <w:footerReference w:type="default" r:id="rId8"/>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67C525" w14:textId="77777777" w:rsidR="008E237B" w:rsidRDefault="008E237B" w:rsidP="00964778">
      <w:pPr>
        <w:spacing w:after="0"/>
      </w:pPr>
      <w:r>
        <w:separator/>
      </w:r>
    </w:p>
  </w:endnote>
  <w:endnote w:type="continuationSeparator" w:id="0">
    <w:p w14:paraId="428BA1D5" w14:textId="77777777" w:rsidR="008E237B" w:rsidRDefault="008E237B" w:rsidP="009647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Black">
    <w:panose1 w:val="020B0A04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MS Mincho">
    <w:altName w:val="ＭＳ 明朝"/>
    <w:panose1 w:val="00000000000000000000"/>
    <w:charset w:val="80"/>
    <w:family w:val="roma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0000000000000000000"/>
    <w:charset w:val="80"/>
    <w:family w:val="modern"/>
    <w:notTrueType/>
    <w:pitch w:val="fixed"/>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FF2CF" w14:textId="77777777" w:rsidR="008E237B" w:rsidRDefault="008E237B">
    <w:pPr>
      <w:pStyle w:val="Footer"/>
    </w:pPr>
    <w:r w:rsidRPr="008021FC">
      <w:tab/>
    </w:r>
    <w:r>
      <w:fldChar w:fldCharType="begin"/>
    </w:r>
    <w:r>
      <w:instrText xml:space="preserve"> PAGE  \* MERGEFORMAT </w:instrText>
    </w:r>
    <w:r>
      <w:fldChar w:fldCharType="separate"/>
    </w:r>
    <w:r w:rsidR="00995939">
      <w:rPr>
        <w:noProof/>
      </w:rPr>
      <w:t>3</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D49DEF" w14:textId="77777777" w:rsidR="008E237B" w:rsidRDefault="008E237B" w:rsidP="00964778">
      <w:pPr>
        <w:spacing w:after="0"/>
      </w:pPr>
      <w:r>
        <w:separator/>
      </w:r>
    </w:p>
  </w:footnote>
  <w:footnote w:type="continuationSeparator" w:id="0">
    <w:p w14:paraId="6BF62F40" w14:textId="77777777" w:rsidR="008E237B" w:rsidRDefault="008E237B" w:rsidP="00964778">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3BE4C6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B21A3854"/>
    <w:lvl w:ilvl="0">
      <w:start w:val="1"/>
      <w:numFmt w:val="bullet"/>
      <w:lvlText w:val=""/>
      <w:lvlJc w:val="left"/>
      <w:pPr>
        <w:tabs>
          <w:tab w:val="num" w:pos="360"/>
        </w:tabs>
        <w:ind w:left="360" w:hanging="360"/>
      </w:pPr>
      <w:rPr>
        <w:rFonts w:ascii="Symbol" w:hAnsi="Symbol" w:hint="default"/>
      </w:rPr>
    </w:lvl>
  </w:abstractNum>
  <w:abstractNum w:abstractNumId="2">
    <w:nsid w:val="1FB87DBC"/>
    <w:multiLevelType w:val="multilevel"/>
    <w:tmpl w:val="3C283E6E"/>
    <w:lvl w:ilvl="0">
      <w:start w:val="1"/>
      <w:numFmt w:val="none"/>
      <w:suff w:val="nothing"/>
      <w:lvlText w:val=""/>
      <w:lvlJc w:val="left"/>
      <w:rPr>
        <w:rFonts w:hint="default"/>
      </w:rPr>
    </w:lvl>
    <w:lvl w:ilvl="1">
      <w:start w:val="1"/>
      <w:numFmt w:val="decimal"/>
      <w:lvlRestart w:val="0"/>
      <w:lvlText w:val="%2."/>
      <w:lvlJc w:val="left"/>
      <w:pPr>
        <w:tabs>
          <w:tab w:val="num" w:pos="720"/>
        </w:tabs>
        <w:ind w:left="720" w:hanging="720"/>
      </w:pPr>
      <w:rPr>
        <w:rFonts w:hint="default"/>
      </w:rPr>
    </w:lvl>
    <w:lvl w:ilvl="2">
      <w:start w:val="1"/>
      <w:numFmt w:val="lowerLetter"/>
      <w:lvlText w:val="(%3)"/>
      <w:lvlJc w:val="left"/>
      <w:pPr>
        <w:tabs>
          <w:tab w:val="num" w:pos="1195"/>
        </w:tabs>
        <w:ind w:left="1195" w:hanging="475"/>
      </w:pPr>
      <w:rPr>
        <w:rFonts w:hint="default"/>
      </w:rPr>
    </w:lvl>
    <w:lvl w:ilvl="3">
      <w:start w:val="1"/>
      <w:numFmt w:val="lowerRoman"/>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num w:numId="1">
    <w:abstractNumId w:val="1"/>
  </w:num>
  <w:num w:numId="2">
    <w:abstractNumId w:val="0"/>
  </w:num>
  <w:num w:numId="3">
    <w:abstractNumId w:val="2"/>
  </w:num>
  <w:num w:numId="4">
    <w:abstractNumId w:val="1"/>
  </w:num>
  <w:num w:numId="5">
    <w:abstractNumId w:val="2"/>
  </w:num>
  <w:num w:numId="6">
    <w:abstractNumId w:val="0"/>
  </w:num>
  <w:num w:numId="7">
    <w:abstractNumId w:val="2"/>
  </w:num>
  <w:num w:numId="8">
    <w:abstractNumId w:val="2"/>
  </w:num>
  <w:num w:numId="9">
    <w:abstractNumId w:val="2"/>
  </w:num>
  <w:num w:numId="10">
    <w:abstractNumId w:val="2"/>
  </w:num>
  <w:num w:numId="11">
    <w:abstractNumId w:val="2"/>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964778"/>
    <w:rsid w:val="00007E86"/>
    <w:rsid w:val="00012D36"/>
    <w:rsid w:val="003C7583"/>
    <w:rsid w:val="00426956"/>
    <w:rsid w:val="004C7D82"/>
    <w:rsid w:val="004F03A7"/>
    <w:rsid w:val="00747B12"/>
    <w:rsid w:val="008620BE"/>
    <w:rsid w:val="008E237B"/>
    <w:rsid w:val="00964778"/>
    <w:rsid w:val="00995939"/>
    <w:rsid w:val="009D597E"/>
    <w:rsid w:val="009F1DB7"/>
    <w:rsid w:val="00A41F4A"/>
    <w:rsid w:val="00CB216C"/>
    <w:rsid w:val="00D7790A"/>
    <w:rsid w:val="00D844C1"/>
    <w:rsid w:val="00DF5AE2"/>
    <w:rsid w:val="00F60916"/>
    <w:rsid w:val="00FB08DF"/>
    <w:rsid w:val="00FD6E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D2311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after="240"/>
      <w:jc w:val="both"/>
    </w:pPr>
    <w:rPr>
      <w:kern w:val="14"/>
      <w:sz w:val="24"/>
      <w:lang w:val="en-GB" w:bidi="en-US"/>
    </w:rPr>
  </w:style>
  <w:style w:type="paragraph" w:styleId="Heading1">
    <w:name w:val="heading 1"/>
    <w:basedOn w:val="Normal"/>
    <w:next w:val="Text"/>
    <w:qFormat/>
    <w:pPr>
      <w:keepNext/>
      <w:numPr>
        <w:numId w:val="10"/>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qFormat/>
    <w:rsid w:val="004F03A7"/>
    <w:pPr>
      <w:keepNext/>
      <w:jc w:val="left"/>
      <w:outlineLvl w:val="1"/>
    </w:pPr>
    <w:rPr>
      <w:rFonts w:ascii="Arial Black" w:hAnsi="Arial Black"/>
      <w:color w:val="333333"/>
      <w:kern w:val="0"/>
      <w:sz w:val="20"/>
    </w:rPr>
  </w:style>
  <w:style w:type="paragraph" w:styleId="Heading3">
    <w:name w:val="heading 3"/>
    <w:basedOn w:val="Normal"/>
    <w:next w:val="Text"/>
    <w:qFormat/>
    <w:rsid w:val="00F51716"/>
    <w:pPr>
      <w:keepNext/>
      <w:jc w:val="left"/>
      <w:outlineLvl w:val="2"/>
    </w:pPr>
    <w:rPr>
      <w:rFonts w:cs="Arial"/>
      <w:b/>
      <w:color w:val="333333"/>
      <w:kern w:val="0"/>
      <w:sz w:val="22"/>
      <w:szCs w:val="18"/>
    </w:rPr>
  </w:style>
  <w:style w:type="paragraph" w:styleId="Heading4">
    <w:name w:val="heading 4"/>
    <w:basedOn w:val="Normal"/>
    <w:next w:val="Normal"/>
    <w:qFormat/>
    <w:pPr>
      <w:keepNext/>
      <w:jc w:val="left"/>
      <w:outlineLvl w:val="3"/>
    </w:pPr>
    <w:rPr>
      <w:i/>
      <w:shd w:val="clear" w:color="FFFFFF" w:fil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0"/>
      <w:jc w:val="left"/>
    </w:pPr>
  </w:style>
  <w:style w:type="paragraph" w:styleId="Caption">
    <w:name w:val="caption"/>
    <w:basedOn w:val="Normal"/>
    <w:next w:val="Table"/>
    <w:qFormat/>
    <w:pPr>
      <w:keepNext/>
      <w:keepLines/>
      <w:tabs>
        <w:tab w:val="left" w:pos="1080"/>
      </w:tabs>
      <w:ind w:left="1080" w:hanging="1080"/>
      <w:jc w:val="left"/>
      <w:outlineLvl w:val="4"/>
    </w:pPr>
    <w:rPr>
      <w:rFonts w:eastAsia="MS Mincho"/>
      <w:b/>
      <w:sz w:val="22"/>
    </w:rPr>
  </w:style>
  <w:style w:type="paragraph" w:customStyle="1" w:styleId="Code">
    <w:name w:val="Code"/>
    <w:basedOn w:val="BodyText"/>
    <w:rPr>
      <w:rFonts w:ascii="Courier" w:hAnsi="Courier"/>
      <w:sz w:val="16"/>
    </w:rPr>
  </w:style>
  <w:style w:type="paragraph" w:customStyle="1" w:styleId="DocumentControl">
    <w:name w:val="Document Control"/>
    <w:basedOn w:val="Normal"/>
    <w:pPr>
      <w:tabs>
        <w:tab w:val="left" w:pos="1786"/>
        <w:tab w:val="left" w:pos="9000"/>
      </w:tabs>
      <w:spacing w:after="0" w:line="240" w:lineRule="exact"/>
      <w:jc w:val="left"/>
    </w:pPr>
    <w:rPr>
      <w:rFonts w:ascii="Arial Black" w:hAnsi="Arial Black"/>
      <w:kern w:val="20"/>
      <w:sz w:val="20"/>
    </w:rPr>
  </w:style>
  <w:style w:type="paragraph" w:styleId="DocumentMap">
    <w:name w:val="Document Map"/>
    <w:basedOn w:val="Normal"/>
    <w:semiHidden/>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Pr>
      <w:i/>
      <w:color w:val="FF0000"/>
      <w:shd w:val="clear" w:color="FFFFFF" w:fill="FFFF99"/>
    </w:rPr>
  </w:style>
  <w:style w:type="character" w:customStyle="1" w:styleId="DraftingNoteChar">
    <w:name w:val="Drafting Note Char"/>
    <w:basedOn w:val="DefaultParagraphFont"/>
    <w:rPr>
      <w:rFonts w:cs="Times New Roman"/>
      <w:i/>
      <w:color w:val="FF0000"/>
      <w:kern w:val="14"/>
      <w:sz w:val="24"/>
      <w:shd w:val="clear" w:color="FFFFFF" w:fill="FFFF99"/>
      <w:lang w:val="en-GB" w:eastAsia="en-US"/>
    </w:rPr>
  </w:style>
  <w:style w:type="paragraph" w:customStyle="1" w:styleId="Equation">
    <w:name w:val="Equation"/>
    <w:basedOn w:val="BodyText"/>
    <w:pPr>
      <w:tabs>
        <w:tab w:val="right" w:pos="8640"/>
      </w:tabs>
      <w:spacing w:after="240"/>
      <w:ind w:left="1080"/>
    </w:pPr>
  </w:style>
  <w:style w:type="paragraph" w:customStyle="1" w:styleId="Eqwhere">
    <w:name w:val="Eqwhere"/>
    <w:basedOn w:val="BodyText"/>
    <w:pPr>
      <w:spacing w:after="240"/>
      <w:ind w:left="720"/>
    </w:pPr>
  </w:style>
  <w:style w:type="character" w:styleId="FollowedHyperlink">
    <w:name w:val="FollowedHyperlink"/>
    <w:basedOn w:val="DefaultParagraphFont"/>
    <w:rPr>
      <w:rFonts w:cs="Times New Roman"/>
      <w:color w:val="auto"/>
      <w:u w:val="none"/>
    </w:rPr>
  </w:style>
  <w:style w:type="paragraph" w:styleId="Header">
    <w:name w:val="header"/>
    <w:basedOn w:val="Normal"/>
    <w:pPr>
      <w:tabs>
        <w:tab w:val="right" w:pos="9000"/>
      </w:tabs>
      <w:spacing w:after="0" w:line="240" w:lineRule="exact"/>
      <w:jc w:val="left"/>
    </w:pPr>
    <w:rPr>
      <w:rFonts w:ascii="Arial" w:hAnsi="Arial"/>
      <w:color w:val="0066CC"/>
      <w:kern w:val="18"/>
      <w:sz w:val="18"/>
    </w:rPr>
  </w:style>
  <w:style w:type="paragraph" w:styleId="Footer">
    <w:name w:val="footer"/>
    <w:basedOn w:val="Header"/>
    <w:semiHidden/>
  </w:style>
  <w:style w:type="character" w:styleId="FootnoteReference">
    <w:name w:val="footnote reference"/>
    <w:basedOn w:val="DefaultParagraphFont"/>
    <w:semiHidden/>
    <w:rPr>
      <w:rFonts w:cs="Times New Roman"/>
      <w:vertAlign w:val="superscript"/>
    </w:rPr>
  </w:style>
  <w:style w:type="paragraph" w:styleId="FootnoteText">
    <w:name w:val="footnote text"/>
    <w:basedOn w:val="Normal"/>
    <w:semiHidden/>
    <w:pPr>
      <w:tabs>
        <w:tab w:val="left" w:pos="180"/>
      </w:tabs>
      <w:spacing w:after="0"/>
      <w:ind w:left="180" w:hanging="180"/>
      <w:jc w:val="left"/>
    </w:pPr>
    <w:rPr>
      <w:sz w:val="18"/>
    </w:rPr>
  </w:style>
  <w:style w:type="paragraph" w:customStyle="1" w:styleId="Hidden">
    <w:name w:val="Hidden"/>
    <w:basedOn w:val="DocumentControl"/>
    <w:rPr>
      <w:vanish/>
      <w:color w:val="FF6633"/>
    </w:rPr>
  </w:style>
  <w:style w:type="character" w:styleId="Hyperlink">
    <w:name w:val="Hyperlink"/>
    <w:basedOn w:val="DefaultParagraphFont"/>
    <w:rPr>
      <w:rFonts w:cs="Times New Roman"/>
      <w:color w:val="auto"/>
    </w:rPr>
  </w:style>
  <w:style w:type="paragraph" w:styleId="ListBullet">
    <w:name w:val="List Bullet"/>
    <w:basedOn w:val="Normal"/>
    <w:pPr>
      <w:numPr>
        <w:ilvl w:val="2"/>
        <w:numId w:val="10"/>
      </w:numPr>
    </w:pPr>
  </w:style>
  <w:style w:type="paragraph" w:styleId="ListBullet2">
    <w:name w:val="List Bullet 2"/>
    <w:basedOn w:val="Normal"/>
    <w:pPr>
      <w:numPr>
        <w:ilvl w:val="3"/>
        <w:numId w:val="10"/>
      </w:numPr>
    </w:pPr>
  </w:style>
  <w:style w:type="paragraph" w:styleId="PlainText">
    <w:name w:val="Plain Text"/>
    <w:basedOn w:val="Normal"/>
    <w:rPr>
      <w:rFonts w:ascii="Courier" w:hAnsi="Courier"/>
      <w:szCs w:val="24"/>
    </w:rPr>
  </w:style>
  <w:style w:type="paragraph" w:customStyle="1" w:styleId="Quotation">
    <w:name w:val="Quotation"/>
    <w:basedOn w:val="BodyText"/>
    <w:pPr>
      <w:spacing w:after="240"/>
      <w:ind w:left="1080" w:right="360"/>
      <w:jc w:val="both"/>
    </w:pPr>
    <w:rPr>
      <w:spacing w:val="-4"/>
      <w:kern w:val="20"/>
    </w:rPr>
  </w:style>
  <w:style w:type="paragraph" w:customStyle="1" w:styleId="Table">
    <w:name w:val="Table"/>
    <w:basedOn w:val="Normal"/>
    <w:pPr>
      <w:tabs>
        <w:tab w:val="num" w:pos="720"/>
      </w:tabs>
      <w:spacing w:before="120" w:after="120"/>
      <w:jc w:val="left"/>
    </w:pPr>
    <w:rPr>
      <w:sz w:val="22"/>
    </w:rPr>
  </w:style>
  <w:style w:type="table" w:styleId="TableGrid">
    <w:name w:val="Table Grid"/>
    <w:basedOn w:val="TableNormal"/>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LastNote">
    <w:name w:val="Table Last Note"/>
    <w:basedOn w:val="Normal"/>
    <w:pPr>
      <w:keepLines/>
      <w:tabs>
        <w:tab w:val="num" w:pos="0"/>
      </w:tabs>
      <w:spacing w:before="40"/>
    </w:pPr>
    <w:rPr>
      <w:rFonts w:cs="Arial"/>
      <w:sz w:val="18"/>
      <w:szCs w:val="24"/>
    </w:rPr>
  </w:style>
  <w:style w:type="paragraph" w:customStyle="1" w:styleId="TableNotes">
    <w:name w:val="Table Notes"/>
    <w:basedOn w:val="Normal"/>
    <w:pPr>
      <w:keepNext/>
      <w:keepLines/>
      <w:tabs>
        <w:tab w:val="num" w:pos="720"/>
      </w:tabs>
      <w:spacing w:before="40" w:after="40"/>
    </w:pPr>
    <w:rPr>
      <w:i/>
      <w:sz w:val="18"/>
    </w:rPr>
  </w:style>
  <w:style w:type="paragraph" w:customStyle="1" w:styleId="Text">
    <w:name w:val="Text"/>
    <w:basedOn w:val="Normal"/>
    <w:pPr>
      <w:numPr>
        <w:ilvl w:val="1"/>
        <w:numId w:val="10"/>
      </w:numPr>
    </w:pPr>
  </w:style>
  <w:style w:type="paragraph" w:styleId="TOC1">
    <w:name w:val="toc 1"/>
    <w:basedOn w:val="Normal"/>
    <w:next w:val="Normal"/>
    <w:autoRedefine/>
    <w:semiHidden/>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pPr>
      <w:tabs>
        <w:tab w:val="right" w:leader="dot" w:pos="9000"/>
      </w:tabs>
      <w:spacing w:after="0"/>
      <w:ind w:right="380"/>
    </w:pPr>
    <w:rPr>
      <w:noProof/>
      <w:sz w:val="18"/>
    </w:rPr>
  </w:style>
  <w:style w:type="paragraph" w:styleId="TOCHeading">
    <w:name w:val="TOC Heading"/>
    <w:basedOn w:val="TOC1"/>
    <w:qFormat/>
    <w:pPr>
      <w:ind w:right="0"/>
    </w:pPr>
  </w:style>
  <w:style w:type="paragraph" w:customStyle="1" w:styleId="Default">
    <w:name w:val="Default"/>
    <w:rsid w:val="008A3EC3"/>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784EED"/>
    <w:rPr>
      <w:rFonts w:cs="Times New Roman"/>
    </w:rPr>
  </w:style>
  <w:style w:type="paragraph" w:customStyle="1" w:styleId="Byline">
    <w:name w:val="Byline"/>
    <w:basedOn w:val="Heading3"/>
    <w:rsid w:val="004F03A7"/>
    <w:pPr>
      <w:outlineLvl w:val="4"/>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after="240"/>
      <w:jc w:val="both"/>
    </w:pPr>
    <w:rPr>
      <w:kern w:val="14"/>
      <w:sz w:val="24"/>
      <w:lang w:val="en-GB" w:bidi="en-US"/>
    </w:rPr>
  </w:style>
  <w:style w:type="paragraph" w:styleId="Heading1">
    <w:name w:val="heading 1"/>
    <w:basedOn w:val="Normal"/>
    <w:next w:val="Text"/>
    <w:qFormat/>
    <w:pPr>
      <w:keepNext/>
      <w:numPr>
        <w:numId w:val="10"/>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qFormat/>
    <w:rsid w:val="004F03A7"/>
    <w:pPr>
      <w:keepNext/>
      <w:jc w:val="left"/>
      <w:outlineLvl w:val="1"/>
    </w:pPr>
    <w:rPr>
      <w:rFonts w:ascii="Arial Black" w:hAnsi="Arial Black"/>
      <w:color w:val="333333"/>
      <w:kern w:val="0"/>
      <w:sz w:val="20"/>
    </w:rPr>
  </w:style>
  <w:style w:type="paragraph" w:styleId="Heading3">
    <w:name w:val="heading 3"/>
    <w:basedOn w:val="Normal"/>
    <w:next w:val="Text"/>
    <w:qFormat/>
    <w:rsid w:val="00F51716"/>
    <w:pPr>
      <w:keepNext/>
      <w:jc w:val="left"/>
      <w:outlineLvl w:val="2"/>
    </w:pPr>
    <w:rPr>
      <w:rFonts w:cs="Arial"/>
      <w:b/>
      <w:color w:val="333333"/>
      <w:kern w:val="0"/>
      <w:sz w:val="22"/>
      <w:szCs w:val="18"/>
    </w:rPr>
  </w:style>
  <w:style w:type="paragraph" w:styleId="Heading4">
    <w:name w:val="heading 4"/>
    <w:basedOn w:val="Normal"/>
    <w:next w:val="Normal"/>
    <w:qFormat/>
    <w:pPr>
      <w:keepNext/>
      <w:jc w:val="left"/>
      <w:outlineLvl w:val="3"/>
    </w:pPr>
    <w:rPr>
      <w:i/>
      <w:shd w:val="clear" w:color="FFFFFF" w:fil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0"/>
      <w:jc w:val="left"/>
    </w:pPr>
  </w:style>
  <w:style w:type="paragraph" w:styleId="Caption">
    <w:name w:val="caption"/>
    <w:basedOn w:val="Normal"/>
    <w:next w:val="Table"/>
    <w:qFormat/>
    <w:pPr>
      <w:keepNext/>
      <w:keepLines/>
      <w:tabs>
        <w:tab w:val="left" w:pos="1080"/>
      </w:tabs>
      <w:ind w:left="1080" w:hanging="1080"/>
      <w:jc w:val="left"/>
      <w:outlineLvl w:val="4"/>
    </w:pPr>
    <w:rPr>
      <w:rFonts w:eastAsia="MS Mincho"/>
      <w:b/>
      <w:sz w:val="22"/>
    </w:rPr>
  </w:style>
  <w:style w:type="paragraph" w:customStyle="1" w:styleId="Code">
    <w:name w:val="Code"/>
    <w:basedOn w:val="BodyText"/>
    <w:rPr>
      <w:rFonts w:ascii="Courier" w:hAnsi="Courier"/>
      <w:sz w:val="16"/>
    </w:rPr>
  </w:style>
  <w:style w:type="paragraph" w:customStyle="1" w:styleId="DocumentControl">
    <w:name w:val="Document Control"/>
    <w:basedOn w:val="Normal"/>
    <w:pPr>
      <w:tabs>
        <w:tab w:val="left" w:pos="1786"/>
        <w:tab w:val="left" w:pos="9000"/>
      </w:tabs>
      <w:spacing w:after="0" w:line="240" w:lineRule="exact"/>
      <w:jc w:val="left"/>
    </w:pPr>
    <w:rPr>
      <w:rFonts w:ascii="Arial Black" w:hAnsi="Arial Black"/>
      <w:kern w:val="20"/>
      <w:sz w:val="20"/>
    </w:rPr>
  </w:style>
  <w:style w:type="paragraph" w:styleId="DocumentMap">
    <w:name w:val="Document Map"/>
    <w:basedOn w:val="Normal"/>
    <w:semiHidden/>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Pr>
      <w:i/>
      <w:color w:val="FF0000"/>
      <w:shd w:val="clear" w:color="FFFFFF" w:fill="FFFF99"/>
    </w:rPr>
  </w:style>
  <w:style w:type="character" w:customStyle="1" w:styleId="DraftingNoteChar">
    <w:name w:val="Drafting Note Char"/>
    <w:basedOn w:val="DefaultParagraphFont"/>
    <w:rPr>
      <w:rFonts w:cs="Times New Roman"/>
      <w:i/>
      <w:color w:val="FF0000"/>
      <w:kern w:val="14"/>
      <w:sz w:val="24"/>
      <w:shd w:val="clear" w:color="FFFFFF" w:fill="FFFF99"/>
      <w:lang w:val="en-GB" w:eastAsia="en-US"/>
    </w:rPr>
  </w:style>
  <w:style w:type="paragraph" w:customStyle="1" w:styleId="Equation">
    <w:name w:val="Equation"/>
    <w:basedOn w:val="BodyText"/>
    <w:pPr>
      <w:tabs>
        <w:tab w:val="right" w:pos="8640"/>
      </w:tabs>
      <w:spacing w:after="240"/>
      <w:ind w:left="1080"/>
    </w:pPr>
  </w:style>
  <w:style w:type="paragraph" w:customStyle="1" w:styleId="Eqwhere">
    <w:name w:val="Eqwhere"/>
    <w:basedOn w:val="BodyText"/>
    <w:pPr>
      <w:spacing w:after="240"/>
      <w:ind w:left="720"/>
    </w:pPr>
  </w:style>
  <w:style w:type="character" w:styleId="FollowedHyperlink">
    <w:name w:val="FollowedHyperlink"/>
    <w:basedOn w:val="DefaultParagraphFont"/>
    <w:rPr>
      <w:rFonts w:cs="Times New Roman"/>
      <w:color w:val="auto"/>
      <w:u w:val="none"/>
    </w:rPr>
  </w:style>
  <w:style w:type="paragraph" w:styleId="Header">
    <w:name w:val="header"/>
    <w:basedOn w:val="Normal"/>
    <w:pPr>
      <w:tabs>
        <w:tab w:val="right" w:pos="9000"/>
      </w:tabs>
      <w:spacing w:after="0" w:line="240" w:lineRule="exact"/>
      <w:jc w:val="left"/>
    </w:pPr>
    <w:rPr>
      <w:rFonts w:ascii="Arial" w:hAnsi="Arial"/>
      <w:color w:val="0066CC"/>
      <w:kern w:val="18"/>
      <w:sz w:val="18"/>
    </w:rPr>
  </w:style>
  <w:style w:type="paragraph" w:styleId="Footer">
    <w:name w:val="footer"/>
    <w:basedOn w:val="Header"/>
    <w:semiHidden/>
  </w:style>
  <w:style w:type="character" w:styleId="FootnoteReference">
    <w:name w:val="footnote reference"/>
    <w:basedOn w:val="DefaultParagraphFont"/>
    <w:semiHidden/>
    <w:rPr>
      <w:rFonts w:cs="Times New Roman"/>
      <w:vertAlign w:val="superscript"/>
    </w:rPr>
  </w:style>
  <w:style w:type="paragraph" w:styleId="FootnoteText">
    <w:name w:val="footnote text"/>
    <w:basedOn w:val="Normal"/>
    <w:semiHidden/>
    <w:pPr>
      <w:tabs>
        <w:tab w:val="left" w:pos="180"/>
      </w:tabs>
      <w:spacing w:after="0"/>
      <w:ind w:left="180" w:hanging="180"/>
      <w:jc w:val="left"/>
    </w:pPr>
    <w:rPr>
      <w:sz w:val="18"/>
    </w:rPr>
  </w:style>
  <w:style w:type="paragraph" w:customStyle="1" w:styleId="Hidden">
    <w:name w:val="Hidden"/>
    <w:basedOn w:val="DocumentControl"/>
    <w:rPr>
      <w:vanish/>
      <w:color w:val="FF6633"/>
    </w:rPr>
  </w:style>
  <w:style w:type="character" w:styleId="Hyperlink">
    <w:name w:val="Hyperlink"/>
    <w:basedOn w:val="DefaultParagraphFont"/>
    <w:rPr>
      <w:rFonts w:cs="Times New Roman"/>
      <w:color w:val="auto"/>
    </w:rPr>
  </w:style>
  <w:style w:type="paragraph" w:styleId="ListBullet">
    <w:name w:val="List Bullet"/>
    <w:basedOn w:val="Normal"/>
    <w:pPr>
      <w:numPr>
        <w:ilvl w:val="2"/>
        <w:numId w:val="10"/>
      </w:numPr>
    </w:pPr>
  </w:style>
  <w:style w:type="paragraph" w:styleId="ListBullet2">
    <w:name w:val="List Bullet 2"/>
    <w:basedOn w:val="Normal"/>
    <w:pPr>
      <w:numPr>
        <w:ilvl w:val="3"/>
        <w:numId w:val="10"/>
      </w:numPr>
    </w:pPr>
  </w:style>
  <w:style w:type="paragraph" w:styleId="PlainText">
    <w:name w:val="Plain Text"/>
    <w:basedOn w:val="Normal"/>
    <w:rPr>
      <w:rFonts w:ascii="Courier" w:hAnsi="Courier"/>
      <w:szCs w:val="24"/>
    </w:rPr>
  </w:style>
  <w:style w:type="paragraph" w:customStyle="1" w:styleId="Quotation">
    <w:name w:val="Quotation"/>
    <w:basedOn w:val="BodyText"/>
    <w:pPr>
      <w:spacing w:after="240"/>
      <w:ind w:left="1080" w:right="360"/>
      <w:jc w:val="both"/>
    </w:pPr>
    <w:rPr>
      <w:spacing w:val="-4"/>
      <w:kern w:val="20"/>
    </w:rPr>
  </w:style>
  <w:style w:type="paragraph" w:customStyle="1" w:styleId="Table">
    <w:name w:val="Table"/>
    <w:basedOn w:val="Normal"/>
    <w:pPr>
      <w:tabs>
        <w:tab w:val="num" w:pos="720"/>
      </w:tabs>
      <w:spacing w:before="120" w:after="120"/>
      <w:jc w:val="left"/>
    </w:pPr>
    <w:rPr>
      <w:sz w:val="22"/>
    </w:rPr>
  </w:style>
  <w:style w:type="table" w:styleId="TableGrid">
    <w:name w:val="Table Grid"/>
    <w:basedOn w:val="TableNormal"/>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LastNote">
    <w:name w:val="Table Last Note"/>
    <w:basedOn w:val="Normal"/>
    <w:pPr>
      <w:keepLines/>
      <w:tabs>
        <w:tab w:val="num" w:pos="0"/>
      </w:tabs>
      <w:spacing w:before="40"/>
    </w:pPr>
    <w:rPr>
      <w:rFonts w:cs="Arial"/>
      <w:sz w:val="18"/>
      <w:szCs w:val="24"/>
    </w:rPr>
  </w:style>
  <w:style w:type="paragraph" w:customStyle="1" w:styleId="TableNotes">
    <w:name w:val="Table Notes"/>
    <w:basedOn w:val="Normal"/>
    <w:pPr>
      <w:keepNext/>
      <w:keepLines/>
      <w:tabs>
        <w:tab w:val="num" w:pos="720"/>
      </w:tabs>
      <w:spacing w:before="40" w:after="40"/>
    </w:pPr>
    <w:rPr>
      <w:i/>
      <w:sz w:val="18"/>
    </w:rPr>
  </w:style>
  <w:style w:type="paragraph" w:customStyle="1" w:styleId="Text">
    <w:name w:val="Text"/>
    <w:basedOn w:val="Normal"/>
    <w:pPr>
      <w:numPr>
        <w:ilvl w:val="1"/>
        <w:numId w:val="10"/>
      </w:numPr>
    </w:pPr>
  </w:style>
  <w:style w:type="paragraph" w:styleId="TOC1">
    <w:name w:val="toc 1"/>
    <w:basedOn w:val="Normal"/>
    <w:next w:val="Normal"/>
    <w:autoRedefine/>
    <w:semiHidden/>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pPr>
      <w:tabs>
        <w:tab w:val="right" w:leader="dot" w:pos="9000"/>
      </w:tabs>
      <w:spacing w:after="0"/>
      <w:ind w:right="380"/>
    </w:pPr>
    <w:rPr>
      <w:noProof/>
      <w:sz w:val="18"/>
    </w:rPr>
  </w:style>
  <w:style w:type="paragraph" w:styleId="TOCHeading">
    <w:name w:val="TOC Heading"/>
    <w:basedOn w:val="TOC1"/>
    <w:qFormat/>
    <w:pPr>
      <w:ind w:right="0"/>
    </w:pPr>
  </w:style>
  <w:style w:type="paragraph" w:customStyle="1" w:styleId="Default">
    <w:name w:val="Default"/>
    <w:rsid w:val="008A3EC3"/>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784EED"/>
    <w:rPr>
      <w:rFonts w:cs="Times New Roman"/>
    </w:rPr>
  </w:style>
  <w:style w:type="paragraph" w:customStyle="1" w:styleId="Byline">
    <w:name w:val="Byline"/>
    <w:basedOn w:val="Heading3"/>
    <w:rsid w:val="004F03A7"/>
    <w:pPr>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5666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franck:Documents:Projects:Templates: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Paper.dotx</Template>
  <TotalTime>30</TotalTime>
  <Pages>3</Pages>
  <Words>638</Words>
  <Characters>3297</Characters>
  <Application>Microsoft Macintosh Word</Application>
  <DocSecurity>0</DocSecurity>
  <Lines>106</Lines>
  <Paragraphs>109</Paragraphs>
  <ScaleCrop>false</ScaleCrop>
  <HeadingPairs>
    <vt:vector size="2" baseType="variant">
      <vt:variant>
        <vt:lpstr>Title</vt:lpstr>
      </vt:variant>
      <vt:variant>
        <vt:i4>1</vt:i4>
      </vt:variant>
    </vt:vector>
  </HeadingPairs>
  <TitlesOfParts>
    <vt:vector size="1" baseType="lpstr">
      <vt:lpstr>Title</vt:lpstr>
    </vt:vector>
  </TitlesOfParts>
  <Manager/>
  <Company/>
  <LinksUpToDate>false</LinksUpToDate>
  <CharactersWithSpaces>3826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Latrémolière (Reckon)</dc:creator>
  <cp:keywords/>
  <dc:description/>
  <cp:lastModifiedBy>Franck Latrémolière (Reckon)</cp:lastModifiedBy>
  <cp:revision>12</cp:revision>
  <cp:lastPrinted>2014-01-02T18:46:00Z</cp:lastPrinted>
  <dcterms:created xsi:type="dcterms:W3CDTF">2014-01-02T18:32:00Z</dcterms:created>
  <dcterms:modified xsi:type="dcterms:W3CDTF">2014-01-06T12:46:00Z</dcterms:modified>
  <cp:category/>
</cp:coreProperties>
</file>