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D16" w:rsidRPr="00342B85" w:rsidRDefault="00C24D16" w:rsidP="00342B85">
      <w:pPr>
        <w:ind w:hanging="851"/>
        <w:jc w:val="both"/>
        <w:rPr>
          <w:rFonts w:ascii="Verdana" w:hAnsi="Verdana"/>
          <w:noProof/>
          <w:sz w:val="20"/>
          <w:szCs w:val="20"/>
          <w:lang w:val="en-US"/>
        </w:rPr>
      </w:pPr>
      <w:r w:rsidRPr="00342B85">
        <w:rPr>
          <w:rFonts w:ascii="Verdana" w:hAnsi="Verdana"/>
          <w:sz w:val="20"/>
          <w:szCs w:val="20"/>
        </w:rPr>
        <w:t xml:space="preserve"> </w:t>
      </w:r>
      <w:r w:rsidR="009B6CDA">
        <w:rPr>
          <w:rFonts w:ascii="Verdana" w:hAnsi="Verdana"/>
          <w:noProof/>
          <w:sz w:val="20"/>
          <w:szCs w:val="20"/>
        </w:rPr>
        <w:drawing>
          <wp:inline distT="0" distB="0" distL="0" distR="0" wp14:anchorId="6E8DC84A" wp14:editId="5049A4DC">
            <wp:extent cx="2571750" cy="828675"/>
            <wp:effectExtent l="0" t="0" r="0" b="9525"/>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0" cy="828675"/>
                    </a:xfrm>
                    <a:prstGeom prst="rect">
                      <a:avLst/>
                    </a:prstGeom>
                    <a:noFill/>
                    <a:ln>
                      <a:noFill/>
                    </a:ln>
                  </pic:spPr>
                </pic:pic>
              </a:graphicData>
            </a:graphic>
          </wp:inline>
        </w:drawing>
      </w:r>
    </w:p>
    <w:p w:rsidR="00C24D16" w:rsidRPr="00342B85" w:rsidRDefault="00C24D16" w:rsidP="00342B85">
      <w:pPr>
        <w:jc w:val="both"/>
        <w:rPr>
          <w:rFonts w:ascii="Verdana" w:hAnsi="Verdana"/>
          <w:noProof/>
          <w:sz w:val="20"/>
          <w:szCs w:val="20"/>
          <w:lang w:val="en-US"/>
        </w:rPr>
      </w:pPr>
    </w:p>
    <w:p w:rsidR="00C24D16" w:rsidRPr="00342B85" w:rsidRDefault="00C24D16" w:rsidP="000076FC">
      <w:pPr>
        <w:tabs>
          <w:tab w:val="left" w:pos="5358"/>
        </w:tabs>
        <w:jc w:val="both"/>
        <w:rPr>
          <w:rFonts w:ascii="Verdana" w:hAnsi="Verdana"/>
          <w:noProof/>
          <w:sz w:val="20"/>
          <w:szCs w:val="20"/>
          <w:lang w:val="en-US"/>
        </w:rPr>
      </w:pPr>
      <w:r>
        <w:rPr>
          <w:rFonts w:ascii="Verdana" w:hAnsi="Verdana"/>
          <w:noProof/>
          <w:sz w:val="20"/>
          <w:szCs w:val="20"/>
          <w:lang w:val="en-US"/>
        </w:rPr>
        <w:tab/>
      </w:r>
    </w:p>
    <w:p w:rsidR="00C24D16" w:rsidRPr="00342B85" w:rsidRDefault="009B6CDA" w:rsidP="00342B85">
      <w:pPr>
        <w:jc w:val="both"/>
        <w:rPr>
          <w:rFonts w:ascii="Verdana" w:hAnsi="Verdana"/>
          <w:sz w:val="20"/>
          <w:szCs w:val="20"/>
        </w:rPr>
      </w:pPr>
      <w:r>
        <w:rPr>
          <w:noProof/>
        </w:rPr>
        <mc:AlternateContent>
          <mc:Choice Requires="wpg">
            <w:drawing>
              <wp:anchor distT="0" distB="0" distL="114300" distR="114300" simplePos="0" relativeHeight="251659264" behindDoc="1" locked="0" layoutInCell="1" allowOverlap="1" wp14:anchorId="34466E01" wp14:editId="0CF6ED4A">
                <wp:simplePos x="0" y="0"/>
                <wp:positionH relativeFrom="column">
                  <wp:posOffset>-271780</wp:posOffset>
                </wp:positionH>
                <wp:positionV relativeFrom="paragraph">
                  <wp:posOffset>748030</wp:posOffset>
                </wp:positionV>
                <wp:extent cx="6108065" cy="2190115"/>
                <wp:effectExtent l="0" t="0" r="6985" b="0"/>
                <wp:wrapTight wrapText="bothSides">
                  <wp:wrapPolygon edited="0">
                    <wp:start x="135" y="564"/>
                    <wp:lineTo x="135" y="21043"/>
                    <wp:lineTo x="19065" y="21043"/>
                    <wp:lineTo x="19065" y="9958"/>
                    <wp:lineTo x="21557" y="7139"/>
                    <wp:lineTo x="21557" y="6952"/>
                    <wp:lineTo x="20008" y="3945"/>
                    <wp:lineTo x="20008" y="564"/>
                    <wp:lineTo x="135" y="564"/>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065" cy="2190115"/>
                          <a:chOff x="1678" y="11011"/>
                          <a:chExt cx="9619" cy="238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4D16" w:rsidRPr="00767B37" w:rsidRDefault="00C24D16" w:rsidP="00E63A20">
                              <w:pPr>
                                <w:ind w:left="-142"/>
                                <w:rPr>
                                  <w:rFonts w:ascii="Verdana" w:hAnsi="Verdana"/>
                                  <w:b/>
                                  <w:sz w:val="32"/>
                                  <w:szCs w:val="32"/>
                                </w:rPr>
                              </w:pPr>
                              <w:r w:rsidRPr="00767B37">
                                <w:rPr>
                                  <w:rFonts w:ascii="Verdana" w:hAnsi="Verdana"/>
                                  <w:b/>
                                  <w:sz w:val="32"/>
                                  <w:szCs w:val="32"/>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918"/>
                            <a:ext cx="8603" cy="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4D16" w:rsidRPr="00435098" w:rsidRDefault="00C24D16" w:rsidP="00E63A20">
                              <w:pPr>
                                <w:ind w:left="-142"/>
                                <w:rPr>
                                  <w:rFonts w:ascii="Verdana" w:hAnsi="Verdana"/>
                                  <w:sz w:val="36"/>
                                  <w:szCs w:val="36"/>
                                </w:rPr>
                              </w:pPr>
                              <w:r>
                                <w:rPr>
                                  <w:rFonts w:ascii="Verdana" w:hAnsi="Verdana"/>
                                  <w:sz w:val="36"/>
                                  <w:szCs w:val="36"/>
                                </w:rPr>
                                <w:t xml:space="preserve">DCP 167 - Additional Example(s) For </w:t>
                              </w:r>
                              <w:proofErr w:type="gramStart"/>
                              <w:r>
                                <w:rPr>
                                  <w:rFonts w:ascii="Verdana" w:hAnsi="Verdana"/>
                                  <w:sz w:val="36"/>
                                  <w:szCs w:val="36"/>
                                </w:rPr>
                                <w:t>T</w:t>
                              </w:r>
                              <w:r w:rsidRPr="00A71B83">
                                <w:rPr>
                                  <w:rFonts w:ascii="Verdana" w:hAnsi="Verdana"/>
                                  <w:sz w:val="36"/>
                                  <w:szCs w:val="36"/>
                                </w:rPr>
                                <w:t>he</w:t>
                              </w:r>
                              <w:proofErr w:type="gramEnd"/>
                              <w:r w:rsidRPr="00A71B83">
                                <w:rPr>
                                  <w:rFonts w:ascii="Verdana" w:hAnsi="Verdana"/>
                                  <w:sz w:val="36"/>
                                  <w:szCs w:val="36"/>
                                </w:rPr>
                                <w:t xml:space="preserve"> Common C</w:t>
                              </w:r>
                              <w:r>
                                <w:rPr>
                                  <w:rFonts w:ascii="Verdana" w:hAnsi="Verdana"/>
                                  <w:sz w:val="36"/>
                                  <w:szCs w:val="36"/>
                                </w:rPr>
                                <w:t>onnection Charging Methodology To Illustrate ‘Remote R</w:t>
                              </w:r>
                              <w:r w:rsidRPr="00A71B83">
                                <w:rPr>
                                  <w:rFonts w:ascii="Verdana" w:hAnsi="Verdana"/>
                                  <w:sz w:val="36"/>
                                  <w:szCs w:val="36"/>
                                </w:rPr>
                                <w:t xml:space="preserve">einforcement’ </w:t>
                              </w:r>
                              <w:r>
                                <w:rPr>
                                  <w:rFonts w:ascii="Verdana" w:hAnsi="Verdana"/>
                                  <w:sz w:val="36"/>
                                  <w:szCs w:val="36"/>
                                </w:rPr>
                                <w:t>And ‘Network R</w:t>
                              </w:r>
                              <w:r w:rsidRPr="00A71B83">
                                <w:rPr>
                                  <w:rFonts w:ascii="Verdana" w:hAnsi="Verdana"/>
                                  <w:sz w:val="36"/>
                                  <w:szCs w:val="36"/>
                                </w:rPr>
                                <w:t>econfiguration’</w:t>
                              </w:r>
                              <w:r>
                                <w:rPr>
                                  <w:rFonts w:ascii="Verdana" w:hAnsi="Verdana"/>
                                  <w:bCs/>
                                  <w:sz w:val="20"/>
                                  <w:szCs w:val="20"/>
                                </w:rPr>
                                <w:t xml:space="preserve">  </w:t>
                              </w:r>
                            </w:p>
                          </w:txbxContent>
                        </wps:txbx>
                        <wps:bodyPr rot="0" vert="horz" wrap="square" lIns="91440" tIns="91440" rIns="91440" bIns="91440" anchor="t" anchorCtr="0" upright="1">
                          <a:noAutofit/>
                        </wps:bodyPr>
                      </wps:wsp>
                      <wps:wsp>
                        <wps:cNvPr id="5" name="Line 5"/>
                        <wps:cNvCnPr/>
                        <wps:spPr bwMode="auto">
                          <a:xfrm>
                            <a:off x="1803" y="11782"/>
                            <a:ext cx="9494" cy="0"/>
                          </a:xfrm>
                          <a:prstGeom prst="line">
                            <a:avLst/>
                          </a:prstGeom>
                          <a:noFill/>
                          <a:ln w="12700">
                            <a:solidFill>
                              <a:srgbClr val="4E612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4pt;margin-top:58.9pt;width:480.95pt;height:172.45pt;z-index:-251657216" coordorigin="1678,11011" coordsize="9619,2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">
                <v:shapetype id="_x0000_t202" coordsize="21600,21600" o:spt="202" path="m,l,21600r21600,l21600,xe">
                  <v:stroke joinstyle="miter"/>
                  <v:path gradientshapeok="t" o:connecttype="rect"/>
                </v:shapetype>
                <v:shape id="Text Box 3" o:spid="_x0000_s1027" type="#_x0000_t202" style="position:absolute;left:1678;top:11011;width:9000;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wDeMEA&#10;AADaAAAADwAAAGRycy9kb3ducmV2LnhtbESPQWsCMRSE74L/ITzBm2ZVWm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8A3jBAAAA2gAAAA8AAAAAAAAAAAAAAAAAmAIAAGRycy9kb3du&#10;cmV2LnhtbFBLBQYAAAAABAAEAPUAAACGAwAAAAA=&#10;" filled="f" stroked="f">
                  <v:textbox inset=",7.2pt,,7.2pt">
                    <w:txbxContent>
                      <w:p w:rsidR="00C24D16" w:rsidRPr="00767B37" w:rsidRDefault="00C24D16" w:rsidP="00E63A20">
                        <w:pPr>
                          <w:ind w:left="-142"/>
                          <w:rPr>
                            <w:rFonts w:ascii="Verdana" w:hAnsi="Verdana"/>
                            <w:b/>
                            <w:sz w:val="32"/>
                            <w:szCs w:val="32"/>
                          </w:rPr>
                        </w:pPr>
                        <w:r w:rsidRPr="00767B37">
                          <w:rPr>
                            <w:rFonts w:ascii="Verdana" w:hAnsi="Verdana"/>
                            <w:b/>
                            <w:sz w:val="32"/>
                            <w:szCs w:val="32"/>
                          </w:rPr>
                          <w:t>DCUSA Change Report</w:t>
                        </w:r>
                      </w:p>
                    </w:txbxContent>
                  </v:textbox>
                </v:shape>
                <v:shape id="Text Box 4" o:spid="_x0000_s1028" type="#_x0000_t202" style="position:absolute;left:1678;top:11918;width:8603;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bDMEA&#10;AADaAAAADwAAAGRycy9kb3ducmV2LnhtbESPQWsCMRSE74L/ITzBm2YVW2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mwzBAAAA2gAAAA8AAAAAAAAAAAAAAAAAmAIAAGRycy9kb3du&#10;cmV2LnhtbFBLBQYAAAAABAAEAPUAAACGAwAAAAA=&#10;" filled="f" stroked="f">
                  <v:textbox inset=",7.2pt,,7.2pt">
                    <w:txbxContent>
                      <w:p w:rsidR="00C24D16" w:rsidRPr="00435098" w:rsidRDefault="00C24D16" w:rsidP="00E63A20">
                        <w:pPr>
                          <w:ind w:left="-142"/>
                          <w:rPr>
                            <w:rFonts w:ascii="Verdana" w:hAnsi="Verdana"/>
                            <w:sz w:val="36"/>
                            <w:szCs w:val="36"/>
                          </w:rPr>
                        </w:pPr>
                        <w:r>
                          <w:rPr>
                            <w:rFonts w:ascii="Verdana" w:hAnsi="Verdana"/>
                            <w:sz w:val="36"/>
                            <w:szCs w:val="36"/>
                          </w:rPr>
                          <w:t xml:space="preserve">DCP 167 - Additional Example(s) For </w:t>
                        </w:r>
                        <w:proofErr w:type="gramStart"/>
                        <w:r>
                          <w:rPr>
                            <w:rFonts w:ascii="Verdana" w:hAnsi="Verdana"/>
                            <w:sz w:val="36"/>
                            <w:szCs w:val="36"/>
                          </w:rPr>
                          <w:t>T</w:t>
                        </w:r>
                        <w:r w:rsidRPr="00A71B83">
                          <w:rPr>
                            <w:rFonts w:ascii="Verdana" w:hAnsi="Verdana"/>
                            <w:sz w:val="36"/>
                            <w:szCs w:val="36"/>
                          </w:rPr>
                          <w:t>he</w:t>
                        </w:r>
                        <w:proofErr w:type="gramEnd"/>
                        <w:r w:rsidRPr="00A71B83">
                          <w:rPr>
                            <w:rFonts w:ascii="Verdana" w:hAnsi="Verdana"/>
                            <w:sz w:val="36"/>
                            <w:szCs w:val="36"/>
                          </w:rPr>
                          <w:t xml:space="preserve"> Common C</w:t>
                        </w:r>
                        <w:r>
                          <w:rPr>
                            <w:rFonts w:ascii="Verdana" w:hAnsi="Verdana"/>
                            <w:sz w:val="36"/>
                            <w:szCs w:val="36"/>
                          </w:rPr>
                          <w:t>onnection Charging Methodology To Illustrate ‘Remote R</w:t>
                        </w:r>
                        <w:r w:rsidRPr="00A71B83">
                          <w:rPr>
                            <w:rFonts w:ascii="Verdana" w:hAnsi="Verdana"/>
                            <w:sz w:val="36"/>
                            <w:szCs w:val="36"/>
                          </w:rPr>
                          <w:t xml:space="preserve">einforcement’ </w:t>
                        </w:r>
                        <w:r>
                          <w:rPr>
                            <w:rFonts w:ascii="Verdana" w:hAnsi="Verdana"/>
                            <w:sz w:val="36"/>
                            <w:szCs w:val="36"/>
                          </w:rPr>
                          <w:t>And ‘Network R</w:t>
                        </w:r>
                        <w:r w:rsidRPr="00A71B83">
                          <w:rPr>
                            <w:rFonts w:ascii="Verdana" w:hAnsi="Verdana"/>
                            <w:sz w:val="36"/>
                            <w:szCs w:val="36"/>
                          </w:rPr>
                          <w:t>econfiguration’</w:t>
                        </w:r>
                        <w:r>
                          <w:rPr>
                            <w:rFonts w:ascii="Verdana" w:hAnsi="Verdana"/>
                            <w:bCs/>
                            <w:sz w:val="20"/>
                            <w:szCs w:val="20"/>
                          </w:rPr>
                          <w:t xml:space="preserve">  </w:t>
                        </w:r>
                      </w:p>
                    </w:txbxContent>
                  </v:textbox>
                </v:shape>
                <v:line id="Line 5" o:spid="_x0000_s1029" style="position:absolute;visibility:visible;mso-wrap-style:square" from="1803,11782" to="11297,1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PrPMMAAADaAAAADwAAAGRycy9kb3ducmV2LnhtbESPQYvCMBSE7wv+h/AEb2uqoEjXKKug&#10;qCBsq5e9PZtn27V5KU3U+u/NguBxmJlvmOm8NZW4UeNKywoG/QgEcWZ1ybmC42H1OQHhPLLGyjIp&#10;eJCD+azzMcVY2zsndEt9LgKEXYwKCu/rWEqXFWTQ9W1NHLyzbQz6IJtc6gbvAW4qOYyisTRYclgo&#10;sKZlQdklvRoFh5/1yZvETn6rv2S3X1y2ezOslep12+8vEJ5a/w6/2hutYAT/V8INkL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T6zzDAAAA2gAAAA8AAAAAAAAAAAAA&#10;AAAAoQIAAGRycy9kb3ducmV2LnhtbFBLBQYAAAAABAAEAPkAAACRAwAAAAA=&#10;" strokecolor="#4e6128" strokeweight="1pt">
                  <v:shadow opacity="22938f" offset="0"/>
                </v:line>
                <w10:wrap type="tight"/>
              </v:group>
            </w:pict>
          </mc:Fallback>
        </mc:AlternateContent>
      </w:r>
      <w:r w:rsidR="00C24D16" w:rsidRPr="00342B85">
        <w:rPr>
          <w:rFonts w:ascii="Verdana" w:hAnsi="Verdana"/>
          <w:sz w:val="20"/>
          <w:szCs w:val="20"/>
        </w:rPr>
        <w:br w:type="page"/>
      </w:r>
    </w:p>
    <w:p w:rsidR="00C24D16" w:rsidRPr="00342B85" w:rsidRDefault="00C24D16" w:rsidP="00891A0B">
      <w:pPr>
        <w:pStyle w:val="Heading1"/>
        <w:numPr>
          <w:ilvl w:val="0"/>
          <w:numId w:val="4"/>
        </w:numPr>
        <w:spacing w:line="360" w:lineRule="auto"/>
        <w:jc w:val="both"/>
      </w:pPr>
      <w:r w:rsidRPr="00342B85">
        <w:lastRenderedPageBreak/>
        <w:t>PURPOSE</w:t>
      </w:r>
    </w:p>
    <w:p w:rsidR="00C24D16" w:rsidRPr="00342B85" w:rsidRDefault="00C24D16" w:rsidP="00891A0B">
      <w:pPr>
        <w:pStyle w:val="Heading2"/>
        <w:numPr>
          <w:ilvl w:val="1"/>
          <w:numId w:val="4"/>
        </w:numPr>
        <w:spacing w:line="360" w:lineRule="auto"/>
        <w:jc w:val="both"/>
      </w:pPr>
      <w:r w:rsidRPr="00342B85">
        <w:t>This document is issued in accordance with Clause 11.20 of the DCUSA and details DCP 1</w:t>
      </w:r>
      <w:r>
        <w:t>67</w:t>
      </w:r>
      <w:r w:rsidRPr="00342B85">
        <w:t xml:space="preserve"> –</w:t>
      </w:r>
      <w:r w:rsidRPr="009B20F6">
        <w:t xml:space="preserve"> </w:t>
      </w:r>
      <w:r>
        <w:t>Additional example(s) for the Common Connection Charging Methodology to illustrate ‘remote reinforcement’ and ‘network reconfiguration’</w:t>
      </w:r>
      <w:r w:rsidR="00466043">
        <w:t xml:space="preserve"> and</w:t>
      </w:r>
      <w:r>
        <w:t xml:space="preserve"> </w:t>
      </w:r>
      <w:r w:rsidRPr="000C71F9">
        <w:t>DCP 167A Alternate Change Proposal (Attachment 3).</w:t>
      </w:r>
      <w:r w:rsidRPr="00342B85">
        <w:t xml:space="preserve"> </w:t>
      </w:r>
    </w:p>
    <w:p w:rsidR="00C24D16" w:rsidRPr="00342B85" w:rsidRDefault="00C24D16" w:rsidP="006053FF">
      <w:pPr>
        <w:pStyle w:val="Heading2"/>
        <w:numPr>
          <w:ilvl w:val="1"/>
          <w:numId w:val="4"/>
        </w:numPr>
        <w:spacing w:line="360" w:lineRule="auto"/>
        <w:jc w:val="both"/>
      </w:pPr>
      <w:r w:rsidRPr="00342B85">
        <w:t xml:space="preserve">The voting process for the proposed variation and the timetable of the progression of the Change Proposal (CP) through the DCUSA Change Control Process is set out in this document. </w:t>
      </w:r>
    </w:p>
    <w:p w:rsidR="00C24D16" w:rsidRDefault="00C24D16" w:rsidP="00C45236">
      <w:pPr>
        <w:pStyle w:val="Heading2"/>
        <w:numPr>
          <w:ilvl w:val="1"/>
          <w:numId w:val="4"/>
        </w:numPr>
        <w:spacing w:line="360" w:lineRule="auto"/>
        <w:ind w:left="578" w:hanging="578"/>
        <w:jc w:val="both"/>
      </w:pPr>
      <w:r w:rsidRPr="00AC34B7">
        <w:t>Parties are invited to consider the proposed amendments (A</w:t>
      </w:r>
      <w:r>
        <w:t>ttachment 2)</w:t>
      </w:r>
      <w:r w:rsidRPr="00AC34B7">
        <w:t xml:space="preserve"> and submit their votes using the form attached as A</w:t>
      </w:r>
      <w:r>
        <w:t>ttachment 1</w:t>
      </w:r>
      <w:r w:rsidRPr="00AC34B7">
        <w:t xml:space="preserve"> to </w:t>
      </w:r>
      <w:r w:rsidRPr="00AC34B7">
        <w:rPr>
          <w:color w:val="0000FF"/>
          <w:u w:val="single"/>
        </w:rPr>
        <w:t>dcusa@electralink.co.uk</w:t>
      </w:r>
      <w:r w:rsidRPr="00AC34B7">
        <w:t xml:space="preserve"> no later than </w:t>
      </w:r>
      <w:r w:rsidRPr="002D5065">
        <w:rPr>
          <w:b/>
        </w:rPr>
        <w:t>0</w:t>
      </w:r>
      <w:r w:rsidR="001F2238">
        <w:rPr>
          <w:b/>
        </w:rPr>
        <w:t xml:space="preserve">6 June </w:t>
      </w:r>
      <w:r w:rsidRPr="002D5065">
        <w:rPr>
          <w:b/>
        </w:rPr>
        <w:t>2014</w:t>
      </w:r>
      <w:r w:rsidRPr="00AC34B7">
        <w:t>.</w:t>
      </w:r>
    </w:p>
    <w:p w:rsidR="00C24D16" w:rsidRDefault="00C24D16" w:rsidP="008D4B1F">
      <w:pPr>
        <w:pStyle w:val="Heading1"/>
        <w:numPr>
          <w:ilvl w:val="0"/>
          <w:numId w:val="4"/>
        </w:numPr>
        <w:spacing w:line="360" w:lineRule="auto"/>
        <w:jc w:val="both"/>
      </w:pPr>
      <w:r w:rsidRPr="00517783">
        <w:t xml:space="preserve">EXECUTIVE SUMMARY </w:t>
      </w:r>
    </w:p>
    <w:p w:rsidR="00C24D16" w:rsidRDefault="00C24D16" w:rsidP="00A71B83">
      <w:pPr>
        <w:pStyle w:val="Heading2"/>
        <w:numPr>
          <w:ilvl w:val="1"/>
          <w:numId w:val="4"/>
        </w:numPr>
        <w:spacing w:line="360" w:lineRule="auto"/>
        <w:ind w:left="578" w:hanging="578"/>
        <w:jc w:val="both"/>
      </w:pPr>
      <w:r>
        <w:t xml:space="preserve">DCP 167 was raised by Eastern Power Networks on the 13 February 2013 to provide increased clarity within the DNO Common Connection Charging Methodology (CCCM) for the calculation of connection charges where it is proposed to carry out ‘remote reinforcement’ or ‘network reconfiguration’. </w:t>
      </w:r>
    </w:p>
    <w:p w:rsidR="00C24D16" w:rsidRPr="00AE58F0" w:rsidRDefault="00C24D16" w:rsidP="00B00443">
      <w:pPr>
        <w:pStyle w:val="Heading2"/>
        <w:keepNext w:val="0"/>
        <w:widowControl w:val="0"/>
        <w:numPr>
          <w:ilvl w:val="1"/>
          <w:numId w:val="4"/>
        </w:numPr>
        <w:spacing w:line="360" w:lineRule="auto"/>
        <w:ind w:left="578" w:hanging="578"/>
        <w:jc w:val="both"/>
      </w:pPr>
      <w:r w:rsidRPr="008F17BA">
        <w:t xml:space="preserve">Over a period of one year the DCP 167 Working Group met five times and issued one consultation. </w:t>
      </w:r>
      <w:r>
        <w:t>The consultation requested i</w:t>
      </w:r>
      <w:r w:rsidRPr="008F17BA">
        <w:t>ndustry parties to consider the addition of new E</w:t>
      </w:r>
      <w:r>
        <w:t xml:space="preserve">xamples 8C and 8D. Example 8C </w:t>
      </w:r>
      <w:r w:rsidRPr="003B1678">
        <w:t xml:space="preserve">proposes for the adjacent </w:t>
      </w:r>
      <w:r>
        <w:t>n</w:t>
      </w:r>
      <w:r w:rsidRPr="003B1678">
        <w:t xml:space="preserve">etwork to be reinforced to allow for the </w:t>
      </w:r>
      <w:r>
        <w:t xml:space="preserve">transfer of a section of the existing network in order to provide </w:t>
      </w:r>
      <w:r w:rsidRPr="003B1678">
        <w:t xml:space="preserve">sufficient capacity </w:t>
      </w:r>
      <w:r>
        <w:t xml:space="preserve">on the Relevant Section of Network </w:t>
      </w:r>
      <w:r w:rsidRPr="003B1678">
        <w:t>for the connection to take place</w:t>
      </w:r>
      <w:r>
        <w:t xml:space="preserve">.  Example 8D proposes the reconfiguration of the Distribution System in order to </w:t>
      </w:r>
      <w:r w:rsidRPr="00256945">
        <w:t>transfer</w:t>
      </w:r>
      <w:r>
        <w:t xml:space="preserve"> </w:t>
      </w:r>
      <w:r w:rsidRPr="00256945">
        <w:t xml:space="preserve">demand or generation to a remote part of the Distribution System in order to make capacity available for the new connection. </w:t>
      </w:r>
    </w:p>
    <w:p w:rsidR="00C24D16" w:rsidRPr="008F17BA" w:rsidRDefault="00C24D16" w:rsidP="002515BF">
      <w:pPr>
        <w:pStyle w:val="Heading2"/>
        <w:keepNext w:val="0"/>
        <w:numPr>
          <w:ilvl w:val="1"/>
          <w:numId w:val="4"/>
        </w:numPr>
        <w:tabs>
          <w:tab w:val="num" w:pos="709"/>
        </w:tabs>
        <w:spacing w:line="360" w:lineRule="auto"/>
        <w:jc w:val="both"/>
      </w:pPr>
      <w:r w:rsidRPr="008F17BA">
        <w:t>The Working Group is split on the solution proposed by Example 8D and as a result some Working Group members chose to raise an alternate Change Proposal DCP 167A. The majority of the Working Group supports the original DCP 167 Change Proposal.</w:t>
      </w:r>
    </w:p>
    <w:p w:rsidR="00C24D16" w:rsidRPr="00527BED" w:rsidRDefault="00C24D16" w:rsidP="00891A0B">
      <w:pPr>
        <w:pStyle w:val="Heading1"/>
        <w:numPr>
          <w:ilvl w:val="0"/>
          <w:numId w:val="4"/>
        </w:numPr>
        <w:spacing w:line="360" w:lineRule="auto"/>
        <w:jc w:val="both"/>
      </w:pPr>
      <w:r>
        <w:t xml:space="preserve">  </w:t>
      </w:r>
      <w:r w:rsidRPr="00527BED">
        <w:t xml:space="preserve">BACKGROUND </w:t>
      </w:r>
    </w:p>
    <w:p w:rsidR="00C24D16" w:rsidRPr="00EB0735" w:rsidRDefault="00C24D16" w:rsidP="00195F1B">
      <w:pPr>
        <w:pStyle w:val="Heading2"/>
        <w:numPr>
          <w:ilvl w:val="1"/>
          <w:numId w:val="4"/>
        </w:numPr>
        <w:spacing w:line="360" w:lineRule="auto"/>
        <w:ind w:left="578" w:hanging="578"/>
        <w:jc w:val="both"/>
      </w:pPr>
      <w:r>
        <w:t xml:space="preserve">A member of the </w:t>
      </w:r>
      <w:r w:rsidRPr="00EB0735">
        <w:t xml:space="preserve">ENA Commercial Operations Group </w:t>
      </w:r>
      <w:r>
        <w:t>Connections Sub G</w:t>
      </w:r>
      <w:r w:rsidRPr="00EB0735">
        <w:t xml:space="preserve">roup </w:t>
      </w:r>
      <w:r>
        <w:t>(COG CSG) identified that there is no common</w:t>
      </w:r>
      <w:r w:rsidRPr="00EB0735">
        <w:t xml:space="preserve"> methodology explanation </w:t>
      </w:r>
      <w:r>
        <w:t xml:space="preserve">for </w:t>
      </w:r>
      <w:r w:rsidRPr="00EB0735">
        <w:lastRenderedPageBreak/>
        <w:t xml:space="preserve">charging arrangements to apply </w:t>
      </w:r>
      <w:r>
        <w:t xml:space="preserve">in the scenario </w:t>
      </w:r>
      <w:r w:rsidRPr="00EB0735">
        <w:t xml:space="preserve">where a remote part of the Distribution System is to be reinforced so as to allow a transfer of existing demand or generation to provide for a new connection. </w:t>
      </w:r>
    </w:p>
    <w:p w:rsidR="00C24D16" w:rsidRDefault="00C24D16" w:rsidP="006053FF">
      <w:pPr>
        <w:pStyle w:val="Heading2"/>
        <w:numPr>
          <w:ilvl w:val="1"/>
          <w:numId w:val="4"/>
        </w:numPr>
        <w:tabs>
          <w:tab w:val="clear" w:pos="576"/>
        </w:tabs>
        <w:spacing w:line="360" w:lineRule="auto"/>
        <w:ind w:left="578" w:hanging="578"/>
        <w:jc w:val="both"/>
      </w:pPr>
      <w:r>
        <w:t xml:space="preserve">DCP 167 has been raised </w:t>
      </w:r>
      <w:r w:rsidRPr="009921ED">
        <w:t>to address thi</w:t>
      </w:r>
      <w:r>
        <w:t>s requirement, following on from initial proposals developed within the COG CSG.</w:t>
      </w:r>
      <w:r w:rsidRPr="008D6D80">
        <w:t xml:space="preserve"> </w:t>
      </w:r>
    </w:p>
    <w:p w:rsidR="00C24D16" w:rsidRDefault="00C24D16" w:rsidP="006053FF">
      <w:pPr>
        <w:pStyle w:val="Heading1"/>
        <w:numPr>
          <w:ilvl w:val="0"/>
          <w:numId w:val="4"/>
        </w:numPr>
        <w:spacing w:line="360" w:lineRule="auto"/>
        <w:jc w:val="both"/>
      </w:pPr>
      <w:r>
        <w:t>INTENT OF DCP 167</w:t>
      </w:r>
      <w:r w:rsidRPr="006053FF">
        <w:t xml:space="preserve"> </w:t>
      </w:r>
      <w:r w:rsidRPr="00E63A20">
        <w:t xml:space="preserve">– </w:t>
      </w:r>
      <w:r>
        <w:t>ADDITIONAL EXAMPLE (S) FOR THE COMMON CONNECTION CHARGING METHODOLOGY TO ILLUSTRATE ‘REMOTE REINFORCEMENT’ AND ‘NETWORK RECONFIGURATION’</w:t>
      </w:r>
    </w:p>
    <w:p w:rsidR="00C24D16" w:rsidRDefault="00C24D16" w:rsidP="00EB0735">
      <w:pPr>
        <w:pStyle w:val="Heading2"/>
        <w:numPr>
          <w:ilvl w:val="1"/>
          <w:numId w:val="4"/>
        </w:numPr>
        <w:spacing w:line="360" w:lineRule="auto"/>
        <w:ind w:left="578" w:hanging="578"/>
        <w:jc w:val="both"/>
      </w:pPr>
      <w:r>
        <w:t>DCP 167 was raised by Eastern Power Networks, as a Part 1 Matter</w:t>
      </w:r>
      <w:r>
        <w:rPr>
          <w:rStyle w:val="FootnoteReference"/>
        </w:rPr>
        <w:footnoteReference w:id="1"/>
      </w:r>
      <w:r>
        <w:t xml:space="preserve"> to provide increased clarity within the DNO Common Connection Charging Methodology (CCCM) for the calculation of connection charges where it is proposed to carry out ‘remote reinforcement’ or ‘network reconfiguration’ through the addition of two worked examples 8C and 8D.</w:t>
      </w:r>
    </w:p>
    <w:p w:rsidR="00C24D16" w:rsidRPr="00AE58F0" w:rsidRDefault="00C24D16" w:rsidP="00AE58F0">
      <w:pPr>
        <w:ind w:left="567"/>
        <w:rPr>
          <w:u w:val="single"/>
        </w:rPr>
      </w:pPr>
      <w:r w:rsidRPr="00AE58F0">
        <w:rPr>
          <w:u w:val="single"/>
        </w:rPr>
        <w:t>Remote Reinforcement</w:t>
      </w:r>
    </w:p>
    <w:p w:rsidR="00C24D16" w:rsidRDefault="00C24D16" w:rsidP="0035617F">
      <w:pPr>
        <w:pStyle w:val="Heading2"/>
        <w:keepNext w:val="0"/>
        <w:widowControl w:val="0"/>
        <w:numPr>
          <w:ilvl w:val="1"/>
          <w:numId w:val="4"/>
        </w:numPr>
        <w:spacing w:line="360" w:lineRule="auto"/>
        <w:ind w:left="578" w:hanging="578"/>
        <w:jc w:val="both"/>
      </w:pPr>
      <w:r>
        <w:t>The purpose of e</w:t>
      </w:r>
      <w:r w:rsidRPr="008D582F">
        <w:t>xample 8C</w:t>
      </w:r>
      <w:r>
        <w:t xml:space="preserve"> </w:t>
      </w:r>
      <w:r w:rsidRPr="00C76651">
        <w:rPr>
          <w:i/>
        </w:rPr>
        <w:t xml:space="preserve">‘Connection of housing development with remote network Reinforcement’ </w:t>
      </w:r>
      <w:r>
        <w:t>is to add a provision within the CCCM clarifying the application of the R</w:t>
      </w:r>
      <w:r w:rsidRPr="001A6836">
        <w:t xml:space="preserve">einforcement </w:t>
      </w:r>
      <w:r>
        <w:t>C</w:t>
      </w:r>
      <w:r w:rsidRPr="001A6836">
        <w:t xml:space="preserve">ost </w:t>
      </w:r>
      <w:r>
        <w:t>A</w:t>
      </w:r>
      <w:r w:rsidRPr="001A6836">
        <w:t>pportionment factor</w:t>
      </w:r>
      <w:r>
        <w:t xml:space="preserve"> where a remote part of the Distribution System is required to be reinforced in order to provide the connection but is not part of the network directly used by the connectee.</w:t>
      </w:r>
    </w:p>
    <w:p w:rsidR="00C24D16" w:rsidRDefault="00C24D16" w:rsidP="00AE58F0">
      <w:pPr>
        <w:pStyle w:val="Heading2"/>
        <w:keepNext w:val="0"/>
        <w:widowControl w:val="0"/>
        <w:numPr>
          <w:ilvl w:val="1"/>
          <w:numId w:val="4"/>
        </w:numPr>
        <w:spacing w:line="360" w:lineRule="auto"/>
        <w:ind w:left="578" w:hanging="578"/>
        <w:jc w:val="both"/>
      </w:pPr>
      <w:r w:rsidRPr="00AE58F0">
        <w:t xml:space="preserve">Example 8C </w:t>
      </w:r>
      <w:r>
        <w:t>illustrates t</w:t>
      </w:r>
      <w:r w:rsidRPr="00AE58F0">
        <w:t>he existing definition of Relevant Section of Network which states “that part or parts of the Distribution System that can be used to supply you in both normal and abnormal running arrangements”.</w:t>
      </w:r>
    </w:p>
    <w:p w:rsidR="00C24D16" w:rsidRDefault="00C24D16" w:rsidP="00651CAA">
      <w:pPr>
        <w:pStyle w:val="Heading2"/>
        <w:keepNext w:val="0"/>
        <w:widowControl w:val="0"/>
        <w:numPr>
          <w:ilvl w:val="1"/>
          <w:numId w:val="4"/>
        </w:numPr>
        <w:spacing w:line="360" w:lineRule="auto"/>
        <w:ind w:left="578" w:hanging="578"/>
        <w:jc w:val="both"/>
      </w:pPr>
      <w:r>
        <w:t>The situation represented by example 8C is where a</w:t>
      </w:r>
      <w:r w:rsidRPr="005106EC">
        <w:t xml:space="preserve"> </w:t>
      </w:r>
      <w:r>
        <w:t xml:space="preserve">Customer </w:t>
      </w:r>
      <w:r w:rsidRPr="005106EC">
        <w:t xml:space="preserve">applies for a connection to the </w:t>
      </w:r>
      <w:r>
        <w:t>n</w:t>
      </w:r>
      <w:r w:rsidRPr="005106EC">
        <w:t>etwork for 900 housing plots requiring 2MVA. In this scenario the existing load on the circuit is 7.6MVA and cannot support</w:t>
      </w:r>
      <w:r w:rsidRPr="00E17F5E">
        <w:t xml:space="preserve"> the housing development</w:t>
      </w:r>
      <w:r w:rsidRPr="003B1678">
        <w:t xml:space="preserve"> connection. The example proposes for the adjacent </w:t>
      </w:r>
      <w:r>
        <w:t>n</w:t>
      </w:r>
      <w:r w:rsidRPr="003B1678">
        <w:t xml:space="preserve">etwork to be reinforced to allow for the </w:t>
      </w:r>
      <w:r>
        <w:t>transfer of a section of the existing network.</w:t>
      </w:r>
      <w:r w:rsidRPr="003B1678">
        <w:t xml:space="preserve"> Th</w:t>
      </w:r>
      <w:r>
        <w:t xml:space="preserve">is transfer </w:t>
      </w:r>
      <w:r w:rsidRPr="003B1678">
        <w:t>will provide sufficient capacity for the connection to take place</w:t>
      </w:r>
      <w:r>
        <w:t xml:space="preserve"> (Please see Attachment 2).</w:t>
      </w:r>
    </w:p>
    <w:p w:rsidR="00C24D16" w:rsidRDefault="00C24D16" w:rsidP="00B85782">
      <w:pPr>
        <w:pStyle w:val="Heading2"/>
        <w:keepNext w:val="0"/>
        <w:numPr>
          <w:ilvl w:val="1"/>
          <w:numId w:val="4"/>
        </w:numPr>
        <w:spacing w:line="360" w:lineRule="auto"/>
        <w:ind w:left="578" w:hanging="578"/>
        <w:jc w:val="both"/>
      </w:pPr>
      <w:r w:rsidRPr="00473037">
        <w:t xml:space="preserve">The existing methodology includes at </w:t>
      </w:r>
      <w:r>
        <w:t xml:space="preserve">DCUSA Schedule 22 clause </w:t>
      </w:r>
      <w:r w:rsidRPr="00473037">
        <w:t>1.16:</w:t>
      </w:r>
    </w:p>
    <w:p w:rsidR="00C24D16" w:rsidRPr="00473037" w:rsidRDefault="00C24D16" w:rsidP="00B85782">
      <w:pPr>
        <w:pStyle w:val="Heading2"/>
        <w:keepNext w:val="0"/>
        <w:widowControl w:val="0"/>
        <w:tabs>
          <w:tab w:val="clear" w:pos="360"/>
        </w:tabs>
        <w:spacing w:line="360" w:lineRule="auto"/>
        <w:ind w:left="1440" w:firstLine="0"/>
        <w:jc w:val="both"/>
        <w:rPr>
          <w:i/>
        </w:rPr>
      </w:pPr>
      <w:r w:rsidRPr="00473037">
        <w:rPr>
          <w:i/>
        </w:rPr>
        <w:t>Reinforcement is defined as assets installed that add capacity (network or</w:t>
      </w:r>
      <w:r>
        <w:rPr>
          <w:i/>
        </w:rPr>
        <w:t xml:space="preserve"> </w:t>
      </w:r>
      <w:r w:rsidRPr="00473037">
        <w:rPr>
          <w:i/>
        </w:rPr>
        <w:t>fault level) to the existing shared use Distribution System.</w:t>
      </w:r>
    </w:p>
    <w:p w:rsidR="00C24D16" w:rsidRPr="00AE58F0" w:rsidRDefault="00C24D16" w:rsidP="00AE58F0">
      <w:pPr>
        <w:pStyle w:val="Heading2"/>
        <w:keepNext w:val="0"/>
        <w:widowControl w:val="0"/>
        <w:tabs>
          <w:tab w:val="clear" w:pos="360"/>
        </w:tabs>
        <w:spacing w:line="360" w:lineRule="auto"/>
        <w:ind w:left="578" w:firstLine="0"/>
        <w:jc w:val="both"/>
        <w:rPr>
          <w:u w:val="single"/>
        </w:rPr>
      </w:pPr>
      <w:r w:rsidRPr="00AE58F0">
        <w:rPr>
          <w:u w:val="single"/>
        </w:rPr>
        <w:t>Network Reconfiguration</w:t>
      </w:r>
    </w:p>
    <w:p w:rsidR="00C24D16" w:rsidRPr="00AE58F0" w:rsidRDefault="00C24D16" w:rsidP="00AE58F0">
      <w:pPr>
        <w:pStyle w:val="Heading2"/>
        <w:keepNext w:val="0"/>
        <w:widowControl w:val="0"/>
        <w:numPr>
          <w:ilvl w:val="1"/>
          <w:numId w:val="4"/>
        </w:numPr>
        <w:spacing w:line="360" w:lineRule="auto"/>
        <w:ind w:left="578" w:hanging="578"/>
        <w:jc w:val="both"/>
      </w:pPr>
      <w:r>
        <w:t xml:space="preserve">The purpose of </w:t>
      </w:r>
      <w:r w:rsidRPr="008D582F">
        <w:t xml:space="preserve">Example 8D </w:t>
      </w:r>
      <w:r w:rsidRPr="00AE58F0">
        <w:t>‘</w:t>
      </w:r>
      <w:r w:rsidRPr="00AE58F0">
        <w:rPr>
          <w:i/>
        </w:rPr>
        <w:t>Connection of housing development with load transfer’</w:t>
      </w:r>
      <w:r w:rsidRPr="00AE58F0">
        <w:t xml:space="preserve"> is to illustrate the application of the </w:t>
      </w:r>
      <w:r w:rsidRPr="00256945">
        <w:t>charg</w:t>
      </w:r>
      <w:r>
        <w:t>ing</w:t>
      </w:r>
      <w:r w:rsidRPr="00256945">
        <w:t xml:space="preserve"> methodology</w:t>
      </w:r>
      <w:r>
        <w:t xml:space="preserve"> where the Distribution System is reconfigured</w:t>
      </w:r>
      <w:r w:rsidRPr="00256945">
        <w:t xml:space="preserve"> </w:t>
      </w:r>
      <w:r>
        <w:t>by</w:t>
      </w:r>
      <w:r w:rsidRPr="00256945">
        <w:t xml:space="preserve"> transfer</w:t>
      </w:r>
      <w:r>
        <w:t>ring</w:t>
      </w:r>
      <w:r w:rsidRPr="00256945">
        <w:t xml:space="preserve"> demand or generation to a remote part of the Distribution System in order to make capacity available for the new connection. </w:t>
      </w:r>
    </w:p>
    <w:p w:rsidR="00C24D16" w:rsidRDefault="00C24D16" w:rsidP="008F17BA">
      <w:pPr>
        <w:pStyle w:val="Heading2"/>
        <w:keepNext w:val="0"/>
        <w:numPr>
          <w:ilvl w:val="1"/>
          <w:numId w:val="4"/>
        </w:numPr>
        <w:spacing w:line="360" w:lineRule="auto"/>
        <w:ind w:left="578" w:hanging="578"/>
        <w:jc w:val="both"/>
      </w:pPr>
      <w:r w:rsidRPr="008F17BA">
        <w:t xml:space="preserve">Example 8D </w:t>
      </w:r>
      <w:r w:rsidRPr="008F17BA">
        <w:rPr>
          <w:i/>
        </w:rPr>
        <w:t>‘Connection of housing development with load transfer’</w:t>
      </w:r>
      <w:r w:rsidRPr="008F17BA">
        <w:t xml:space="preserve"> conveys the operation of methodology paragraph 1.13 </w:t>
      </w:r>
      <w:r w:rsidRPr="008F17BA">
        <w:rPr>
          <w:i/>
        </w:rPr>
        <w:t>“Work required to reconfigure the Distribution System to meet your requirements where no additional Network or Fault Level Capacity is made available shall be charged in full to you</w:t>
      </w:r>
      <w:r>
        <w:rPr>
          <w:i/>
        </w:rPr>
        <w:t xml:space="preserve">. </w:t>
      </w:r>
      <w:proofErr w:type="gramStart"/>
      <w:r w:rsidRPr="008F17BA">
        <w:rPr>
          <w:i/>
        </w:rPr>
        <w:t>See Example 8B”</w:t>
      </w:r>
      <w:r w:rsidRPr="008F17BA">
        <w:t>.</w:t>
      </w:r>
      <w:proofErr w:type="gramEnd"/>
      <w:r w:rsidRPr="008F17BA">
        <w:t xml:space="preserve"> It is proposed that </w:t>
      </w:r>
      <w:r>
        <w:t>m</w:t>
      </w:r>
      <w:r w:rsidRPr="008F17BA">
        <w:t xml:space="preserve">ethodology paragraph 1.13 will be amended to refer to Example 8D instead of 8B. </w:t>
      </w:r>
    </w:p>
    <w:p w:rsidR="00C24D16" w:rsidRDefault="00C24D16" w:rsidP="00644322">
      <w:pPr>
        <w:pStyle w:val="Heading2"/>
        <w:keepNext w:val="0"/>
        <w:numPr>
          <w:ilvl w:val="1"/>
          <w:numId w:val="4"/>
        </w:numPr>
        <w:spacing w:line="360" w:lineRule="auto"/>
        <w:ind w:left="578" w:hanging="578"/>
        <w:jc w:val="both"/>
      </w:pPr>
      <w:r>
        <w:t>E</w:t>
      </w:r>
      <w:r w:rsidRPr="001C7ECF">
        <w:t>xample</w:t>
      </w:r>
      <w:r>
        <w:t xml:space="preserve"> 8D</w:t>
      </w:r>
      <w:r w:rsidRPr="001C7ECF">
        <w:t xml:space="preserve"> illustrates</w:t>
      </w:r>
      <w:r>
        <w:t xml:space="preserve"> an arrangement where a section of the existing network is transferred to an adjacent network in order to release capacity for the new connection to be made. In example 8D demand is transferred from Primary Substation A to Primary Substation B (Please see Attachment 2).</w:t>
      </w:r>
    </w:p>
    <w:p w:rsidR="00C24D16" w:rsidRPr="00582609" w:rsidRDefault="00C24D16" w:rsidP="00582609">
      <w:pPr>
        <w:pStyle w:val="Heading2"/>
        <w:keepNext w:val="0"/>
        <w:numPr>
          <w:ilvl w:val="1"/>
          <w:numId w:val="4"/>
        </w:numPr>
        <w:spacing w:line="360" w:lineRule="auto"/>
        <w:ind w:left="578" w:hanging="578"/>
        <w:jc w:val="both"/>
      </w:pPr>
      <w:r>
        <w:t>Further amendments to the DCUSA legal text to incorporate these examples is set out in Attachment 2.</w:t>
      </w:r>
    </w:p>
    <w:p w:rsidR="00C24D16" w:rsidRPr="00342B85" w:rsidRDefault="00C24D16" w:rsidP="00F333B2">
      <w:pPr>
        <w:pStyle w:val="Heading1"/>
        <w:numPr>
          <w:ilvl w:val="0"/>
          <w:numId w:val="4"/>
        </w:numPr>
        <w:spacing w:line="360" w:lineRule="auto"/>
        <w:jc w:val="both"/>
      </w:pPr>
      <w:r>
        <w:t xml:space="preserve">     </w:t>
      </w:r>
      <w:r w:rsidRPr="00342B85">
        <w:t>D</w:t>
      </w:r>
      <w:r>
        <w:t>CP 167</w:t>
      </w:r>
      <w:r w:rsidRPr="00342B85">
        <w:t xml:space="preserve"> – WORKING GROUP CONSIDERATIONS</w:t>
      </w:r>
    </w:p>
    <w:p w:rsidR="00C24D16" w:rsidRDefault="00C24D16" w:rsidP="00F333B2">
      <w:pPr>
        <w:pStyle w:val="Heading2"/>
        <w:keepNext w:val="0"/>
        <w:numPr>
          <w:ilvl w:val="1"/>
          <w:numId w:val="4"/>
        </w:numPr>
        <w:spacing w:line="360" w:lineRule="auto"/>
        <w:ind w:left="578" w:hanging="578"/>
        <w:jc w:val="both"/>
      </w:pPr>
      <w:r w:rsidRPr="008D2DF6">
        <w:t xml:space="preserve">The DCUSA Panel established a Working Group to assess </w:t>
      </w:r>
      <w:r>
        <w:t>DCP 167</w:t>
      </w:r>
      <w:r w:rsidRPr="008D2DF6">
        <w:t>. The Working Group met on</w:t>
      </w:r>
      <w:r>
        <w:t xml:space="preserve"> five</w:t>
      </w:r>
      <w:r w:rsidRPr="008D2DF6">
        <w:t xml:space="preserve"> occasions and was comprised of </w:t>
      </w:r>
      <w:r w:rsidRPr="00285BDD">
        <w:t>DNOs, Ofgem and other (non-DCUSA) parties whose work involves electricity network connections.</w:t>
      </w:r>
    </w:p>
    <w:p w:rsidR="00C24D16" w:rsidRDefault="00C24D16" w:rsidP="00F333B2">
      <w:pPr>
        <w:pStyle w:val="Heading2"/>
        <w:keepNext w:val="0"/>
        <w:numPr>
          <w:ilvl w:val="1"/>
          <w:numId w:val="4"/>
        </w:numPr>
        <w:spacing w:line="360" w:lineRule="auto"/>
        <w:ind w:left="578" w:hanging="578"/>
        <w:jc w:val="both"/>
      </w:pPr>
      <w:r w:rsidRPr="008D2DF6">
        <w:t xml:space="preserve">Meetings were held in open session and the minutes and papers of each meeting are available on the DCUSA website – </w:t>
      </w:r>
      <w:hyperlink r:id="rId10" w:history="1">
        <w:r w:rsidRPr="004F7F12">
          <w:t>www.dcusa.co.uk</w:t>
        </w:r>
      </w:hyperlink>
      <w:r w:rsidRPr="008D2DF6">
        <w:t>.</w:t>
      </w:r>
    </w:p>
    <w:p w:rsidR="00C24D16" w:rsidRDefault="00C24D16" w:rsidP="00F333B2">
      <w:pPr>
        <w:pStyle w:val="Heading2"/>
        <w:keepNext w:val="0"/>
        <w:numPr>
          <w:ilvl w:val="1"/>
          <w:numId w:val="4"/>
        </w:numPr>
        <w:spacing w:line="360" w:lineRule="auto"/>
        <w:ind w:left="578" w:hanging="578"/>
        <w:jc w:val="both"/>
      </w:pPr>
      <w:r>
        <w:t>The majority of</w:t>
      </w:r>
      <w:r w:rsidRPr="00342B85">
        <w:t xml:space="preserve"> Working Group members </w:t>
      </w:r>
      <w:r>
        <w:t>we</w:t>
      </w:r>
      <w:r w:rsidRPr="00342B85">
        <w:t xml:space="preserve">re supportive of the general principle of </w:t>
      </w:r>
      <w:r>
        <w:t>DCP 167</w:t>
      </w:r>
      <w:r w:rsidRPr="00342B85">
        <w:t xml:space="preserve">. </w:t>
      </w:r>
    </w:p>
    <w:p w:rsidR="00C24D16" w:rsidRDefault="00C24D16" w:rsidP="00F333B2">
      <w:pPr>
        <w:pStyle w:val="Heading2"/>
        <w:keepNext w:val="0"/>
        <w:numPr>
          <w:ilvl w:val="1"/>
          <w:numId w:val="4"/>
        </w:numPr>
        <w:spacing w:line="360" w:lineRule="auto"/>
        <w:ind w:left="578" w:hanging="578"/>
        <w:jc w:val="both"/>
      </w:pPr>
      <w:r>
        <w:t>Most of the</w:t>
      </w:r>
      <w:r w:rsidRPr="00247812">
        <w:t xml:space="preserve"> </w:t>
      </w:r>
      <w:r>
        <w:t xml:space="preserve">Working </w:t>
      </w:r>
      <w:r w:rsidRPr="00247812">
        <w:t>Group</w:t>
      </w:r>
      <w:r>
        <w:t xml:space="preserve"> members</w:t>
      </w:r>
      <w:r w:rsidRPr="00247812">
        <w:t xml:space="preserve"> </w:t>
      </w:r>
      <w:r>
        <w:t>are</w:t>
      </w:r>
      <w:r w:rsidRPr="00247812">
        <w:t xml:space="preserve"> in agreement </w:t>
      </w:r>
      <w:r>
        <w:t>with the current version of the legal text and the content of the associated new examples</w:t>
      </w:r>
      <w:r w:rsidRPr="00247812">
        <w:t xml:space="preserve">. </w:t>
      </w:r>
      <w:r w:rsidRPr="0044713F">
        <w:t xml:space="preserve">It is noted </w:t>
      </w:r>
      <w:r>
        <w:t>that the proposed</w:t>
      </w:r>
      <w:r w:rsidRPr="0044713F">
        <w:t xml:space="preserve"> </w:t>
      </w:r>
      <w:r>
        <w:t xml:space="preserve">example 8D </w:t>
      </w:r>
      <w:r w:rsidRPr="0044713F">
        <w:t xml:space="preserve">seeks to </w:t>
      </w:r>
      <w:r>
        <w:t xml:space="preserve">provide </w:t>
      </w:r>
      <w:r w:rsidRPr="0044713F">
        <w:t xml:space="preserve">clarity to the existing methodology rather than proposing any material change to the methodology. </w:t>
      </w:r>
    </w:p>
    <w:p w:rsidR="00C24D16" w:rsidRDefault="00C24D16" w:rsidP="00F333B2">
      <w:pPr>
        <w:pStyle w:val="Heading2"/>
        <w:keepNext w:val="0"/>
        <w:numPr>
          <w:ilvl w:val="1"/>
          <w:numId w:val="4"/>
        </w:numPr>
        <w:spacing w:line="360" w:lineRule="auto"/>
        <w:ind w:left="578" w:hanging="578"/>
        <w:jc w:val="both"/>
      </w:pPr>
      <w:r>
        <w:t>A difference in views exists in the Working Group regarding the charging principles illustrated in proposed example 8D.  Some</w:t>
      </w:r>
      <w:r w:rsidRPr="00CD321D">
        <w:t xml:space="preserve"> members</w:t>
      </w:r>
      <w:r w:rsidRPr="00DC52C4">
        <w:t xml:space="preserve"> consider that example 8D represents a type of reinforcement and the Cost Apportionment Factor should apply.</w:t>
      </w:r>
      <w:r w:rsidRPr="00DF1940">
        <w:t xml:space="preserve"> </w:t>
      </w:r>
      <w:r>
        <w:t xml:space="preserve">All members of the Working Group </w:t>
      </w:r>
      <w:r w:rsidRPr="00DF1940">
        <w:t>recognise</w:t>
      </w:r>
      <w:r w:rsidRPr="00EF37B0">
        <w:t xml:space="preserve"> that the example does not add capacity to the </w:t>
      </w:r>
      <w:r w:rsidRPr="00B25BDE">
        <w:t>network. However,</w:t>
      </w:r>
      <w:r>
        <w:t xml:space="preserve"> </w:t>
      </w:r>
      <w:r w:rsidRPr="00B25BDE">
        <w:t>transferring</w:t>
      </w:r>
      <w:r w:rsidRPr="008F677B">
        <w:t xml:space="preserve"> the load and reconfiguring the Distribution System </w:t>
      </w:r>
      <w:r>
        <w:t xml:space="preserve">releases </w:t>
      </w:r>
      <w:r w:rsidRPr="0068513E">
        <w:t xml:space="preserve">capacity </w:t>
      </w:r>
      <w:r w:rsidRPr="00934F26">
        <w:t>to that part of the Distribution System where the connection is requ</w:t>
      </w:r>
      <w:r w:rsidRPr="0032274F">
        <w:t xml:space="preserve">ired to be made. </w:t>
      </w:r>
      <w:r>
        <w:t xml:space="preserve">Some Working Group members </w:t>
      </w:r>
      <w:r w:rsidRPr="0032274F">
        <w:t xml:space="preserve">have </w:t>
      </w:r>
      <w:r>
        <w:t>described</w:t>
      </w:r>
      <w:r w:rsidRPr="0032274F">
        <w:t xml:space="preserve"> this type of reinforcement as </w:t>
      </w:r>
      <w:r>
        <w:t>l</w:t>
      </w:r>
      <w:r w:rsidRPr="0032274F">
        <w:t xml:space="preserve">oad </w:t>
      </w:r>
      <w:r>
        <w:t>t</w:t>
      </w:r>
      <w:r w:rsidRPr="0032274F">
        <w:t>ransfer</w:t>
      </w:r>
      <w:r w:rsidRPr="00F32933">
        <w:t xml:space="preserve"> </w:t>
      </w:r>
      <w:r>
        <w:t>r</w:t>
      </w:r>
      <w:r w:rsidRPr="00F32933">
        <w:t xml:space="preserve">einforcement. </w:t>
      </w:r>
    </w:p>
    <w:p w:rsidR="00C24D16" w:rsidRDefault="00C24D16" w:rsidP="00F333B2">
      <w:pPr>
        <w:pStyle w:val="Heading2"/>
        <w:keepNext w:val="0"/>
        <w:numPr>
          <w:ilvl w:val="1"/>
          <w:numId w:val="4"/>
        </w:numPr>
        <w:spacing w:line="360" w:lineRule="auto"/>
        <w:ind w:left="578" w:hanging="578"/>
        <w:jc w:val="both"/>
      </w:pPr>
      <w:r w:rsidRPr="00CD321D">
        <w:t xml:space="preserve">Under example 8D as interpreted by </w:t>
      </w:r>
      <w:r>
        <w:t xml:space="preserve">the majority of the Working Group </w:t>
      </w:r>
      <w:r w:rsidRPr="00CD321D">
        <w:t>the customer would be required</w:t>
      </w:r>
      <w:r w:rsidRPr="00714BA5">
        <w:t xml:space="preserve"> to pay</w:t>
      </w:r>
      <w:r>
        <w:t xml:space="preserve"> the </w:t>
      </w:r>
      <w:r w:rsidRPr="00DC52C4">
        <w:t>full cost</w:t>
      </w:r>
      <w:r>
        <w:t xml:space="preserve"> of the works required to transfer capacity from one network to another as no new capacity is being added to the network for the work to be considered reinforcement.</w:t>
      </w:r>
    </w:p>
    <w:p w:rsidR="00C24D16" w:rsidRDefault="00C24D16" w:rsidP="00F333B2">
      <w:pPr>
        <w:pStyle w:val="Heading2"/>
        <w:keepNext w:val="0"/>
        <w:numPr>
          <w:ilvl w:val="1"/>
          <w:numId w:val="4"/>
        </w:numPr>
        <w:spacing w:line="360" w:lineRule="auto"/>
        <w:ind w:left="578" w:hanging="578"/>
        <w:jc w:val="both"/>
      </w:pPr>
      <w:r>
        <w:t>One Working Group member’s i</w:t>
      </w:r>
      <w:r w:rsidRPr="00926878">
        <w:t>nterpretation</w:t>
      </w:r>
      <w:r>
        <w:t xml:space="preserve"> was that</w:t>
      </w:r>
      <w:r w:rsidRPr="00926878">
        <w:t xml:space="preserve"> the Cost Apportionment Factor </w:t>
      </w:r>
      <w:r>
        <w:t>sh</w:t>
      </w:r>
      <w:r w:rsidRPr="00624A4B">
        <w:t xml:space="preserve">ould be applied at a </w:t>
      </w:r>
      <w:r w:rsidRPr="00B028F7">
        <w:t>suggested</w:t>
      </w:r>
      <w:r w:rsidRPr="009C7F16">
        <w:t xml:space="preserve"> 2/7.7 </w:t>
      </w:r>
      <w:r w:rsidRPr="00926878">
        <w:t xml:space="preserve">of the </w:t>
      </w:r>
      <w:r>
        <w:t>reinforcement</w:t>
      </w:r>
      <w:r w:rsidRPr="00926878">
        <w:t xml:space="preserve"> costs.</w:t>
      </w:r>
      <w:r>
        <w:t xml:space="preserve">  </w:t>
      </w:r>
    </w:p>
    <w:p w:rsidR="00C24D16" w:rsidRDefault="00C24D16" w:rsidP="00F333B2">
      <w:pPr>
        <w:pStyle w:val="Heading2"/>
        <w:keepNext w:val="0"/>
        <w:numPr>
          <w:ilvl w:val="1"/>
          <w:numId w:val="4"/>
        </w:numPr>
        <w:spacing w:line="360" w:lineRule="auto"/>
        <w:ind w:left="578" w:hanging="578"/>
        <w:jc w:val="both"/>
      </w:pPr>
      <w:r>
        <w:t>The Working Group took in to consideration the alternate views within the Working Group when drafting the consultation.</w:t>
      </w:r>
    </w:p>
    <w:p w:rsidR="00C24D16" w:rsidRPr="00285BDD" w:rsidRDefault="00C24D16" w:rsidP="00F333B2">
      <w:pPr>
        <w:pStyle w:val="Heading1"/>
        <w:numPr>
          <w:ilvl w:val="0"/>
          <w:numId w:val="4"/>
        </w:numPr>
        <w:spacing w:line="360" w:lineRule="auto"/>
        <w:jc w:val="both"/>
      </w:pPr>
      <w:r w:rsidRPr="00285BDD">
        <w:t>DCP 16</w:t>
      </w:r>
      <w:r>
        <w:t>7</w:t>
      </w:r>
      <w:r w:rsidRPr="00285BDD">
        <w:t xml:space="preserve"> CONSULTATION ONE</w:t>
      </w:r>
    </w:p>
    <w:p w:rsidR="00C24D16" w:rsidRPr="00DD79B9" w:rsidRDefault="00C24D16" w:rsidP="00DD79B9">
      <w:pPr>
        <w:pStyle w:val="Heading2"/>
        <w:keepNext w:val="0"/>
        <w:numPr>
          <w:ilvl w:val="1"/>
          <w:numId w:val="4"/>
        </w:numPr>
        <w:tabs>
          <w:tab w:val="num" w:pos="709"/>
        </w:tabs>
        <w:spacing w:line="360" w:lineRule="auto"/>
        <w:jc w:val="both"/>
      </w:pPr>
      <w:r w:rsidRPr="005E1777">
        <w:t xml:space="preserve">The Working Group carried out a Consultation to give </w:t>
      </w:r>
      <w:r>
        <w:t xml:space="preserve">DCUSA </w:t>
      </w:r>
      <w:r w:rsidRPr="005E1777">
        <w:t>Parties</w:t>
      </w:r>
      <w:r>
        <w:t xml:space="preserve"> and other interested organisations</w:t>
      </w:r>
      <w:r w:rsidRPr="005E1777">
        <w:t xml:space="preserve"> </w:t>
      </w:r>
      <w:r>
        <w:t xml:space="preserve">(Attachment 4) </w:t>
      </w:r>
      <w:r w:rsidRPr="005E1777">
        <w:t xml:space="preserve">an opportunity to review and comment on DCP </w:t>
      </w:r>
      <w:r>
        <w:t>167</w:t>
      </w:r>
      <w:r w:rsidRPr="005E1777">
        <w:t xml:space="preserve">. </w:t>
      </w:r>
      <w:r w:rsidRPr="00267A54">
        <w:t xml:space="preserve">There were </w:t>
      </w:r>
      <w:r w:rsidRPr="00DD79B9">
        <w:t>nine responses</w:t>
      </w:r>
      <w:r>
        <w:t xml:space="preserve"> received to the </w:t>
      </w:r>
      <w:r w:rsidRPr="00267A54">
        <w:t xml:space="preserve">consultation. </w:t>
      </w:r>
      <w:r>
        <w:t>Six respondents were Distributors, two respondents were large customers and one respondent was a large customer and a Private Network Operator.</w:t>
      </w:r>
      <w:r w:rsidRPr="00267A54">
        <w:t xml:space="preserve"> The Working Group discussed each response and its comments are summarised alongside the collated Cons</w:t>
      </w:r>
      <w:r>
        <w:t>ultation responses in Attachment 4</w:t>
      </w:r>
      <w:r w:rsidRPr="00267A54">
        <w:t>.</w:t>
      </w:r>
      <w:r w:rsidRPr="008766E8">
        <w:t xml:space="preserve">  </w:t>
      </w:r>
    </w:p>
    <w:p w:rsidR="00C24D16" w:rsidRPr="00267A54" w:rsidRDefault="00C24D16" w:rsidP="00F333B2">
      <w:pPr>
        <w:pStyle w:val="Heading2"/>
        <w:keepNext w:val="0"/>
        <w:numPr>
          <w:ilvl w:val="1"/>
          <w:numId w:val="4"/>
        </w:numPr>
        <w:spacing w:line="360" w:lineRule="auto"/>
        <w:jc w:val="both"/>
      </w:pPr>
      <w:r w:rsidRPr="00267A54">
        <w:t>A summary of the responses received, and the Working Group’s conclusions are set out below:</w:t>
      </w:r>
    </w:p>
    <w:p w:rsidR="00C24D16" w:rsidRDefault="00C24D16" w:rsidP="001F74D7">
      <w:pPr>
        <w:pStyle w:val="Heading2"/>
        <w:keepNext w:val="0"/>
        <w:widowControl w:val="0"/>
        <w:tabs>
          <w:tab w:val="clear" w:pos="360"/>
        </w:tabs>
        <w:spacing w:line="360" w:lineRule="auto"/>
        <w:ind w:left="851" w:hanging="851"/>
        <w:jc w:val="both"/>
        <w:rPr>
          <w:b/>
          <w:bCs w:val="0"/>
          <w:iCs w:val="0"/>
          <w:u w:val="single"/>
        </w:rPr>
      </w:pPr>
      <w:r>
        <w:rPr>
          <w:b/>
          <w:u w:val="single"/>
        </w:rPr>
        <w:t>Question 1:</w:t>
      </w:r>
      <w:r w:rsidRPr="00342793">
        <w:rPr>
          <w:b/>
          <w:u w:val="single"/>
        </w:rPr>
        <w:t xml:space="preserve"> </w:t>
      </w:r>
      <w:r w:rsidRPr="00342793">
        <w:rPr>
          <w:b/>
          <w:bCs w:val="0"/>
          <w:iCs w:val="0"/>
          <w:u w:val="single"/>
        </w:rPr>
        <w:t xml:space="preserve">Do you </w:t>
      </w:r>
      <w:r>
        <w:rPr>
          <w:b/>
          <w:bCs w:val="0"/>
          <w:iCs w:val="0"/>
          <w:u w:val="single"/>
        </w:rPr>
        <w:t>understand</w:t>
      </w:r>
      <w:r w:rsidRPr="00342793">
        <w:rPr>
          <w:b/>
          <w:bCs w:val="0"/>
          <w:iCs w:val="0"/>
          <w:u w:val="single"/>
        </w:rPr>
        <w:t xml:space="preserve"> the intent of the </w:t>
      </w:r>
      <w:r>
        <w:rPr>
          <w:b/>
          <w:bCs w:val="0"/>
          <w:iCs w:val="0"/>
          <w:u w:val="single"/>
        </w:rPr>
        <w:t>D</w:t>
      </w:r>
      <w:r w:rsidRPr="00342793">
        <w:rPr>
          <w:b/>
          <w:bCs w:val="0"/>
          <w:iCs w:val="0"/>
          <w:u w:val="single"/>
        </w:rPr>
        <w:t>CP</w:t>
      </w:r>
      <w:r>
        <w:rPr>
          <w:b/>
          <w:bCs w:val="0"/>
          <w:iCs w:val="0"/>
          <w:u w:val="single"/>
        </w:rPr>
        <w:t xml:space="preserve"> 167</w:t>
      </w:r>
      <w:r w:rsidRPr="00342793">
        <w:rPr>
          <w:b/>
          <w:bCs w:val="0"/>
          <w:iCs w:val="0"/>
          <w:u w:val="single"/>
        </w:rPr>
        <w:t>?</w:t>
      </w:r>
    </w:p>
    <w:p w:rsidR="00C24D16" w:rsidRDefault="00C24D16" w:rsidP="000E0234"/>
    <w:tbl>
      <w:tblPr>
        <w:tblW w:w="8908" w:type="dxa"/>
        <w:jc w:val="center"/>
        <w:tblInd w:w="2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6"/>
        <w:gridCol w:w="1843"/>
        <w:gridCol w:w="1843"/>
        <w:gridCol w:w="2526"/>
      </w:tblGrid>
      <w:tr w:rsidR="00C24D16" w:rsidRPr="002D5065" w:rsidTr="002D5065">
        <w:trPr>
          <w:trHeight w:val="236"/>
          <w:jc w:val="center"/>
        </w:trPr>
        <w:tc>
          <w:tcPr>
            <w:tcW w:w="2696" w:type="dxa"/>
            <w:shd w:val="clear" w:color="auto" w:fill="808080"/>
          </w:tcPr>
          <w:p w:rsidR="00C24D16" w:rsidRPr="002D5065" w:rsidRDefault="00C24D16" w:rsidP="00894B1F">
            <w:pPr>
              <w:ind w:firstLine="26"/>
              <w:jc w:val="center"/>
              <w:rPr>
                <w:rFonts w:ascii="Verdana" w:hAnsi="Verdana" w:cs="Arial"/>
                <w:b/>
                <w:bCs/>
                <w:iCs/>
                <w:color w:val="FFFFFF"/>
                <w:sz w:val="18"/>
                <w:szCs w:val="18"/>
              </w:rPr>
            </w:pPr>
            <w:r w:rsidRPr="002D5065">
              <w:rPr>
                <w:rFonts w:ascii="Verdana" w:hAnsi="Verdana" w:cs="Arial"/>
                <w:b/>
                <w:bCs/>
                <w:iCs/>
                <w:color w:val="FFFFFF"/>
                <w:sz w:val="18"/>
                <w:szCs w:val="18"/>
              </w:rPr>
              <w:t>Respondent Party Type</w:t>
            </w:r>
          </w:p>
        </w:tc>
        <w:tc>
          <w:tcPr>
            <w:tcW w:w="1843" w:type="dxa"/>
            <w:shd w:val="clear" w:color="auto" w:fill="808080"/>
          </w:tcPr>
          <w:p w:rsidR="00C24D16" w:rsidRPr="002D5065" w:rsidRDefault="00C24D16" w:rsidP="009E4CF0">
            <w:pPr>
              <w:jc w:val="center"/>
              <w:rPr>
                <w:rFonts w:ascii="Verdana" w:hAnsi="Verdana" w:cs="Arial"/>
                <w:b/>
                <w:bCs/>
                <w:iCs/>
                <w:color w:val="FFFFFF"/>
                <w:sz w:val="18"/>
                <w:szCs w:val="18"/>
              </w:rPr>
            </w:pPr>
            <w:r w:rsidRPr="002D5065">
              <w:rPr>
                <w:rFonts w:ascii="Verdana" w:hAnsi="Verdana" w:cs="Arial"/>
                <w:b/>
                <w:bCs/>
                <w:iCs/>
                <w:color w:val="FFFFFF"/>
                <w:sz w:val="18"/>
                <w:szCs w:val="18"/>
              </w:rPr>
              <w:t>Yes</w:t>
            </w:r>
          </w:p>
        </w:tc>
        <w:tc>
          <w:tcPr>
            <w:tcW w:w="1843" w:type="dxa"/>
            <w:shd w:val="clear" w:color="auto" w:fill="808080"/>
          </w:tcPr>
          <w:p w:rsidR="00C24D16" w:rsidRPr="002D5065" w:rsidRDefault="00C24D16" w:rsidP="009E4CF0">
            <w:pPr>
              <w:jc w:val="center"/>
              <w:rPr>
                <w:rFonts w:ascii="Verdana" w:hAnsi="Verdana" w:cs="Arial"/>
                <w:b/>
                <w:bCs/>
                <w:iCs/>
                <w:color w:val="FFFFFF"/>
                <w:sz w:val="18"/>
                <w:szCs w:val="18"/>
              </w:rPr>
            </w:pPr>
            <w:r w:rsidRPr="002D5065">
              <w:rPr>
                <w:rFonts w:ascii="Verdana" w:hAnsi="Verdana" w:cs="Arial"/>
                <w:b/>
                <w:bCs/>
                <w:iCs/>
                <w:color w:val="FFFFFF"/>
                <w:sz w:val="18"/>
                <w:szCs w:val="18"/>
              </w:rPr>
              <w:t>No</w:t>
            </w:r>
          </w:p>
        </w:tc>
        <w:tc>
          <w:tcPr>
            <w:tcW w:w="2526" w:type="dxa"/>
            <w:shd w:val="clear" w:color="auto" w:fill="808080"/>
          </w:tcPr>
          <w:p w:rsidR="00C24D16" w:rsidRPr="002D5065" w:rsidRDefault="00C24D16" w:rsidP="009E4CF0">
            <w:pPr>
              <w:jc w:val="center"/>
              <w:rPr>
                <w:rFonts w:ascii="Verdana" w:hAnsi="Verdana" w:cs="Arial"/>
                <w:b/>
                <w:bCs/>
                <w:iCs/>
                <w:color w:val="FFFFFF"/>
                <w:sz w:val="18"/>
                <w:szCs w:val="18"/>
              </w:rPr>
            </w:pPr>
            <w:r w:rsidRPr="002D5065">
              <w:rPr>
                <w:rFonts w:ascii="Verdana" w:hAnsi="Verdana" w:cs="Arial"/>
                <w:b/>
                <w:bCs/>
                <w:iCs/>
                <w:color w:val="FFFFFF"/>
                <w:sz w:val="18"/>
                <w:szCs w:val="18"/>
              </w:rPr>
              <w:t>Undecided</w:t>
            </w:r>
          </w:p>
        </w:tc>
      </w:tr>
      <w:tr w:rsidR="00C24D16" w:rsidRPr="00A67FCE" w:rsidTr="00894B1F">
        <w:trPr>
          <w:trHeight w:val="236"/>
          <w:jc w:val="center"/>
        </w:trPr>
        <w:tc>
          <w:tcPr>
            <w:tcW w:w="2696" w:type="dxa"/>
          </w:tcPr>
          <w:p w:rsidR="00C24D16" w:rsidRPr="00A67FCE" w:rsidRDefault="00C24D16" w:rsidP="00894B1F">
            <w:pPr>
              <w:ind w:firstLine="26"/>
              <w:jc w:val="center"/>
              <w:rPr>
                <w:rFonts w:ascii="Verdana" w:hAnsi="Verdana" w:cs="Arial"/>
                <w:b/>
                <w:bCs/>
                <w:iCs/>
                <w:sz w:val="18"/>
                <w:szCs w:val="18"/>
              </w:rPr>
            </w:pPr>
            <w:r w:rsidRPr="00A67FCE">
              <w:rPr>
                <w:rFonts w:ascii="Verdana" w:hAnsi="Verdana" w:cs="Arial"/>
                <w:b/>
                <w:bCs/>
                <w:iCs/>
                <w:sz w:val="18"/>
                <w:szCs w:val="18"/>
              </w:rPr>
              <w:t>DNOs</w:t>
            </w:r>
          </w:p>
        </w:tc>
        <w:tc>
          <w:tcPr>
            <w:tcW w:w="1843" w:type="dxa"/>
          </w:tcPr>
          <w:p w:rsidR="00C24D16" w:rsidRPr="00A67FCE" w:rsidRDefault="00C24D16" w:rsidP="009E4CF0">
            <w:pPr>
              <w:jc w:val="center"/>
              <w:rPr>
                <w:rFonts w:ascii="Verdana" w:hAnsi="Verdana" w:cs="Arial"/>
                <w:bCs/>
                <w:iCs/>
                <w:sz w:val="18"/>
                <w:szCs w:val="18"/>
              </w:rPr>
            </w:pPr>
            <w:r>
              <w:rPr>
                <w:rFonts w:ascii="Verdana" w:hAnsi="Verdana" w:cs="Arial"/>
                <w:bCs/>
                <w:iCs/>
                <w:sz w:val="18"/>
                <w:szCs w:val="18"/>
              </w:rPr>
              <w:t>6</w:t>
            </w:r>
          </w:p>
        </w:tc>
        <w:tc>
          <w:tcPr>
            <w:tcW w:w="1843" w:type="dxa"/>
          </w:tcPr>
          <w:p w:rsidR="00C24D16" w:rsidRPr="00A67FCE" w:rsidRDefault="00C24D16" w:rsidP="009E4CF0">
            <w:pPr>
              <w:jc w:val="center"/>
              <w:rPr>
                <w:rFonts w:ascii="Verdana" w:hAnsi="Verdana" w:cs="Arial"/>
                <w:bCs/>
                <w:iCs/>
                <w:sz w:val="18"/>
                <w:szCs w:val="18"/>
              </w:rPr>
            </w:pPr>
            <w:r>
              <w:rPr>
                <w:rFonts w:ascii="Verdana" w:hAnsi="Verdana" w:cs="Arial"/>
                <w:bCs/>
                <w:iCs/>
                <w:sz w:val="18"/>
                <w:szCs w:val="18"/>
              </w:rPr>
              <w:t>0</w:t>
            </w:r>
          </w:p>
        </w:tc>
        <w:tc>
          <w:tcPr>
            <w:tcW w:w="2526" w:type="dxa"/>
          </w:tcPr>
          <w:p w:rsidR="00C24D16" w:rsidRDefault="00C24D16" w:rsidP="009E4CF0">
            <w:pPr>
              <w:jc w:val="center"/>
              <w:rPr>
                <w:rFonts w:ascii="Verdana" w:hAnsi="Verdana" w:cs="Arial"/>
                <w:bCs/>
                <w:iCs/>
                <w:sz w:val="18"/>
                <w:szCs w:val="18"/>
              </w:rPr>
            </w:pPr>
            <w:r>
              <w:rPr>
                <w:rFonts w:ascii="Verdana" w:hAnsi="Verdana" w:cs="Arial"/>
                <w:bCs/>
                <w:iCs/>
                <w:sz w:val="18"/>
                <w:szCs w:val="18"/>
              </w:rPr>
              <w:t>0</w:t>
            </w:r>
          </w:p>
        </w:tc>
      </w:tr>
      <w:tr w:rsidR="00C24D16" w:rsidRPr="00A67FCE" w:rsidTr="00894B1F">
        <w:trPr>
          <w:trHeight w:val="252"/>
          <w:jc w:val="center"/>
        </w:trPr>
        <w:tc>
          <w:tcPr>
            <w:tcW w:w="2696" w:type="dxa"/>
          </w:tcPr>
          <w:p w:rsidR="00C24D16" w:rsidRPr="00A67FCE" w:rsidRDefault="00C24D16" w:rsidP="00894B1F">
            <w:pPr>
              <w:ind w:firstLine="26"/>
              <w:jc w:val="center"/>
              <w:rPr>
                <w:rFonts w:ascii="Verdana" w:hAnsi="Verdana" w:cs="Arial"/>
                <w:b/>
                <w:bCs/>
                <w:iCs/>
                <w:sz w:val="18"/>
                <w:szCs w:val="18"/>
              </w:rPr>
            </w:pPr>
            <w:r>
              <w:rPr>
                <w:rFonts w:ascii="Verdana" w:hAnsi="Verdana" w:cs="Arial"/>
                <w:b/>
                <w:bCs/>
                <w:iCs/>
                <w:sz w:val="18"/>
                <w:szCs w:val="18"/>
              </w:rPr>
              <w:t>Customers</w:t>
            </w:r>
          </w:p>
        </w:tc>
        <w:tc>
          <w:tcPr>
            <w:tcW w:w="1843" w:type="dxa"/>
          </w:tcPr>
          <w:p w:rsidR="00C24D16" w:rsidRPr="00A67FCE" w:rsidRDefault="00C24D16" w:rsidP="009E4CF0">
            <w:pPr>
              <w:jc w:val="center"/>
              <w:rPr>
                <w:rFonts w:ascii="Verdana" w:hAnsi="Verdana" w:cs="Arial"/>
                <w:bCs/>
                <w:iCs/>
                <w:sz w:val="18"/>
                <w:szCs w:val="18"/>
              </w:rPr>
            </w:pPr>
            <w:r>
              <w:rPr>
                <w:rFonts w:ascii="Verdana" w:hAnsi="Verdana" w:cs="Arial"/>
                <w:bCs/>
                <w:iCs/>
                <w:sz w:val="18"/>
                <w:szCs w:val="18"/>
              </w:rPr>
              <w:t>3</w:t>
            </w:r>
          </w:p>
        </w:tc>
        <w:tc>
          <w:tcPr>
            <w:tcW w:w="1843" w:type="dxa"/>
          </w:tcPr>
          <w:p w:rsidR="00C24D16" w:rsidRPr="00A67FCE" w:rsidRDefault="00C24D16" w:rsidP="009E4CF0">
            <w:pPr>
              <w:jc w:val="center"/>
              <w:rPr>
                <w:rFonts w:ascii="Verdana" w:hAnsi="Verdana" w:cs="Arial"/>
                <w:bCs/>
                <w:iCs/>
                <w:sz w:val="18"/>
                <w:szCs w:val="18"/>
              </w:rPr>
            </w:pPr>
            <w:r>
              <w:rPr>
                <w:rFonts w:ascii="Verdana" w:hAnsi="Verdana" w:cs="Arial"/>
                <w:bCs/>
                <w:iCs/>
                <w:sz w:val="18"/>
                <w:szCs w:val="18"/>
              </w:rPr>
              <w:t>0</w:t>
            </w:r>
          </w:p>
        </w:tc>
        <w:tc>
          <w:tcPr>
            <w:tcW w:w="2526" w:type="dxa"/>
          </w:tcPr>
          <w:p w:rsidR="00C24D16" w:rsidRDefault="00C24D16" w:rsidP="009E4CF0">
            <w:pPr>
              <w:jc w:val="center"/>
              <w:rPr>
                <w:rFonts w:ascii="Verdana" w:hAnsi="Verdana" w:cs="Arial"/>
                <w:bCs/>
                <w:iCs/>
                <w:sz w:val="18"/>
                <w:szCs w:val="18"/>
              </w:rPr>
            </w:pPr>
            <w:r>
              <w:rPr>
                <w:rFonts w:ascii="Verdana" w:hAnsi="Verdana" w:cs="Arial"/>
                <w:bCs/>
                <w:iCs/>
                <w:sz w:val="18"/>
                <w:szCs w:val="18"/>
              </w:rPr>
              <w:t>0</w:t>
            </w:r>
          </w:p>
        </w:tc>
      </w:tr>
    </w:tbl>
    <w:p w:rsidR="00C24D16" w:rsidRPr="000E0234" w:rsidRDefault="00C24D16" w:rsidP="00894B1F">
      <w:pPr>
        <w:ind w:firstLine="709"/>
      </w:pPr>
    </w:p>
    <w:p w:rsidR="00C24D16" w:rsidRDefault="00C24D16" w:rsidP="00F333B2">
      <w:pPr>
        <w:pStyle w:val="Heading2"/>
        <w:keepNext w:val="0"/>
        <w:numPr>
          <w:ilvl w:val="1"/>
          <w:numId w:val="4"/>
        </w:numPr>
        <w:spacing w:line="360" w:lineRule="auto"/>
        <w:jc w:val="both"/>
      </w:pPr>
      <w:r>
        <w:t xml:space="preserve">All </w:t>
      </w:r>
      <w:r w:rsidRPr="00342793">
        <w:t xml:space="preserve">respondents </w:t>
      </w:r>
      <w:r>
        <w:t>understood the intent of the CP.</w:t>
      </w:r>
    </w:p>
    <w:p w:rsidR="00C24D16" w:rsidRDefault="00C24D16" w:rsidP="001F74D7">
      <w:pPr>
        <w:pStyle w:val="Heading2"/>
        <w:keepNext w:val="0"/>
        <w:widowControl w:val="0"/>
        <w:tabs>
          <w:tab w:val="clear" w:pos="360"/>
        </w:tabs>
        <w:spacing w:line="360" w:lineRule="auto"/>
        <w:ind w:left="851" w:hanging="851"/>
        <w:jc w:val="both"/>
        <w:rPr>
          <w:b/>
          <w:u w:val="single"/>
        </w:rPr>
      </w:pPr>
      <w:r w:rsidRPr="00C106CA">
        <w:rPr>
          <w:b/>
          <w:u w:val="single"/>
        </w:rPr>
        <w:t>Quest</w:t>
      </w:r>
      <w:r>
        <w:rPr>
          <w:b/>
          <w:u w:val="single"/>
        </w:rPr>
        <w:t>ion 2: Are you supportive of the</w:t>
      </w:r>
      <w:r w:rsidRPr="00C106CA">
        <w:rPr>
          <w:b/>
          <w:u w:val="single"/>
        </w:rPr>
        <w:t xml:space="preserve"> principles</w:t>
      </w:r>
      <w:r>
        <w:rPr>
          <w:b/>
          <w:u w:val="single"/>
        </w:rPr>
        <w:t xml:space="preserve"> of the DCP 167</w:t>
      </w:r>
      <w:r w:rsidRPr="00C106CA">
        <w:rPr>
          <w:b/>
          <w:u w:val="single"/>
        </w:rPr>
        <w:t>?</w:t>
      </w:r>
    </w:p>
    <w:p w:rsidR="00C24D16" w:rsidRDefault="00C24D16" w:rsidP="00A23F6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3"/>
        <w:gridCol w:w="2227"/>
        <w:gridCol w:w="2210"/>
        <w:gridCol w:w="2174"/>
      </w:tblGrid>
      <w:tr w:rsidR="00C24D16" w:rsidRPr="002D5065" w:rsidTr="002D5065">
        <w:trPr>
          <w:trHeight w:val="236"/>
          <w:jc w:val="center"/>
        </w:trPr>
        <w:tc>
          <w:tcPr>
            <w:tcW w:w="2393" w:type="dxa"/>
            <w:shd w:val="clear" w:color="auto" w:fill="808080"/>
          </w:tcPr>
          <w:p w:rsidR="00C24D16" w:rsidRPr="002D5065" w:rsidRDefault="00C24D16" w:rsidP="009E4CF0">
            <w:pPr>
              <w:jc w:val="center"/>
              <w:rPr>
                <w:rFonts w:ascii="Verdana" w:hAnsi="Verdana" w:cs="Arial"/>
                <w:b/>
                <w:bCs/>
                <w:iCs/>
                <w:color w:val="FFFFFF"/>
                <w:sz w:val="18"/>
                <w:szCs w:val="18"/>
              </w:rPr>
            </w:pPr>
            <w:r w:rsidRPr="002D5065">
              <w:rPr>
                <w:rFonts w:ascii="Verdana" w:hAnsi="Verdana" w:cs="Arial"/>
                <w:b/>
                <w:bCs/>
                <w:iCs/>
                <w:color w:val="FFFFFF"/>
                <w:sz w:val="18"/>
                <w:szCs w:val="18"/>
              </w:rPr>
              <w:t>Respondent Party Type</w:t>
            </w:r>
          </w:p>
        </w:tc>
        <w:tc>
          <w:tcPr>
            <w:tcW w:w="2227" w:type="dxa"/>
            <w:shd w:val="clear" w:color="auto" w:fill="808080"/>
          </w:tcPr>
          <w:p w:rsidR="00C24D16" w:rsidRPr="002D5065" w:rsidRDefault="00C24D16" w:rsidP="009E4CF0">
            <w:pPr>
              <w:jc w:val="center"/>
              <w:rPr>
                <w:rFonts w:ascii="Verdana" w:hAnsi="Verdana" w:cs="Arial"/>
                <w:b/>
                <w:bCs/>
                <w:iCs/>
                <w:color w:val="FFFFFF"/>
                <w:sz w:val="18"/>
                <w:szCs w:val="18"/>
              </w:rPr>
            </w:pPr>
            <w:r w:rsidRPr="002D5065">
              <w:rPr>
                <w:rFonts w:ascii="Verdana" w:hAnsi="Verdana" w:cs="Arial"/>
                <w:b/>
                <w:bCs/>
                <w:iCs/>
                <w:color w:val="FFFFFF"/>
                <w:sz w:val="18"/>
                <w:szCs w:val="18"/>
              </w:rPr>
              <w:t>Yes</w:t>
            </w:r>
          </w:p>
        </w:tc>
        <w:tc>
          <w:tcPr>
            <w:tcW w:w="2210" w:type="dxa"/>
            <w:shd w:val="clear" w:color="auto" w:fill="808080"/>
          </w:tcPr>
          <w:p w:rsidR="00C24D16" w:rsidRPr="002D5065" w:rsidRDefault="00C24D16" w:rsidP="009E4CF0">
            <w:pPr>
              <w:jc w:val="center"/>
              <w:rPr>
                <w:rFonts w:ascii="Verdana" w:hAnsi="Verdana" w:cs="Arial"/>
                <w:b/>
                <w:bCs/>
                <w:iCs/>
                <w:color w:val="FFFFFF"/>
                <w:sz w:val="18"/>
                <w:szCs w:val="18"/>
              </w:rPr>
            </w:pPr>
            <w:r w:rsidRPr="002D5065">
              <w:rPr>
                <w:rFonts w:ascii="Verdana" w:hAnsi="Verdana" w:cs="Arial"/>
                <w:b/>
                <w:bCs/>
                <w:iCs/>
                <w:color w:val="FFFFFF"/>
                <w:sz w:val="18"/>
                <w:szCs w:val="18"/>
              </w:rPr>
              <w:t>No</w:t>
            </w:r>
          </w:p>
        </w:tc>
        <w:tc>
          <w:tcPr>
            <w:tcW w:w="2174" w:type="dxa"/>
            <w:shd w:val="clear" w:color="auto" w:fill="808080"/>
          </w:tcPr>
          <w:p w:rsidR="00C24D16" w:rsidRPr="002D5065" w:rsidRDefault="00C24D16" w:rsidP="009E4CF0">
            <w:pPr>
              <w:jc w:val="center"/>
              <w:rPr>
                <w:rFonts w:ascii="Verdana" w:hAnsi="Verdana" w:cs="Arial"/>
                <w:b/>
                <w:bCs/>
                <w:iCs/>
                <w:color w:val="FFFFFF"/>
                <w:sz w:val="18"/>
                <w:szCs w:val="18"/>
              </w:rPr>
            </w:pPr>
            <w:r w:rsidRPr="002D5065">
              <w:rPr>
                <w:rFonts w:ascii="Verdana" w:hAnsi="Verdana" w:cs="Arial"/>
                <w:b/>
                <w:bCs/>
                <w:iCs/>
                <w:color w:val="FFFFFF"/>
                <w:sz w:val="18"/>
                <w:szCs w:val="18"/>
              </w:rPr>
              <w:t>Partially</w:t>
            </w:r>
          </w:p>
        </w:tc>
      </w:tr>
      <w:tr w:rsidR="00C24D16" w:rsidTr="00330FCD">
        <w:trPr>
          <w:trHeight w:val="236"/>
          <w:jc w:val="center"/>
        </w:trPr>
        <w:tc>
          <w:tcPr>
            <w:tcW w:w="2393" w:type="dxa"/>
          </w:tcPr>
          <w:p w:rsidR="00C24D16" w:rsidRPr="00A67FCE" w:rsidRDefault="00C24D16" w:rsidP="009E4CF0">
            <w:pPr>
              <w:jc w:val="center"/>
              <w:rPr>
                <w:rFonts w:ascii="Verdana" w:hAnsi="Verdana" w:cs="Arial"/>
                <w:b/>
                <w:bCs/>
                <w:iCs/>
                <w:sz w:val="18"/>
                <w:szCs w:val="18"/>
              </w:rPr>
            </w:pPr>
            <w:r w:rsidRPr="00A67FCE">
              <w:rPr>
                <w:rFonts w:ascii="Verdana" w:hAnsi="Verdana" w:cs="Arial"/>
                <w:b/>
                <w:bCs/>
                <w:iCs/>
                <w:sz w:val="18"/>
                <w:szCs w:val="18"/>
              </w:rPr>
              <w:t>DNOs</w:t>
            </w:r>
          </w:p>
        </w:tc>
        <w:tc>
          <w:tcPr>
            <w:tcW w:w="2227" w:type="dxa"/>
          </w:tcPr>
          <w:p w:rsidR="00C24D16" w:rsidRPr="00A67FCE" w:rsidRDefault="00C24D16" w:rsidP="009E4CF0">
            <w:pPr>
              <w:jc w:val="center"/>
              <w:rPr>
                <w:rFonts w:ascii="Verdana" w:hAnsi="Verdana" w:cs="Arial"/>
                <w:bCs/>
                <w:iCs/>
                <w:sz w:val="18"/>
                <w:szCs w:val="18"/>
              </w:rPr>
            </w:pPr>
            <w:r>
              <w:rPr>
                <w:rFonts w:ascii="Verdana" w:hAnsi="Verdana" w:cs="Arial"/>
                <w:bCs/>
                <w:iCs/>
                <w:sz w:val="18"/>
                <w:szCs w:val="18"/>
              </w:rPr>
              <w:t>6</w:t>
            </w:r>
          </w:p>
        </w:tc>
        <w:tc>
          <w:tcPr>
            <w:tcW w:w="2210" w:type="dxa"/>
          </w:tcPr>
          <w:p w:rsidR="00C24D16" w:rsidRPr="00A67FCE" w:rsidRDefault="00C24D16" w:rsidP="009E4CF0">
            <w:pPr>
              <w:jc w:val="center"/>
              <w:rPr>
                <w:rFonts w:ascii="Verdana" w:hAnsi="Verdana" w:cs="Arial"/>
                <w:bCs/>
                <w:iCs/>
                <w:sz w:val="18"/>
                <w:szCs w:val="18"/>
              </w:rPr>
            </w:pPr>
            <w:r>
              <w:rPr>
                <w:rFonts w:ascii="Verdana" w:hAnsi="Verdana" w:cs="Arial"/>
                <w:bCs/>
                <w:iCs/>
                <w:sz w:val="18"/>
                <w:szCs w:val="18"/>
              </w:rPr>
              <w:t>0</w:t>
            </w:r>
          </w:p>
        </w:tc>
        <w:tc>
          <w:tcPr>
            <w:tcW w:w="2174" w:type="dxa"/>
          </w:tcPr>
          <w:p w:rsidR="00C24D16" w:rsidRDefault="00C24D16" w:rsidP="009E4CF0">
            <w:pPr>
              <w:jc w:val="center"/>
              <w:rPr>
                <w:rFonts w:ascii="Verdana" w:hAnsi="Verdana" w:cs="Arial"/>
                <w:bCs/>
                <w:iCs/>
                <w:sz w:val="18"/>
                <w:szCs w:val="18"/>
              </w:rPr>
            </w:pPr>
            <w:r>
              <w:rPr>
                <w:rFonts w:ascii="Verdana" w:hAnsi="Verdana" w:cs="Arial"/>
                <w:bCs/>
                <w:iCs/>
                <w:sz w:val="18"/>
                <w:szCs w:val="18"/>
              </w:rPr>
              <w:t>0</w:t>
            </w:r>
          </w:p>
        </w:tc>
      </w:tr>
      <w:tr w:rsidR="00C24D16" w:rsidTr="00330FCD">
        <w:trPr>
          <w:trHeight w:val="252"/>
          <w:jc w:val="center"/>
        </w:trPr>
        <w:tc>
          <w:tcPr>
            <w:tcW w:w="2393" w:type="dxa"/>
          </w:tcPr>
          <w:p w:rsidR="00C24D16" w:rsidRPr="00A67FCE" w:rsidRDefault="00C24D16" w:rsidP="009E4CF0">
            <w:pPr>
              <w:jc w:val="center"/>
              <w:rPr>
                <w:rFonts w:ascii="Verdana" w:hAnsi="Verdana" w:cs="Arial"/>
                <w:b/>
                <w:bCs/>
                <w:iCs/>
                <w:sz w:val="18"/>
                <w:szCs w:val="18"/>
              </w:rPr>
            </w:pPr>
            <w:r>
              <w:rPr>
                <w:rFonts w:ascii="Verdana" w:hAnsi="Verdana" w:cs="Arial"/>
                <w:b/>
                <w:bCs/>
                <w:iCs/>
                <w:sz w:val="18"/>
                <w:szCs w:val="18"/>
              </w:rPr>
              <w:t>Customers</w:t>
            </w:r>
          </w:p>
        </w:tc>
        <w:tc>
          <w:tcPr>
            <w:tcW w:w="2227" w:type="dxa"/>
          </w:tcPr>
          <w:p w:rsidR="00C24D16" w:rsidRPr="00A67FCE" w:rsidRDefault="00C24D16" w:rsidP="009E4CF0">
            <w:pPr>
              <w:jc w:val="center"/>
              <w:rPr>
                <w:rFonts w:ascii="Verdana" w:hAnsi="Verdana" w:cs="Arial"/>
                <w:bCs/>
                <w:iCs/>
                <w:sz w:val="18"/>
                <w:szCs w:val="18"/>
              </w:rPr>
            </w:pPr>
            <w:r>
              <w:rPr>
                <w:rFonts w:ascii="Verdana" w:hAnsi="Verdana" w:cs="Arial"/>
                <w:bCs/>
                <w:iCs/>
                <w:sz w:val="18"/>
                <w:szCs w:val="18"/>
              </w:rPr>
              <w:t>1</w:t>
            </w:r>
          </w:p>
        </w:tc>
        <w:tc>
          <w:tcPr>
            <w:tcW w:w="2210" w:type="dxa"/>
          </w:tcPr>
          <w:p w:rsidR="00C24D16" w:rsidRPr="00A67FCE" w:rsidRDefault="00C24D16" w:rsidP="009E4CF0">
            <w:pPr>
              <w:jc w:val="center"/>
              <w:rPr>
                <w:rFonts w:ascii="Verdana" w:hAnsi="Verdana" w:cs="Arial"/>
                <w:bCs/>
                <w:iCs/>
                <w:sz w:val="18"/>
                <w:szCs w:val="18"/>
              </w:rPr>
            </w:pPr>
            <w:r>
              <w:rPr>
                <w:rFonts w:ascii="Verdana" w:hAnsi="Verdana" w:cs="Arial"/>
                <w:bCs/>
                <w:iCs/>
                <w:sz w:val="18"/>
                <w:szCs w:val="18"/>
              </w:rPr>
              <w:t>0</w:t>
            </w:r>
          </w:p>
        </w:tc>
        <w:tc>
          <w:tcPr>
            <w:tcW w:w="2174" w:type="dxa"/>
          </w:tcPr>
          <w:p w:rsidR="00C24D16" w:rsidRDefault="00C24D16" w:rsidP="009E4CF0">
            <w:pPr>
              <w:jc w:val="center"/>
              <w:rPr>
                <w:rFonts w:ascii="Verdana" w:hAnsi="Verdana" w:cs="Arial"/>
                <w:bCs/>
                <w:iCs/>
                <w:sz w:val="18"/>
                <w:szCs w:val="18"/>
              </w:rPr>
            </w:pPr>
            <w:r>
              <w:rPr>
                <w:rFonts w:ascii="Verdana" w:hAnsi="Verdana" w:cs="Arial"/>
                <w:bCs/>
                <w:iCs/>
                <w:sz w:val="18"/>
                <w:szCs w:val="18"/>
              </w:rPr>
              <w:t>2</w:t>
            </w:r>
          </w:p>
        </w:tc>
      </w:tr>
    </w:tbl>
    <w:p w:rsidR="00C24D16" w:rsidRPr="00A23F68" w:rsidRDefault="00C24D16" w:rsidP="00330FCD"/>
    <w:p w:rsidR="00F333B2" w:rsidRPr="00F333B2" w:rsidRDefault="00F333B2" w:rsidP="00F333B2">
      <w:pPr>
        <w:pStyle w:val="ListParagraph"/>
        <w:numPr>
          <w:ilvl w:val="0"/>
          <w:numId w:val="10"/>
        </w:numPr>
        <w:spacing w:before="240" w:after="60" w:line="360" w:lineRule="auto"/>
        <w:contextualSpacing w:val="0"/>
        <w:jc w:val="both"/>
        <w:outlineLvl w:val="1"/>
        <w:rPr>
          <w:rFonts w:ascii="Verdana" w:hAnsi="Verdana" w:cs="Arial"/>
          <w:bCs/>
          <w:iCs/>
          <w:vanish/>
          <w:sz w:val="20"/>
          <w:szCs w:val="20"/>
          <w:lang w:val="en-GB" w:eastAsia="en-GB"/>
        </w:rPr>
      </w:pPr>
    </w:p>
    <w:p w:rsidR="00F333B2" w:rsidRPr="00F333B2" w:rsidRDefault="00F333B2" w:rsidP="00F333B2">
      <w:pPr>
        <w:pStyle w:val="ListParagraph"/>
        <w:numPr>
          <w:ilvl w:val="0"/>
          <w:numId w:val="10"/>
        </w:numPr>
        <w:spacing w:before="240" w:after="60" w:line="360" w:lineRule="auto"/>
        <w:contextualSpacing w:val="0"/>
        <w:jc w:val="both"/>
        <w:outlineLvl w:val="1"/>
        <w:rPr>
          <w:rFonts w:ascii="Verdana" w:hAnsi="Verdana" w:cs="Arial"/>
          <w:bCs/>
          <w:iCs/>
          <w:vanish/>
          <w:sz w:val="20"/>
          <w:szCs w:val="20"/>
          <w:lang w:val="en-GB" w:eastAsia="en-GB"/>
        </w:rPr>
      </w:pPr>
    </w:p>
    <w:p w:rsidR="00F333B2" w:rsidRPr="00F333B2" w:rsidRDefault="00F333B2" w:rsidP="00F333B2">
      <w:pPr>
        <w:pStyle w:val="ListParagraph"/>
        <w:numPr>
          <w:ilvl w:val="0"/>
          <w:numId w:val="10"/>
        </w:numPr>
        <w:spacing w:before="240" w:after="60" w:line="360" w:lineRule="auto"/>
        <w:contextualSpacing w:val="0"/>
        <w:jc w:val="both"/>
        <w:outlineLvl w:val="1"/>
        <w:rPr>
          <w:rFonts w:ascii="Verdana" w:hAnsi="Verdana" w:cs="Arial"/>
          <w:bCs/>
          <w:iCs/>
          <w:vanish/>
          <w:sz w:val="20"/>
          <w:szCs w:val="20"/>
          <w:lang w:val="en-GB" w:eastAsia="en-GB"/>
        </w:rPr>
      </w:pPr>
    </w:p>
    <w:p w:rsidR="00F333B2" w:rsidRPr="00F333B2" w:rsidRDefault="00F333B2" w:rsidP="00F333B2">
      <w:pPr>
        <w:pStyle w:val="ListParagraph"/>
        <w:numPr>
          <w:ilvl w:val="0"/>
          <w:numId w:val="10"/>
        </w:numPr>
        <w:spacing w:before="240" w:after="60" w:line="360" w:lineRule="auto"/>
        <w:contextualSpacing w:val="0"/>
        <w:jc w:val="both"/>
        <w:outlineLvl w:val="1"/>
        <w:rPr>
          <w:rFonts w:ascii="Verdana" w:hAnsi="Verdana" w:cs="Arial"/>
          <w:bCs/>
          <w:iCs/>
          <w:vanish/>
          <w:sz w:val="20"/>
          <w:szCs w:val="20"/>
          <w:lang w:val="en-GB" w:eastAsia="en-GB"/>
        </w:rPr>
      </w:pPr>
    </w:p>
    <w:p w:rsidR="00F333B2" w:rsidRPr="00F333B2" w:rsidRDefault="00F333B2" w:rsidP="00F333B2">
      <w:pPr>
        <w:pStyle w:val="ListParagraph"/>
        <w:numPr>
          <w:ilvl w:val="1"/>
          <w:numId w:val="10"/>
        </w:numPr>
        <w:spacing w:before="240" w:after="60" w:line="360" w:lineRule="auto"/>
        <w:contextualSpacing w:val="0"/>
        <w:jc w:val="both"/>
        <w:outlineLvl w:val="1"/>
        <w:rPr>
          <w:rFonts w:ascii="Verdana" w:hAnsi="Verdana" w:cs="Arial"/>
          <w:bCs/>
          <w:iCs/>
          <w:vanish/>
          <w:sz w:val="20"/>
          <w:szCs w:val="20"/>
          <w:lang w:val="en-GB" w:eastAsia="en-GB"/>
        </w:rPr>
      </w:pPr>
    </w:p>
    <w:p w:rsidR="00F333B2" w:rsidRPr="00F333B2" w:rsidRDefault="00F333B2" w:rsidP="00F333B2">
      <w:pPr>
        <w:pStyle w:val="ListParagraph"/>
        <w:numPr>
          <w:ilvl w:val="1"/>
          <w:numId w:val="10"/>
        </w:numPr>
        <w:spacing w:before="240" w:after="60" w:line="360" w:lineRule="auto"/>
        <w:contextualSpacing w:val="0"/>
        <w:jc w:val="both"/>
        <w:outlineLvl w:val="1"/>
        <w:rPr>
          <w:rFonts w:ascii="Verdana" w:hAnsi="Verdana" w:cs="Arial"/>
          <w:bCs/>
          <w:iCs/>
          <w:vanish/>
          <w:sz w:val="20"/>
          <w:szCs w:val="20"/>
          <w:lang w:val="en-GB" w:eastAsia="en-GB"/>
        </w:rPr>
      </w:pPr>
    </w:p>
    <w:p w:rsidR="00F333B2" w:rsidRPr="00F333B2" w:rsidRDefault="00F333B2" w:rsidP="00F333B2">
      <w:pPr>
        <w:pStyle w:val="ListParagraph"/>
        <w:numPr>
          <w:ilvl w:val="1"/>
          <w:numId w:val="10"/>
        </w:numPr>
        <w:spacing w:before="240" w:after="60" w:line="360" w:lineRule="auto"/>
        <w:contextualSpacing w:val="0"/>
        <w:jc w:val="both"/>
        <w:outlineLvl w:val="1"/>
        <w:rPr>
          <w:rFonts w:ascii="Verdana" w:hAnsi="Verdana" w:cs="Arial"/>
          <w:bCs/>
          <w:iCs/>
          <w:vanish/>
          <w:sz w:val="20"/>
          <w:szCs w:val="20"/>
          <w:lang w:val="en-GB" w:eastAsia="en-GB"/>
        </w:rPr>
      </w:pPr>
    </w:p>
    <w:p w:rsidR="00C24D16" w:rsidRDefault="00C24D16" w:rsidP="00F333B2">
      <w:pPr>
        <w:pStyle w:val="Heading2"/>
        <w:keepNext w:val="0"/>
        <w:numPr>
          <w:ilvl w:val="1"/>
          <w:numId w:val="10"/>
        </w:numPr>
        <w:spacing w:line="360" w:lineRule="auto"/>
        <w:jc w:val="both"/>
      </w:pPr>
      <w:r>
        <w:t xml:space="preserve">Seven out of nine of the respondents were supportive of the principles of the change. </w:t>
      </w:r>
    </w:p>
    <w:p w:rsidR="00C24D16" w:rsidRDefault="00C24D16" w:rsidP="00330FCD">
      <w:pPr>
        <w:pStyle w:val="Heading2"/>
        <w:keepNext w:val="0"/>
        <w:numPr>
          <w:ilvl w:val="1"/>
          <w:numId w:val="10"/>
        </w:numPr>
        <w:tabs>
          <w:tab w:val="num" w:pos="709"/>
        </w:tabs>
        <w:spacing w:line="360" w:lineRule="auto"/>
        <w:jc w:val="both"/>
      </w:pPr>
      <w:r>
        <w:t>Two of the three customer respondents were supportive of parts of but not all elements of the change as they considered that examples 8C and 8D were treated in an inconsistent manner. The customer respondents pointed out that although additional capacity is created where it is needed under both examples the fact that no overall additional net capacity was created in example 8D</w:t>
      </w:r>
      <w:r w:rsidR="00E05231">
        <w:rPr>
          <w:rStyle w:val="FootnoteReference"/>
        </w:rPr>
        <w:footnoteReference w:id="2"/>
      </w:r>
      <w:r>
        <w:t xml:space="preserve"> should not be relevant as the spare capacity being transferred had no foreseeable use at its original location. </w:t>
      </w:r>
    </w:p>
    <w:p w:rsidR="00C24D16" w:rsidRPr="008E499A" w:rsidRDefault="00C24D16" w:rsidP="008E499A">
      <w:pPr>
        <w:pStyle w:val="Heading2"/>
        <w:keepNext w:val="0"/>
        <w:numPr>
          <w:ilvl w:val="1"/>
          <w:numId w:val="10"/>
        </w:numPr>
        <w:tabs>
          <w:tab w:val="num" w:pos="709"/>
        </w:tabs>
        <w:spacing w:line="360" w:lineRule="auto"/>
        <w:jc w:val="both"/>
      </w:pPr>
      <w:r w:rsidRPr="00D56042">
        <w:t>The majority of</w:t>
      </w:r>
      <w:r>
        <w:t xml:space="preserve"> the Working Group considered example 8D</w:t>
      </w:r>
      <w:r w:rsidRPr="00D56042">
        <w:t xml:space="preserve"> to be a reconfiguration of the network and therefore fully chargeable. Some Working Group members </w:t>
      </w:r>
      <w:r>
        <w:t>who were not supportive of this approach agreed to raise an Alternative Change Proposal.</w:t>
      </w:r>
    </w:p>
    <w:p w:rsidR="00C24D16" w:rsidRPr="008E499A" w:rsidRDefault="00C24D16" w:rsidP="008E499A">
      <w:pPr>
        <w:pStyle w:val="Heading2"/>
        <w:keepNext w:val="0"/>
        <w:widowControl w:val="0"/>
        <w:tabs>
          <w:tab w:val="clear" w:pos="360"/>
        </w:tabs>
        <w:spacing w:line="360" w:lineRule="auto"/>
        <w:ind w:left="1418" w:hanging="1418"/>
        <w:jc w:val="both"/>
        <w:rPr>
          <w:b/>
          <w:u w:val="single"/>
        </w:rPr>
      </w:pPr>
      <w:r w:rsidRPr="008779BD">
        <w:rPr>
          <w:b/>
          <w:u w:val="single"/>
        </w:rPr>
        <w:t>Question 3:</w:t>
      </w:r>
      <w:r w:rsidRPr="008779BD">
        <w:rPr>
          <w:b/>
          <w:u w:val="single"/>
        </w:rPr>
        <w:tab/>
      </w:r>
      <w:r w:rsidRPr="008E499A">
        <w:rPr>
          <w:b/>
          <w:u w:val="single"/>
        </w:rPr>
        <w:t>Do you have any comments on the proposed legal text?</w:t>
      </w:r>
    </w:p>
    <w:p w:rsidR="00C24D16" w:rsidRDefault="00C24D16" w:rsidP="007E0B96">
      <w:pPr>
        <w:pStyle w:val="Heading2"/>
        <w:keepNext w:val="0"/>
        <w:numPr>
          <w:ilvl w:val="1"/>
          <w:numId w:val="10"/>
        </w:numPr>
        <w:tabs>
          <w:tab w:val="num" w:pos="709"/>
        </w:tabs>
        <w:spacing w:line="360" w:lineRule="auto"/>
        <w:jc w:val="both"/>
      </w:pPr>
      <w:r>
        <w:t>Four DNO respondents had no further comments on the DCP 167 proposed legal text. One DNO respondent considered that the “</w:t>
      </w:r>
      <w:r w:rsidRPr="003748A0">
        <w:rPr>
          <w:i/>
        </w:rPr>
        <w:t>definition of the Relevant Section of Network will enable the DNO to consider the application of cost apportionment when dealing with remote parts of the network and not just those used to supply the customer</w:t>
      </w:r>
      <w:r>
        <w:t>”</w:t>
      </w:r>
      <w:r w:rsidRPr="001B3216">
        <w:t>.</w:t>
      </w:r>
      <w:r w:rsidRPr="007E0B96">
        <w:t xml:space="preserve"> </w:t>
      </w:r>
      <w:r>
        <w:t>Another DNO respondent referred to their answer to question 9 and 11. The Working Group responds to their answer at questions 9 and 11.</w:t>
      </w:r>
    </w:p>
    <w:p w:rsidR="00C24D16" w:rsidRDefault="00C24D16" w:rsidP="007E0B96">
      <w:pPr>
        <w:pStyle w:val="Heading2"/>
        <w:keepNext w:val="0"/>
        <w:numPr>
          <w:ilvl w:val="1"/>
          <w:numId w:val="10"/>
        </w:numPr>
        <w:tabs>
          <w:tab w:val="num" w:pos="709"/>
        </w:tabs>
        <w:spacing w:line="360" w:lineRule="auto"/>
        <w:jc w:val="both"/>
      </w:pPr>
      <w:r>
        <w:t>One customer respondent referred to the comments made by the customer representative on the DCP 167 proposed legal text in the main body of the consultation and its appendix.</w:t>
      </w:r>
      <w:r w:rsidR="00A40780">
        <w:t xml:space="preserve"> In particular the Customer requested that: </w:t>
      </w:r>
    </w:p>
    <w:p w:rsidR="00A40780" w:rsidRPr="00A40780" w:rsidRDefault="00A40780" w:rsidP="00A40780">
      <w:pPr>
        <w:ind w:left="709"/>
      </w:pPr>
      <w:r>
        <w:rPr>
          <w:rFonts w:cs="Arial"/>
        </w:rPr>
        <w:t>“</w:t>
      </w:r>
      <w:proofErr w:type="gramStart"/>
      <w:r w:rsidRPr="00A40780">
        <w:rPr>
          <w:rFonts w:cs="Arial"/>
          <w:i/>
        </w:rPr>
        <w:t>any</w:t>
      </w:r>
      <w:proofErr w:type="gramEnd"/>
      <w:r w:rsidRPr="00A40780">
        <w:rPr>
          <w:rFonts w:cs="Arial"/>
          <w:i/>
        </w:rPr>
        <w:t xml:space="preserve"> changes so implemented should be unambiguous, consistent and not open to any further interpretation</w:t>
      </w:r>
      <w:r>
        <w:rPr>
          <w:rFonts w:cs="Arial"/>
        </w:rPr>
        <w:t>”</w:t>
      </w:r>
      <w:r w:rsidRPr="00B51128">
        <w:rPr>
          <w:rFonts w:cs="Arial"/>
        </w:rPr>
        <w:t>.</w:t>
      </w:r>
    </w:p>
    <w:p w:rsidR="00C24D16" w:rsidRDefault="00C24D16" w:rsidP="00E3315E">
      <w:pPr>
        <w:pStyle w:val="Heading2"/>
        <w:keepNext w:val="0"/>
        <w:numPr>
          <w:ilvl w:val="1"/>
          <w:numId w:val="10"/>
        </w:numPr>
        <w:tabs>
          <w:tab w:val="num" w:pos="709"/>
        </w:tabs>
        <w:spacing w:line="360" w:lineRule="auto"/>
        <w:jc w:val="both"/>
      </w:pPr>
      <w:r>
        <w:t>Another customer respondent suggested adding new drafting at clauses 1.13 and 1.16 of DCUSA Schedule 23</w:t>
      </w:r>
      <w:r w:rsidR="00A40780">
        <w:t xml:space="preserve"> (as shown underlined below)</w:t>
      </w:r>
      <w:r>
        <w:t xml:space="preserve">. The respondent proposed the following legal text: </w:t>
      </w:r>
    </w:p>
    <w:p w:rsidR="00C24D16" w:rsidRPr="00E3315E" w:rsidRDefault="00C24D16" w:rsidP="00E3315E">
      <w:pPr>
        <w:pStyle w:val="ListParagraph"/>
        <w:rPr>
          <w:rFonts w:cs="Arial"/>
          <w:i/>
          <w:iCs/>
          <w:u w:val="single"/>
        </w:rPr>
      </w:pPr>
      <w:r w:rsidRPr="00E3315E">
        <w:rPr>
          <w:u w:val="single"/>
        </w:rPr>
        <w:t>Clause 1.13</w:t>
      </w:r>
    </w:p>
    <w:p w:rsidR="00C24D16" w:rsidRDefault="00C24D16" w:rsidP="005F3111">
      <w:pPr>
        <w:pStyle w:val="ListParagraph"/>
        <w:numPr>
          <w:ilvl w:val="0"/>
          <w:numId w:val="43"/>
        </w:numPr>
        <w:jc w:val="both"/>
        <w:rPr>
          <w:rFonts w:cs="Arial"/>
          <w:i/>
          <w:iCs/>
        </w:rPr>
      </w:pPr>
      <w:r w:rsidRPr="00E3315E">
        <w:rPr>
          <w:rFonts w:cs="Arial"/>
        </w:rPr>
        <w:t>“</w:t>
      </w:r>
      <w:r w:rsidRPr="00E3315E">
        <w:rPr>
          <w:rFonts w:cs="Arial"/>
          <w:i/>
          <w:iCs/>
        </w:rPr>
        <w:t xml:space="preserve">Work required to reconfigure the Distribution System to meet your requirements where no additional Network or Fault Level Capacity is made available shall be charged in full to you” to </w:t>
      </w:r>
      <w:r w:rsidRPr="00E3315E">
        <w:rPr>
          <w:rFonts w:cs="Arial"/>
        </w:rPr>
        <w:t>“</w:t>
      </w:r>
      <w:r w:rsidRPr="00E3315E">
        <w:rPr>
          <w:rFonts w:cs="Arial"/>
          <w:i/>
          <w:iCs/>
        </w:rPr>
        <w:t xml:space="preserve">Work required to reconfigure the Distribution System to meet your requirements where no additional Network or Fault Level Capacity is made available </w:t>
      </w:r>
      <w:r w:rsidRPr="00A40780">
        <w:rPr>
          <w:rFonts w:cs="Arial"/>
          <w:i/>
          <w:iCs/>
          <w:u w:val="single"/>
        </w:rPr>
        <w:t xml:space="preserve">or transferred from a network where it is not </w:t>
      </w:r>
      <w:proofErr w:type="spellStart"/>
      <w:r w:rsidRPr="00A40780">
        <w:rPr>
          <w:rFonts w:cs="Arial"/>
          <w:i/>
          <w:iCs/>
          <w:u w:val="single"/>
        </w:rPr>
        <w:t>utilised</w:t>
      </w:r>
      <w:proofErr w:type="spellEnd"/>
      <w:r w:rsidRPr="00A40780">
        <w:rPr>
          <w:rFonts w:cs="Arial"/>
          <w:i/>
          <w:iCs/>
          <w:u w:val="single"/>
        </w:rPr>
        <w:t xml:space="preserve"> to one where it is</w:t>
      </w:r>
      <w:r w:rsidRPr="00E3315E">
        <w:rPr>
          <w:rFonts w:cs="Arial"/>
          <w:i/>
          <w:iCs/>
        </w:rPr>
        <w:t xml:space="preserve"> shall be charged in full to you”</w:t>
      </w:r>
    </w:p>
    <w:p w:rsidR="00C24D16" w:rsidRDefault="00C24D16" w:rsidP="00EC4DD8">
      <w:pPr>
        <w:pStyle w:val="Heading2"/>
        <w:keepNext w:val="0"/>
        <w:tabs>
          <w:tab w:val="clear" w:pos="360"/>
        </w:tabs>
        <w:spacing w:line="360" w:lineRule="auto"/>
        <w:ind w:left="720" w:firstLine="0"/>
        <w:jc w:val="both"/>
      </w:pPr>
      <w:r>
        <w:t xml:space="preserve">The Working Group noted that although clause 1.13 was being modified to refer to example 8D as opposed to 8B there were no other changes to this clause. The majority of the Working Group did not </w:t>
      </w:r>
      <w:r w:rsidR="00A40780">
        <w:t>propose other</w:t>
      </w:r>
      <w:r>
        <w:t xml:space="preserve"> changes to this clause. Those</w:t>
      </w:r>
      <w:r w:rsidRPr="00D56042">
        <w:t xml:space="preserve"> Working Group members </w:t>
      </w:r>
      <w:r>
        <w:t xml:space="preserve">who </w:t>
      </w:r>
      <w:r w:rsidR="00FA2C1C">
        <w:t xml:space="preserve">proposed </w:t>
      </w:r>
      <w:proofErr w:type="gramStart"/>
      <w:r w:rsidR="00FA2C1C">
        <w:t xml:space="preserve">changes </w:t>
      </w:r>
      <w:r>
        <w:t xml:space="preserve"> agreed</w:t>
      </w:r>
      <w:proofErr w:type="gramEnd"/>
      <w:r>
        <w:t xml:space="preserve"> to raise an Alternative Change Proposal.</w:t>
      </w:r>
    </w:p>
    <w:p w:rsidR="00C24D16" w:rsidRPr="005F3111" w:rsidRDefault="00C24D16" w:rsidP="005F3111">
      <w:pPr>
        <w:pStyle w:val="ListParagraph"/>
        <w:rPr>
          <w:u w:val="single"/>
        </w:rPr>
      </w:pPr>
      <w:r w:rsidRPr="005F3111">
        <w:rPr>
          <w:u w:val="single"/>
        </w:rPr>
        <w:t>Clause 1.16</w:t>
      </w:r>
    </w:p>
    <w:p w:rsidR="00C24D16" w:rsidRDefault="00C24D16" w:rsidP="005F3111">
      <w:pPr>
        <w:pStyle w:val="ListParagraph"/>
        <w:numPr>
          <w:ilvl w:val="0"/>
          <w:numId w:val="43"/>
        </w:numPr>
      </w:pPr>
      <w:r w:rsidRPr="005F3111">
        <w:rPr>
          <w:rFonts w:cs="Arial"/>
          <w:i/>
          <w:iCs/>
        </w:rPr>
        <w:t xml:space="preserve">Change “Reinforcement is defined as assets installed that add capacity (network or fault level) to the existing shared use Distribution System” to “Reinforcement is defined as assets installed that add capacity (network or fault level) to the existing shared use Distribution System </w:t>
      </w:r>
      <w:r w:rsidRPr="00FA2C1C">
        <w:rPr>
          <w:rFonts w:cs="Arial"/>
          <w:i/>
          <w:iCs/>
          <w:u w:val="single"/>
        </w:rPr>
        <w:t xml:space="preserve">or allow such capacity to be transferred from a network where it is not </w:t>
      </w:r>
      <w:proofErr w:type="spellStart"/>
      <w:r w:rsidRPr="00FA2C1C">
        <w:rPr>
          <w:rFonts w:cs="Arial"/>
          <w:i/>
          <w:iCs/>
          <w:u w:val="single"/>
        </w:rPr>
        <w:t>utilised</w:t>
      </w:r>
      <w:proofErr w:type="spellEnd"/>
      <w:r w:rsidRPr="00FA2C1C">
        <w:rPr>
          <w:rFonts w:cs="Arial"/>
          <w:i/>
          <w:iCs/>
          <w:u w:val="single"/>
        </w:rPr>
        <w:t xml:space="preserve"> to one where it is</w:t>
      </w:r>
      <w:r w:rsidRPr="005F3111">
        <w:rPr>
          <w:rFonts w:cs="Arial"/>
          <w:i/>
          <w:iCs/>
        </w:rPr>
        <w:t>”</w:t>
      </w:r>
      <w:r>
        <w:rPr>
          <w:rFonts w:cs="Arial"/>
          <w:i/>
          <w:iCs/>
        </w:rPr>
        <w:t>.</w:t>
      </w:r>
    </w:p>
    <w:p w:rsidR="00C24D16" w:rsidRDefault="00C24D16" w:rsidP="00EC4DD8">
      <w:pPr>
        <w:pStyle w:val="Heading2"/>
        <w:keepNext w:val="0"/>
        <w:tabs>
          <w:tab w:val="clear" w:pos="360"/>
        </w:tabs>
        <w:spacing w:line="360" w:lineRule="auto"/>
        <w:ind w:left="720" w:firstLine="0"/>
        <w:jc w:val="both"/>
      </w:pPr>
      <w:r w:rsidRPr="005F3111">
        <w:t xml:space="preserve">The majority of the Working Group does not support this view as it is not proposed to change the definition of Reinforcement at 1.16 in this Change Proposal. </w:t>
      </w:r>
      <w:r>
        <w:t>Those</w:t>
      </w:r>
      <w:r w:rsidRPr="00D56042">
        <w:t xml:space="preserve"> Working Group members </w:t>
      </w:r>
      <w:r>
        <w:t>who were supportive of this approach agreed to raise an Alternative Change Proposal.</w:t>
      </w:r>
    </w:p>
    <w:p w:rsidR="00C24D16" w:rsidRDefault="00C24D16" w:rsidP="0087731B">
      <w:pPr>
        <w:pStyle w:val="Heading2"/>
        <w:keepNext w:val="0"/>
        <w:numPr>
          <w:ilvl w:val="1"/>
          <w:numId w:val="10"/>
        </w:numPr>
        <w:tabs>
          <w:tab w:val="num" w:pos="709"/>
        </w:tabs>
        <w:spacing w:line="360" w:lineRule="auto"/>
        <w:jc w:val="both"/>
        <w:rPr>
          <w:i/>
        </w:rPr>
      </w:pPr>
      <w:r>
        <w:t>One respondent who represented the role of both a large Customer and a</w:t>
      </w:r>
      <w:r w:rsidR="00FA2C1C">
        <w:t xml:space="preserve"> Private Network Operator</w:t>
      </w:r>
      <w:r>
        <w:t xml:space="preserve"> </w:t>
      </w:r>
      <w:r w:rsidR="00FA2C1C">
        <w:t>(</w:t>
      </w:r>
      <w:r>
        <w:t>PNO</w:t>
      </w:r>
      <w:r w:rsidR="00FA2C1C">
        <w:t>)</w:t>
      </w:r>
      <w:r>
        <w:t xml:space="preserve"> considered that the DCP 167 modifications were dependent upon the Relevant Section </w:t>
      </w:r>
      <w:proofErr w:type="gramStart"/>
      <w:r>
        <w:t>Of</w:t>
      </w:r>
      <w:proofErr w:type="gramEnd"/>
      <w:r>
        <w:t xml:space="preserve"> Network definition changes being approved under the DCP 162 Change Proposal. </w:t>
      </w:r>
      <w:r w:rsidRPr="0087731B">
        <w:rPr>
          <w:i/>
        </w:rPr>
        <w:t>“This is because the Relevant Section of Network is defined by reference to parts of the network used to supply the new customer”.</w:t>
      </w:r>
    </w:p>
    <w:p w:rsidR="00C24D16" w:rsidRPr="0087731B" w:rsidRDefault="00C24D16" w:rsidP="0087731B">
      <w:pPr>
        <w:pStyle w:val="Heading2"/>
        <w:keepNext w:val="0"/>
        <w:tabs>
          <w:tab w:val="clear" w:pos="360"/>
        </w:tabs>
        <w:spacing w:line="360" w:lineRule="auto"/>
        <w:ind w:left="720" w:firstLine="0"/>
        <w:jc w:val="both"/>
      </w:pPr>
      <w:r w:rsidRPr="0087731B">
        <w:t>The Working Group agreed that although there is a reference to DCP 162 changes at 2.5 of the consultation, DCP 167 is not dependent on DCP 162 changes in order to be progressed.</w:t>
      </w:r>
    </w:p>
    <w:p w:rsidR="00C24D16" w:rsidRPr="0087731B" w:rsidRDefault="00C24D16" w:rsidP="00AD4622">
      <w:pPr>
        <w:pStyle w:val="Heading2"/>
        <w:keepNext w:val="0"/>
        <w:numPr>
          <w:ilvl w:val="1"/>
          <w:numId w:val="10"/>
        </w:numPr>
        <w:tabs>
          <w:tab w:val="num" w:pos="709"/>
        </w:tabs>
        <w:spacing w:line="360" w:lineRule="auto"/>
        <w:jc w:val="both"/>
      </w:pPr>
      <w:r>
        <w:t xml:space="preserve">The respondent proposed the legal text below to </w:t>
      </w:r>
      <w:r w:rsidRPr="0087731B">
        <w:t>replace the definition of Relevant Section of Network in the table after clause 1.24:</w:t>
      </w:r>
    </w:p>
    <w:p w:rsidR="00C24D16" w:rsidRDefault="00C24D16" w:rsidP="0087731B">
      <w:pPr>
        <w:ind w:left="709"/>
        <w:jc w:val="both"/>
        <w:rPr>
          <w:rFonts w:ascii="Verdana" w:hAnsi="Verdana" w:cs="Arial"/>
          <w:i/>
          <w:sz w:val="20"/>
          <w:szCs w:val="20"/>
        </w:rPr>
      </w:pPr>
      <w:r w:rsidRPr="0087731B">
        <w:rPr>
          <w:rFonts w:ascii="Verdana" w:hAnsi="Verdana" w:cs="Arial"/>
          <w:i/>
          <w:sz w:val="20"/>
          <w:szCs w:val="20"/>
        </w:rPr>
        <w:t xml:space="preserve">“If the assets installed that add capacity (network or fault level) to the existing shared use Distribution System are not being used to supply you in either normal and abnormal running arrangements, but instead are being used to supply other loads as part of a load transfer, then the Relevant Section of Network is that part or parts of the Distribution System that can be used to supply the transferred loads in both normal and abnormal running arrangements. </w:t>
      </w:r>
    </w:p>
    <w:p w:rsidR="00C24D16" w:rsidRPr="0087731B" w:rsidRDefault="00C24D16" w:rsidP="0087731B">
      <w:pPr>
        <w:ind w:left="709"/>
        <w:jc w:val="both"/>
        <w:rPr>
          <w:rFonts w:ascii="Verdana" w:hAnsi="Verdana" w:cs="Arial"/>
          <w:i/>
          <w:sz w:val="20"/>
          <w:szCs w:val="20"/>
        </w:rPr>
      </w:pPr>
      <w:r w:rsidRPr="0087731B">
        <w:rPr>
          <w:rFonts w:ascii="Verdana" w:hAnsi="Verdana" w:cs="Arial"/>
          <w:i/>
          <w:sz w:val="20"/>
          <w:szCs w:val="20"/>
        </w:rPr>
        <w:t>Otherwise, the Relevant Section of Network is that part or parts of the Distribution System that can be used to supply you in both normal and abnormal running arrangements.</w:t>
      </w:r>
    </w:p>
    <w:p w:rsidR="00C24D16" w:rsidRPr="0087731B" w:rsidRDefault="00C24D16" w:rsidP="0087731B">
      <w:pPr>
        <w:ind w:left="709"/>
        <w:jc w:val="both"/>
        <w:rPr>
          <w:rFonts w:ascii="Verdana" w:hAnsi="Verdana" w:cs="Arial"/>
          <w:i/>
          <w:sz w:val="20"/>
          <w:szCs w:val="20"/>
        </w:rPr>
      </w:pPr>
    </w:p>
    <w:p w:rsidR="00C24D16" w:rsidRDefault="00C24D16" w:rsidP="00AD4622">
      <w:pPr>
        <w:pStyle w:val="ListParagraph"/>
        <w:ind w:left="709"/>
        <w:jc w:val="both"/>
        <w:rPr>
          <w:rFonts w:ascii="Verdana" w:hAnsi="Verdana" w:cs="Arial"/>
          <w:i/>
          <w:sz w:val="20"/>
          <w:szCs w:val="20"/>
          <w:lang w:val="en-GB" w:eastAsia="en-GB"/>
        </w:rPr>
      </w:pPr>
      <w:r w:rsidRPr="0087731B">
        <w:rPr>
          <w:rFonts w:ascii="Verdana" w:hAnsi="Verdana" w:cs="Arial"/>
          <w:i/>
          <w:sz w:val="20"/>
          <w:szCs w:val="20"/>
          <w:lang w:val="en-GB" w:eastAsia="en-GB"/>
        </w:rPr>
        <w:t>There may be more than one Relevant Section of Network, e.g. at different voltage levels.”</w:t>
      </w:r>
    </w:p>
    <w:p w:rsidR="00C24D16" w:rsidRPr="00AD4622" w:rsidRDefault="00C24D16" w:rsidP="00AD4622">
      <w:pPr>
        <w:pStyle w:val="Heading2"/>
        <w:keepNext w:val="0"/>
        <w:numPr>
          <w:ilvl w:val="1"/>
          <w:numId w:val="10"/>
        </w:numPr>
        <w:tabs>
          <w:tab w:val="num" w:pos="709"/>
        </w:tabs>
        <w:spacing w:line="360" w:lineRule="auto"/>
        <w:jc w:val="both"/>
      </w:pPr>
      <w:r w:rsidRPr="00AD4622">
        <w:t xml:space="preserve">The Working Group noted that changes to the definition of the Relevant Section of Network were not </w:t>
      </w:r>
      <w:r>
        <w:t xml:space="preserve">proposed as part of the DCP 167 </w:t>
      </w:r>
      <w:r w:rsidRPr="00AD4622">
        <w:t>change</w:t>
      </w:r>
      <w:r>
        <w:t xml:space="preserve"> but under the DCP 162 change</w:t>
      </w:r>
      <w:r w:rsidRPr="00AD4622">
        <w:t xml:space="preserve">. </w:t>
      </w:r>
      <w:r>
        <w:t>F</w:t>
      </w:r>
      <w:r w:rsidRPr="00AD4622">
        <w:t xml:space="preserve">ollowing consultation responses to the DCP 162 </w:t>
      </w:r>
      <w:r>
        <w:t xml:space="preserve">CP </w:t>
      </w:r>
      <w:r w:rsidRPr="00AD4622">
        <w:t xml:space="preserve">it is now proposed to change the definition of the Relevant Section of Network </w:t>
      </w:r>
      <w:r>
        <w:t xml:space="preserve">in such a way </w:t>
      </w:r>
      <w:r w:rsidRPr="00AD4622">
        <w:t xml:space="preserve">that </w:t>
      </w:r>
      <w:r>
        <w:t xml:space="preserve">it </w:t>
      </w:r>
      <w:r w:rsidRPr="00AD4622">
        <w:t xml:space="preserve">will better accommodate remote reinforcement than the proposed text from the respondent. </w:t>
      </w:r>
    </w:p>
    <w:p w:rsidR="00C24D16" w:rsidRPr="00957DE3" w:rsidRDefault="00C24D16" w:rsidP="00957DE3">
      <w:pPr>
        <w:pStyle w:val="Heading2"/>
        <w:keepNext w:val="0"/>
        <w:widowControl w:val="0"/>
        <w:tabs>
          <w:tab w:val="clear" w:pos="360"/>
        </w:tabs>
        <w:spacing w:line="360" w:lineRule="auto"/>
        <w:ind w:left="1560" w:hanging="1560"/>
        <w:jc w:val="both"/>
        <w:rPr>
          <w:b/>
          <w:u w:val="single"/>
        </w:rPr>
      </w:pPr>
      <w:r>
        <w:rPr>
          <w:b/>
          <w:u w:val="single"/>
        </w:rPr>
        <w:t>Question 4:</w:t>
      </w:r>
      <w:r>
        <w:rPr>
          <w:b/>
          <w:u w:val="single"/>
        </w:rPr>
        <w:tab/>
      </w:r>
      <w:r w:rsidRPr="00957DE3">
        <w:rPr>
          <w:b/>
          <w:u w:val="single"/>
        </w:rPr>
        <w:t>Do you agree with proposed example 8C as set out in this CP? (Please see 3.2 to 3.4 of this consultation) Do you have any comments on proposed example 8C? (Please refer to 3.3 to 3.4 of this consultation)</w:t>
      </w:r>
    </w:p>
    <w:p w:rsidR="00C24D16" w:rsidRPr="00957DE3" w:rsidRDefault="00C24D16" w:rsidP="00957DE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3"/>
        <w:gridCol w:w="2227"/>
        <w:gridCol w:w="2210"/>
        <w:gridCol w:w="2174"/>
      </w:tblGrid>
      <w:tr w:rsidR="00C24D16" w:rsidRPr="002D5065" w:rsidTr="002D5065">
        <w:trPr>
          <w:trHeight w:val="236"/>
          <w:jc w:val="center"/>
        </w:trPr>
        <w:tc>
          <w:tcPr>
            <w:tcW w:w="2393" w:type="dxa"/>
            <w:shd w:val="clear" w:color="auto" w:fill="808080"/>
          </w:tcPr>
          <w:p w:rsidR="00C24D16" w:rsidRPr="002D5065" w:rsidRDefault="00C24D16" w:rsidP="00261A6F">
            <w:pPr>
              <w:jc w:val="center"/>
              <w:rPr>
                <w:rFonts w:ascii="Verdana" w:hAnsi="Verdana" w:cs="Arial"/>
                <w:b/>
                <w:bCs/>
                <w:iCs/>
                <w:color w:val="FFFFFF"/>
                <w:sz w:val="18"/>
                <w:szCs w:val="18"/>
              </w:rPr>
            </w:pPr>
            <w:r w:rsidRPr="002D5065">
              <w:rPr>
                <w:rFonts w:ascii="Verdana" w:hAnsi="Verdana" w:cs="Arial"/>
                <w:b/>
                <w:bCs/>
                <w:iCs/>
                <w:color w:val="FFFFFF"/>
                <w:sz w:val="18"/>
                <w:szCs w:val="18"/>
              </w:rPr>
              <w:t>Respondent Party Type</w:t>
            </w:r>
          </w:p>
        </w:tc>
        <w:tc>
          <w:tcPr>
            <w:tcW w:w="2227" w:type="dxa"/>
            <w:shd w:val="clear" w:color="auto" w:fill="808080"/>
          </w:tcPr>
          <w:p w:rsidR="00C24D16" w:rsidRPr="002D5065" w:rsidRDefault="00C24D16" w:rsidP="00261A6F">
            <w:pPr>
              <w:jc w:val="center"/>
              <w:rPr>
                <w:rFonts w:ascii="Verdana" w:hAnsi="Verdana" w:cs="Arial"/>
                <w:b/>
                <w:bCs/>
                <w:iCs/>
                <w:color w:val="FFFFFF"/>
                <w:sz w:val="18"/>
                <w:szCs w:val="18"/>
              </w:rPr>
            </w:pPr>
            <w:r w:rsidRPr="002D5065">
              <w:rPr>
                <w:rFonts w:ascii="Verdana" w:hAnsi="Verdana" w:cs="Arial"/>
                <w:b/>
                <w:bCs/>
                <w:iCs/>
                <w:color w:val="FFFFFF"/>
                <w:sz w:val="18"/>
                <w:szCs w:val="18"/>
              </w:rPr>
              <w:t>Yes</w:t>
            </w:r>
          </w:p>
        </w:tc>
        <w:tc>
          <w:tcPr>
            <w:tcW w:w="2210" w:type="dxa"/>
            <w:shd w:val="clear" w:color="auto" w:fill="808080"/>
          </w:tcPr>
          <w:p w:rsidR="00C24D16" w:rsidRPr="002D5065" w:rsidRDefault="00C24D16" w:rsidP="00261A6F">
            <w:pPr>
              <w:jc w:val="center"/>
              <w:rPr>
                <w:rFonts w:ascii="Verdana" w:hAnsi="Verdana" w:cs="Arial"/>
                <w:b/>
                <w:bCs/>
                <w:iCs/>
                <w:color w:val="FFFFFF"/>
                <w:sz w:val="18"/>
                <w:szCs w:val="18"/>
              </w:rPr>
            </w:pPr>
            <w:r w:rsidRPr="002D5065">
              <w:rPr>
                <w:rFonts w:ascii="Verdana" w:hAnsi="Verdana" w:cs="Arial"/>
                <w:b/>
                <w:bCs/>
                <w:iCs/>
                <w:color w:val="FFFFFF"/>
                <w:sz w:val="18"/>
                <w:szCs w:val="18"/>
              </w:rPr>
              <w:t>No</w:t>
            </w:r>
          </w:p>
        </w:tc>
        <w:tc>
          <w:tcPr>
            <w:tcW w:w="2174" w:type="dxa"/>
            <w:shd w:val="clear" w:color="auto" w:fill="808080"/>
          </w:tcPr>
          <w:p w:rsidR="00C24D16" w:rsidRPr="002D5065" w:rsidRDefault="00C24D16" w:rsidP="00261A6F">
            <w:pPr>
              <w:jc w:val="center"/>
              <w:rPr>
                <w:rFonts w:ascii="Verdana" w:hAnsi="Verdana" w:cs="Arial"/>
                <w:b/>
                <w:bCs/>
                <w:iCs/>
                <w:color w:val="FFFFFF"/>
                <w:sz w:val="18"/>
                <w:szCs w:val="18"/>
              </w:rPr>
            </w:pPr>
            <w:r w:rsidRPr="002D5065">
              <w:rPr>
                <w:rFonts w:ascii="Verdana" w:hAnsi="Verdana" w:cs="Arial"/>
                <w:b/>
                <w:bCs/>
                <w:iCs/>
                <w:color w:val="FFFFFF"/>
                <w:sz w:val="18"/>
                <w:szCs w:val="18"/>
              </w:rPr>
              <w:t>Not indicated</w:t>
            </w:r>
          </w:p>
        </w:tc>
      </w:tr>
      <w:tr w:rsidR="00C24D16" w:rsidTr="00261A6F">
        <w:trPr>
          <w:trHeight w:val="236"/>
          <w:jc w:val="center"/>
        </w:trPr>
        <w:tc>
          <w:tcPr>
            <w:tcW w:w="2393" w:type="dxa"/>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DNOs</w:t>
            </w:r>
          </w:p>
        </w:tc>
        <w:tc>
          <w:tcPr>
            <w:tcW w:w="2227" w:type="dxa"/>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6</w:t>
            </w:r>
          </w:p>
        </w:tc>
        <w:tc>
          <w:tcPr>
            <w:tcW w:w="2210" w:type="dxa"/>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0</w:t>
            </w:r>
          </w:p>
        </w:tc>
        <w:tc>
          <w:tcPr>
            <w:tcW w:w="2174" w:type="dxa"/>
          </w:tcPr>
          <w:p w:rsidR="00C24D16" w:rsidRDefault="00C24D16" w:rsidP="00261A6F">
            <w:pPr>
              <w:jc w:val="center"/>
              <w:rPr>
                <w:rFonts w:ascii="Verdana" w:hAnsi="Verdana" w:cs="Arial"/>
                <w:bCs/>
                <w:iCs/>
                <w:sz w:val="18"/>
                <w:szCs w:val="18"/>
              </w:rPr>
            </w:pPr>
            <w:r>
              <w:rPr>
                <w:rFonts w:ascii="Verdana" w:hAnsi="Verdana" w:cs="Arial"/>
                <w:bCs/>
                <w:iCs/>
                <w:sz w:val="18"/>
                <w:szCs w:val="18"/>
              </w:rPr>
              <w:t>0</w:t>
            </w:r>
          </w:p>
        </w:tc>
      </w:tr>
      <w:tr w:rsidR="00C24D16" w:rsidTr="00261A6F">
        <w:trPr>
          <w:trHeight w:val="252"/>
          <w:jc w:val="center"/>
        </w:trPr>
        <w:tc>
          <w:tcPr>
            <w:tcW w:w="2393" w:type="dxa"/>
          </w:tcPr>
          <w:p w:rsidR="00C24D16" w:rsidRPr="00A67FCE" w:rsidRDefault="00C24D16" w:rsidP="00261A6F">
            <w:pPr>
              <w:jc w:val="center"/>
              <w:rPr>
                <w:rFonts w:ascii="Verdana" w:hAnsi="Verdana" w:cs="Arial"/>
                <w:b/>
                <w:bCs/>
                <w:iCs/>
                <w:sz w:val="18"/>
                <w:szCs w:val="18"/>
              </w:rPr>
            </w:pPr>
            <w:r>
              <w:rPr>
                <w:rFonts w:ascii="Verdana" w:hAnsi="Verdana" w:cs="Arial"/>
                <w:b/>
                <w:bCs/>
                <w:iCs/>
                <w:sz w:val="18"/>
                <w:szCs w:val="18"/>
              </w:rPr>
              <w:t>Customers</w:t>
            </w:r>
          </w:p>
        </w:tc>
        <w:tc>
          <w:tcPr>
            <w:tcW w:w="2227" w:type="dxa"/>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1</w:t>
            </w:r>
          </w:p>
        </w:tc>
        <w:tc>
          <w:tcPr>
            <w:tcW w:w="2210" w:type="dxa"/>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0</w:t>
            </w:r>
          </w:p>
        </w:tc>
        <w:tc>
          <w:tcPr>
            <w:tcW w:w="2174" w:type="dxa"/>
          </w:tcPr>
          <w:p w:rsidR="00C24D16" w:rsidRDefault="00C24D16" w:rsidP="00261A6F">
            <w:pPr>
              <w:jc w:val="center"/>
              <w:rPr>
                <w:rFonts w:ascii="Verdana" w:hAnsi="Verdana" w:cs="Arial"/>
                <w:bCs/>
                <w:iCs/>
                <w:sz w:val="18"/>
                <w:szCs w:val="18"/>
              </w:rPr>
            </w:pPr>
            <w:r>
              <w:rPr>
                <w:rFonts w:ascii="Verdana" w:hAnsi="Verdana" w:cs="Arial"/>
                <w:bCs/>
                <w:iCs/>
                <w:sz w:val="18"/>
                <w:szCs w:val="18"/>
              </w:rPr>
              <w:t>2</w:t>
            </w:r>
          </w:p>
        </w:tc>
      </w:tr>
    </w:tbl>
    <w:p w:rsidR="00C24D16" w:rsidRPr="00957DE3" w:rsidRDefault="00C24D16" w:rsidP="00957DE3"/>
    <w:p w:rsidR="00C24D16" w:rsidRDefault="00C24D16" w:rsidP="00E654A6">
      <w:pPr>
        <w:pStyle w:val="Heading2"/>
        <w:keepNext w:val="0"/>
        <w:numPr>
          <w:ilvl w:val="1"/>
          <w:numId w:val="10"/>
        </w:numPr>
        <w:tabs>
          <w:tab w:val="num" w:pos="709"/>
        </w:tabs>
        <w:spacing w:line="360" w:lineRule="auto"/>
        <w:jc w:val="both"/>
      </w:pPr>
      <w:r>
        <w:t>Seven of the nine respondents agreed with the proposed example 8C. Two respondents did not indicate whether they agreed with example 8C but proposed some points to provide clarity within the example.</w:t>
      </w:r>
    </w:p>
    <w:p w:rsidR="00C24D16" w:rsidRDefault="00C24D16" w:rsidP="00E654A6">
      <w:pPr>
        <w:pStyle w:val="Heading2"/>
        <w:keepNext w:val="0"/>
        <w:numPr>
          <w:ilvl w:val="1"/>
          <w:numId w:val="10"/>
        </w:numPr>
        <w:tabs>
          <w:tab w:val="num" w:pos="709"/>
        </w:tabs>
        <w:spacing w:line="360" w:lineRule="auto"/>
        <w:jc w:val="both"/>
      </w:pPr>
      <w:r>
        <w:t>One respondent suggested that the Relevant Section of Network on the diagram could be highlighted and specified in more detail in the text provided.</w:t>
      </w:r>
    </w:p>
    <w:p w:rsidR="00C24D16" w:rsidRPr="00DA1E4F" w:rsidRDefault="00C24D16" w:rsidP="00E654A6">
      <w:pPr>
        <w:pStyle w:val="Heading2"/>
        <w:keepNext w:val="0"/>
        <w:numPr>
          <w:ilvl w:val="1"/>
          <w:numId w:val="10"/>
        </w:numPr>
        <w:tabs>
          <w:tab w:val="num" w:pos="709"/>
        </w:tabs>
        <w:spacing w:line="360" w:lineRule="auto"/>
        <w:jc w:val="both"/>
      </w:pPr>
      <w:r>
        <w:t xml:space="preserve">The Working Group considered the response but </w:t>
      </w:r>
      <w:r w:rsidRPr="00DA1E4F">
        <w:t>believe</w:t>
      </w:r>
      <w:r>
        <w:t xml:space="preserve">d </w:t>
      </w:r>
      <w:r w:rsidRPr="00DA1E4F">
        <w:t>the R</w:t>
      </w:r>
      <w:r>
        <w:t xml:space="preserve">elevant </w:t>
      </w:r>
      <w:r w:rsidRPr="00DA1E4F">
        <w:t>S</w:t>
      </w:r>
      <w:r>
        <w:t xml:space="preserve">ection of </w:t>
      </w:r>
      <w:r w:rsidRPr="00DA1E4F">
        <w:t>N</w:t>
      </w:r>
      <w:r>
        <w:t>etwork</w:t>
      </w:r>
      <w:r w:rsidRPr="00DA1E4F">
        <w:t xml:space="preserve"> to be fully described within the text</w:t>
      </w:r>
      <w:r>
        <w:t>. The Working Group did not wish to also mark</w:t>
      </w:r>
      <w:r w:rsidRPr="00DA1E4F">
        <w:t xml:space="preserve"> the diagram </w:t>
      </w:r>
      <w:r>
        <w:t xml:space="preserve">to highlight the Relevant Section of Network </w:t>
      </w:r>
      <w:r w:rsidRPr="00DA1E4F">
        <w:t>as this would be inconsistent with the other examples in the methodology.</w:t>
      </w:r>
    </w:p>
    <w:p w:rsidR="00C24D16" w:rsidRPr="00957DE3" w:rsidRDefault="00C24D16" w:rsidP="00E654A6">
      <w:pPr>
        <w:pStyle w:val="ListParagraph"/>
        <w:ind w:left="709"/>
        <w:jc w:val="both"/>
        <w:rPr>
          <w:rFonts w:cs="Arial"/>
        </w:rPr>
      </w:pPr>
      <w:r>
        <w:rPr>
          <w:rFonts w:cs="Arial"/>
        </w:rPr>
        <w:t xml:space="preserve">One respondent advised that while they were </w:t>
      </w:r>
      <w:r w:rsidRPr="009E0BF9">
        <w:rPr>
          <w:rFonts w:cs="Arial"/>
          <w:i/>
        </w:rPr>
        <w:t xml:space="preserve">“looking for a section of network supplying the new development, I wrongly assumed that the first mention of “Primary Substation B” under “The RSN for the Reinforcement” was a typo and should read “Primary Substation A”.  This kind of confusion would be avoided by the change to the table after clause 1.24 suggested in my answer to Q3, and by changing the text in Example 8C under </w:t>
      </w:r>
      <w:commentRangeStart w:id="0"/>
      <w:r w:rsidRPr="009E0BF9">
        <w:rPr>
          <w:rFonts w:cs="Arial"/>
          <w:i/>
        </w:rPr>
        <w:t>“The RSN for the Reinforcement” to read”:</w:t>
      </w:r>
    </w:p>
    <w:p w:rsidR="00C24D16" w:rsidRPr="00957DE3" w:rsidRDefault="00C24D16" w:rsidP="00E654A6">
      <w:pPr>
        <w:pStyle w:val="ListParagraph"/>
        <w:ind w:left="709"/>
        <w:jc w:val="both"/>
        <w:rPr>
          <w:rFonts w:cs="Arial"/>
        </w:rPr>
      </w:pPr>
    </w:p>
    <w:p w:rsidR="00C24D16" w:rsidRDefault="00C24D16" w:rsidP="00E654A6">
      <w:pPr>
        <w:pStyle w:val="ListParagraph"/>
        <w:ind w:left="709"/>
        <w:jc w:val="both"/>
        <w:rPr>
          <w:rFonts w:cs="Arial"/>
        </w:rPr>
      </w:pPr>
      <w:r w:rsidRPr="00957DE3">
        <w:rPr>
          <w:rFonts w:cs="Arial"/>
        </w:rPr>
        <w:t>“</w:t>
      </w:r>
      <w:r w:rsidRPr="009E0BF9">
        <w:rPr>
          <w:rFonts w:cs="Arial"/>
          <w:i/>
        </w:rPr>
        <w:t>The Relevant Section of Network is the three-feeder network from Primary Substation B which supplies the loads on the existing two feeders from Primary Substation B as well as the loads at points C and D transferred from the network from the Primary Substation A. The Relevant Section of Network does not supply the new development in this case.  The numerator [… continue as current draft]</w:t>
      </w:r>
      <w:r w:rsidRPr="00957DE3">
        <w:rPr>
          <w:rFonts w:cs="Arial"/>
        </w:rPr>
        <w:t>”</w:t>
      </w:r>
    </w:p>
    <w:p w:rsidR="00C24D16" w:rsidRDefault="00C24D16" w:rsidP="00E654A6">
      <w:pPr>
        <w:pStyle w:val="Heading2"/>
        <w:keepNext w:val="0"/>
        <w:numPr>
          <w:ilvl w:val="1"/>
          <w:numId w:val="10"/>
        </w:numPr>
        <w:tabs>
          <w:tab w:val="num" w:pos="709"/>
        </w:tabs>
        <w:spacing w:line="360" w:lineRule="auto"/>
        <w:jc w:val="both"/>
      </w:pPr>
      <w:r w:rsidRPr="009E0BF9">
        <w:t>The Working Group agreed to amend the text at example C to the respondents proposed text.</w:t>
      </w:r>
      <w:commentRangeEnd w:id="0"/>
      <w:r w:rsidR="00443430">
        <w:rPr>
          <w:rStyle w:val="CommentReference"/>
          <w:rFonts w:ascii="Times New Roman" w:hAnsi="Times New Roman"/>
          <w:bCs w:val="0"/>
          <w:iCs w:val="0"/>
        </w:rPr>
        <w:commentReference w:id="0"/>
      </w:r>
    </w:p>
    <w:p w:rsidR="00C24D16" w:rsidRPr="00E654A6" w:rsidRDefault="00C24D16" w:rsidP="00E654A6">
      <w:pPr>
        <w:pStyle w:val="Heading2"/>
        <w:keepNext w:val="0"/>
        <w:numPr>
          <w:ilvl w:val="1"/>
          <w:numId w:val="10"/>
        </w:numPr>
        <w:tabs>
          <w:tab w:val="num" w:pos="709"/>
        </w:tabs>
        <w:spacing w:line="360" w:lineRule="auto"/>
        <w:jc w:val="both"/>
      </w:pPr>
      <w:r>
        <w:t xml:space="preserve">Another respondent proposed the allocation of the costs of joints at A, B, C, D, E and F to be considered reinforcement. The respondent suggested that </w:t>
      </w:r>
      <w:r w:rsidRPr="00E654A6">
        <w:rPr>
          <w:i/>
        </w:rPr>
        <w:t>“whilst the cost of the new circuit breaker at A and the cable AF increases the capacity within primary substation B, the jointing in of the two substations being transferred from substation A does not and therefore if considered reinforcement (which we would support) can only be considered this if reinforcement includes work to transfer spare capacity from where it is not used to where it is used”</w:t>
      </w:r>
      <w:r w:rsidRPr="00E654A6">
        <w:t>.</w:t>
      </w:r>
    </w:p>
    <w:p w:rsidR="00C24D16" w:rsidRPr="006A7200" w:rsidRDefault="00C24D16" w:rsidP="00E654A6">
      <w:pPr>
        <w:pStyle w:val="Heading2"/>
        <w:keepNext w:val="0"/>
        <w:numPr>
          <w:ilvl w:val="1"/>
          <w:numId w:val="10"/>
        </w:numPr>
        <w:tabs>
          <w:tab w:val="num" w:pos="709"/>
        </w:tabs>
        <w:spacing w:line="360" w:lineRule="auto"/>
        <w:jc w:val="both"/>
      </w:pPr>
      <w:r>
        <w:t>The respondent advised that this comment was to highlight the difference in treatment of identical work between examples 8C and 8D.</w:t>
      </w:r>
      <w:r w:rsidRPr="006A7200">
        <w:t xml:space="preserve"> The proposer explained that it was intentional as the jointing configuration is different in 8C where it provides reinforc</w:t>
      </w:r>
      <w:r>
        <w:t xml:space="preserve">ement whereas in 8D it does not. Some members of the Working Group considered that </w:t>
      </w:r>
      <w:r w:rsidRPr="006A7200">
        <w:t>capacity is being made available where previously th</w:t>
      </w:r>
      <w:r>
        <w:t>e connections could not be made.</w:t>
      </w:r>
      <w:r w:rsidRPr="006A7200">
        <w:t xml:space="preserve"> This alternative view will be presented in the Alternate Change Proposal.</w:t>
      </w:r>
    </w:p>
    <w:p w:rsidR="00C24D16" w:rsidRPr="002A5440" w:rsidRDefault="00C24D16" w:rsidP="002A5440">
      <w:pPr>
        <w:pStyle w:val="Heading2"/>
        <w:keepNext w:val="0"/>
        <w:widowControl w:val="0"/>
        <w:tabs>
          <w:tab w:val="clear" w:pos="360"/>
        </w:tabs>
        <w:spacing w:line="360" w:lineRule="auto"/>
        <w:ind w:left="1560" w:hanging="1560"/>
        <w:jc w:val="both"/>
        <w:rPr>
          <w:b/>
          <w:bCs w:val="0"/>
          <w:iCs w:val="0"/>
          <w:u w:val="single"/>
        </w:rPr>
      </w:pPr>
      <w:r>
        <w:rPr>
          <w:b/>
          <w:u w:val="single"/>
        </w:rPr>
        <w:t>Question 5:</w:t>
      </w:r>
      <w:r>
        <w:rPr>
          <w:b/>
          <w:u w:val="single"/>
        </w:rPr>
        <w:tab/>
      </w:r>
      <w:r w:rsidRPr="002A5440">
        <w:rPr>
          <w:b/>
          <w:bCs w:val="0"/>
          <w:iCs w:val="0"/>
          <w:u w:val="single"/>
        </w:rPr>
        <w:t>Do you agree with proposed example 8D as set out in this CP? (Please see 3.5 to 3.12 of this consultation)</w:t>
      </w:r>
    </w:p>
    <w:p w:rsidR="00C24D16" w:rsidRDefault="00C24D16" w:rsidP="00E654A6">
      <w:pPr>
        <w:pStyle w:val="Heading2"/>
        <w:keepNext w:val="0"/>
        <w:numPr>
          <w:ilvl w:val="1"/>
          <w:numId w:val="10"/>
        </w:numPr>
        <w:tabs>
          <w:tab w:val="num" w:pos="709"/>
        </w:tabs>
        <w:spacing w:line="360" w:lineRule="auto"/>
        <w:jc w:val="both"/>
      </w:pPr>
      <w:r>
        <w:t xml:space="preserve">Five DNO respondents indicated by their comments that they were in agreement with example 8D as stated within the consultation. One Customer respondent agreed with example 8D but referred to their answers to questions 7-11. The Working Group </w:t>
      </w:r>
      <w:r w:rsidR="00E654A6">
        <w:t>addresses</w:t>
      </w:r>
      <w:r>
        <w:t xml:space="preserve"> the customer </w:t>
      </w:r>
      <w:r w:rsidR="00E654A6">
        <w:t>respondent’s</w:t>
      </w:r>
      <w:r>
        <w:t xml:space="preserve"> comments at questions 7-11. </w:t>
      </w:r>
    </w:p>
    <w:p w:rsidR="00C24D16" w:rsidRPr="00482622" w:rsidRDefault="00C24D16" w:rsidP="00E654A6">
      <w:pPr>
        <w:pStyle w:val="Heading2"/>
        <w:keepNext w:val="0"/>
        <w:numPr>
          <w:ilvl w:val="1"/>
          <w:numId w:val="10"/>
        </w:numPr>
        <w:tabs>
          <w:tab w:val="num" w:pos="709"/>
        </w:tabs>
        <w:spacing w:line="360" w:lineRule="auto"/>
        <w:jc w:val="both"/>
      </w:pPr>
      <w:r>
        <w:t>One DNO respondent noted that they did not agree with example 8D but provided no further explanation.</w:t>
      </w:r>
    </w:p>
    <w:p w:rsidR="00C24D16" w:rsidRPr="00E654A6" w:rsidRDefault="00C24D16" w:rsidP="00E654A6">
      <w:pPr>
        <w:pStyle w:val="Heading2"/>
        <w:keepNext w:val="0"/>
        <w:numPr>
          <w:ilvl w:val="1"/>
          <w:numId w:val="10"/>
        </w:numPr>
        <w:tabs>
          <w:tab w:val="num" w:pos="709"/>
        </w:tabs>
        <w:spacing w:line="360" w:lineRule="auto"/>
        <w:jc w:val="both"/>
      </w:pPr>
      <w:r>
        <w:t>Two Customer respondents did not agree with example 8D as they requested for a consistency in treatment of example of 8C and 8D. T</w:t>
      </w:r>
      <w:r w:rsidRPr="00482622">
        <w:t>he work described</w:t>
      </w:r>
      <w:r>
        <w:t xml:space="preserve"> in example 8D</w:t>
      </w:r>
      <w:r w:rsidRPr="00482622">
        <w:t xml:space="preserve"> </w:t>
      </w:r>
      <w:r w:rsidRPr="00E654A6">
        <w:rPr>
          <w:i/>
        </w:rPr>
        <w:t>“is identical to that classed as reinforcement in example 8C and not necessary to provide additional capacity in that example but rather only to transfer capacity from where it is not used to where it is required.  To be consistent with example 8C the work required to transfer capacity from Primary substation B to primary substation A should be classed as reinforcement”</w:t>
      </w:r>
      <w:r w:rsidRPr="00E654A6">
        <w:t>.</w:t>
      </w:r>
    </w:p>
    <w:p w:rsidR="00C24D16" w:rsidRPr="008E499A" w:rsidRDefault="00C24D16" w:rsidP="00E654A6">
      <w:pPr>
        <w:pStyle w:val="Heading2"/>
        <w:keepNext w:val="0"/>
        <w:numPr>
          <w:ilvl w:val="1"/>
          <w:numId w:val="10"/>
        </w:numPr>
        <w:tabs>
          <w:tab w:val="num" w:pos="709"/>
        </w:tabs>
        <w:spacing w:line="360" w:lineRule="auto"/>
        <w:jc w:val="both"/>
      </w:pPr>
      <w:r w:rsidRPr="00D56042">
        <w:t>The majority of</w:t>
      </w:r>
      <w:r>
        <w:t xml:space="preserve"> the Working Group considered example 8D</w:t>
      </w:r>
      <w:r w:rsidRPr="00D56042">
        <w:t xml:space="preserve"> to be a reconfiguration of the network and therefore fully chargeable. Some Working Group members </w:t>
      </w:r>
      <w:r>
        <w:t>who were not supportive of this approach agreed to raise an Alternative Change Proposal.</w:t>
      </w:r>
    </w:p>
    <w:p w:rsidR="00C24D16" w:rsidRPr="002A5440" w:rsidRDefault="00C24D16" w:rsidP="002A5440">
      <w:pPr>
        <w:pStyle w:val="Heading2"/>
        <w:keepNext w:val="0"/>
        <w:widowControl w:val="0"/>
        <w:tabs>
          <w:tab w:val="clear" w:pos="360"/>
        </w:tabs>
        <w:spacing w:line="360" w:lineRule="auto"/>
        <w:ind w:left="1560" w:hanging="1560"/>
        <w:jc w:val="both"/>
        <w:rPr>
          <w:b/>
          <w:bCs w:val="0"/>
          <w:iCs w:val="0"/>
          <w:u w:val="single"/>
        </w:rPr>
      </w:pPr>
      <w:r>
        <w:rPr>
          <w:b/>
          <w:u w:val="single"/>
        </w:rPr>
        <w:t>Question 6:</w:t>
      </w:r>
      <w:r>
        <w:rPr>
          <w:b/>
          <w:u w:val="single"/>
        </w:rPr>
        <w:tab/>
      </w:r>
      <w:r w:rsidRPr="002A5440">
        <w:rPr>
          <w:b/>
          <w:bCs w:val="0"/>
          <w:iCs w:val="0"/>
          <w:u w:val="single"/>
        </w:rPr>
        <w:t>Do you have any comments on proposed example 8D? (Please see 3.5 to 3.12 of this consultation)</w:t>
      </w:r>
    </w:p>
    <w:p w:rsidR="00C24D16" w:rsidRPr="009E7103" w:rsidRDefault="00C24D16" w:rsidP="00E654A6">
      <w:pPr>
        <w:pStyle w:val="Heading2"/>
        <w:keepNext w:val="0"/>
        <w:numPr>
          <w:ilvl w:val="1"/>
          <w:numId w:val="10"/>
        </w:numPr>
        <w:tabs>
          <w:tab w:val="num" w:pos="709"/>
        </w:tabs>
        <w:spacing w:line="360" w:lineRule="auto"/>
        <w:jc w:val="both"/>
      </w:pPr>
      <w:r>
        <w:t xml:space="preserve">Two DNO respondents had no further comments on the example 8D. </w:t>
      </w:r>
      <w:r w:rsidRPr="009E7103">
        <w:t>Four DNO</w:t>
      </w:r>
      <w:r>
        <w:t xml:space="preserve"> respondents</w:t>
      </w:r>
      <w:r w:rsidRPr="009E7103">
        <w:t xml:space="preserve"> considered that no additional capacity has been created in the overall network through the transference of part of the adjacent network to the </w:t>
      </w:r>
      <w:r>
        <w:t>R</w:t>
      </w:r>
      <w:r w:rsidRPr="009E7103">
        <w:t xml:space="preserve">elevant </w:t>
      </w:r>
      <w:r>
        <w:t>Section of N</w:t>
      </w:r>
      <w:r w:rsidRPr="009E7103">
        <w:t xml:space="preserve">etwork to provide further capacity to meet the requirements of the </w:t>
      </w:r>
      <w:r w:rsidR="009505EA" w:rsidRPr="009E7103">
        <w:t>consumer’s</w:t>
      </w:r>
      <w:r w:rsidRPr="009E7103">
        <w:t xml:space="preserve"> connection. Instead this transfer was viewed as a reconfiguration of the network which allows for the efficient use of assets as part of the minimum scheme. Under example 8D these respondents considered that the customer should be charged in full.</w:t>
      </w:r>
    </w:p>
    <w:p w:rsidR="00C24D16" w:rsidRDefault="00C24D16" w:rsidP="00E654A6">
      <w:pPr>
        <w:pStyle w:val="Heading2"/>
        <w:keepNext w:val="0"/>
        <w:numPr>
          <w:ilvl w:val="1"/>
          <w:numId w:val="10"/>
        </w:numPr>
        <w:tabs>
          <w:tab w:val="num" w:pos="709"/>
        </w:tabs>
        <w:spacing w:line="360" w:lineRule="auto"/>
        <w:jc w:val="both"/>
      </w:pPr>
      <w:r>
        <w:t>One Customer respondent referred to their answers to questions 7-11. The Working Group address</w:t>
      </w:r>
      <w:r w:rsidR="00E654A6">
        <w:t>es</w:t>
      </w:r>
      <w:r>
        <w:t xml:space="preserve"> the customer respondent</w:t>
      </w:r>
      <w:r w:rsidR="00E654A6">
        <w:t>’</w:t>
      </w:r>
      <w:r>
        <w:t>s comments at questions 7-11. Another customer respondent referred to their answer to question 5. The Working Group address</w:t>
      </w:r>
      <w:r w:rsidR="00E654A6">
        <w:t>es</w:t>
      </w:r>
      <w:r>
        <w:t xml:space="preserve"> the customer respondent</w:t>
      </w:r>
      <w:r w:rsidR="00E654A6">
        <w:t>’</w:t>
      </w:r>
      <w:r>
        <w:t>s comments at questions 5. One customer respondent noted that they supported the views represented in Appendix A to the consultation.</w:t>
      </w:r>
    </w:p>
    <w:p w:rsidR="00C24D16" w:rsidRPr="009E7103" w:rsidRDefault="00C24D16" w:rsidP="00E654A6">
      <w:pPr>
        <w:pStyle w:val="Heading2"/>
        <w:keepNext w:val="0"/>
        <w:numPr>
          <w:ilvl w:val="1"/>
          <w:numId w:val="10"/>
        </w:numPr>
        <w:tabs>
          <w:tab w:val="num" w:pos="709"/>
        </w:tabs>
        <w:spacing w:line="360" w:lineRule="auto"/>
        <w:jc w:val="both"/>
      </w:pPr>
      <w:r>
        <w:t>The majority of the Working Group agreed with the DNO respondents views on example 8D and noted that the alternate view represented by some of the customer respondents would be raised as an Alternate Change Proposal.</w:t>
      </w:r>
    </w:p>
    <w:p w:rsidR="00C24D16" w:rsidRPr="00115CAB" w:rsidRDefault="00C24D16" w:rsidP="00115CAB"/>
    <w:p w:rsidR="00C24D16" w:rsidRDefault="00C24D16" w:rsidP="002A5440">
      <w:pPr>
        <w:pStyle w:val="Heading2"/>
        <w:keepNext w:val="0"/>
        <w:widowControl w:val="0"/>
        <w:tabs>
          <w:tab w:val="clear" w:pos="360"/>
          <w:tab w:val="num" w:pos="1134"/>
          <w:tab w:val="num" w:pos="1440"/>
        </w:tabs>
        <w:spacing w:line="360" w:lineRule="auto"/>
        <w:ind w:left="1560" w:hanging="1560"/>
        <w:jc w:val="both"/>
        <w:rPr>
          <w:b/>
          <w:bCs w:val="0"/>
          <w:iCs w:val="0"/>
          <w:u w:val="single"/>
        </w:rPr>
      </w:pPr>
      <w:r>
        <w:rPr>
          <w:b/>
          <w:u w:val="single"/>
        </w:rPr>
        <w:t>Question 7:</w:t>
      </w:r>
      <w:r>
        <w:rPr>
          <w:b/>
          <w:u w:val="single"/>
        </w:rPr>
        <w:tab/>
      </w:r>
      <w:r>
        <w:rPr>
          <w:b/>
          <w:u w:val="single"/>
        </w:rPr>
        <w:tab/>
      </w:r>
      <w:r w:rsidRPr="002A5440">
        <w:rPr>
          <w:b/>
          <w:bCs w:val="0"/>
          <w:iCs w:val="0"/>
          <w:u w:val="single"/>
        </w:rPr>
        <w:t>Do you believe it would be more appropriate for example 8D to be considered to illustrate ‘Reinforcement’ such that the Cost Apportionment Factor may be considered to apply? (Please see 3.5 to 3.12 of this consultation)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5"/>
        <w:gridCol w:w="2935"/>
        <w:gridCol w:w="2914"/>
      </w:tblGrid>
      <w:tr w:rsidR="00C24D16" w:rsidRPr="00A67FCE" w:rsidTr="00EA2BBC">
        <w:trPr>
          <w:trHeight w:val="236"/>
          <w:jc w:val="center"/>
        </w:trPr>
        <w:tc>
          <w:tcPr>
            <w:tcW w:w="1752" w:type="pct"/>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Respondent Party Type</w:t>
            </w:r>
          </w:p>
        </w:tc>
        <w:tc>
          <w:tcPr>
            <w:tcW w:w="1630" w:type="pct"/>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Yes</w:t>
            </w:r>
          </w:p>
        </w:tc>
        <w:tc>
          <w:tcPr>
            <w:tcW w:w="1618" w:type="pct"/>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No</w:t>
            </w:r>
          </w:p>
        </w:tc>
      </w:tr>
      <w:tr w:rsidR="00C24D16" w:rsidTr="00EA2BBC">
        <w:trPr>
          <w:trHeight w:val="236"/>
          <w:jc w:val="center"/>
        </w:trPr>
        <w:tc>
          <w:tcPr>
            <w:tcW w:w="1752" w:type="pct"/>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DNOs</w:t>
            </w:r>
          </w:p>
        </w:tc>
        <w:tc>
          <w:tcPr>
            <w:tcW w:w="1630"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0</w:t>
            </w:r>
          </w:p>
        </w:tc>
        <w:tc>
          <w:tcPr>
            <w:tcW w:w="1618"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6</w:t>
            </w:r>
          </w:p>
        </w:tc>
      </w:tr>
      <w:tr w:rsidR="00C24D16" w:rsidTr="00EA2BBC">
        <w:trPr>
          <w:trHeight w:val="252"/>
          <w:jc w:val="center"/>
        </w:trPr>
        <w:tc>
          <w:tcPr>
            <w:tcW w:w="1752" w:type="pct"/>
          </w:tcPr>
          <w:p w:rsidR="00C24D16" w:rsidRPr="00A67FCE" w:rsidRDefault="00C24D16" w:rsidP="00261A6F">
            <w:pPr>
              <w:jc w:val="center"/>
              <w:rPr>
                <w:rFonts w:ascii="Verdana" w:hAnsi="Verdana" w:cs="Arial"/>
                <w:b/>
                <w:bCs/>
                <w:iCs/>
                <w:sz w:val="18"/>
                <w:szCs w:val="18"/>
              </w:rPr>
            </w:pPr>
            <w:r>
              <w:rPr>
                <w:rFonts w:ascii="Verdana" w:hAnsi="Verdana" w:cs="Arial"/>
                <w:b/>
                <w:bCs/>
                <w:iCs/>
                <w:sz w:val="18"/>
                <w:szCs w:val="18"/>
              </w:rPr>
              <w:t>Customers</w:t>
            </w:r>
          </w:p>
        </w:tc>
        <w:tc>
          <w:tcPr>
            <w:tcW w:w="1630"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3</w:t>
            </w:r>
          </w:p>
        </w:tc>
        <w:tc>
          <w:tcPr>
            <w:tcW w:w="1618"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0</w:t>
            </w:r>
          </w:p>
        </w:tc>
      </w:tr>
    </w:tbl>
    <w:p w:rsidR="00C24D16" w:rsidRPr="00EA2BBC" w:rsidRDefault="00C24D16" w:rsidP="00EA2BBC"/>
    <w:p w:rsidR="00C24D16" w:rsidRPr="00EA2BBC" w:rsidRDefault="00C24D16" w:rsidP="00E654A6">
      <w:pPr>
        <w:pStyle w:val="Heading2"/>
        <w:keepNext w:val="0"/>
        <w:numPr>
          <w:ilvl w:val="1"/>
          <w:numId w:val="10"/>
        </w:numPr>
        <w:tabs>
          <w:tab w:val="num" w:pos="709"/>
        </w:tabs>
        <w:spacing w:line="360" w:lineRule="auto"/>
        <w:jc w:val="both"/>
      </w:pPr>
      <w:r>
        <w:t>Six DNO respondents were not supportive of th</w:t>
      </w:r>
      <w:r w:rsidR="00443430">
        <w:t>is</w:t>
      </w:r>
      <w:r>
        <w:t xml:space="preserve"> </w:t>
      </w:r>
      <w:r w:rsidR="00443430">
        <w:t xml:space="preserve">‘Question 7’ </w:t>
      </w:r>
      <w:r>
        <w:t>proposal and three customer respondents were supportive of the proposal that example 8D illustrate</w:t>
      </w:r>
      <w:r w:rsidR="009505EA">
        <w:t>s</w:t>
      </w:r>
      <w:r>
        <w:t xml:space="preserve"> ‘Reinforcement’ so that the CAF may be applied. One DNO respondent referred to their answer to question 11. The Working Group address</w:t>
      </w:r>
      <w:r w:rsidR="009505EA">
        <w:t>es</w:t>
      </w:r>
      <w:r>
        <w:t xml:space="preserve"> this response at question 11.</w:t>
      </w:r>
    </w:p>
    <w:p w:rsidR="00C24D16" w:rsidRDefault="00C24D16" w:rsidP="002A5440">
      <w:pPr>
        <w:pStyle w:val="Heading2"/>
        <w:keepNext w:val="0"/>
        <w:widowControl w:val="0"/>
        <w:tabs>
          <w:tab w:val="clear" w:pos="360"/>
          <w:tab w:val="num" w:pos="1134"/>
          <w:tab w:val="num" w:pos="1440"/>
        </w:tabs>
        <w:spacing w:line="360" w:lineRule="auto"/>
        <w:ind w:left="1560" w:hanging="1560"/>
        <w:jc w:val="both"/>
        <w:rPr>
          <w:b/>
          <w:bCs w:val="0"/>
          <w:iCs w:val="0"/>
          <w:u w:val="single"/>
        </w:rPr>
      </w:pPr>
      <w:r>
        <w:rPr>
          <w:b/>
          <w:u w:val="single"/>
        </w:rPr>
        <w:t xml:space="preserve">Question 8: </w:t>
      </w:r>
      <w:r>
        <w:rPr>
          <w:b/>
          <w:u w:val="single"/>
        </w:rPr>
        <w:tab/>
      </w:r>
      <w:r>
        <w:rPr>
          <w:b/>
          <w:u w:val="single"/>
        </w:rPr>
        <w:tab/>
      </w:r>
      <w:r w:rsidRPr="002A5440">
        <w:rPr>
          <w:b/>
          <w:bCs w:val="0"/>
          <w:iCs w:val="0"/>
          <w:u w:val="single"/>
        </w:rPr>
        <w:t>In example 8D do you believe that capacity has been created or transferred? (Please see 3.5 to 3.12 of this consultation)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5"/>
        <w:gridCol w:w="2935"/>
        <w:gridCol w:w="2914"/>
      </w:tblGrid>
      <w:tr w:rsidR="00C24D16" w:rsidRPr="00A67FCE" w:rsidTr="00261A6F">
        <w:trPr>
          <w:trHeight w:val="236"/>
          <w:jc w:val="center"/>
        </w:trPr>
        <w:tc>
          <w:tcPr>
            <w:tcW w:w="1752" w:type="pct"/>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Respondent Party Type</w:t>
            </w:r>
          </w:p>
        </w:tc>
        <w:tc>
          <w:tcPr>
            <w:tcW w:w="1630" w:type="pct"/>
          </w:tcPr>
          <w:p w:rsidR="00C24D16" w:rsidRPr="00A67FCE" w:rsidRDefault="00C24D16" w:rsidP="00261A6F">
            <w:pPr>
              <w:jc w:val="center"/>
              <w:rPr>
                <w:rFonts w:ascii="Verdana" w:hAnsi="Verdana" w:cs="Arial"/>
                <w:b/>
                <w:bCs/>
                <w:iCs/>
                <w:sz w:val="18"/>
                <w:szCs w:val="18"/>
              </w:rPr>
            </w:pPr>
            <w:r>
              <w:rPr>
                <w:rFonts w:ascii="Verdana" w:hAnsi="Verdana" w:cs="Arial"/>
                <w:b/>
                <w:bCs/>
                <w:iCs/>
                <w:sz w:val="18"/>
                <w:szCs w:val="18"/>
              </w:rPr>
              <w:t>Capacity Created</w:t>
            </w:r>
          </w:p>
        </w:tc>
        <w:tc>
          <w:tcPr>
            <w:tcW w:w="1618" w:type="pct"/>
          </w:tcPr>
          <w:p w:rsidR="00C24D16" w:rsidRPr="00A67FCE" w:rsidRDefault="00C24D16" w:rsidP="00261A6F">
            <w:pPr>
              <w:jc w:val="center"/>
              <w:rPr>
                <w:rFonts w:ascii="Verdana" w:hAnsi="Verdana" w:cs="Arial"/>
                <w:b/>
                <w:bCs/>
                <w:iCs/>
                <w:sz w:val="18"/>
                <w:szCs w:val="18"/>
              </w:rPr>
            </w:pPr>
            <w:r>
              <w:rPr>
                <w:rFonts w:ascii="Verdana" w:hAnsi="Verdana" w:cs="Arial"/>
                <w:b/>
                <w:bCs/>
                <w:iCs/>
                <w:sz w:val="18"/>
                <w:szCs w:val="18"/>
              </w:rPr>
              <w:t>Capacity Transferred</w:t>
            </w:r>
          </w:p>
        </w:tc>
      </w:tr>
      <w:tr w:rsidR="00C24D16" w:rsidRPr="00A67FCE" w:rsidTr="00261A6F">
        <w:trPr>
          <w:trHeight w:val="236"/>
          <w:jc w:val="center"/>
        </w:trPr>
        <w:tc>
          <w:tcPr>
            <w:tcW w:w="1752" w:type="pct"/>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DNOs</w:t>
            </w:r>
          </w:p>
        </w:tc>
        <w:tc>
          <w:tcPr>
            <w:tcW w:w="1630"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0</w:t>
            </w:r>
          </w:p>
        </w:tc>
        <w:tc>
          <w:tcPr>
            <w:tcW w:w="1618"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6</w:t>
            </w:r>
          </w:p>
        </w:tc>
      </w:tr>
      <w:tr w:rsidR="00C24D16" w:rsidRPr="00A67FCE" w:rsidTr="00261A6F">
        <w:trPr>
          <w:trHeight w:val="252"/>
          <w:jc w:val="center"/>
        </w:trPr>
        <w:tc>
          <w:tcPr>
            <w:tcW w:w="1752" w:type="pct"/>
          </w:tcPr>
          <w:p w:rsidR="00C24D16" w:rsidRPr="00A67FCE" w:rsidRDefault="00C24D16" w:rsidP="00261A6F">
            <w:pPr>
              <w:jc w:val="center"/>
              <w:rPr>
                <w:rFonts w:ascii="Verdana" w:hAnsi="Verdana" w:cs="Arial"/>
                <w:b/>
                <w:bCs/>
                <w:iCs/>
                <w:sz w:val="18"/>
                <w:szCs w:val="18"/>
              </w:rPr>
            </w:pPr>
            <w:r>
              <w:rPr>
                <w:rFonts w:ascii="Verdana" w:hAnsi="Verdana" w:cs="Arial"/>
                <w:b/>
                <w:bCs/>
                <w:iCs/>
                <w:sz w:val="18"/>
                <w:szCs w:val="18"/>
              </w:rPr>
              <w:t>Customers</w:t>
            </w:r>
          </w:p>
        </w:tc>
        <w:tc>
          <w:tcPr>
            <w:tcW w:w="1630"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1</w:t>
            </w:r>
          </w:p>
        </w:tc>
        <w:tc>
          <w:tcPr>
            <w:tcW w:w="1618"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2</w:t>
            </w:r>
          </w:p>
        </w:tc>
      </w:tr>
    </w:tbl>
    <w:p w:rsidR="00C24D16" w:rsidRPr="006D4EEA" w:rsidRDefault="00C24D16" w:rsidP="006D4EEA"/>
    <w:p w:rsidR="00C24D16" w:rsidRPr="00E654A6" w:rsidRDefault="00C24D16" w:rsidP="00E654A6">
      <w:pPr>
        <w:pStyle w:val="Heading2"/>
        <w:keepNext w:val="0"/>
        <w:numPr>
          <w:ilvl w:val="1"/>
          <w:numId w:val="10"/>
        </w:numPr>
        <w:tabs>
          <w:tab w:val="num" w:pos="709"/>
        </w:tabs>
        <w:spacing w:line="360" w:lineRule="auto"/>
        <w:jc w:val="both"/>
      </w:pPr>
      <w:r>
        <w:t xml:space="preserve">Eight respondents considered that the capacity had been transferred. One DNO respondent considered that </w:t>
      </w:r>
      <w:r w:rsidRPr="00E654A6">
        <w:rPr>
          <w:i/>
        </w:rPr>
        <w:t>“the assets installed are there only to facilitate the transfer of spare network capacity. These assets do not add any capacity they just facilitate the use of available capacity on adjacent network”</w:t>
      </w:r>
      <w:r w:rsidRPr="00E654A6">
        <w:t xml:space="preserve">. Another DNO noted that they did not see a </w:t>
      </w:r>
      <w:r w:rsidRPr="00E654A6">
        <w:rPr>
          <w:i/>
        </w:rPr>
        <w:t>“reasonable case for the costs of the works in such a case to be apportioned and potentially partly funded by customers through use of system charges”</w:t>
      </w:r>
      <w:r w:rsidRPr="00E654A6">
        <w:t>.</w:t>
      </w:r>
    </w:p>
    <w:p w:rsidR="00C24D16" w:rsidRPr="001B3DDC" w:rsidRDefault="00C24D16" w:rsidP="00E654A6">
      <w:pPr>
        <w:pStyle w:val="Heading2"/>
        <w:keepNext w:val="0"/>
        <w:numPr>
          <w:ilvl w:val="1"/>
          <w:numId w:val="10"/>
        </w:numPr>
        <w:tabs>
          <w:tab w:val="num" w:pos="709"/>
        </w:tabs>
        <w:spacing w:line="360" w:lineRule="auto"/>
        <w:ind w:left="709"/>
        <w:jc w:val="both"/>
      </w:pPr>
      <w:r>
        <w:t xml:space="preserve">One customer respondent considered that </w:t>
      </w:r>
      <w:r w:rsidRPr="001B3DDC">
        <w:rPr>
          <w:i/>
        </w:rPr>
        <w:t>“Additional capacity to deliver power to the POC has been created by constructing additional network assets</w:t>
      </w:r>
      <w:r>
        <w:rPr>
          <w:i/>
        </w:rPr>
        <w:t xml:space="preserve">. </w:t>
      </w:r>
      <w:r w:rsidRPr="001B3DDC">
        <w:rPr>
          <w:i/>
        </w:rPr>
        <w:t>This has been achieved by removing a load from points G/H, which in took advantage of the spare capacity to deliver power at points A/F, so it can be described as a transfer of capacity as well</w:t>
      </w:r>
      <w:r>
        <w:rPr>
          <w:i/>
        </w:rPr>
        <w:t>”</w:t>
      </w:r>
      <w:r w:rsidRPr="001B3DDC">
        <w:t>.</w:t>
      </w:r>
    </w:p>
    <w:p w:rsidR="00C24D16" w:rsidRDefault="00C24D16" w:rsidP="00E654A6">
      <w:pPr>
        <w:pStyle w:val="Heading2"/>
        <w:keepNext w:val="0"/>
        <w:numPr>
          <w:ilvl w:val="1"/>
          <w:numId w:val="10"/>
        </w:numPr>
        <w:tabs>
          <w:tab w:val="num" w:pos="709"/>
        </w:tabs>
        <w:spacing w:line="360" w:lineRule="auto"/>
        <w:ind w:left="709"/>
        <w:jc w:val="both"/>
      </w:pPr>
      <w:r w:rsidRPr="001B3DDC">
        <w:t>A Working Group member explained that capacity of a network at the point of connection (POC) is not changed by the removal of demand. Another Working Group member commented that the methodology should recognise how capacity is effectively created by the transfer of an existing demand.</w:t>
      </w:r>
    </w:p>
    <w:p w:rsidR="00C24D16" w:rsidRPr="001B56C4" w:rsidRDefault="00C24D16" w:rsidP="00E654A6">
      <w:pPr>
        <w:pStyle w:val="Heading2"/>
        <w:keepNext w:val="0"/>
        <w:numPr>
          <w:ilvl w:val="1"/>
          <w:numId w:val="10"/>
        </w:numPr>
        <w:tabs>
          <w:tab w:val="num" w:pos="709"/>
        </w:tabs>
        <w:spacing w:line="360" w:lineRule="auto"/>
        <w:ind w:left="709"/>
        <w:jc w:val="both"/>
      </w:pPr>
      <w:r w:rsidRPr="001B56C4">
        <w:t>The Working Group agreed that in example 8D the capacity had been transferred</w:t>
      </w:r>
      <w:r>
        <w:t>.</w:t>
      </w:r>
    </w:p>
    <w:p w:rsidR="00C24D16" w:rsidRDefault="00C24D16" w:rsidP="002A5440">
      <w:pPr>
        <w:pStyle w:val="Heading2"/>
        <w:keepNext w:val="0"/>
        <w:widowControl w:val="0"/>
        <w:tabs>
          <w:tab w:val="clear" w:pos="360"/>
          <w:tab w:val="num" w:pos="709"/>
          <w:tab w:val="num" w:pos="1134"/>
          <w:tab w:val="num" w:pos="1440"/>
        </w:tabs>
        <w:spacing w:line="360" w:lineRule="auto"/>
        <w:ind w:left="1560" w:hanging="1560"/>
        <w:jc w:val="both"/>
        <w:rPr>
          <w:b/>
          <w:u w:val="single"/>
        </w:rPr>
      </w:pPr>
      <w:r>
        <w:rPr>
          <w:b/>
          <w:u w:val="single"/>
        </w:rPr>
        <w:t>Question 9:</w:t>
      </w:r>
      <w:r>
        <w:rPr>
          <w:b/>
          <w:u w:val="single"/>
        </w:rPr>
        <w:tab/>
      </w:r>
      <w:r>
        <w:rPr>
          <w:b/>
          <w:u w:val="single"/>
        </w:rPr>
        <w:tab/>
      </w:r>
      <w:r w:rsidRPr="002A5440">
        <w:rPr>
          <w:b/>
          <w:u w:val="single"/>
        </w:rPr>
        <w:t>Do you consider that two types of Reinforcement (‘conventional reinforcement’ and ‘load transfer reinforcement) should be defined in the DCUSA? (Please see 3.5 to 3.12 of this consultation)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4"/>
        <w:gridCol w:w="2217"/>
        <w:gridCol w:w="2202"/>
        <w:gridCol w:w="2201"/>
      </w:tblGrid>
      <w:tr w:rsidR="00C24D16" w:rsidRPr="00A67FCE" w:rsidTr="00B7548B">
        <w:trPr>
          <w:trHeight w:val="236"/>
          <w:jc w:val="center"/>
        </w:trPr>
        <w:tc>
          <w:tcPr>
            <w:tcW w:w="1324" w:type="pct"/>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Respondent Party Type</w:t>
            </w:r>
          </w:p>
        </w:tc>
        <w:tc>
          <w:tcPr>
            <w:tcW w:w="1231" w:type="pct"/>
          </w:tcPr>
          <w:p w:rsidR="00C24D16" w:rsidRPr="00A67FCE" w:rsidRDefault="00C24D16" w:rsidP="00261A6F">
            <w:pPr>
              <w:jc w:val="center"/>
              <w:rPr>
                <w:rFonts w:ascii="Verdana" w:hAnsi="Verdana" w:cs="Arial"/>
                <w:b/>
                <w:bCs/>
                <w:iCs/>
                <w:sz w:val="18"/>
                <w:szCs w:val="18"/>
              </w:rPr>
            </w:pPr>
            <w:r>
              <w:rPr>
                <w:rFonts w:ascii="Verdana" w:hAnsi="Verdana" w:cs="Arial"/>
                <w:b/>
                <w:bCs/>
                <w:iCs/>
                <w:sz w:val="18"/>
                <w:szCs w:val="18"/>
              </w:rPr>
              <w:t>Yes</w:t>
            </w:r>
          </w:p>
        </w:tc>
        <w:tc>
          <w:tcPr>
            <w:tcW w:w="1223" w:type="pct"/>
          </w:tcPr>
          <w:p w:rsidR="00C24D16" w:rsidRPr="00A67FCE" w:rsidRDefault="00C24D16" w:rsidP="00261A6F">
            <w:pPr>
              <w:jc w:val="center"/>
              <w:rPr>
                <w:rFonts w:ascii="Verdana" w:hAnsi="Verdana" w:cs="Arial"/>
                <w:b/>
                <w:bCs/>
                <w:iCs/>
                <w:sz w:val="18"/>
                <w:szCs w:val="18"/>
              </w:rPr>
            </w:pPr>
            <w:r>
              <w:rPr>
                <w:rFonts w:ascii="Verdana" w:hAnsi="Verdana" w:cs="Arial"/>
                <w:b/>
                <w:bCs/>
                <w:iCs/>
                <w:sz w:val="18"/>
                <w:szCs w:val="18"/>
              </w:rPr>
              <w:t>No</w:t>
            </w:r>
          </w:p>
        </w:tc>
        <w:tc>
          <w:tcPr>
            <w:tcW w:w="1222" w:type="pct"/>
          </w:tcPr>
          <w:p w:rsidR="00C24D16" w:rsidRDefault="00C24D16" w:rsidP="00261A6F">
            <w:pPr>
              <w:jc w:val="center"/>
              <w:rPr>
                <w:rFonts w:ascii="Verdana" w:hAnsi="Verdana" w:cs="Arial"/>
                <w:b/>
                <w:bCs/>
                <w:iCs/>
                <w:sz w:val="18"/>
                <w:szCs w:val="18"/>
              </w:rPr>
            </w:pPr>
            <w:r>
              <w:rPr>
                <w:rFonts w:ascii="Verdana" w:hAnsi="Verdana" w:cs="Arial"/>
                <w:b/>
                <w:bCs/>
                <w:iCs/>
                <w:sz w:val="18"/>
                <w:szCs w:val="18"/>
              </w:rPr>
              <w:t>Other</w:t>
            </w:r>
          </w:p>
        </w:tc>
      </w:tr>
      <w:tr w:rsidR="00C24D16" w:rsidRPr="00A67FCE" w:rsidTr="00B7548B">
        <w:trPr>
          <w:trHeight w:val="236"/>
          <w:jc w:val="center"/>
        </w:trPr>
        <w:tc>
          <w:tcPr>
            <w:tcW w:w="1324" w:type="pct"/>
          </w:tcPr>
          <w:p w:rsidR="00C24D16" w:rsidRPr="00A67FCE" w:rsidRDefault="00C24D16" w:rsidP="00261A6F">
            <w:pPr>
              <w:jc w:val="center"/>
              <w:rPr>
                <w:rFonts w:ascii="Verdana" w:hAnsi="Verdana" w:cs="Arial"/>
                <w:b/>
                <w:bCs/>
                <w:iCs/>
                <w:sz w:val="18"/>
                <w:szCs w:val="18"/>
              </w:rPr>
            </w:pPr>
            <w:r w:rsidRPr="00A67FCE">
              <w:rPr>
                <w:rFonts w:ascii="Verdana" w:hAnsi="Verdana" w:cs="Arial"/>
                <w:b/>
                <w:bCs/>
                <w:iCs/>
                <w:sz w:val="18"/>
                <w:szCs w:val="18"/>
              </w:rPr>
              <w:t>DNOs</w:t>
            </w:r>
          </w:p>
        </w:tc>
        <w:tc>
          <w:tcPr>
            <w:tcW w:w="1231"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0</w:t>
            </w:r>
          </w:p>
        </w:tc>
        <w:tc>
          <w:tcPr>
            <w:tcW w:w="1223"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6</w:t>
            </w:r>
          </w:p>
        </w:tc>
        <w:tc>
          <w:tcPr>
            <w:tcW w:w="1222" w:type="pct"/>
          </w:tcPr>
          <w:p w:rsidR="00C24D16" w:rsidRDefault="00C24D16" w:rsidP="00261A6F">
            <w:pPr>
              <w:jc w:val="center"/>
              <w:rPr>
                <w:rFonts w:ascii="Verdana" w:hAnsi="Verdana" w:cs="Arial"/>
                <w:bCs/>
                <w:iCs/>
                <w:sz w:val="18"/>
                <w:szCs w:val="18"/>
              </w:rPr>
            </w:pPr>
            <w:r>
              <w:rPr>
                <w:rFonts w:ascii="Verdana" w:hAnsi="Verdana" w:cs="Arial"/>
                <w:bCs/>
                <w:iCs/>
                <w:sz w:val="18"/>
                <w:szCs w:val="18"/>
              </w:rPr>
              <w:t>0</w:t>
            </w:r>
          </w:p>
        </w:tc>
      </w:tr>
      <w:tr w:rsidR="00C24D16" w:rsidRPr="00A67FCE" w:rsidTr="00B7548B">
        <w:trPr>
          <w:trHeight w:val="252"/>
          <w:jc w:val="center"/>
        </w:trPr>
        <w:tc>
          <w:tcPr>
            <w:tcW w:w="1324" w:type="pct"/>
          </w:tcPr>
          <w:p w:rsidR="00C24D16" w:rsidRPr="00A67FCE" w:rsidRDefault="00C24D16" w:rsidP="00261A6F">
            <w:pPr>
              <w:jc w:val="center"/>
              <w:rPr>
                <w:rFonts w:ascii="Verdana" w:hAnsi="Verdana" w:cs="Arial"/>
                <w:b/>
                <w:bCs/>
                <w:iCs/>
                <w:sz w:val="18"/>
                <w:szCs w:val="18"/>
              </w:rPr>
            </w:pPr>
            <w:r>
              <w:rPr>
                <w:rFonts w:ascii="Verdana" w:hAnsi="Verdana" w:cs="Arial"/>
                <w:b/>
                <w:bCs/>
                <w:iCs/>
                <w:sz w:val="18"/>
                <w:szCs w:val="18"/>
              </w:rPr>
              <w:t>Customers</w:t>
            </w:r>
          </w:p>
        </w:tc>
        <w:tc>
          <w:tcPr>
            <w:tcW w:w="1231" w:type="pct"/>
          </w:tcPr>
          <w:p w:rsidR="00C24D16" w:rsidRPr="00A67FCE" w:rsidRDefault="00C24D16" w:rsidP="00B7548B">
            <w:pPr>
              <w:jc w:val="center"/>
              <w:rPr>
                <w:rFonts w:ascii="Verdana" w:hAnsi="Verdana" w:cs="Arial"/>
                <w:bCs/>
                <w:iCs/>
                <w:sz w:val="18"/>
                <w:szCs w:val="18"/>
              </w:rPr>
            </w:pPr>
            <w:r>
              <w:rPr>
                <w:rFonts w:ascii="Verdana" w:hAnsi="Verdana" w:cs="Arial"/>
                <w:bCs/>
                <w:iCs/>
                <w:sz w:val="18"/>
                <w:szCs w:val="18"/>
              </w:rPr>
              <w:t>1</w:t>
            </w:r>
          </w:p>
        </w:tc>
        <w:tc>
          <w:tcPr>
            <w:tcW w:w="1223" w:type="pct"/>
          </w:tcPr>
          <w:p w:rsidR="00C24D16" w:rsidRPr="00A67FCE" w:rsidRDefault="00C24D16" w:rsidP="00261A6F">
            <w:pPr>
              <w:jc w:val="center"/>
              <w:rPr>
                <w:rFonts w:ascii="Verdana" w:hAnsi="Verdana" w:cs="Arial"/>
                <w:bCs/>
                <w:iCs/>
                <w:sz w:val="18"/>
                <w:szCs w:val="18"/>
              </w:rPr>
            </w:pPr>
            <w:r>
              <w:rPr>
                <w:rFonts w:ascii="Verdana" w:hAnsi="Verdana" w:cs="Arial"/>
                <w:bCs/>
                <w:iCs/>
                <w:sz w:val="18"/>
                <w:szCs w:val="18"/>
              </w:rPr>
              <w:t>1</w:t>
            </w:r>
          </w:p>
        </w:tc>
        <w:tc>
          <w:tcPr>
            <w:tcW w:w="1222" w:type="pct"/>
          </w:tcPr>
          <w:p w:rsidR="00C24D16" w:rsidRDefault="00C24D16" w:rsidP="00261A6F">
            <w:pPr>
              <w:jc w:val="center"/>
              <w:rPr>
                <w:rFonts w:ascii="Verdana" w:hAnsi="Verdana" w:cs="Arial"/>
                <w:bCs/>
                <w:iCs/>
                <w:sz w:val="18"/>
                <w:szCs w:val="18"/>
              </w:rPr>
            </w:pPr>
            <w:r>
              <w:rPr>
                <w:rFonts w:ascii="Verdana" w:hAnsi="Verdana" w:cs="Arial"/>
                <w:bCs/>
                <w:iCs/>
                <w:sz w:val="18"/>
                <w:szCs w:val="18"/>
              </w:rPr>
              <w:t>1</w:t>
            </w:r>
          </w:p>
        </w:tc>
      </w:tr>
    </w:tbl>
    <w:p w:rsidR="00C24D16" w:rsidRPr="00B7548B" w:rsidRDefault="00C24D16" w:rsidP="00B7548B"/>
    <w:p w:rsidR="00C24D16" w:rsidRDefault="00C24D16" w:rsidP="00E654A6">
      <w:pPr>
        <w:pStyle w:val="Heading2"/>
        <w:keepNext w:val="0"/>
        <w:numPr>
          <w:ilvl w:val="1"/>
          <w:numId w:val="10"/>
        </w:numPr>
        <w:tabs>
          <w:tab w:val="num" w:pos="709"/>
        </w:tabs>
        <w:spacing w:line="360" w:lineRule="auto"/>
        <w:ind w:left="709"/>
        <w:jc w:val="both"/>
      </w:pPr>
      <w:r>
        <w:t>Six DNO respondents and one customer respondent indicated that they did not consider it necessary to define two types of reinforcement.</w:t>
      </w:r>
    </w:p>
    <w:p w:rsidR="00C24D16" w:rsidRDefault="00C24D16" w:rsidP="00E654A6">
      <w:pPr>
        <w:pStyle w:val="Heading2"/>
        <w:keepNext w:val="0"/>
        <w:numPr>
          <w:ilvl w:val="1"/>
          <w:numId w:val="10"/>
        </w:numPr>
        <w:tabs>
          <w:tab w:val="num" w:pos="709"/>
        </w:tabs>
        <w:spacing w:line="360" w:lineRule="auto"/>
        <w:ind w:left="709"/>
        <w:jc w:val="both"/>
      </w:pPr>
      <w:r>
        <w:t xml:space="preserve">One customer respondent referred to their response to question 11. The Working Group </w:t>
      </w:r>
      <w:proofErr w:type="gramStart"/>
      <w:r>
        <w:t>address</w:t>
      </w:r>
      <w:proofErr w:type="gramEnd"/>
      <w:r>
        <w:t xml:space="preserve"> the respondents comments at question 11.</w:t>
      </w:r>
    </w:p>
    <w:p w:rsidR="00C24D16" w:rsidRDefault="00C24D16" w:rsidP="009505EA">
      <w:pPr>
        <w:pStyle w:val="Heading2"/>
        <w:keepNext w:val="0"/>
        <w:numPr>
          <w:ilvl w:val="1"/>
          <w:numId w:val="10"/>
        </w:numPr>
        <w:tabs>
          <w:tab w:val="num" w:pos="709"/>
        </w:tabs>
        <w:spacing w:line="360" w:lineRule="auto"/>
        <w:ind w:left="709"/>
        <w:jc w:val="both"/>
      </w:pPr>
      <w:r>
        <w:t>One customer respondent considered there to be a benefit to defining two types of reinforcement within the CCCM as set out in Appendix A of the consultation.</w:t>
      </w:r>
    </w:p>
    <w:p w:rsidR="00C24D16" w:rsidRPr="003748A0" w:rsidRDefault="00C24D16" w:rsidP="00E654A6">
      <w:pPr>
        <w:pStyle w:val="Heading2"/>
        <w:keepNext w:val="0"/>
        <w:numPr>
          <w:ilvl w:val="1"/>
          <w:numId w:val="10"/>
        </w:numPr>
        <w:tabs>
          <w:tab w:val="num" w:pos="709"/>
        </w:tabs>
        <w:spacing w:line="360" w:lineRule="auto"/>
        <w:ind w:left="709"/>
        <w:jc w:val="both"/>
      </w:pPr>
      <w:r>
        <w:t>The majority of the Working Group did not consider it necessary to define two types of reinforcement. Some Working Group members who did not agree with this approach have agreed to raise an alternate Change Proposal incorporating a definition for two types of Reinforcement and those views set out in Appendix A to the consultation.</w:t>
      </w:r>
    </w:p>
    <w:p w:rsidR="00C24D16" w:rsidRDefault="00C24D16" w:rsidP="00672D7B">
      <w:pPr>
        <w:pStyle w:val="Heading2"/>
        <w:keepNext w:val="0"/>
        <w:widowControl w:val="0"/>
        <w:tabs>
          <w:tab w:val="clear" w:pos="360"/>
          <w:tab w:val="num" w:pos="709"/>
          <w:tab w:val="num" w:pos="1134"/>
          <w:tab w:val="num" w:pos="1440"/>
        </w:tabs>
        <w:spacing w:line="360" w:lineRule="auto"/>
        <w:ind w:left="1560" w:hanging="1560"/>
        <w:jc w:val="both"/>
        <w:rPr>
          <w:b/>
          <w:u w:val="single"/>
        </w:rPr>
      </w:pPr>
      <w:r>
        <w:rPr>
          <w:b/>
          <w:u w:val="single"/>
        </w:rPr>
        <w:t>Question 9:</w:t>
      </w:r>
      <w:r>
        <w:rPr>
          <w:b/>
          <w:u w:val="single"/>
        </w:rPr>
        <w:tab/>
      </w:r>
      <w:r>
        <w:rPr>
          <w:b/>
          <w:u w:val="single"/>
        </w:rPr>
        <w:tab/>
      </w:r>
      <w:r w:rsidRPr="002A5440">
        <w:rPr>
          <w:b/>
          <w:u w:val="single"/>
        </w:rPr>
        <w:t xml:space="preserve">Do you believe that DCUSA Schedule 22 clause 1.13 of the Common Connections Charging methodology is appropriate or does it require </w:t>
      </w:r>
      <w:proofErr w:type="gramStart"/>
      <w:r w:rsidRPr="002A5440">
        <w:rPr>
          <w:b/>
          <w:u w:val="single"/>
        </w:rPr>
        <w:t>to be</w:t>
      </w:r>
      <w:proofErr w:type="gramEnd"/>
      <w:r w:rsidRPr="002A5440">
        <w:rPr>
          <w:b/>
          <w:u w:val="single"/>
        </w:rPr>
        <w:t xml:space="preserve"> changed (Please see 2.8 of this consultation)?</w:t>
      </w:r>
    </w:p>
    <w:p w:rsidR="00C24D16" w:rsidRDefault="00C24D16" w:rsidP="009B6CDA">
      <w:pPr>
        <w:spacing w:beforeLines="120" w:before="288" w:afterLines="60" w:after="144" w:line="360" w:lineRule="auto"/>
        <w:ind w:left="1560"/>
        <w:jc w:val="both"/>
      </w:pPr>
      <w:r w:rsidRPr="00672D7B">
        <w:t>DCUSA Schedule 22 Clause 1.13</w:t>
      </w:r>
    </w:p>
    <w:p w:rsidR="00C24D16" w:rsidRPr="00672D7B" w:rsidRDefault="00C24D16" w:rsidP="00672D7B">
      <w:pPr>
        <w:ind w:left="1560"/>
        <w:jc w:val="both"/>
        <w:rPr>
          <w:i/>
        </w:rPr>
      </w:pPr>
      <w:r w:rsidRPr="00672D7B">
        <w:rPr>
          <w:i/>
        </w:rPr>
        <w:t xml:space="preserve">“Work required to reconfigure the Distribution System to meet your requirements where no additional Network or Fault Level Capacity is made available shall be charged in full to you. </w:t>
      </w:r>
      <w:proofErr w:type="gramStart"/>
      <w:r w:rsidRPr="00672D7B">
        <w:rPr>
          <w:i/>
        </w:rPr>
        <w:t>See Example 8B”.</w:t>
      </w:r>
      <w:proofErr w:type="gramEnd"/>
    </w:p>
    <w:p w:rsidR="00C24D16" w:rsidRDefault="00C24D16" w:rsidP="002B202F">
      <w:pPr>
        <w:pStyle w:val="Heading2"/>
        <w:keepNext w:val="0"/>
        <w:numPr>
          <w:ilvl w:val="1"/>
          <w:numId w:val="10"/>
        </w:numPr>
        <w:tabs>
          <w:tab w:val="num" w:pos="709"/>
        </w:tabs>
        <w:spacing w:line="360" w:lineRule="auto"/>
        <w:ind w:left="709"/>
        <w:jc w:val="both"/>
      </w:pPr>
      <w:r>
        <w:t xml:space="preserve">Three DNO respondents commented that the wording of Clause 1.13 was appropriate and did not require further amendment. One customer respondent considered that the clause should be amended as per their response to question 3. The Working Group addressed this comment at question 3. </w:t>
      </w:r>
    </w:p>
    <w:p w:rsidR="00C24D16" w:rsidRDefault="00C24D16" w:rsidP="002B202F">
      <w:pPr>
        <w:pStyle w:val="Heading2"/>
        <w:keepNext w:val="0"/>
        <w:numPr>
          <w:ilvl w:val="1"/>
          <w:numId w:val="10"/>
        </w:numPr>
        <w:tabs>
          <w:tab w:val="num" w:pos="709"/>
        </w:tabs>
        <w:spacing w:line="360" w:lineRule="auto"/>
        <w:ind w:left="709"/>
        <w:jc w:val="both"/>
      </w:pPr>
      <w:r>
        <w:t xml:space="preserve">Another customer respondent considered that if the </w:t>
      </w:r>
      <w:r w:rsidRPr="00A30A3D">
        <w:t xml:space="preserve">definition of Reinforcement is clarified then there might be no need to change clause 1.13, since it relies on the same concept of additional Network or Fault Level Capacity. </w:t>
      </w:r>
    </w:p>
    <w:p w:rsidR="00C24D16" w:rsidRPr="00863290" w:rsidRDefault="00C24D16" w:rsidP="002B202F">
      <w:pPr>
        <w:pStyle w:val="Heading2"/>
        <w:keepNext w:val="0"/>
        <w:numPr>
          <w:ilvl w:val="1"/>
          <w:numId w:val="10"/>
        </w:numPr>
        <w:tabs>
          <w:tab w:val="num" w:pos="709"/>
        </w:tabs>
        <w:spacing w:line="360" w:lineRule="auto"/>
        <w:ind w:left="709"/>
        <w:jc w:val="both"/>
      </w:pPr>
      <w:r>
        <w:t>The majority of the Working Group considered that the existing definitions of both ‘reinforcement’ and at Clause 1.13 are at an appropriate level of detail to be consistent with the remainder of the methodology. The Working Group considered that it is more appropriate for the additional clarity to be provided by way of worked examples, as proposed.</w:t>
      </w:r>
    </w:p>
    <w:p w:rsidR="00C24D16" w:rsidRPr="000821E3" w:rsidRDefault="00C24D16" w:rsidP="000821E3">
      <w:pPr>
        <w:pStyle w:val="Heading2"/>
        <w:keepNext w:val="0"/>
        <w:widowControl w:val="0"/>
        <w:tabs>
          <w:tab w:val="clear" w:pos="360"/>
          <w:tab w:val="left" w:pos="1418"/>
        </w:tabs>
        <w:spacing w:line="360" w:lineRule="auto"/>
        <w:ind w:left="1560" w:hanging="1560"/>
        <w:jc w:val="both"/>
        <w:rPr>
          <w:b/>
          <w:bCs w:val="0"/>
          <w:iCs w:val="0"/>
          <w:u w:val="single"/>
        </w:rPr>
      </w:pPr>
      <w:r w:rsidRPr="001F74D7">
        <w:rPr>
          <w:b/>
          <w:u w:val="single"/>
        </w:rPr>
        <w:t>Question 10:</w:t>
      </w:r>
      <w:r>
        <w:rPr>
          <w:b/>
          <w:u w:val="single"/>
        </w:rPr>
        <w:tab/>
      </w:r>
      <w:r w:rsidRPr="000821E3">
        <w:rPr>
          <w:b/>
          <w:bCs w:val="0"/>
          <w:iCs w:val="0"/>
          <w:u w:val="single"/>
        </w:rPr>
        <w:t xml:space="preserve">Where capacity is transferred as described in example 8D are there any circumstances where you believe that the costs should or should not be apportioned? Please describe. </w:t>
      </w:r>
    </w:p>
    <w:p w:rsidR="00C24D16" w:rsidRDefault="00C24D16" w:rsidP="002B202F">
      <w:pPr>
        <w:pStyle w:val="Heading2"/>
        <w:keepNext w:val="0"/>
        <w:numPr>
          <w:ilvl w:val="1"/>
          <w:numId w:val="10"/>
        </w:numPr>
        <w:tabs>
          <w:tab w:val="num" w:pos="709"/>
        </w:tabs>
        <w:spacing w:line="360" w:lineRule="auto"/>
        <w:ind w:left="709"/>
        <w:jc w:val="both"/>
      </w:pPr>
      <w:r>
        <w:t xml:space="preserve">Six DNO respondents did not consider that costs should be apportioned where capacity has been transferred. One respondent referenced clauses 1.16 to 1.28 clauses of DCUSA Schedule 22 as defining the scenarios where costs should or should not be apportioned. The respondent considered that </w:t>
      </w:r>
      <w:r w:rsidRPr="00261A6F">
        <w:rPr>
          <w:i/>
        </w:rPr>
        <w:t>“these clauses clearly distinguish when work is chargeable to either the LDNO or customer”</w:t>
      </w:r>
      <w:r>
        <w:rPr>
          <w:i/>
        </w:rPr>
        <w:t xml:space="preserve"> </w:t>
      </w:r>
      <w:r w:rsidRPr="00261A6F">
        <w:t>an</w:t>
      </w:r>
      <w:r>
        <w:t>d as a result example 8D should not be apportioned.</w:t>
      </w:r>
    </w:p>
    <w:p w:rsidR="00C24D16" w:rsidRDefault="00C24D16" w:rsidP="002B202F">
      <w:pPr>
        <w:pStyle w:val="Heading2"/>
        <w:keepNext w:val="0"/>
        <w:numPr>
          <w:ilvl w:val="1"/>
          <w:numId w:val="10"/>
        </w:numPr>
        <w:tabs>
          <w:tab w:val="num" w:pos="709"/>
        </w:tabs>
        <w:spacing w:line="360" w:lineRule="auto"/>
        <w:ind w:left="709"/>
        <w:jc w:val="both"/>
      </w:pPr>
      <w:r>
        <w:t>Two customer respondents considered that transferred capacity should be apportioned and one respondent referred to the views as set out in Appendix A of the consultation.</w:t>
      </w:r>
    </w:p>
    <w:p w:rsidR="00C24D16" w:rsidRPr="00261A6F" w:rsidRDefault="00C24D16" w:rsidP="002B202F">
      <w:pPr>
        <w:pStyle w:val="Heading2"/>
        <w:keepNext w:val="0"/>
        <w:numPr>
          <w:ilvl w:val="1"/>
          <w:numId w:val="10"/>
        </w:numPr>
        <w:tabs>
          <w:tab w:val="num" w:pos="709"/>
        </w:tabs>
        <w:spacing w:line="360" w:lineRule="auto"/>
        <w:ind w:left="709"/>
        <w:jc w:val="both"/>
      </w:pPr>
      <w:r>
        <w:t>One customer respondent requested for the Working Group to refer to their answer to question 7. The Working Group responded to the customers comments at this question.</w:t>
      </w:r>
    </w:p>
    <w:p w:rsidR="00C24D16" w:rsidRDefault="00C24D16" w:rsidP="002B202F">
      <w:pPr>
        <w:pStyle w:val="Heading2"/>
        <w:keepNext w:val="0"/>
        <w:numPr>
          <w:ilvl w:val="1"/>
          <w:numId w:val="10"/>
        </w:numPr>
        <w:tabs>
          <w:tab w:val="num" w:pos="709"/>
        </w:tabs>
        <w:spacing w:line="360" w:lineRule="auto"/>
        <w:ind w:left="709"/>
        <w:jc w:val="both"/>
      </w:pPr>
      <w:r>
        <w:t xml:space="preserve">The majority of the Working Group agreed with the majority of respondents that the transferred capacity should not be apportioned in any circumstances. The customer respondents agreed to raise an alternate Change Proposal based on the alternate view provided in Appendix A to this consultation. </w:t>
      </w:r>
    </w:p>
    <w:p w:rsidR="00C24D16" w:rsidRPr="000821E3" w:rsidRDefault="00C24D16" w:rsidP="000821E3">
      <w:pPr>
        <w:pStyle w:val="Heading2"/>
        <w:keepNext w:val="0"/>
        <w:widowControl w:val="0"/>
        <w:tabs>
          <w:tab w:val="clear" w:pos="360"/>
          <w:tab w:val="num" w:pos="1134"/>
          <w:tab w:val="num" w:pos="1440"/>
        </w:tabs>
        <w:spacing w:line="360" w:lineRule="auto"/>
        <w:ind w:left="1560" w:hanging="1560"/>
        <w:jc w:val="both"/>
        <w:rPr>
          <w:b/>
          <w:u w:val="single"/>
        </w:rPr>
      </w:pPr>
      <w:r>
        <w:rPr>
          <w:b/>
          <w:u w:val="single"/>
        </w:rPr>
        <w:t>Question 11</w:t>
      </w:r>
      <w:r w:rsidRPr="000821E3">
        <w:rPr>
          <w:b/>
          <w:u w:val="single"/>
        </w:rPr>
        <w:t>: Do you believe that any other parts of the methodology need to be revised in relation to this issue of transferring capacity – e.g. 1.16 ( Please see 2.9 of this consultation)?</w:t>
      </w:r>
    </w:p>
    <w:p w:rsidR="00C24D16" w:rsidRDefault="00C24D16" w:rsidP="009B6CDA">
      <w:pPr>
        <w:spacing w:beforeLines="120" w:before="288" w:afterLines="60" w:after="144" w:line="360" w:lineRule="auto"/>
        <w:ind w:left="1560"/>
        <w:jc w:val="both"/>
        <w:rPr>
          <w:rFonts w:ascii="Verdana" w:hAnsi="Verdana"/>
          <w:sz w:val="20"/>
          <w:szCs w:val="20"/>
        </w:rPr>
      </w:pPr>
      <w:r>
        <w:rPr>
          <w:rFonts w:ascii="Verdana" w:hAnsi="Verdana"/>
          <w:sz w:val="20"/>
          <w:szCs w:val="20"/>
        </w:rPr>
        <w:t>DCUSA Clause 1.16</w:t>
      </w:r>
    </w:p>
    <w:p w:rsidR="00C24D16" w:rsidRPr="00DF1940" w:rsidRDefault="00C24D16" w:rsidP="00261A6F">
      <w:pPr>
        <w:pStyle w:val="Heading2"/>
        <w:keepNext w:val="0"/>
        <w:tabs>
          <w:tab w:val="clear" w:pos="360"/>
        </w:tabs>
        <w:spacing w:before="0" w:after="240" w:line="360" w:lineRule="auto"/>
        <w:ind w:left="1560" w:firstLine="0"/>
        <w:jc w:val="both"/>
        <w:rPr>
          <w:i/>
        </w:rPr>
      </w:pPr>
      <w:bookmarkStart w:id="1" w:name="_Ref253474498"/>
      <w:r w:rsidRPr="00926878">
        <w:rPr>
          <w:i/>
        </w:rPr>
        <w:t xml:space="preserve">“Reinforcement is defined as assets installed that add capacity (network or fault level) to the existing shared use Distribution System. </w:t>
      </w:r>
      <w:bookmarkStart w:id="2" w:name="_Ref251760599"/>
      <w:r w:rsidRPr="00926878">
        <w:rPr>
          <w:i/>
        </w:rPr>
        <w:t>The costs of Reinforcement shall be apportioned between you and us. The methods used to apportion the costs of Reinforcement are set out in paragraphs</w:t>
      </w:r>
      <w:r>
        <w:rPr>
          <w:i/>
        </w:rPr>
        <w:t xml:space="preserve"> 1.23- 1.28</w:t>
      </w:r>
      <w:r w:rsidRPr="00926878">
        <w:rPr>
          <w:i/>
        </w:rPr>
        <w:t>. There are five exceptions to this rule. Where an exception applies Reinforcement will treated as Extension Assets and costs will not be apportioned. These exceptions are described below and the application of exceptions 1, 2, 4, and 5 is demonstrated in the Examples”.</w:t>
      </w:r>
      <w:bookmarkEnd w:id="1"/>
      <w:r w:rsidRPr="00926878">
        <w:rPr>
          <w:i/>
        </w:rPr>
        <w:t xml:space="preserve"> </w:t>
      </w:r>
      <w:bookmarkEnd w:id="2"/>
    </w:p>
    <w:p w:rsidR="00C24D16" w:rsidRDefault="00C24D16" w:rsidP="002B202F">
      <w:pPr>
        <w:pStyle w:val="Heading2"/>
        <w:keepNext w:val="0"/>
        <w:numPr>
          <w:ilvl w:val="1"/>
          <w:numId w:val="10"/>
        </w:numPr>
        <w:tabs>
          <w:tab w:val="num" w:pos="709"/>
        </w:tabs>
        <w:spacing w:line="360" w:lineRule="auto"/>
        <w:ind w:left="709"/>
        <w:jc w:val="both"/>
      </w:pPr>
      <w:r>
        <w:t xml:space="preserve">Six DNO respondents considered that DCUSA Clause 1.16 should not be revised and did not propose any changes to other parts of the methodology. </w:t>
      </w:r>
    </w:p>
    <w:p w:rsidR="00C24D16" w:rsidRPr="003334DB" w:rsidRDefault="00C24D16" w:rsidP="002B202F">
      <w:pPr>
        <w:pStyle w:val="Heading2"/>
        <w:keepNext w:val="0"/>
        <w:numPr>
          <w:ilvl w:val="1"/>
          <w:numId w:val="10"/>
        </w:numPr>
        <w:tabs>
          <w:tab w:val="num" w:pos="709"/>
        </w:tabs>
        <w:spacing w:line="360" w:lineRule="auto"/>
        <w:ind w:left="709"/>
        <w:jc w:val="both"/>
        <w:rPr>
          <w:color w:val="FF0000"/>
        </w:rPr>
      </w:pPr>
      <w:r>
        <w:t>One customer respondent considered that Clause 1.16 should be unambiguous and if the Working Group agreed to the customer respondent’s response to question seven then the following additional wording to clause 1.16 would be appropriate</w:t>
      </w:r>
      <w:r w:rsidR="00FA2C1C">
        <w:t xml:space="preserve"> (as shown underlined below)</w:t>
      </w:r>
      <w:r>
        <w:t>:</w:t>
      </w:r>
    </w:p>
    <w:p w:rsidR="00C24D16" w:rsidRPr="003334DB" w:rsidRDefault="00C24D16" w:rsidP="002B202F">
      <w:pPr>
        <w:pStyle w:val="Heading2"/>
        <w:keepNext w:val="0"/>
        <w:tabs>
          <w:tab w:val="clear" w:pos="360"/>
        </w:tabs>
        <w:spacing w:line="360" w:lineRule="auto"/>
        <w:ind w:left="709" w:firstLine="0"/>
        <w:jc w:val="both"/>
      </w:pPr>
      <w:r w:rsidRPr="003334DB">
        <w:t>“</w:t>
      </w:r>
      <w:r w:rsidRPr="003334DB">
        <w:rPr>
          <w:i/>
        </w:rPr>
        <w:t xml:space="preserve">Reinforcement is defined as assets installed that add Network or Fault Level Capacity to the existing shared use Distribution System </w:t>
      </w:r>
      <w:r w:rsidRPr="00FA2C1C">
        <w:rPr>
          <w:i/>
          <w:u w:val="single"/>
        </w:rPr>
        <w:t>or to any point within the existing shared use Distribution System.”</w:t>
      </w:r>
    </w:p>
    <w:p w:rsidR="00C24D16" w:rsidRDefault="00C24D16" w:rsidP="002B202F">
      <w:pPr>
        <w:pStyle w:val="Heading2"/>
        <w:keepNext w:val="0"/>
        <w:numPr>
          <w:ilvl w:val="1"/>
          <w:numId w:val="10"/>
        </w:numPr>
        <w:tabs>
          <w:tab w:val="num" w:pos="709"/>
        </w:tabs>
        <w:spacing w:line="360" w:lineRule="auto"/>
        <w:ind w:left="709"/>
        <w:jc w:val="both"/>
      </w:pPr>
      <w:r w:rsidRPr="003334DB">
        <w:t xml:space="preserve">Two Customer respondents considered that </w:t>
      </w:r>
      <w:r>
        <w:t>there should be other changes to the methodology. One respondent referred to their response to question 3. The Working Group responds to this customer respondent’s suggestion at question three. The other respondent referred to the view proposed at Appendix A of the consultation.</w:t>
      </w:r>
      <w:r w:rsidR="00F333B2">
        <w:t xml:space="preserve"> </w:t>
      </w:r>
      <w:r w:rsidR="00FA2C1C">
        <w:t xml:space="preserve">Please </w:t>
      </w:r>
      <w:r w:rsidR="00FA2C1C" w:rsidRPr="00F333B2">
        <w:t xml:space="preserve">see </w:t>
      </w:r>
      <w:r w:rsidR="00F333B2" w:rsidRPr="00F333B2">
        <w:t>Section 8</w:t>
      </w:r>
      <w:r w:rsidR="00FA2C1C" w:rsidRPr="00F333B2">
        <w:t>.</w:t>
      </w:r>
    </w:p>
    <w:p w:rsidR="00C24D16" w:rsidRPr="00F97CB3" w:rsidRDefault="00C24D16" w:rsidP="002B202F">
      <w:pPr>
        <w:pStyle w:val="Heading2"/>
        <w:keepNext w:val="0"/>
        <w:numPr>
          <w:ilvl w:val="1"/>
          <w:numId w:val="10"/>
        </w:numPr>
        <w:tabs>
          <w:tab w:val="num" w:pos="709"/>
        </w:tabs>
        <w:spacing w:line="360" w:lineRule="auto"/>
        <w:ind w:left="709"/>
        <w:jc w:val="both"/>
      </w:pPr>
      <w:r>
        <w:t>The Working Group noted that the alternate view will be raised as an alternate Change Proposal.</w:t>
      </w:r>
    </w:p>
    <w:p w:rsidR="00C24D16" w:rsidRPr="001F74D7" w:rsidRDefault="00C24D16" w:rsidP="001F74D7">
      <w:pPr>
        <w:pStyle w:val="Heading2"/>
        <w:keepNext w:val="0"/>
        <w:widowControl w:val="0"/>
        <w:tabs>
          <w:tab w:val="clear" w:pos="360"/>
          <w:tab w:val="num" w:pos="1134"/>
          <w:tab w:val="num" w:pos="1440"/>
        </w:tabs>
        <w:spacing w:line="360" w:lineRule="auto"/>
        <w:ind w:left="1560" w:hanging="1560"/>
        <w:jc w:val="both"/>
        <w:rPr>
          <w:b/>
          <w:u w:val="single"/>
        </w:rPr>
      </w:pPr>
      <w:r>
        <w:rPr>
          <w:b/>
          <w:u w:val="single"/>
        </w:rPr>
        <w:t>Question 12:</w:t>
      </w:r>
      <w:r>
        <w:rPr>
          <w:b/>
          <w:u w:val="single"/>
        </w:rPr>
        <w:tab/>
      </w:r>
      <w:r>
        <w:rPr>
          <w:b/>
          <w:u w:val="single"/>
        </w:rPr>
        <w:tab/>
      </w:r>
      <w:r w:rsidRPr="001F74D7">
        <w:rPr>
          <w:b/>
          <w:u w:val="single"/>
        </w:rPr>
        <w:t>Which DCUSA General Objectives does the CP better facilitate? Please provide supporting comments.</w:t>
      </w:r>
    </w:p>
    <w:p w:rsidR="00C24D16" w:rsidRPr="00DE56AE" w:rsidRDefault="00C24D16" w:rsidP="00DD79B9">
      <w:pPr>
        <w:numPr>
          <w:ilvl w:val="0"/>
          <w:numId w:val="22"/>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The development, maintenance and operation by each of the DNO Parties and IDNO Parties of an efficient, co-ordinated, and economical Distribution System.</w:t>
      </w:r>
    </w:p>
    <w:p w:rsidR="00C24D16" w:rsidRPr="00DE56AE" w:rsidRDefault="00C24D16" w:rsidP="00DD79B9">
      <w:pPr>
        <w:tabs>
          <w:tab w:val="num" w:pos="1701"/>
          <w:tab w:val="left" w:pos="1758"/>
        </w:tabs>
        <w:spacing w:line="360" w:lineRule="auto"/>
        <w:ind w:left="1701" w:hanging="567"/>
        <w:jc w:val="both"/>
        <w:rPr>
          <w:rFonts w:ascii="Verdana" w:hAnsi="Verdana" w:cs="Arial"/>
          <w:sz w:val="20"/>
          <w:szCs w:val="20"/>
        </w:rPr>
      </w:pPr>
      <w:r w:rsidRPr="00DE56AE">
        <w:rPr>
          <w:rFonts w:ascii="Verdana" w:hAnsi="Verdana" w:cs="Arial"/>
          <w:sz w:val="20"/>
          <w:szCs w:val="20"/>
        </w:rPr>
        <w:tab/>
      </w:r>
    </w:p>
    <w:p w:rsidR="00C24D16" w:rsidRPr="00DE56AE" w:rsidRDefault="00C24D16" w:rsidP="00DD79B9">
      <w:pPr>
        <w:numPr>
          <w:ilvl w:val="0"/>
          <w:numId w:val="22"/>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C24D16" w:rsidRPr="00DE56AE" w:rsidRDefault="00C24D16" w:rsidP="00DD79B9">
      <w:pPr>
        <w:tabs>
          <w:tab w:val="num" w:pos="1701"/>
        </w:tabs>
        <w:spacing w:line="360" w:lineRule="auto"/>
        <w:ind w:left="1701" w:hanging="567"/>
        <w:jc w:val="both"/>
        <w:rPr>
          <w:rFonts w:ascii="Verdana" w:hAnsi="Verdana" w:cs="Arial"/>
          <w:sz w:val="20"/>
          <w:szCs w:val="20"/>
        </w:rPr>
      </w:pPr>
    </w:p>
    <w:p w:rsidR="00C24D16" w:rsidRPr="00DE56AE" w:rsidRDefault="00C24D16" w:rsidP="00DD79B9">
      <w:pPr>
        <w:numPr>
          <w:ilvl w:val="0"/>
          <w:numId w:val="22"/>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The efficient discharge by each of the DNO Parties and IDNO Parties of the obligations imposed upon them by their Distribution Licences.</w:t>
      </w:r>
    </w:p>
    <w:p w:rsidR="00C24D16" w:rsidRPr="00DE56AE" w:rsidRDefault="00C24D16" w:rsidP="00DD79B9">
      <w:pPr>
        <w:tabs>
          <w:tab w:val="num" w:pos="1701"/>
        </w:tabs>
        <w:spacing w:line="360" w:lineRule="auto"/>
        <w:ind w:left="1701" w:hanging="567"/>
        <w:jc w:val="both"/>
        <w:rPr>
          <w:rFonts w:ascii="Verdana" w:hAnsi="Verdana" w:cs="Arial"/>
          <w:sz w:val="20"/>
          <w:szCs w:val="20"/>
        </w:rPr>
      </w:pPr>
    </w:p>
    <w:p w:rsidR="00C24D16" w:rsidRPr="00DE56AE" w:rsidRDefault="00C24D16" w:rsidP="00DD79B9">
      <w:pPr>
        <w:numPr>
          <w:ilvl w:val="0"/>
          <w:numId w:val="22"/>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The promotion of efficiency in the implementation and administration of this Agreement and the arrangements under it.</w:t>
      </w:r>
      <w:r w:rsidRPr="00DE56AE">
        <w:rPr>
          <w:rFonts w:ascii="Verdana" w:hAnsi="Verdana" w:cs="Arial"/>
          <w:sz w:val="20"/>
          <w:szCs w:val="20"/>
        </w:rPr>
        <w:br/>
      </w:r>
    </w:p>
    <w:p w:rsidR="00C24D16" w:rsidRDefault="00C24D16" w:rsidP="00DD79B9">
      <w:pPr>
        <w:numPr>
          <w:ilvl w:val="0"/>
          <w:numId w:val="22"/>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compliance with the Regulation on Cross-Border Exchange in Electricity and any relevant legally binding decisions of the European Commission and/or the Agency for the Co-operation of Energy Regulators.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3"/>
        <w:gridCol w:w="1514"/>
        <w:gridCol w:w="1419"/>
        <w:gridCol w:w="1415"/>
        <w:gridCol w:w="1559"/>
        <w:gridCol w:w="1664"/>
      </w:tblGrid>
      <w:tr w:rsidR="00C24D16" w:rsidRPr="00162005" w:rsidTr="006879CD">
        <w:tc>
          <w:tcPr>
            <w:tcW w:w="795" w:type="pct"/>
          </w:tcPr>
          <w:p w:rsidR="00C24D16" w:rsidRPr="006879CD" w:rsidRDefault="00C24D16" w:rsidP="00BD4EDC">
            <w:pPr>
              <w:rPr>
                <w:b/>
              </w:rPr>
            </w:pPr>
            <w:r w:rsidRPr="006879CD">
              <w:rPr>
                <w:b/>
              </w:rPr>
              <w:t>Respondent Party Type</w:t>
            </w:r>
          </w:p>
        </w:tc>
        <w:tc>
          <w:tcPr>
            <w:tcW w:w="841" w:type="pct"/>
          </w:tcPr>
          <w:p w:rsidR="00C24D16" w:rsidRPr="006879CD" w:rsidRDefault="00C24D16" w:rsidP="00BD4EDC">
            <w:pPr>
              <w:rPr>
                <w:b/>
              </w:rPr>
            </w:pPr>
            <w:r w:rsidRPr="006879CD">
              <w:rPr>
                <w:b/>
              </w:rPr>
              <w:t>Objective 1</w:t>
            </w:r>
          </w:p>
        </w:tc>
        <w:tc>
          <w:tcPr>
            <w:tcW w:w="788" w:type="pct"/>
          </w:tcPr>
          <w:p w:rsidR="00C24D16" w:rsidRPr="006879CD" w:rsidRDefault="00C24D16" w:rsidP="00CF2FC4">
            <w:pPr>
              <w:rPr>
                <w:b/>
              </w:rPr>
            </w:pPr>
            <w:r w:rsidRPr="006879CD">
              <w:rPr>
                <w:b/>
              </w:rPr>
              <w:t>Objective 2</w:t>
            </w:r>
          </w:p>
        </w:tc>
        <w:tc>
          <w:tcPr>
            <w:tcW w:w="786" w:type="pct"/>
          </w:tcPr>
          <w:p w:rsidR="00C24D16" w:rsidRPr="006879CD" w:rsidRDefault="00C24D16" w:rsidP="00CF2FC4">
            <w:pPr>
              <w:rPr>
                <w:b/>
              </w:rPr>
            </w:pPr>
            <w:r w:rsidRPr="006879CD">
              <w:rPr>
                <w:b/>
              </w:rPr>
              <w:t>Objective 3</w:t>
            </w:r>
          </w:p>
        </w:tc>
        <w:tc>
          <w:tcPr>
            <w:tcW w:w="866" w:type="pct"/>
          </w:tcPr>
          <w:p w:rsidR="00C24D16" w:rsidRPr="006879CD" w:rsidRDefault="00C24D16" w:rsidP="00CF2FC4">
            <w:pPr>
              <w:rPr>
                <w:b/>
              </w:rPr>
            </w:pPr>
            <w:r w:rsidRPr="006879CD">
              <w:rPr>
                <w:b/>
              </w:rPr>
              <w:t>Objective 4</w:t>
            </w:r>
          </w:p>
        </w:tc>
        <w:tc>
          <w:tcPr>
            <w:tcW w:w="925" w:type="pct"/>
          </w:tcPr>
          <w:p w:rsidR="00C24D16" w:rsidRPr="006879CD" w:rsidRDefault="00C24D16" w:rsidP="00CF2FC4">
            <w:pPr>
              <w:rPr>
                <w:b/>
              </w:rPr>
            </w:pPr>
            <w:r w:rsidRPr="006879CD">
              <w:rPr>
                <w:b/>
              </w:rPr>
              <w:t>Objective 5</w:t>
            </w:r>
          </w:p>
        </w:tc>
      </w:tr>
      <w:tr w:rsidR="00C24D16" w:rsidTr="006879CD">
        <w:tc>
          <w:tcPr>
            <w:tcW w:w="795" w:type="pct"/>
          </w:tcPr>
          <w:p w:rsidR="00C24D16" w:rsidRPr="006879CD" w:rsidRDefault="00C24D16" w:rsidP="00CF2FC4">
            <w:pPr>
              <w:rPr>
                <w:b/>
              </w:rPr>
            </w:pPr>
            <w:r w:rsidRPr="006879CD">
              <w:rPr>
                <w:b/>
              </w:rPr>
              <w:t>DNOs</w:t>
            </w:r>
          </w:p>
        </w:tc>
        <w:tc>
          <w:tcPr>
            <w:tcW w:w="841" w:type="pct"/>
          </w:tcPr>
          <w:p w:rsidR="00C24D16" w:rsidRDefault="00C24D16" w:rsidP="006879CD">
            <w:pPr>
              <w:jc w:val="center"/>
            </w:pPr>
            <w:r>
              <w:t>5</w:t>
            </w:r>
          </w:p>
        </w:tc>
        <w:tc>
          <w:tcPr>
            <w:tcW w:w="788" w:type="pct"/>
          </w:tcPr>
          <w:p w:rsidR="00C24D16" w:rsidRDefault="00C24D16" w:rsidP="006879CD">
            <w:pPr>
              <w:jc w:val="center"/>
            </w:pPr>
            <w:r>
              <w:t>0</w:t>
            </w:r>
          </w:p>
        </w:tc>
        <w:tc>
          <w:tcPr>
            <w:tcW w:w="786" w:type="pct"/>
          </w:tcPr>
          <w:p w:rsidR="00C24D16" w:rsidRDefault="00C24D16" w:rsidP="006879CD">
            <w:pPr>
              <w:jc w:val="center"/>
            </w:pPr>
            <w:r>
              <w:t>4</w:t>
            </w:r>
          </w:p>
        </w:tc>
        <w:tc>
          <w:tcPr>
            <w:tcW w:w="866" w:type="pct"/>
          </w:tcPr>
          <w:p w:rsidR="00C24D16" w:rsidRDefault="00C24D16" w:rsidP="006879CD">
            <w:pPr>
              <w:jc w:val="center"/>
            </w:pPr>
            <w:r>
              <w:t>0</w:t>
            </w:r>
          </w:p>
        </w:tc>
        <w:tc>
          <w:tcPr>
            <w:tcW w:w="925" w:type="pct"/>
          </w:tcPr>
          <w:p w:rsidR="00C24D16" w:rsidRDefault="00C24D16" w:rsidP="006879CD">
            <w:pPr>
              <w:jc w:val="center"/>
            </w:pPr>
            <w:r>
              <w:t>0</w:t>
            </w:r>
          </w:p>
        </w:tc>
      </w:tr>
      <w:tr w:rsidR="00C24D16" w:rsidTr="006879CD">
        <w:tc>
          <w:tcPr>
            <w:tcW w:w="795" w:type="pct"/>
          </w:tcPr>
          <w:p w:rsidR="00C24D16" w:rsidRPr="006879CD" w:rsidRDefault="00C24D16" w:rsidP="00CF2FC4">
            <w:pPr>
              <w:rPr>
                <w:b/>
              </w:rPr>
            </w:pPr>
            <w:r w:rsidRPr="006879CD">
              <w:rPr>
                <w:b/>
              </w:rPr>
              <w:t>Customers</w:t>
            </w:r>
          </w:p>
        </w:tc>
        <w:tc>
          <w:tcPr>
            <w:tcW w:w="841" w:type="pct"/>
          </w:tcPr>
          <w:p w:rsidR="00C24D16" w:rsidRDefault="00C24D16" w:rsidP="006879CD">
            <w:pPr>
              <w:jc w:val="center"/>
            </w:pPr>
            <w:r>
              <w:t>0</w:t>
            </w:r>
          </w:p>
        </w:tc>
        <w:tc>
          <w:tcPr>
            <w:tcW w:w="788" w:type="pct"/>
          </w:tcPr>
          <w:p w:rsidR="00C24D16" w:rsidRDefault="00C24D16" w:rsidP="006879CD">
            <w:pPr>
              <w:jc w:val="center"/>
            </w:pPr>
            <w:r>
              <w:t>2</w:t>
            </w:r>
          </w:p>
        </w:tc>
        <w:tc>
          <w:tcPr>
            <w:tcW w:w="786" w:type="pct"/>
          </w:tcPr>
          <w:p w:rsidR="00C24D16" w:rsidRDefault="00C24D16" w:rsidP="006879CD">
            <w:pPr>
              <w:jc w:val="center"/>
            </w:pPr>
            <w:r>
              <w:t>2</w:t>
            </w:r>
          </w:p>
        </w:tc>
        <w:tc>
          <w:tcPr>
            <w:tcW w:w="866" w:type="pct"/>
          </w:tcPr>
          <w:p w:rsidR="00C24D16" w:rsidRDefault="00C24D16" w:rsidP="006879CD">
            <w:pPr>
              <w:jc w:val="center"/>
            </w:pPr>
            <w:r>
              <w:t xml:space="preserve">1 </w:t>
            </w:r>
          </w:p>
        </w:tc>
        <w:tc>
          <w:tcPr>
            <w:tcW w:w="925" w:type="pct"/>
          </w:tcPr>
          <w:p w:rsidR="00C24D16" w:rsidRDefault="00C24D16" w:rsidP="006879CD">
            <w:pPr>
              <w:jc w:val="center"/>
            </w:pPr>
            <w:r>
              <w:t>0</w:t>
            </w:r>
          </w:p>
        </w:tc>
      </w:tr>
    </w:tbl>
    <w:p w:rsidR="00C24D16" w:rsidRDefault="00C24D16" w:rsidP="002A450E">
      <w:pPr>
        <w:spacing w:line="360" w:lineRule="auto"/>
        <w:jc w:val="both"/>
        <w:rPr>
          <w:rFonts w:ascii="Verdana" w:hAnsi="Verdana" w:cs="Arial"/>
          <w:sz w:val="20"/>
          <w:szCs w:val="20"/>
        </w:rPr>
      </w:pPr>
    </w:p>
    <w:p w:rsidR="00C24D16" w:rsidRDefault="00C24D16" w:rsidP="002B202F">
      <w:pPr>
        <w:pStyle w:val="Heading2"/>
        <w:keepNext w:val="0"/>
        <w:numPr>
          <w:ilvl w:val="1"/>
          <w:numId w:val="10"/>
        </w:numPr>
        <w:tabs>
          <w:tab w:val="num" w:pos="709"/>
        </w:tabs>
        <w:spacing w:line="360" w:lineRule="auto"/>
        <w:ind w:left="709"/>
        <w:jc w:val="both"/>
      </w:pPr>
      <w:r>
        <w:t xml:space="preserve">Five DNOs considered that DCUSA General objective one was better facilitated by this change. Four DNO respondents considered that DCUSA General Objective 3 was better facilitated by this change. One respondent advised that both objectives were better facilitated as they allowed </w:t>
      </w:r>
      <w:r w:rsidRPr="00AF4136">
        <w:rPr>
          <w:i/>
        </w:rPr>
        <w:t>“an efficient development of the distribution system and the provision of reasonable economic signals. This CP also improves clarity and transparency for both customers and distributors</w:t>
      </w:r>
      <w:r>
        <w:rPr>
          <w:i/>
        </w:rPr>
        <w:t>”</w:t>
      </w:r>
      <w:r w:rsidRPr="00AF4136">
        <w:rPr>
          <w:i/>
        </w:rPr>
        <w:t>.</w:t>
      </w:r>
    </w:p>
    <w:p w:rsidR="00C24D16" w:rsidRDefault="00C24D16" w:rsidP="002B202F">
      <w:pPr>
        <w:pStyle w:val="Heading2"/>
        <w:keepNext w:val="0"/>
        <w:numPr>
          <w:ilvl w:val="1"/>
          <w:numId w:val="10"/>
        </w:numPr>
        <w:tabs>
          <w:tab w:val="num" w:pos="709"/>
        </w:tabs>
        <w:spacing w:line="360" w:lineRule="auto"/>
        <w:ind w:left="709"/>
        <w:jc w:val="both"/>
      </w:pPr>
      <w:r>
        <w:t>Two customer respondents considered that DCUSA General Objective two and three were better facilitated by this change so long as the changes that they proposed in their responses were implemented by the Working Group. The Working Group noted that these objectives would apply to the alternate Change Proposal once it has been raised.</w:t>
      </w:r>
    </w:p>
    <w:p w:rsidR="00C24D16" w:rsidRDefault="00C24D16" w:rsidP="002B202F">
      <w:pPr>
        <w:pStyle w:val="Heading2"/>
        <w:keepNext w:val="0"/>
        <w:numPr>
          <w:ilvl w:val="1"/>
          <w:numId w:val="10"/>
        </w:numPr>
        <w:tabs>
          <w:tab w:val="num" w:pos="709"/>
        </w:tabs>
        <w:spacing w:line="360" w:lineRule="auto"/>
        <w:ind w:left="709"/>
        <w:jc w:val="both"/>
      </w:pPr>
      <w:r>
        <w:t xml:space="preserve">One customer respondent considered the DCUSA General Objective four was better facilitated by this change </w:t>
      </w:r>
      <w:r w:rsidRPr="00AF4136">
        <w:rPr>
          <w:i/>
        </w:rPr>
        <w:t>“if the application of the connection charging methodology can be considered to be part of the implementation and administration of DCUSA</w:t>
      </w:r>
      <w:r>
        <w:t>”.</w:t>
      </w:r>
    </w:p>
    <w:p w:rsidR="00C24D16" w:rsidRDefault="00C24D16" w:rsidP="002B202F">
      <w:pPr>
        <w:pStyle w:val="Heading2"/>
        <w:keepNext w:val="0"/>
        <w:numPr>
          <w:ilvl w:val="1"/>
          <w:numId w:val="10"/>
        </w:numPr>
        <w:tabs>
          <w:tab w:val="num" w:pos="709"/>
        </w:tabs>
        <w:spacing w:line="360" w:lineRule="auto"/>
        <w:ind w:left="709"/>
        <w:jc w:val="both"/>
      </w:pPr>
      <w:r>
        <w:t>The Working Group agreed with the majority of respondents that the DCUSA General Objectives One and Three were better facilitated by this change.</w:t>
      </w:r>
    </w:p>
    <w:p w:rsidR="00C24D16" w:rsidRPr="001F74D7" w:rsidRDefault="00C24D16" w:rsidP="00F83182">
      <w:pPr>
        <w:pStyle w:val="Heading2"/>
        <w:keepNext w:val="0"/>
        <w:tabs>
          <w:tab w:val="clear" w:pos="360"/>
        </w:tabs>
        <w:spacing w:line="360" w:lineRule="auto"/>
        <w:ind w:firstLine="0"/>
        <w:jc w:val="both"/>
        <w:rPr>
          <w:b/>
          <w:u w:val="single"/>
        </w:rPr>
      </w:pPr>
      <w:r w:rsidRPr="00DC7E77">
        <w:rPr>
          <w:b/>
          <w:u w:val="single"/>
        </w:rPr>
        <w:t>Question 13:</w:t>
      </w:r>
      <w:r w:rsidRPr="00DC7E77">
        <w:rPr>
          <w:b/>
          <w:u w:val="single"/>
        </w:rPr>
        <w:tab/>
        <w:t>Which DCUSA Charging Objectives does the CP better facilitate? Please provide supporting comments.</w:t>
      </w:r>
    </w:p>
    <w:p w:rsidR="00C24D16" w:rsidRPr="00DE56AE" w:rsidRDefault="00C24D16" w:rsidP="00DD79B9">
      <w:pPr>
        <w:numPr>
          <w:ilvl w:val="0"/>
          <w:numId w:val="23"/>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that compliance by each DNO Party with the Charging Methodologies facilitates the discharge by the DNO Party of the obligations imposed on it under the Act and by its Distribution Licence</w:t>
      </w:r>
    </w:p>
    <w:p w:rsidR="00C24D16" w:rsidRPr="00DE56AE" w:rsidRDefault="00C24D16" w:rsidP="00DD79B9">
      <w:pPr>
        <w:numPr>
          <w:ilvl w:val="0"/>
          <w:numId w:val="23"/>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 xml:space="preserve">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24D16" w:rsidRPr="00DE56AE" w:rsidRDefault="00C24D16" w:rsidP="00DD79B9">
      <w:pPr>
        <w:numPr>
          <w:ilvl w:val="0"/>
          <w:numId w:val="23"/>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24D16" w:rsidRPr="00DE56AE" w:rsidRDefault="00C24D16" w:rsidP="00DD79B9">
      <w:pPr>
        <w:numPr>
          <w:ilvl w:val="0"/>
          <w:numId w:val="23"/>
        </w:numPr>
        <w:tabs>
          <w:tab w:val="num" w:pos="1701"/>
        </w:tabs>
        <w:spacing w:line="360" w:lineRule="auto"/>
        <w:ind w:left="1701" w:hanging="567"/>
        <w:jc w:val="both"/>
        <w:rPr>
          <w:rFonts w:ascii="Verdana" w:hAnsi="Verdana" w:cs="Arial"/>
          <w:sz w:val="20"/>
          <w:szCs w:val="20"/>
        </w:rPr>
      </w:pPr>
      <w:r w:rsidRPr="00DE56AE">
        <w:rPr>
          <w:rFonts w:ascii="Verdana" w:hAnsi="Verdana" w:cs="Arial"/>
          <w:sz w:val="20"/>
          <w:szCs w:val="20"/>
        </w:rPr>
        <w:t>that, so far as is consistent with Clauses 3.2.1 to 3.2.3, the Charging Methodologies, so far as is reasonably practicable, properly take account of developments in each DNO Party’s Distribution Business</w:t>
      </w:r>
    </w:p>
    <w:p w:rsidR="00C24D16" w:rsidRDefault="00C24D16" w:rsidP="00DD79B9">
      <w:pPr>
        <w:numPr>
          <w:ilvl w:val="0"/>
          <w:numId w:val="23"/>
        </w:numPr>
        <w:tabs>
          <w:tab w:val="num" w:pos="1701"/>
        </w:tabs>
        <w:spacing w:line="360" w:lineRule="auto"/>
        <w:ind w:left="1701" w:hanging="567"/>
        <w:jc w:val="both"/>
        <w:rPr>
          <w:rFonts w:ascii="Verdana" w:hAnsi="Verdana" w:cs="Arial"/>
          <w:sz w:val="20"/>
          <w:szCs w:val="20"/>
        </w:rPr>
      </w:pPr>
      <w:proofErr w:type="gramStart"/>
      <w:r w:rsidRPr="00DE56AE">
        <w:rPr>
          <w:rFonts w:ascii="Verdana" w:hAnsi="Verdana" w:cs="Arial"/>
          <w:sz w:val="20"/>
          <w:szCs w:val="20"/>
        </w:rPr>
        <w:t>that</w:t>
      </w:r>
      <w:proofErr w:type="gramEnd"/>
      <w:r w:rsidRPr="00DE56AE">
        <w:rPr>
          <w:rFonts w:ascii="Verdana" w:hAnsi="Verdana" w:cs="Arial"/>
          <w:sz w:val="20"/>
          <w:szCs w:val="20"/>
        </w:rPr>
        <w:t xml:space="preserve">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2"/>
        <w:gridCol w:w="1511"/>
        <w:gridCol w:w="1561"/>
        <w:gridCol w:w="1415"/>
        <w:gridCol w:w="1421"/>
        <w:gridCol w:w="1664"/>
      </w:tblGrid>
      <w:tr w:rsidR="00C24D16" w:rsidRPr="00162005" w:rsidTr="006879CD">
        <w:tc>
          <w:tcPr>
            <w:tcW w:w="795" w:type="pct"/>
          </w:tcPr>
          <w:p w:rsidR="00C24D16" w:rsidRPr="006879CD" w:rsidRDefault="00C24D16" w:rsidP="00BD4EDC">
            <w:pPr>
              <w:rPr>
                <w:rFonts w:ascii="Verdana" w:hAnsi="Verdana"/>
                <w:b/>
                <w:sz w:val="18"/>
                <w:szCs w:val="18"/>
              </w:rPr>
            </w:pPr>
            <w:r w:rsidRPr="006879CD">
              <w:rPr>
                <w:rFonts w:ascii="Verdana" w:hAnsi="Verdana"/>
                <w:b/>
                <w:sz w:val="18"/>
                <w:szCs w:val="18"/>
              </w:rPr>
              <w:t>Respondent Party Type</w:t>
            </w:r>
          </w:p>
        </w:tc>
        <w:tc>
          <w:tcPr>
            <w:tcW w:w="839" w:type="pct"/>
          </w:tcPr>
          <w:p w:rsidR="00C24D16" w:rsidRPr="006879CD" w:rsidRDefault="00C24D16" w:rsidP="00CF2FC4">
            <w:pPr>
              <w:rPr>
                <w:rFonts w:ascii="Verdana" w:hAnsi="Verdana"/>
                <w:b/>
                <w:sz w:val="18"/>
                <w:szCs w:val="18"/>
              </w:rPr>
            </w:pPr>
            <w:r w:rsidRPr="006879CD">
              <w:rPr>
                <w:rFonts w:ascii="Verdana" w:hAnsi="Verdana"/>
                <w:b/>
                <w:sz w:val="18"/>
                <w:szCs w:val="18"/>
              </w:rPr>
              <w:t>Objective 1</w:t>
            </w:r>
          </w:p>
        </w:tc>
        <w:tc>
          <w:tcPr>
            <w:tcW w:w="867" w:type="pct"/>
          </w:tcPr>
          <w:p w:rsidR="00C24D16" w:rsidRPr="006879CD" w:rsidRDefault="00C24D16" w:rsidP="00CF2FC4">
            <w:pPr>
              <w:rPr>
                <w:rFonts w:ascii="Verdana" w:hAnsi="Verdana"/>
                <w:b/>
                <w:sz w:val="18"/>
                <w:szCs w:val="18"/>
              </w:rPr>
            </w:pPr>
            <w:r w:rsidRPr="006879CD">
              <w:rPr>
                <w:rFonts w:ascii="Verdana" w:hAnsi="Verdana"/>
                <w:b/>
                <w:sz w:val="18"/>
                <w:szCs w:val="18"/>
              </w:rPr>
              <w:t>Objective 2</w:t>
            </w:r>
          </w:p>
        </w:tc>
        <w:tc>
          <w:tcPr>
            <w:tcW w:w="786" w:type="pct"/>
          </w:tcPr>
          <w:p w:rsidR="00C24D16" w:rsidRPr="006879CD" w:rsidRDefault="00C24D16" w:rsidP="00CF2FC4">
            <w:pPr>
              <w:rPr>
                <w:rFonts w:ascii="Verdana" w:hAnsi="Verdana"/>
                <w:b/>
                <w:sz w:val="18"/>
                <w:szCs w:val="18"/>
              </w:rPr>
            </w:pPr>
            <w:r w:rsidRPr="006879CD">
              <w:rPr>
                <w:rFonts w:ascii="Verdana" w:hAnsi="Verdana"/>
                <w:b/>
                <w:sz w:val="18"/>
                <w:szCs w:val="18"/>
              </w:rPr>
              <w:t>Objective 3</w:t>
            </w:r>
          </w:p>
        </w:tc>
        <w:tc>
          <w:tcPr>
            <w:tcW w:w="789" w:type="pct"/>
          </w:tcPr>
          <w:p w:rsidR="00C24D16" w:rsidRPr="006879CD" w:rsidRDefault="00C24D16" w:rsidP="00CF2FC4">
            <w:pPr>
              <w:rPr>
                <w:rFonts w:ascii="Verdana" w:hAnsi="Verdana"/>
                <w:b/>
                <w:sz w:val="18"/>
                <w:szCs w:val="18"/>
              </w:rPr>
            </w:pPr>
            <w:r w:rsidRPr="006879CD">
              <w:rPr>
                <w:rFonts w:ascii="Verdana" w:hAnsi="Verdana"/>
                <w:b/>
                <w:sz w:val="18"/>
                <w:szCs w:val="18"/>
              </w:rPr>
              <w:t>Objective 4</w:t>
            </w:r>
          </w:p>
        </w:tc>
        <w:tc>
          <w:tcPr>
            <w:tcW w:w="924" w:type="pct"/>
          </w:tcPr>
          <w:p w:rsidR="00C24D16" w:rsidRPr="006879CD" w:rsidRDefault="00C24D16" w:rsidP="00CF2FC4">
            <w:pPr>
              <w:rPr>
                <w:rFonts w:ascii="Verdana" w:hAnsi="Verdana"/>
                <w:b/>
                <w:sz w:val="18"/>
                <w:szCs w:val="18"/>
              </w:rPr>
            </w:pPr>
            <w:r w:rsidRPr="006879CD">
              <w:rPr>
                <w:rFonts w:ascii="Verdana" w:hAnsi="Verdana"/>
                <w:b/>
                <w:sz w:val="18"/>
                <w:szCs w:val="18"/>
              </w:rPr>
              <w:t>Objective 5</w:t>
            </w:r>
          </w:p>
        </w:tc>
      </w:tr>
      <w:tr w:rsidR="00C24D16" w:rsidRPr="00920332" w:rsidTr="006879CD">
        <w:trPr>
          <w:trHeight w:val="86"/>
        </w:trPr>
        <w:tc>
          <w:tcPr>
            <w:tcW w:w="795" w:type="pct"/>
          </w:tcPr>
          <w:p w:rsidR="00C24D16" w:rsidRPr="006879CD" w:rsidRDefault="00C24D16" w:rsidP="00CF2FC4">
            <w:pPr>
              <w:rPr>
                <w:rFonts w:ascii="Verdana" w:hAnsi="Verdana"/>
                <w:b/>
                <w:sz w:val="18"/>
                <w:szCs w:val="18"/>
              </w:rPr>
            </w:pPr>
            <w:r w:rsidRPr="006879CD">
              <w:rPr>
                <w:rFonts w:ascii="Verdana" w:hAnsi="Verdana"/>
                <w:b/>
                <w:sz w:val="18"/>
                <w:szCs w:val="18"/>
              </w:rPr>
              <w:t>DNOs</w:t>
            </w:r>
          </w:p>
        </w:tc>
        <w:tc>
          <w:tcPr>
            <w:tcW w:w="839" w:type="pct"/>
          </w:tcPr>
          <w:p w:rsidR="00C24D16" w:rsidRPr="006879CD" w:rsidRDefault="00C24D16" w:rsidP="006879CD">
            <w:pPr>
              <w:jc w:val="center"/>
              <w:rPr>
                <w:rFonts w:ascii="Verdana" w:hAnsi="Verdana"/>
                <w:sz w:val="18"/>
                <w:szCs w:val="18"/>
              </w:rPr>
            </w:pPr>
            <w:r w:rsidRPr="006879CD">
              <w:rPr>
                <w:rFonts w:ascii="Verdana" w:hAnsi="Verdana"/>
                <w:sz w:val="18"/>
                <w:szCs w:val="18"/>
              </w:rPr>
              <w:t>6</w:t>
            </w:r>
          </w:p>
        </w:tc>
        <w:tc>
          <w:tcPr>
            <w:tcW w:w="867" w:type="pct"/>
          </w:tcPr>
          <w:p w:rsidR="00C24D16" w:rsidRPr="006879CD" w:rsidRDefault="00C24D16" w:rsidP="006879CD">
            <w:pPr>
              <w:jc w:val="center"/>
              <w:rPr>
                <w:rFonts w:ascii="Verdana" w:hAnsi="Verdana"/>
                <w:sz w:val="18"/>
                <w:szCs w:val="18"/>
              </w:rPr>
            </w:pPr>
            <w:r w:rsidRPr="006879CD">
              <w:rPr>
                <w:rFonts w:ascii="Verdana" w:hAnsi="Verdana"/>
                <w:sz w:val="18"/>
                <w:szCs w:val="18"/>
              </w:rPr>
              <w:t>0</w:t>
            </w:r>
          </w:p>
        </w:tc>
        <w:tc>
          <w:tcPr>
            <w:tcW w:w="786" w:type="pct"/>
          </w:tcPr>
          <w:p w:rsidR="00C24D16" w:rsidRPr="006879CD" w:rsidRDefault="00C24D16" w:rsidP="006879CD">
            <w:pPr>
              <w:jc w:val="center"/>
              <w:rPr>
                <w:rFonts w:ascii="Verdana" w:hAnsi="Verdana"/>
                <w:sz w:val="18"/>
                <w:szCs w:val="18"/>
              </w:rPr>
            </w:pPr>
            <w:r w:rsidRPr="006879CD">
              <w:rPr>
                <w:rFonts w:ascii="Verdana" w:hAnsi="Verdana"/>
                <w:sz w:val="18"/>
                <w:szCs w:val="18"/>
              </w:rPr>
              <w:t>0</w:t>
            </w:r>
          </w:p>
        </w:tc>
        <w:tc>
          <w:tcPr>
            <w:tcW w:w="789" w:type="pct"/>
          </w:tcPr>
          <w:p w:rsidR="00C24D16" w:rsidRPr="006879CD" w:rsidRDefault="00C24D16" w:rsidP="006879CD">
            <w:pPr>
              <w:jc w:val="center"/>
              <w:rPr>
                <w:rFonts w:ascii="Verdana" w:hAnsi="Verdana"/>
                <w:sz w:val="18"/>
                <w:szCs w:val="18"/>
              </w:rPr>
            </w:pPr>
            <w:r w:rsidRPr="006879CD">
              <w:rPr>
                <w:rFonts w:ascii="Verdana" w:hAnsi="Verdana"/>
                <w:sz w:val="18"/>
                <w:szCs w:val="18"/>
              </w:rPr>
              <w:t>0</w:t>
            </w:r>
          </w:p>
        </w:tc>
        <w:tc>
          <w:tcPr>
            <w:tcW w:w="924" w:type="pct"/>
          </w:tcPr>
          <w:p w:rsidR="00C24D16" w:rsidRPr="006879CD" w:rsidRDefault="00C24D16" w:rsidP="006879CD">
            <w:pPr>
              <w:jc w:val="center"/>
              <w:rPr>
                <w:rFonts w:ascii="Verdana" w:hAnsi="Verdana"/>
                <w:sz w:val="18"/>
                <w:szCs w:val="18"/>
              </w:rPr>
            </w:pPr>
            <w:r w:rsidRPr="006879CD">
              <w:rPr>
                <w:rFonts w:ascii="Verdana" w:hAnsi="Verdana"/>
                <w:sz w:val="18"/>
                <w:szCs w:val="18"/>
              </w:rPr>
              <w:t>0</w:t>
            </w:r>
          </w:p>
        </w:tc>
      </w:tr>
      <w:tr w:rsidR="00C24D16" w:rsidRPr="00920332" w:rsidTr="006879CD">
        <w:tc>
          <w:tcPr>
            <w:tcW w:w="795" w:type="pct"/>
          </w:tcPr>
          <w:p w:rsidR="00C24D16" w:rsidRPr="006879CD" w:rsidRDefault="00C24D16" w:rsidP="00CF2FC4">
            <w:pPr>
              <w:rPr>
                <w:rFonts w:ascii="Verdana" w:hAnsi="Verdana"/>
                <w:b/>
                <w:sz w:val="18"/>
                <w:szCs w:val="18"/>
              </w:rPr>
            </w:pPr>
            <w:r w:rsidRPr="006879CD">
              <w:rPr>
                <w:rFonts w:ascii="Verdana" w:hAnsi="Verdana"/>
                <w:b/>
                <w:sz w:val="18"/>
                <w:szCs w:val="18"/>
              </w:rPr>
              <w:t>Customers</w:t>
            </w:r>
          </w:p>
        </w:tc>
        <w:tc>
          <w:tcPr>
            <w:tcW w:w="839" w:type="pct"/>
          </w:tcPr>
          <w:p w:rsidR="00C24D16" w:rsidRPr="006879CD" w:rsidRDefault="00C24D16" w:rsidP="006879CD">
            <w:pPr>
              <w:jc w:val="center"/>
              <w:rPr>
                <w:rFonts w:ascii="Verdana" w:hAnsi="Verdana"/>
                <w:sz w:val="18"/>
                <w:szCs w:val="18"/>
              </w:rPr>
            </w:pPr>
            <w:r w:rsidRPr="006879CD">
              <w:rPr>
                <w:rFonts w:ascii="Verdana" w:hAnsi="Verdana"/>
                <w:sz w:val="18"/>
                <w:szCs w:val="18"/>
              </w:rPr>
              <w:t>0</w:t>
            </w:r>
          </w:p>
        </w:tc>
        <w:tc>
          <w:tcPr>
            <w:tcW w:w="867" w:type="pct"/>
          </w:tcPr>
          <w:p w:rsidR="00C24D16" w:rsidRPr="006879CD" w:rsidRDefault="00C24D16" w:rsidP="006879CD">
            <w:pPr>
              <w:jc w:val="center"/>
              <w:rPr>
                <w:rFonts w:ascii="Verdana" w:hAnsi="Verdana"/>
                <w:sz w:val="18"/>
                <w:szCs w:val="18"/>
              </w:rPr>
            </w:pPr>
            <w:r w:rsidRPr="006879CD">
              <w:rPr>
                <w:rFonts w:ascii="Verdana" w:hAnsi="Verdana"/>
                <w:sz w:val="18"/>
                <w:szCs w:val="18"/>
              </w:rPr>
              <w:t>2</w:t>
            </w:r>
          </w:p>
        </w:tc>
        <w:tc>
          <w:tcPr>
            <w:tcW w:w="786" w:type="pct"/>
          </w:tcPr>
          <w:p w:rsidR="00C24D16" w:rsidRPr="006879CD" w:rsidRDefault="00C24D16" w:rsidP="006879CD">
            <w:pPr>
              <w:jc w:val="center"/>
              <w:rPr>
                <w:rFonts w:ascii="Verdana" w:hAnsi="Verdana"/>
                <w:sz w:val="18"/>
                <w:szCs w:val="18"/>
              </w:rPr>
            </w:pPr>
            <w:r w:rsidRPr="006879CD">
              <w:rPr>
                <w:rFonts w:ascii="Verdana" w:hAnsi="Verdana"/>
                <w:sz w:val="18"/>
                <w:szCs w:val="18"/>
              </w:rPr>
              <w:t>3</w:t>
            </w:r>
          </w:p>
        </w:tc>
        <w:tc>
          <w:tcPr>
            <w:tcW w:w="789" w:type="pct"/>
          </w:tcPr>
          <w:p w:rsidR="00C24D16" w:rsidRPr="006879CD" w:rsidRDefault="00C24D16" w:rsidP="006879CD">
            <w:pPr>
              <w:jc w:val="center"/>
              <w:rPr>
                <w:rFonts w:ascii="Verdana" w:hAnsi="Verdana"/>
                <w:sz w:val="18"/>
                <w:szCs w:val="18"/>
              </w:rPr>
            </w:pPr>
            <w:r w:rsidRPr="006879CD">
              <w:rPr>
                <w:rFonts w:ascii="Verdana" w:hAnsi="Verdana"/>
                <w:sz w:val="18"/>
                <w:szCs w:val="18"/>
              </w:rPr>
              <w:t>1</w:t>
            </w:r>
          </w:p>
        </w:tc>
        <w:tc>
          <w:tcPr>
            <w:tcW w:w="924" w:type="pct"/>
          </w:tcPr>
          <w:p w:rsidR="00C24D16" w:rsidRPr="006879CD" w:rsidRDefault="00C24D16" w:rsidP="006879CD">
            <w:pPr>
              <w:jc w:val="center"/>
              <w:rPr>
                <w:rFonts w:ascii="Verdana" w:hAnsi="Verdana"/>
                <w:sz w:val="18"/>
                <w:szCs w:val="18"/>
              </w:rPr>
            </w:pPr>
            <w:r w:rsidRPr="006879CD">
              <w:rPr>
                <w:rFonts w:ascii="Verdana" w:hAnsi="Verdana"/>
                <w:sz w:val="18"/>
                <w:szCs w:val="18"/>
              </w:rPr>
              <w:t>0</w:t>
            </w:r>
          </w:p>
        </w:tc>
      </w:tr>
    </w:tbl>
    <w:p w:rsidR="00C24D16" w:rsidRDefault="00C24D16" w:rsidP="002B202F">
      <w:pPr>
        <w:pStyle w:val="Heading2"/>
        <w:keepNext w:val="0"/>
        <w:numPr>
          <w:ilvl w:val="1"/>
          <w:numId w:val="10"/>
        </w:numPr>
        <w:tabs>
          <w:tab w:val="num" w:pos="709"/>
        </w:tabs>
        <w:spacing w:line="360" w:lineRule="auto"/>
        <w:ind w:left="709"/>
        <w:jc w:val="both"/>
      </w:pPr>
      <w:r>
        <w:t xml:space="preserve">Six DNO respondents considered that DCUSA Charging Objective 1 was better facilitated by this CP </w:t>
      </w:r>
      <w:r w:rsidRPr="007B3EF7">
        <w:t xml:space="preserve">as the proposed additional text and examples improve the level of explanation of potential connection charges set out within the CCCM. This results in improved clarity and transparency for customers and </w:t>
      </w:r>
      <w:r>
        <w:t>D</w:t>
      </w:r>
      <w:r w:rsidRPr="007B3EF7">
        <w:t xml:space="preserve">istributors and a more consistent application </w:t>
      </w:r>
      <w:r>
        <w:t xml:space="preserve">of the CCCM and methodology statement </w:t>
      </w:r>
      <w:r w:rsidRPr="007B3EF7">
        <w:t>in accordance with the relevant licence conditions 13 and 14.</w:t>
      </w:r>
    </w:p>
    <w:p w:rsidR="00C24D16" w:rsidRDefault="00C24D16" w:rsidP="002B202F">
      <w:pPr>
        <w:pStyle w:val="Heading2"/>
        <w:keepNext w:val="0"/>
        <w:numPr>
          <w:ilvl w:val="1"/>
          <w:numId w:val="10"/>
        </w:numPr>
        <w:tabs>
          <w:tab w:val="num" w:pos="709"/>
        </w:tabs>
        <w:spacing w:line="360" w:lineRule="auto"/>
        <w:ind w:left="709"/>
        <w:jc w:val="both"/>
      </w:pPr>
      <w:r>
        <w:t xml:space="preserve">Two Customer respondents considered that DCUSA Charging Objectives 2 and 3 were better facilitated by this CP if the Working Group amended the CP as proposed within their responses. The respondent suggested that the CP for examples 8C and 8D would allow the cost of the connection to be apportioned and recovered between parties that have initiated the work and any parties who may make use of additional capacity created or transferred </w:t>
      </w:r>
      <w:r w:rsidRPr="00FA2C1C">
        <w:t>thus reflecting the costs incurred and not preventing or distorting competition</w:t>
      </w:r>
      <w:r>
        <w:t xml:space="preserve">. </w:t>
      </w:r>
    </w:p>
    <w:p w:rsidR="00C24D16" w:rsidRDefault="00C24D16" w:rsidP="002B202F">
      <w:pPr>
        <w:pStyle w:val="Heading2"/>
        <w:keepNext w:val="0"/>
        <w:numPr>
          <w:ilvl w:val="1"/>
          <w:numId w:val="10"/>
        </w:numPr>
        <w:tabs>
          <w:tab w:val="num" w:pos="709"/>
        </w:tabs>
        <w:spacing w:line="360" w:lineRule="auto"/>
        <w:ind w:left="709"/>
        <w:jc w:val="both"/>
      </w:pPr>
      <w:r>
        <w:t>One Customer respondent considered that DCUSA Charging Objectives 3 and 4 were better facilitated by this CP. The CP allows for apportionment costs to be incurred for remote reinforcement and to be shared as appropriate with other network users resulting in a clearer methodology which is more cost reflective in line with Objective 3. The respondent suggests that if the DNOs consider the improvements to the CCCM to be considered a development in their business then DCUSA Charging Objective 4 is also better facilitated.</w:t>
      </w:r>
    </w:p>
    <w:p w:rsidR="00C24D16" w:rsidRDefault="00C24D16" w:rsidP="002B202F">
      <w:pPr>
        <w:pStyle w:val="Heading2"/>
        <w:keepNext w:val="0"/>
        <w:numPr>
          <w:ilvl w:val="1"/>
          <w:numId w:val="10"/>
        </w:numPr>
        <w:tabs>
          <w:tab w:val="num" w:pos="709"/>
        </w:tabs>
        <w:spacing w:line="360" w:lineRule="auto"/>
        <w:ind w:left="709"/>
        <w:jc w:val="both"/>
      </w:pPr>
      <w:r>
        <w:t>The majority of the Working Group agreed with the majority of respondents that DCUSA Charging Objective 1 was better facilitated by this change. The Working Group noted that some Working Group members had agreed to raise an alternate Change Proposal to this CP.</w:t>
      </w:r>
    </w:p>
    <w:p w:rsidR="00C24D16" w:rsidRPr="000821E3" w:rsidRDefault="00C24D16" w:rsidP="000821E3">
      <w:pPr>
        <w:pStyle w:val="Heading2"/>
        <w:keepNext w:val="0"/>
        <w:widowControl w:val="0"/>
        <w:tabs>
          <w:tab w:val="clear" w:pos="360"/>
          <w:tab w:val="num" w:pos="1134"/>
          <w:tab w:val="num" w:pos="1560"/>
        </w:tabs>
        <w:spacing w:line="360" w:lineRule="auto"/>
        <w:ind w:left="1560" w:hanging="1560"/>
        <w:jc w:val="both"/>
        <w:rPr>
          <w:b/>
          <w:u w:val="single"/>
        </w:rPr>
      </w:pPr>
      <w:r>
        <w:rPr>
          <w:b/>
          <w:u w:val="single"/>
        </w:rPr>
        <w:t>Question 14:</w:t>
      </w:r>
      <w:r>
        <w:rPr>
          <w:b/>
          <w:u w:val="single"/>
        </w:rPr>
        <w:tab/>
      </w:r>
      <w:r w:rsidRPr="000821E3">
        <w:rPr>
          <w:b/>
          <w:u w:val="single"/>
        </w:rPr>
        <w:t xml:space="preserve">Are you aware of any wider industry developments that may impact upon or be impacted by this CP?  If so, please give details, and comment on whether the benefit of the change may outweigh the potential impact and whether the duration of the change is likely to be limited. </w:t>
      </w:r>
    </w:p>
    <w:p w:rsidR="00C24D16" w:rsidRDefault="00C24D16" w:rsidP="002B202F">
      <w:pPr>
        <w:pStyle w:val="Heading2"/>
        <w:keepNext w:val="0"/>
        <w:numPr>
          <w:ilvl w:val="1"/>
          <w:numId w:val="10"/>
        </w:numPr>
        <w:tabs>
          <w:tab w:val="num" w:pos="709"/>
        </w:tabs>
        <w:spacing w:line="360" w:lineRule="auto"/>
        <w:ind w:left="709"/>
        <w:jc w:val="both"/>
      </w:pPr>
      <w:r>
        <w:t>Eight respondents were unaware of any wider industry developments that would impact upon this CP other than the proposed changes to the Relevant Section of Network definition under the DCP 162 CP which was referenced within the consultation.</w:t>
      </w:r>
    </w:p>
    <w:p w:rsidR="00C24D16" w:rsidRDefault="00C24D16" w:rsidP="002B202F">
      <w:pPr>
        <w:pStyle w:val="Heading2"/>
        <w:keepNext w:val="0"/>
        <w:numPr>
          <w:ilvl w:val="1"/>
          <w:numId w:val="10"/>
        </w:numPr>
        <w:tabs>
          <w:tab w:val="num" w:pos="709"/>
        </w:tabs>
        <w:spacing w:line="360" w:lineRule="auto"/>
        <w:ind w:left="709"/>
        <w:jc w:val="both"/>
      </w:pPr>
      <w:r>
        <w:t>One Customer respondent considered did not indicate ‘yes’ or ‘no’ to this question but emphasised that may be an adverse impact upon DCP 167 due to deficiencies in the DCP 162 change.</w:t>
      </w:r>
    </w:p>
    <w:p w:rsidR="00C24D16" w:rsidRPr="007618FE" w:rsidRDefault="00C24D16" w:rsidP="002B202F">
      <w:pPr>
        <w:pStyle w:val="Heading2"/>
        <w:keepNext w:val="0"/>
        <w:numPr>
          <w:ilvl w:val="1"/>
          <w:numId w:val="10"/>
        </w:numPr>
        <w:tabs>
          <w:tab w:val="num" w:pos="709"/>
        </w:tabs>
        <w:spacing w:line="360" w:lineRule="auto"/>
        <w:ind w:left="709"/>
        <w:jc w:val="both"/>
      </w:pPr>
      <w:r>
        <w:t xml:space="preserve">The Working Group considered the points </w:t>
      </w:r>
      <w:proofErr w:type="gramStart"/>
      <w:r>
        <w:t>raised</w:t>
      </w:r>
      <w:proofErr w:type="gramEnd"/>
      <w:r>
        <w:t xml:space="preserve"> on the impact of the DCP 162 CP on DCP 167 and noted that the proposed Relevant Section of Network definition was modified to </w:t>
      </w:r>
      <w:r w:rsidRPr="007618FE">
        <w:t xml:space="preserve">better accommodate remote reinforcement </w:t>
      </w:r>
      <w:r>
        <w:t>on review of the DCP 162 consultation responses.</w:t>
      </w:r>
    </w:p>
    <w:p w:rsidR="00C24D16" w:rsidRDefault="00C24D16" w:rsidP="000821E3">
      <w:pPr>
        <w:pStyle w:val="Heading2"/>
        <w:keepNext w:val="0"/>
        <w:widowControl w:val="0"/>
        <w:tabs>
          <w:tab w:val="clear" w:pos="360"/>
          <w:tab w:val="num" w:pos="1134"/>
          <w:tab w:val="num" w:pos="1560"/>
        </w:tabs>
        <w:spacing w:line="360" w:lineRule="auto"/>
        <w:ind w:left="1560" w:hanging="1560"/>
        <w:jc w:val="both"/>
        <w:rPr>
          <w:b/>
          <w:u w:val="single"/>
        </w:rPr>
      </w:pPr>
      <w:r>
        <w:rPr>
          <w:b/>
          <w:u w:val="single"/>
        </w:rPr>
        <w:t>Question 15:</w:t>
      </w:r>
      <w:r>
        <w:rPr>
          <w:b/>
          <w:u w:val="single"/>
        </w:rPr>
        <w:tab/>
      </w:r>
      <w:r w:rsidRPr="000821E3">
        <w:rPr>
          <w:b/>
          <w:u w:val="single"/>
        </w:rPr>
        <w:t>Are you supportive of the proposed implementation date of the next DCUSA release following Authority consent?</w:t>
      </w:r>
    </w:p>
    <w:p w:rsidR="00C24D16" w:rsidRDefault="00C24D16" w:rsidP="002B202F">
      <w:pPr>
        <w:pStyle w:val="Heading2"/>
        <w:keepNext w:val="0"/>
        <w:numPr>
          <w:ilvl w:val="1"/>
          <w:numId w:val="10"/>
        </w:numPr>
        <w:tabs>
          <w:tab w:val="num" w:pos="709"/>
        </w:tabs>
        <w:spacing w:line="360" w:lineRule="auto"/>
        <w:ind w:left="709"/>
        <w:jc w:val="both"/>
      </w:pPr>
      <w:r>
        <w:t xml:space="preserve">Five DNO respondents and one customer respondent indicated that they were supportive of the implementation date. This customer respondent who was supportive of the implementation date asked the Working Group to consider </w:t>
      </w:r>
      <w:r w:rsidRPr="0016438C">
        <w:rPr>
          <w:i/>
        </w:rPr>
        <w:t>“if the argument from price-controlled distributors at the end of paragraph 3.11 of the consultation can be shown to be valid then perhaps there would be some grounds to defer the implementation of a clearer and wider definition of Reinforcement to 1 April 2015”</w:t>
      </w:r>
      <w:r w:rsidRPr="0016438C">
        <w:t>.</w:t>
      </w:r>
    </w:p>
    <w:p w:rsidR="00C24D16" w:rsidRDefault="00C24D16" w:rsidP="002B202F">
      <w:pPr>
        <w:pStyle w:val="Heading2"/>
        <w:keepNext w:val="0"/>
        <w:tabs>
          <w:tab w:val="clear" w:pos="360"/>
        </w:tabs>
        <w:spacing w:line="360" w:lineRule="auto"/>
        <w:ind w:left="709" w:firstLine="0"/>
        <w:jc w:val="both"/>
      </w:pPr>
      <w:r>
        <w:t>The majority of the Working Group believes that no amendment is required as</w:t>
      </w:r>
      <w:r>
        <w:rPr>
          <w:rStyle w:val="CommentReference"/>
          <w:rFonts w:ascii="Times New Roman" w:hAnsi="Times New Roman"/>
          <w:bCs w:val="0"/>
          <w:iCs w:val="0"/>
        </w:rPr>
        <w:t xml:space="preserve"> </w:t>
      </w:r>
      <w:r>
        <w:t>the existing definitions of both ‘reinforcement’ and at Clause 1.13 are at an appropriate level of detail to be consistent with the remainder of the methodology. The Working Group considered that it is more appropriate for the additional clarity to be provided by way of worked examples, as proposed.</w:t>
      </w:r>
    </w:p>
    <w:p w:rsidR="00C24D16" w:rsidRDefault="00C24D16" w:rsidP="002B202F">
      <w:pPr>
        <w:pStyle w:val="Heading2"/>
        <w:keepNext w:val="0"/>
        <w:numPr>
          <w:ilvl w:val="1"/>
          <w:numId w:val="10"/>
        </w:numPr>
        <w:tabs>
          <w:tab w:val="num" w:pos="709"/>
        </w:tabs>
        <w:spacing w:line="360" w:lineRule="auto"/>
        <w:ind w:left="709"/>
        <w:jc w:val="both"/>
      </w:pPr>
      <w:r>
        <w:t>One DNO advised that they had no objection to the proposed date and one Customer respondent did not consider there to be a reason to delay implementation of the CP. One customer respondent abstained from commenting on the implementation date.</w:t>
      </w:r>
    </w:p>
    <w:p w:rsidR="00C24D16" w:rsidRPr="00D23026" w:rsidRDefault="00C24D16" w:rsidP="002B202F">
      <w:pPr>
        <w:pStyle w:val="Heading2"/>
        <w:keepNext w:val="0"/>
        <w:numPr>
          <w:ilvl w:val="1"/>
          <w:numId w:val="10"/>
        </w:numPr>
        <w:tabs>
          <w:tab w:val="num" w:pos="709"/>
        </w:tabs>
        <w:spacing w:line="360" w:lineRule="auto"/>
        <w:ind w:left="709"/>
        <w:jc w:val="both"/>
      </w:pPr>
      <w:r>
        <w:t>The Working Group agreed with the majority of respondents that the implementation date should be the next DCUSA release following Authority consent.</w:t>
      </w:r>
    </w:p>
    <w:p w:rsidR="00C24D16" w:rsidRDefault="00C24D16" w:rsidP="000821E3">
      <w:pPr>
        <w:pStyle w:val="Heading2"/>
        <w:keepNext w:val="0"/>
        <w:widowControl w:val="0"/>
        <w:tabs>
          <w:tab w:val="clear" w:pos="360"/>
          <w:tab w:val="num" w:pos="1134"/>
          <w:tab w:val="num" w:pos="1560"/>
        </w:tabs>
        <w:spacing w:line="360" w:lineRule="auto"/>
        <w:ind w:left="1560" w:hanging="1560"/>
        <w:jc w:val="both"/>
        <w:rPr>
          <w:b/>
          <w:u w:val="single"/>
        </w:rPr>
      </w:pPr>
      <w:r>
        <w:rPr>
          <w:b/>
          <w:u w:val="single"/>
        </w:rPr>
        <w:t>Question 16:</w:t>
      </w:r>
      <w:r>
        <w:rPr>
          <w:b/>
          <w:u w:val="single"/>
        </w:rPr>
        <w:tab/>
      </w:r>
      <w:r w:rsidRPr="000821E3">
        <w:rPr>
          <w:b/>
          <w:u w:val="single"/>
        </w:rPr>
        <w:t>Are there any alternative solutions or matters that should be considered by the Working Group?</w:t>
      </w:r>
    </w:p>
    <w:p w:rsidR="00C24D16" w:rsidRDefault="00C24D16" w:rsidP="002B202F">
      <w:pPr>
        <w:pStyle w:val="Heading2"/>
        <w:keepNext w:val="0"/>
        <w:numPr>
          <w:ilvl w:val="1"/>
          <w:numId w:val="10"/>
        </w:numPr>
        <w:tabs>
          <w:tab w:val="num" w:pos="709"/>
        </w:tabs>
        <w:spacing w:line="360" w:lineRule="auto"/>
        <w:ind w:left="709"/>
        <w:jc w:val="both"/>
      </w:pPr>
      <w:r>
        <w:t>Six DNO respondents and one customer respondent considered that there were no alternate solutions or matters to be considered. One customer respondent highlighted that they agreed with the views expressed in Appendix A to this consultation and that it should be considered by the Working Group. Another customer respondent referred to their suggestion to modify the definition of Reinforcement in their answer to question 3 to this consultation.</w:t>
      </w:r>
    </w:p>
    <w:p w:rsidR="00C24D16" w:rsidRDefault="00C24D16" w:rsidP="002B202F">
      <w:pPr>
        <w:pStyle w:val="Heading2"/>
        <w:keepNext w:val="0"/>
        <w:numPr>
          <w:ilvl w:val="1"/>
          <w:numId w:val="10"/>
        </w:numPr>
        <w:tabs>
          <w:tab w:val="num" w:pos="709"/>
        </w:tabs>
        <w:spacing w:line="360" w:lineRule="auto"/>
        <w:ind w:left="709"/>
        <w:jc w:val="both"/>
      </w:pPr>
      <w:r>
        <w:t>The Working Group noted that the customer respondents</w:t>
      </w:r>
      <w:r w:rsidR="00E654A6">
        <w:rPr>
          <w:rStyle w:val="FootnoteReference"/>
        </w:rPr>
        <w:footnoteReference w:id="3"/>
      </w:r>
      <w:r w:rsidR="00E654A6">
        <w:t xml:space="preserve"> </w:t>
      </w:r>
      <w:r>
        <w:t>agreed to raise an alternate Change Proposal which will capture the views proposed in Appendix A of the consultation. The Working Group note that they responded to the customer’s suggestion on the reinforcement definition at question 3 to this consultation.</w:t>
      </w:r>
    </w:p>
    <w:p w:rsidR="00C24D16" w:rsidRPr="00342B85" w:rsidRDefault="00C24D16" w:rsidP="003106F0">
      <w:pPr>
        <w:pStyle w:val="Heading1"/>
        <w:keepNext w:val="0"/>
        <w:numPr>
          <w:ilvl w:val="0"/>
          <w:numId w:val="10"/>
        </w:numPr>
        <w:spacing w:line="360" w:lineRule="auto"/>
        <w:jc w:val="both"/>
      </w:pPr>
      <w:r>
        <w:t>DCP 167</w:t>
      </w:r>
      <w:r w:rsidRPr="00342B85">
        <w:t xml:space="preserve"> – WORKING GROUP </w:t>
      </w:r>
      <w:r>
        <w:t>C</w:t>
      </w:r>
      <w:r w:rsidRPr="00342B85">
        <w:t>ONCLUSIONS</w:t>
      </w:r>
    </w:p>
    <w:p w:rsidR="00C24D16" w:rsidRDefault="00C24D16" w:rsidP="003106F0">
      <w:pPr>
        <w:pStyle w:val="Heading2"/>
        <w:keepNext w:val="0"/>
        <w:numPr>
          <w:ilvl w:val="1"/>
          <w:numId w:val="10"/>
        </w:numPr>
        <w:tabs>
          <w:tab w:val="left" w:pos="720"/>
        </w:tabs>
        <w:spacing w:line="360" w:lineRule="auto"/>
        <w:jc w:val="both"/>
      </w:pPr>
      <w:r>
        <w:t>The Working Group reviewed each of the responses received to consultation 1 and concluded that the majority of the respondents understood the intent of DCP 167.</w:t>
      </w:r>
    </w:p>
    <w:p w:rsidR="00C24D16" w:rsidRDefault="00C24D16" w:rsidP="003106F0">
      <w:pPr>
        <w:pStyle w:val="Heading2"/>
        <w:keepNext w:val="0"/>
        <w:numPr>
          <w:ilvl w:val="1"/>
          <w:numId w:val="10"/>
        </w:numPr>
        <w:spacing w:line="360" w:lineRule="auto"/>
        <w:jc w:val="both"/>
      </w:pPr>
      <w:r>
        <w:t xml:space="preserve">The Working Group agreed that the majority of respondents were supportive of the principle of the CP. </w:t>
      </w:r>
    </w:p>
    <w:p w:rsidR="00C24D16" w:rsidRDefault="00C24D16" w:rsidP="003106F0">
      <w:pPr>
        <w:pStyle w:val="Heading2"/>
        <w:keepNext w:val="0"/>
        <w:numPr>
          <w:ilvl w:val="1"/>
          <w:numId w:val="10"/>
        </w:numPr>
        <w:spacing w:line="360" w:lineRule="auto"/>
        <w:jc w:val="both"/>
      </w:pPr>
      <w:r>
        <w:t xml:space="preserve">The Working Group noted that two Customer respondents indicated that they were either not supportive or partially supportive of its principles in the consultation responses. Two of the Customer respondents agreed that they had a different view to the Working Group and agreed to raise an Alternate Change Proposal for the Authorities consideration. </w:t>
      </w:r>
    </w:p>
    <w:p w:rsidR="00C24D16" w:rsidRPr="00342B85" w:rsidRDefault="00C24D16" w:rsidP="003106F0">
      <w:pPr>
        <w:pStyle w:val="Heading2"/>
        <w:keepNext w:val="0"/>
        <w:numPr>
          <w:ilvl w:val="1"/>
          <w:numId w:val="10"/>
        </w:numPr>
        <w:tabs>
          <w:tab w:val="left" w:pos="720"/>
        </w:tabs>
        <w:spacing w:line="360" w:lineRule="auto"/>
        <w:jc w:val="both"/>
      </w:pPr>
      <w:r>
        <w:t xml:space="preserve">The Working Group noted that the majority of respondents felt that specifically DCUSA General Objectives 1 and 3 and DCUSA Charging Objective 1 were better facilitated by this change. </w:t>
      </w:r>
    </w:p>
    <w:p w:rsidR="00C24D16" w:rsidRDefault="00C24D16" w:rsidP="001F3CB1">
      <w:pPr>
        <w:pStyle w:val="Heading2"/>
        <w:numPr>
          <w:ilvl w:val="1"/>
          <w:numId w:val="10"/>
        </w:numPr>
        <w:tabs>
          <w:tab w:val="left" w:pos="720"/>
        </w:tabs>
        <w:spacing w:line="360" w:lineRule="auto"/>
        <w:jc w:val="both"/>
      </w:pPr>
      <w:r w:rsidRPr="00342B85">
        <w:t>The Working Group concluded that the CP will provide the following benefits:</w:t>
      </w:r>
    </w:p>
    <w:p w:rsidR="00C24D16" w:rsidRPr="005F29AA" w:rsidRDefault="00C24D16" w:rsidP="0082790B">
      <w:pPr>
        <w:pStyle w:val="Heading2"/>
        <w:keepNext w:val="0"/>
        <w:widowControl w:val="0"/>
        <w:numPr>
          <w:ilvl w:val="0"/>
          <w:numId w:val="7"/>
        </w:numPr>
        <w:spacing w:line="360" w:lineRule="auto"/>
        <w:jc w:val="both"/>
      </w:pPr>
      <w:proofErr w:type="gramStart"/>
      <w:r w:rsidRPr="005F29AA">
        <w:t>by</w:t>
      </w:r>
      <w:proofErr w:type="gramEnd"/>
      <w:r w:rsidRPr="005F29AA">
        <w:t xml:space="preserve"> adding further clarity to the CCCM through the addition of examples  to illustrate current practices.</w:t>
      </w:r>
    </w:p>
    <w:p w:rsidR="00C24D16" w:rsidRPr="00910B8A" w:rsidRDefault="00C24D16" w:rsidP="00337C17">
      <w:pPr>
        <w:pStyle w:val="Heading2"/>
        <w:keepNext w:val="0"/>
        <w:widowControl w:val="0"/>
        <w:numPr>
          <w:ilvl w:val="0"/>
          <w:numId w:val="7"/>
        </w:numPr>
        <w:spacing w:line="360" w:lineRule="auto"/>
        <w:jc w:val="both"/>
      </w:pPr>
      <w:proofErr w:type="gramStart"/>
      <w:r w:rsidRPr="00910B8A">
        <w:t>by</w:t>
      </w:r>
      <w:proofErr w:type="gramEnd"/>
      <w:r w:rsidRPr="00910B8A">
        <w:t xml:space="preserve"> assisting users in understanding how connection costs are applied through the addition of example scenarios and the addition of detailed explanations of those scenarios.</w:t>
      </w:r>
    </w:p>
    <w:p w:rsidR="00C24D16" w:rsidRPr="00910B8A" w:rsidRDefault="00C24D16" w:rsidP="00CC0BB5">
      <w:pPr>
        <w:pStyle w:val="Heading2"/>
        <w:keepNext w:val="0"/>
        <w:widowControl w:val="0"/>
        <w:numPr>
          <w:ilvl w:val="0"/>
          <w:numId w:val="7"/>
        </w:numPr>
        <w:spacing w:line="360" w:lineRule="auto"/>
        <w:jc w:val="both"/>
      </w:pPr>
      <w:r w:rsidRPr="00910B8A">
        <w:t>Ensure the fulfilment of each of the DNOs obligation under Standard Licence Condition 13.1 to at all times have in force a Connection Charging Methodology which includes the Common Connection Charging Methodology. The DNO Licences define a Connection Charging Methodology as ‘a complete and documented explanation, presented in a coherent and consistent manner, of the methods, principles, and assumptions that apply….in relation to connections, for determining the Licensee’s Connection Charges’</w:t>
      </w:r>
    </w:p>
    <w:p w:rsidR="00C24D16" w:rsidRPr="00261AC0" w:rsidRDefault="00C24D16" w:rsidP="00407373">
      <w:pPr>
        <w:pStyle w:val="Heading1"/>
        <w:keepNext w:val="0"/>
        <w:numPr>
          <w:ilvl w:val="0"/>
          <w:numId w:val="10"/>
        </w:numPr>
        <w:spacing w:line="360" w:lineRule="auto"/>
        <w:jc w:val="both"/>
      </w:pPr>
      <w:commentRangeStart w:id="3"/>
      <w:commentRangeStart w:id="4"/>
      <w:r>
        <w:t>ALTERNATE CHANGE PROPOSAL</w:t>
      </w:r>
      <w:r w:rsidRPr="00261AC0">
        <w:t xml:space="preserve"> </w:t>
      </w:r>
      <w:commentRangeEnd w:id="3"/>
      <w:r w:rsidR="003C4B41">
        <w:rPr>
          <w:rStyle w:val="CommentReference"/>
          <w:rFonts w:ascii="Times New Roman" w:hAnsi="Times New Roman"/>
          <w:b w:val="0"/>
          <w:bCs w:val="0"/>
          <w:kern w:val="0"/>
        </w:rPr>
        <w:commentReference w:id="3"/>
      </w:r>
      <w:r w:rsidRPr="00261AC0">
        <w:t>RAISED</w:t>
      </w:r>
      <w:commentRangeEnd w:id="4"/>
      <w:r w:rsidR="0018502E">
        <w:rPr>
          <w:rStyle w:val="CommentReference"/>
          <w:rFonts w:ascii="Times New Roman" w:hAnsi="Times New Roman"/>
          <w:b w:val="0"/>
          <w:bCs w:val="0"/>
          <w:kern w:val="0"/>
        </w:rPr>
        <w:commentReference w:id="4"/>
      </w:r>
    </w:p>
    <w:p w:rsidR="0018502E" w:rsidRDefault="0018502E" w:rsidP="0018502E">
      <w:pPr>
        <w:pStyle w:val="Heading2"/>
        <w:keepNext w:val="0"/>
        <w:widowControl w:val="0"/>
        <w:numPr>
          <w:ilvl w:val="1"/>
          <w:numId w:val="10"/>
        </w:numPr>
        <w:spacing w:line="360" w:lineRule="auto"/>
        <w:jc w:val="both"/>
      </w:pPr>
      <w:r w:rsidRPr="009E60E2">
        <w:t>One Working Group member agreed with Example 8C but disagreed with the Working Group’s preferred solution for Example 8D</w:t>
      </w:r>
      <w:r>
        <w:t xml:space="preserve"> in regards to the charging principles</w:t>
      </w:r>
      <w:r w:rsidRPr="009E60E2">
        <w:t xml:space="preserve"> and exercised the right to raise an alternate proposal (DCP167A, Attachment 3 to this report).</w:t>
      </w:r>
    </w:p>
    <w:p w:rsidR="003C4B41" w:rsidRDefault="0018502E" w:rsidP="003C4B41">
      <w:pPr>
        <w:pStyle w:val="Heading2"/>
        <w:keepNext w:val="0"/>
        <w:widowControl w:val="0"/>
        <w:numPr>
          <w:ilvl w:val="1"/>
          <w:numId w:val="10"/>
        </w:numPr>
        <w:spacing w:line="360" w:lineRule="auto"/>
        <w:jc w:val="both"/>
      </w:pPr>
      <w:r w:rsidRPr="0018502E">
        <w:t xml:space="preserve">This alternate Change Proposal builds on the suggestion that transferring the load and reconfiguring the Distribution System releases capacity to that part of the Distribution System where the connection is required to be made. </w:t>
      </w:r>
      <w:r w:rsidR="003C4B41" w:rsidRPr="0018502E">
        <w:t xml:space="preserve">In example 8D demand is transferred from Primary Substation A to Primary Substation B.  </w:t>
      </w:r>
      <w:r w:rsidR="003C4B41">
        <w:t xml:space="preserve">The proposer considered this load transfer to be a type of reinforcement which should be cost apportioned and the </w:t>
      </w:r>
      <w:r w:rsidR="003C4B41" w:rsidRPr="0018502E">
        <w:t>Cost Apportionment Factor</w:t>
      </w:r>
      <w:r w:rsidR="003C4B41">
        <w:t xml:space="preserve"> (CAF)</w:t>
      </w:r>
      <w:r w:rsidR="003C4B41" w:rsidRPr="0018502E">
        <w:t xml:space="preserve"> would be applied at a suggested 2/7.7 of the reinforcement costs. </w:t>
      </w:r>
    </w:p>
    <w:p w:rsidR="003C4B41" w:rsidRPr="003C4B41" w:rsidRDefault="003C4B41" w:rsidP="00EC3C85">
      <w:pPr>
        <w:pStyle w:val="Heading2"/>
        <w:keepNext w:val="0"/>
        <w:widowControl w:val="0"/>
        <w:numPr>
          <w:ilvl w:val="1"/>
          <w:numId w:val="10"/>
        </w:numPr>
        <w:spacing w:line="360" w:lineRule="auto"/>
        <w:jc w:val="both"/>
      </w:pPr>
      <w:r>
        <w:t xml:space="preserve">The proposer highlighted the inconsistency in treatment of Example 8C to Example 8D in the Working Group preferred solution. In Example 8C the cost of </w:t>
      </w:r>
      <w:r w:rsidRPr="00B51128">
        <w:t>joints at A</w:t>
      </w:r>
      <w:r>
        <w:t>, B, C, D, E</w:t>
      </w:r>
      <w:r w:rsidRPr="00B51128">
        <w:t xml:space="preserve"> and F </w:t>
      </w:r>
      <w:r>
        <w:t xml:space="preserve">are allocated </w:t>
      </w:r>
      <w:r w:rsidRPr="00B51128">
        <w:t>as reinforcement</w:t>
      </w:r>
      <w:r>
        <w:t xml:space="preserve">. </w:t>
      </w:r>
      <w:r w:rsidRPr="00B51128">
        <w:t>Whilst the cost of the new circuit breaker at A and the cable A</w:t>
      </w:r>
      <w:r>
        <w:t>-</w:t>
      </w:r>
      <w:r w:rsidRPr="00B51128">
        <w:t xml:space="preserve">F increases the capacity within primary substation B, the jointing in of the two substations being transferred from substation A does </w:t>
      </w:r>
      <w:r>
        <w:t>not add capacity. If Example 8C advises the cost of the jointing will be apportioned for their transfer from one network to another then the cost of the joints is being treated inconsistently in comparison with the load transfer in Example 8D. This alternate Change Proposal aims to introduce consistency in the treatment of both Examples.</w:t>
      </w:r>
      <w:r w:rsidR="00EC3C85">
        <w:t xml:space="preserve"> The legal text for the alternate proposal acts as Attachment 2 to this report.</w:t>
      </w:r>
    </w:p>
    <w:p w:rsidR="00C24D16" w:rsidRPr="00342B85" w:rsidRDefault="00C24D16" w:rsidP="00891A0B">
      <w:pPr>
        <w:pStyle w:val="Heading1"/>
        <w:numPr>
          <w:ilvl w:val="0"/>
          <w:numId w:val="10"/>
        </w:numPr>
        <w:spacing w:line="360" w:lineRule="auto"/>
        <w:jc w:val="both"/>
      </w:pPr>
      <w:r w:rsidRPr="00342B85">
        <w:t>EVALUATION AGAINST THE DCUSA OBJECTIVES</w:t>
      </w:r>
    </w:p>
    <w:p w:rsidR="00C24D16" w:rsidRDefault="00C24D16" w:rsidP="009870BC">
      <w:pPr>
        <w:pStyle w:val="Heading2"/>
        <w:keepNext w:val="0"/>
        <w:widowControl w:val="0"/>
        <w:numPr>
          <w:ilvl w:val="1"/>
          <w:numId w:val="10"/>
        </w:numPr>
        <w:spacing w:line="360" w:lineRule="auto"/>
        <w:jc w:val="both"/>
      </w:pPr>
      <w:r w:rsidRPr="00342B85">
        <w:t xml:space="preserve">The </w:t>
      </w:r>
      <w:r>
        <w:t xml:space="preserve">majority of the </w:t>
      </w:r>
      <w:r w:rsidRPr="00342B85">
        <w:t xml:space="preserve">Working Group </w:t>
      </w:r>
      <w:r>
        <w:t xml:space="preserve">considers </w:t>
      </w:r>
      <w:r w:rsidRPr="00342B85">
        <w:t>that</w:t>
      </w:r>
      <w:r>
        <w:t xml:space="preserve"> </w:t>
      </w:r>
      <w:r w:rsidRPr="00342B85">
        <w:t xml:space="preserve">DCUSA </w:t>
      </w:r>
      <w:r>
        <w:t>Charging Objective</w:t>
      </w:r>
      <w:r w:rsidRPr="00342B85">
        <w:t xml:space="preserve"> </w:t>
      </w:r>
      <w:r>
        <w:t xml:space="preserve">1 and </w:t>
      </w:r>
      <w:r w:rsidRPr="00D04C35">
        <w:t xml:space="preserve">DCUSA General Objectives 1 and 3 </w:t>
      </w:r>
      <w:r>
        <w:t>are</w:t>
      </w:r>
      <w:r w:rsidRPr="00D04C35">
        <w:t xml:space="preserve"> better facilitated by DCP 167. Some Working Group member</w:t>
      </w:r>
      <w:r>
        <w:t>s</w:t>
      </w:r>
      <w:r w:rsidRPr="00D04C35">
        <w:t xml:space="preserve"> consider that DCUSA Charging Objective 2 and 3 and DCUSA General Objectives 2 and 3 are better facilitated by DCP 167A.</w:t>
      </w:r>
      <w:r>
        <w:t xml:space="preserve"> The reasoning against each objective is detailed below</w:t>
      </w:r>
      <w:r w:rsidRPr="00342B85">
        <w:t>:</w:t>
      </w:r>
    </w:p>
    <w:p w:rsidR="00C24D16" w:rsidRDefault="00C24D16" w:rsidP="00950048">
      <w:pPr>
        <w:pStyle w:val="Heading2"/>
        <w:keepNext w:val="0"/>
        <w:tabs>
          <w:tab w:val="num" w:pos="709"/>
        </w:tabs>
        <w:spacing w:after="120" w:line="360" w:lineRule="auto"/>
        <w:ind w:left="709" w:firstLine="0"/>
        <w:jc w:val="both"/>
        <w:rPr>
          <w:b/>
          <w:u w:val="single"/>
        </w:rPr>
      </w:pPr>
      <w:r w:rsidRPr="0039493D">
        <w:rPr>
          <w:b/>
          <w:u w:val="single"/>
        </w:rPr>
        <w:t>Charging Objectives</w:t>
      </w:r>
    </w:p>
    <w:p w:rsidR="00C24D16" w:rsidRDefault="00C24D16" w:rsidP="00950048">
      <w:pPr>
        <w:pStyle w:val="Heading2"/>
        <w:keepNext w:val="0"/>
        <w:tabs>
          <w:tab w:val="clear" w:pos="360"/>
        </w:tabs>
        <w:spacing w:after="120" w:line="360" w:lineRule="auto"/>
        <w:ind w:left="2694" w:hanging="1985"/>
        <w:jc w:val="both"/>
      </w:pPr>
      <w:r w:rsidRPr="00EA0BE8">
        <w:rPr>
          <w:b/>
        </w:rPr>
        <w:t>Charging</w:t>
      </w:r>
      <w:r>
        <w:t xml:space="preserve"> </w:t>
      </w:r>
      <w:r>
        <w:rPr>
          <w:b/>
        </w:rPr>
        <w:t>Objective One -</w:t>
      </w:r>
      <w:r w:rsidRPr="00FB3819">
        <w:rPr>
          <w:i/>
        </w:rPr>
        <w:t>That compliance by each DNO Party with the Charging Methodologies facilitates the discharge by the DNO Party of the obligations imposed on it under the Act and by its Distribution Licence.</w:t>
      </w:r>
    </w:p>
    <w:p w:rsidR="00C24D16" w:rsidRDefault="00C24D16" w:rsidP="00407373">
      <w:pPr>
        <w:pStyle w:val="Heading2"/>
        <w:keepNext w:val="0"/>
        <w:widowControl w:val="0"/>
        <w:numPr>
          <w:ilvl w:val="0"/>
          <w:numId w:val="7"/>
        </w:numPr>
        <w:spacing w:line="360" w:lineRule="auto"/>
        <w:jc w:val="both"/>
      </w:pPr>
      <w:r>
        <w:rPr>
          <w:b/>
        </w:rPr>
        <w:t xml:space="preserve">The Majority </w:t>
      </w:r>
      <w:r w:rsidRPr="00FB3819">
        <w:rPr>
          <w:b/>
        </w:rPr>
        <w:t>Working Group view</w:t>
      </w:r>
      <w:r>
        <w:rPr>
          <w:b/>
        </w:rPr>
        <w:t xml:space="preserve"> on DCP 167</w:t>
      </w:r>
      <w:r w:rsidRPr="00FB3819">
        <w:rPr>
          <w:b/>
        </w:rPr>
        <w:t>:</w:t>
      </w:r>
      <w:r>
        <w:rPr>
          <w:b/>
        </w:rPr>
        <w:t xml:space="preserve"> </w:t>
      </w:r>
      <w:r w:rsidRPr="00407373">
        <w:t xml:space="preserve">The </w:t>
      </w:r>
      <w:r>
        <w:t xml:space="preserve">majority of the </w:t>
      </w:r>
      <w:r w:rsidRPr="00407373">
        <w:t>Working Group agreed that this DCP</w:t>
      </w:r>
      <w:r>
        <w:t xml:space="preserve"> 167</w:t>
      </w:r>
      <w:r w:rsidRPr="00407373">
        <w:t xml:space="preserve"> better facilitates DCUSA Charging Objective 1, as</w:t>
      </w:r>
      <w:r>
        <w:t xml:space="preserve"> it improves clarity for DNOs and customers in the consistent application of the CCCM and methodology statement in line with the Distribution licence conditions of SLC 13 and SLC 14 through the provision of new illustrative examples.</w:t>
      </w:r>
    </w:p>
    <w:p w:rsidR="00C24D16" w:rsidRDefault="00C24D16" w:rsidP="00407373">
      <w:pPr>
        <w:pStyle w:val="Heading2"/>
        <w:keepNext w:val="0"/>
        <w:widowControl w:val="0"/>
        <w:numPr>
          <w:ilvl w:val="0"/>
          <w:numId w:val="7"/>
        </w:numPr>
        <w:spacing w:line="360" w:lineRule="auto"/>
        <w:jc w:val="both"/>
      </w:pPr>
      <w:r>
        <w:rPr>
          <w:b/>
        </w:rPr>
        <w:t>The Minority Working Group view on DCP 167</w:t>
      </w:r>
      <w:r w:rsidRPr="00407373">
        <w:rPr>
          <w:b/>
        </w:rPr>
        <w:t xml:space="preserve">A: </w:t>
      </w:r>
      <w:r w:rsidRPr="00041510">
        <w:t xml:space="preserve">The </w:t>
      </w:r>
      <w:r>
        <w:t xml:space="preserve">minority of the </w:t>
      </w:r>
      <w:r w:rsidRPr="00041510">
        <w:t xml:space="preserve">Working Group agreed that the impact on </w:t>
      </w:r>
      <w:r>
        <w:t xml:space="preserve">Charging Objective one is neutral. </w:t>
      </w:r>
    </w:p>
    <w:p w:rsidR="00C24D16" w:rsidRDefault="00C24D16" w:rsidP="00950048">
      <w:pPr>
        <w:pStyle w:val="Heading2"/>
        <w:keepNext w:val="0"/>
        <w:tabs>
          <w:tab w:val="clear" w:pos="360"/>
        </w:tabs>
        <w:spacing w:after="120" w:line="360" w:lineRule="auto"/>
        <w:ind w:left="2694" w:hanging="1985"/>
        <w:jc w:val="both"/>
        <w:rPr>
          <w:i/>
        </w:rPr>
      </w:pPr>
      <w:r w:rsidRPr="00641341">
        <w:rPr>
          <w:b/>
        </w:rPr>
        <w:t>Charging</w:t>
      </w:r>
      <w:r w:rsidRPr="00E13C23">
        <w:rPr>
          <w:b/>
          <w:noProof/>
        </w:rPr>
        <w:t xml:space="preserve"> Objective</w:t>
      </w:r>
      <w:r>
        <w:rPr>
          <w:b/>
          <w:noProof/>
        </w:rPr>
        <w:t xml:space="preserve"> T</w:t>
      </w:r>
      <w:r w:rsidRPr="00E13C23">
        <w:rPr>
          <w:b/>
          <w:noProof/>
        </w:rPr>
        <w:t>wo</w:t>
      </w:r>
      <w:r>
        <w:rPr>
          <w:noProof/>
        </w:rPr>
        <w:t xml:space="preserve"> - </w:t>
      </w:r>
      <w:r w:rsidRPr="004C0150">
        <w:rPr>
          <w: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24D16" w:rsidRDefault="00C24D16" w:rsidP="00950048">
      <w:pPr>
        <w:pStyle w:val="Heading2"/>
        <w:keepNext w:val="0"/>
        <w:widowControl w:val="0"/>
        <w:numPr>
          <w:ilvl w:val="0"/>
          <w:numId w:val="7"/>
        </w:numPr>
        <w:spacing w:line="360" w:lineRule="auto"/>
        <w:jc w:val="both"/>
      </w:pPr>
      <w:r>
        <w:rPr>
          <w:b/>
        </w:rPr>
        <w:t xml:space="preserve">The Majority </w:t>
      </w:r>
      <w:r w:rsidRPr="00403358">
        <w:rPr>
          <w:b/>
        </w:rPr>
        <w:t xml:space="preserve">Working Group view on DCP 167: </w:t>
      </w:r>
      <w:r w:rsidRPr="00041510">
        <w:t xml:space="preserve">The </w:t>
      </w:r>
      <w:r>
        <w:t xml:space="preserve">majority of the </w:t>
      </w:r>
      <w:r w:rsidRPr="00041510">
        <w:t xml:space="preserve">Working Group agreed that the impact on </w:t>
      </w:r>
      <w:r>
        <w:t xml:space="preserve">Charging Objective one is neutral. </w:t>
      </w:r>
    </w:p>
    <w:p w:rsidR="00C24D16" w:rsidRPr="0089356F" w:rsidRDefault="00C24D16" w:rsidP="00950048">
      <w:pPr>
        <w:pStyle w:val="Heading2"/>
        <w:keepNext w:val="0"/>
        <w:widowControl w:val="0"/>
        <w:numPr>
          <w:ilvl w:val="0"/>
          <w:numId w:val="7"/>
        </w:numPr>
        <w:spacing w:line="360" w:lineRule="auto"/>
        <w:jc w:val="both"/>
      </w:pPr>
      <w:r>
        <w:rPr>
          <w:b/>
        </w:rPr>
        <w:t>The Minority Working Group view on DCP 167</w:t>
      </w:r>
      <w:r w:rsidRPr="00403358">
        <w:rPr>
          <w:b/>
        </w:rPr>
        <w:t xml:space="preserve">A: </w:t>
      </w:r>
      <w:r w:rsidRPr="0014786B">
        <w:t>The minority of the Working Group considers that</w:t>
      </w:r>
      <w:r>
        <w:rPr>
          <w:b/>
        </w:rPr>
        <w:t xml:space="preserve"> </w:t>
      </w:r>
      <w:r>
        <w:t>D</w:t>
      </w:r>
      <w:r w:rsidRPr="00411C81">
        <w:t xml:space="preserve">CP </w:t>
      </w:r>
      <w:r>
        <w:t>167A</w:t>
      </w:r>
      <w:r w:rsidRPr="00411C81">
        <w:t xml:space="preserve"> better facilitate</w:t>
      </w:r>
      <w:r>
        <w:t>s</w:t>
      </w:r>
      <w:r w:rsidRPr="00411C81">
        <w:t xml:space="preserve"> DCUSA Charging Objective 2, as</w:t>
      </w:r>
      <w:r>
        <w:t xml:space="preserve"> examples 8C and 8D would allow the cost of the connection to be apportioned and recovered between parties that have initiated the work and any parties who may make use of additional capacity created or </w:t>
      </w:r>
      <w:r w:rsidRPr="0089356F">
        <w:t>transferred thus reflecting the costs incurred</w:t>
      </w:r>
      <w:r>
        <w:t>.</w:t>
      </w:r>
    </w:p>
    <w:p w:rsidR="00C24D16" w:rsidRDefault="00C24D16" w:rsidP="00950048">
      <w:pPr>
        <w:pStyle w:val="Heading2"/>
        <w:keepNext w:val="0"/>
        <w:tabs>
          <w:tab w:val="clear" w:pos="360"/>
        </w:tabs>
        <w:spacing w:after="120" w:line="360" w:lineRule="auto"/>
        <w:ind w:left="2694" w:hanging="1985"/>
        <w:jc w:val="both"/>
        <w:rPr>
          <w:i/>
          <w:noProof/>
        </w:rPr>
      </w:pPr>
      <w:r w:rsidRPr="00641341">
        <w:rPr>
          <w:b/>
        </w:rPr>
        <w:t>Charging</w:t>
      </w:r>
      <w:r>
        <w:rPr>
          <w:b/>
          <w:noProof/>
        </w:rPr>
        <w:t xml:space="preserve"> Objective T</w:t>
      </w:r>
      <w:r w:rsidRPr="00D26E9D">
        <w:rPr>
          <w:b/>
          <w:noProof/>
        </w:rPr>
        <w:t>hree</w:t>
      </w:r>
      <w:r>
        <w:rPr>
          <w:noProof/>
        </w:rPr>
        <w:t>-</w:t>
      </w:r>
      <w:r w:rsidRPr="004C0150">
        <w:rPr>
          <w:i/>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24D16" w:rsidRDefault="00C24D16" w:rsidP="00950048">
      <w:pPr>
        <w:pStyle w:val="Heading2"/>
        <w:keepNext w:val="0"/>
        <w:widowControl w:val="0"/>
        <w:numPr>
          <w:ilvl w:val="0"/>
          <w:numId w:val="7"/>
        </w:numPr>
        <w:spacing w:line="360" w:lineRule="auto"/>
        <w:jc w:val="both"/>
      </w:pPr>
      <w:r>
        <w:rPr>
          <w:b/>
        </w:rPr>
        <w:t xml:space="preserve">The Majority </w:t>
      </w:r>
      <w:r w:rsidRPr="00950048">
        <w:rPr>
          <w:b/>
        </w:rPr>
        <w:t>Working Group view</w:t>
      </w:r>
      <w:r>
        <w:rPr>
          <w:b/>
        </w:rPr>
        <w:t xml:space="preserve"> on DCP 167</w:t>
      </w:r>
      <w:r w:rsidRPr="00950048">
        <w:rPr>
          <w:b/>
        </w:rPr>
        <w:t xml:space="preserve">: </w:t>
      </w:r>
      <w:r w:rsidRPr="00041510">
        <w:t xml:space="preserve">The </w:t>
      </w:r>
      <w:r>
        <w:t xml:space="preserve">majority of the </w:t>
      </w:r>
      <w:r w:rsidRPr="00041510">
        <w:t xml:space="preserve">Working Group agreed that the impact on </w:t>
      </w:r>
      <w:r>
        <w:t xml:space="preserve">Charging Objective three is neutral. </w:t>
      </w:r>
    </w:p>
    <w:p w:rsidR="00C24D16" w:rsidRDefault="00C24D16" w:rsidP="00950048">
      <w:pPr>
        <w:pStyle w:val="Heading2"/>
        <w:keepNext w:val="0"/>
        <w:widowControl w:val="0"/>
        <w:numPr>
          <w:ilvl w:val="0"/>
          <w:numId w:val="7"/>
        </w:numPr>
        <w:spacing w:line="360" w:lineRule="auto"/>
        <w:jc w:val="both"/>
      </w:pPr>
      <w:r>
        <w:rPr>
          <w:b/>
        </w:rPr>
        <w:t>The Minority Working Group view on DCP 167</w:t>
      </w:r>
      <w:r w:rsidRPr="00950048">
        <w:rPr>
          <w:b/>
        </w:rPr>
        <w:t xml:space="preserve">A: </w:t>
      </w:r>
      <w:r>
        <w:t>D</w:t>
      </w:r>
      <w:r w:rsidRPr="00411C81">
        <w:t xml:space="preserve">CP </w:t>
      </w:r>
      <w:r>
        <w:t>167A</w:t>
      </w:r>
      <w:r w:rsidRPr="00411C81">
        <w:t xml:space="preserve"> better facilitate</w:t>
      </w:r>
      <w:r>
        <w:t>s DCUSA Charging Objective 3</w:t>
      </w:r>
      <w:r w:rsidRPr="00411C81">
        <w:t>, as</w:t>
      </w:r>
      <w:r>
        <w:t xml:space="preserve"> examples 8C and 8D would allow the cost of the connection to be apportioned and recovered between parties that have initiated the work and any parties who may make use of additional capacity created or </w:t>
      </w:r>
      <w:r w:rsidRPr="0089356F">
        <w:t xml:space="preserve">transferred </w:t>
      </w:r>
      <w:r>
        <w:t>and as a result will not prevent or distort competition.</w:t>
      </w:r>
    </w:p>
    <w:p w:rsidR="00C24D16" w:rsidRPr="004C0150" w:rsidRDefault="00C24D16" w:rsidP="00950048">
      <w:pPr>
        <w:pStyle w:val="Heading2"/>
        <w:keepNext w:val="0"/>
        <w:tabs>
          <w:tab w:val="clear" w:pos="360"/>
        </w:tabs>
        <w:spacing w:after="120" w:line="360" w:lineRule="auto"/>
        <w:ind w:left="2694" w:hanging="1985"/>
        <w:jc w:val="both"/>
        <w:rPr>
          <w:i/>
          <w:noProof/>
        </w:rPr>
      </w:pPr>
      <w:r w:rsidRPr="00641341">
        <w:rPr>
          <w:b/>
        </w:rPr>
        <w:t>Charging</w:t>
      </w:r>
      <w:r w:rsidRPr="00E13C23">
        <w:rPr>
          <w:b/>
          <w:noProof/>
        </w:rPr>
        <w:t xml:space="preserve"> Objective </w:t>
      </w:r>
      <w:r>
        <w:rPr>
          <w:b/>
          <w:noProof/>
        </w:rPr>
        <w:t>F</w:t>
      </w:r>
      <w:r w:rsidRPr="00D26E9D">
        <w:rPr>
          <w:b/>
          <w:noProof/>
        </w:rPr>
        <w:t xml:space="preserve">our </w:t>
      </w:r>
      <w:r w:rsidRPr="00D26E9D">
        <w:rPr>
          <w:noProof/>
        </w:rPr>
        <w:t xml:space="preserve">- </w:t>
      </w:r>
      <w:r w:rsidRPr="004C0150">
        <w:rPr>
          <w:i/>
          <w:noProof/>
        </w:rPr>
        <w:t>That, so far as is consistent with Clauses 3.2.1 to 3.2.3, the Charging Methodologies, so far as is reasonably practicable, properly take account of developments in each DNO Party’s Distribution Business.</w:t>
      </w:r>
    </w:p>
    <w:p w:rsidR="00C24D16" w:rsidRDefault="00C24D16" w:rsidP="00950048">
      <w:pPr>
        <w:pStyle w:val="Heading2"/>
        <w:keepNext w:val="0"/>
        <w:widowControl w:val="0"/>
        <w:numPr>
          <w:ilvl w:val="0"/>
          <w:numId w:val="7"/>
        </w:numPr>
        <w:spacing w:line="360" w:lineRule="auto"/>
        <w:jc w:val="both"/>
      </w:pPr>
      <w:r>
        <w:rPr>
          <w:b/>
        </w:rPr>
        <w:t xml:space="preserve">The Majority </w:t>
      </w:r>
      <w:r w:rsidRPr="0039493D">
        <w:rPr>
          <w:b/>
        </w:rPr>
        <w:t xml:space="preserve">Working Group </w:t>
      </w:r>
      <w:r>
        <w:rPr>
          <w:b/>
        </w:rPr>
        <w:t>view on DCP 167</w:t>
      </w:r>
      <w:r w:rsidRPr="0039493D">
        <w:rPr>
          <w:b/>
        </w:rPr>
        <w:t xml:space="preserve">: </w:t>
      </w:r>
      <w:r w:rsidRPr="004C0150">
        <w:t xml:space="preserve">The </w:t>
      </w:r>
      <w:r>
        <w:t xml:space="preserve">majority of the </w:t>
      </w:r>
      <w:r w:rsidRPr="004C0150">
        <w:t>Working Group agreed that the impact on</w:t>
      </w:r>
      <w:r>
        <w:t xml:space="preserve"> Charging</w:t>
      </w:r>
      <w:r w:rsidRPr="004C0150">
        <w:t xml:space="preserve"> Objective four is neutral.</w:t>
      </w:r>
    </w:p>
    <w:p w:rsidR="00C24D16" w:rsidRPr="00041510" w:rsidRDefault="00C24D16" w:rsidP="00950048">
      <w:pPr>
        <w:pStyle w:val="Heading2"/>
        <w:keepNext w:val="0"/>
        <w:widowControl w:val="0"/>
        <w:numPr>
          <w:ilvl w:val="0"/>
          <w:numId w:val="7"/>
        </w:numPr>
        <w:spacing w:line="360" w:lineRule="auto"/>
        <w:jc w:val="both"/>
      </w:pPr>
      <w:r>
        <w:rPr>
          <w:b/>
        </w:rPr>
        <w:t xml:space="preserve">The Minority </w:t>
      </w:r>
      <w:r w:rsidRPr="00041510">
        <w:rPr>
          <w:b/>
        </w:rPr>
        <w:t>Working Group view</w:t>
      </w:r>
      <w:r>
        <w:rPr>
          <w:b/>
        </w:rPr>
        <w:t xml:space="preserve"> on DCP 167A</w:t>
      </w:r>
      <w:r w:rsidRPr="00041510">
        <w:rPr>
          <w:b/>
        </w:rPr>
        <w:t xml:space="preserve">: </w:t>
      </w:r>
      <w:r w:rsidRPr="00041510">
        <w:t xml:space="preserve">The </w:t>
      </w:r>
      <w:r>
        <w:t xml:space="preserve">minority of the </w:t>
      </w:r>
      <w:r w:rsidRPr="00041510">
        <w:t xml:space="preserve">Working Group agreed that the impact on </w:t>
      </w:r>
      <w:r>
        <w:t xml:space="preserve">Charging </w:t>
      </w:r>
      <w:r w:rsidRPr="00041510">
        <w:t>O</w:t>
      </w:r>
      <w:r>
        <w:t>bjective four</w:t>
      </w:r>
      <w:r w:rsidRPr="00041510">
        <w:t xml:space="preserve"> is neutral.</w:t>
      </w:r>
    </w:p>
    <w:p w:rsidR="00C24D16" w:rsidRPr="00041510" w:rsidRDefault="00C24D16" w:rsidP="00950048">
      <w:pPr>
        <w:pStyle w:val="Heading2"/>
        <w:keepNext w:val="0"/>
        <w:tabs>
          <w:tab w:val="clear" w:pos="360"/>
        </w:tabs>
        <w:spacing w:after="120" w:line="360" w:lineRule="auto"/>
        <w:ind w:left="2694" w:hanging="1985"/>
        <w:jc w:val="both"/>
        <w:rPr>
          <w:i/>
          <w:noProof/>
        </w:rPr>
      </w:pPr>
      <w:r w:rsidRPr="00641341">
        <w:rPr>
          <w:b/>
        </w:rPr>
        <w:t>Charging</w:t>
      </w:r>
      <w:r w:rsidRPr="00E13C23">
        <w:rPr>
          <w:b/>
          <w:noProof/>
        </w:rPr>
        <w:t xml:space="preserve"> Objective </w:t>
      </w:r>
      <w:r>
        <w:rPr>
          <w:b/>
          <w:noProof/>
        </w:rPr>
        <w:t xml:space="preserve">Five </w:t>
      </w:r>
      <w:r w:rsidRPr="00D26E9D">
        <w:rPr>
          <w:noProof/>
        </w:rPr>
        <w:t>-</w:t>
      </w:r>
      <w:r w:rsidRPr="00041510">
        <w:rPr>
          <w:i/>
          <w:noProof/>
        </w:rPr>
        <w:t xml:space="preserve">That compliance by each DNO Party with the Charging Methodologies facilitates compliance with the Regulation on Cross-Border Exchange in Electricity and any relevant legally binding decisions of the European Commission and/or the Agency for the Co-operation of Energy </w:t>
      </w:r>
      <w:r w:rsidRPr="002C6F74">
        <w:rPr>
          <w:i/>
          <w:noProof/>
        </w:rPr>
        <w:t>Regulators (ACER).</w:t>
      </w:r>
    </w:p>
    <w:p w:rsidR="00C24D16" w:rsidRPr="008906BB" w:rsidRDefault="00C24D16" w:rsidP="00950048">
      <w:pPr>
        <w:pStyle w:val="Heading2"/>
        <w:keepNext w:val="0"/>
        <w:widowControl w:val="0"/>
        <w:numPr>
          <w:ilvl w:val="0"/>
          <w:numId w:val="7"/>
        </w:numPr>
        <w:spacing w:line="360" w:lineRule="auto"/>
        <w:jc w:val="both"/>
        <w:rPr>
          <w:rFonts w:ascii="Calibri" w:hAnsi="Calibri" w:cs="Times New Roman"/>
        </w:rPr>
      </w:pPr>
      <w:r>
        <w:rPr>
          <w:b/>
        </w:rPr>
        <w:t xml:space="preserve">The Majority </w:t>
      </w:r>
      <w:r w:rsidRPr="008906BB">
        <w:rPr>
          <w:b/>
        </w:rPr>
        <w:t>Working Group view</w:t>
      </w:r>
      <w:r>
        <w:rPr>
          <w:b/>
        </w:rPr>
        <w:t xml:space="preserve"> on DCP 167</w:t>
      </w:r>
      <w:r w:rsidRPr="008906BB">
        <w:rPr>
          <w:b/>
        </w:rPr>
        <w:t xml:space="preserve">: </w:t>
      </w:r>
      <w:r w:rsidRPr="008906BB">
        <w:t xml:space="preserve">The Working Group agreed that the impact on Charging Objective five is neutral. </w:t>
      </w:r>
      <w:r w:rsidRPr="008906BB">
        <w:rPr>
          <w:rFonts w:cs="Times New Roman"/>
        </w:rPr>
        <w:t>DCP 167 was not raised as the result of a legally binding decision</w:t>
      </w:r>
      <w:r w:rsidRPr="008906BB">
        <w:t xml:space="preserve"> of the European Commission or </w:t>
      </w:r>
      <w:r w:rsidRPr="008906BB">
        <w:rPr>
          <w:rFonts w:cs="Times New Roman"/>
        </w:rPr>
        <w:t>ACER and therefo</w:t>
      </w:r>
      <w:r w:rsidRPr="008906BB">
        <w:t>re does not better facilitate Charging Objective five.</w:t>
      </w:r>
    </w:p>
    <w:p w:rsidR="00C24D16" w:rsidRDefault="00C24D16" w:rsidP="00950048">
      <w:pPr>
        <w:pStyle w:val="Heading2"/>
        <w:keepNext w:val="0"/>
        <w:widowControl w:val="0"/>
        <w:numPr>
          <w:ilvl w:val="0"/>
          <w:numId w:val="7"/>
        </w:numPr>
        <w:spacing w:line="360" w:lineRule="auto"/>
        <w:jc w:val="both"/>
      </w:pPr>
      <w:r>
        <w:rPr>
          <w:b/>
        </w:rPr>
        <w:t xml:space="preserve">The Minority </w:t>
      </w:r>
      <w:r w:rsidRPr="008906BB">
        <w:rPr>
          <w:b/>
        </w:rPr>
        <w:t>Working Group view on DCP 167A:</w:t>
      </w:r>
      <w:r w:rsidRPr="00041510">
        <w:rPr>
          <w:b/>
        </w:rPr>
        <w:t xml:space="preserve"> </w:t>
      </w:r>
      <w:r w:rsidRPr="00041510">
        <w:t xml:space="preserve">The Working Group agreed that the impact on </w:t>
      </w:r>
      <w:r w:rsidRPr="00641341">
        <w:t>Charging</w:t>
      </w:r>
      <w:r w:rsidRPr="00056725">
        <w:t xml:space="preserve"> </w:t>
      </w:r>
      <w:r w:rsidRPr="00041510">
        <w:t>O</w:t>
      </w:r>
      <w:r>
        <w:t>bjective five</w:t>
      </w:r>
      <w:r w:rsidRPr="00041510">
        <w:t xml:space="preserve"> is neutral.</w:t>
      </w:r>
      <w:r>
        <w:t xml:space="preserve"> </w:t>
      </w:r>
      <w:r w:rsidRPr="003116CF">
        <w:rPr>
          <w:rFonts w:cs="Times New Roman"/>
        </w:rPr>
        <w:t xml:space="preserve">DCP </w:t>
      </w:r>
      <w:r>
        <w:rPr>
          <w:rFonts w:cs="Times New Roman"/>
        </w:rPr>
        <w:t>167A was</w:t>
      </w:r>
      <w:r w:rsidRPr="003116CF">
        <w:rPr>
          <w:rFonts w:cs="Times New Roman"/>
        </w:rPr>
        <w:t xml:space="preserve"> not raised as the result of a legally binding decision</w:t>
      </w:r>
      <w:r>
        <w:t xml:space="preserve"> of the European C</w:t>
      </w:r>
      <w:r w:rsidRPr="003116CF">
        <w:t xml:space="preserve">ommission or </w:t>
      </w:r>
      <w:r w:rsidRPr="003116CF">
        <w:rPr>
          <w:rFonts w:cs="Times New Roman"/>
        </w:rPr>
        <w:t>ACER and therefo</w:t>
      </w:r>
      <w:r w:rsidRPr="003116CF">
        <w:t>re does not better facilitate Charging Objective five.</w:t>
      </w:r>
    </w:p>
    <w:p w:rsidR="00C24D16" w:rsidRPr="004C0150" w:rsidRDefault="00C24D16" w:rsidP="00891B17">
      <w:pPr>
        <w:ind w:left="709"/>
      </w:pPr>
      <w:r w:rsidRPr="0039493D">
        <w:rPr>
          <w:rFonts w:ascii="Verdana" w:hAnsi="Verdana"/>
          <w:b/>
          <w:sz w:val="20"/>
          <w:szCs w:val="20"/>
          <w:u w:val="single"/>
        </w:rPr>
        <w:t>General Objectives</w:t>
      </w:r>
    </w:p>
    <w:p w:rsidR="00C24D16" w:rsidRDefault="00C24D16" w:rsidP="00891B17">
      <w:pPr>
        <w:pStyle w:val="Heading2"/>
        <w:keepNext w:val="0"/>
        <w:widowControl w:val="0"/>
        <w:tabs>
          <w:tab w:val="clear" w:pos="360"/>
          <w:tab w:val="left" w:pos="2694"/>
        </w:tabs>
        <w:spacing w:line="360" w:lineRule="auto"/>
        <w:ind w:left="2694" w:hanging="1985"/>
        <w:jc w:val="both"/>
      </w:pPr>
      <w:r>
        <w:rPr>
          <w:b/>
        </w:rPr>
        <w:t xml:space="preserve">General Objective One </w:t>
      </w:r>
      <w:r w:rsidRPr="0082790B">
        <w:rPr>
          <w:b/>
        </w:rPr>
        <w:t>–</w:t>
      </w:r>
      <w:r>
        <w:rPr>
          <w:b/>
        </w:rPr>
        <w:tab/>
      </w:r>
      <w:r w:rsidRPr="0082790B">
        <w:rPr>
          <w:i/>
        </w:rPr>
        <w:t>The development, maintenance and operation by the DNO Parties and IDNO Parties of efficient, co-ordinated, and economical Distribution Networks.</w:t>
      </w:r>
      <w:r w:rsidRPr="0082790B">
        <w:t xml:space="preserve"> </w:t>
      </w:r>
    </w:p>
    <w:p w:rsidR="00C24D16" w:rsidRDefault="00C24D16" w:rsidP="00891B17">
      <w:pPr>
        <w:pStyle w:val="Heading2"/>
        <w:keepNext w:val="0"/>
        <w:widowControl w:val="0"/>
        <w:numPr>
          <w:ilvl w:val="0"/>
          <w:numId w:val="7"/>
        </w:numPr>
        <w:spacing w:line="360" w:lineRule="auto"/>
        <w:jc w:val="both"/>
      </w:pPr>
      <w:r>
        <w:rPr>
          <w:b/>
        </w:rPr>
        <w:t xml:space="preserve">The Majority </w:t>
      </w:r>
      <w:r w:rsidRPr="00041510">
        <w:rPr>
          <w:b/>
        </w:rPr>
        <w:t xml:space="preserve">Working </w:t>
      </w:r>
      <w:r w:rsidRPr="00A602E7">
        <w:rPr>
          <w:b/>
        </w:rPr>
        <w:t>Group view</w:t>
      </w:r>
      <w:r>
        <w:rPr>
          <w:b/>
        </w:rPr>
        <w:t xml:space="preserve"> on DCP 167</w:t>
      </w:r>
      <w:r w:rsidRPr="00041510">
        <w:rPr>
          <w:b/>
        </w:rPr>
        <w:t xml:space="preserve">: </w:t>
      </w:r>
      <w:r w:rsidRPr="00041510">
        <w:t xml:space="preserve">The </w:t>
      </w:r>
      <w:r>
        <w:t xml:space="preserve">majority of the </w:t>
      </w:r>
      <w:r w:rsidRPr="00041510">
        <w:t xml:space="preserve">Working Group agreed that </w:t>
      </w:r>
      <w:r>
        <w:t>Objective one is better facilitated by this change as it adds clarity to the methodology and helps to ensure an efficient and co-ordinated network is developed through the provision of the relevant economic signals.</w:t>
      </w:r>
    </w:p>
    <w:p w:rsidR="00C24D16" w:rsidRPr="00224B67" w:rsidRDefault="00C24D16" w:rsidP="00891B17">
      <w:pPr>
        <w:pStyle w:val="Heading2"/>
        <w:keepNext w:val="0"/>
        <w:widowControl w:val="0"/>
        <w:numPr>
          <w:ilvl w:val="0"/>
          <w:numId w:val="7"/>
        </w:numPr>
        <w:spacing w:line="360" w:lineRule="auto"/>
        <w:jc w:val="both"/>
      </w:pPr>
      <w:r>
        <w:rPr>
          <w:b/>
        </w:rPr>
        <w:t xml:space="preserve">The Minority </w:t>
      </w:r>
      <w:r w:rsidRPr="00041510">
        <w:rPr>
          <w:b/>
        </w:rPr>
        <w:t>Working Group view</w:t>
      </w:r>
      <w:r>
        <w:rPr>
          <w:b/>
        </w:rPr>
        <w:t xml:space="preserve"> on DCP 167A</w:t>
      </w:r>
      <w:r w:rsidRPr="00041510">
        <w:rPr>
          <w:b/>
        </w:rPr>
        <w:t xml:space="preserve">: </w:t>
      </w:r>
      <w:r w:rsidRPr="00041510">
        <w:t xml:space="preserve">The </w:t>
      </w:r>
      <w:r>
        <w:t xml:space="preserve">minority of the </w:t>
      </w:r>
      <w:r w:rsidRPr="00041510">
        <w:t>Working Group agreed that</w:t>
      </w:r>
      <w:r>
        <w:t xml:space="preserve"> the impact on General</w:t>
      </w:r>
      <w:r w:rsidRPr="00041510">
        <w:t xml:space="preserve"> </w:t>
      </w:r>
      <w:r>
        <w:t xml:space="preserve">Objective one is neutral. </w:t>
      </w:r>
    </w:p>
    <w:p w:rsidR="00C24D16" w:rsidRDefault="00C24D16" w:rsidP="00891B17">
      <w:pPr>
        <w:pStyle w:val="Heading2"/>
        <w:keepNext w:val="0"/>
        <w:widowControl w:val="0"/>
        <w:tabs>
          <w:tab w:val="clear" w:pos="360"/>
        </w:tabs>
        <w:spacing w:line="360" w:lineRule="auto"/>
        <w:ind w:left="2694" w:hanging="1985"/>
        <w:jc w:val="both"/>
        <w:rPr>
          <w:i/>
        </w:rPr>
      </w:pPr>
      <w:proofErr w:type="gramStart"/>
      <w:r>
        <w:rPr>
          <w:b/>
        </w:rPr>
        <w:t>General Objective Two</w:t>
      </w:r>
      <w:r w:rsidRPr="0082790B">
        <w:rPr>
          <w:b/>
        </w:rPr>
        <w:t xml:space="preserve"> –</w:t>
      </w:r>
      <w:r w:rsidRPr="0082790B">
        <w:t xml:space="preserve"> </w:t>
      </w:r>
      <w:r>
        <w:tab/>
      </w:r>
      <w:r w:rsidRPr="0082790B">
        <w:rPr>
          <w:i/>
        </w:rPr>
        <w:t>The facilitation of effective competition in the generation and supply of electricity and (so far as is consistent therewith) the promotion of such competition in the sale, distribution and purchase of electricity.</w:t>
      </w:r>
      <w:proofErr w:type="gramEnd"/>
      <w:r>
        <w:rPr>
          <w:i/>
        </w:rPr>
        <w:t xml:space="preserve"> </w:t>
      </w:r>
    </w:p>
    <w:p w:rsidR="00C24D16" w:rsidRPr="00D94FE7" w:rsidRDefault="00C24D16" w:rsidP="00891B17">
      <w:pPr>
        <w:pStyle w:val="Heading2"/>
        <w:keepNext w:val="0"/>
        <w:widowControl w:val="0"/>
        <w:numPr>
          <w:ilvl w:val="0"/>
          <w:numId w:val="7"/>
        </w:numPr>
        <w:spacing w:line="360" w:lineRule="auto"/>
        <w:jc w:val="both"/>
      </w:pPr>
      <w:r>
        <w:rPr>
          <w:b/>
        </w:rPr>
        <w:t xml:space="preserve">The Majority </w:t>
      </w:r>
      <w:r w:rsidRPr="00FB3819">
        <w:rPr>
          <w:b/>
        </w:rPr>
        <w:t>Working Group view</w:t>
      </w:r>
      <w:r>
        <w:rPr>
          <w:b/>
        </w:rPr>
        <w:t xml:space="preserve"> on DCP 167</w:t>
      </w:r>
      <w:r w:rsidRPr="00FB3819">
        <w:rPr>
          <w:b/>
        </w:rPr>
        <w:t>:</w:t>
      </w:r>
      <w:r w:rsidRPr="00041510">
        <w:rPr>
          <w:b/>
        </w:rPr>
        <w:t xml:space="preserve"> </w:t>
      </w:r>
      <w:r w:rsidRPr="00041510">
        <w:t xml:space="preserve">The </w:t>
      </w:r>
      <w:r>
        <w:t xml:space="preserve">majority of the </w:t>
      </w:r>
      <w:r w:rsidRPr="00041510">
        <w:t xml:space="preserve">Working Group agreed that the impact on </w:t>
      </w:r>
      <w:r>
        <w:t>General Objective two</w:t>
      </w:r>
      <w:r w:rsidRPr="00041510">
        <w:t xml:space="preserve"> is neutral.</w:t>
      </w:r>
      <w:r w:rsidRPr="00D94FE7">
        <w:t xml:space="preserve"> </w:t>
      </w:r>
    </w:p>
    <w:p w:rsidR="00C24D16" w:rsidRPr="00891B17" w:rsidRDefault="00C24D16" w:rsidP="00891B17">
      <w:pPr>
        <w:pStyle w:val="Heading2"/>
        <w:keepNext w:val="0"/>
        <w:widowControl w:val="0"/>
        <w:numPr>
          <w:ilvl w:val="0"/>
          <w:numId w:val="7"/>
        </w:numPr>
        <w:spacing w:line="360" w:lineRule="auto"/>
        <w:jc w:val="both"/>
        <w:rPr>
          <w:b/>
        </w:rPr>
      </w:pPr>
      <w:r>
        <w:rPr>
          <w:b/>
        </w:rPr>
        <w:t xml:space="preserve">The Minority </w:t>
      </w:r>
      <w:r w:rsidRPr="00891B17">
        <w:rPr>
          <w:b/>
        </w:rPr>
        <w:t xml:space="preserve">Working Group view on DCP 167A: </w:t>
      </w:r>
      <w:r w:rsidRPr="00891B17">
        <w:t xml:space="preserve">The </w:t>
      </w:r>
      <w:r>
        <w:t xml:space="preserve">minority of the </w:t>
      </w:r>
      <w:r w:rsidRPr="00891B17">
        <w:t>Working Group agreed that General Objective two is better facilitated by DCP 167A</w:t>
      </w:r>
      <w:r>
        <w:t xml:space="preserve"> as</w:t>
      </w:r>
      <w:r w:rsidRPr="00891B17">
        <w:t xml:space="preserve"> </w:t>
      </w:r>
      <w:r>
        <w:t xml:space="preserve">the </w:t>
      </w:r>
      <w:r w:rsidRPr="00891B17">
        <w:t>CP would allow costs to be apportioned and recovered in an appropriate manne</w:t>
      </w:r>
      <w:r>
        <w:t>r ensuring competition in the sale, distribution and purchase of electricity</w:t>
      </w:r>
      <w:r w:rsidRPr="00891B17">
        <w:t>.</w:t>
      </w:r>
    </w:p>
    <w:p w:rsidR="00C24D16" w:rsidRDefault="00C24D16" w:rsidP="00891B17">
      <w:pPr>
        <w:pStyle w:val="Heading2"/>
        <w:keepNext w:val="0"/>
        <w:widowControl w:val="0"/>
        <w:tabs>
          <w:tab w:val="clear" w:pos="360"/>
        </w:tabs>
        <w:spacing w:line="360" w:lineRule="auto"/>
        <w:ind w:left="2694" w:hanging="1985"/>
        <w:jc w:val="both"/>
      </w:pPr>
      <w:r>
        <w:rPr>
          <w:b/>
        </w:rPr>
        <w:t>General Objective Three</w:t>
      </w:r>
      <w:r w:rsidRPr="0082790B">
        <w:rPr>
          <w:b/>
        </w:rPr>
        <w:t xml:space="preserve"> –</w:t>
      </w:r>
      <w:r w:rsidRPr="0082790B">
        <w:rPr>
          <w:i/>
        </w:rPr>
        <w:t>The efficient discharge by the DNO Parties and IDNO Parties of obligations imposed upon them in their Distribution Licences.</w:t>
      </w:r>
      <w:r>
        <w:t xml:space="preserve"> </w:t>
      </w:r>
    </w:p>
    <w:p w:rsidR="00C24D16" w:rsidRPr="00224B67" w:rsidRDefault="00C24D16" w:rsidP="001D65E9">
      <w:pPr>
        <w:pStyle w:val="Heading2"/>
        <w:keepNext w:val="0"/>
        <w:widowControl w:val="0"/>
        <w:numPr>
          <w:ilvl w:val="0"/>
          <w:numId w:val="7"/>
        </w:numPr>
        <w:spacing w:line="360" w:lineRule="auto"/>
        <w:ind w:left="1134" w:hanging="425"/>
        <w:jc w:val="both"/>
      </w:pPr>
      <w:r>
        <w:rPr>
          <w:b/>
        </w:rPr>
        <w:t xml:space="preserve">The Majority </w:t>
      </w:r>
      <w:r w:rsidRPr="0039493D">
        <w:rPr>
          <w:b/>
        </w:rPr>
        <w:t xml:space="preserve">Working Group </w:t>
      </w:r>
      <w:r w:rsidRPr="007028CF">
        <w:rPr>
          <w:b/>
        </w:rPr>
        <w:t>view on DCP 16</w:t>
      </w:r>
      <w:r>
        <w:rPr>
          <w:b/>
        </w:rPr>
        <w:t>7</w:t>
      </w:r>
      <w:r w:rsidRPr="007028CF">
        <w:rPr>
          <w:b/>
        </w:rPr>
        <w:t>:</w:t>
      </w:r>
      <w:r w:rsidRPr="0039493D">
        <w:rPr>
          <w:b/>
        </w:rPr>
        <w:t xml:space="preserve"> </w:t>
      </w:r>
      <w:r w:rsidRPr="003116CF">
        <w:t xml:space="preserve">The </w:t>
      </w:r>
      <w:r>
        <w:t xml:space="preserve">majority of the </w:t>
      </w:r>
      <w:r w:rsidRPr="003116CF">
        <w:t xml:space="preserve">Working Group agreed that General Objective three is </w:t>
      </w:r>
      <w:r>
        <w:t>better facilitated by this change as licence condition 13 requires each DNO to have a connection charging methodology in force. This Change Proposal facilitates the fulfilment of this obligation in keeping the CCCM in line with current practices and clearly stating those charges to the customer.</w:t>
      </w:r>
    </w:p>
    <w:p w:rsidR="00C24D16" w:rsidRPr="00224B67" w:rsidRDefault="00C24D16" w:rsidP="00891B17">
      <w:pPr>
        <w:pStyle w:val="Heading2"/>
        <w:keepNext w:val="0"/>
        <w:widowControl w:val="0"/>
        <w:numPr>
          <w:ilvl w:val="0"/>
          <w:numId w:val="7"/>
        </w:numPr>
        <w:spacing w:line="360" w:lineRule="auto"/>
        <w:ind w:left="1134" w:hanging="425"/>
        <w:jc w:val="both"/>
      </w:pPr>
      <w:r>
        <w:rPr>
          <w:b/>
        </w:rPr>
        <w:t>The Minority W</w:t>
      </w:r>
      <w:r w:rsidRPr="00EC4703">
        <w:rPr>
          <w:b/>
        </w:rPr>
        <w:t>orking Group view on</w:t>
      </w:r>
      <w:r>
        <w:rPr>
          <w:b/>
        </w:rPr>
        <w:t xml:space="preserve"> DCP 167</w:t>
      </w:r>
      <w:r w:rsidRPr="00EC4703">
        <w:rPr>
          <w:b/>
        </w:rPr>
        <w:t xml:space="preserve">A: </w:t>
      </w:r>
      <w:r w:rsidRPr="003116CF">
        <w:t xml:space="preserve">The </w:t>
      </w:r>
      <w:r>
        <w:t xml:space="preserve">minority of the </w:t>
      </w:r>
      <w:r w:rsidRPr="003116CF">
        <w:t xml:space="preserve">Working Group agreed that General Objective three is </w:t>
      </w:r>
      <w:r>
        <w:t>better facilitated by this change as licence condition 13 requires each DNO to have a connection charging methodology in force. This Change Proposal facilitates the fulfilment of this obligation in keeping the CCCM in line with current practices and clearly stating those charges to the customer.</w:t>
      </w:r>
    </w:p>
    <w:p w:rsidR="00C24D16" w:rsidRDefault="00C24D16" w:rsidP="00891B17">
      <w:pPr>
        <w:pStyle w:val="Heading2"/>
        <w:keepNext w:val="0"/>
        <w:widowControl w:val="0"/>
        <w:tabs>
          <w:tab w:val="clear" w:pos="360"/>
        </w:tabs>
        <w:spacing w:line="360" w:lineRule="auto"/>
        <w:ind w:left="2694" w:hanging="1985"/>
        <w:jc w:val="both"/>
        <w:rPr>
          <w:i/>
          <w:noProof/>
        </w:rPr>
      </w:pPr>
      <w:proofErr w:type="gramStart"/>
      <w:r>
        <w:rPr>
          <w:b/>
          <w:bCs w:val="0"/>
          <w:iCs w:val="0"/>
        </w:rPr>
        <w:t xml:space="preserve">General </w:t>
      </w:r>
      <w:r w:rsidRPr="001A132B">
        <w:rPr>
          <w:b/>
          <w:bCs w:val="0"/>
          <w:iCs w:val="0"/>
        </w:rPr>
        <w:t>Objective</w:t>
      </w:r>
      <w:r>
        <w:rPr>
          <w:b/>
        </w:rPr>
        <w:t xml:space="preserve"> Four </w:t>
      </w:r>
      <w:r w:rsidRPr="00EA79CB">
        <w:rPr>
          <w:bCs w:val="0"/>
          <w:iCs w:val="0"/>
        </w:rPr>
        <w:t>–</w:t>
      </w:r>
      <w:r w:rsidRPr="00D846F5">
        <w:rPr>
          <w:i/>
          <w:noProof/>
        </w:rPr>
        <w:t>The promotion of efficiency in the implementation and administration of this Agreement.</w:t>
      </w:r>
      <w:proofErr w:type="gramEnd"/>
      <w:r>
        <w:rPr>
          <w:i/>
          <w:noProof/>
        </w:rPr>
        <w:t xml:space="preserve"> </w:t>
      </w:r>
    </w:p>
    <w:p w:rsidR="00C24D16" w:rsidRPr="00D94FE7" w:rsidRDefault="00C24D16" w:rsidP="00891B17">
      <w:pPr>
        <w:pStyle w:val="Heading2"/>
        <w:keepNext w:val="0"/>
        <w:widowControl w:val="0"/>
        <w:numPr>
          <w:ilvl w:val="0"/>
          <w:numId w:val="7"/>
        </w:numPr>
        <w:spacing w:line="360" w:lineRule="auto"/>
        <w:jc w:val="both"/>
      </w:pPr>
      <w:r>
        <w:rPr>
          <w:b/>
        </w:rPr>
        <w:t>The Majority Working Group view on DCP 167</w:t>
      </w:r>
      <w:r w:rsidRPr="00D94FE7">
        <w:rPr>
          <w:b/>
        </w:rPr>
        <w:t xml:space="preserve">: </w:t>
      </w:r>
      <w:r w:rsidRPr="00041510">
        <w:t xml:space="preserve">The </w:t>
      </w:r>
      <w:r>
        <w:t xml:space="preserve">majority of the </w:t>
      </w:r>
      <w:r w:rsidRPr="00041510">
        <w:t xml:space="preserve">Working Group agreed that the impact on </w:t>
      </w:r>
      <w:r>
        <w:t>General Objective four</w:t>
      </w:r>
      <w:r w:rsidRPr="00041510">
        <w:t xml:space="preserve"> is neutral.</w:t>
      </w:r>
      <w:r w:rsidRPr="00D94FE7">
        <w:t xml:space="preserve"> </w:t>
      </w:r>
    </w:p>
    <w:p w:rsidR="00C24D16" w:rsidRPr="00224B67" w:rsidRDefault="00C24D16" w:rsidP="00891B17">
      <w:pPr>
        <w:pStyle w:val="Heading2"/>
        <w:keepNext w:val="0"/>
        <w:widowControl w:val="0"/>
        <w:numPr>
          <w:ilvl w:val="0"/>
          <w:numId w:val="7"/>
        </w:numPr>
        <w:spacing w:line="360" w:lineRule="auto"/>
        <w:jc w:val="both"/>
      </w:pPr>
      <w:r>
        <w:rPr>
          <w:b/>
        </w:rPr>
        <w:t xml:space="preserve">The Minority </w:t>
      </w:r>
      <w:r w:rsidRPr="00041510">
        <w:rPr>
          <w:b/>
        </w:rPr>
        <w:t>Working Group view</w:t>
      </w:r>
      <w:r>
        <w:rPr>
          <w:b/>
        </w:rPr>
        <w:t xml:space="preserve"> on DCP 167A</w:t>
      </w:r>
      <w:r w:rsidRPr="00041510">
        <w:rPr>
          <w:b/>
        </w:rPr>
        <w:t xml:space="preserve">: </w:t>
      </w:r>
      <w:r w:rsidRPr="00041510">
        <w:t>The</w:t>
      </w:r>
      <w:r>
        <w:t xml:space="preserve"> minority of </w:t>
      </w:r>
      <w:proofErr w:type="gramStart"/>
      <w:r>
        <w:t xml:space="preserve">the </w:t>
      </w:r>
      <w:r w:rsidRPr="00041510">
        <w:t xml:space="preserve"> Working</w:t>
      </w:r>
      <w:proofErr w:type="gramEnd"/>
      <w:r w:rsidRPr="00041510">
        <w:t xml:space="preserve"> Group agreed that the impact on </w:t>
      </w:r>
      <w:r>
        <w:t xml:space="preserve">General </w:t>
      </w:r>
      <w:r w:rsidRPr="00041510">
        <w:t>O</w:t>
      </w:r>
      <w:r>
        <w:t>bjective four</w:t>
      </w:r>
      <w:r w:rsidRPr="00041510">
        <w:t xml:space="preserve"> is neutral.</w:t>
      </w:r>
    </w:p>
    <w:p w:rsidR="00C24D16" w:rsidRDefault="00C24D16" w:rsidP="00891B17">
      <w:pPr>
        <w:pStyle w:val="Heading2"/>
        <w:keepNext w:val="0"/>
        <w:widowControl w:val="0"/>
        <w:tabs>
          <w:tab w:val="clear" w:pos="360"/>
        </w:tabs>
        <w:spacing w:line="360" w:lineRule="auto"/>
        <w:ind w:left="2694" w:hanging="1985"/>
        <w:jc w:val="both"/>
        <w:rPr>
          <w:noProof/>
        </w:rPr>
      </w:pPr>
      <w:r>
        <w:rPr>
          <w:b/>
        </w:rPr>
        <w:t xml:space="preserve">General </w:t>
      </w:r>
      <w:r w:rsidRPr="001E1D36">
        <w:rPr>
          <w:b/>
        </w:rPr>
        <w:t>Objectiv</w:t>
      </w:r>
      <w:r>
        <w:rPr>
          <w:b/>
          <w:bCs w:val="0"/>
          <w:iCs w:val="0"/>
        </w:rPr>
        <w:t xml:space="preserve">e Five </w:t>
      </w:r>
      <w:r w:rsidRPr="001E1D36">
        <w:t>–</w:t>
      </w:r>
      <w:r>
        <w:tab/>
      </w:r>
      <w:r>
        <w:rPr>
          <w:i/>
          <w:noProof/>
        </w:rPr>
        <w:t>Compliance with the Regulation on Cross-Border Exchange in Electricity and any relevant legally bi</w:t>
      </w:r>
      <w:r w:rsidRPr="00D846F5">
        <w:rPr>
          <w:i/>
          <w:noProof/>
        </w:rPr>
        <w:t>nding decisions of the European Commission and/or the Agency for the Co-operation of Energy Regulators</w:t>
      </w:r>
      <w:r w:rsidRPr="0082790B">
        <w:rPr>
          <w:noProof/>
        </w:rPr>
        <w:t>.</w:t>
      </w:r>
      <w:r>
        <w:rPr>
          <w:noProof/>
        </w:rPr>
        <w:t xml:space="preserve"> </w:t>
      </w:r>
    </w:p>
    <w:p w:rsidR="00C24D16" w:rsidRDefault="00C24D16" w:rsidP="00891B17">
      <w:pPr>
        <w:pStyle w:val="Heading2"/>
        <w:keepNext w:val="0"/>
        <w:widowControl w:val="0"/>
        <w:numPr>
          <w:ilvl w:val="0"/>
          <w:numId w:val="7"/>
        </w:numPr>
        <w:spacing w:line="360" w:lineRule="auto"/>
        <w:jc w:val="both"/>
      </w:pPr>
      <w:r>
        <w:rPr>
          <w:b/>
        </w:rPr>
        <w:t xml:space="preserve">The Majority </w:t>
      </w:r>
      <w:r w:rsidRPr="0039493D">
        <w:rPr>
          <w:b/>
        </w:rPr>
        <w:t xml:space="preserve">Working Group </w:t>
      </w:r>
      <w:r>
        <w:rPr>
          <w:b/>
        </w:rPr>
        <w:t>view on DCP 167</w:t>
      </w:r>
      <w:r w:rsidRPr="0039493D">
        <w:rPr>
          <w:b/>
        </w:rPr>
        <w:t xml:space="preserve">: </w:t>
      </w:r>
      <w:r w:rsidRPr="00041510">
        <w:t xml:space="preserve">The </w:t>
      </w:r>
      <w:r>
        <w:t xml:space="preserve">majority of the </w:t>
      </w:r>
      <w:r w:rsidRPr="00041510">
        <w:t xml:space="preserve">Working Group agreed that the impact on </w:t>
      </w:r>
      <w:r>
        <w:t xml:space="preserve">General </w:t>
      </w:r>
      <w:r w:rsidRPr="00041510">
        <w:t>Objective five is neutral.</w:t>
      </w:r>
    </w:p>
    <w:p w:rsidR="00C24D16" w:rsidRPr="00D94FE7" w:rsidRDefault="00C24D16" w:rsidP="00891B17">
      <w:pPr>
        <w:pStyle w:val="Heading2"/>
        <w:keepNext w:val="0"/>
        <w:widowControl w:val="0"/>
        <w:numPr>
          <w:ilvl w:val="0"/>
          <w:numId w:val="7"/>
        </w:numPr>
        <w:spacing w:line="360" w:lineRule="auto"/>
        <w:jc w:val="both"/>
      </w:pPr>
      <w:r>
        <w:rPr>
          <w:b/>
        </w:rPr>
        <w:t>The Minority Working Group view on DCP 167</w:t>
      </w:r>
      <w:r w:rsidRPr="00D94FE7">
        <w:rPr>
          <w:b/>
        </w:rPr>
        <w:t xml:space="preserve">A: </w:t>
      </w:r>
      <w:r w:rsidRPr="00D94FE7">
        <w:t>The</w:t>
      </w:r>
      <w:r>
        <w:t xml:space="preserve"> minority of the</w:t>
      </w:r>
      <w:r w:rsidRPr="00D94FE7">
        <w:t xml:space="preserve"> Working Group agreed that the impact on General Objective five is neutral.</w:t>
      </w:r>
    </w:p>
    <w:p w:rsidR="00C24D16" w:rsidRDefault="00C24D16" w:rsidP="00270B31">
      <w:pPr>
        <w:pStyle w:val="Heading1"/>
        <w:keepNext w:val="0"/>
        <w:numPr>
          <w:ilvl w:val="0"/>
          <w:numId w:val="10"/>
        </w:numPr>
        <w:spacing w:line="360" w:lineRule="auto"/>
        <w:ind w:left="709" w:hanging="709"/>
        <w:jc w:val="both"/>
        <w:rPr>
          <w:bCs w:val="0"/>
        </w:rPr>
      </w:pPr>
      <w:r w:rsidRPr="00AF42D4">
        <w:rPr>
          <w:bCs w:val="0"/>
        </w:rPr>
        <w:t>I</w:t>
      </w:r>
      <w:r>
        <w:rPr>
          <w:bCs w:val="0"/>
        </w:rPr>
        <w:t>MPACT ON GREENHOUSE GAS OMISSIONS</w:t>
      </w:r>
    </w:p>
    <w:p w:rsidR="00C24D16" w:rsidRPr="00A83111" w:rsidRDefault="00C24D16" w:rsidP="009034EF">
      <w:pPr>
        <w:pStyle w:val="Heading2"/>
        <w:keepNext w:val="0"/>
        <w:numPr>
          <w:ilvl w:val="1"/>
          <w:numId w:val="10"/>
        </w:numPr>
        <w:spacing w:line="360" w:lineRule="auto"/>
        <w:jc w:val="both"/>
      </w:pPr>
      <w:r w:rsidRPr="00A83111">
        <w:t>In accordance with DCUSA clause 11.14.6, the Working Group assessed whether there would be a material impact on gre</w:t>
      </w:r>
      <w:r>
        <w:t>enhouse gas emissions if DCP 167 or DCP 167A</w:t>
      </w:r>
      <w:r w:rsidRPr="00A83111">
        <w:t xml:space="preserve"> were implemented.  The W</w:t>
      </w:r>
      <w:r>
        <w:t xml:space="preserve">orking </w:t>
      </w:r>
      <w:r w:rsidRPr="00A83111">
        <w:t>G</w:t>
      </w:r>
      <w:r>
        <w:t>roup</w:t>
      </w:r>
      <w:r w:rsidRPr="00A83111">
        <w:t xml:space="preserve"> did not identify any material impact on greenhouse gas emissions from the implementation of this Change Proposal</w:t>
      </w:r>
      <w:r>
        <w:t>.</w:t>
      </w:r>
    </w:p>
    <w:p w:rsidR="00C24D16" w:rsidRPr="00AF42D4" w:rsidRDefault="00C24D16" w:rsidP="00270B31">
      <w:pPr>
        <w:pStyle w:val="Heading1"/>
        <w:keepNext w:val="0"/>
        <w:numPr>
          <w:ilvl w:val="0"/>
          <w:numId w:val="10"/>
        </w:numPr>
        <w:spacing w:line="360" w:lineRule="auto"/>
        <w:ind w:left="709" w:hanging="709"/>
        <w:jc w:val="both"/>
        <w:rPr>
          <w:bCs w:val="0"/>
        </w:rPr>
      </w:pPr>
      <w:r w:rsidRPr="00AF42D4">
        <w:rPr>
          <w:bCs w:val="0"/>
        </w:rPr>
        <w:t>IMPLEMENTATION</w:t>
      </w:r>
    </w:p>
    <w:p w:rsidR="00C24D16" w:rsidRPr="00342B85" w:rsidRDefault="00C24D16" w:rsidP="009034EF">
      <w:pPr>
        <w:pStyle w:val="Heading2"/>
        <w:keepNext w:val="0"/>
        <w:numPr>
          <w:ilvl w:val="1"/>
          <w:numId w:val="10"/>
        </w:numPr>
        <w:spacing w:line="360" w:lineRule="auto"/>
        <w:jc w:val="both"/>
      </w:pPr>
      <w:r w:rsidRPr="00342B85">
        <w:t>Subject to Party approval, DCP 1</w:t>
      </w:r>
      <w:r>
        <w:t>67 or DCP 167A</w:t>
      </w:r>
      <w:r w:rsidRPr="00342B85">
        <w:t xml:space="preserve"> will be implemented </w:t>
      </w:r>
      <w:r>
        <w:t>in the next DCUSA release following Authority consent.</w:t>
      </w:r>
    </w:p>
    <w:p w:rsidR="00C24D16" w:rsidRPr="00342B85" w:rsidRDefault="00C24D16" w:rsidP="00270B31">
      <w:pPr>
        <w:pStyle w:val="Heading1"/>
        <w:keepNext w:val="0"/>
        <w:numPr>
          <w:ilvl w:val="0"/>
          <w:numId w:val="10"/>
        </w:numPr>
        <w:spacing w:line="360" w:lineRule="auto"/>
        <w:ind w:left="709" w:hanging="709"/>
        <w:jc w:val="both"/>
      </w:pPr>
      <w:r w:rsidRPr="00342B85">
        <w:t>PANEL RECOMMENDATION</w:t>
      </w:r>
    </w:p>
    <w:p w:rsidR="00C24D16" w:rsidRDefault="00C24D16" w:rsidP="00891A0B">
      <w:pPr>
        <w:pStyle w:val="Heading2"/>
        <w:numPr>
          <w:ilvl w:val="1"/>
          <w:numId w:val="10"/>
        </w:numPr>
        <w:spacing w:line="360" w:lineRule="auto"/>
        <w:jc w:val="both"/>
      </w:pPr>
      <w:r w:rsidRPr="0076441A">
        <w:t xml:space="preserve">The DCUSA Panel approved </w:t>
      </w:r>
      <w:r>
        <w:t xml:space="preserve">the DCP 167 and DCP 167A Change Report </w:t>
      </w:r>
      <w:r w:rsidRPr="0076441A">
        <w:t>on</w:t>
      </w:r>
      <w:r>
        <w:t xml:space="preserve"> </w:t>
      </w:r>
      <w:r w:rsidR="001F2238">
        <w:t>21 May 2014</w:t>
      </w:r>
      <w:r w:rsidRPr="0076441A">
        <w:t xml:space="preserve">. </w:t>
      </w:r>
      <w:r w:rsidRPr="00342B85">
        <w:t>The timetable for the progression of the C</w:t>
      </w:r>
      <w:r>
        <w:t>Ps is</w:t>
      </w:r>
      <w:r w:rsidRPr="00342B85">
        <w:t xml:space="preserve"> set out below:</w:t>
      </w:r>
    </w:p>
    <w:tbl>
      <w:tblPr>
        <w:tblW w:w="0" w:type="auto"/>
        <w:jc w:val="center"/>
        <w:tblInd w:w="-652"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739"/>
        <w:gridCol w:w="3516"/>
      </w:tblGrid>
      <w:tr w:rsidR="001F2238" w:rsidRPr="001F2238" w:rsidTr="00C64038">
        <w:trPr>
          <w:jc w:val="center"/>
        </w:trPr>
        <w:tc>
          <w:tcPr>
            <w:tcW w:w="3739" w:type="dxa"/>
            <w:tcBorders>
              <w:top w:val="single" w:sz="4" w:space="0" w:color="auto"/>
            </w:tcBorders>
            <w:shd w:val="clear" w:color="auto" w:fill="E6E6E6"/>
            <w:tcMar>
              <w:top w:w="0" w:type="dxa"/>
              <w:left w:w="108" w:type="dxa"/>
              <w:bottom w:w="0" w:type="dxa"/>
              <w:right w:w="108" w:type="dxa"/>
            </w:tcMar>
          </w:tcPr>
          <w:p w:rsidR="001F2238" w:rsidRPr="001F2238" w:rsidRDefault="001F2238" w:rsidP="001F2238">
            <w:pPr>
              <w:spacing w:line="360" w:lineRule="auto"/>
              <w:jc w:val="both"/>
              <w:rPr>
                <w:rFonts w:ascii="Verdana" w:hAnsi="Verdana" w:cs="Tahoma"/>
                <w:b/>
                <w:sz w:val="20"/>
                <w:szCs w:val="20"/>
              </w:rPr>
            </w:pPr>
            <w:r w:rsidRPr="001F2238">
              <w:rPr>
                <w:rFonts w:ascii="Verdana" w:hAnsi="Verdana" w:cs="Tahoma"/>
                <w:b/>
                <w:sz w:val="20"/>
                <w:szCs w:val="20"/>
              </w:rPr>
              <w:t xml:space="preserve">Activity </w:t>
            </w:r>
          </w:p>
        </w:tc>
        <w:tc>
          <w:tcPr>
            <w:tcW w:w="3516" w:type="dxa"/>
            <w:tcBorders>
              <w:top w:val="single" w:sz="4" w:space="0" w:color="auto"/>
            </w:tcBorders>
            <w:shd w:val="clear" w:color="auto" w:fill="E6E6E6"/>
            <w:tcMar>
              <w:top w:w="0" w:type="dxa"/>
              <w:left w:w="108" w:type="dxa"/>
              <w:bottom w:w="0" w:type="dxa"/>
              <w:right w:w="108" w:type="dxa"/>
            </w:tcMar>
          </w:tcPr>
          <w:p w:rsidR="001F2238" w:rsidRPr="001F2238" w:rsidRDefault="001F2238" w:rsidP="001F2238">
            <w:pPr>
              <w:spacing w:line="360" w:lineRule="auto"/>
              <w:jc w:val="both"/>
              <w:rPr>
                <w:rFonts w:ascii="Verdana" w:hAnsi="Verdana" w:cs="Tahoma"/>
                <w:b/>
                <w:sz w:val="20"/>
                <w:szCs w:val="20"/>
              </w:rPr>
            </w:pPr>
            <w:r w:rsidRPr="001F2238">
              <w:rPr>
                <w:rFonts w:ascii="Verdana" w:hAnsi="Verdana" w:cs="Tahoma"/>
                <w:b/>
                <w:sz w:val="20"/>
                <w:szCs w:val="20"/>
              </w:rPr>
              <w:t>Target Date</w:t>
            </w:r>
          </w:p>
        </w:tc>
      </w:tr>
      <w:tr w:rsidR="001F2238" w:rsidRPr="001F2238" w:rsidTr="00C64038">
        <w:trPr>
          <w:jc w:val="center"/>
        </w:trPr>
        <w:tc>
          <w:tcPr>
            <w:tcW w:w="3739" w:type="dxa"/>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rPr>
            </w:pPr>
            <w:r w:rsidRPr="001F2238">
              <w:rPr>
                <w:rFonts w:ascii="Verdana" w:hAnsi="Verdana" w:cs="Tahoma"/>
                <w:sz w:val="20"/>
                <w:szCs w:val="20"/>
              </w:rPr>
              <w:t>Change Report Agreed</w:t>
            </w:r>
          </w:p>
        </w:tc>
        <w:tc>
          <w:tcPr>
            <w:tcW w:w="3516" w:type="dxa"/>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highlight w:val="yellow"/>
              </w:rPr>
            </w:pPr>
            <w:r w:rsidRPr="001F2238">
              <w:rPr>
                <w:rFonts w:ascii="Verdana" w:hAnsi="Verdana" w:cs="Tahoma"/>
                <w:sz w:val="20"/>
                <w:szCs w:val="20"/>
              </w:rPr>
              <w:t>21 May 2014</w:t>
            </w:r>
          </w:p>
        </w:tc>
      </w:tr>
      <w:tr w:rsidR="001F2238" w:rsidRPr="001F2238" w:rsidTr="00C64038">
        <w:trPr>
          <w:jc w:val="center"/>
        </w:trPr>
        <w:tc>
          <w:tcPr>
            <w:tcW w:w="3739" w:type="dxa"/>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rPr>
            </w:pPr>
            <w:r w:rsidRPr="001F2238">
              <w:rPr>
                <w:rFonts w:ascii="Verdana" w:hAnsi="Verdana" w:cs="Tahoma"/>
                <w:sz w:val="20"/>
                <w:szCs w:val="20"/>
              </w:rPr>
              <w:t>Change Report Issued For Voting</w:t>
            </w:r>
          </w:p>
        </w:tc>
        <w:tc>
          <w:tcPr>
            <w:tcW w:w="3516" w:type="dxa"/>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rPr>
            </w:pPr>
            <w:r w:rsidRPr="001F2238">
              <w:rPr>
                <w:rFonts w:ascii="Verdana" w:hAnsi="Verdana" w:cs="Tahoma"/>
                <w:sz w:val="20"/>
                <w:szCs w:val="20"/>
              </w:rPr>
              <w:t>23 May 2014</w:t>
            </w:r>
          </w:p>
        </w:tc>
      </w:tr>
      <w:tr w:rsidR="001F2238" w:rsidRPr="001F2238" w:rsidTr="00C64038">
        <w:trPr>
          <w:jc w:val="center"/>
        </w:trPr>
        <w:tc>
          <w:tcPr>
            <w:tcW w:w="3739" w:type="dxa"/>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rPr>
            </w:pPr>
            <w:r w:rsidRPr="001F2238">
              <w:rPr>
                <w:rFonts w:ascii="Verdana" w:hAnsi="Verdana" w:cs="Tahoma"/>
                <w:sz w:val="20"/>
                <w:szCs w:val="20"/>
              </w:rPr>
              <w:t>Party Voting Ends</w:t>
            </w:r>
          </w:p>
        </w:tc>
        <w:tc>
          <w:tcPr>
            <w:tcW w:w="3516" w:type="dxa"/>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highlight w:val="yellow"/>
              </w:rPr>
            </w:pPr>
            <w:r w:rsidRPr="001F2238">
              <w:rPr>
                <w:rFonts w:ascii="Verdana" w:hAnsi="Verdana" w:cs="Tahoma"/>
                <w:sz w:val="20"/>
                <w:szCs w:val="20"/>
              </w:rPr>
              <w:t>06 June 2014</w:t>
            </w:r>
          </w:p>
        </w:tc>
      </w:tr>
      <w:tr w:rsidR="001F2238" w:rsidRPr="001F2238" w:rsidTr="00C64038">
        <w:trPr>
          <w:jc w:val="center"/>
        </w:trPr>
        <w:tc>
          <w:tcPr>
            <w:tcW w:w="3739" w:type="dxa"/>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rPr>
            </w:pPr>
            <w:r w:rsidRPr="001F2238">
              <w:rPr>
                <w:rFonts w:ascii="Verdana" w:hAnsi="Verdana" w:cs="Tahoma"/>
                <w:sz w:val="20"/>
                <w:szCs w:val="20"/>
              </w:rPr>
              <w:t>Change Declaration Issued</w:t>
            </w:r>
          </w:p>
          <w:p w:rsidR="001F2238" w:rsidRPr="001F2238" w:rsidRDefault="001F2238" w:rsidP="001F2238">
            <w:pPr>
              <w:rPr>
                <w:rFonts w:ascii="Verdana" w:hAnsi="Verdana" w:cs="Tahoma"/>
                <w:sz w:val="20"/>
                <w:szCs w:val="20"/>
              </w:rPr>
            </w:pPr>
            <w:r w:rsidRPr="001F2238">
              <w:rPr>
                <w:rFonts w:ascii="Verdana" w:hAnsi="Verdana" w:cs="Tahoma"/>
                <w:sz w:val="20"/>
                <w:szCs w:val="20"/>
              </w:rPr>
              <w:t>Authority Decision</w:t>
            </w:r>
            <w:r w:rsidRPr="001F2238">
              <w:rPr>
                <w:rFonts w:ascii="Verdana" w:hAnsi="Verdana"/>
                <w:sz w:val="20"/>
                <w:szCs w:val="20"/>
                <w:vertAlign w:val="superscript"/>
              </w:rPr>
              <w:footnoteReference w:id="4"/>
            </w:r>
          </w:p>
        </w:tc>
        <w:tc>
          <w:tcPr>
            <w:tcW w:w="3516" w:type="dxa"/>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rPr>
            </w:pPr>
            <w:r w:rsidRPr="001F2238">
              <w:rPr>
                <w:rFonts w:ascii="Verdana" w:hAnsi="Verdana" w:cs="Tahoma"/>
                <w:sz w:val="20"/>
                <w:szCs w:val="20"/>
              </w:rPr>
              <w:t>10 June 2014</w:t>
            </w:r>
          </w:p>
          <w:p w:rsidR="001F2238" w:rsidRPr="001F2238" w:rsidRDefault="001F2238" w:rsidP="001F2238">
            <w:pPr>
              <w:spacing w:line="360" w:lineRule="auto"/>
              <w:jc w:val="both"/>
              <w:rPr>
                <w:rFonts w:ascii="Verdana" w:hAnsi="Verdana" w:cs="Tahoma"/>
                <w:sz w:val="20"/>
                <w:szCs w:val="20"/>
                <w:highlight w:val="yellow"/>
              </w:rPr>
            </w:pPr>
            <w:r w:rsidRPr="001F2238">
              <w:rPr>
                <w:rFonts w:ascii="Verdana" w:hAnsi="Verdana" w:cs="Tahoma"/>
                <w:sz w:val="20"/>
                <w:szCs w:val="20"/>
              </w:rPr>
              <w:t>15 July 2014</w:t>
            </w:r>
          </w:p>
        </w:tc>
      </w:tr>
      <w:tr w:rsidR="001F2238" w:rsidRPr="001F2238" w:rsidTr="00C64038">
        <w:trPr>
          <w:jc w:val="center"/>
        </w:trPr>
        <w:tc>
          <w:tcPr>
            <w:tcW w:w="3739" w:type="dxa"/>
            <w:tcBorders>
              <w:bottom w:val="single" w:sz="4" w:space="0" w:color="auto"/>
            </w:tcBorders>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rPr>
            </w:pPr>
            <w:r w:rsidRPr="001F2238">
              <w:rPr>
                <w:rFonts w:ascii="Verdana" w:hAnsi="Verdana" w:cs="Tahoma"/>
                <w:sz w:val="20"/>
                <w:szCs w:val="20"/>
              </w:rPr>
              <w:t>Implementation</w:t>
            </w:r>
            <w:r w:rsidRPr="001F2238">
              <w:rPr>
                <w:rFonts w:ascii="Verdana" w:hAnsi="Verdana"/>
                <w:sz w:val="20"/>
                <w:szCs w:val="20"/>
                <w:vertAlign w:val="superscript"/>
              </w:rPr>
              <w:footnoteReference w:id="5"/>
            </w:r>
          </w:p>
        </w:tc>
        <w:tc>
          <w:tcPr>
            <w:tcW w:w="3516" w:type="dxa"/>
            <w:tcBorders>
              <w:bottom w:val="single" w:sz="4" w:space="0" w:color="auto"/>
            </w:tcBorders>
            <w:tcMar>
              <w:top w:w="0" w:type="dxa"/>
              <w:left w:w="108" w:type="dxa"/>
              <w:bottom w:w="0" w:type="dxa"/>
              <w:right w:w="108" w:type="dxa"/>
            </w:tcMar>
          </w:tcPr>
          <w:p w:rsidR="001F2238" w:rsidRPr="001F2238" w:rsidRDefault="001F2238" w:rsidP="001F2238">
            <w:pPr>
              <w:spacing w:line="360" w:lineRule="auto"/>
              <w:jc w:val="both"/>
              <w:rPr>
                <w:rFonts w:ascii="Verdana" w:hAnsi="Verdana" w:cs="Tahoma"/>
                <w:sz w:val="20"/>
                <w:szCs w:val="20"/>
                <w:highlight w:val="yellow"/>
              </w:rPr>
            </w:pPr>
            <w:r w:rsidRPr="001F2238">
              <w:rPr>
                <w:rFonts w:ascii="Verdana" w:hAnsi="Verdana"/>
                <w:sz w:val="20"/>
                <w:szCs w:val="20"/>
              </w:rPr>
              <w:t>Next DCUSA Release following  Authority Consent</w:t>
            </w:r>
          </w:p>
        </w:tc>
      </w:tr>
    </w:tbl>
    <w:p w:rsidR="001F2238" w:rsidRDefault="001F2238" w:rsidP="001F2238"/>
    <w:p w:rsidR="00C24D16" w:rsidRPr="00342B85" w:rsidRDefault="00C24D16" w:rsidP="00AD65FD">
      <w:pPr>
        <w:pStyle w:val="Heading1"/>
        <w:numPr>
          <w:ilvl w:val="0"/>
          <w:numId w:val="10"/>
        </w:numPr>
        <w:spacing w:line="360" w:lineRule="auto"/>
        <w:ind w:left="709" w:hanging="709"/>
        <w:jc w:val="both"/>
      </w:pPr>
      <w:r w:rsidRPr="00342B85">
        <w:t>A</w:t>
      </w:r>
      <w:r>
        <w:t>TTACHMENTS</w:t>
      </w:r>
      <w:r w:rsidRPr="00342B85">
        <w:t xml:space="preserve">: </w:t>
      </w:r>
    </w:p>
    <w:p w:rsidR="00C24D16" w:rsidRDefault="00C24D16" w:rsidP="00AD65FD">
      <w:pPr>
        <w:pStyle w:val="Heading1"/>
        <w:numPr>
          <w:ilvl w:val="0"/>
          <w:numId w:val="6"/>
        </w:numPr>
        <w:spacing w:line="360" w:lineRule="auto"/>
        <w:jc w:val="both"/>
        <w:rPr>
          <w:b w:val="0"/>
        </w:rPr>
      </w:pPr>
      <w:r w:rsidRPr="00342B85">
        <w:rPr>
          <w:b w:val="0"/>
        </w:rPr>
        <w:t>A</w:t>
      </w:r>
      <w:r>
        <w:rPr>
          <w:b w:val="0"/>
        </w:rPr>
        <w:t>ttachment 1 – DCP 167 Voting Form</w:t>
      </w:r>
    </w:p>
    <w:p w:rsidR="00C24D16" w:rsidRDefault="00C24D16" w:rsidP="00AD65FD">
      <w:pPr>
        <w:pStyle w:val="Heading1"/>
        <w:numPr>
          <w:ilvl w:val="0"/>
          <w:numId w:val="6"/>
        </w:numPr>
        <w:spacing w:line="360" w:lineRule="auto"/>
        <w:jc w:val="both"/>
        <w:rPr>
          <w:b w:val="0"/>
        </w:rPr>
      </w:pPr>
      <w:r>
        <w:rPr>
          <w:b w:val="0"/>
        </w:rPr>
        <w:t>Attachment 2 – DCP 167 Proposed Legal Text</w:t>
      </w:r>
    </w:p>
    <w:p w:rsidR="00474FC7" w:rsidRPr="00474FC7" w:rsidRDefault="00474FC7" w:rsidP="00474FC7">
      <w:pPr>
        <w:pStyle w:val="Heading1"/>
        <w:numPr>
          <w:ilvl w:val="0"/>
          <w:numId w:val="6"/>
        </w:numPr>
        <w:spacing w:line="360" w:lineRule="auto"/>
        <w:jc w:val="both"/>
        <w:rPr>
          <w:b w:val="0"/>
        </w:rPr>
      </w:pPr>
      <w:r w:rsidRPr="00474FC7">
        <w:rPr>
          <w:b w:val="0"/>
        </w:rPr>
        <w:t>Attachment 2 –DCP 167A Legal Text</w:t>
      </w:r>
    </w:p>
    <w:p w:rsidR="00C24D16" w:rsidRDefault="00C24D16" w:rsidP="00AD65FD">
      <w:pPr>
        <w:pStyle w:val="Heading1"/>
        <w:numPr>
          <w:ilvl w:val="0"/>
          <w:numId w:val="6"/>
        </w:numPr>
        <w:spacing w:line="360" w:lineRule="auto"/>
        <w:jc w:val="both"/>
        <w:rPr>
          <w:b w:val="0"/>
        </w:rPr>
      </w:pPr>
      <w:r>
        <w:rPr>
          <w:b w:val="0"/>
        </w:rPr>
        <w:t>Attachment 3 - DCP 167 Change Proposal</w:t>
      </w:r>
    </w:p>
    <w:p w:rsidR="00C24D16" w:rsidRPr="00272FDD" w:rsidRDefault="00C24D16" w:rsidP="00272FDD">
      <w:pPr>
        <w:pStyle w:val="Heading1"/>
        <w:numPr>
          <w:ilvl w:val="0"/>
          <w:numId w:val="6"/>
        </w:numPr>
        <w:spacing w:line="360" w:lineRule="auto"/>
        <w:jc w:val="both"/>
        <w:rPr>
          <w:b w:val="0"/>
        </w:rPr>
      </w:pPr>
      <w:r>
        <w:rPr>
          <w:b w:val="0"/>
        </w:rPr>
        <w:t>Attachment 3 –DCP 167A</w:t>
      </w:r>
      <w:r w:rsidRPr="00272FDD">
        <w:rPr>
          <w:b w:val="0"/>
        </w:rPr>
        <w:t xml:space="preserve"> Change Proposal</w:t>
      </w:r>
    </w:p>
    <w:p w:rsidR="00C24D16" w:rsidRDefault="00C24D16" w:rsidP="00AD65FD">
      <w:pPr>
        <w:pStyle w:val="Heading1"/>
        <w:numPr>
          <w:ilvl w:val="0"/>
          <w:numId w:val="6"/>
        </w:numPr>
        <w:spacing w:line="360" w:lineRule="auto"/>
        <w:jc w:val="both"/>
        <w:rPr>
          <w:b w:val="0"/>
        </w:rPr>
      </w:pPr>
      <w:r>
        <w:rPr>
          <w:b w:val="0"/>
        </w:rPr>
        <w:t>Attachment 4 – DCP 167 Consultation Documents</w:t>
      </w:r>
    </w:p>
    <w:p w:rsidR="00C24D16" w:rsidRPr="00342B85" w:rsidRDefault="00C24D16" w:rsidP="00342B85">
      <w:pPr>
        <w:jc w:val="both"/>
        <w:rPr>
          <w:rFonts w:ascii="Verdana" w:hAnsi="Verdana" w:cs="Arial"/>
          <w:sz w:val="20"/>
          <w:szCs w:val="20"/>
        </w:rPr>
      </w:pPr>
    </w:p>
    <w:sectPr w:rsidR="00C24D16" w:rsidRPr="00342B85" w:rsidSect="003106F0">
      <w:headerReference w:type="default" r:id="rId12"/>
      <w:footerReference w:type="default" r:id="rId13"/>
      <w:pgSz w:w="11906" w:h="16838"/>
      <w:pgMar w:top="1440" w:right="1700" w:bottom="1440"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grath, Neil" w:date="2014-05-23T13:46:00Z" w:initials="MN">
    <w:p w:rsidR="00443430" w:rsidRDefault="00443430">
      <w:pPr>
        <w:pStyle w:val="CommentText"/>
      </w:pPr>
      <w:r>
        <w:rPr>
          <w:rStyle w:val="CommentReference"/>
        </w:rPr>
        <w:annotationRef/>
      </w:r>
      <w:r>
        <w:t xml:space="preserve">I can’t see this change in the Legal Text? - NM </w:t>
      </w:r>
    </w:p>
  </w:comment>
  <w:comment w:id="3" w:author="hynesc" w:date="2014-05-07T18:01:00Z" w:initials="h">
    <w:p w:rsidR="003C4B41" w:rsidRDefault="003C4B41">
      <w:pPr>
        <w:pStyle w:val="CommentText"/>
      </w:pPr>
      <w:bookmarkStart w:id="5" w:name="_GoBack"/>
      <w:r>
        <w:rPr>
          <w:rStyle w:val="CommentReference"/>
        </w:rPr>
        <w:annotationRef/>
      </w:r>
      <w:r>
        <w:t>Hi Bob, Please review the drafting of the Alternate Change Proposal section and feel free to modify any of the sections required.</w:t>
      </w:r>
    </w:p>
    <w:bookmarkEnd w:id="5"/>
  </w:comment>
  <w:comment w:id="4" w:author="hynesc" w:date="2014-05-07T17:55:00Z" w:initials="h">
    <w:p w:rsidR="0018502E" w:rsidRDefault="0018502E">
      <w:pPr>
        <w:pStyle w:val="CommentText"/>
      </w:pPr>
      <w:r>
        <w:rPr>
          <w:rStyle w:val="CommentReference"/>
        </w:rPr>
        <w:annotationRef/>
      </w:r>
      <w:r>
        <w:t>Hi Bob, In the DCP 167 consultation there was a suggestion that you would coin a load transfer reinforcement and conventional reinforcement definition which I have noticed is not in the legal text. Please advise whether this is a change you wish to incorporate in the DCP 167A legal text before it is issued.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0E5" w:rsidRDefault="00DD30E5">
      <w:r>
        <w:separator/>
      </w:r>
    </w:p>
  </w:endnote>
  <w:endnote w:type="continuationSeparator" w:id="0">
    <w:p w:rsidR="00DD30E5" w:rsidRDefault="00DD3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D16" w:rsidRPr="003D26C2" w:rsidRDefault="001F2238">
    <w:pPr>
      <w:pStyle w:val="Footer"/>
      <w:rPr>
        <w:rFonts w:ascii="Verdana" w:hAnsi="Verdana"/>
        <w:sz w:val="16"/>
        <w:szCs w:val="16"/>
      </w:rPr>
    </w:pPr>
    <w:r>
      <w:rPr>
        <w:rFonts w:ascii="Verdana" w:hAnsi="Verdana"/>
        <w:sz w:val="16"/>
        <w:szCs w:val="16"/>
      </w:rPr>
      <w:t xml:space="preserve">23 May </w:t>
    </w:r>
    <w:r w:rsidR="00E05231">
      <w:rPr>
        <w:rFonts w:ascii="Verdana" w:hAnsi="Verdana"/>
        <w:sz w:val="16"/>
        <w:szCs w:val="16"/>
      </w:rPr>
      <w:t>2014</w:t>
    </w:r>
    <w:r w:rsidR="00C24D16" w:rsidRPr="003D26C2">
      <w:rPr>
        <w:rFonts w:ascii="Verdana" w:hAnsi="Verdana"/>
        <w:sz w:val="16"/>
        <w:szCs w:val="16"/>
      </w:rPr>
      <w:t xml:space="preserve"> </w:t>
    </w:r>
    <w:r w:rsidR="00C24D16">
      <w:rPr>
        <w:rFonts w:ascii="Verdana" w:hAnsi="Verdana"/>
        <w:sz w:val="16"/>
        <w:szCs w:val="16"/>
      </w:rPr>
      <w:tab/>
    </w:r>
    <w:r w:rsidR="00C24D16" w:rsidRPr="002B045C">
      <w:rPr>
        <w:rFonts w:ascii="Verdana" w:hAnsi="Verdana"/>
        <w:sz w:val="16"/>
        <w:szCs w:val="16"/>
      </w:rPr>
      <w:t xml:space="preserve">Page </w:t>
    </w:r>
    <w:r w:rsidR="00C24D16" w:rsidRPr="002B045C">
      <w:rPr>
        <w:rFonts w:ascii="Verdana" w:hAnsi="Verdana"/>
        <w:sz w:val="16"/>
        <w:szCs w:val="16"/>
      </w:rPr>
      <w:fldChar w:fldCharType="begin"/>
    </w:r>
    <w:r w:rsidR="00C24D16" w:rsidRPr="002B045C">
      <w:rPr>
        <w:rFonts w:ascii="Verdana" w:hAnsi="Verdana"/>
        <w:sz w:val="16"/>
        <w:szCs w:val="16"/>
      </w:rPr>
      <w:instrText xml:space="preserve"> PAGE </w:instrText>
    </w:r>
    <w:r w:rsidR="00C24D16" w:rsidRPr="002B045C">
      <w:rPr>
        <w:rFonts w:ascii="Verdana" w:hAnsi="Verdana"/>
        <w:sz w:val="16"/>
        <w:szCs w:val="16"/>
      </w:rPr>
      <w:fldChar w:fldCharType="separate"/>
    </w:r>
    <w:r w:rsidR="00A756AC">
      <w:rPr>
        <w:rFonts w:ascii="Verdana" w:hAnsi="Verdana"/>
        <w:noProof/>
        <w:sz w:val="16"/>
        <w:szCs w:val="16"/>
      </w:rPr>
      <w:t>1</w:t>
    </w:r>
    <w:r w:rsidR="00C24D16" w:rsidRPr="002B045C">
      <w:rPr>
        <w:rFonts w:ascii="Verdana" w:hAnsi="Verdana"/>
        <w:sz w:val="16"/>
        <w:szCs w:val="16"/>
      </w:rPr>
      <w:fldChar w:fldCharType="end"/>
    </w:r>
    <w:r w:rsidR="00C24D16" w:rsidRPr="002B045C">
      <w:rPr>
        <w:rFonts w:ascii="Verdana" w:hAnsi="Verdana"/>
        <w:sz w:val="16"/>
        <w:szCs w:val="16"/>
      </w:rPr>
      <w:t xml:space="preserve"> of </w:t>
    </w:r>
    <w:r w:rsidR="00C24D16" w:rsidRPr="002B045C">
      <w:rPr>
        <w:rFonts w:ascii="Verdana" w:hAnsi="Verdana"/>
        <w:sz w:val="16"/>
        <w:szCs w:val="16"/>
      </w:rPr>
      <w:fldChar w:fldCharType="begin"/>
    </w:r>
    <w:r w:rsidR="00C24D16" w:rsidRPr="002B045C">
      <w:rPr>
        <w:rFonts w:ascii="Verdana" w:hAnsi="Verdana"/>
        <w:sz w:val="16"/>
        <w:szCs w:val="16"/>
      </w:rPr>
      <w:instrText xml:space="preserve"> NUMPAGES </w:instrText>
    </w:r>
    <w:r w:rsidR="00C24D16" w:rsidRPr="002B045C">
      <w:rPr>
        <w:rFonts w:ascii="Verdana" w:hAnsi="Verdana"/>
        <w:sz w:val="16"/>
        <w:szCs w:val="16"/>
      </w:rPr>
      <w:fldChar w:fldCharType="separate"/>
    </w:r>
    <w:r w:rsidR="00A756AC">
      <w:rPr>
        <w:rFonts w:ascii="Verdana" w:hAnsi="Verdana"/>
        <w:noProof/>
        <w:sz w:val="16"/>
        <w:szCs w:val="16"/>
      </w:rPr>
      <w:t>25</w:t>
    </w:r>
    <w:r w:rsidR="00C24D16" w:rsidRPr="002B045C">
      <w:rPr>
        <w:rFonts w:ascii="Verdana" w:hAnsi="Verdana"/>
        <w:sz w:val="16"/>
        <w:szCs w:val="16"/>
      </w:rPr>
      <w:fldChar w:fldCharType="end"/>
    </w:r>
    <w:r w:rsidR="00C24D16">
      <w:rPr>
        <w:rFonts w:ascii="Verdana" w:hAnsi="Verdana"/>
        <w:sz w:val="16"/>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0E5" w:rsidRDefault="00DD30E5">
      <w:r>
        <w:separator/>
      </w:r>
    </w:p>
  </w:footnote>
  <w:footnote w:type="continuationSeparator" w:id="0">
    <w:p w:rsidR="00DD30E5" w:rsidRDefault="00DD30E5">
      <w:r>
        <w:continuationSeparator/>
      </w:r>
    </w:p>
  </w:footnote>
  <w:footnote w:id="1">
    <w:p w:rsidR="00C24D16" w:rsidRDefault="00C24D16">
      <w:pPr>
        <w:pStyle w:val="FootnoteText"/>
      </w:pPr>
      <w:r>
        <w:rPr>
          <w:rStyle w:val="FootnoteReference"/>
        </w:rPr>
        <w:footnoteRef/>
      </w:r>
      <w:r>
        <w:t xml:space="preserve"> </w:t>
      </w:r>
      <w:r>
        <w:rPr>
          <w:rFonts w:ascii="Verdana" w:hAnsi="Verdana"/>
          <w:sz w:val="16"/>
          <w:szCs w:val="16"/>
        </w:rPr>
        <w:t>D</w:t>
      </w:r>
      <w:r w:rsidRPr="001542D8">
        <w:rPr>
          <w:rFonts w:ascii="Verdana" w:hAnsi="Verdana"/>
          <w:sz w:val="16"/>
          <w:szCs w:val="16"/>
        </w:rPr>
        <w:t>CP</w:t>
      </w:r>
      <w:r>
        <w:rPr>
          <w:rFonts w:ascii="Verdana" w:hAnsi="Verdana"/>
          <w:sz w:val="16"/>
          <w:szCs w:val="16"/>
        </w:rPr>
        <w:t xml:space="preserve"> 167</w:t>
      </w:r>
      <w:r w:rsidRPr="001542D8">
        <w:rPr>
          <w:rFonts w:ascii="Verdana" w:hAnsi="Verdana"/>
          <w:sz w:val="16"/>
          <w:szCs w:val="16"/>
        </w:rPr>
        <w:t xml:space="preserve"> has been classified as a Part 1 matter in accordance with Clause 9.5.5 as it is likely to amend the </w:t>
      </w:r>
      <w:r>
        <w:rPr>
          <w:rFonts w:ascii="Verdana" w:hAnsi="Verdana"/>
          <w:sz w:val="16"/>
          <w:szCs w:val="16"/>
        </w:rPr>
        <w:t>Common Connection Charging Methodology set out in Schedule 22</w:t>
      </w:r>
      <w:r w:rsidRPr="001542D8">
        <w:rPr>
          <w:rFonts w:ascii="Verdana" w:hAnsi="Verdana"/>
          <w:sz w:val="16"/>
          <w:szCs w:val="16"/>
        </w:rPr>
        <w:t xml:space="preserve">. </w:t>
      </w:r>
      <w:r>
        <w:rPr>
          <w:rFonts w:ascii="Verdana" w:hAnsi="Verdana"/>
          <w:sz w:val="16"/>
          <w:szCs w:val="16"/>
        </w:rPr>
        <w:t>Once progressed, the</w:t>
      </w:r>
      <w:r w:rsidRPr="001542D8">
        <w:rPr>
          <w:rFonts w:ascii="Verdana" w:hAnsi="Verdana"/>
          <w:sz w:val="16"/>
          <w:szCs w:val="16"/>
        </w:rPr>
        <w:t xml:space="preserve"> CP will</w:t>
      </w:r>
      <w:r>
        <w:rPr>
          <w:rFonts w:ascii="Verdana" w:hAnsi="Verdana"/>
          <w:sz w:val="16"/>
          <w:szCs w:val="16"/>
        </w:rPr>
        <w:t xml:space="preserve"> </w:t>
      </w:r>
      <w:r w:rsidRPr="001542D8">
        <w:rPr>
          <w:rFonts w:ascii="Verdana" w:hAnsi="Verdana"/>
          <w:sz w:val="16"/>
          <w:szCs w:val="16"/>
        </w:rPr>
        <w:t>require Authority consent.</w:t>
      </w:r>
    </w:p>
  </w:footnote>
  <w:footnote w:id="2">
    <w:p w:rsidR="00E05231" w:rsidRDefault="00E05231">
      <w:pPr>
        <w:pStyle w:val="FootnoteText"/>
      </w:pPr>
      <w:r>
        <w:rPr>
          <w:rStyle w:val="FootnoteReference"/>
        </w:rPr>
        <w:footnoteRef/>
      </w:r>
      <w:r>
        <w:t xml:space="preserve"> </w:t>
      </w:r>
      <w:r w:rsidRPr="008D582F">
        <w:t xml:space="preserve">Example 8D </w:t>
      </w:r>
      <w:r w:rsidRPr="008D582F">
        <w:rPr>
          <w:i/>
        </w:rPr>
        <w:t>‘Connection of housing development with load transfer’</w:t>
      </w:r>
    </w:p>
  </w:footnote>
  <w:footnote w:id="3">
    <w:p w:rsidR="00E654A6" w:rsidRDefault="00E654A6">
      <w:pPr>
        <w:pStyle w:val="FootnoteText"/>
      </w:pPr>
      <w:r>
        <w:rPr>
          <w:rStyle w:val="FootnoteReference"/>
        </w:rPr>
        <w:footnoteRef/>
      </w:r>
      <w:r>
        <w:t xml:space="preserve"> During the course of this CP and the raising of the alternate proposal, one of these Working Group members has retired.</w:t>
      </w:r>
    </w:p>
  </w:footnote>
  <w:footnote w:id="4">
    <w:p w:rsidR="001F2238" w:rsidRDefault="001F2238" w:rsidP="001F2238">
      <w:pPr>
        <w:pStyle w:val="FootnoteText"/>
      </w:pPr>
      <w:r>
        <w:rPr>
          <w:rStyle w:val="FootnoteReference"/>
        </w:rPr>
        <w:footnoteRef/>
      </w:r>
      <w:r>
        <w:t xml:space="preserve"> Indicative decision date based on the 25 Working Day KPI</w:t>
      </w:r>
    </w:p>
  </w:footnote>
  <w:footnote w:id="5">
    <w:p w:rsidR="001F2238" w:rsidRDefault="001F2238" w:rsidP="001F2238">
      <w:pPr>
        <w:pStyle w:val="FootnoteText"/>
      </w:pPr>
      <w:r>
        <w:rPr>
          <w:rStyle w:val="FootnoteReference"/>
        </w:rPr>
        <w:footnoteRef/>
      </w:r>
      <w:r>
        <w:t xml:space="preserve"> Next DCUSA release is the 01 October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D16" w:rsidRPr="003D26C2" w:rsidRDefault="00C24D16">
    <w:pPr>
      <w:pStyle w:val="Header"/>
      <w:rPr>
        <w:rFonts w:ascii="Verdana" w:hAnsi="Verdana"/>
        <w:sz w:val="16"/>
        <w:szCs w:val="16"/>
      </w:rPr>
    </w:pPr>
    <w:r w:rsidRPr="003D26C2">
      <w:rPr>
        <w:rFonts w:ascii="Verdana" w:hAnsi="Verdana"/>
        <w:sz w:val="16"/>
        <w:szCs w:val="16"/>
      </w:rPr>
      <w:t xml:space="preserve">DCP </w:t>
    </w:r>
    <w:r>
      <w:rPr>
        <w:rFonts w:ascii="Verdana" w:hAnsi="Verdana"/>
        <w:sz w:val="16"/>
        <w:szCs w:val="16"/>
      </w:rPr>
      <w:t>167</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nsid w:val="0152531E"/>
    <w:multiLevelType w:val="hybridMultilevel"/>
    <w:tmpl w:val="5ECAC97A"/>
    <w:lvl w:ilvl="0" w:tplc="0409000F">
      <w:start w:val="1"/>
      <w:numFmt w:val="decimal"/>
      <w:lvlText w:val="%1."/>
      <w:lvlJc w:val="left"/>
      <w:pPr>
        <w:ind w:left="862" w:hanging="360"/>
      </w:pPr>
      <w:rPr>
        <w:rFonts w:cs="Times New Roman"/>
      </w:rPr>
    </w:lvl>
    <w:lvl w:ilvl="1" w:tplc="04090019" w:tentative="1">
      <w:start w:val="1"/>
      <w:numFmt w:val="lowerLetter"/>
      <w:lvlText w:val="%2."/>
      <w:lvlJc w:val="left"/>
      <w:pPr>
        <w:ind w:left="1582" w:hanging="360"/>
      </w:pPr>
      <w:rPr>
        <w:rFonts w:cs="Times New Roman"/>
      </w:rPr>
    </w:lvl>
    <w:lvl w:ilvl="2" w:tplc="0409001B" w:tentative="1">
      <w:start w:val="1"/>
      <w:numFmt w:val="lowerRoman"/>
      <w:lvlText w:val="%3."/>
      <w:lvlJc w:val="right"/>
      <w:pPr>
        <w:ind w:left="2302" w:hanging="180"/>
      </w:pPr>
      <w:rPr>
        <w:rFonts w:cs="Times New Roman"/>
      </w:rPr>
    </w:lvl>
    <w:lvl w:ilvl="3" w:tplc="0409000F" w:tentative="1">
      <w:start w:val="1"/>
      <w:numFmt w:val="decimal"/>
      <w:lvlText w:val="%4."/>
      <w:lvlJc w:val="left"/>
      <w:pPr>
        <w:ind w:left="3022" w:hanging="360"/>
      </w:pPr>
      <w:rPr>
        <w:rFonts w:cs="Times New Roman"/>
      </w:rPr>
    </w:lvl>
    <w:lvl w:ilvl="4" w:tplc="04090019" w:tentative="1">
      <w:start w:val="1"/>
      <w:numFmt w:val="lowerLetter"/>
      <w:lvlText w:val="%5."/>
      <w:lvlJc w:val="left"/>
      <w:pPr>
        <w:ind w:left="3742" w:hanging="360"/>
      </w:pPr>
      <w:rPr>
        <w:rFonts w:cs="Times New Roman"/>
      </w:rPr>
    </w:lvl>
    <w:lvl w:ilvl="5" w:tplc="0409001B" w:tentative="1">
      <w:start w:val="1"/>
      <w:numFmt w:val="lowerRoman"/>
      <w:lvlText w:val="%6."/>
      <w:lvlJc w:val="right"/>
      <w:pPr>
        <w:ind w:left="4462" w:hanging="180"/>
      </w:pPr>
      <w:rPr>
        <w:rFonts w:cs="Times New Roman"/>
      </w:rPr>
    </w:lvl>
    <w:lvl w:ilvl="6" w:tplc="0409000F" w:tentative="1">
      <w:start w:val="1"/>
      <w:numFmt w:val="decimal"/>
      <w:lvlText w:val="%7."/>
      <w:lvlJc w:val="left"/>
      <w:pPr>
        <w:ind w:left="5182" w:hanging="360"/>
      </w:pPr>
      <w:rPr>
        <w:rFonts w:cs="Times New Roman"/>
      </w:rPr>
    </w:lvl>
    <w:lvl w:ilvl="7" w:tplc="04090019" w:tentative="1">
      <w:start w:val="1"/>
      <w:numFmt w:val="lowerLetter"/>
      <w:lvlText w:val="%8."/>
      <w:lvlJc w:val="left"/>
      <w:pPr>
        <w:ind w:left="5902" w:hanging="360"/>
      </w:pPr>
      <w:rPr>
        <w:rFonts w:cs="Times New Roman"/>
      </w:rPr>
    </w:lvl>
    <w:lvl w:ilvl="8" w:tplc="0409001B" w:tentative="1">
      <w:start w:val="1"/>
      <w:numFmt w:val="lowerRoman"/>
      <w:lvlText w:val="%9."/>
      <w:lvlJc w:val="right"/>
      <w:pPr>
        <w:ind w:left="6622" w:hanging="180"/>
      </w:pPr>
      <w:rPr>
        <w:rFonts w:cs="Times New Roman"/>
      </w:rPr>
    </w:lvl>
  </w:abstractNum>
  <w:abstractNum w:abstractNumId="2">
    <w:nsid w:val="01E67A63"/>
    <w:multiLevelType w:val="hybridMultilevel"/>
    <w:tmpl w:val="D5C8F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E67D0F"/>
    <w:multiLevelType w:val="hybridMultilevel"/>
    <w:tmpl w:val="17B6F9B2"/>
    <w:lvl w:ilvl="0" w:tplc="453C7188">
      <w:start w:val="1"/>
      <w:numFmt w:val="decimal"/>
      <w:lvlText w:val="%1."/>
      <w:lvlJc w:val="left"/>
      <w:pPr>
        <w:ind w:left="360" w:hanging="360"/>
      </w:pPr>
      <w:rPr>
        <w:rFonts w:ascii="Times New Roman" w:hAnsi="Times New Roman" w:cs="Times New Roman" w:hint="default"/>
        <w:b w:val="0"/>
        <w:i w:val="0"/>
        <w:vanish w:val="0"/>
        <w:sz w:val="24"/>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5EF5CDB"/>
    <w:multiLevelType w:val="hybridMultilevel"/>
    <w:tmpl w:val="034A70DE"/>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5">
    <w:nsid w:val="062576C3"/>
    <w:multiLevelType w:val="hybridMultilevel"/>
    <w:tmpl w:val="C18E1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4F6E3B"/>
    <w:multiLevelType w:val="multilevel"/>
    <w:tmpl w:val="00E25180"/>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color w:val="auto"/>
        <w:spacing w:val="0"/>
        <w:w w:val="100"/>
        <w:kern w:val="0"/>
        <w:position w:val="0"/>
        <w:sz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20"/>
        </w:tabs>
        <w:ind w:left="720" w:hanging="720"/>
      </w:pPr>
      <w:rPr>
        <w:rFonts w:cs="Times New Roman" w:hint="default"/>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DF46E30"/>
    <w:multiLevelType w:val="multilevel"/>
    <w:tmpl w:val="766A4F9E"/>
    <w:lvl w:ilvl="0">
      <w:start w:val="1"/>
      <w:numFmt w:val="decimal"/>
      <w:lvlText w:val="%1"/>
      <w:lvlJc w:val="left"/>
      <w:pPr>
        <w:tabs>
          <w:tab w:val="num" w:pos="567"/>
        </w:tabs>
        <w:ind w:left="567" w:hanging="567"/>
      </w:pPr>
      <w:rPr>
        <w:rFonts w:ascii="Calibri" w:hAnsi="Calibri" w:cs="Times New Roman" w:hint="default"/>
        <w:sz w:val="24"/>
      </w:rPr>
    </w:lvl>
    <w:lvl w:ilvl="1">
      <w:start w:val="1"/>
      <w:numFmt w:val="decimal"/>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8">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cs="Times New Roman" w:hint="default"/>
        <w:sz w:val="24"/>
      </w:rPr>
    </w:lvl>
    <w:lvl w:ilvl="1">
      <w:start w:val="1"/>
      <w:numFmt w:val="decimal"/>
      <w:pStyle w:val="GSBodyParawithnumb"/>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9">
    <w:nsid w:val="160D230F"/>
    <w:multiLevelType w:val="hybridMultilevel"/>
    <w:tmpl w:val="60BA3D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nsid w:val="17E26EC9"/>
    <w:multiLevelType w:val="hybridMultilevel"/>
    <w:tmpl w:val="366C3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2033EE"/>
    <w:multiLevelType w:val="hybridMultilevel"/>
    <w:tmpl w:val="7082B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AC32364"/>
    <w:multiLevelType w:val="multilevel"/>
    <w:tmpl w:val="B2D2B492"/>
    <w:lvl w:ilvl="0">
      <w:start w:val="3"/>
      <w:numFmt w:val="decimal"/>
      <w:lvlText w:val="%1"/>
      <w:lvlJc w:val="left"/>
      <w:pPr>
        <w:ind w:left="360" w:hanging="360"/>
      </w:pPr>
      <w:rPr>
        <w:rFonts w:cs="Times New Roman"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35C33A08"/>
    <w:multiLevelType w:val="hybridMultilevel"/>
    <w:tmpl w:val="84A05C6A"/>
    <w:lvl w:ilvl="0" w:tplc="0409000F">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nsid w:val="36592C10"/>
    <w:multiLevelType w:val="hybridMultilevel"/>
    <w:tmpl w:val="BA4472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47333AC0"/>
    <w:multiLevelType w:val="multilevel"/>
    <w:tmpl w:val="C4D00574"/>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Verdana" w:hAnsi="Verdana" w:cs="Times New Roman"/>
        <w:b w:val="0"/>
        <w:bCs w:val="0"/>
        <w:i w:val="0"/>
        <w:iCs w:val="0"/>
        <w:caps w:val="0"/>
        <w:smallCaps w:val="0"/>
        <w:strike w:val="0"/>
        <w:dstrike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nsid w:val="48536298"/>
    <w:multiLevelType w:val="hybridMultilevel"/>
    <w:tmpl w:val="55D6692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nsid w:val="4A1D7001"/>
    <w:multiLevelType w:val="hybridMultilevel"/>
    <w:tmpl w:val="60143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D336815"/>
    <w:multiLevelType w:val="hybridMultilevel"/>
    <w:tmpl w:val="5EFC52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4D585E75"/>
    <w:multiLevelType w:val="hybridMultilevel"/>
    <w:tmpl w:val="E9EEE554"/>
    <w:lvl w:ilvl="0" w:tplc="08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0">
    <w:nsid w:val="4FB17FF0"/>
    <w:multiLevelType w:val="hybridMultilevel"/>
    <w:tmpl w:val="84A05C6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5F67E11"/>
    <w:multiLevelType w:val="hybridMultilevel"/>
    <w:tmpl w:val="54026410"/>
    <w:lvl w:ilvl="0" w:tplc="08090001">
      <w:start w:val="1"/>
      <w:numFmt w:val="bullet"/>
      <w:lvlText w:val=""/>
      <w:lvlJc w:val="left"/>
      <w:pPr>
        <w:ind w:left="360" w:hanging="360"/>
      </w:pPr>
      <w:rPr>
        <w:rFonts w:ascii="Symbol" w:hAnsi="Symbol" w:hint="default"/>
        <w:b w:val="0"/>
        <w:i w:val="0"/>
        <w:vanish w:val="0"/>
        <w:sz w:val="24"/>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3">
    <w:nsid w:val="56275028"/>
    <w:multiLevelType w:val="multilevel"/>
    <w:tmpl w:val="A3B0005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color w:val="auto"/>
        <w:spacing w:val="0"/>
        <w:w w:val="100"/>
        <w:kern w:val="0"/>
        <w:position w:val="0"/>
        <w:sz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720"/>
        </w:tabs>
        <w:ind w:left="720" w:hanging="720"/>
      </w:pPr>
      <w:rPr>
        <w:rFonts w:ascii="Times New Roman" w:hAnsi="Times New Roman" w:cs="Times New Roman" w:hint="default"/>
        <w:b w:val="0"/>
        <w:i w:val="0"/>
        <w:vanish w:val="0"/>
        <w:sz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nsid w:val="58310CE1"/>
    <w:multiLevelType w:val="hybridMultilevel"/>
    <w:tmpl w:val="10387A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5A652106"/>
    <w:multiLevelType w:val="hybridMultilevel"/>
    <w:tmpl w:val="4580B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5A1D84"/>
    <w:multiLevelType w:val="hybridMultilevel"/>
    <w:tmpl w:val="6FD6F564"/>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EF0638D"/>
    <w:multiLevelType w:val="multilevel"/>
    <w:tmpl w:val="C8E0DDEC"/>
    <w:lvl w:ilvl="0">
      <w:start w:val="3"/>
      <w:numFmt w:val="decimal"/>
      <w:lvlText w:val="%1"/>
      <w:lvlJc w:val="left"/>
      <w:pPr>
        <w:ind w:left="360" w:hanging="360"/>
      </w:pPr>
      <w:rPr>
        <w:rFonts w:cs="Times New Roman"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66174B1F"/>
    <w:multiLevelType w:val="hybridMultilevel"/>
    <w:tmpl w:val="7BC495B6"/>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9">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30">
    <w:nsid w:val="6A4E7EAE"/>
    <w:multiLevelType w:val="multilevel"/>
    <w:tmpl w:val="C430FE3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i w:val="0"/>
        <w:color w:val="auto"/>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B516287"/>
    <w:multiLevelType w:val="multilevel"/>
    <w:tmpl w:val="B2D2B492"/>
    <w:lvl w:ilvl="0">
      <w:start w:val="3"/>
      <w:numFmt w:val="decimal"/>
      <w:lvlText w:val="%1"/>
      <w:lvlJc w:val="left"/>
      <w:pPr>
        <w:ind w:left="360" w:hanging="360"/>
      </w:pPr>
      <w:rPr>
        <w:rFonts w:cs="Times New Roman"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6D5B7A3C"/>
    <w:multiLevelType w:val="multilevel"/>
    <w:tmpl w:val="C2CA503C"/>
    <w:lvl w:ilvl="0">
      <w:start w:val="1"/>
      <w:numFmt w:val="decimal"/>
      <w:lvlText w:val="%1."/>
      <w:lvlJc w:val="left"/>
      <w:pPr>
        <w:ind w:left="360" w:hanging="360"/>
      </w:pPr>
      <w:rPr>
        <w:rFonts w:cs="Times New Roman" w:hint="default"/>
      </w:rPr>
    </w:lvl>
    <w:lvl w:ilvl="1">
      <w:start w:val="1"/>
      <w:numFmt w:val="decimal"/>
      <w:lvlText w:val="%1.5"/>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3">
    <w:nsid w:val="6D9B2D9C"/>
    <w:multiLevelType w:val="hybridMultilevel"/>
    <w:tmpl w:val="EE664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485CE2"/>
    <w:multiLevelType w:val="hybridMultilevel"/>
    <w:tmpl w:val="30688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2463946"/>
    <w:multiLevelType w:val="hybridMultilevel"/>
    <w:tmpl w:val="847E4424"/>
    <w:lvl w:ilvl="0" w:tplc="0409001B">
      <w:start w:val="1"/>
      <w:numFmt w:val="lowerRoman"/>
      <w:lvlText w:val="%1."/>
      <w:lvlJc w:val="right"/>
      <w:pPr>
        <w:ind w:left="720" w:hanging="360"/>
      </w:pPr>
      <w:rPr>
        <w:rFonts w:cs="Times New Roman"/>
      </w:rPr>
    </w:lvl>
    <w:lvl w:ilvl="1" w:tplc="0409001B">
      <w:start w:val="1"/>
      <w:numFmt w:val="lowerRoman"/>
      <w:lvlText w:val="%2."/>
      <w:lvlJc w:val="right"/>
      <w:pPr>
        <w:ind w:left="1440" w:hanging="360"/>
      </w:pPr>
      <w:rPr>
        <w:rFonts w:cs="Times New Roman"/>
      </w:rPr>
    </w:lvl>
    <w:lvl w:ilvl="2" w:tplc="0409001B">
      <w:start w:val="1"/>
      <w:numFmt w:val="lowerRoman"/>
      <w:lvlText w:val="%3."/>
      <w:lvlJc w:val="right"/>
      <w:pPr>
        <w:ind w:left="2160" w:hanging="180"/>
      </w:pPr>
      <w:rPr>
        <w:rFonts w:cs="Times New Roman"/>
      </w:rPr>
    </w:lvl>
    <w:lvl w:ilvl="3" w:tplc="91E45A2C">
      <w:start w:val="15"/>
      <w:numFmt w:val="bullet"/>
      <w:lvlText w:val="-"/>
      <w:lvlJc w:val="left"/>
      <w:pPr>
        <w:ind w:left="2880" w:hanging="360"/>
      </w:pPr>
      <w:rPr>
        <w:rFonts w:ascii="Verdana" w:eastAsia="Times New Roman" w:hAnsi="Verdana"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293460C"/>
    <w:multiLevelType w:val="hybridMultilevel"/>
    <w:tmpl w:val="1DDE26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76F56766"/>
    <w:multiLevelType w:val="hybridMultilevel"/>
    <w:tmpl w:val="06A2BD2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nsid w:val="776407DF"/>
    <w:multiLevelType w:val="multilevel"/>
    <w:tmpl w:val="3C62EAAA"/>
    <w:lvl w:ilvl="0">
      <w:start w:val="3"/>
      <w:numFmt w:val="decimal"/>
      <w:lvlText w:val="%1"/>
      <w:lvlJc w:val="left"/>
      <w:pPr>
        <w:ind w:left="360" w:hanging="360"/>
      </w:pPr>
      <w:rPr>
        <w:rFonts w:cs="Times New Roman"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9">
    <w:nsid w:val="7B3E4A4F"/>
    <w:multiLevelType w:val="hybridMultilevel"/>
    <w:tmpl w:val="D7A46A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15"/>
  </w:num>
  <w:num w:numId="5">
    <w:abstractNumId w:val="29"/>
  </w:num>
  <w:num w:numId="6">
    <w:abstractNumId w:val="21"/>
  </w:num>
  <w:num w:numId="7">
    <w:abstractNumId w:val="26"/>
  </w:num>
  <w:num w:numId="8">
    <w:abstractNumId w:val="5"/>
  </w:num>
  <w:num w:numId="9">
    <w:abstractNumId w:val="35"/>
  </w:num>
  <w:num w:numId="10">
    <w:abstractNumId w:val="30"/>
  </w:num>
  <w:num w:numId="11">
    <w:abstractNumId w:val="1"/>
  </w:num>
  <w:num w:numId="12">
    <w:abstractNumId w:val="18"/>
  </w:num>
  <w:num w:numId="13">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4"/>
  </w:num>
  <w:num w:numId="16">
    <w:abstractNumId w:val="17"/>
  </w:num>
  <w:num w:numId="17">
    <w:abstractNumId w:val="33"/>
  </w:num>
  <w:num w:numId="18">
    <w:abstractNumId w:val="10"/>
  </w:num>
  <w:num w:numId="19">
    <w:abstractNumId w:val="25"/>
  </w:num>
  <w:num w:numId="20">
    <w:abstractNumId w:val="32"/>
  </w:num>
  <w:num w:numId="21">
    <w:abstractNumId w:val="6"/>
  </w:num>
  <w:num w:numId="22">
    <w:abstractNumId w:val="20"/>
  </w:num>
  <w:num w:numId="23">
    <w:abstractNumId w:val="13"/>
  </w:num>
  <w:num w:numId="24">
    <w:abstractNumId w:val="36"/>
  </w:num>
  <w:num w:numId="25">
    <w:abstractNumId w:val="16"/>
  </w:num>
  <w:num w:numId="26">
    <w:abstractNumId w:val="7"/>
  </w:num>
  <w:num w:numId="27">
    <w:abstractNumId w:val="8"/>
  </w:num>
  <w:num w:numId="28">
    <w:abstractNumId w:val="38"/>
  </w:num>
  <w:num w:numId="29">
    <w:abstractNumId w:val="27"/>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4"/>
  </w:num>
  <w:num w:numId="34">
    <w:abstractNumId w:val="3"/>
  </w:num>
  <w:num w:numId="35">
    <w:abstractNumId w:val="22"/>
  </w:num>
  <w:num w:numId="36">
    <w:abstractNumId w:val="24"/>
  </w:num>
  <w:num w:numId="37">
    <w:abstractNumId w:val="34"/>
  </w:num>
  <w:num w:numId="38">
    <w:abstractNumId w:val="12"/>
  </w:num>
  <w:num w:numId="39">
    <w:abstractNumId w:val="31"/>
  </w:num>
  <w:num w:numId="40">
    <w:abstractNumId w:val="37"/>
  </w:num>
  <w:num w:numId="41">
    <w:abstractNumId w:val="9"/>
  </w:num>
  <w:num w:numId="42">
    <w:abstractNumId w:val="23"/>
  </w:num>
  <w:num w:numId="43">
    <w:abstractNumId w:val="11"/>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3E"/>
    <w:rsid w:val="00000212"/>
    <w:rsid w:val="00000EB5"/>
    <w:rsid w:val="0000122A"/>
    <w:rsid w:val="0000238B"/>
    <w:rsid w:val="00002C38"/>
    <w:rsid w:val="00002D4B"/>
    <w:rsid w:val="00003806"/>
    <w:rsid w:val="00003D34"/>
    <w:rsid w:val="0000421C"/>
    <w:rsid w:val="000046FB"/>
    <w:rsid w:val="0000606B"/>
    <w:rsid w:val="00006113"/>
    <w:rsid w:val="00006E06"/>
    <w:rsid w:val="000076FC"/>
    <w:rsid w:val="00010A51"/>
    <w:rsid w:val="000114A5"/>
    <w:rsid w:val="00011DDD"/>
    <w:rsid w:val="0001483C"/>
    <w:rsid w:val="00015E2C"/>
    <w:rsid w:val="00016053"/>
    <w:rsid w:val="00016E5C"/>
    <w:rsid w:val="00016ECB"/>
    <w:rsid w:val="0002057D"/>
    <w:rsid w:val="00020A4E"/>
    <w:rsid w:val="00021E03"/>
    <w:rsid w:val="000226BD"/>
    <w:rsid w:val="000244AC"/>
    <w:rsid w:val="00025B24"/>
    <w:rsid w:val="00030B15"/>
    <w:rsid w:val="00030C70"/>
    <w:rsid w:val="000325CB"/>
    <w:rsid w:val="00032705"/>
    <w:rsid w:val="00032DBA"/>
    <w:rsid w:val="00033919"/>
    <w:rsid w:val="00033AB7"/>
    <w:rsid w:val="0003441E"/>
    <w:rsid w:val="00034F41"/>
    <w:rsid w:val="00035797"/>
    <w:rsid w:val="00035A07"/>
    <w:rsid w:val="0003615B"/>
    <w:rsid w:val="00037720"/>
    <w:rsid w:val="0003774D"/>
    <w:rsid w:val="000402DF"/>
    <w:rsid w:val="00041435"/>
    <w:rsid w:val="00041510"/>
    <w:rsid w:val="00043256"/>
    <w:rsid w:val="00043457"/>
    <w:rsid w:val="000434ED"/>
    <w:rsid w:val="000452CD"/>
    <w:rsid w:val="000458B8"/>
    <w:rsid w:val="00045F1C"/>
    <w:rsid w:val="000463C4"/>
    <w:rsid w:val="0004654A"/>
    <w:rsid w:val="00046E76"/>
    <w:rsid w:val="00047450"/>
    <w:rsid w:val="00047A50"/>
    <w:rsid w:val="00047BF5"/>
    <w:rsid w:val="00050019"/>
    <w:rsid w:val="000512B2"/>
    <w:rsid w:val="00051BF9"/>
    <w:rsid w:val="00051C9B"/>
    <w:rsid w:val="00052461"/>
    <w:rsid w:val="00052ABA"/>
    <w:rsid w:val="00052B0F"/>
    <w:rsid w:val="00052C5E"/>
    <w:rsid w:val="00052FE1"/>
    <w:rsid w:val="00055A21"/>
    <w:rsid w:val="00056725"/>
    <w:rsid w:val="00057546"/>
    <w:rsid w:val="00057986"/>
    <w:rsid w:val="00057AA3"/>
    <w:rsid w:val="00060D57"/>
    <w:rsid w:val="00062E05"/>
    <w:rsid w:val="000631AB"/>
    <w:rsid w:val="00064070"/>
    <w:rsid w:val="00065571"/>
    <w:rsid w:val="00066BED"/>
    <w:rsid w:val="0006721C"/>
    <w:rsid w:val="000673AA"/>
    <w:rsid w:val="00067E59"/>
    <w:rsid w:val="00070763"/>
    <w:rsid w:val="00072378"/>
    <w:rsid w:val="00074085"/>
    <w:rsid w:val="00074D6B"/>
    <w:rsid w:val="0007515B"/>
    <w:rsid w:val="00075B03"/>
    <w:rsid w:val="000766C9"/>
    <w:rsid w:val="000769B2"/>
    <w:rsid w:val="00077325"/>
    <w:rsid w:val="00077334"/>
    <w:rsid w:val="00077503"/>
    <w:rsid w:val="00077657"/>
    <w:rsid w:val="000821E3"/>
    <w:rsid w:val="0008486C"/>
    <w:rsid w:val="000852FC"/>
    <w:rsid w:val="00085602"/>
    <w:rsid w:val="00085643"/>
    <w:rsid w:val="00086A69"/>
    <w:rsid w:val="00087BB7"/>
    <w:rsid w:val="00090753"/>
    <w:rsid w:val="00090CD7"/>
    <w:rsid w:val="00090F88"/>
    <w:rsid w:val="00090FE5"/>
    <w:rsid w:val="00091A6E"/>
    <w:rsid w:val="00092C25"/>
    <w:rsid w:val="000931CB"/>
    <w:rsid w:val="0009364B"/>
    <w:rsid w:val="00094445"/>
    <w:rsid w:val="00094523"/>
    <w:rsid w:val="000946A4"/>
    <w:rsid w:val="0009498F"/>
    <w:rsid w:val="00095A2E"/>
    <w:rsid w:val="00095B4D"/>
    <w:rsid w:val="00095E4B"/>
    <w:rsid w:val="00096059"/>
    <w:rsid w:val="00096987"/>
    <w:rsid w:val="000A13F4"/>
    <w:rsid w:val="000A424F"/>
    <w:rsid w:val="000A4465"/>
    <w:rsid w:val="000A4DA6"/>
    <w:rsid w:val="000A5340"/>
    <w:rsid w:val="000A5464"/>
    <w:rsid w:val="000A6CD4"/>
    <w:rsid w:val="000A763A"/>
    <w:rsid w:val="000B1307"/>
    <w:rsid w:val="000B1872"/>
    <w:rsid w:val="000B1ED1"/>
    <w:rsid w:val="000B215E"/>
    <w:rsid w:val="000B2BEC"/>
    <w:rsid w:val="000B3029"/>
    <w:rsid w:val="000B3041"/>
    <w:rsid w:val="000B36F0"/>
    <w:rsid w:val="000B55A7"/>
    <w:rsid w:val="000B5EC7"/>
    <w:rsid w:val="000B5FD3"/>
    <w:rsid w:val="000B62C2"/>
    <w:rsid w:val="000B6478"/>
    <w:rsid w:val="000C0176"/>
    <w:rsid w:val="000C0605"/>
    <w:rsid w:val="000C0CB2"/>
    <w:rsid w:val="000C1A46"/>
    <w:rsid w:val="000C1F3F"/>
    <w:rsid w:val="000C29F8"/>
    <w:rsid w:val="000C2D55"/>
    <w:rsid w:val="000C2F16"/>
    <w:rsid w:val="000C3D4D"/>
    <w:rsid w:val="000C4A56"/>
    <w:rsid w:val="000C617B"/>
    <w:rsid w:val="000C64A7"/>
    <w:rsid w:val="000C71F9"/>
    <w:rsid w:val="000C7616"/>
    <w:rsid w:val="000C777D"/>
    <w:rsid w:val="000C7891"/>
    <w:rsid w:val="000C7DE7"/>
    <w:rsid w:val="000C7E72"/>
    <w:rsid w:val="000C7F94"/>
    <w:rsid w:val="000D0909"/>
    <w:rsid w:val="000D0AD5"/>
    <w:rsid w:val="000D1051"/>
    <w:rsid w:val="000D1B8C"/>
    <w:rsid w:val="000D259C"/>
    <w:rsid w:val="000D2F06"/>
    <w:rsid w:val="000D3975"/>
    <w:rsid w:val="000D4F84"/>
    <w:rsid w:val="000E0234"/>
    <w:rsid w:val="000E1065"/>
    <w:rsid w:val="000E1164"/>
    <w:rsid w:val="000E16C4"/>
    <w:rsid w:val="000E1AB1"/>
    <w:rsid w:val="000E1ED0"/>
    <w:rsid w:val="000E2169"/>
    <w:rsid w:val="000E28B9"/>
    <w:rsid w:val="000E4441"/>
    <w:rsid w:val="000E4A5D"/>
    <w:rsid w:val="000E4AFB"/>
    <w:rsid w:val="000E6582"/>
    <w:rsid w:val="000F0403"/>
    <w:rsid w:val="000F3C38"/>
    <w:rsid w:val="000F3F2F"/>
    <w:rsid w:val="000F460E"/>
    <w:rsid w:val="000F465A"/>
    <w:rsid w:val="000F4B61"/>
    <w:rsid w:val="000F53C0"/>
    <w:rsid w:val="000F59A3"/>
    <w:rsid w:val="000F6908"/>
    <w:rsid w:val="000F6DB8"/>
    <w:rsid w:val="000F754D"/>
    <w:rsid w:val="000F7959"/>
    <w:rsid w:val="00100649"/>
    <w:rsid w:val="0010083B"/>
    <w:rsid w:val="00100E0C"/>
    <w:rsid w:val="00101045"/>
    <w:rsid w:val="001035BE"/>
    <w:rsid w:val="0010370C"/>
    <w:rsid w:val="0010440D"/>
    <w:rsid w:val="0010544B"/>
    <w:rsid w:val="00105C9F"/>
    <w:rsid w:val="00106555"/>
    <w:rsid w:val="00106663"/>
    <w:rsid w:val="00106A4D"/>
    <w:rsid w:val="0010745E"/>
    <w:rsid w:val="00107691"/>
    <w:rsid w:val="0011015C"/>
    <w:rsid w:val="001121E7"/>
    <w:rsid w:val="0011229A"/>
    <w:rsid w:val="001122EE"/>
    <w:rsid w:val="001142DE"/>
    <w:rsid w:val="001142E1"/>
    <w:rsid w:val="00114315"/>
    <w:rsid w:val="00114EDD"/>
    <w:rsid w:val="00115BFB"/>
    <w:rsid w:val="00115CAB"/>
    <w:rsid w:val="001173C3"/>
    <w:rsid w:val="00120408"/>
    <w:rsid w:val="00120B60"/>
    <w:rsid w:val="00120DB4"/>
    <w:rsid w:val="00121111"/>
    <w:rsid w:val="00121582"/>
    <w:rsid w:val="00123AB8"/>
    <w:rsid w:val="00124EA6"/>
    <w:rsid w:val="00126360"/>
    <w:rsid w:val="001278AC"/>
    <w:rsid w:val="00127ABE"/>
    <w:rsid w:val="001302D8"/>
    <w:rsid w:val="0013198C"/>
    <w:rsid w:val="00131A84"/>
    <w:rsid w:val="00133025"/>
    <w:rsid w:val="001331A5"/>
    <w:rsid w:val="00134FE5"/>
    <w:rsid w:val="00141471"/>
    <w:rsid w:val="0014182E"/>
    <w:rsid w:val="0014227F"/>
    <w:rsid w:val="00143794"/>
    <w:rsid w:val="001448C0"/>
    <w:rsid w:val="001459C2"/>
    <w:rsid w:val="0014786B"/>
    <w:rsid w:val="00150B07"/>
    <w:rsid w:val="0015222F"/>
    <w:rsid w:val="00153D42"/>
    <w:rsid w:val="001542D8"/>
    <w:rsid w:val="001562F2"/>
    <w:rsid w:val="0015687E"/>
    <w:rsid w:val="001603A6"/>
    <w:rsid w:val="00160541"/>
    <w:rsid w:val="00162005"/>
    <w:rsid w:val="00162540"/>
    <w:rsid w:val="00162573"/>
    <w:rsid w:val="001628BB"/>
    <w:rsid w:val="001642E2"/>
    <w:rsid w:val="0016438C"/>
    <w:rsid w:val="0016469C"/>
    <w:rsid w:val="00165484"/>
    <w:rsid w:val="00165C23"/>
    <w:rsid w:val="00165D44"/>
    <w:rsid w:val="00165EDE"/>
    <w:rsid w:val="00167B25"/>
    <w:rsid w:val="00170F5B"/>
    <w:rsid w:val="0017122A"/>
    <w:rsid w:val="0017193F"/>
    <w:rsid w:val="00171DB4"/>
    <w:rsid w:val="001727B9"/>
    <w:rsid w:val="00173151"/>
    <w:rsid w:val="00174114"/>
    <w:rsid w:val="00174757"/>
    <w:rsid w:val="00175C50"/>
    <w:rsid w:val="00176273"/>
    <w:rsid w:val="00176531"/>
    <w:rsid w:val="00177C08"/>
    <w:rsid w:val="00180BDD"/>
    <w:rsid w:val="00181274"/>
    <w:rsid w:val="00181353"/>
    <w:rsid w:val="00184BB5"/>
    <w:rsid w:val="0018502E"/>
    <w:rsid w:val="00185503"/>
    <w:rsid w:val="001868BE"/>
    <w:rsid w:val="00186A02"/>
    <w:rsid w:val="001904D5"/>
    <w:rsid w:val="00190AE8"/>
    <w:rsid w:val="00190F09"/>
    <w:rsid w:val="001924CB"/>
    <w:rsid w:val="00192A90"/>
    <w:rsid w:val="00194CB7"/>
    <w:rsid w:val="00195F1B"/>
    <w:rsid w:val="0019619B"/>
    <w:rsid w:val="0019772B"/>
    <w:rsid w:val="001A0132"/>
    <w:rsid w:val="001A052C"/>
    <w:rsid w:val="001A132B"/>
    <w:rsid w:val="001A1377"/>
    <w:rsid w:val="001A140F"/>
    <w:rsid w:val="001A1DC1"/>
    <w:rsid w:val="001A271E"/>
    <w:rsid w:val="001A27C9"/>
    <w:rsid w:val="001A4116"/>
    <w:rsid w:val="001A4582"/>
    <w:rsid w:val="001A4C25"/>
    <w:rsid w:val="001A4C57"/>
    <w:rsid w:val="001A6836"/>
    <w:rsid w:val="001A75E0"/>
    <w:rsid w:val="001B0469"/>
    <w:rsid w:val="001B1008"/>
    <w:rsid w:val="001B19B9"/>
    <w:rsid w:val="001B2C55"/>
    <w:rsid w:val="001B3216"/>
    <w:rsid w:val="001B37C9"/>
    <w:rsid w:val="001B3DDC"/>
    <w:rsid w:val="001B3FEC"/>
    <w:rsid w:val="001B4A4B"/>
    <w:rsid w:val="001B4ECB"/>
    <w:rsid w:val="001B55AA"/>
    <w:rsid w:val="001B56C4"/>
    <w:rsid w:val="001B5C80"/>
    <w:rsid w:val="001B6D00"/>
    <w:rsid w:val="001B6E10"/>
    <w:rsid w:val="001B7665"/>
    <w:rsid w:val="001B7821"/>
    <w:rsid w:val="001B7A73"/>
    <w:rsid w:val="001B7EA9"/>
    <w:rsid w:val="001C0A82"/>
    <w:rsid w:val="001C2C0D"/>
    <w:rsid w:val="001C39C7"/>
    <w:rsid w:val="001C48F1"/>
    <w:rsid w:val="001C53FC"/>
    <w:rsid w:val="001C7ECF"/>
    <w:rsid w:val="001C7F91"/>
    <w:rsid w:val="001D07F2"/>
    <w:rsid w:val="001D152B"/>
    <w:rsid w:val="001D1E76"/>
    <w:rsid w:val="001D2398"/>
    <w:rsid w:val="001D2D17"/>
    <w:rsid w:val="001D5A4A"/>
    <w:rsid w:val="001D65E9"/>
    <w:rsid w:val="001D6ADA"/>
    <w:rsid w:val="001D7BAA"/>
    <w:rsid w:val="001D7EBD"/>
    <w:rsid w:val="001E00CF"/>
    <w:rsid w:val="001E08C3"/>
    <w:rsid w:val="001E0A86"/>
    <w:rsid w:val="001E0B25"/>
    <w:rsid w:val="001E0C9E"/>
    <w:rsid w:val="001E1D36"/>
    <w:rsid w:val="001E1F23"/>
    <w:rsid w:val="001E33D7"/>
    <w:rsid w:val="001E47CE"/>
    <w:rsid w:val="001E47D4"/>
    <w:rsid w:val="001E71F8"/>
    <w:rsid w:val="001F1E9E"/>
    <w:rsid w:val="001F2238"/>
    <w:rsid w:val="001F231D"/>
    <w:rsid w:val="001F2BCA"/>
    <w:rsid w:val="001F3CB1"/>
    <w:rsid w:val="001F513B"/>
    <w:rsid w:val="001F59FD"/>
    <w:rsid w:val="001F73B3"/>
    <w:rsid w:val="001F74D7"/>
    <w:rsid w:val="001F7E57"/>
    <w:rsid w:val="00200109"/>
    <w:rsid w:val="002004A1"/>
    <w:rsid w:val="00201097"/>
    <w:rsid w:val="002012FA"/>
    <w:rsid w:val="00201EEF"/>
    <w:rsid w:val="00204AA8"/>
    <w:rsid w:val="00205B6A"/>
    <w:rsid w:val="00205DC2"/>
    <w:rsid w:val="00206480"/>
    <w:rsid w:val="00207D6E"/>
    <w:rsid w:val="00207E04"/>
    <w:rsid w:val="00207F0A"/>
    <w:rsid w:val="00210E92"/>
    <w:rsid w:val="002117E4"/>
    <w:rsid w:val="00212800"/>
    <w:rsid w:val="00212E0B"/>
    <w:rsid w:val="00213F81"/>
    <w:rsid w:val="00214286"/>
    <w:rsid w:val="00214C0C"/>
    <w:rsid w:val="002157DB"/>
    <w:rsid w:val="0021586E"/>
    <w:rsid w:val="00220A9C"/>
    <w:rsid w:val="002216D2"/>
    <w:rsid w:val="00221EC8"/>
    <w:rsid w:val="0022255B"/>
    <w:rsid w:val="00222F77"/>
    <w:rsid w:val="00223FDD"/>
    <w:rsid w:val="002242B8"/>
    <w:rsid w:val="00224B67"/>
    <w:rsid w:val="00224BF1"/>
    <w:rsid w:val="00224C39"/>
    <w:rsid w:val="0022527D"/>
    <w:rsid w:val="00225BED"/>
    <w:rsid w:val="00225D05"/>
    <w:rsid w:val="0022732D"/>
    <w:rsid w:val="00230FE6"/>
    <w:rsid w:val="00231774"/>
    <w:rsid w:val="00231B6C"/>
    <w:rsid w:val="00233483"/>
    <w:rsid w:val="002336C4"/>
    <w:rsid w:val="002346FD"/>
    <w:rsid w:val="00234AD0"/>
    <w:rsid w:val="00236F6A"/>
    <w:rsid w:val="00237994"/>
    <w:rsid w:val="0024358D"/>
    <w:rsid w:val="002437E5"/>
    <w:rsid w:val="0024385F"/>
    <w:rsid w:val="002450D0"/>
    <w:rsid w:val="002451F3"/>
    <w:rsid w:val="0024591A"/>
    <w:rsid w:val="002467AF"/>
    <w:rsid w:val="00246E33"/>
    <w:rsid w:val="00247812"/>
    <w:rsid w:val="0025044C"/>
    <w:rsid w:val="0025074F"/>
    <w:rsid w:val="002515BF"/>
    <w:rsid w:val="00253BE8"/>
    <w:rsid w:val="0025467E"/>
    <w:rsid w:val="00255709"/>
    <w:rsid w:val="00255899"/>
    <w:rsid w:val="0025600F"/>
    <w:rsid w:val="002562FD"/>
    <w:rsid w:val="0025659D"/>
    <w:rsid w:val="00256945"/>
    <w:rsid w:val="00261A6F"/>
    <w:rsid w:val="00261AC0"/>
    <w:rsid w:val="002624A9"/>
    <w:rsid w:val="002632E0"/>
    <w:rsid w:val="002633A7"/>
    <w:rsid w:val="002637CB"/>
    <w:rsid w:val="0026515D"/>
    <w:rsid w:val="00265354"/>
    <w:rsid w:val="002670A8"/>
    <w:rsid w:val="00267A54"/>
    <w:rsid w:val="00270591"/>
    <w:rsid w:val="00270B31"/>
    <w:rsid w:val="0027142C"/>
    <w:rsid w:val="0027167B"/>
    <w:rsid w:val="0027199C"/>
    <w:rsid w:val="00272AE0"/>
    <w:rsid w:val="00272FDD"/>
    <w:rsid w:val="00274377"/>
    <w:rsid w:val="00274F52"/>
    <w:rsid w:val="00276430"/>
    <w:rsid w:val="00283BD7"/>
    <w:rsid w:val="002843BE"/>
    <w:rsid w:val="00285648"/>
    <w:rsid w:val="00285833"/>
    <w:rsid w:val="00285BDD"/>
    <w:rsid w:val="00285FB5"/>
    <w:rsid w:val="00286AE9"/>
    <w:rsid w:val="00287281"/>
    <w:rsid w:val="00287652"/>
    <w:rsid w:val="002913EE"/>
    <w:rsid w:val="0029156C"/>
    <w:rsid w:val="00291BA1"/>
    <w:rsid w:val="00291DAE"/>
    <w:rsid w:val="00292ADF"/>
    <w:rsid w:val="0029319D"/>
    <w:rsid w:val="00294099"/>
    <w:rsid w:val="00295416"/>
    <w:rsid w:val="0029559B"/>
    <w:rsid w:val="00295B64"/>
    <w:rsid w:val="00295CC9"/>
    <w:rsid w:val="002964F6"/>
    <w:rsid w:val="0029715F"/>
    <w:rsid w:val="002A13AC"/>
    <w:rsid w:val="002A1A5B"/>
    <w:rsid w:val="002A450E"/>
    <w:rsid w:val="002A5440"/>
    <w:rsid w:val="002A6C4A"/>
    <w:rsid w:val="002B045C"/>
    <w:rsid w:val="002B0A1D"/>
    <w:rsid w:val="002B19E1"/>
    <w:rsid w:val="002B202F"/>
    <w:rsid w:val="002B22C1"/>
    <w:rsid w:val="002B47F3"/>
    <w:rsid w:val="002B54EE"/>
    <w:rsid w:val="002B63B8"/>
    <w:rsid w:val="002B6961"/>
    <w:rsid w:val="002C134C"/>
    <w:rsid w:val="002C1747"/>
    <w:rsid w:val="002C21AA"/>
    <w:rsid w:val="002C3728"/>
    <w:rsid w:val="002C38F5"/>
    <w:rsid w:val="002C4241"/>
    <w:rsid w:val="002C4976"/>
    <w:rsid w:val="002C5E92"/>
    <w:rsid w:val="002C65D3"/>
    <w:rsid w:val="002C691B"/>
    <w:rsid w:val="002C6CA3"/>
    <w:rsid w:val="002C6F74"/>
    <w:rsid w:val="002C7EB1"/>
    <w:rsid w:val="002D0568"/>
    <w:rsid w:val="002D0A4E"/>
    <w:rsid w:val="002D0D4E"/>
    <w:rsid w:val="002D171A"/>
    <w:rsid w:val="002D184C"/>
    <w:rsid w:val="002D2644"/>
    <w:rsid w:val="002D2BBA"/>
    <w:rsid w:val="002D2FFA"/>
    <w:rsid w:val="002D38FE"/>
    <w:rsid w:val="002D45B3"/>
    <w:rsid w:val="002D5065"/>
    <w:rsid w:val="002D5DF6"/>
    <w:rsid w:val="002E1A32"/>
    <w:rsid w:val="002E20C1"/>
    <w:rsid w:val="002E2C99"/>
    <w:rsid w:val="002E38A8"/>
    <w:rsid w:val="002E5EC3"/>
    <w:rsid w:val="002F1A25"/>
    <w:rsid w:val="002F201D"/>
    <w:rsid w:val="002F30E6"/>
    <w:rsid w:val="002F4756"/>
    <w:rsid w:val="002F4FD9"/>
    <w:rsid w:val="002F5310"/>
    <w:rsid w:val="002F5D7D"/>
    <w:rsid w:val="002F6F17"/>
    <w:rsid w:val="002F709C"/>
    <w:rsid w:val="002F70E1"/>
    <w:rsid w:val="002F7164"/>
    <w:rsid w:val="002F78B1"/>
    <w:rsid w:val="003012A0"/>
    <w:rsid w:val="00301958"/>
    <w:rsid w:val="00301D83"/>
    <w:rsid w:val="00302D84"/>
    <w:rsid w:val="0030329F"/>
    <w:rsid w:val="00304B1C"/>
    <w:rsid w:val="00305283"/>
    <w:rsid w:val="003054FE"/>
    <w:rsid w:val="003058A9"/>
    <w:rsid w:val="00305C0A"/>
    <w:rsid w:val="00305D45"/>
    <w:rsid w:val="003064B8"/>
    <w:rsid w:val="00307DBD"/>
    <w:rsid w:val="0031055F"/>
    <w:rsid w:val="003106F0"/>
    <w:rsid w:val="003116CF"/>
    <w:rsid w:val="003118E9"/>
    <w:rsid w:val="00312123"/>
    <w:rsid w:val="003131CE"/>
    <w:rsid w:val="00313B2C"/>
    <w:rsid w:val="003140D7"/>
    <w:rsid w:val="00316C1B"/>
    <w:rsid w:val="00316F55"/>
    <w:rsid w:val="00317079"/>
    <w:rsid w:val="00317E91"/>
    <w:rsid w:val="00322159"/>
    <w:rsid w:val="0032274F"/>
    <w:rsid w:val="00323688"/>
    <w:rsid w:val="00323F3B"/>
    <w:rsid w:val="00323FAD"/>
    <w:rsid w:val="0032408B"/>
    <w:rsid w:val="0032499F"/>
    <w:rsid w:val="003250BE"/>
    <w:rsid w:val="0032547B"/>
    <w:rsid w:val="003257DB"/>
    <w:rsid w:val="00325A3E"/>
    <w:rsid w:val="0032670F"/>
    <w:rsid w:val="00326C53"/>
    <w:rsid w:val="00327354"/>
    <w:rsid w:val="00327962"/>
    <w:rsid w:val="0033006B"/>
    <w:rsid w:val="00330FCD"/>
    <w:rsid w:val="003310E7"/>
    <w:rsid w:val="003313D0"/>
    <w:rsid w:val="00331420"/>
    <w:rsid w:val="00331CA8"/>
    <w:rsid w:val="003320A9"/>
    <w:rsid w:val="0033234D"/>
    <w:rsid w:val="003334DB"/>
    <w:rsid w:val="00333FE9"/>
    <w:rsid w:val="0033786C"/>
    <w:rsid w:val="00337C17"/>
    <w:rsid w:val="00340853"/>
    <w:rsid w:val="00341A0E"/>
    <w:rsid w:val="00342793"/>
    <w:rsid w:val="00342B85"/>
    <w:rsid w:val="003432B5"/>
    <w:rsid w:val="00343394"/>
    <w:rsid w:val="00343FC6"/>
    <w:rsid w:val="003469A9"/>
    <w:rsid w:val="00347436"/>
    <w:rsid w:val="00350418"/>
    <w:rsid w:val="00350EB8"/>
    <w:rsid w:val="00353B27"/>
    <w:rsid w:val="00355B69"/>
    <w:rsid w:val="00355D8A"/>
    <w:rsid w:val="0035617F"/>
    <w:rsid w:val="003564F4"/>
    <w:rsid w:val="0035672E"/>
    <w:rsid w:val="00356ECD"/>
    <w:rsid w:val="003576B8"/>
    <w:rsid w:val="00357916"/>
    <w:rsid w:val="00360840"/>
    <w:rsid w:val="00360EE8"/>
    <w:rsid w:val="00361F13"/>
    <w:rsid w:val="00362F22"/>
    <w:rsid w:val="00363CAB"/>
    <w:rsid w:val="003641A5"/>
    <w:rsid w:val="0036576C"/>
    <w:rsid w:val="00365800"/>
    <w:rsid w:val="00365E8D"/>
    <w:rsid w:val="00366475"/>
    <w:rsid w:val="00367273"/>
    <w:rsid w:val="003675AD"/>
    <w:rsid w:val="0037007D"/>
    <w:rsid w:val="00370A61"/>
    <w:rsid w:val="00370C37"/>
    <w:rsid w:val="00370C5C"/>
    <w:rsid w:val="00370E6D"/>
    <w:rsid w:val="0037117E"/>
    <w:rsid w:val="00372019"/>
    <w:rsid w:val="00372864"/>
    <w:rsid w:val="00372AB3"/>
    <w:rsid w:val="00372C77"/>
    <w:rsid w:val="003738B6"/>
    <w:rsid w:val="00373C7A"/>
    <w:rsid w:val="003748A0"/>
    <w:rsid w:val="00374A63"/>
    <w:rsid w:val="003762D4"/>
    <w:rsid w:val="0037634E"/>
    <w:rsid w:val="0037687A"/>
    <w:rsid w:val="0037705F"/>
    <w:rsid w:val="00380078"/>
    <w:rsid w:val="0038037E"/>
    <w:rsid w:val="00380C1F"/>
    <w:rsid w:val="00381750"/>
    <w:rsid w:val="00381C56"/>
    <w:rsid w:val="00382B5D"/>
    <w:rsid w:val="003835E0"/>
    <w:rsid w:val="00383A8E"/>
    <w:rsid w:val="00383EBF"/>
    <w:rsid w:val="00384A47"/>
    <w:rsid w:val="00384B6E"/>
    <w:rsid w:val="00384D2B"/>
    <w:rsid w:val="00385CAE"/>
    <w:rsid w:val="00387252"/>
    <w:rsid w:val="00387690"/>
    <w:rsid w:val="003900EC"/>
    <w:rsid w:val="00390D1B"/>
    <w:rsid w:val="00391546"/>
    <w:rsid w:val="00391654"/>
    <w:rsid w:val="003921B3"/>
    <w:rsid w:val="00392330"/>
    <w:rsid w:val="00392741"/>
    <w:rsid w:val="003944DA"/>
    <w:rsid w:val="0039493D"/>
    <w:rsid w:val="003952AA"/>
    <w:rsid w:val="0039708C"/>
    <w:rsid w:val="00397F6F"/>
    <w:rsid w:val="003A0644"/>
    <w:rsid w:val="003A1682"/>
    <w:rsid w:val="003A2686"/>
    <w:rsid w:val="003A2F73"/>
    <w:rsid w:val="003A478A"/>
    <w:rsid w:val="003A522C"/>
    <w:rsid w:val="003A6180"/>
    <w:rsid w:val="003A72F6"/>
    <w:rsid w:val="003B0A5A"/>
    <w:rsid w:val="003B144B"/>
    <w:rsid w:val="003B1678"/>
    <w:rsid w:val="003B1B6E"/>
    <w:rsid w:val="003B1E53"/>
    <w:rsid w:val="003B3593"/>
    <w:rsid w:val="003B3A44"/>
    <w:rsid w:val="003B47AC"/>
    <w:rsid w:val="003B4E5E"/>
    <w:rsid w:val="003B6464"/>
    <w:rsid w:val="003B6561"/>
    <w:rsid w:val="003B6C48"/>
    <w:rsid w:val="003B6C54"/>
    <w:rsid w:val="003B7F69"/>
    <w:rsid w:val="003C0039"/>
    <w:rsid w:val="003C0607"/>
    <w:rsid w:val="003C09F3"/>
    <w:rsid w:val="003C1991"/>
    <w:rsid w:val="003C2D6F"/>
    <w:rsid w:val="003C458B"/>
    <w:rsid w:val="003C478F"/>
    <w:rsid w:val="003C4AC7"/>
    <w:rsid w:val="003C4B41"/>
    <w:rsid w:val="003C4D4B"/>
    <w:rsid w:val="003C516A"/>
    <w:rsid w:val="003C541C"/>
    <w:rsid w:val="003C6C67"/>
    <w:rsid w:val="003C6F3F"/>
    <w:rsid w:val="003D083A"/>
    <w:rsid w:val="003D0842"/>
    <w:rsid w:val="003D0E83"/>
    <w:rsid w:val="003D23DE"/>
    <w:rsid w:val="003D25F0"/>
    <w:rsid w:val="003D26C2"/>
    <w:rsid w:val="003D3444"/>
    <w:rsid w:val="003D499B"/>
    <w:rsid w:val="003D5B4B"/>
    <w:rsid w:val="003D5EE9"/>
    <w:rsid w:val="003D5EF9"/>
    <w:rsid w:val="003D6F5B"/>
    <w:rsid w:val="003D77EB"/>
    <w:rsid w:val="003E0677"/>
    <w:rsid w:val="003E0883"/>
    <w:rsid w:val="003E128F"/>
    <w:rsid w:val="003E1A93"/>
    <w:rsid w:val="003E1D7E"/>
    <w:rsid w:val="003E1E16"/>
    <w:rsid w:val="003E2214"/>
    <w:rsid w:val="003E2762"/>
    <w:rsid w:val="003E3048"/>
    <w:rsid w:val="003E363E"/>
    <w:rsid w:val="003E3A4A"/>
    <w:rsid w:val="003E437E"/>
    <w:rsid w:val="003E51D6"/>
    <w:rsid w:val="003E63EA"/>
    <w:rsid w:val="003E69EE"/>
    <w:rsid w:val="003E6C2B"/>
    <w:rsid w:val="003E713A"/>
    <w:rsid w:val="003E72E4"/>
    <w:rsid w:val="003E76D9"/>
    <w:rsid w:val="003E7805"/>
    <w:rsid w:val="003F040B"/>
    <w:rsid w:val="003F0DDA"/>
    <w:rsid w:val="003F12D6"/>
    <w:rsid w:val="003F1943"/>
    <w:rsid w:val="003F3B45"/>
    <w:rsid w:val="003F4713"/>
    <w:rsid w:val="003F49DC"/>
    <w:rsid w:val="003F54E4"/>
    <w:rsid w:val="003F6190"/>
    <w:rsid w:val="003F6D8A"/>
    <w:rsid w:val="003F6E51"/>
    <w:rsid w:val="00400874"/>
    <w:rsid w:val="004025BC"/>
    <w:rsid w:val="00402B79"/>
    <w:rsid w:val="00403358"/>
    <w:rsid w:val="004037E6"/>
    <w:rsid w:val="004039FE"/>
    <w:rsid w:val="00403C90"/>
    <w:rsid w:val="004040A8"/>
    <w:rsid w:val="0040429F"/>
    <w:rsid w:val="00405491"/>
    <w:rsid w:val="00405686"/>
    <w:rsid w:val="00405EC1"/>
    <w:rsid w:val="00406E4A"/>
    <w:rsid w:val="00407373"/>
    <w:rsid w:val="00410349"/>
    <w:rsid w:val="00410908"/>
    <w:rsid w:val="00410992"/>
    <w:rsid w:val="00410BFC"/>
    <w:rsid w:val="00410F26"/>
    <w:rsid w:val="00411C81"/>
    <w:rsid w:val="00411E6B"/>
    <w:rsid w:val="00411E8C"/>
    <w:rsid w:val="00414B01"/>
    <w:rsid w:val="004168D5"/>
    <w:rsid w:val="00417797"/>
    <w:rsid w:val="00420343"/>
    <w:rsid w:val="0042170A"/>
    <w:rsid w:val="0042229D"/>
    <w:rsid w:val="0042312B"/>
    <w:rsid w:val="004237FC"/>
    <w:rsid w:val="00424A38"/>
    <w:rsid w:val="00424AC0"/>
    <w:rsid w:val="00425091"/>
    <w:rsid w:val="0042511A"/>
    <w:rsid w:val="00425AD8"/>
    <w:rsid w:val="00425BC4"/>
    <w:rsid w:val="0042675A"/>
    <w:rsid w:val="00426CA1"/>
    <w:rsid w:val="00427988"/>
    <w:rsid w:val="00427BF9"/>
    <w:rsid w:val="004315FB"/>
    <w:rsid w:val="00431AB0"/>
    <w:rsid w:val="0043290A"/>
    <w:rsid w:val="00432ADC"/>
    <w:rsid w:val="00432AF1"/>
    <w:rsid w:val="00432E57"/>
    <w:rsid w:val="00433172"/>
    <w:rsid w:val="004334BA"/>
    <w:rsid w:val="00435032"/>
    <w:rsid w:val="00435098"/>
    <w:rsid w:val="004354F8"/>
    <w:rsid w:val="0043744D"/>
    <w:rsid w:val="004374F2"/>
    <w:rsid w:val="004403AC"/>
    <w:rsid w:val="00440534"/>
    <w:rsid w:val="00440BB7"/>
    <w:rsid w:val="00441AD2"/>
    <w:rsid w:val="00441F49"/>
    <w:rsid w:val="00442117"/>
    <w:rsid w:val="00442F49"/>
    <w:rsid w:val="00443430"/>
    <w:rsid w:val="00444424"/>
    <w:rsid w:val="00444962"/>
    <w:rsid w:val="00444FFF"/>
    <w:rsid w:val="004451A1"/>
    <w:rsid w:val="004460DB"/>
    <w:rsid w:val="00446BAA"/>
    <w:rsid w:val="0044713F"/>
    <w:rsid w:val="0044730E"/>
    <w:rsid w:val="0044742D"/>
    <w:rsid w:val="004505A4"/>
    <w:rsid w:val="0045078B"/>
    <w:rsid w:val="00451805"/>
    <w:rsid w:val="00451C04"/>
    <w:rsid w:val="00452FCD"/>
    <w:rsid w:val="004530DA"/>
    <w:rsid w:val="00453C0F"/>
    <w:rsid w:val="00455208"/>
    <w:rsid w:val="00456250"/>
    <w:rsid w:val="004565E9"/>
    <w:rsid w:val="0045770E"/>
    <w:rsid w:val="00457ABB"/>
    <w:rsid w:val="0046029E"/>
    <w:rsid w:val="00460507"/>
    <w:rsid w:val="0046109D"/>
    <w:rsid w:val="004631DE"/>
    <w:rsid w:val="0046503C"/>
    <w:rsid w:val="004656CE"/>
    <w:rsid w:val="00465AE1"/>
    <w:rsid w:val="00466043"/>
    <w:rsid w:val="004664E7"/>
    <w:rsid w:val="004667EC"/>
    <w:rsid w:val="00467565"/>
    <w:rsid w:val="0047005D"/>
    <w:rsid w:val="004709C2"/>
    <w:rsid w:val="00471248"/>
    <w:rsid w:val="0047174C"/>
    <w:rsid w:val="00471A78"/>
    <w:rsid w:val="0047221B"/>
    <w:rsid w:val="0047223B"/>
    <w:rsid w:val="004729E1"/>
    <w:rsid w:val="00473037"/>
    <w:rsid w:val="00473A37"/>
    <w:rsid w:val="004741A9"/>
    <w:rsid w:val="00474FC7"/>
    <w:rsid w:val="004753C8"/>
    <w:rsid w:val="004758BC"/>
    <w:rsid w:val="0047724D"/>
    <w:rsid w:val="00477599"/>
    <w:rsid w:val="004779F0"/>
    <w:rsid w:val="00482622"/>
    <w:rsid w:val="00482EEC"/>
    <w:rsid w:val="00484DA2"/>
    <w:rsid w:val="004859EC"/>
    <w:rsid w:val="00485A13"/>
    <w:rsid w:val="00485ECD"/>
    <w:rsid w:val="00487471"/>
    <w:rsid w:val="00492583"/>
    <w:rsid w:val="00494074"/>
    <w:rsid w:val="004972C4"/>
    <w:rsid w:val="00497307"/>
    <w:rsid w:val="00497695"/>
    <w:rsid w:val="00497B17"/>
    <w:rsid w:val="004A000A"/>
    <w:rsid w:val="004A0355"/>
    <w:rsid w:val="004A08AB"/>
    <w:rsid w:val="004A0A25"/>
    <w:rsid w:val="004A14F7"/>
    <w:rsid w:val="004A29D6"/>
    <w:rsid w:val="004A3515"/>
    <w:rsid w:val="004A4894"/>
    <w:rsid w:val="004A59FE"/>
    <w:rsid w:val="004A652A"/>
    <w:rsid w:val="004A6B86"/>
    <w:rsid w:val="004B0AEE"/>
    <w:rsid w:val="004B28FA"/>
    <w:rsid w:val="004B33C3"/>
    <w:rsid w:val="004B35AE"/>
    <w:rsid w:val="004B3A28"/>
    <w:rsid w:val="004B50AC"/>
    <w:rsid w:val="004B6ABC"/>
    <w:rsid w:val="004B6B9A"/>
    <w:rsid w:val="004B788C"/>
    <w:rsid w:val="004B7B67"/>
    <w:rsid w:val="004C0150"/>
    <w:rsid w:val="004C0C70"/>
    <w:rsid w:val="004C140B"/>
    <w:rsid w:val="004C2163"/>
    <w:rsid w:val="004C27D7"/>
    <w:rsid w:val="004C300C"/>
    <w:rsid w:val="004C3688"/>
    <w:rsid w:val="004C6AFA"/>
    <w:rsid w:val="004D0FC6"/>
    <w:rsid w:val="004D1487"/>
    <w:rsid w:val="004D20BC"/>
    <w:rsid w:val="004D3126"/>
    <w:rsid w:val="004D322C"/>
    <w:rsid w:val="004D32C1"/>
    <w:rsid w:val="004D32C6"/>
    <w:rsid w:val="004D3739"/>
    <w:rsid w:val="004D42F5"/>
    <w:rsid w:val="004D67F9"/>
    <w:rsid w:val="004D7021"/>
    <w:rsid w:val="004E3BCD"/>
    <w:rsid w:val="004E409D"/>
    <w:rsid w:val="004E44D3"/>
    <w:rsid w:val="004E4AF7"/>
    <w:rsid w:val="004E4BE4"/>
    <w:rsid w:val="004E575B"/>
    <w:rsid w:val="004E5E1D"/>
    <w:rsid w:val="004E6498"/>
    <w:rsid w:val="004E6E03"/>
    <w:rsid w:val="004F062A"/>
    <w:rsid w:val="004F077A"/>
    <w:rsid w:val="004F1668"/>
    <w:rsid w:val="004F1B51"/>
    <w:rsid w:val="004F34FE"/>
    <w:rsid w:val="004F3D1D"/>
    <w:rsid w:val="004F5074"/>
    <w:rsid w:val="004F529B"/>
    <w:rsid w:val="004F56E8"/>
    <w:rsid w:val="004F5BD3"/>
    <w:rsid w:val="004F5C9B"/>
    <w:rsid w:val="004F5DF8"/>
    <w:rsid w:val="004F738A"/>
    <w:rsid w:val="004F7BE8"/>
    <w:rsid w:val="004F7F12"/>
    <w:rsid w:val="0050021B"/>
    <w:rsid w:val="00501368"/>
    <w:rsid w:val="005017E8"/>
    <w:rsid w:val="00502679"/>
    <w:rsid w:val="00502C0A"/>
    <w:rsid w:val="00503BF7"/>
    <w:rsid w:val="00503F73"/>
    <w:rsid w:val="005042DE"/>
    <w:rsid w:val="005045E9"/>
    <w:rsid w:val="00504771"/>
    <w:rsid w:val="005047FB"/>
    <w:rsid w:val="005050BA"/>
    <w:rsid w:val="00505C9D"/>
    <w:rsid w:val="00506096"/>
    <w:rsid w:val="00506ED7"/>
    <w:rsid w:val="00507B88"/>
    <w:rsid w:val="005106EC"/>
    <w:rsid w:val="00511408"/>
    <w:rsid w:val="00511A85"/>
    <w:rsid w:val="00511B91"/>
    <w:rsid w:val="00512B07"/>
    <w:rsid w:val="0051340F"/>
    <w:rsid w:val="005144F4"/>
    <w:rsid w:val="00514620"/>
    <w:rsid w:val="00514791"/>
    <w:rsid w:val="0051514A"/>
    <w:rsid w:val="00515C62"/>
    <w:rsid w:val="00515CF2"/>
    <w:rsid w:val="00515DC7"/>
    <w:rsid w:val="00516C0F"/>
    <w:rsid w:val="00516F88"/>
    <w:rsid w:val="00517783"/>
    <w:rsid w:val="0052016A"/>
    <w:rsid w:val="00520ECC"/>
    <w:rsid w:val="005213E9"/>
    <w:rsid w:val="005215CD"/>
    <w:rsid w:val="00521716"/>
    <w:rsid w:val="00521786"/>
    <w:rsid w:val="005218B9"/>
    <w:rsid w:val="00521AC0"/>
    <w:rsid w:val="00521C71"/>
    <w:rsid w:val="00522754"/>
    <w:rsid w:val="005228D4"/>
    <w:rsid w:val="0052458A"/>
    <w:rsid w:val="00524DDA"/>
    <w:rsid w:val="00525037"/>
    <w:rsid w:val="00526CB9"/>
    <w:rsid w:val="00527BED"/>
    <w:rsid w:val="00531205"/>
    <w:rsid w:val="00531D86"/>
    <w:rsid w:val="00533C00"/>
    <w:rsid w:val="00535905"/>
    <w:rsid w:val="00535ABA"/>
    <w:rsid w:val="00536657"/>
    <w:rsid w:val="005366A4"/>
    <w:rsid w:val="00536FAA"/>
    <w:rsid w:val="00540217"/>
    <w:rsid w:val="005405D0"/>
    <w:rsid w:val="00540DEF"/>
    <w:rsid w:val="00542FEC"/>
    <w:rsid w:val="0054364B"/>
    <w:rsid w:val="00544415"/>
    <w:rsid w:val="005452D7"/>
    <w:rsid w:val="005456D9"/>
    <w:rsid w:val="0054608F"/>
    <w:rsid w:val="00546F85"/>
    <w:rsid w:val="00547027"/>
    <w:rsid w:val="00547C1E"/>
    <w:rsid w:val="00547C7D"/>
    <w:rsid w:val="00547CB4"/>
    <w:rsid w:val="00550EF9"/>
    <w:rsid w:val="00552B3D"/>
    <w:rsid w:val="005530A6"/>
    <w:rsid w:val="00553319"/>
    <w:rsid w:val="005537AD"/>
    <w:rsid w:val="0055444F"/>
    <w:rsid w:val="00554CEB"/>
    <w:rsid w:val="00554DB9"/>
    <w:rsid w:val="00555066"/>
    <w:rsid w:val="005561FD"/>
    <w:rsid w:val="00556876"/>
    <w:rsid w:val="0055708E"/>
    <w:rsid w:val="0055789A"/>
    <w:rsid w:val="00560F1E"/>
    <w:rsid w:val="005615C4"/>
    <w:rsid w:val="00561DA4"/>
    <w:rsid w:val="005641F7"/>
    <w:rsid w:val="0056530A"/>
    <w:rsid w:val="005673B6"/>
    <w:rsid w:val="0057062D"/>
    <w:rsid w:val="00570E6C"/>
    <w:rsid w:val="00571068"/>
    <w:rsid w:val="00574C6A"/>
    <w:rsid w:val="00574CF2"/>
    <w:rsid w:val="00575171"/>
    <w:rsid w:val="005755FA"/>
    <w:rsid w:val="005755FC"/>
    <w:rsid w:val="005766AE"/>
    <w:rsid w:val="005801BE"/>
    <w:rsid w:val="00580B2E"/>
    <w:rsid w:val="00580C17"/>
    <w:rsid w:val="0058180A"/>
    <w:rsid w:val="005820D4"/>
    <w:rsid w:val="00582609"/>
    <w:rsid w:val="0058300A"/>
    <w:rsid w:val="00583044"/>
    <w:rsid w:val="005831B3"/>
    <w:rsid w:val="005833F6"/>
    <w:rsid w:val="005837CF"/>
    <w:rsid w:val="005853A0"/>
    <w:rsid w:val="00585ECE"/>
    <w:rsid w:val="005869C4"/>
    <w:rsid w:val="005905C7"/>
    <w:rsid w:val="005909E8"/>
    <w:rsid w:val="005931BD"/>
    <w:rsid w:val="00593A36"/>
    <w:rsid w:val="00594EE4"/>
    <w:rsid w:val="005952FD"/>
    <w:rsid w:val="00595D3D"/>
    <w:rsid w:val="00596272"/>
    <w:rsid w:val="005965D1"/>
    <w:rsid w:val="005A00CB"/>
    <w:rsid w:val="005A0759"/>
    <w:rsid w:val="005A0A9E"/>
    <w:rsid w:val="005A2720"/>
    <w:rsid w:val="005A2AC4"/>
    <w:rsid w:val="005A3E08"/>
    <w:rsid w:val="005A42AA"/>
    <w:rsid w:val="005A4756"/>
    <w:rsid w:val="005A6709"/>
    <w:rsid w:val="005A734B"/>
    <w:rsid w:val="005B078C"/>
    <w:rsid w:val="005B0C36"/>
    <w:rsid w:val="005B1E2F"/>
    <w:rsid w:val="005B210F"/>
    <w:rsid w:val="005B22DE"/>
    <w:rsid w:val="005B28AC"/>
    <w:rsid w:val="005B2EA2"/>
    <w:rsid w:val="005B3DD3"/>
    <w:rsid w:val="005B5220"/>
    <w:rsid w:val="005B6333"/>
    <w:rsid w:val="005B64B5"/>
    <w:rsid w:val="005B6777"/>
    <w:rsid w:val="005B67B3"/>
    <w:rsid w:val="005B7C10"/>
    <w:rsid w:val="005C09CC"/>
    <w:rsid w:val="005C14E9"/>
    <w:rsid w:val="005C1DF8"/>
    <w:rsid w:val="005C1F67"/>
    <w:rsid w:val="005C1F8F"/>
    <w:rsid w:val="005C3AD7"/>
    <w:rsid w:val="005C515D"/>
    <w:rsid w:val="005C51BF"/>
    <w:rsid w:val="005C5264"/>
    <w:rsid w:val="005C5E4E"/>
    <w:rsid w:val="005D01A4"/>
    <w:rsid w:val="005D0520"/>
    <w:rsid w:val="005D0D12"/>
    <w:rsid w:val="005D10AD"/>
    <w:rsid w:val="005D1347"/>
    <w:rsid w:val="005D1581"/>
    <w:rsid w:val="005D1B62"/>
    <w:rsid w:val="005D28DF"/>
    <w:rsid w:val="005D2C42"/>
    <w:rsid w:val="005D446B"/>
    <w:rsid w:val="005D5447"/>
    <w:rsid w:val="005D5610"/>
    <w:rsid w:val="005D5930"/>
    <w:rsid w:val="005D59ED"/>
    <w:rsid w:val="005D5CAF"/>
    <w:rsid w:val="005D61A7"/>
    <w:rsid w:val="005D7372"/>
    <w:rsid w:val="005D745D"/>
    <w:rsid w:val="005E0152"/>
    <w:rsid w:val="005E1777"/>
    <w:rsid w:val="005E231F"/>
    <w:rsid w:val="005E2EED"/>
    <w:rsid w:val="005E51CC"/>
    <w:rsid w:val="005E7005"/>
    <w:rsid w:val="005E7D27"/>
    <w:rsid w:val="005F1518"/>
    <w:rsid w:val="005F164D"/>
    <w:rsid w:val="005F1D81"/>
    <w:rsid w:val="005F1E4B"/>
    <w:rsid w:val="005F2066"/>
    <w:rsid w:val="005F22A7"/>
    <w:rsid w:val="005F26B8"/>
    <w:rsid w:val="005F29AA"/>
    <w:rsid w:val="005F3111"/>
    <w:rsid w:val="005F32AF"/>
    <w:rsid w:val="005F41BD"/>
    <w:rsid w:val="005F452B"/>
    <w:rsid w:val="005F5058"/>
    <w:rsid w:val="005F5087"/>
    <w:rsid w:val="005F5ADB"/>
    <w:rsid w:val="005F5BF6"/>
    <w:rsid w:val="005F6520"/>
    <w:rsid w:val="005F661B"/>
    <w:rsid w:val="005F6DFA"/>
    <w:rsid w:val="005F7261"/>
    <w:rsid w:val="005F729D"/>
    <w:rsid w:val="005F7C61"/>
    <w:rsid w:val="00601508"/>
    <w:rsid w:val="006019B1"/>
    <w:rsid w:val="00601C79"/>
    <w:rsid w:val="00601EB3"/>
    <w:rsid w:val="00602ABA"/>
    <w:rsid w:val="00602B15"/>
    <w:rsid w:val="00602CD5"/>
    <w:rsid w:val="00603BD0"/>
    <w:rsid w:val="006049F8"/>
    <w:rsid w:val="006053FF"/>
    <w:rsid w:val="00605E98"/>
    <w:rsid w:val="0060778B"/>
    <w:rsid w:val="0060789A"/>
    <w:rsid w:val="00610AC6"/>
    <w:rsid w:val="00610D45"/>
    <w:rsid w:val="00611353"/>
    <w:rsid w:val="00611619"/>
    <w:rsid w:val="006133B8"/>
    <w:rsid w:val="00614BE3"/>
    <w:rsid w:val="00614CD5"/>
    <w:rsid w:val="0061626F"/>
    <w:rsid w:val="00616A10"/>
    <w:rsid w:val="00620261"/>
    <w:rsid w:val="00620D05"/>
    <w:rsid w:val="0062200B"/>
    <w:rsid w:val="00623D34"/>
    <w:rsid w:val="00624A4B"/>
    <w:rsid w:val="00625078"/>
    <w:rsid w:val="00625A43"/>
    <w:rsid w:val="00626641"/>
    <w:rsid w:val="00626873"/>
    <w:rsid w:val="00626B25"/>
    <w:rsid w:val="006301B6"/>
    <w:rsid w:val="00630398"/>
    <w:rsid w:val="00630E65"/>
    <w:rsid w:val="00631BF1"/>
    <w:rsid w:val="00632B52"/>
    <w:rsid w:val="006351D8"/>
    <w:rsid w:val="0063578E"/>
    <w:rsid w:val="00636DCD"/>
    <w:rsid w:val="0063769D"/>
    <w:rsid w:val="00640112"/>
    <w:rsid w:val="006402CE"/>
    <w:rsid w:val="00641341"/>
    <w:rsid w:val="00641AD5"/>
    <w:rsid w:val="00641D21"/>
    <w:rsid w:val="00642458"/>
    <w:rsid w:val="00642466"/>
    <w:rsid w:val="006429FF"/>
    <w:rsid w:val="00644322"/>
    <w:rsid w:val="006443B1"/>
    <w:rsid w:val="006447D1"/>
    <w:rsid w:val="00645422"/>
    <w:rsid w:val="00645509"/>
    <w:rsid w:val="006459DA"/>
    <w:rsid w:val="006459F3"/>
    <w:rsid w:val="00645E50"/>
    <w:rsid w:val="006519A2"/>
    <w:rsid w:val="00651CAA"/>
    <w:rsid w:val="006521FB"/>
    <w:rsid w:val="0065223E"/>
    <w:rsid w:val="00652BA7"/>
    <w:rsid w:val="00652E00"/>
    <w:rsid w:val="00652EC4"/>
    <w:rsid w:val="00654895"/>
    <w:rsid w:val="00654E6A"/>
    <w:rsid w:val="00656843"/>
    <w:rsid w:val="00656E73"/>
    <w:rsid w:val="00656FCA"/>
    <w:rsid w:val="0065722E"/>
    <w:rsid w:val="00657C68"/>
    <w:rsid w:val="00657FF4"/>
    <w:rsid w:val="00660A9F"/>
    <w:rsid w:val="00660D16"/>
    <w:rsid w:val="006610DA"/>
    <w:rsid w:val="006618B3"/>
    <w:rsid w:val="00662D45"/>
    <w:rsid w:val="00664C04"/>
    <w:rsid w:val="00665200"/>
    <w:rsid w:val="00665AA7"/>
    <w:rsid w:val="006666F9"/>
    <w:rsid w:val="006667C3"/>
    <w:rsid w:val="006671D5"/>
    <w:rsid w:val="0067006F"/>
    <w:rsid w:val="00670A90"/>
    <w:rsid w:val="00670AEC"/>
    <w:rsid w:val="006721AD"/>
    <w:rsid w:val="00672D7B"/>
    <w:rsid w:val="00674D1C"/>
    <w:rsid w:val="00676972"/>
    <w:rsid w:val="00676A5E"/>
    <w:rsid w:val="006772F0"/>
    <w:rsid w:val="00677FD9"/>
    <w:rsid w:val="006808A7"/>
    <w:rsid w:val="006808B8"/>
    <w:rsid w:val="0068203D"/>
    <w:rsid w:val="00682605"/>
    <w:rsid w:val="0068264E"/>
    <w:rsid w:val="006826C9"/>
    <w:rsid w:val="00682AC6"/>
    <w:rsid w:val="00682B2D"/>
    <w:rsid w:val="00682E19"/>
    <w:rsid w:val="00683B83"/>
    <w:rsid w:val="00683C27"/>
    <w:rsid w:val="006841F4"/>
    <w:rsid w:val="0068513E"/>
    <w:rsid w:val="006866E1"/>
    <w:rsid w:val="00686B0E"/>
    <w:rsid w:val="006879CD"/>
    <w:rsid w:val="00691A65"/>
    <w:rsid w:val="00691F09"/>
    <w:rsid w:val="006922CD"/>
    <w:rsid w:val="00694C65"/>
    <w:rsid w:val="006960D6"/>
    <w:rsid w:val="006971EB"/>
    <w:rsid w:val="0069766B"/>
    <w:rsid w:val="00697748"/>
    <w:rsid w:val="006A0FDB"/>
    <w:rsid w:val="006A28A2"/>
    <w:rsid w:val="006A2BBF"/>
    <w:rsid w:val="006A2BE8"/>
    <w:rsid w:val="006A3B33"/>
    <w:rsid w:val="006A4032"/>
    <w:rsid w:val="006A6547"/>
    <w:rsid w:val="006A7200"/>
    <w:rsid w:val="006A7C6F"/>
    <w:rsid w:val="006B16D3"/>
    <w:rsid w:val="006B1860"/>
    <w:rsid w:val="006B1E3F"/>
    <w:rsid w:val="006B25E3"/>
    <w:rsid w:val="006B2E22"/>
    <w:rsid w:val="006B34A4"/>
    <w:rsid w:val="006B4974"/>
    <w:rsid w:val="006B6492"/>
    <w:rsid w:val="006B65C2"/>
    <w:rsid w:val="006B7470"/>
    <w:rsid w:val="006B777B"/>
    <w:rsid w:val="006B77D9"/>
    <w:rsid w:val="006C0AF4"/>
    <w:rsid w:val="006C1969"/>
    <w:rsid w:val="006C1BF3"/>
    <w:rsid w:val="006C2927"/>
    <w:rsid w:val="006C2F8B"/>
    <w:rsid w:val="006C39E7"/>
    <w:rsid w:val="006C49A6"/>
    <w:rsid w:val="006C4B9C"/>
    <w:rsid w:val="006C4BCE"/>
    <w:rsid w:val="006C5E2C"/>
    <w:rsid w:val="006C5F31"/>
    <w:rsid w:val="006C6026"/>
    <w:rsid w:val="006C658F"/>
    <w:rsid w:val="006C7321"/>
    <w:rsid w:val="006D148F"/>
    <w:rsid w:val="006D1DF5"/>
    <w:rsid w:val="006D2F67"/>
    <w:rsid w:val="006D3061"/>
    <w:rsid w:val="006D3474"/>
    <w:rsid w:val="006D3962"/>
    <w:rsid w:val="006D4C40"/>
    <w:rsid w:val="006D4ECF"/>
    <w:rsid w:val="006D4EEA"/>
    <w:rsid w:val="006D4FE2"/>
    <w:rsid w:val="006D59EE"/>
    <w:rsid w:val="006D6AD0"/>
    <w:rsid w:val="006D78E0"/>
    <w:rsid w:val="006E0DAE"/>
    <w:rsid w:val="006E2378"/>
    <w:rsid w:val="006E28D7"/>
    <w:rsid w:val="006E3906"/>
    <w:rsid w:val="006E403E"/>
    <w:rsid w:val="006E4E37"/>
    <w:rsid w:val="006E550E"/>
    <w:rsid w:val="006E55AB"/>
    <w:rsid w:val="006E5829"/>
    <w:rsid w:val="006E625B"/>
    <w:rsid w:val="006E66C5"/>
    <w:rsid w:val="006F12C5"/>
    <w:rsid w:val="006F1734"/>
    <w:rsid w:val="006F1DFD"/>
    <w:rsid w:val="006F2841"/>
    <w:rsid w:val="006F5A42"/>
    <w:rsid w:val="006F5E5E"/>
    <w:rsid w:val="006F6BB5"/>
    <w:rsid w:val="006F7AA5"/>
    <w:rsid w:val="007009D1"/>
    <w:rsid w:val="007028CF"/>
    <w:rsid w:val="00702E13"/>
    <w:rsid w:val="00702FF3"/>
    <w:rsid w:val="00703ED1"/>
    <w:rsid w:val="00706755"/>
    <w:rsid w:val="00706C16"/>
    <w:rsid w:val="00707DA0"/>
    <w:rsid w:val="00707F3C"/>
    <w:rsid w:val="007104EF"/>
    <w:rsid w:val="007110D4"/>
    <w:rsid w:val="007114F9"/>
    <w:rsid w:val="00711B05"/>
    <w:rsid w:val="00711C77"/>
    <w:rsid w:val="00711CEA"/>
    <w:rsid w:val="007128CD"/>
    <w:rsid w:val="007129AF"/>
    <w:rsid w:val="0071399F"/>
    <w:rsid w:val="007145F4"/>
    <w:rsid w:val="00714BA4"/>
    <w:rsid w:val="00714BA5"/>
    <w:rsid w:val="00715282"/>
    <w:rsid w:val="007154A7"/>
    <w:rsid w:val="00715BDD"/>
    <w:rsid w:val="00716307"/>
    <w:rsid w:val="007170A7"/>
    <w:rsid w:val="007173A8"/>
    <w:rsid w:val="00720734"/>
    <w:rsid w:val="007215C2"/>
    <w:rsid w:val="00721721"/>
    <w:rsid w:val="0072263E"/>
    <w:rsid w:val="007227E8"/>
    <w:rsid w:val="00724DDA"/>
    <w:rsid w:val="00724F82"/>
    <w:rsid w:val="00725372"/>
    <w:rsid w:val="00725496"/>
    <w:rsid w:val="007256B1"/>
    <w:rsid w:val="00725B82"/>
    <w:rsid w:val="00730441"/>
    <w:rsid w:val="0073282F"/>
    <w:rsid w:val="00732885"/>
    <w:rsid w:val="00732D33"/>
    <w:rsid w:val="007336F3"/>
    <w:rsid w:val="007345B8"/>
    <w:rsid w:val="00734860"/>
    <w:rsid w:val="0073528D"/>
    <w:rsid w:val="00736262"/>
    <w:rsid w:val="00741509"/>
    <w:rsid w:val="007418DF"/>
    <w:rsid w:val="00741A6F"/>
    <w:rsid w:val="00741B1F"/>
    <w:rsid w:val="00742DE9"/>
    <w:rsid w:val="00742EFD"/>
    <w:rsid w:val="00743790"/>
    <w:rsid w:val="00743A66"/>
    <w:rsid w:val="00743C4B"/>
    <w:rsid w:val="007446E9"/>
    <w:rsid w:val="007463FF"/>
    <w:rsid w:val="00750898"/>
    <w:rsid w:val="007526E2"/>
    <w:rsid w:val="0075290A"/>
    <w:rsid w:val="007555A1"/>
    <w:rsid w:val="00756E4B"/>
    <w:rsid w:val="00757638"/>
    <w:rsid w:val="00757A74"/>
    <w:rsid w:val="00760DC9"/>
    <w:rsid w:val="00760FB5"/>
    <w:rsid w:val="007618FE"/>
    <w:rsid w:val="00762063"/>
    <w:rsid w:val="00762B68"/>
    <w:rsid w:val="00762C0D"/>
    <w:rsid w:val="007639E9"/>
    <w:rsid w:val="00763ABE"/>
    <w:rsid w:val="007640E7"/>
    <w:rsid w:val="0076441A"/>
    <w:rsid w:val="007648BF"/>
    <w:rsid w:val="007665E2"/>
    <w:rsid w:val="00766B7D"/>
    <w:rsid w:val="00767A47"/>
    <w:rsid w:val="00767B37"/>
    <w:rsid w:val="00770490"/>
    <w:rsid w:val="00771DB1"/>
    <w:rsid w:val="0077219C"/>
    <w:rsid w:val="00772F70"/>
    <w:rsid w:val="00773DC1"/>
    <w:rsid w:val="00774B31"/>
    <w:rsid w:val="00774D50"/>
    <w:rsid w:val="00775373"/>
    <w:rsid w:val="00775D2D"/>
    <w:rsid w:val="0077692B"/>
    <w:rsid w:val="00776A91"/>
    <w:rsid w:val="007775D9"/>
    <w:rsid w:val="007778D6"/>
    <w:rsid w:val="007802BD"/>
    <w:rsid w:val="007805D0"/>
    <w:rsid w:val="00783C2E"/>
    <w:rsid w:val="00784530"/>
    <w:rsid w:val="007847A4"/>
    <w:rsid w:val="007850F7"/>
    <w:rsid w:val="00785FE6"/>
    <w:rsid w:val="007909BD"/>
    <w:rsid w:val="00790DCA"/>
    <w:rsid w:val="00791029"/>
    <w:rsid w:val="00793065"/>
    <w:rsid w:val="007931D4"/>
    <w:rsid w:val="00793478"/>
    <w:rsid w:val="007940F8"/>
    <w:rsid w:val="00794846"/>
    <w:rsid w:val="00794C55"/>
    <w:rsid w:val="00794CEA"/>
    <w:rsid w:val="00795643"/>
    <w:rsid w:val="00795BCC"/>
    <w:rsid w:val="007973DB"/>
    <w:rsid w:val="007A0505"/>
    <w:rsid w:val="007A2258"/>
    <w:rsid w:val="007A2BFF"/>
    <w:rsid w:val="007A2C92"/>
    <w:rsid w:val="007A304D"/>
    <w:rsid w:val="007A3625"/>
    <w:rsid w:val="007A41B5"/>
    <w:rsid w:val="007A4AA9"/>
    <w:rsid w:val="007A4AEF"/>
    <w:rsid w:val="007A61BC"/>
    <w:rsid w:val="007A63B4"/>
    <w:rsid w:val="007A63CE"/>
    <w:rsid w:val="007A6644"/>
    <w:rsid w:val="007A69C3"/>
    <w:rsid w:val="007A6AFD"/>
    <w:rsid w:val="007A6BC6"/>
    <w:rsid w:val="007A7B86"/>
    <w:rsid w:val="007B04B2"/>
    <w:rsid w:val="007B3451"/>
    <w:rsid w:val="007B3B76"/>
    <w:rsid w:val="007B3C1F"/>
    <w:rsid w:val="007B3EF7"/>
    <w:rsid w:val="007B4AAF"/>
    <w:rsid w:val="007B5EF4"/>
    <w:rsid w:val="007B6FC7"/>
    <w:rsid w:val="007B7460"/>
    <w:rsid w:val="007C06E8"/>
    <w:rsid w:val="007C155B"/>
    <w:rsid w:val="007C2453"/>
    <w:rsid w:val="007C372F"/>
    <w:rsid w:val="007C46DE"/>
    <w:rsid w:val="007C5250"/>
    <w:rsid w:val="007C52EA"/>
    <w:rsid w:val="007C53DC"/>
    <w:rsid w:val="007C5789"/>
    <w:rsid w:val="007C649D"/>
    <w:rsid w:val="007C6BA5"/>
    <w:rsid w:val="007C6FA9"/>
    <w:rsid w:val="007D0039"/>
    <w:rsid w:val="007D052E"/>
    <w:rsid w:val="007D142A"/>
    <w:rsid w:val="007D1606"/>
    <w:rsid w:val="007D2FDF"/>
    <w:rsid w:val="007D39AA"/>
    <w:rsid w:val="007D43E2"/>
    <w:rsid w:val="007D5D4B"/>
    <w:rsid w:val="007D5E39"/>
    <w:rsid w:val="007D60FB"/>
    <w:rsid w:val="007D6E1F"/>
    <w:rsid w:val="007D6EF6"/>
    <w:rsid w:val="007E03B0"/>
    <w:rsid w:val="007E0654"/>
    <w:rsid w:val="007E0A74"/>
    <w:rsid w:val="007E0B96"/>
    <w:rsid w:val="007E0E21"/>
    <w:rsid w:val="007E1402"/>
    <w:rsid w:val="007E1E0C"/>
    <w:rsid w:val="007E352B"/>
    <w:rsid w:val="007E3C2F"/>
    <w:rsid w:val="007E3EE8"/>
    <w:rsid w:val="007E4BA6"/>
    <w:rsid w:val="007E54AC"/>
    <w:rsid w:val="007E6987"/>
    <w:rsid w:val="007E74F8"/>
    <w:rsid w:val="007F0FBC"/>
    <w:rsid w:val="007F14AF"/>
    <w:rsid w:val="007F20AE"/>
    <w:rsid w:val="007F28C8"/>
    <w:rsid w:val="007F4487"/>
    <w:rsid w:val="007F572E"/>
    <w:rsid w:val="007F5DC6"/>
    <w:rsid w:val="007F5EA3"/>
    <w:rsid w:val="007F5F15"/>
    <w:rsid w:val="007F60C2"/>
    <w:rsid w:val="007F6B3E"/>
    <w:rsid w:val="007F72E7"/>
    <w:rsid w:val="007F732F"/>
    <w:rsid w:val="007F74C7"/>
    <w:rsid w:val="007F7FDC"/>
    <w:rsid w:val="00801AA2"/>
    <w:rsid w:val="008027A0"/>
    <w:rsid w:val="0080284F"/>
    <w:rsid w:val="00802AFA"/>
    <w:rsid w:val="0080450F"/>
    <w:rsid w:val="00805561"/>
    <w:rsid w:val="00805969"/>
    <w:rsid w:val="00806249"/>
    <w:rsid w:val="00806623"/>
    <w:rsid w:val="00807138"/>
    <w:rsid w:val="00807BE8"/>
    <w:rsid w:val="0081078F"/>
    <w:rsid w:val="00810E46"/>
    <w:rsid w:val="00811054"/>
    <w:rsid w:val="00812C25"/>
    <w:rsid w:val="00812F7A"/>
    <w:rsid w:val="00813B61"/>
    <w:rsid w:val="00813C8A"/>
    <w:rsid w:val="0081451B"/>
    <w:rsid w:val="00814ACD"/>
    <w:rsid w:val="008158D3"/>
    <w:rsid w:val="00816C9D"/>
    <w:rsid w:val="00817000"/>
    <w:rsid w:val="00817ECB"/>
    <w:rsid w:val="0082114D"/>
    <w:rsid w:val="00823B2B"/>
    <w:rsid w:val="00823C90"/>
    <w:rsid w:val="00824844"/>
    <w:rsid w:val="00825849"/>
    <w:rsid w:val="00825B41"/>
    <w:rsid w:val="008260A8"/>
    <w:rsid w:val="008269FB"/>
    <w:rsid w:val="0082790B"/>
    <w:rsid w:val="008305AC"/>
    <w:rsid w:val="00830DA6"/>
    <w:rsid w:val="0083179E"/>
    <w:rsid w:val="008325F0"/>
    <w:rsid w:val="00832D4C"/>
    <w:rsid w:val="008333A8"/>
    <w:rsid w:val="008339EA"/>
    <w:rsid w:val="00833B2D"/>
    <w:rsid w:val="00833C56"/>
    <w:rsid w:val="00833EFB"/>
    <w:rsid w:val="00834746"/>
    <w:rsid w:val="00834998"/>
    <w:rsid w:val="00835B27"/>
    <w:rsid w:val="00837708"/>
    <w:rsid w:val="00841D42"/>
    <w:rsid w:val="00841ED4"/>
    <w:rsid w:val="00842EE6"/>
    <w:rsid w:val="00843EAC"/>
    <w:rsid w:val="008448E6"/>
    <w:rsid w:val="00844DBC"/>
    <w:rsid w:val="00845AAB"/>
    <w:rsid w:val="00846029"/>
    <w:rsid w:val="00846118"/>
    <w:rsid w:val="00846FBE"/>
    <w:rsid w:val="008510E8"/>
    <w:rsid w:val="00851338"/>
    <w:rsid w:val="0085159E"/>
    <w:rsid w:val="00852CB7"/>
    <w:rsid w:val="00852F05"/>
    <w:rsid w:val="008546BE"/>
    <w:rsid w:val="00855A0F"/>
    <w:rsid w:val="008577F9"/>
    <w:rsid w:val="00860118"/>
    <w:rsid w:val="00860D65"/>
    <w:rsid w:val="0086117C"/>
    <w:rsid w:val="0086120A"/>
    <w:rsid w:val="008612BD"/>
    <w:rsid w:val="008612EE"/>
    <w:rsid w:val="008614F5"/>
    <w:rsid w:val="00861B8E"/>
    <w:rsid w:val="00863290"/>
    <w:rsid w:val="00863A38"/>
    <w:rsid w:val="00864DB7"/>
    <w:rsid w:val="0087013E"/>
    <w:rsid w:val="00870D17"/>
    <w:rsid w:val="00871D01"/>
    <w:rsid w:val="0087321C"/>
    <w:rsid w:val="0087333E"/>
    <w:rsid w:val="00873487"/>
    <w:rsid w:val="00873DEC"/>
    <w:rsid w:val="008740BC"/>
    <w:rsid w:val="008756F2"/>
    <w:rsid w:val="00875A5B"/>
    <w:rsid w:val="008766E8"/>
    <w:rsid w:val="0087695A"/>
    <w:rsid w:val="00876B33"/>
    <w:rsid w:val="00876FD4"/>
    <w:rsid w:val="0087731B"/>
    <w:rsid w:val="0087772E"/>
    <w:rsid w:val="008779BD"/>
    <w:rsid w:val="00880DE7"/>
    <w:rsid w:val="00880E98"/>
    <w:rsid w:val="00881197"/>
    <w:rsid w:val="008826CE"/>
    <w:rsid w:val="008832B3"/>
    <w:rsid w:val="0088414E"/>
    <w:rsid w:val="00884607"/>
    <w:rsid w:val="00884EAA"/>
    <w:rsid w:val="0088777E"/>
    <w:rsid w:val="00887947"/>
    <w:rsid w:val="00887A99"/>
    <w:rsid w:val="008906BB"/>
    <w:rsid w:val="0089128D"/>
    <w:rsid w:val="00891A0B"/>
    <w:rsid w:val="00891B17"/>
    <w:rsid w:val="00891C50"/>
    <w:rsid w:val="00891CF6"/>
    <w:rsid w:val="00891F43"/>
    <w:rsid w:val="00892A25"/>
    <w:rsid w:val="0089356F"/>
    <w:rsid w:val="00893642"/>
    <w:rsid w:val="00893C5F"/>
    <w:rsid w:val="00893EBC"/>
    <w:rsid w:val="00894171"/>
    <w:rsid w:val="00894B1F"/>
    <w:rsid w:val="0089509C"/>
    <w:rsid w:val="008A012E"/>
    <w:rsid w:val="008A0FEA"/>
    <w:rsid w:val="008A40A3"/>
    <w:rsid w:val="008A4BE7"/>
    <w:rsid w:val="008A4DFF"/>
    <w:rsid w:val="008A4EB1"/>
    <w:rsid w:val="008A4F7C"/>
    <w:rsid w:val="008A533C"/>
    <w:rsid w:val="008A53F5"/>
    <w:rsid w:val="008A5D54"/>
    <w:rsid w:val="008A5D78"/>
    <w:rsid w:val="008A6512"/>
    <w:rsid w:val="008A6A9C"/>
    <w:rsid w:val="008B0190"/>
    <w:rsid w:val="008B052E"/>
    <w:rsid w:val="008B38A9"/>
    <w:rsid w:val="008B4729"/>
    <w:rsid w:val="008B4CDA"/>
    <w:rsid w:val="008B5229"/>
    <w:rsid w:val="008B6690"/>
    <w:rsid w:val="008B6896"/>
    <w:rsid w:val="008B6C3F"/>
    <w:rsid w:val="008C03D0"/>
    <w:rsid w:val="008C29F9"/>
    <w:rsid w:val="008C2EF8"/>
    <w:rsid w:val="008C39BE"/>
    <w:rsid w:val="008C3DDB"/>
    <w:rsid w:val="008C6735"/>
    <w:rsid w:val="008C6B62"/>
    <w:rsid w:val="008C6E28"/>
    <w:rsid w:val="008C7F64"/>
    <w:rsid w:val="008D015C"/>
    <w:rsid w:val="008D0572"/>
    <w:rsid w:val="008D0860"/>
    <w:rsid w:val="008D18F2"/>
    <w:rsid w:val="008D2DF6"/>
    <w:rsid w:val="008D3D5D"/>
    <w:rsid w:val="008D47F7"/>
    <w:rsid w:val="008D4A9F"/>
    <w:rsid w:val="008D4B1F"/>
    <w:rsid w:val="008D4E02"/>
    <w:rsid w:val="008D582F"/>
    <w:rsid w:val="008D584F"/>
    <w:rsid w:val="008D5905"/>
    <w:rsid w:val="008D6B8E"/>
    <w:rsid w:val="008D6D80"/>
    <w:rsid w:val="008D72D1"/>
    <w:rsid w:val="008D779F"/>
    <w:rsid w:val="008E028E"/>
    <w:rsid w:val="008E04D3"/>
    <w:rsid w:val="008E0919"/>
    <w:rsid w:val="008E17DD"/>
    <w:rsid w:val="008E2BE0"/>
    <w:rsid w:val="008E2CA9"/>
    <w:rsid w:val="008E2D4D"/>
    <w:rsid w:val="008E499A"/>
    <w:rsid w:val="008E545B"/>
    <w:rsid w:val="008E6D3E"/>
    <w:rsid w:val="008E775A"/>
    <w:rsid w:val="008E7DA6"/>
    <w:rsid w:val="008F05EA"/>
    <w:rsid w:val="008F06F8"/>
    <w:rsid w:val="008F1628"/>
    <w:rsid w:val="008F17BA"/>
    <w:rsid w:val="008F237C"/>
    <w:rsid w:val="008F265D"/>
    <w:rsid w:val="008F5E7A"/>
    <w:rsid w:val="008F677B"/>
    <w:rsid w:val="008F7A95"/>
    <w:rsid w:val="009004E9"/>
    <w:rsid w:val="0090158F"/>
    <w:rsid w:val="00901ECC"/>
    <w:rsid w:val="00902246"/>
    <w:rsid w:val="009034EF"/>
    <w:rsid w:val="00904117"/>
    <w:rsid w:val="00904888"/>
    <w:rsid w:val="009048EA"/>
    <w:rsid w:val="0090629F"/>
    <w:rsid w:val="00906967"/>
    <w:rsid w:val="0090700A"/>
    <w:rsid w:val="009075A1"/>
    <w:rsid w:val="00907843"/>
    <w:rsid w:val="00910212"/>
    <w:rsid w:val="00910B8A"/>
    <w:rsid w:val="00910EC5"/>
    <w:rsid w:val="00911DB3"/>
    <w:rsid w:val="009122BF"/>
    <w:rsid w:val="00912442"/>
    <w:rsid w:val="00912859"/>
    <w:rsid w:val="009128D2"/>
    <w:rsid w:val="00913D77"/>
    <w:rsid w:val="00913E0D"/>
    <w:rsid w:val="00915713"/>
    <w:rsid w:val="009158D9"/>
    <w:rsid w:val="00915BDE"/>
    <w:rsid w:val="00915F87"/>
    <w:rsid w:val="00916571"/>
    <w:rsid w:val="0091798A"/>
    <w:rsid w:val="00917CF8"/>
    <w:rsid w:val="00920332"/>
    <w:rsid w:val="009219C9"/>
    <w:rsid w:val="00923520"/>
    <w:rsid w:val="00923EA5"/>
    <w:rsid w:val="0092474C"/>
    <w:rsid w:val="009248FD"/>
    <w:rsid w:val="009255BE"/>
    <w:rsid w:val="00926878"/>
    <w:rsid w:val="009269C6"/>
    <w:rsid w:val="0092768E"/>
    <w:rsid w:val="009305D9"/>
    <w:rsid w:val="00930674"/>
    <w:rsid w:val="009318A8"/>
    <w:rsid w:val="00934F26"/>
    <w:rsid w:val="00935962"/>
    <w:rsid w:val="00936AF1"/>
    <w:rsid w:val="00936D96"/>
    <w:rsid w:val="00937050"/>
    <w:rsid w:val="0094081A"/>
    <w:rsid w:val="009420CE"/>
    <w:rsid w:val="009439F6"/>
    <w:rsid w:val="00943D26"/>
    <w:rsid w:val="009446FB"/>
    <w:rsid w:val="00945A05"/>
    <w:rsid w:val="00946341"/>
    <w:rsid w:val="00946700"/>
    <w:rsid w:val="00946DCF"/>
    <w:rsid w:val="00950048"/>
    <w:rsid w:val="00950120"/>
    <w:rsid w:val="009505EA"/>
    <w:rsid w:val="00951CF4"/>
    <w:rsid w:val="00953EA2"/>
    <w:rsid w:val="009569FB"/>
    <w:rsid w:val="00956BF5"/>
    <w:rsid w:val="00956E65"/>
    <w:rsid w:val="00957092"/>
    <w:rsid w:val="00957DE3"/>
    <w:rsid w:val="00960919"/>
    <w:rsid w:val="00961348"/>
    <w:rsid w:val="00961871"/>
    <w:rsid w:val="00961BEF"/>
    <w:rsid w:val="009627FE"/>
    <w:rsid w:val="00963064"/>
    <w:rsid w:val="00963841"/>
    <w:rsid w:val="00964010"/>
    <w:rsid w:val="009641B6"/>
    <w:rsid w:val="00965A83"/>
    <w:rsid w:val="00965FD5"/>
    <w:rsid w:val="009701DF"/>
    <w:rsid w:val="00970505"/>
    <w:rsid w:val="0097153F"/>
    <w:rsid w:val="009721B3"/>
    <w:rsid w:val="009723F9"/>
    <w:rsid w:val="00972FB8"/>
    <w:rsid w:val="00973750"/>
    <w:rsid w:val="00974AA2"/>
    <w:rsid w:val="00975D7B"/>
    <w:rsid w:val="00975F9B"/>
    <w:rsid w:val="009765F4"/>
    <w:rsid w:val="00976694"/>
    <w:rsid w:val="009766E2"/>
    <w:rsid w:val="00976DCD"/>
    <w:rsid w:val="009777B6"/>
    <w:rsid w:val="00977FC7"/>
    <w:rsid w:val="0098027C"/>
    <w:rsid w:val="009809EB"/>
    <w:rsid w:val="00980B17"/>
    <w:rsid w:val="00980DD8"/>
    <w:rsid w:val="00980FD4"/>
    <w:rsid w:val="009815C6"/>
    <w:rsid w:val="00981E93"/>
    <w:rsid w:val="0098228D"/>
    <w:rsid w:val="00982716"/>
    <w:rsid w:val="00982787"/>
    <w:rsid w:val="009870BC"/>
    <w:rsid w:val="00987869"/>
    <w:rsid w:val="009879C8"/>
    <w:rsid w:val="00990ADD"/>
    <w:rsid w:val="00990DEF"/>
    <w:rsid w:val="00991F4C"/>
    <w:rsid w:val="009920DE"/>
    <w:rsid w:val="009921ED"/>
    <w:rsid w:val="009938BA"/>
    <w:rsid w:val="009941A7"/>
    <w:rsid w:val="0099422B"/>
    <w:rsid w:val="00994323"/>
    <w:rsid w:val="00994471"/>
    <w:rsid w:val="009955B2"/>
    <w:rsid w:val="009956F8"/>
    <w:rsid w:val="00996689"/>
    <w:rsid w:val="009975EE"/>
    <w:rsid w:val="009A0261"/>
    <w:rsid w:val="009A126C"/>
    <w:rsid w:val="009A1F1C"/>
    <w:rsid w:val="009A2DE7"/>
    <w:rsid w:val="009A357E"/>
    <w:rsid w:val="009A3752"/>
    <w:rsid w:val="009A38A2"/>
    <w:rsid w:val="009A390C"/>
    <w:rsid w:val="009A3E50"/>
    <w:rsid w:val="009A3FD1"/>
    <w:rsid w:val="009A4B78"/>
    <w:rsid w:val="009A4DD1"/>
    <w:rsid w:val="009A5908"/>
    <w:rsid w:val="009A601E"/>
    <w:rsid w:val="009A75B3"/>
    <w:rsid w:val="009A7BB4"/>
    <w:rsid w:val="009B20F6"/>
    <w:rsid w:val="009B2723"/>
    <w:rsid w:val="009B32B5"/>
    <w:rsid w:val="009B45B6"/>
    <w:rsid w:val="009B6CDA"/>
    <w:rsid w:val="009B6F95"/>
    <w:rsid w:val="009B7310"/>
    <w:rsid w:val="009C0301"/>
    <w:rsid w:val="009C0874"/>
    <w:rsid w:val="009C0CE2"/>
    <w:rsid w:val="009C1105"/>
    <w:rsid w:val="009C1644"/>
    <w:rsid w:val="009C1DC4"/>
    <w:rsid w:val="009C21C9"/>
    <w:rsid w:val="009C2FC2"/>
    <w:rsid w:val="009C3264"/>
    <w:rsid w:val="009C4369"/>
    <w:rsid w:val="009C4397"/>
    <w:rsid w:val="009C497B"/>
    <w:rsid w:val="009C4EDE"/>
    <w:rsid w:val="009C5776"/>
    <w:rsid w:val="009C59BC"/>
    <w:rsid w:val="009C5E81"/>
    <w:rsid w:val="009C5E8E"/>
    <w:rsid w:val="009C5FC1"/>
    <w:rsid w:val="009C6051"/>
    <w:rsid w:val="009C60E3"/>
    <w:rsid w:val="009C6800"/>
    <w:rsid w:val="009C6DB2"/>
    <w:rsid w:val="009C7F16"/>
    <w:rsid w:val="009D01B7"/>
    <w:rsid w:val="009D4650"/>
    <w:rsid w:val="009D4F58"/>
    <w:rsid w:val="009D5C35"/>
    <w:rsid w:val="009D5D38"/>
    <w:rsid w:val="009D5EC6"/>
    <w:rsid w:val="009D6362"/>
    <w:rsid w:val="009D7F19"/>
    <w:rsid w:val="009E0BF9"/>
    <w:rsid w:val="009E12F0"/>
    <w:rsid w:val="009E15F9"/>
    <w:rsid w:val="009E15FC"/>
    <w:rsid w:val="009E2BCE"/>
    <w:rsid w:val="009E2D5A"/>
    <w:rsid w:val="009E4CF0"/>
    <w:rsid w:val="009E4F4D"/>
    <w:rsid w:val="009E5A87"/>
    <w:rsid w:val="009E6018"/>
    <w:rsid w:val="009E60CE"/>
    <w:rsid w:val="009E610A"/>
    <w:rsid w:val="009E6554"/>
    <w:rsid w:val="009E6E4C"/>
    <w:rsid w:val="009E702E"/>
    <w:rsid w:val="009E7103"/>
    <w:rsid w:val="009E7354"/>
    <w:rsid w:val="009E747B"/>
    <w:rsid w:val="009F1320"/>
    <w:rsid w:val="009F1548"/>
    <w:rsid w:val="009F2B13"/>
    <w:rsid w:val="009F2B2F"/>
    <w:rsid w:val="009F2C1E"/>
    <w:rsid w:val="009F479D"/>
    <w:rsid w:val="009F70E4"/>
    <w:rsid w:val="009F7CAA"/>
    <w:rsid w:val="009F7D89"/>
    <w:rsid w:val="00A003A3"/>
    <w:rsid w:val="00A009D6"/>
    <w:rsid w:val="00A00B5F"/>
    <w:rsid w:val="00A0302B"/>
    <w:rsid w:val="00A0347B"/>
    <w:rsid w:val="00A03875"/>
    <w:rsid w:val="00A03A38"/>
    <w:rsid w:val="00A04478"/>
    <w:rsid w:val="00A0472F"/>
    <w:rsid w:val="00A04929"/>
    <w:rsid w:val="00A05B7F"/>
    <w:rsid w:val="00A063B2"/>
    <w:rsid w:val="00A100A0"/>
    <w:rsid w:val="00A1166A"/>
    <w:rsid w:val="00A11F2A"/>
    <w:rsid w:val="00A12107"/>
    <w:rsid w:val="00A12545"/>
    <w:rsid w:val="00A1356A"/>
    <w:rsid w:val="00A1447E"/>
    <w:rsid w:val="00A14C15"/>
    <w:rsid w:val="00A14DEF"/>
    <w:rsid w:val="00A164CD"/>
    <w:rsid w:val="00A16892"/>
    <w:rsid w:val="00A1770A"/>
    <w:rsid w:val="00A179A1"/>
    <w:rsid w:val="00A17ED5"/>
    <w:rsid w:val="00A20CD6"/>
    <w:rsid w:val="00A21337"/>
    <w:rsid w:val="00A217AC"/>
    <w:rsid w:val="00A224B1"/>
    <w:rsid w:val="00A227B3"/>
    <w:rsid w:val="00A23B31"/>
    <w:rsid w:val="00A23F68"/>
    <w:rsid w:val="00A242F4"/>
    <w:rsid w:val="00A25A9C"/>
    <w:rsid w:val="00A26BA6"/>
    <w:rsid w:val="00A27077"/>
    <w:rsid w:val="00A27534"/>
    <w:rsid w:val="00A27AC6"/>
    <w:rsid w:val="00A30137"/>
    <w:rsid w:val="00A3023D"/>
    <w:rsid w:val="00A30A3D"/>
    <w:rsid w:val="00A30E59"/>
    <w:rsid w:val="00A31A43"/>
    <w:rsid w:val="00A331C7"/>
    <w:rsid w:val="00A33233"/>
    <w:rsid w:val="00A33902"/>
    <w:rsid w:val="00A33A2C"/>
    <w:rsid w:val="00A34269"/>
    <w:rsid w:val="00A34A38"/>
    <w:rsid w:val="00A371BB"/>
    <w:rsid w:val="00A376D4"/>
    <w:rsid w:val="00A40780"/>
    <w:rsid w:val="00A4131D"/>
    <w:rsid w:val="00A419A4"/>
    <w:rsid w:val="00A42001"/>
    <w:rsid w:val="00A423DB"/>
    <w:rsid w:val="00A42577"/>
    <w:rsid w:val="00A44BC9"/>
    <w:rsid w:val="00A44F56"/>
    <w:rsid w:val="00A456C4"/>
    <w:rsid w:val="00A45816"/>
    <w:rsid w:val="00A45B40"/>
    <w:rsid w:val="00A46B8E"/>
    <w:rsid w:val="00A46BE3"/>
    <w:rsid w:val="00A46ECA"/>
    <w:rsid w:val="00A47703"/>
    <w:rsid w:val="00A47CBF"/>
    <w:rsid w:val="00A500F3"/>
    <w:rsid w:val="00A504C8"/>
    <w:rsid w:val="00A50A24"/>
    <w:rsid w:val="00A50B38"/>
    <w:rsid w:val="00A51A3C"/>
    <w:rsid w:val="00A51D5A"/>
    <w:rsid w:val="00A51D90"/>
    <w:rsid w:val="00A52A7D"/>
    <w:rsid w:val="00A54009"/>
    <w:rsid w:val="00A54046"/>
    <w:rsid w:val="00A540AF"/>
    <w:rsid w:val="00A56AFA"/>
    <w:rsid w:val="00A56EDE"/>
    <w:rsid w:val="00A577C5"/>
    <w:rsid w:val="00A602E7"/>
    <w:rsid w:val="00A6093C"/>
    <w:rsid w:val="00A61E99"/>
    <w:rsid w:val="00A62192"/>
    <w:rsid w:val="00A6437D"/>
    <w:rsid w:val="00A64E7F"/>
    <w:rsid w:val="00A65EF5"/>
    <w:rsid w:val="00A672B7"/>
    <w:rsid w:val="00A67458"/>
    <w:rsid w:val="00A67908"/>
    <w:rsid w:val="00A679D0"/>
    <w:rsid w:val="00A67FCE"/>
    <w:rsid w:val="00A71B83"/>
    <w:rsid w:val="00A7279E"/>
    <w:rsid w:val="00A72C9E"/>
    <w:rsid w:val="00A7301F"/>
    <w:rsid w:val="00A74363"/>
    <w:rsid w:val="00A756AC"/>
    <w:rsid w:val="00A76094"/>
    <w:rsid w:val="00A76881"/>
    <w:rsid w:val="00A77D98"/>
    <w:rsid w:val="00A77FFB"/>
    <w:rsid w:val="00A80BA5"/>
    <w:rsid w:val="00A81991"/>
    <w:rsid w:val="00A826B8"/>
    <w:rsid w:val="00A82F39"/>
    <w:rsid w:val="00A83111"/>
    <w:rsid w:val="00A83940"/>
    <w:rsid w:val="00A83B50"/>
    <w:rsid w:val="00A86BD3"/>
    <w:rsid w:val="00A9057F"/>
    <w:rsid w:val="00A91014"/>
    <w:rsid w:val="00A91A6C"/>
    <w:rsid w:val="00A939D5"/>
    <w:rsid w:val="00A957C8"/>
    <w:rsid w:val="00A95902"/>
    <w:rsid w:val="00A9726E"/>
    <w:rsid w:val="00A979C4"/>
    <w:rsid w:val="00A97FF1"/>
    <w:rsid w:val="00AA0129"/>
    <w:rsid w:val="00AA0F21"/>
    <w:rsid w:val="00AA0F5D"/>
    <w:rsid w:val="00AA18FA"/>
    <w:rsid w:val="00AA2644"/>
    <w:rsid w:val="00AA2D93"/>
    <w:rsid w:val="00AA3977"/>
    <w:rsid w:val="00AA39F6"/>
    <w:rsid w:val="00AA470F"/>
    <w:rsid w:val="00AA4787"/>
    <w:rsid w:val="00AA4990"/>
    <w:rsid w:val="00AA4D23"/>
    <w:rsid w:val="00AA5FB8"/>
    <w:rsid w:val="00AA6197"/>
    <w:rsid w:val="00AA6987"/>
    <w:rsid w:val="00AA73FE"/>
    <w:rsid w:val="00AB12E3"/>
    <w:rsid w:val="00AB19DB"/>
    <w:rsid w:val="00AB2C35"/>
    <w:rsid w:val="00AB37FD"/>
    <w:rsid w:val="00AB4059"/>
    <w:rsid w:val="00AB4D19"/>
    <w:rsid w:val="00AB4DCE"/>
    <w:rsid w:val="00AB50F2"/>
    <w:rsid w:val="00AB5347"/>
    <w:rsid w:val="00AB5C09"/>
    <w:rsid w:val="00AB6D95"/>
    <w:rsid w:val="00AB6E36"/>
    <w:rsid w:val="00AB6E57"/>
    <w:rsid w:val="00AB6ED7"/>
    <w:rsid w:val="00AB7114"/>
    <w:rsid w:val="00AB7E89"/>
    <w:rsid w:val="00AC0CFF"/>
    <w:rsid w:val="00AC180E"/>
    <w:rsid w:val="00AC1D61"/>
    <w:rsid w:val="00AC1F2A"/>
    <w:rsid w:val="00AC26DD"/>
    <w:rsid w:val="00AC34B7"/>
    <w:rsid w:val="00AC3B1B"/>
    <w:rsid w:val="00AC4D5A"/>
    <w:rsid w:val="00AC5F27"/>
    <w:rsid w:val="00AC5F32"/>
    <w:rsid w:val="00AC612F"/>
    <w:rsid w:val="00AC684D"/>
    <w:rsid w:val="00AD0CF3"/>
    <w:rsid w:val="00AD1208"/>
    <w:rsid w:val="00AD16B8"/>
    <w:rsid w:val="00AD1FD7"/>
    <w:rsid w:val="00AD2345"/>
    <w:rsid w:val="00AD2492"/>
    <w:rsid w:val="00AD36C8"/>
    <w:rsid w:val="00AD3DFB"/>
    <w:rsid w:val="00AD4622"/>
    <w:rsid w:val="00AD499D"/>
    <w:rsid w:val="00AD4ADF"/>
    <w:rsid w:val="00AD605E"/>
    <w:rsid w:val="00AD65FD"/>
    <w:rsid w:val="00AD6AEF"/>
    <w:rsid w:val="00AD6E15"/>
    <w:rsid w:val="00AD6F74"/>
    <w:rsid w:val="00AD74BA"/>
    <w:rsid w:val="00AD7F3C"/>
    <w:rsid w:val="00AE1410"/>
    <w:rsid w:val="00AE1B78"/>
    <w:rsid w:val="00AE1DEE"/>
    <w:rsid w:val="00AE2060"/>
    <w:rsid w:val="00AE2192"/>
    <w:rsid w:val="00AE2ECE"/>
    <w:rsid w:val="00AE58F0"/>
    <w:rsid w:val="00AE61D4"/>
    <w:rsid w:val="00AE6354"/>
    <w:rsid w:val="00AE64AE"/>
    <w:rsid w:val="00AE6794"/>
    <w:rsid w:val="00AE6A6E"/>
    <w:rsid w:val="00AE7BE5"/>
    <w:rsid w:val="00AF1ECD"/>
    <w:rsid w:val="00AF217B"/>
    <w:rsid w:val="00AF2434"/>
    <w:rsid w:val="00AF2866"/>
    <w:rsid w:val="00AF4136"/>
    <w:rsid w:val="00AF42D4"/>
    <w:rsid w:val="00AF44A8"/>
    <w:rsid w:val="00AF4AE8"/>
    <w:rsid w:val="00AF5479"/>
    <w:rsid w:val="00AF610F"/>
    <w:rsid w:val="00B00443"/>
    <w:rsid w:val="00B00C20"/>
    <w:rsid w:val="00B01022"/>
    <w:rsid w:val="00B016EC"/>
    <w:rsid w:val="00B01D66"/>
    <w:rsid w:val="00B01F93"/>
    <w:rsid w:val="00B024C7"/>
    <w:rsid w:val="00B028DC"/>
    <w:rsid w:val="00B028F7"/>
    <w:rsid w:val="00B02B81"/>
    <w:rsid w:val="00B0316D"/>
    <w:rsid w:val="00B03D7F"/>
    <w:rsid w:val="00B03FF3"/>
    <w:rsid w:val="00B044F1"/>
    <w:rsid w:val="00B04D3D"/>
    <w:rsid w:val="00B055F2"/>
    <w:rsid w:val="00B05ACD"/>
    <w:rsid w:val="00B07A0C"/>
    <w:rsid w:val="00B101A5"/>
    <w:rsid w:val="00B10CC6"/>
    <w:rsid w:val="00B1107D"/>
    <w:rsid w:val="00B11512"/>
    <w:rsid w:val="00B1266C"/>
    <w:rsid w:val="00B137B6"/>
    <w:rsid w:val="00B14DEC"/>
    <w:rsid w:val="00B150C7"/>
    <w:rsid w:val="00B15763"/>
    <w:rsid w:val="00B16262"/>
    <w:rsid w:val="00B17E27"/>
    <w:rsid w:val="00B17FEA"/>
    <w:rsid w:val="00B203A0"/>
    <w:rsid w:val="00B205A0"/>
    <w:rsid w:val="00B20EA1"/>
    <w:rsid w:val="00B239C0"/>
    <w:rsid w:val="00B23CF9"/>
    <w:rsid w:val="00B23DA8"/>
    <w:rsid w:val="00B243DB"/>
    <w:rsid w:val="00B248E4"/>
    <w:rsid w:val="00B25770"/>
    <w:rsid w:val="00B25BDE"/>
    <w:rsid w:val="00B263A3"/>
    <w:rsid w:val="00B26A4B"/>
    <w:rsid w:val="00B2701A"/>
    <w:rsid w:val="00B27C69"/>
    <w:rsid w:val="00B30848"/>
    <w:rsid w:val="00B31E93"/>
    <w:rsid w:val="00B34A62"/>
    <w:rsid w:val="00B34D16"/>
    <w:rsid w:val="00B34E97"/>
    <w:rsid w:val="00B3537D"/>
    <w:rsid w:val="00B35908"/>
    <w:rsid w:val="00B36FFA"/>
    <w:rsid w:val="00B40929"/>
    <w:rsid w:val="00B42EC5"/>
    <w:rsid w:val="00B43846"/>
    <w:rsid w:val="00B443AD"/>
    <w:rsid w:val="00B45626"/>
    <w:rsid w:val="00B459F7"/>
    <w:rsid w:val="00B463F2"/>
    <w:rsid w:val="00B46F38"/>
    <w:rsid w:val="00B50E8E"/>
    <w:rsid w:val="00B5156A"/>
    <w:rsid w:val="00B51BC1"/>
    <w:rsid w:val="00B52D1D"/>
    <w:rsid w:val="00B53E96"/>
    <w:rsid w:val="00B543D5"/>
    <w:rsid w:val="00B555DF"/>
    <w:rsid w:val="00B55BA7"/>
    <w:rsid w:val="00B561CD"/>
    <w:rsid w:val="00B60853"/>
    <w:rsid w:val="00B620E3"/>
    <w:rsid w:val="00B625B5"/>
    <w:rsid w:val="00B629B1"/>
    <w:rsid w:val="00B630B6"/>
    <w:rsid w:val="00B63868"/>
    <w:rsid w:val="00B63957"/>
    <w:rsid w:val="00B64B75"/>
    <w:rsid w:val="00B65335"/>
    <w:rsid w:val="00B660B2"/>
    <w:rsid w:val="00B660F9"/>
    <w:rsid w:val="00B665EB"/>
    <w:rsid w:val="00B66D09"/>
    <w:rsid w:val="00B675D5"/>
    <w:rsid w:val="00B703C0"/>
    <w:rsid w:val="00B70D4C"/>
    <w:rsid w:val="00B71708"/>
    <w:rsid w:val="00B72136"/>
    <w:rsid w:val="00B72E93"/>
    <w:rsid w:val="00B74691"/>
    <w:rsid w:val="00B746C9"/>
    <w:rsid w:val="00B7548B"/>
    <w:rsid w:val="00B75B79"/>
    <w:rsid w:val="00B76789"/>
    <w:rsid w:val="00B76F23"/>
    <w:rsid w:val="00B80381"/>
    <w:rsid w:val="00B8081B"/>
    <w:rsid w:val="00B81371"/>
    <w:rsid w:val="00B81BB9"/>
    <w:rsid w:val="00B84943"/>
    <w:rsid w:val="00B85782"/>
    <w:rsid w:val="00B8766A"/>
    <w:rsid w:val="00B876D1"/>
    <w:rsid w:val="00B8787C"/>
    <w:rsid w:val="00B87CF7"/>
    <w:rsid w:val="00B90A7E"/>
    <w:rsid w:val="00B934AC"/>
    <w:rsid w:val="00B94484"/>
    <w:rsid w:val="00B95C58"/>
    <w:rsid w:val="00B96172"/>
    <w:rsid w:val="00B9695D"/>
    <w:rsid w:val="00B96C8A"/>
    <w:rsid w:val="00B96CD8"/>
    <w:rsid w:val="00BA0C97"/>
    <w:rsid w:val="00BA1588"/>
    <w:rsid w:val="00BA1AB6"/>
    <w:rsid w:val="00BA1BC4"/>
    <w:rsid w:val="00BA1DA5"/>
    <w:rsid w:val="00BA20E4"/>
    <w:rsid w:val="00BA2636"/>
    <w:rsid w:val="00BA35E1"/>
    <w:rsid w:val="00BA3C7C"/>
    <w:rsid w:val="00BA4410"/>
    <w:rsid w:val="00BA6750"/>
    <w:rsid w:val="00BA727B"/>
    <w:rsid w:val="00BA72F5"/>
    <w:rsid w:val="00BA7F89"/>
    <w:rsid w:val="00BB09E3"/>
    <w:rsid w:val="00BB1028"/>
    <w:rsid w:val="00BB1E7B"/>
    <w:rsid w:val="00BB33D1"/>
    <w:rsid w:val="00BB357D"/>
    <w:rsid w:val="00BB5579"/>
    <w:rsid w:val="00BB7988"/>
    <w:rsid w:val="00BB7999"/>
    <w:rsid w:val="00BC0129"/>
    <w:rsid w:val="00BC0329"/>
    <w:rsid w:val="00BC0FB5"/>
    <w:rsid w:val="00BC11A4"/>
    <w:rsid w:val="00BC2C13"/>
    <w:rsid w:val="00BC3583"/>
    <w:rsid w:val="00BC358B"/>
    <w:rsid w:val="00BC3A71"/>
    <w:rsid w:val="00BC3B57"/>
    <w:rsid w:val="00BC3F13"/>
    <w:rsid w:val="00BC428C"/>
    <w:rsid w:val="00BC4FF2"/>
    <w:rsid w:val="00BC53F8"/>
    <w:rsid w:val="00BC5793"/>
    <w:rsid w:val="00BC5E07"/>
    <w:rsid w:val="00BC6268"/>
    <w:rsid w:val="00BC6497"/>
    <w:rsid w:val="00BC7512"/>
    <w:rsid w:val="00BC75BC"/>
    <w:rsid w:val="00BC7FF2"/>
    <w:rsid w:val="00BD345A"/>
    <w:rsid w:val="00BD42CA"/>
    <w:rsid w:val="00BD4EDC"/>
    <w:rsid w:val="00BD5134"/>
    <w:rsid w:val="00BD5FCF"/>
    <w:rsid w:val="00BD66B4"/>
    <w:rsid w:val="00BD6EFE"/>
    <w:rsid w:val="00BE00FA"/>
    <w:rsid w:val="00BE1FC1"/>
    <w:rsid w:val="00BE2798"/>
    <w:rsid w:val="00BE36DB"/>
    <w:rsid w:val="00BE39FE"/>
    <w:rsid w:val="00BE3BAA"/>
    <w:rsid w:val="00BE42B7"/>
    <w:rsid w:val="00BE4814"/>
    <w:rsid w:val="00BE4B55"/>
    <w:rsid w:val="00BE592F"/>
    <w:rsid w:val="00BE7FA0"/>
    <w:rsid w:val="00BE7FA4"/>
    <w:rsid w:val="00BF021E"/>
    <w:rsid w:val="00BF07F9"/>
    <w:rsid w:val="00BF1389"/>
    <w:rsid w:val="00BF1937"/>
    <w:rsid w:val="00BF19BB"/>
    <w:rsid w:val="00BF2CAE"/>
    <w:rsid w:val="00BF36F3"/>
    <w:rsid w:val="00BF641F"/>
    <w:rsid w:val="00BF67AF"/>
    <w:rsid w:val="00BF6EC1"/>
    <w:rsid w:val="00BF7971"/>
    <w:rsid w:val="00C004CB"/>
    <w:rsid w:val="00C01B29"/>
    <w:rsid w:val="00C022DA"/>
    <w:rsid w:val="00C045FD"/>
    <w:rsid w:val="00C048C1"/>
    <w:rsid w:val="00C04AA0"/>
    <w:rsid w:val="00C052C1"/>
    <w:rsid w:val="00C057C2"/>
    <w:rsid w:val="00C06277"/>
    <w:rsid w:val="00C07840"/>
    <w:rsid w:val="00C102BB"/>
    <w:rsid w:val="00C106CA"/>
    <w:rsid w:val="00C10B98"/>
    <w:rsid w:val="00C11393"/>
    <w:rsid w:val="00C12357"/>
    <w:rsid w:val="00C12E1C"/>
    <w:rsid w:val="00C12F61"/>
    <w:rsid w:val="00C1556A"/>
    <w:rsid w:val="00C17315"/>
    <w:rsid w:val="00C179B9"/>
    <w:rsid w:val="00C17EA7"/>
    <w:rsid w:val="00C20321"/>
    <w:rsid w:val="00C21064"/>
    <w:rsid w:val="00C22B71"/>
    <w:rsid w:val="00C24826"/>
    <w:rsid w:val="00C24B1D"/>
    <w:rsid w:val="00C24D16"/>
    <w:rsid w:val="00C26623"/>
    <w:rsid w:val="00C274D3"/>
    <w:rsid w:val="00C30801"/>
    <w:rsid w:val="00C32E13"/>
    <w:rsid w:val="00C333CE"/>
    <w:rsid w:val="00C34363"/>
    <w:rsid w:val="00C34E97"/>
    <w:rsid w:val="00C34FEF"/>
    <w:rsid w:val="00C35176"/>
    <w:rsid w:val="00C35A29"/>
    <w:rsid w:val="00C35C9B"/>
    <w:rsid w:val="00C3677D"/>
    <w:rsid w:val="00C373F9"/>
    <w:rsid w:val="00C4048F"/>
    <w:rsid w:val="00C40E61"/>
    <w:rsid w:val="00C40EB4"/>
    <w:rsid w:val="00C4170D"/>
    <w:rsid w:val="00C41F62"/>
    <w:rsid w:val="00C42BCF"/>
    <w:rsid w:val="00C42E5F"/>
    <w:rsid w:val="00C43E5C"/>
    <w:rsid w:val="00C45236"/>
    <w:rsid w:val="00C45F31"/>
    <w:rsid w:val="00C468C0"/>
    <w:rsid w:val="00C46DFA"/>
    <w:rsid w:val="00C4719D"/>
    <w:rsid w:val="00C4775D"/>
    <w:rsid w:val="00C47850"/>
    <w:rsid w:val="00C47CE3"/>
    <w:rsid w:val="00C47DE8"/>
    <w:rsid w:val="00C513B6"/>
    <w:rsid w:val="00C52D1D"/>
    <w:rsid w:val="00C533C0"/>
    <w:rsid w:val="00C534C2"/>
    <w:rsid w:val="00C538F5"/>
    <w:rsid w:val="00C54437"/>
    <w:rsid w:val="00C55342"/>
    <w:rsid w:val="00C55B70"/>
    <w:rsid w:val="00C55C6D"/>
    <w:rsid w:val="00C563C5"/>
    <w:rsid w:val="00C563E2"/>
    <w:rsid w:val="00C563E4"/>
    <w:rsid w:val="00C564CD"/>
    <w:rsid w:val="00C60127"/>
    <w:rsid w:val="00C61196"/>
    <w:rsid w:val="00C62B03"/>
    <w:rsid w:val="00C63FD3"/>
    <w:rsid w:val="00C64170"/>
    <w:rsid w:val="00C646D8"/>
    <w:rsid w:val="00C647A4"/>
    <w:rsid w:val="00C65C8A"/>
    <w:rsid w:val="00C65EEC"/>
    <w:rsid w:val="00C67A63"/>
    <w:rsid w:val="00C70838"/>
    <w:rsid w:val="00C7205E"/>
    <w:rsid w:val="00C7244F"/>
    <w:rsid w:val="00C72552"/>
    <w:rsid w:val="00C729BA"/>
    <w:rsid w:val="00C7317B"/>
    <w:rsid w:val="00C73AD8"/>
    <w:rsid w:val="00C7409B"/>
    <w:rsid w:val="00C7418A"/>
    <w:rsid w:val="00C74BCD"/>
    <w:rsid w:val="00C74E0B"/>
    <w:rsid w:val="00C7531C"/>
    <w:rsid w:val="00C755F0"/>
    <w:rsid w:val="00C755FD"/>
    <w:rsid w:val="00C76651"/>
    <w:rsid w:val="00C76E61"/>
    <w:rsid w:val="00C77A08"/>
    <w:rsid w:val="00C804D2"/>
    <w:rsid w:val="00C80C74"/>
    <w:rsid w:val="00C8193A"/>
    <w:rsid w:val="00C81ECE"/>
    <w:rsid w:val="00C8533C"/>
    <w:rsid w:val="00C858DD"/>
    <w:rsid w:val="00C8593A"/>
    <w:rsid w:val="00C86340"/>
    <w:rsid w:val="00C86801"/>
    <w:rsid w:val="00C86F33"/>
    <w:rsid w:val="00C92162"/>
    <w:rsid w:val="00C937D7"/>
    <w:rsid w:val="00C94339"/>
    <w:rsid w:val="00C94473"/>
    <w:rsid w:val="00C94F4A"/>
    <w:rsid w:val="00C95A22"/>
    <w:rsid w:val="00C97829"/>
    <w:rsid w:val="00C97EC8"/>
    <w:rsid w:val="00CA022E"/>
    <w:rsid w:val="00CA0531"/>
    <w:rsid w:val="00CA0B5B"/>
    <w:rsid w:val="00CA2B4A"/>
    <w:rsid w:val="00CA3150"/>
    <w:rsid w:val="00CA3238"/>
    <w:rsid w:val="00CA67E7"/>
    <w:rsid w:val="00CA7A5E"/>
    <w:rsid w:val="00CB005A"/>
    <w:rsid w:val="00CB283A"/>
    <w:rsid w:val="00CB2A75"/>
    <w:rsid w:val="00CB2CE4"/>
    <w:rsid w:val="00CB33E2"/>
    <w:rsid w:val="00CB3492"/>
    <w:rsid w:val="00CB40C7"/>
    <w:rsid w:val="00CB46A6"/>
    <w:rsid w:val="00CB4B1B"/>
    <w:rsid w:val="00CB4BD4"/>
    <w:rsid w:val="00CC0182"/>
    <w:rsid w:val="00CC0BB5"/>
    <w:rsid w:val="00CC3085"/>
    <w:rsid w:val="00CC4C93"/>
    <w:rsid w:val="00CC55C8"/>
    <w:rsid w:val="00CC59C0"/>
    <w:rsid w:val="00CC5BC7"/>
    <w:rsid w:val="00CC6B8C"/>
    <w:rsid w:val="00CD0431"/>
    <w:rsid w:val="00CD2904"/>
    <w:rsid w:val="00CD321D"/>
    <w:rsid w:val="00CD359F"/>
    <w:rsid w:val="00CD3A2B"/>
    <w:rsid w:val="00CD3BC2"/>
    <w:rsid w:val="00CD4678"/>
    <w:rsid w:val="00CD472C"/>
    <w:rsid w:val="00CD6329"/>
    <w:rsid w:val="00CD6346"/>
    <w:rsid w:val="00CE0A1A"/>
    <w:rsid w:val="00CE1629"/>
    <w:rsid w:val="00CE1AC1"/>
    <w:rsid w:val="00CE1B7E"/>
    <w:rsid w:val="00CE1BE7"/>
    <w:rsid w:val="00CE280C"/>
    <w:rsid w:val="00CE2CF8"/>
    <w:rsid w:val="00CE4EE4"/>
    <w:rsid w:val="00CE520C"/>
    <w:rsid w:val="00CE5DD8"/>
    <w:rsid w:val="00CE6017"/>
    <w:rsid w:val="00CE6541"/>
    <w:rsid w:val="00CE74D6"/>
    <w:rsid w:val="00CF028E"/>
    <w:rsid w:val="00CF07FF"/>
    <w:rsid w:val="00CF0CEA"/>
    <w:rsid w:val="00CF13C0"/>
    <w:rsid w:val="00CF23B8"/>
    <w:rsid w:val="00CF243F"/>
    <w:rsid w:val="00CF268B"/>
    <w:rsid w:val="00CF2F81"/>
    <w:rsid w:val="00CF2FC4"/>
    <w:rsid w:val="00CF2FF2"/>
    <w:rsid w:val="00CF4AB9"/>
    <w:rsid w:val="00CF4FD4"/>
    <w:rsid w:val="00CF60D3"/>
    <w:rsid w:val="00CF7B4B"/>
    <w:rsid w:val="00D0042F"/>
    <w:rsid w:val="00D011EE"/>
    <w:rsid w:val="00D01C20"/>
    <w:rsid w:val="00D01DD8"/>
    <w:rsid w:val="00D0213D"/>
    <w:rsid w:val="00D03610"/>
    <w:rsid w:val="00D036D7"/>
    <w:rsid w:val="00D0458A"/>
    <w:rsid w:val="00D04C35"/>
    <w:rsid w:val="00D0528C"/>
    <w:rsid w:val="00D05790"/>
    <w:rsid w:val="00D057E2"/>
    <w:rsid w:val="00D07392"/>
    <w:rsid w:val="00D074B2"/>
    <w:rsid w:val="00D0757D"/>
    <w:rsid w:val="00D07D07"/>
    <w:rsid w:val="00D10967"/>
    <w:rsid w:val="00D11464"/>
    <w:rsid w:val="00D12355"/>
    <w:rsid w:val="00D1252E"/>
    <w:rsid w:val="00D13900"/>
    <w:rsid w:val="00D1469F"/>
    <w:rsid w:val="00D1470D"/>
    <w:rsid w:val="00D14F9D"/>
    <w:rsid w:val="00D15051"/>
    <w:rsid w:val="00D15423"/>
    <w:rsid w:val="00D154E0"/>
    <w:rsid w:val="00D16C1D"/>
    <w:rsid w:val="00D17E27"/>
    <w:rsid w:val="00D20BA6"/>
    <w:rsid w:val="00D22205"/>
    <w:rsid w:val="00D23026"/>
    <w:rsid w:val="00D2438C"/>
    <w:rsid w:val="00D26E9D"/>
    <w:rsid w:val="00D27AD9"/>
    <w:rsid w:val="00D27B33"/>
    <w:rsid w:val="00D27EC2"/>
    <w:rsid w:val="00D3074A"/>
    <w:rsid w:val="00D30BBF"/>
    <w:rsid w:val="00D3202D"/>
    <w:rsid w:val="00D323A1"/>
    <w:rsid w:val="00D32CC7"/>
    <w:rsid w:val="00D33E0F"/>
    <w:rsid w:val="00D34F51"/>
    <w:rsid w:val="00D35035"/>
    <w:rsid w:val="00D356C7"/>
    <w:rsid w:val="00D35896"/>
    <w:rsid w:val="00D359CF"/>
    <w:rsid w:val="00D362A4"/>
    <w:rsid w:val="00D36F21"/>
    <w:rsid w:val="00D3746A"/>
    <w:rsid w:val="00D40491"/>
    <w:rsid w:val="00D408BA"/>
    <w:rsid w:val="00D41C3F"/>
    <w:rsid w:val="00D42555"/>
    <w:rsid w:val="00D428FE"/>
    <w:rsid w:val="00D42BE7"/>
    <w:rsid w:val="00D43DF5"/>
    <w:rsid w:val="00D44C29"/>
    <w:rsid w:val="00D44DF5"/>
    <w:rsid w:val="00D45FEC"/>
    <w:rsid w:val="00D46408"/>
    <w:rsid w:val="00D46D03"/>
    <w:rsid w:val="00D47680"/>
    <w:rsid w:val="00D47B9C"/>
    <w:rsid w:val="00D5005A"/>
    <w:rsid w:val="00D51AFD"/>
    <w:rsid w:val="00D52E36"/>
    <w:rsid w:val="00D537DD"/>
    <w:rsid w:val="00D54C26"/>
    <w:rsid w:val="00D54DDB"/>
    <w:rsid w:val="00D56042"/>
    <w:rsid w:val="00D563F8"/>
    <w:rsid w:val="00D567F8"/>
    <w:rsid w:val="00D61303"/>
    <w:rsid w:val="00D6158D"/>
    <w:rsid w:val="00D621F5"/>
    <w:rsid w:val="00D62400"/>
    <w:rsid w:val="00D635A7"/>
    <w:rsid w:val="00D63738"/>
    <w:rsid w:val="00D64771"/>
    <w:rsid w:val="00D65BA8"/>
    <w:rsid w:val="00D661DD"/>
    <w:rsid w:val="00D66D49"/>
    <w:rsid w:val="00D67B4F"/>
    <w:rsid w:val="00D70067"/>
    <w:rsid w:val="00D701F7"/>
    <w:rsid w:val="00D71A69"/>
    <w:rsid w:val="00D71F98"/>
    <w:rsid w:val="00D728D9"/>
    <w:rsid w:val="00D7348B"/>
    <w:rsid w:val="00D7452F"/>
    <w:rsid w:val="00D74FA2"/>
    <w:rsid w:val="00D751F1"/>
    <w:rsid w:val="00D77437"/>
    <w:rsid w:val="00D779A2"/>
    <w:rsid w:val="00D77D35"/>
    <w:rsid w:val="00D80112"/>
    <w:rsid w:val="00D823FD"/>
    <w:rsid w:val="00D82B19"/>
    <w:rsid w:val="00D83740"/>
    <w:rsid w:val="00D83C2D"/>
    <w:rsid w:val="00D846F5"/>
    <w:rsid w:val="00D84F75"/>
    <w:rsid w:val="00D85415"/>
    <w:rsid w:val="00D86012"/>
    <w:rsid w:val="00D86AC2"/>
    <w:rsid w:val="00D8783E"/>
    <w:rsid w:val="00D90A75"/>
    <w:rsid w:val="00D91267"/>
    <w:rsid w:val="00D91CA1"/>
    <w:rsid w:val="00D92937"/>
    <w:rsid w:val="00D94450"/>
    <w:rsid w:val="00D94746"/>
    <w:rsid w:val="00D94D91"/>
    <w:rsid w:val="00D94FE7"/>
    <w:rsid w:val="00D9531B"/>
    <w:rsid w:val="00D95961"/>
    <w:rsid w:val="00D966D8"/>
    <w:rsid w:val="00DA0F84"/>
    <w:rsid w:val="00DA131D"/>
    <w:rsid w:val="00DA14DC"/>
    <w:rsid w:val="00DA180C"/>
    <w:rsid w:val="00DA1E4F"/>
    <w:rsid w:val="00DA1EBD"/>
    <w:rsid w:val="00DA22B2"/>
    <w:rsid w:val="00DA3832"/>
    <w:rsid w:val="00DA39FF"/>
    <w:rsid w:val="00DA41B6"/>
    <w:rsid w:val="00DA4B3B"/>
    <w:rsid w:val="00DA6BAA"/>
    <w:rsid w:val="00DA7BB9"/>
    <w:rsid w:val="00DA7EE8"/>
    <w:rsid w:val="00DB076D"/>
    <w:rsid w:val="00DB08BD"/>
    <w:rsid w:val="00DB1593"/>
    <w:rsid w:val="00DB1826"/>
    <w:rsid w:val="00DB1EFF"/>
    <w:rsid w:val="00DB2562"/>
    <w:rsid w:val="00DB2771"/>
    <w:rsid w:val="00DB291C"/>
    <w:rsid w:val="00DB2DE4"/>
    <w:rsid w:val="00DB2F38"/>
    <w:rsid w:val="00DB452B"/>
    <w:rsid w:val="00DB4752"/>
    <w:rsid w:val="00DB518D"/>
    <w:rsid w:val="00DB58DA"/>
    <w:rsid w:val="00DB58DC"/>
    <w:rsid w:val="00DB5FE8"/>
    <w:rsid w:val="00DB7BF7"/>
    <w:rsid w:val="00DB7D57"/>
    <w:rsid w:val="00DC0983"/>
    <w:rsid w:val="00DC13A0"/>
    <w:rsid w:val="00DC2327"/>
    <w:rsid w:val="00DC25DA"/>
    <w:rsid w:val="00DC2D9D"/>
    <w:rsid w:val="00DC2FD6"/>
    <w:rsid w:val="00DC3155"/>
    <w:rsid w:val="00DC3B97"/>
    <w:rsid w:val="00DC52C4"/>
    <w:rsid w:val="00DC5B08"/>
    <w:rsid w:val="00DC7E77"/>
    <w:rsid w:val="00DD03B3"/>
    <w:rsid w:val="00DD1291"/>
    <w:rsid w:val="00DD1354"/>
    <w:rsid w:val="00DD196E"/>
    <w:rsid w:val="00DD24D5"/>
    <w:rsid w:val="00DD2EEA"/>
    <w:rsid w:val="00DD3015"/>
    <w:rsid w:val="00DD30E5"/>
    <w:rsid w:val="00DD3B7D"/>
    <w:rsid w:val="00DD3E4B"/>
    <w:rsid w:val="00DD41E3"/>
    <w:rsid w:val="00DD623F"/>
    <w:rsid w:val="00DD67DF"/>
    <w:rsid w:val="00DD79B9"/>
    <w:rsid w:val="00DD7E78"/>
    <w:rsid w:val="00DE0452"/>
    <w:rsid w:val="00DE0B57"/>
    <w:rsid w:val="00DE187D"/>
    <w:rsid w:val="00DE56AE"/>
    <w:rsid w:val="00DE5D2D"/>
    <w:rsid w:val="00DE6116"/>
    <w:rsid w:val="00DE62A3"/>
    <w:rsid w:val="00DE69C0"/>
    <w:rsid w:val="00DE6D82"/>
    <w:rsid w:val="00DE6DD0"/>
    <w:rsid w:val="00DE7749"/>
    <w:rsid w:val="00DF10A5"/>
    <w:rsid w:val="00DF1587"/>
    <w:rsid w:val="00DF1940"/>
    <w:rsid w:val="00DF2B32"/>
    <w:rsid w:val="00DF2D94"/>
    <w:rsid w:val="00DF3298"/>
    <w:rsid w:val="00DF3AB1"/>
    <w:rsid w:val="00DF74C7"/>
    <w:rsid w:val="00DF762F"/>
    <w:rsid w:val="00DF76AC"/>
    <w:rsid w:val="00DF7EA6"/>
    <w:rsid w:val="00E000DA"/>
    <w:rsid w:val="00E0119C"/>
    <w:rsid w:val="00E01B55"/>
    <w:rsid w:val="00E027F9"/>
    <w:rsid w:val="00E02ADF"/>
    <w:rsid w:val="00E03A22"/>
    <w:rsid w:val="00E04007"/>
    <w:rsid w:val="00E0463D"/>
    <w:rsid w:val="00E05231"/>
    <w:rsid w:val="00E06B81"/>
    <w:rsid w:val="00E07B03"/>
    <w:rsid w:val="00E100ED"/>
    <w:rsid w:val="00E10C7E"/>
    <w:rsid w:val="00E111E6"/>
    <w:rsid w:val="00E11CA8"/>
    <w:rsid w:val="00E11CDC"/>
    <w:rsid w:val="00E12E1D"/>
    <w:rsid w:val="00E13391"/>
    <w:rsid w:val="00E13A4D"/>
    <w:rsid w:val="00E13C23"/>
    <w:rsid w:val="00E13EEE"/>
    <w:rsid w:val="00E14522"/>
    <w:rsid w:val="00E153F5"/>
    <w:rsid w:val="00E16316"/>
    <w:rsid w:val="00E16C84"/>
    <w:rsid w:val="00E16E47"/>
    <w:rsid w:val="00E17602"/>
    <w:rsid w:val="00E178CC"/>
    <w:rsid w:val="00E17F5E"/>
    <w:rsid w:val="00E17F96"/>
    <w:rsid w:val="00E207DB"/>
    <w:rsid w:val="00E20C05"/>
    <w:rsid w:val="00E21A11"/>
    <w:rsid w:val="00E2243A"/>
    <w:rsid w:val="00E22BD1"/>
    <w:rsid w:val="00E2350E"/>
    <w:rsid w:val="00E23CFB"/>
    <w:rsid w:val="00E2463E"/>
    <w:rsid w:val="00E24919"/>
    <w:rsid w:val="00E25ACC"/>
    <w:rsid w:val="00E26306"/>
    <w:rsid w:val="00E26689"/>
    <w:rsid w:val="00E27244"/>
    <w:rsid w:val="00E276DD"/>
    <w:rsid w:val="00E30672"/>
    <w:rsid w:val="00E30A77"/>
    <w:rsid w:val="00E30BA7"/>
    <w:rsid w:val="00E32864"/>
    <w:rsid w:val="00E32AA1"/>
    <w:rsid w:val="00E3315E"/>
    <w:rsid w:val="00E338C5"/>
    <w:rsid w:val="00E3402D"/>
    <w:rsid w:val="00E342FC"/>
    <w:rsid w:val="00E37E18"/>
    <w:rsid w:val="00E403E9"/>
    <w:rsid w:val="00E410A1"/>
    <w:rsid w:val="00E410F3"/>
    <w:rsid w:val="00E42A1C"/>
    <w:rsid w:val="00E42B0D"/>
    <w:rsid w:val="00E42BCD"/>
    <w:rsid w:val="00E43B89"/>
    <w:rsid w:val="00E43E95"/>
    <w:rsid w:val="00E44C19"/>
    <w:rsid w:val="00E453CD"/>
    <w:rsid w:val="00E4609B"/>
    <w:rsid w:val="00E46814"/>
    <w:rsid w:val="00E477C2"/>
    <w:rsid w:val="00E5139F"/>
    <w:rsid w:val="00E513EF"/>
    <w:rsid w:val="00E51D05"/>
    <w:rsid w:val="00E5231C"/>
    <w:rsid w:val="00E52802"/>
    <w:rsid w:val="00E53D89"/>
    <w:rsid w:val="00E5402B"/>
    <w:rsid w:val="00E5605B"/>
    <w:rsid w:val="00E56EFD"/>
    <w:rsid w:val="00E61E12"/>
    <w:rsid w:val="00E61F01"/>
    <w:rsid w:val="00E623F8"/>
    <w:rsid w:val="00E63102"/>
    <w:rsid w:val="00E639AF"/>
    <w:rsid w:val="00E63A20"/>
    <w:rsid w:val="00E63ACD"/>
    <w:rsid w:val="00E63B26"/>
    <w:rsid w:val="00E64815"/>
    <w:rsid w:val="00E64D67"/>
    <w:rsid w:val="00E65460"/>
    <w:rsid w:val="00E654A6"/>
    <w:rsid w:val="00E65E9F"/>
    <w:rsid w:val="00E709AB"/>
    <w:rsid w:val="00E70A97"/>
    <w:rsid w:val="00E7265E"/>
    <w:rsid w:val="00E769CE"/>
    <w:rsid w:val="00E76E4E"/>
    <w:rsid w:val="00E80132"/>
    <w:rsid w:val="00E80AC0"/>
    <w:rsid w:val="00E80B0D"/>
    <w:rsid w:val="00E80D5A"/>
    <w:rsid w:val="00E82BB0"/>
    <w:rsid w:val="00E839CE"/>
    <w:rsid w:val="00E83F20"/>
    <w:rsid w:val="00E84951"/>
    <w:rsid w:val="00E856F3"/>
    <w:rsid w:val="00E85D0E"/>
    <w:rsid w:val="00E8689E"/>
    <w:rsid w:val="00E87A8B"/>
    <w:rsid w:val="00E87BF6"/>
    <w:rsid w:val="00E87C7A"/>
    <w:rsid w:val="00E904FD"/>
    <w:rsid w:val="00E90839"/>
    <w:rsid w:val="00E90EE0"/>
    <w:rsid w:val="00E90F0B"/>
    <w:rsid w:val="00E910E0"/>
    <w:rsid w:val="00E911B7"/>
    <w:rsid w:val="00E91AC0"/>
    <w:rsid w:val="00E91B90"/>
    <w:rsid w:val="00E94919"/>
    <w:rsid w:val="00E94B58"/>
    <w:rsid w:val="00E94D61"/>
    <w:rsid w:val="00E9570A"/>
    <w:rsid w:val="00E967CB"/>
    <w:rsid w:val="00EA06E6"/>
    <w:rsid w:val="00EA0BE8"/>
    <w:rsid w:val="00EA1883"/>
    <w:rsid w:val="00EA1B0C"/>
    <w:rsid w:val="00EA2168"/>
    <w:rsid w:val="00EA2BBC"/>
    <w:rsid w:val="00EA3302"/>
    <w:rsid w:val="00EA3D64"/>
    <w:rsid w:val="00EA3E4C"/>
    <w:rsid w:val="00EA40D0"/>
    <w:rsid w:val="00EA421A"/>
    <w:rsid w:val="00EA499D"/>
    <w:rsid w:val="00EA4CAA"/>
    <w:rsid w:val="00EA5B4D"/>
    <w:rsid w:val="00EA5D0F"/>
    <w:rsid w:val="00EA5F55"/>
    <w:rsid w:val="00EA5FE5"/>
    <w:rsid w:val="00EA65E9"/>
    <w:rsid w:val="00EA7106"/>
    <w:rsid w:val="00EA79CB"/>
    <w:rsid w:val="00EB02A6"/>
    <w:rsid w:val="00EB0404"/>
    <w:rsid w:val="00EB0735"/>
    <w:rsid w:val="00EB36CD"/>
    <w:rsid w:val="00EB4441"/>
    <w:rsid w:val="00EB4EEC"/>
    <w:rsid w:val="00EB5495"/>
    <w:rsid w:val="00EB56C4"/>
    <w:rsid w:val="00EB59CC"/>
    <w:rsid w:val="00EB63C4"/>
    <w:rsid w:val="00EB6CF2"/>
    <w:rsid w:val="00EB7964"/>
    <w:rsid w:val="00EB7C31"/>
    <w:rsid w:val="00EC28E2"/>
    <w:rsid w:val="00EC2A96"/>
    <w:rsid w:val="00EC2E91"/>
    <w:rsid w:val="00EC3C85"/>
    <w:rsid w:val="00EC4703"/>
    <w:rsid w:val="00EC4DD8"/>
    <w:rsid w:val="00EC511D"/>
    <w:rsid w:val="00EC5487"/>
    <w:rsid w:val="00EC54AE"/>
    <w:rsid w:val="00EC54D0"/>
    <w:rsid w:val="00EC619D"/>
    <w:rsid w:val="00ED0273"/>
    <w:rsid w:val="00ED123D"/>
    <w:rsid w:val="00ED12D9"/>
    <w:rsid w:val="00ED4411"/>
    <w:rsid w:val="00ED4733"/>
    <w:rsid w:val="00ED58B2"/>
    <w:rsid w:val="00EE2357"/>
    <w:rsid w:val="00EE2ABB"/>
    <w:rsid w:val="00EE4E1B"/>
    <w:rsid w:val="00EE60B6"/>
    <w:rsid w:val="00EE7289"/>
    <w:rsid w:val="00EF0B81"/>
    <w:rsid w:val="00EF0FD7"/>
    <w:rsid w:val="00EF12BB"/>
    <w:rsid w:val="00EF143E"/>
    <w:rsid w:val="00EF157B"/>
    <w:rsid w:val="00EF18EF"/>
    <w:rsid w:val="00EF21BC"/>
    <w:rsid w:val="00EF37B0"/>
    <w:rsid w:val="00EF5507"/>
    <w:rsid w:val="00EF6748"/>
    <w:rsid w:val="00EF6B4F"/>
    <w:rsid w:val="00EF7B77"/>
    <w:rsid w:val="00EF7CA2"/>
    <w:rsid w:val="00F00A20"/>
    <w:rsid w:val="00F027AE"/>
    <w:rsid w:val="00F02922"/>
    <w:rsid w:val="00F02B75"/>
    <w:rsid w:val="00F02BB3"/>
    <w:rsid w:val="00F05AEA"/>
    <w:rsid w:val="00F05BBF"/>
    <w:rsid w:val="00F06A15"/>
    <w:rsid w:val="00F1004C"/>
    <w:rsid w:val="00F10975"/>
    <w:rsid w:val="00F11356"/>
    <w:rsid w:val="00F11E6A"/>
    <w:rsid w:val="00F134F6"/>
    <w:rsid w:val="00F16E13"/>
    <w:rsid w:val="00F20801"/>
    <w:rsid w:val="00F20852"/>
    <w:rsid w:val="00F22029"/>
    <w:rsid w:val="00F22034"/>
    <w:rsid w:val="00F22EA5"/>
    <w:rsid w:val="00F22FFB"/>
    <w:rsid w:val="00F235C3"/>
    <w:rsid w:val="00F24558"/>
    <w:rsid w:val="00F249ED"/>
    <w:rsid w:val="00F24B11"/>
    <w:rsid w:val="00F25A56"/>
    <w:rsid w:val="00F2647D"/>
    <w:rsid w:val="00F271BA"/>
    <w:rsid w:val="00F3087E"/>
    <w:rsid w:val="00F32714"/>
    <w:rsid w:val="00F32933"/>
    <w:rsid w:val="00F333B2"/>
    <w:rsid w:val="00F33475"/>
    <w:rsid w:val="00F34D7C"/>
    <w:rsid w:val="00F34F1D"/>
    <w:rsid w:val="00F359F8"/>
    <w:rsid w:val="00F37104"/>
    <w:rsid w:val="00F4306B"/>
    <w:rsid w:val="00F43080"/>
    <w:rsid w:val="00F43673"/>
    <w:rsid w:val="00F4384E"/>
    <w:rsid w:val="00F44B3B"/>
    <w:rsid w:val="00F44C77"/>
    <w:rsid w:val="00F459B8"/>
    <w:rsid w:val="00F45BD7"/>
    <w:rsid w:val="00F47023"/>
    <w:rsid w:val="00F47151"/>
    <w:rsid w:val="00F47BB3"/>
    <w:rsid w:val="00F536C8"/>
    <w:rsid w:val="00F54995"/>
    <w:rsid w:val="00F54F00"/>
    <w:rsid w:val="00F5573F"/>
    <w:rsid w:val="00F56DDE"/>
    <w:rsid w:val="00F57C73"/>
    <w:rsid w:val="00F60224"/>
    <w:rsid w:val="00F6089E"/>
    <w:rsid w:val="00F60EDA"/>
    <w:rsid w:val="00F6238E"/>
    <w:rsid w:val="00F629FB"/>
    <w:rsid w:val="00F62A84"/>
    <w:rsid w:val="00F63487"/>
    <w:rsid w:val="00F640A3"/>
    <w:rsid w:val="00F651E6"/>
    <w:rsid w:val="00F6642F"/>
    <w:rsid w:val="00F6659B"/>
    <w:rsid w:val="00F668FC"/>
    <w:rsid w:val="00F66BC1"/>
    <w:rsid w:val="00F66C21"/>
    <w:rsid w:val="00F67DAD"/>
    <w:rsid w:val="00F67E04"/>
    <w:rsid w:val="00F7017A"/>
    <w:rsid w:val="00F709BC"/>
    <w:rsid w:val="00F70F69"/>
    <w:rsid w:val="00F72091"/>
    <w:rsid w:val="00F72E6D"/>
    <w:rsid w:val="00F73DF1"/>
    <w:rsid w:val="00F752CF"/>
    <w:rsid w:val="00F753ED"/>
    <w:rsid w:val="00F77D9B"/>
    <w:rsid w:val="00F77E58"/>
    <w:rsid w:val="00F80588"/>
    <w:rsid w:val="00F8106C"/>
    <w:rsid w:val="00F811E4"/>
    <w:rsid w:val="00F82FAE"/>
    <w:rsid w:val="00F83182"/>
    <w:rsid w:val="00F83D17"/>
    <w:rsid w:val="00F84730"/>
    <w:rsid w:val="00F85CC5"/>
    <w:rsid w:val="00F87DC0"/>
    <w:rsid w:val="00F90035"/>
    <w:rsid w:val="00F90540"/>
    <w:rsid w:val="00F90BDC"/>
    <w:rsid w:val="00F9237D"/>
    <w:rsid w:val="00F932B7"/>
    <w:rsid w:val="00F947B7"/>
    <w:rsid w:val="00F94D0B"/>
    <w:rsid w:val="00F95003"/>
    <w:rsid w:val="00F95632"/>
    <w:rsid w:val="00F966BD"/>
    <w:rsid w:val="00F96B69"/>
    <w:rsid w:val="00F97844"/>
    <w:rsid w:val="00F97CB3"/>
    <w:rsid w:val="00F97D78"/>
    <w:rsid w:val="00F97D8B"/>
    <w:rsid w:val="00FA17F2"/>
    <w:rsid w:val="00FA2C1C"/>
    <w:rsid w:val="00FA33C5"/>
    <w:rsid w:val="00FA3AB3"/>
    <w:rsid w:val="00FA3C69"/>
    <w:rsid w:val="00FA69DA"/>
    <w:rsid w:val="00FA720A"/>
    <w:rsid w:val="00FA78CC"/>
    <w:rsid w:val="00FA7FDD"/>
    <w:rsid w:val="00FB0A71"/>
    <w:rsid w:val="00FB0B8B"/>
    <w:rsid w:val="00FB0C70"/>
    <w:rsid w:val="00FB1051"/>
    <w:rsid w:val="00FB1745"/>
    <w:rsid w:val="00FB19D9"/>
    <w:rsid w:val="00FB1C8B"/>
    <w:rsid w:val="00FB2DE3"/>
    <w:rsid w:val="00FB356A"/>
    <w:rsid w:val="00FB3819"/>
    <w:rsid w:val="00FB3D6B"/>
    <w:rsid w:val="00FB3E2A"/>
    <w:rsid w:val="00FB440D"/>
    <w:rsid w:val="00FB6E0C"/>
    <w:rsid w:val="00FC076B"/>
    <w:rsid w:val="00FC0C73"/>
    <w:rsid w:val="00FC126C"/>
    <w:rsid w:val="00FC1484"/>
    <w:rsid w:val="00FC2106"/>
    <w:rsid w:val="00FC2A57"/>
    <w:rsid w:val="00FC3737"/>
    <w:rsid w:val="00FC55C0"/>
    <w:rsid w:val="00FC57D1"/>
    <w:rsid w:val="00FC5BF2"/>
    <w:rsid w:val="00FC5D60"/>
    <w:rsid w:val="00FC5DA4"/>
    <w:rsid w:val="00FC6E47"/>
    <w:rsid w:val="00FC745E"/>
    <w:rsid w:val="00FC7500"/>
    <w:rsid w:val="00FC7F34"/>
    <w:rsid w:val="00FD0355"/>
    <w:rsid w:val="00FD0947"/>
    <w:rsid w:val="00FD0A3E"/>
    <w:rsid w:val="00FD0B23"/>
    <w:rsid w:val="00FD16F6"/>
    <w:rsid w:val="00FD1B31"/>
    <w:rsid w:val="00FD1F65"/>
    <w:rsid w:val="00FD266E"/>
    <w:rsid w:val="00FD3A44"/>
    <w:rsid w:val="00FD3C38"/>
    <w:rsid w:val="00FD4B85"/>
    <w:rsid w:val="00FD56D1"/>
    <w:rsid w:val="00FD5FBA"/>
    <w:rsid w:val="00FD7281"/>
    <w:rsid w:val="00FD7777"/>
    <w:rsid w:val="00FD785F"/>
    <w:rsid w:val="00FE01D2"/>
    <w:rsid w:val="00FE245D"/>
    <w:rsid w:val="00FE284A"/>
    <w:rsid w:val="00FE303C"/>
    <w:rsid w:val="00FE356B"/>
    <w:rsid w:val="00FE3FE4"/>
    <w:rsid w:val="00FE4185"/>
    <w:rsid w:val="00FE462D"/>
    <w:rsid w:val="00FE4AED"/>
    <w:rsid w:val="00FE5904"/>
    <w:rsid w:val="00FE621D"/>
    <w:rsid w:val="00FE67CC"/>
    <w:rsid w:val="00FE6FFF"/>
    <w:rsid w:val="00FE7AA4"/>
    <w:rsid w:val="00FF0290"/>
    <w:rsid w:val="00FF0E86"/>
    <w:rsid w:val="00FF173F"/>
    <w:rsid w:val="00FF1965"/>
    <w:rsid w:val="00FF3233"/>
    <w:rsid w:val="00FF338D"/>
    <w:rsid w:val="00FF4042"/>
    <w:rsid w:val="00FF4653"/>
    <w:rsid w:val="00FF50BC"/>
    <w:rsid w:val="00FF54A4"/>
    <w:rsid w:val="00FF5553"/>
    <w:rsid w:val="00FF5A19"/>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rsid w:val="0065223E"/>
    <w:rPr>
      <w:sz w:val="20"/>
      <w:szCs w:val="20"/>
    </w:rPr>
  </w:style>
  <w:style w:type="character" w:customStyle="1" w:styleId="FootnoteTextChar">
    <w:name w:val="Footnote Text Char"/>
    <w:basedOn w:val="DefaultParagraphFont"/>
    <w:link w:val="FootnoteText"/>
    <w:locked/>
    <w:rsid w:val="003E437E"/>
    <w:rPr>
      <w:rFonts w:cs="Times New Roman"/>
      <w:lang w:val="en-GB" w:eastAsia="en-GB"/>
    </w:rPr>
  </w:style>
  <w:style w:type="character" w:styleId="FootnoteReference">
    <w:name w:val="footnote reference"/>
    <w:basedOn w:val="DefaultParagraphFont"/>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uiPriority w:val="99"/>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2"/>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99"/>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uiPriority w:val="99"/>
    <w:rsid w:val="000C7F94"/>
    <w:pPr>
      <w:numPr>
        <w:ilvl w:val="3"/>
        <w:numId w:val="26"/>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uiPriority w:val="99"/>
    <w:locked/>
    <w:rsid w:val="000C7F94"/>
    <w:rPr>
      <w:rFonts w:ascii="Calibri" w:hAnsi="Calibri"/>
      <w:sz w:val="24"/>
      <w:lang w:eastAsia="en-US"/>
    </w:rPr>
  </w:style>
  <w:style w:type="paragraph" w:customStyle="1" w:styleId="GSBodyParawithnumb">
    <w:name w:val="GS Body Para with numb"/>
    <w:basedOn w:val="Normal"/>
    <w:link w:val="GSBodyParawithnumbChar"/>
    <w:uiPriority w:val="99"/>
    <w:rsid w:val="000C7F94"/>
    <w:pPr>
      <w:numPr>
        <w:ilvl w:val="1"/>
        <w:numId w:val="27"/>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uiPriority w:val="99"/>
    <w:locked/>
    <w:rsid w:val="000C7F94"/>
    <w:rPr>
      <w:rFonts w:ascii="Calibri" w:hAnsi="Calibri"/>
      <w:sz w:val="24"/>
      <w:lang w:eastAsia="en-US"/>
    </w:rPr>
  </w:style>
  <w:style w:type="paragraph" w:customStyle="1" w:styleId="GSHeading1withnumb">
    <w:name w:val="GS Heading 1 with numb"/>
    <w:basedOn w:val="Normal"/>
    <w:uiPriority w:val="99"/>
    <w:rsid w:val="000C7F94"/>
    <w:pPr>
      <w:numPr>
        <w:numId w:val="27"/>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203D47"/>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rsid w:val="0065223E"/>
    <w:rPr>
      <w:sz w:val="20"/>
      <w:szCs w:val="20"/>
    </w:rPr>
  </w:style>
  <w:style w:type="character" w:customStyle="1" w:styleId="FootnoteTextChar">
    <w:name w:val="Footnote Text Char"/>
    <w:basedOn w:val="DefaultParagraphFont"/>
    <w:link w:val="FootnoteText"/>
    <w:locked/>
    <w:rsid w:val="003E437E"/>
    <w:rPr>
      <w:rFonts w:cs="Times New Roman"/>
      <w:lang w:val="en-GB" w:eastAsia="en-GB"/>
    </w:rPr>
  </w:style>
  <w:style w:type="character" w:styleId="FootnoteReference">
    <w:name w:val="footnote reference"/>
    <w:basedOn w:val="DefaultParagraphFont"/>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uiPriority w:val="99"/>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2"/>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99"/>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uiPriority w:val="99"/>
    <w:rsid w:val="000C7F94"/>
    <w:pPr>
      <w:numPr>
        <w:ilvl w:val="3"/>
        <w:numId w:val="26"/>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uiPriority w:val="99"/>
    <w:locked/>
    <w:rsid w:val="000C7F94"/>
    <w:rPr>
      <w:rFonts w:ascii="Calibri" w:hAnsi="Calibri"/>
      <w:sz w:val="24"/>
      <w:lang w:eastAsia="en-US"/>
    </w:rPr>
  </w:style>
  <w:style w:type="paragraph" w:customStyle="1" w:styleId="GSBodyParawithnumb">
    <w:name w:val="GS Body Para with numb"/>
    <w:basedOn w:val="Normal"/>
    <w:link w:val="GSBodyParawithnumbChar"/>
    <w:uiPriority w:val="99"/>
    <w:rsid w:val="000C7F94"/>
    <w:pPr>
      <w:numPr>
        <w:ilvl w:val="1"/>
        <w:numId w:val="27"/>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uiPriority w:val="99"/>
    <w:locked/>
    <w:rsid w:val="000C7F94"/>
    <w:rPr>
      <w:rFonts w:ascii="Calibri" w:hAnsi="Calibri"/>
      <w:sz w:val="24"/>
      <w:lang w:eastAsia="en-US"/>
    </w:rPr>
  </w:style>
  <w:style w:type="paragraph" w:customStyle="1" w:styleId="GSHeading1withnumb">
    <w:name w:val="GS Heading 1 with numb"/>
    <w:basedOn w:val="Normal"/>
    <w:uiPriority w:val="99"/>
    <w:rsid w:val="000C7F94"/>
    <w:pPr>
      <w:numPr>
        <w:numId w:val="27"/>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203D47"/>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931539">
      <w:marLeft w:val="0"/>
      <w:marRight w:val="0"/>
      <w:marTop w:val="0"/>
      <w:marBottom w:val="0"/>
      <w:divBdr>
        <w:top w:val="none" w:sz="0" w:space="0" w:color="auto"/>
        <w:left w:val="none" w:sz="0" w:space="0" w:color="auto"/>
        <w:bottom w:val="none" w:sz="0" w:space="0" w:color="auto"/>
        <w:right w:val="none" w:sz="0" w:space="0" w:color="auto"/>
      </w:divBdr>
    </w:div>
    <w:div w:id="518931540">
      <w:marLeft w:val="0"/>
      <w:marRight w:val="0"/>
      <w:marTop w:val="0"/>
      <w:marBottom w:val="0"/>
      <w:divBdr>
        <w:top w:val="none" w:sz="0" w:space="0" w:color="auto"/>
        <w:left w:val="none" w:sz="0" w:space="0" w:color="auto"/>
        <w:bottom w:val="none" w:sz="0" w:space="0" w:color="auto"/>
        <w:right w:val="none" w:sz="0" w:space="0" w:color="auto"/>
      </w:divBdr>
    </w:div>
    <w:div w:id="518931541">
      <w:marLeft w:val="0"/>
      <w:marRight w:val="0"/>
      <w:marTop w:val="0"/>
      <w:marBottom w:val="0"/>
      <w:divBdr>
        <w:top w:val="none" w:sz="0" w:space="0" w:color="auto"/>
        <w:left w:val="none" w:sz="0" w:space="0" w:color="auto"/>
        <w:bottom w:val="none" w:sz="0" w:space="0" w:color="auto"/>
        <w:right w:val="none" w:sz="0" w:space="0" w:color="auto"/>
      </w:divBdr>
    </w:div>
    <w:div w:id="518931542">
      <w:marLeft w:val="0"/>
      <w:marRight w:val="0"/>
      <w:marTop w:val="0"/>
      <w:marBottom w:val="0"/>
      <w:divBdr>
        <w:top w:val="none" w:sz="0" w:space="0" w:color="auto"/>
        <w:left w:val="none" w:sz="0" w:space="0" w:color="auto"/>
        <w:bottom w:val="none" w:sz="0" w:space="0" w:color="auto"/>
        <w:right w:val="none" w:sz="0" w:space="0" w:color="auto"/>
      </w:divBdr>
    </w:div>
    <w:div w:id="518931543">
      <w:marLeft w:val="0"/>
      <w:marRight w:val="0"/>
      <w:marTop w:val="0"/>
      <w:marBottom w:val="0"/>
      <w:divBdr>
        <w:top w:val="none" w:sz="0" w:space="0" w:color="auto"/>
        <w:left w:val="none" w:sz="0" w:space="0" w:color="auto"/>
        <w:bottom w:val="none" w:sz="0" w:space="0" w:color="auto"/>
        <w:right w:val="none" w:sz="0" w:space="0" w:color="auto"/>
      </w:divBdr>
    </w:div>
    <w:div w:id="518931544">
      <w:marLeft w:val="0"/>
      <w:marRight w:val="0"/>
      <w:marTop w:val="0"/>
      <w:marBottom w:val="0"/>
      <w:divBdr>
        <w:top w:val="none" w:sz="0" w:space="0" w:color="auto"/>
        <w:left w:val="none" w:sz="0" w:space="0" w:color="auto"/>
        <w:bottom w:val="none" w:sz="0" w:space="0" w:color="auto"/>
        <w:right w:val="none" w:sz="0" w:space="0" w:color="auto"/>
      </w:divBdr>
    </w:div>
    <w:div w:id="518931545">
      <w:marLeft w:val="0"/>
      <w:marRight w:val="0"/>
      <w:marTop w:val="0"/>
      <w:marBottom w:val="0"/>
      <w:divBdr>
        <w:top w:val="none" w:sz="0" w:space="0" w:color="auto"/>
        <w:left w:val="none" w:sz="0" w:space="0" w:color="auto"/>
        <w:bottom w:val="none" w:sz="0" w:space="0" w:color="auto"/>
        <w:right w:val="none" w:sz="0" w:space="0" w:color="auto"/>
      </w:divBdr>
    </w:div>
    <w:div w:id="518931546">
      <w:marLeft w:val="0"/>
      <w:marRight w:val="0"/>
      <w:marTop w:val="0"/>
      <w:marBottom w:val="0"/>
      <w:divBdr>
        <w:top w:val="none" w:sz="0" w:space="0" w:color="auto"/>
        <w:left w:val="none" w:sz="0" w:space="0" w:color="auto"/>
        <w:bottom w:val="none" w:sz="0" w:space="0" w:color="auto"/>
        <w:right w:val="none" w:sz="0" w:space="0" w:color="auto"/>
      </w:divBdr>
    </w:div>
    <w:div w:id="518931547">
      <w:marLeft w:val="0"/>
      <w:marRight w:val="0"/>
      <w:marTop w:val="0"/>
      <w:marBottom w:val="0"/>
      <w:divBdr>
        <w:top w:val="none" w:sz="0" w:space="0" w:color="auto"/>
        <w:left w:val="none" w:sz="0" w:space="0" w:color="auto"/>
        <w:bottom w:val="none" w:sz="0" w:space="0" w:color="auto"/>
        <w:right w:val="none" w:sz="0" w:space="0" w:color="auto"/>
      </w:divBdr>
    </w:div>
    <w:div w:id="518931548">
      <w:marLeft w:val="0"/>
      <w:marRight w:val="0"/>
      <w:marTop w:val="0"/>
      <w:marBottom w:val="0"/>
      <w:divBdr>
        <w:top w:val="none" w:sz="0" w:space="0" w:color="auto"/>
        <w:left w:val="none" w:sz="0" w:space="0" w:color="auto"/>
        <w:bottom w:val="none" w:sz="0" w:space="0" w:color="auto"/>
        <w:right w:val="none" w:sz="0" w:space="0" w:color="auto"/>
      </w:divBdr>
    </w:div>
    <w:div w:id="518931549">
      <w:marLeft w:val="0"/>
      <w:marRight w:val="0"/>
      <w:marTop w:val="0"/>
      <w:marBottom w:val="0"/>
      <w:divBdr>
        <w:top w:val="none" w:sz="0" w:space="0" w:color="auto"/>
        <w:left w:val="none" w:sz="0" w:space="0" w:color="auto"/>
        <w:bottom w:val="none" w:sz="0" w:space="0" w:color="auto"/>
        <w:right w:val="none" w:sz="0" w:space="0" w:color="auto"/>
      </w:divBdr>
    </w:div>
    <w:div w:id="518931550">
      <w:marLeft w:val="0"/>
      <w:marRight w:val="0"/>
      <w:marTop w:val="0"/>
      <w:marBottom w:val="0"/>
      <w:divBdr>
        <w:top w:val="none" w:sz="0" w:space="0" w:color="auto"/>
        <w:left w:val="none" w:sz="0" w:space="0" w:color="auto"/>
        <w:bottom w:val="none" w:sz="0" w:space="0" w:color="auto"/>
        <w:right w:val="none" w:sz="0" w:space="0" w:color="auto"/>
      </w:divBdr>
    </w:div>
    <w:div w:id="518931551">
      <w:marLeft w:val="0"/>
      <w:marRight w:val="0"/>
      <w:marTop w:val="0"/>
      <w:marBottom w:val="0"/>
      <w:divBdr>
        <w:top w:val="none" w:sz="0" w:space="0" w:color="auto"/>
        <w:left w:val="none" w:sz="0" w:space="0" w:color="auto"/>
        <w:bottom w:val="none" w:sz="0" w:space="0" w:color="auto"/>
        <w:right w:val="none" w:sz="0" w:space="0" w:color="auto"/>
      </w:divBdr>
    </w:div>
    <w:div w:id="518931552">
      <w:marLeft w:val="0"/>
      <w:marRight w:val="0"/>
      <w:marTop w:val="0"/>
      <w:marBottom w:val="0"/>
      <w:divBdr>
        <w:top w:val="none" w:sz="0" w:space="0" w:color="auto"/>
        <w:left w:val="none" w:sz="0" w:space="0" w:color="auto"/>
        <w:bottom w:val="none" w:sz="0" w:space="0" w:color="auto"/>
        <w:right w:val="none" w:sz="0" w:space="0" w:color="auto"/>
      </w:divBdr>
    </w:div>
    <w:div w:id="518931553">
      <w:marLeft w:val="0"/>
      <w:marRight w:val="0"/>
      <w:marTop w:val="0"/>
      <w:marBottom w:val="0"/>
      <w:divBdr>
        <w:top w:val="none" w:sz="0" w:space="0" w:color="auto"/>
        <w:left w:val="none" w:sz="0" w:space="0" w:color="auto"/>
        <w:bottom w:val="none" w:sz="0" w:space="0" w:color="auto"/>
        <w:right w:val="none" w:sz="0" w:space="0" w:color="auto"/>
      </w:divBdr>
    </w:div>
    <w:div w:id="518931554">
      <w:marLeft w:val="0"/>
      <w:marRight w:val="0"/>
      <w:marTop w:val="0"/>
      <w:marBottom w:val="0"/>
      <w:divBdr>
        <w:top w:val="none" w:sz="0" w:space="0" w:color="auto"/>
        <w:left w:val="none" w:sz="0" w:space="0" w:color="auto"/>
        <w:bottom w:val="none" w:sz="0" w:space="0" w:color="auto"/>
        <w:right w:val="none" w:sz="0" w:space="0" w:color="auto"/>
      </w:divBdr>
    </w:div>
    <w:div w:id="518931555">
      <w:marLeft w:val="0"/>
      <w:marRight w:val="0"/>
      <w:marTop w:val="0"/>
      <w:marBottom w:val="0"/>
      <w:divBdr>
        <w:top w:val="none" w:sz="0" w:space="0" w:color="auto"/>
        <w:left w:val="none" w:sz="0" w:space="0" w:color="auto"/>
        <w:bottom w:val="none" w:sz="0" w:space="0" w:color="auto"/>
        <w:right w:val="none" w:sz="0" w:space="0" w:color="auto"/>
      </w:divBdr>
    </w:div>
    <w:div w:id="518931556">
      <w:marLeft w:val="0"/>
      <w:marRight w:val="0"/>
      <w:marTop w:val="0"/>
      <w:marBottom w:val="0"/>
      <w:divBdr>
        <w:top w:val="none" w:sz="0" w:space="0" w:color="auto"/>
        <w:left w:val="none" w:sz="0" w:space="0" w:color="auto"/>
        <w:bottom w:val="none" w:sz="0" w:space="0" w:color="auto"/>
        <w:right w:val="none" w:sz="0" w:space="0" w:color="auto"/>
      </w:divBdr>
    </w:div>
    <w:div w:id="518931557">
      <w:marLeft w:val="0"/>
      <w:marRight w:val="0"/>
      <w:marTop w:val="0"/>
      <w:marBottom w:val="0"/>
      <w:divBdr>
        <w:top w:val="none" w:sz="0" w:space="0" w:color="auto"/>
        <w:left w:val="none" w:sz="0" w:space="0" w:color="auto"/>
        <w:bottom w:val="none" w:sz="0" w:space="0" w:color="auto"/>
        <w:right w:val="none" w:sz="0" w:space="0" w:color="auto"/>
      </w:divBdr>
    </w:div>
    <w:div w:id="518931558">
      <w:marLeft w:val="0"/>
      <w:marRight w:val="0"/>
      <w:marTop w:val="0"/>
      <w:marBottom w:val="0"/>
      <w:divBdr>
        <w:top w:val="none" w:sz="0" w:space="0" w:color="auto"/>
        <w:left w:val="none" w:sz="0" w:space="0" w:color="auto"/>
        <w:bottom w:val="none" w:sz="0" w:space="0" w:color="auto"/>
        <w:right w:val="none" w:sz="0" w:space="0" w:color="auto"/>
      </w:divBdr>
    </w:div>
    <w:div w:id="518931559">
      <w:marLeft w:val="0"/>
      <w:marRight w:val="0"/>
      <w:marTop w:val="0"/>
      <w:marBottom w:val="0"/>
      <w:divBdr>
        <w:top w:val="none" w:sz="0" w:space="0" w:color="auto"/>
        <w:left w:val="none" w:sz="0" w:space="0" w:color="auto"/>
        <w:bottom w:val="none" w:sz="0" w:space="0" w:color="auto"/>
        <w:right w:val="none" w:sz="0" w:space="0" w:color="auto"/>
      </w:divBdr>
    </w:div>
    <w:div w:id="518931560">
      <w:marLeft w:val="0"/>
      <w:marRight w:val="0"/>
      <w:marTop w:val="0"/>
      <w:marBottom w:val="0"/>
      <w:divBdr>
        <w:top w:val="none" w:sz="0" w:space="0" w:color="auto"/>
        <w:left w:val="none" w:sz="0" w:space="0" w:color="auto"/>
        <w:bottom w:val="none" w:sz="0" w:space="0" w:color="auto"/>
        <w:right w:val="none" w:sz="0" w:space="0" w:color="auto"/>
      </w:divBdr>
    </w:div>
    <w:div w:id="518931561">
      <w:marLeft w:val="0"/>
      <w:marRight w:val="0"/>
      <w:marTop w:val="0"/>
      <w:marBottom w:val="0"/>
      <w:divBdr>
        <w:top w:val="none" w:sz="0" w:space="0" w:color="auto"/>
        <w:left w:val="none" w:sz="0" w:space="0" w:color="auto"/>
        <w:bottom w:val="none" w:sz="0" w:space="0" w:color="auto"/>
        <w:right w:val="none" w:sz="0" w:space="0" w:color="auto"/>
      </w:divBdr>
    </w:div>
    <w:div w:id="518931562">
      <w:marLeft w:val="0"/>
      <w:marRight w:val="0"/>
      <w:marTop w:val="0"/>
      <w:marBottom w:val="0"/>
      <w:divBdr>
        <w:top w:val="none" w:sz="0" w:space="0" w:color="auto"/>
        <w:left w:val="none" w:sz="0" w:space="0" w:color="auto"/>
        <w:bottom w:val="none" w:sz="0" w:space="0" w:color="auto"/>
        <w:right w:val="none" w:sz="0" w:space="0" w:color="auto"/>
      </w:divBdr>
    </w:div>
    <w:div w:id="5189315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elinkfp01\data1\Governance%20Services\DCUSA\Administration\Change%20Process\DCP_158\Change%20Report\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3FD35-9BAD-4469-B156-8748F6B0F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57BDE6B5</Template>
  <TotalTime>1</TotalTime>
  <Pages>25</Pages>
  <Words>7063</Words>
  <Characters>40260</Characters>
  <Application>Microsoft Office Word</Application>
  <DocSecurity>4</DocSecurity>
  <Lines>335</Lines>
  <Paragraphs>94</Paragraphs>
  <ScaleCrop>false</ScaleCrop>
  <HeadingPairs>
    <vt:vector size="2" baseType="variant">
      <vt:variant>
        <vt:lpstr>Title</vt:lpstr>
      </vt:variant>
      <vt:variant>
        <vt:i4>1</vt:i4>
      </vt:variant>
    </vt:vector>
  </HeadingPairs>
  <TitlesOfParts>
    <vt:vector size="1" baseType="lpstr">
      <vt:lpstr>DCUSA CHANGE REPORT</vt:lpstr>
    </vt:vector>
  </TitlesOfParts>
  <Company>Microsoft</Company>
  <LinksUpToDate>false</LinksUpToDate>
  <CharactersWithSpaces>47229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hynesc</cp:lastModifiedBy>
  <cp:revision>2</cp:revision>
  <cp:lastPrinted>2012-01-30T17:09:00Z</cp:lastPrinted>
  <dcterms:created xsi:type="dcterms:W3CDTF">2014-05-27T10:48:00Z</dcterms:created>
  <dcterms:modified xsi:type="dcterms:W3CDTF">2014-05-27T10:48:00Z</dcterms:modified>
</cp:coreProperties>
</file>