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Default="009424C0" w:rsidP="00435098">
      <w:pPr>
        <w:ind w:hanging="851"/>
        <w:rPr>
          <w:noProof/>
          <w:lang w:val="en-US"/>
        </w:rPr>
      </w:pPr>
      <w:r>
        <w:rPr>
          <w:noProof/>
        </w:rPr>
        <w:drawing>
          <wp:inline distT="0" distB="0" distL="0" distR="0">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Default="00435098">
      <w:pPr>
        <w:rPr>
          <w:noProof/>
          <w:lang w:val="en-US"/>
        </w:rPr>
      </w:pPr>
    </w:p>
    <w:p w:rsidR="00435098" w:rsidRDefault="00435098">
      <w:pPr>
        <w:rPr>
          <w:noProof/>
          <w:lang w:val="en-US"/>
        </w:rPr>
      </w:pPr>
    </w:p>
    <w:p w:rsidR="00612C60" w:rsidRDefault="00612C60"/>
    <w:p w:rsidR="00594568" w:rsidRDefault="00594568" w:rsidP="00594568">
      <w:pPr>
        <w:pStyle w:val="Header"/>
      </w:pPr>
    </w:p>
    <w:p w:rsidR="00594568" w:rsidRDefault="00594568" w:rsidP="00594568">
      <w:pPr>
        <w:pStyle w:val="Header"/>
      </w:pPr>
    </w:p>
    <w:p w:rsidR="00594568" w:rsidRDefault="00126F6B" w:rsidP="00594568">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218430" cy="1562986"/>
                <wp:effectExtent l="0" t="0" r="20320" b="1841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562986"/>
                        </a:xfrm>
                        <a:prstGeom prst="rect">
                          <a:avLst/>
                        </a:prstGeom>
                        <a:solidFill>
                          <a:srgbClr val="FFFFFF"/>
                        </a:solidFill>
                        <a:ln w="9525">
                          <a:solidFill>
                            <a:srgbClr val="000000"/>
                          </a:solidFill>
                          <a:miter lim="800000"/>
                          <a:headEnd/>
                          <a:tailEnd/>
                        </a:ln>
                      </wps:spPr>
                      <wps:txb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w:t>
                            </w:r>
                            <w:r w:rsidR="00115122">
                              <w:rPr>
                                <w:rFonts w:asciiTheme="minorHAnsi" w:hAnsiTheme="minorHAnsi"/>
                                <w:b/>
                                <w:sz w:val="40"/>
                                <w:szCs w:val="40"/>
                              </w:rPr>
                              <w:t>HANGE REPORT</w:t>
                            </w:r>
                          </w:p>
                          <w:p w:rsidR="00594568" w:rsidRPr="00594568" w:rsidRDefault="00594568" w:rsidP="00594568">
                            <w:pPr>
                              <w:rPr>
                                <w:rFonts w:asciiTheme="minorHAnsi" w:hAnsiTheme="minorHAnsi"/>
                                <w:sz w:val="40"/>
                                <w:szCs w:val="40"/>
                              </w:rPr>
                            </w:pPr>
                          </w:p>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 xml:space="preserve">DCP </w:t>
                            </w:r>
                            <w:r w:rsidR="00B96DC8">
                              <w:rPr>
                                <w:rFonts w:asciiTheme="minorHAnsi" w:hAnsiTheme="minorHAnsi"/>
                                <w:b/>
                                <w:sz w:val="40"/>
                                <w:szCs w:val="40"/>
                              </w:rPr>
                              <w:t>164 - Review of the Change Process for Use of System Methodology C</w:t>
                            </w:r>
                            <w:r w:rsidR="00B96DC8" w:rsidRPr="00B96DC8">
                              <w:rPr>
                                <w:rFonts w:asciiTheme="minorHAnsi" w:hAnsiTheme="minorHAnsi"/>
                                <w:b/>
                                <w:sz w:val="40"/>
                                <w:szCs w:val="40"/>
                              </w:rPr>
                              <w:t>hanges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23.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">
                <v:textbo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w:t>
                      </w:r>
                      <w:r w:rsidR="00115122">
                        <w:rPr>
                          <w:rFonts w:asciiTheme="minorHAnsi" w:hAnsiTheme="minorHAnsi"/>
                          <w:b/>
                          <w:sz w:val="40"/>
                          <w:szCs w:val="40"/>
                        </w:rPr>
                        <w:t>HANGE REPORT</w:t>
                      </w:r>
                    </w:p>
                    <w:p w:rsidR="00594568" w:rsidRPr="00594568" w:rsidRDefault="00594568" w:rsidP="00594568">
                      <w:pPr>
                        <w:rPr>
                          <w:rFonts w:asciiTheme="minorHAnsi" w:hAnsiTheme="minorHAnsi"/>
                          <w:sz w:val="40"/>
                          <w:szCs w:val="40"/>
                        </w:rPr>
                      </w:pPr>
                    </w:p>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 xml:space="preserve">DCP </w:t>
                      </w:r>
                      <w:r w:rsidR="00B96DC8">
                        <w:rPr>
                          <w:rFonts w:asciiTheme="minorHAnsi" w:hAnsiTheme="minorHAnsi"/>
                          <w:b/>
                          <w:sz w:val="40"/>
                          <w:szCs w:val="40"/>
                        </w:rPr>
                        <w:t>164 - Review of the Change Process for Use of System Methodology C</w:t>
                      </w:r>
                      <w:r w:rsidR="00B96DC8" w:rsidRPr="00B96DC8">
                        <w:rPr>
                          <w:rFonts w:asciiTheme="minorHAnsi" w:hAnsiTheme="minorHAnsi"/>
                          <w:b/>
                          <w:sz w:val="40"/>
                          <w:szCs w:val="40"/>
                        </w:rPr>
                        <w:t>hanges</w:t>
                      </w:r>
                    </w:p>
                  </w:txbxContent>
                </v:textbox>
              </v:shape>
            </w:pict>
          </mc:Fallback>
        </mc:AlternateContent>
      </w:r>
    </w:p>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E8599C" w:rsidRPr="00224683" w:rsidRDefault="00E8599C" w:rsidP="00224683">
      <w:pPr>
        <w:pStyle w:val="Heading1"/>
        <w:spacing w:line="360" w:lineRule="auto"/>
        <w:rPr>
          <w:b/>
          <w:caps/>
          <w:sz w:val="20"/>
          <w:szCs w:val="20"/>
        </w:rPr>
      </w:pPr>
      <w:r w:rsidRPr="00224683">
        <w:rPr>
          <w:b/>
          <w:caps/>
          <w:sz w:val="20"/>
          <w:szCs w:val="20"/>
        </w:rPr>
        <w:lastRenderedPageBreak/>
        <w:t>PURPOSE</w:t>
      </w:r>
    </w:p>
    <w:p w:rsidR="00115122" w:rsidRPr="00B96DC8" w:rsidRDefault="00115122" w:rsidP="003D5CC4">
      <w:pPr>
        <w:pStyle w:val="Heading2"/>
        <w:tabs>
          <w:tab w:val="clear" w:pos="576"/>
          <w:tab w:val="num" w:pos="567"/>
        </w:tabs>
        <w:spacing w:line="360" w:lineRule="auto"/>
        <w:ind w:left="567" w:hanging="567"/>
        <w:rPr>
          <w:sz w:val="20"/>
          <w:szCs w:val="20"/>
        </w:rPr>
      </w:pPr>
      <w:r w:rsidRPr="00B96DC8">
        <w:rPr>
          <w:sz w:val="20"/>
          <w:szCs w:val="20"/>
        </w:rPr>
        <w:t xml:space="preserve">This document is issued in accordance with Clause 11.20 of the DCUSA, and details DCP </w:t>
      </w:r>
      <w:r w:rsidR="00022762">
        <w:rPr>
          <w:sz w:val="20"/>
          <w:szCs w:val="20"/>
        </w:rPr>
        <w:t>164 - Review of the Change P</w:t>
      </w:r>
      <w:r w:rsidR="00B96DC8" w:rsidRPr="00B96DC8">
        <w:rPr>
          <w:sz w:val="20"/>
          <w:szCs w:val="20"/>
        </w:rPr>
        <w:t xml:space="preserve">rocess </w:t>
      </w:r>
      <w:r w:rsidR="00022762">
        <w:rPr>
          <w:sz w:val="20"/>
          <w:szCs w:val="20"/>
        </w:rPr>
        <w:t>for Use of System Methodology C</w:t>
      </w:r>
      <w:r w:rsidR="00B96DC8" w:rsidRPr="00B96DC8">
        <w:rPr>
          <w:sz w:val="20"/>
          <w:szCs w:val="20"/>
        </w:rPr>
        <w:t>hanges</w:t>
      </w:r>
      <w:r w:rsidRPr="00B96DC8">
        <w:rPr>
          <w:sz w:val="20"/>
          <w:szCs w:val="20"/>
        </w:rPr>
        <w:t xml:space="preserve">. The voting process for the proposed variation and the timetable of the progression of the Change Proposal (CP) through the DCUSA Change Control Process is set out in this document. </w:t>
      </w:r>
    </w:p>
    <w:p w:rsidR="00115122" w:rsidRPr="00115122" w:rsidRDefault="00115122" w:rsidP="003D5CC4">
      <w:pPr>
        <w:pStyle w:val="Heading2"/>
        <w:tabs>
          <w:tab w:val="clear" w:pos="576"/>
          <w:tab w:val="num" w:pos="567"/>
        </w:tabs>
        <w:spacing w:line="360" w:lineRule="auto"/>
        <w:ind w:left="567" w:hanging="567"/>
        <w:rPr>
          <w:sz w:val="20"/>
          <w:szCs w:val="20"/>
        </w:rPr>
      </w:pPr>
      <w:r w:rsidRPr="00115122">
        <w:rPr>
          <w:sz w:val="20"/>
          <w:szCs w:val="20"/>
        </w:rPr>
        <w:t>Parties are invited to consider the proposed amendment (</w:t>
      </w:r>
      <w:r w:rsidRPr="00B96DC8">
        <w:rPr>
          <w:color w:val="FF0000"/>
          <w:sz w:val="20"/>
          <w:szCs w:val="20"/>
        </w:rPr>
        <w:t xml:space="preserve">Appendix </w:t>
      </w:r>
      <w:r w:rsidR="008371DE">
        <w:rPr>
          <w:color w:val="FF0000"/>
          <w:sz w:val="20"/>
          <w:szCs w:val="20"/>
        </w:rPr>
        <w:t>B</w:t>
      </w:r>
      <w:r w:rsidR="00B96DC8">
        <w:rPr>
          <w:sz w:val="20"/>
          <w:szCs w:val="20"/>
        </w:rPr>
        <w:t xml:space="preserve">) </w:t>
      </w:r>
      <w:r w:rsidRPr="00115122">
        <w:rPr>
          <w:sz w:val="20"/>
          <w:szCs w:val="20"/>
        </w:rPr>
        <w:t xml:space="preserve">and submit their votes using the </w:t>
      </w:r>
      <w:r>
        <w:rPr>
          <w:sz w:val="20"/>
          <w:szCs w:val="20"/>
        </w:rPr>
        <w:t xml:space="preserve">Voting </w:t>
      </w:r>
      <w:r w:rsidRPr="00115122">
        <w:rPr>
          <w:sz w:val="20"/>
          <w:szCs w:val="20"/>
        </w:rPr>
        <w:t xml:space="preserve">form </w:t>
      </w:r>
      <w:r w:rsidR="00B96DC8">
        <w:rPr>
          <w:sz w:val="20"/>
          <w:szCs w:val="20"/>
        </w:rPr>
        <w:t>(</w:t>
      </w:r>
      <w:r w:rsidR="00B96DC8" w:rsidRPr="0024202A">
        <w:rPr>
          <w:color w:val="FF0000"/>
          <w:sz w:val="20"/>
          <w:szCs w:val="20"/>
        </w:rPr>
        <w:t xml:space="preserve">Appendix </w:t>
      </w:r>
      <w:r w:rsidR="008371DE">
        <w:rPr>
          <w:color w:val="FF0000"/>
          <w:sz w:val="20"/>
          <w:szCs w:val="20"/>
        </w:rPr>
        <w:t>C</w:t>
      </w:r>
      <w:r>
        <w:rPr>
          <w:sz w:val="20"/>
          <w:szCs w:val="20"/>
        </w:rPr>
        <w:t>)</w:t>
      </w:r>
      <w:r w:rsidRPr="00115122">
        <w:rPr>
          <w:sz w:val="20"/>
          <w:szCs w:val="20"/>
        </w:rPr>
        <w:t xml:space="preserve"> to dcusa@electralink.co.uk by</w:t>
      </w:r>
      <w:r w:rsidR="00A1470B">
        <w:rPr>
          <w:b/>
          <w:color w:val="FF0000"/>
          <w:sz w:val="20"/>
          <w:szCs w:val="20"/>
        </w:rPr>
        <w:t xml:space="preserve"> 5 July 2013</w:t>
      </w:r>
      <w:r w:rsidRPr="00B96DC8">
        <w:rPr>
          <w:color w:val="FF0000"/>
          <w:sz w:val="20"/>
          <w:szCs w:val="20"/>
        </w:rPr>
        <w:t>.</w:t>
      </w:r>
    </w:p>
    <w:p w:rsidR="00A218BB" w:rsidRPr="00BF0B49" w:rsidRDefault="00EF7362" w:rsidP="00224683">
      <w:pPr>
        <w:pStyle w:val="Heading1"/>
        <w:spacing w:line="360" w:lineRule="auto"/>
        <w:rPr>
          <w:b/>
          <w:caps/>
          <w:sz w:val="20"/>
          <w:szCs w:val="20"/>
        </w:rPr>
      </w:pPr>
      <w:r w:rsidRPr="00BF0B49">
        <w:rPr>
          <w:b/>
          <w:caps/>
          <w:sz w:val="20"/>
          <w:szCs w:val="20"/>
        </w:rPr>
        <w:t>Background</w:t>
      </w:r>
      <w:r w:rsidR="00B96DC8">
        <w:rPr>
          <w:b/>
          <w:caps/>
          <w:sz w:val="20"/>
          <w:szCs w:val="20"/>
        </w:rPr>
        <w:t xml:space="preserve"> </w:t>
      </w:r>
    </w:p>
    <w:p w:rsidR="0024202A" w:rsidRPr="0024202A" w:rsidRDefault="00B96DC8" w:rsidP="003D5CC4">
      <w:pPr>
        <w:pStyle w:val="Heading2"/>
        <w:tabs>
          <w:tab w:val="clear" w:pos="576"/>
          <w:tab w:val="num" w:pos="718"/>
        </w:tabs>
        <w:spacing w:line="360" w:lineRule="auto"/>
        <w:ind w:left="567" w:hanging="567"/>
        <w:rPr>
          <w:sz w:val="20"/>
          <w:szCs w:val="20"/>
        </w:rPr>
      </w:pPr>
      <w:r>
        <w:rPr>
          <w:sz w:val="20"/>
          <w:szCs w:val="20"/>
        </w:rPr>
        <w:t xml:space="preserve">DCP 164 seeks to introduce </w:t>
      </w:r>
      <w:r w:rsidR="0024202A" w:rsidRPr="0024202A">
        <w:rPr>
          <w:sz w:val="20"/>
          <w:szCs w:val="20"/>
        </w:rPr>
        <w:t>a managed change process for charging methodology related DCUSA Change Proposals. T</w:t>
      </w:r>
      <w:r w:rsidR="0024202A">
        <w:rPr>
          <w:sz w:val="20"/>
          <w:szCs w:val="20"/>
        </w:rPr>
        <w:t xml:space="preserve">he </w:t>
      </w:r>
      <w:r w:rsidR="0074055F">
        <w:rPr>
          <w:sz w:val="20"/>
          <w:szCs w:val="20"/>
        </w:rPr>
        <w:t xml:space="preserve">purpose </w:t>
      </w:r>
      <w:r w:rsidR="0024202A">
        <w:rPr>
          <w:sz w:val="20"/>
          <w:szCs w:val="20"/>
        </w:rPr>
        <w:t>of th</w:t>
      </w:r>
      <w:r w:rsidR="0074055F">
        <w:rPr>
          <w:sz w:val="20"/>
          <w:szCs w:val="20"/>
        </w:rPr>
        <w:t>is managed change process is to</w:t>
      </w:r>
      <w:r w:rsidR="0024202A">
        <w:rPr>
          <w:sz w:val="20"/>
          <w:szCs w:val="20"/>
        </w:rPr>
        <w:t xml:space="preserve"> </w:t>
      </w:r>
      <w:r w:rsidR="0024202A" w:rsidRPr="0024202A">
        <w:rPr>
          <w:sz w:val="20"/>
          <w:szCs w:val="20"/>
        </w:rPr>
        <w:t xml:space="preserve">make the implementation of charging related DCPs more effective by limiting the implementation of model changes (unless urgent) to one combined release each year and defining the timescales for the production of the models. </w:t>
      </w:r>
    </w:p>
    <w:p w:rsidR="004F4F3C" w:rsidRDefault="000944D8" w:rsidP="003D5CC4">
      <w:pPr>
        <w:pStyle w:val="Heading2"/>
        <w:tabs>
          <w:tab w:val="clear" w:pos="576"/>
          <w:tab w:val="num" w:pos="718"/>
        </w:tabs>
        <w:spacing w:line="360" w:lineRule="auto"/>
        <w:ind w:left="567" w:hanging="567"/>
        <w:rPr>
          <w:sz w:val="20"/>
          <w:szCs w:val="20"/>
        </w:rPr>
      </w:pPr>
      <w:r>
        <w:rPr>
          <w:sz w:val="20"/>
          <w:szCs w:val="20"/>
        </w:rPr>
        <w:t xml:space="preserve">The CP was raised by Northern Powergrid </w:t>
      </w:r>
      <w:r w:rsidRPr="000944D8">
        <w:rPr>
          <w:sz w:val="20"/>
          <w:szCs w:val="20"/>
        </w:rPr>
        <w:t>following discussions at the Distribution Charging Methodologies Forum (DCMF) Methodologies Issues Group (MIG).</w:t>
      </w:r>
    </w:p>
    <w:p w:rsidR="00115122" w:rsidRPr="00BF0B49" w:rsidRDefault="00115122" w:rsidP="00224683">
      <w:pPr>
        <w:pStyle w:val="Heading1"/>
        <w:spacing w:line="360" w:lineRule="auto"/>
        <w:rPr>
          <w:b/>
          <w:caps/>
          <w:sz w:val="20"/>
          <w:szCs w:val="20"/>
        </w:rPr>
      </w:pPr>
      <w:r w:rsidRPr="00BF0B49">
        <w:rPr>
          <w:b/>
          <w:caps/>
          <w:sz w:val="20"/>
          <w:szCs w:val="20"/>
        </w:rPr>
        <w:t>Working Group</w:t>
      </w:r>
      <w:r w:rsidR="008346F9">
        <w:rPr>
          <w:b/>
          <w:caps/>
          <w:sz w:val="20"/>
          <w:szCs w:val="20"/>
        </w:rPr>
        <w:t xml:space="preserve"> </w:t>
      </w:r>
      <w:r w:rsidR="00895759">
        <w:rPr>
          <w:b/>
          <w:caps/>
          <w:sz w:val="20"/>
          <w:szCs w:val="20"/>
        </w:rPr>
        <w:t xml:space="preserve">Assessment </w:t>
      </w:r>
      <w:r w:rsidR="00A90B88">
        <w:rPr>
          <w:b/>
          <w:caps/>
          <w:sz w:val="20"/>
          <w:szCs w:val="20"/>
        </w:rPr>
        <w:t>of DCP 164</w:t>
      </w:r>
    </w:p>
    <w:p w:rsidR="000944D8" w:rsidRDefault="00A90B88" w:rsidP="000944D8">
      <w:pPr>
        <w:pStyle w:val="Heading2"/>
        <w:keepNext w:val="0"/>
        <w:widowControl w:val="0"/>
        <w:spacing w:line="360" w:lineRule="auto"/>
        <w:ind w:left="578" w:hanging="578"/>
        <w:rPr>
          <w:sz w:val="20"/>
          <w:szCs w:val="20"/>
        </w:rPr>
      </w:pPr>
      <w:r>
        <w:rPr>
          <w:bCs w:val="0"/>
          <w:iCs w:val="0"/>
          <w:sz w:val="20"/>
          <w:szCs w:val="20"/>
        </w:rPr>
        <w:t xml:space="preserve">The DCP 164 Working Group </w:t>
      </w:r>
      <w:r w:rsidR="000944D8">
        <w:rPr>
          <w:bCs w:val="0"/>
          <w:iCs w:val="0"/>
          <w:sz w:val="20"/>
          <w:szCs w:val="20"/>
        </w:rPr>
        <w:t>met on</w:t>
      </w:r>
      <w:r w:rsidR="000944D8" w:rsidRPr="00773627">
        <w:rPr>
          <w:bCs w:val="0"/>
          <w:iCs w:val="0"/>
          <w:color w:val="FF0000"/>
          <w:sz w:val="20"/>
          <w:szCs w:val="20"/>
        </w:rPr>
        <w:t xml:space="preserve"> </w:t>
      </w:r>
      <w:r w:rsidR="00E40DFE">
        <w:rPr>
          <w:bCs w:val="0"/>
          <w:iCs w:val="0"/>
          <w:color w:val="FF0000"/>
          <w:sz w:val="20"/>
          <w:szCs w:val="20"/>
        </w:rPr>
        <w:t>four</w:t>
      </w:r>
      <w:r w:rsidR="000944D8">
        <w:rPr>
          <w:bCs w:val="0"/>
          <w:iCs w:val="0"/>
          <w:sz w:val="20"/>
          <w:szCs w:val="20"/>
        </w:rPr>
        <w:t xml:space="preserve"> occasions. The group comprise</w:t>
      </w:r>
      <w:r>
        <w:rPr>
          <w:bCs w:val="0"/>
          <w:iCs w:val="0"/>
          <w:sz w:val="20"/>
          <w:szCs w:val="20"/>
        </w:rPr>
        <w:t>d</w:t>
      </w:r>
      <w:r w:rsidR="000944D8">
        <w:rPr>
          <w:bCs w:val="0"/>
          <w:iCs w:val="0"/>
          <w:sz w:val="20"/>
          <w:szCs w:val="20"/>
        </w:rPr>
        <w:t xml:space="preserve"> of </w:t>
      </w:r>
      <w:r w:rsidR="000944D8">
        <w:rPr>
          <w:sz w:val="20"/>
          <w:szCs w:val="20"/>
        </w:rPr>
        <w:t xml:space="preserve">representatives from Suppliers, </w:t>
      </w:r>
      <w:r w:rsidR="000944D8" w:rsidRPr="008C77AE">
        <w:rPr>
          <w:sz w:val="20"/>
          <w:szCs w:val="20"/>
        </w:rPr>
        <w:t>Distributor</w:t>
      </w:r>
      <w:r w:rsidR="000944D8">
        <w:rPr>
          <w:sz w:val="20"/>
          <w:szCs w:val="20"/>
        </w:rPr>
        <w:t xml:space="preserve">s and Ofgem. Meetings are held in open session and the documents of each meeting are available on the DCUSA website – </w:t>
      </w:r>
      <w:hyperlink r:id="rId9" w:history="1">
        <w:r w:rsidR="000944D8" w:rsidRPr="00027D16">
          <w:rPr>
            <w:rStyle w:val="Hyperlink"/>
            <w:sz w:val="20"/>
            <w:szCs w:val="20"/>
          </w:rPr>
          <w:t>www.dcusa.co.uk</w:t>
        </w:r>
      </w:hyperlink>
      <w:r w:rsidR="000944D8">
        <w:rPr>
          <w:sz w:val="20"/>
          <w:szCs w:val="20"/>
        </w:rPr>
        <w:t>.</w:t>
      </w:r>
    </w:p>
    <w:p w:rsidR="003D5CC4" w:rsidRPr="008346F9" w:rsidRDefault="0044068D" w:rsidP="003D5CC4">
      <w:pPr>
        <w:pStyle w:val="Heading2"/>
        <w:rPr>
          <w:b/>
          <w:sz w:val="20"/>
          <w:szCs w:val="20"/>
        </w:rPr>
      </w:pPr>
      <w:r w:rsidRPr="008346F9">
        <w:rPr>
          <w:b/>
          <w:sz w:val="20"/>
          <w:szCs w:val="20"/>
        </w:rPr>
        <w:t>DCUSA Models Impacted by DCP 164</w:t>
      </w:r>
    </w:p>
    <w:p w:rsidR="00E854F6" w:rsidRPr="008346F9" w:rsidRDefault="003C566D" w:rsidP="005B273A">
      <w:pPr>
        <w:pStyle w:val="Heading2"/>
        <w:numPr>
          <w:ilvl w:val="2"/>
          <w:numId w:val="5"/>
        </w:numPr>
        <w:spacing w:line="360" w:lineRule="auto"/>
        <w:ind w:left="567" w:hanging="567"/>
        <w:rPr>
          <w:sz w:val="20"/>
          <w:szCs w:val="20"/>
        </w:rPr>
      </w:pPr>
      <w:r w:rsidRPr="003D5CC4">
        <w:rPr>
          <w:sz w:val="20"/>
          <w:szCs w:val="20"/>
        </w:rPr>
        <w:t>The Working Group discussed DCP 164 and noted that the intent is to provide clear timescales for the incorporation of changes to:</w:t>
      </w:r>
    </w:p>
    <w:p w:rsidR="003C566D" w:rsidRDefault="003C566D" w:rsidP="004D7419">
      <w:pPr>
        <w:pStyle w:val="Heading2"/>
        <w:keepNext w:val="0"/>
        <w:widowControl w:val="0"/>
        <w:numPr>
          <w:ilvl w:val="0"/>
          <w:numId w:val="4"/>
        </w:numPr>
        <w:spacing w:before="120" w:after="120"/>
        <w:ind w:left="1293" w:hanging="357"/>
        <w:rPr>
          <w:sz w:val="20"/>
          <w:szCs w:val="20"/>
        </w:rPr>
      </w:pPr>
      <w:r>
        <w:rPr>
          <w:sz w:val="20"/>
          <w:szCs w:val="20"/>
        </w:rPr>
        <w:t xml:space="preserve">The </w:t>
      </w:r>
      <w:r w:rsidRPr="00FB0DB7">
        <w:rPr>
          <w:sz w:val="20"/>
          <w:szCs w:val="20"/>
        </w:rPr>
        <w:t>Common Distribution Charging Methodology (CDCM) model; and</w:t>
      </w:r>
    </w:p>
    <w:p w:rsidR="003C566D" w:rsidRPr="00BB4881" w:rsidRDefault="003C566D" w:rsidP="004D7419">
      <w:pPr>
        <w:pStyle w:val="Heading2"/>
        <w:keepNext w:val="0"/>
        <w:widowControl w:val="0"/>
        <w:numPr>
          <w:ilvl w:val="0"/>
          <w:numId w:val="4"/>
        </w:numPr>
        <w:spacing w:before="120" w:after="0"/>
        <w:ind w:left="1293" w:hanging="357"/>
        <w:rPr>
          <w:sz w:val="20"/>
          <w:szCs w:val="20"/>
        </w:rPr>
      </w:pPr>
      <w:r>
        <w:rPr>
          <w:sz w:val="20"/>
          <w:szCs w:val="20"/>
        </w:rPr>
        <w:t xml:space="preserve">The </w:t>
      </w:r>
      <w:r w:rsidRPr="00FB0DB7">
        <w:rPr>
          <w:sz w:val="20"/>
          <w:szCs w:val="20"/>
        </w:rPr>
        <w:t>EHV Distribution Charging Methodology (EDCM) model</w:t>
      </w:r>
    </w:p>
    <w:p w:rsidR="003C566D" w:rsidRPr="00FB0DB7" w:rsidRDefault="00895759" w:rsidP="00895759">
      <w:pPr>
        <w:pStyle w:val="Heading2"/>
        <w:keepNext w:val="0"/>
        <w:widowControl w:val="0"/>
        <w:numPr>
          <w:ilvl w:val="0"/>
          <w:numId w:val="0"/>
        </w:numPr>
        <w:spacing w:line="360" w:lineRule="auto"/>
        <w:ind w:left="576" w:hanging="576"/>
        <w:rPr>
          <w:sz w:val="20"/>
          <w:szCs w:val="20"/>
        </w:rPr>
      </w:pPr>
      <w:r>
        <w:rPr>
          <w:sz w:val="20"/>
          <w:szCs w:val="20"/>
        </w:rPr>
        <w:lastRenderedPageBreak/>
        <w:t>3.2.2</w:t>
      </w:r>
      <w:r>
        <w:rPr>
          <w:sz w:val="20"/>
          <w:szCs w:val="20"/>
        </w:rPr>
        <w:tab/>
      </w:r>
      <w:r w:rsidR="003C566D">
        <w:rPr>
          <w:sz w:val="20"/>
          <w:szCs w:val="20"/>
        </w:rPr>
        <w:t xml:space="preserve">It is intended </w:t>
      </w:r>
      <w:r w:rsidR="00EA7509">
        <w:rPr>
          <w:sz w:val="20"/>
          <w:szCs w:val="20"/>
        </w:rPr>
        <w:t xml:space="preserve">that </w:t>
      </w:r>
      <w:r w:rsidR="003C566D">
        <w:rPr>
          <w:sz w:val="20"/>
          <w:szCs w:val="20"/>
        </w:rPr>
        <w:t>the DCP 164 timescales w</w:t>
      </w:r>
      <w:r w:rsidR="003C566D" w:rsidRPr="00FB0DB7">
        <w:rPr>
          <w:sz w:val="20"/>
          <w:szCs w:val="20"/>
        </w:rPr>
        <w:t>ould also apply to the following models, if they are approved for incorporation into DCUSA Governance:</w:t>
      </w:r>
    </w:p>
    <w:p w:rsidR="003C566D" w:rsidRPr="00261A0F" w:rsidRDefault="003C566D" w:rsidP="004D7419">
      <w:pPr>
        <w:pStyle w:val="Heading2"/>
        <w:keepNext w:val="0"/>
        <w:widowControl w:val="0"/>
        <w:numPr>
          <w:ilvl w:val="0"/>
          <w:numId w:val="4"/>
        </w:numPr>
        <w:spacing w:before="120" w:after="0"/>
        <w:ind w:left="1293" w:hanging="357"/>
        <w:rPr>
          <w:sz w:val="20"/>
          <w:szCs w:val="20"/>
        </w:rPr>
      </w:pPr>
      <w:r w:rsidRPr="00261A0F">
        <w:rPr>
          <w:sz w:val="20"/>
          <w:szCs w:val="20"/>
        </w:rPr>
        <w:t xml:space="preserve">The common Hypothetical Incremental Distribution Asset Model </w:t>
      </w:r>
      <w:r>
        <w:rPr>
          <w:sz w:val="20"/>
          <w:szCs w:val="20"/>
        </w:rPr>
        <w:t xml:space="preserve">(HIDAM), which is also </w:t>
      </w:r>
      <w:r w:rsidRPr="00261A0F">
        <w:rPr>
          <w:sz w:val="20"/>
          <w:szCs w:val="20"/>
        </w:rPr>
        <w:t>known as the 500MW model. DCP 133</w:t>
      </w:r>
      <w:r w:rsidRPr="00005CCF">
        <w:rPr>
          <w:vertAlign w:val="superscript"/>
        </w:rPr>
        <w:footnoteReference w:id="1"/>
      </w:r>
      <w:r w:rsidRPr="00005CCF">
        <w:rPr>
          <w:sz w:val="20"/>
          <w:szCs w:val="20"/>
          <w:vertAlign w:val="superscript"/>
        </w:rPr>
        <w:t xml:space="preserve"> </w:t>
      </w:r>
      <w:r w:rsidRPr="00261A0F">
        <w:rPr>
          <w:sz w:val="20"/>
          <w:szCs w:val="20"/>
        </w:rPr>
        <w:t>seeks to incorporate this model into DCUSA.</w:t>
      </w:r>
    </w:p>
    <w:p w:rsidR="003C566D" w:rsidRDefault="003C566D" w:rsidP="004D7419">
      <w:pPr>
        <w:pStyle w:val="Heading2"/>
        <w:keepNext w:val="0"/>
        <w:widowControl w:val="0"/>
        <w:numPr>
          <w:ilvl w:val="0"/>
          <w:numId w:val="4"/>
        </w:numPr>
        <w:spacing w:before="120" w:after="0"/>
        <w:ind w:left="1293" w:hanging="357"/>
        <w:rPr>
          <w:sz w:val="20"/>
          <w:szCs w:val="20"/>
        </w:rPr>
      </w:pPr>
      <w:r w:rsidRPr="00261A0F">
        <w:rPr>
          <w:sz w:val="20"/>
          <w:szCs w:val="20"/>
        </w:rPr>
        <w:t xml:space="preserve">The </w:t>
      </w:r>
      <w:r w:rsidRPr="00F57E53">
        <w:rPr>
          <w:sz w:val="20"/>
          <w:szCs w:val="20"/>
        </w:rPr>
        <w:t>EDCM Price Control Disaggregation</w:t>
      </w:r>
      <w:r>
        <w:rPr>
          <w:sz w:val="20"/>
          <w:szCs w:val="20"/>
        </w:rPr>
        <w:t xml:space="preserve"> model </w:t>
      </w:r>
      <w:r w:rsidRPr="00F57E53">
        <w:rPr>
          <w:sz w:val="20"/>
          <w:szCs w:val="20"/>
        </w:rPr>
        <w:t>(Extended Method M)</w:t>
      </w:r>
      <w:r>
        <w:rPr>
          <w:sz w:val="20"/>
          <w:szCs w:val="20"/>
        </w:rPr>
        <w:t>. DCP 128</w:t>
      </w:r>
      <w:r w:rsidRPr="00005CCF">
        <w:rPr>
          <w:vertAlign w:val="superscript"/>
        </w:rPr>
        <w:footnoteReference w:id="2"/>
      </w:r>
      <w:r w:rsidRPr="00005CCF">
        <w:rPr>
          <w:sz w:val="20"/>
          <w:szCs w:val="20"/>
          <w:vertAlign w:val="superscript"/>
        </w:rPr>
        <w:t xml:space="preserve"> </w:t>
      </w:r>
      <w:r>
        <w:rPr>
          <w:sz w:val="20"/>
          <w:szCs w:val="20"/>
        </w:rPr>
        <w:t>seeks to incorporate this model into DCUSA.</w:t>
      </w:r>
    </w:p>
    <w:p w:rsidR="003C566D" w:rsidRPr="00261A0F" w:rsidRDefault="003C566D" w:rsidP="004D7419">
      <w:pPr>
        <w:pStyle w:val="Heading2"/>
        <w:keepNext w:val="0"/>
        <w:widowControl w:val="0"/>
        <w:numPr>
          <w:ilvl w:val="0"/>
          <w:numId w:val="4"/>
        </w:numPr>
        <w:spacing w:before="120" w:after="0"/>
        <w:ind w:left="1293" w:hanging="357"/>
        <w:rPr>
          <w:sz w:val="20"/>
          <w:szCs w:val="20"/>
        </w:rPr>
      </w:pPr>
      <w:r>
        <w:rPr>
          <w:sz w:val="20"/>
          <w:szCs w:val="20"/>
        </w:rPr>
        <w:t xml:space="preserve">The </w:t>
      </w:r>
      <w:r w:rsidRPr="005B7586">
        <w:rPr>
          <w:sz w:val="20"/>
          <w:szCs w:val="20"/>
        </w:rPr>
        <w:t xml:space="preserve">CDCM Price Control Disaggregation </w:t>
      </w:r>
      <w:r>
        <w:rPr>
          <w:sz w:val="20"/>
          <w:szCs w:val="20"/>
        </w:rPr>
        <w:t xml:space="preserve">model </w:t>
      </w:r>
      <w:r w:rsidRPr="005B7586">
        <w:rPr>
          <w:sz w:val="20"/>
          <w:szCs w:val="20"/>
        </w:rPr>
        <w:t>(Method M)</w:t>
      </w:r>
      <w:r>
        <w:rPr>
          <w:sz w:val="20"/>
          <w:szCs w:val="20"/>
        </w:rPr>
        <w:t>. DCP 129</w:t>
      </w:r>
      <w:r>
        <w:rPr>
          <w:rStyle w:val="FootnoteReference"/>
          <w:sz w:val="20"/>
          <w:szCs w:val="20"/>
        </w:rPr>
        <w:footnoteReference w:id="3"/>
      </w:r>
      <w:r>
        <w:rPr>
          <w:sz w:val="20"/>
          <w:szCs w:val="20"/>
        </w:rPr>
        <w:t xml:space="preserve"> seeks to incorporate this model into DCUSA. </w:t>
      </w:r>
    </w:p>
    <w:p w:rsidR="003C566D" w:rsidRDefault="003C566D" w:rsidP="003C566D">
      <w:pPr>
        <w:rPr>
          <w:rFonts w:ascii="Verdana" w:hAnsi="Verdana" w:cs="Arial"/>
          <w:bCs/>
          <w:iCs/>
          <w:sz w:val="20"/>
          <w:szCs w:val="20"/>
        </w:rPr>
      </w:pPr>
    </w:p>
    <w:p w:rsidR="003C566D" w:rsidRDefault="00710A50" w:rsidP="00710A50">
      <w:pPr>
        <w:pStyle w:val="Heading2"/>
        <w:keepNext w:val="0"/>
        <w:widowControl w:val="0"/>
        <w:numPr>
          <w:ilvl w:val="0"/>
          <w:numId w:val="0"/>
        </w:numPr>
        <w:spacing w:line="360" w:lineRule="auto"/>
        <w:ind w:left="578" w:hanging="578"/>
        <w:rPr>
          <w:bCs w:val="0"/>
          <w:iCs w:val="0"/>
          <w:sz w:val="20"/>
          <w:szCs w:val="20"/>
        </w:rPr>
      </w:pPr>
      <w:r>
        <w:rPr>
          <w:bCs w:val="0"/>
          <w:iCs w:val="0"/>
          <w:sz w:val="20"/>
          <w:szCs w:val="20"/>
        </w:rPr>
        <w:t>3.2.3</w:t>
      </w:r>
      <w:r>
        <w:rPr>
          <w:bCs w:val="0"/>
          <w:iCs w:val="0"/>
          <w:sz w:val="20"/>
          <w:szCs w:val="20"/>
        </w:rPr>
        <w:tab/>
      </w:r>
      <w:r w:rsidR="003C566D">
        <w:rPr>
          <w:bCs w:val="0"/>
          <w:iCs w:val="0"/>
          <w:sz w:val="20"/>
          <w:szCs w:val="20"/>
        </w:rPr>
        <w:t xml:space="preserve">The Working Group agreed that the Annual Review Pack (ARP) would not sit within the framework introduced by DCP 164. Consequential changes required to the ARP are applied by DNOs rather than DCUSA and finalised versions of the CDCM and EDCM may be needed before the APR can be updated. </w:t>
      </w:r>
    </w:p>
    <w:p w:rsidR="003C566D" w:rsidRDefault="003C566D" w:rsidP="003D5CC4">
      <w:pPr>
        <w:pStyle w:val="Heading2"/>
        <w:keepNext w:val="0"/>
        <w:widowControl w:val="0"/>
        <w:spacing w:line="360" w:lineRule="auto"/>
        <w:ind w:left="578" w:hanging="578"/>
        <w:rPr>
          <w:b/>
          <w:bCs w:val="0"/>
          <w:iCs w:val="0"/>
          <w:sz w:val="20"/>
          <w:szCs w:val="20"/>
        </w:rPr>
      </w:pPr>
      <w:r w:rsidRPr="0001579E">
        <w:rPr>
          <w:b/>
          <w:bCs w:val="0"/>
          <w:iCs w:val="0"/>
          <w:sz w:val="20"/>
          <w:szCs w:val="20"/>
        </w:rPr>
        <w:t>Timescales</w:t>
      </w:r>
    </w:p>
    <w:p w:rsidR="009F5048" w:rsidRDefault="003C566D" w:rsidP="004D7419">
      <w:pPr>
        <w:pStyle w:val="Heading2"/>
        <w:keepNext w:val="0"/>
        <w:widowControl w:val="0"/>
        <w:numPr>
          <w:ilvl w:val="2"/>
          <w:numId w:val="6"/>
        </w:numPr>
        <w:spacing w:line="360" w:lineRule="auto"/>
        <w:rPr>
          <w:sz w:val="20"/>
          <w:szCs w:val="20"/>
          <w:lang w:eastAsia="en-US"/>
        </w:rPr>
      </w:pPr>
      <w:r w:rsidRPr="00DE2884">
        <w:rPr>
          <w:bCs w:val="0"/>
          <w:iCs w:val="0"/>
          <w:sz w:val="20"/>
          <w:szCs w:val="20"/>
        </w:rPr>
        <w:t>The Working</w:t>
      </w:r>
      <w:r>
        <w:rPr>
          <w:bCs w:val="0"/>
          <w:iCs w:val="0"/>
          <w:sz w:val="20"/>
          <w:szCs w:val="20"/>
        </w:rPr>
        <w:t xml:space="preserve"> Group</w:t>
      </w:r>
      <w:r w:rsidRPr="00DE2884">
        <w:rPr>
          <w:bCs w:val="0"/>
          <w:iCs w:val="0"/>
          <w:sz w:val="20"/>
          <w:szCs w:val="20"/>
        </w:rPr>
        <w:t xml:space="preserve"> discussed the timescales proposed in the DCP </w:t>
      </w:r>
      <w:r>
        <w:rPr>
          <w:bCs w:val="0"/>
          <w:iCs w:val="0"/>
          <w:sz w:val="20"/>
          <w:szCs w:val="20"/>
        </w:rPr>
        <w:t xml:space="preserve">164 </w:t>
      </w:r>
      <w:r w:rsidR="00710A50">
        <w:rPr>
          <w:bCs w:val="0"/>
          <w:iCs w:val="0"/>
          <w:sz w:val="20"/>
          <w:szCs w:val="20"/>
        </w:rPr>
        <w:t xml:space="preserve">CP </w:t>
      </w:r>
      <w:r w:rsidRPr="00DE2884">
        <w:rPr>
          <w:bCs w:val="0"/>
          <w:iCs w:val="0"/>
          <w:sz w:val="20"/>
          <w:szCs w:val="20"/>
        </w:rPr>
        <w:t xml:space="preserve">form. It was noted that the CP proposes that </w:t>
      </w:r>
      <w:r>
        <w:rPr>
          <w:bCs w:val="0"/>
          <w:iCs w:val="0"/>
          <w:sz w:val="20"/>
          <w:szCs w:val="20"/>
        </w:rPr>
        <w:t xml:space="preserve">each year </w:t>
      </w:r>
      <w:r w:rsidRPr="00DE2884">
        <w:rPr>
          <w:bCs w:val="0"/>
          <w:iCs w:val="0"/>
          <w:sz w:val="20"/>
          <w:szCs w:val="20"/>
        </w:rPr>
        <w:t xml:space="preserve">DCUSA should </w:t>
      </w:r>
      <w:r w:rsidRPr="00DE2884">
        <w:rPr>
          <w:sz w:val="20"/>
          <w:szCs w:val="20"/>
          <w:lang w:eastAsia="en-US"/>
        </w:rPr>
        <w:t xml:space="preserve">procure charging models to include all Ofgem approved charging DCPs as of the 30 September. With the exception of urgent CPs, any proposed changes which had not received Ofgem approval by 30 September would not be included in the charging models for the </w:t>
      </w:r>
      <w:r>
        <w:rPr>
          <w:sz w:val="20"/>
          <w:szCs w:val="20"/>
          <w:lang w:eastAsia="en-US"/>
        </w:rPr>
        <w:t xml:space="preserve">up and coming </w:t>
      </w:r>
      <w:r w:rsidRPr="00DE2884">
        <w:rPr>
          <w:sz w:val="20"/>
          <w:szCs w:val="20"/>
          <w:lang w:eastAsia="en-US"/>
        </w:rPr>
        <w:t>charging year.</w:t>
      </w:r>
    </w:p>
    <w:p w:rsidR="005B273A" w:rsidRPr="005B273A" w:rsidRDefault="003C566D" w:rsidP="005B273A">
      <w:pPr>
        <w:pStyle w:val="Heading2"/>
        <w:keepNext w:val="0"/>
        <w:widowControl w:val="0"/>
        <w:numPr>
          <w:ilvl w:val="2"/>
          <w:numId w:val="6"/>
        </w:numPr>
        <w:spacing w:line="360" w:lineRule="auto"/>
        <w:rPr>
          <w:bCs w:val="0"/>
          <w:iCs w:val="0"/>
          <w:sz w:val="20"/>
          <w:szCs w:val="20"/>
        </w:rPr>
      </w:pPr>
      <w:r w:rsidRPr="000A1181">
        <w:rPr>
          <w:sz w:val="20"/>
          <w:szCs w:val="20"/>
          <w:lang w:eastAsia="en-US"/>
        </w:rPr>
        <w:t>The group discussed whether this date should be earlier to</w:t>
      </w:r>
      <w:r>
        <w:rPr>
          <w:sz w:val="20"/>
          <w:szCs w:val="20"/>
          <w:lang w:eastAsia="en-US"/>
        </w:rPr>
        <w:t xml:space="preserve"> allow for the possibility of an appeal being raised following Ofgem approval. The Working Group agreed that this would be a rare event and as such should not be built into the DCP 164 timescales. </w:t>
      </w:r>
    </w:p>
    <w:p w:rsidR="009F5048" w:rsidRPr="005B273A" w:rsidRDefault="005B273A" w:rsidP="005B273A">
      <w:pPr>
        <w:pStyle w:val="Heading2"/>
        <w:keepNext w:val="0"/>
        <w:widowControl w:val="0"/>
        <w:numPr>
          <w:ilvl w:val="2"/>
          <w:numId w:val="6"/>
        </w:numPr>
        <w:spacing w:line="360" w:lineRule="auto"/>
        <w:rPr>
          <w:bCs w:val="0"/>
          <w:iCs w:val="0"/>
          <w:sz w:val="20"/>
          <w:szCs w:val="20"/>
        </w:rPr>
      </w:pPr>
      <w:r>
        <w:rPr>
          <w:bCs w:val="0"/>
          <w:iCs w:val="0"/>
          <w:sz w:val="20"/>
          <w:szCs w:val="20"/>
        </w:rPr>
        <w:t xml:space="preserve">The Working Group agreed that it is not necessary to include timescales for user acceptance testing of the models within the DCUSA, as the expectation is that this will be managed by DCUSA. </w:t>
      </w:r>
    </w:p>
    <w:p w:rsidR="003C566D" w:rsidRPr="009F5048" w:rsidRDefault="003C566D" w:rsidP="004D7419">
      <w:pPr>
        <w:pStyle w:val="Heading2"/>
        <w:keepNext w:val="0"/>
        <w:widowControl w:val="0"/>
        <w:numPr>
          <w:ilvl w:val="2"/>
          <w:numId w:val="6"/>
        </w:numPr>
        <w:spacing w:line="360" w:lineRule="auto"/>
        <w:rPr>
          <w:color w:val="FF0000"/>
          <w:sz w:val="20"/>
          <w:szCs w:val="20"/>
          <w:lang w:eastAsia="en-US"/>
        </w:rPr>
      </w:pPr>
      <w:commentRangeStart w:id="0"/>
      <w:r w:rsidRPr="009F5048">
        <w:rPr>
          <w:color w:val="FF0000"/>
          <w:sz w:val="20"/>
          <w:szCs w:val="20"/>
          <w:lang w:eastAsia="en-US"/>
        </w:rPr>
        <w:lastRenderedPageBreak/>
        <w:t>Having discussed the timescales the Working Group members agreed that 30 September was a reasonable date. Howeve</w:t>
      </w:r>
      <w:r w:rsidR="005B273A">
        <w:rPr>
          <w:color w:val="FF0000"/>
          <w:sz w:val="20"/>
          <w:szCs w:val="20"/>
          <w:lang w:eastAsia="en-US"/>
        </w:rPr>
        <w:t>r, it was agreed that the DCP 16</w:t>
      </w:r>
      <w:r w:rsidRPr="009F5048">
        <w:rPr>
          <w:color w:val="FF0000"/>
          <w:sz w:val="20"/>
          <w:szCs w:val="20"/>
          <w:lang w:eastAsia="en-US"/>
        </w:rPr>
        <w:t>4 legal text should reference the number of days in advance of the publication of final tariffs, rather than give a specific date. This will ensure that the legal text remains appropriate should there be a change to the publication date of final charges. The group agreed that the timescales included in the DCP 134 legal text should be as follows:</w:t>
      </w:r>
    </w:p>
    <w:p w:rsidR="005B273A" w:rsidRDefault="005B273A" w:rsidP="005B273A">
      <w:pPr>
        <w:pStyle w:val="Heading2"/>
        <w:keepNext w:val="0"/>
        <w:widowControl w:val="0"/>
        <w:numPr>
          <w:ilvl w:val="0"/>
          <w:numId w:val="4"/>
        </w:numPr>
        <w:spacing w:before="120" w:after="0"/>
        <w:ind w:left="1293" w:hanging="357"/>
        <w:rPr>
          <w:b/>
          <w:color w:val="FF0000"/>
          <w:sz w:val="20"/>
          <w:szCs w:val="20"/>
        </w:rPr>
      </w:pPr>
      <w:r>
        <w:rPr>
          <w:b/>
          <w:color w:val="FF0000"/>
          <w:sz w:val="20"/>
          <w:szCs w:val="20"/>
        </w:rPr>
        <w:t>XX days before</w:t>
      </w:r>
      <w:proofErr w:type="gramStart"/>
      <w:r>
        <w:rPr>
          <w:b/>
          <w:color w:val="FF0000"/>
          <w:sz w:val="20"/>
          <w:szCs w:val="20"/>
        </w:rPr>
        <w:t>..</w:t>
      </w:r>
      <w:commentRangeEnd w:id="0"/>
      <w:proofErr w:type="gramEnd"/>
      <w:r>
        <w:rPr>
          <w:rStyle w:val="CommentReference"/>
          <w:rFonts w:ascii="Times New Roman" w:hAnsi="Times New Roman" w:cs="Times New Roman"/>
          <w:bCs w:val="0"/>
          <w:iCs w:val="0"/>
        </w:rPr>
        <w:commentReference w:id="0"/>
      </w:r>
    </w:p>
    <w:p w:rsidR="005B273A" w:rsidRPr="005B273A" w:rsidRDefault="005B273A" w:rsidP="005B273A"/>
    <w:p w:rsidR="004D7419" w:rsidRPr="005B273A" w:rsidRDefault="005B273A" w:rsidP="005B273A">
      <w:pPr>
        <w:pStyle w:val="Heading2"/>
        <w:keepNext w:val="0"/>
        <w:widowControl w:val="0"/>
        <w:numPr>
          <w:ilvl w:val="2"/>
          <w:numId w:val="6"/>
        </w:numPr>
        <w:spacing w:line="360" w:lineRule="auto"/>
        <w:rPr>
          <w:color w:val="FF0000"/>
          <w:sz w:val="20"/>
          <w:szCs w:val="20"/>
          <w:lang w:eastAsia="en-US"/>
        </w:rPr>
      </w:pPr>
      <w:commentRangeStart w:id="1"/>
      <w:r w:rsidRPr="005B273A">
        <w:rPr>
          <w:color w:val="FF0000"/>
          <w:sz w:val="20"/>
          <w:szCs w:val="20"/>
          <w:lang w:eastAsia="en-US"/>
        </w:rPr>
        <w:t>The following timeline shows the different cut off points:</w:t>
      </w:r>
      <w:commentRangeEnd w:id="1"/>
      <w:r>
        <w:rPr>
          <w:rStyle w:val="CommentReference"/>
          <w:rFonts w:ascii="Times New Roman" w:hAnsi="Times New Roman" w:cs="Times New Roman"/>
          <w:bCs w:val="0"/>
          <w:iCs w:val="0"/>
        </w:rPr>
        <w:commentReference w:id="1"/>
      </w:r>
    </w:p>
    <w:p w:rsidR="004D7419" w:rsidRPr="004D7419" w:rsidRDefault="004D7419" w:rsidP="004D7419"/>
    <w:p w:rsidR="003C566D" w:rsidRPr="00C46898" w:rsidRDefault="003C566D" w:rsidP="004D7419">
      <w:pPr>
        <w:pStyle w:val="Heading2"/>
        <w:keepNext w:val="0"/>
        <w:widowControl w:val="0"/>
        <w:numPr>
          <w:ilvl w:val="1"/>
          <w:numId w:val="6"/>
        </w:numPr>
        <w:spacing w:line="360" w:lineRule="auto"/>
        <w:ind w:left="578" w:hanging="578"/>
        <w:rPr>
          <w:b/>
          <w:bCs w:val="0"/>
          <w:iCs w:val="0"/>
          <w:sz w:val="20"/>
          <w:szCs w:val="20"/>
        </w:rPr>
      </w:pPr>
      <w:r w:rsidRPr="00C46898">
        <w:rPr>
          <w:b/>
          <w:bCs w:val="0"/>
          <w:iCs w:val="0"/>
          <w:sz w:val="20"/>
          <w:szCs w:val="20"/>
        </w:rPr>
        <w:t>Pre-Release Models</w:t>
      </w:r>
    </w:p>
    <w:p w:rsidR="003C566D" w:rsidRPr="005B19A1" w:rsidRDefault="003C566D" w:rsidP="004D7419">
      <w:pPr>
        <w:pStyle w:val="Heading2"/>
        <w:keepNext w:val="0"/>
        <w:widowControl w:val="0"/>
        <w:numPr>
          <w:ilvl w:val="2"/>
          <w:numId w:val="6"/>
        </w:numPr>
        <w:spacing w:line="360" w:lineRule="auto"/>
        <w:rPr>
          <w:b/>
          <w:bCs w:val="0"/>
          <w:iCs w:val="0"/>
          <w:sz w:val="20"/>
          <w:szCs w:val="20"/>
        </w:rPr>
      </w:pPr>
      <w:r>
        <w:rPr>
          <w:sz w:val="20"/>
          <w:szCs w:val="20"/>
          <w:lang w:eastAsia="en-US"/>
        </w:rPr>
        <w:t xml:space="preserve">The </w:t>
      </w:r>
      <w:r w:rsidRPr="00EA7509">
        <w:rPr>
          <w:sz w:val="20"/>
          <w:szCs w:val="20"/>
          <w:lang w:eastAsia="en-US"/>
        </w:rPr>
        <w:t xml:space="preserve">Working Group noted that the models provided by the </w:t>
      </w:r>
      <w:r w:rsidR="00EA7509" w:rsidRPr="00EA7509">
        <w:rPr>
          <w:sz w:val="20"/>
          <w:szCs w:val="20"/>
          <w:lang w:eastAsia="en-US"/>
        </w:rPr>
        <w:t>DCUSA Panel</w:t>
      </w:r>
      <w:r w:rsidRPr="00EA7509">
        <w:rPr>
          <w:sz w:val="20"/>
          <w:szCs w:val="20"/>
          <w:lang w:eastAsia="en-US"/>
        </w:rPr>
        <w:t xml:space="preserve"> before the publication of final charges would be pre-release models rather than the live versions. This is because </w:t>
      </w:r>
      <w:r w:rsidRPr="006A22F9">
        <w:rPr>
          <w:sz w:val="20"/>
          <w:szCs w:val="20"/>
          <w:lang w:eastAsia="en-US"/>
        </w:rPr>
        <w:t xml:space="preserve">any changes that impact the </w:t>
      </w:r>
      <w:r>
        <w:rPr>
          <w:sz w:val="20"/>
          <w:szCs w:val="20"/>
          <w:lang w:eastAsia="en-US"/>
        </w:rPr>
        <w:t xml:space="preserve">charging methodology models will take effect from 1 </w:t>
      </w:r>
      <w:proofErr w:type="gramStart"/>
      <w:r>
        <w:rPr>
          <w:sz w:val="20"/>
          <w:szCs w:val="20"/>
          <w:lang w:eastAsia="en-US"/>
        </w:rPr>
        <w:t>April,</w:t>
      </w:r>
      <w:proofErr w:type="gramEnd"/>
      <w:r>
        <w:rPr>
          <w:sz w:val="20"/>
          <w:szCs w:val="20"/>
          <w:lang w:eastAsia="en-US"/>
        </w:rPr>
        <w:t xml:space="preserve"> therefore, any model incorporating the changes does not become effective until 1 April. To make the models available for the calculation of indicative and final tariffs they will be published as pre-releases and then re-published with a version number on 1 April.  This will ensure that there is no confusion between the current live model valid in the charging year and the new versions for the following year.</w:t>
      </w:r>
    </w:p>
    <w:p w:rsidR="003C566D" w:rsidRPr="005B19A1" w:rsidRDefault="003C566D" w:rsidP="004D7419">
      <w:pPr>
        <w:pStyle w:val="Heading2"/>
        <w:keepNext w:val="0"/>
        <w:widowControl w:val="0"/>
        <w:numPr>
          <w:ilvl w:val="1"/>
          <w:numId w:val="6"/>
        </w:numPr>
        <w:spacing w:line="360" w:lineRule="auto"/>
        <w:ind w:left="578" w:hanging="578"/>
        <w:rPr>
          <w:b/>
          <w:bCs w:val="0"/>
          <w:iCs w:val="0"/>
          <w:sz w:val="20"/>
          <w:szCs w:val="20"/>
        </w:rPr>
      </w:pPr>
      <w:r w:rsidRPr="005B19A1">
        <w:rPr>
          <w:b/>
          <w:bCs w:val="0"/>
          <w:iCs w:val="0"/>
          <w:sz w:val="20"/>
          <w:szCs w:val="20"/>
        </w:rPr>
        <w:t>Impact Assessments for other DCPs</w:t>
      </w:r>
    </w:p>
    <w:p w:rsidR="00A90B88" w:rsidRPr="004931FD" w:rsidRDefault="003C566D" w:rsidP="004D7419">
      <w:pPr>
        <w:pStyle w:val="Heading2"/>
        <w:keepNext w:val="0"/>
        <w:widowControl w:val="0"/>
        <w:numPr>
          <w:ilvl w:val="2"/>
          <w:numId w:val="6"/>
        </w:numPr>
        <w:spacing w:line="360" w:lineRule="auto"/>
        <w:rPr>
          <w:sz w:val="20"/>
          <w:szCs w:val="20"/>
          <w:lang w:eastAsia="en-US"/>
        </w:rPr>
      </w:pPr>
      <w:r w:rsidRPr="005B19A1">
        <w:rPr>
          <w:sz w:val="20"/>
          <w:szCs w:val="20"/>
          <w:lang w:eastAsia="en-US"/>
        </w:rPr>
        <w:t xml:space="preserve">The Working Group </w:t>
      </w:r>
      <w:r>
        <w:rPr>
          <w:sz w:val="20"/>
          <w:szCs w:val="20"/>
          <w:lang w:eastAsia="en-US"/>
        </w:rPr>
        <w:t xml:space="preserve">agreed </w:t>
      </w:r>
      <w:r w:rsidRPr="005B19A1">
        <w:rPr>
          <w:sz w:val="20"/>
          <w:szCs w:val="20"/>
          <w:lang w:eastAsia="en-US"/>
        </w:rPr>
        <w:t xml:space="preserve">that </w:t>
      </w:r>
      <w:r>
        <w:rPr>
          <w:sz w:val="20"/>
          <w:szCs w:val="20"/>
          <w:lang w:eastAsia="en-US"/>
        </w:rPr>
        <w:t xml:space="preserve">once implemented DCP 164 </w:t>
      </w:r>
      <w:r w:rsidRPr="00EC2A9A">
        <w:rPr>
          <w:sz w:val="20"/>
          <w:szCs w:val="20"/>
          <w:lang w:eastAsia="en-US"/>
        </w:rPr>
        <w:t xml:space="preserve">will not affect the impact assessment of other charging methodology CPs.  </w:t>
      </w:r>
      <w:r>
        <w:rPr>
          <w:sz w:val="20"/>
          <w:szCs w:val="20"/>
          <w:lang w:eastAsia="en-US"/>
        </w:rPr>
        <w:t>It was noted that where there are CPs that require impact assessment it is for the DCUSA Panel to direct which model should be used as the baseline for that CP.</w:t>
      </w:r>
    </w:p>
    <w:p w:rsidR="00286FB7" w:rsidRDefault="00286FB7" w:rsidP="004D7419">
      <w:pPr>
        <w:pStyle w:val="Heading1"/>
        <w:numPr>
          <w:ilvl w:val="0"/>
          <w:numId w:val="6"/>
        </w:numPr>
        <w:spacing w:line="360" w:lineRule="auto"/>
        <w:rPr>
          <w:b/>
          <w:caps/>
          <w:kern w:val="0"/>
          <w:sz w:val="20"/>
          <w:szCs w:val="20"/>
        </w:rPr>
      </w:pPr>
      <w:r>
        <w:rPr>
          <w:b/>
          <w:caps/>
          <w:kern w:val="0"/>
          <w:sz w:val="20"/>
          <w:szCs w:val="20"/>
        </w:rPr>
        <w:t>cOnsultation responses</w:t>
      </w:r>
    </w:p>
    <w:p w:rsidR="000C38CD" w:rsidRDefault="00286FB7" w:rsidP="004D7419">
      <w:pPr>
        <w:pStyle w:val="Heading2"/>
        <w:keepNext w:val="0"/>
        <w:widowControl w:val="0"/>
        <w:numPr>
          <w:ilvl w:val="1"/>
          <w:numId w:val="7"/>
        </w:numPr>
        <w:spacing w:line="360" w:lineRule="auto"/>
      </w:pPr>
      <w:r w:rsidRPr="00286FB7">
        <w:rPr>
          <w:bCs w:val="0"/>
          <w:iCs w:val="0"/>
          <w:sz w:val="20"/>
          <w:szCs w:val="20"/>
        </w:rPr>
        <w:t>The Working Group carried out a Consultation to give DCUSA Parties an opportunity to review and comment on DCP 1</w:t>
      </w:r>
      <w:r w:rsidR="00C4432E">
        <w:rPr>
          <w:bCs w:val="0"/>
          <w:iCs w:val="0"/>
          <w:sz w:val="20"/>
          <w:szCs w:val="20"/>
        </w:rPr>
        <w:t xml:space="preserve">64. </w:t>
      </w:r>
    </w:p>
    <w:p w:rsidR="000C38CD" w:rsidRDefault="008276BE" w:rsidP="004D7419">
      <w:pPr>
        <w:pStyle w:val="Heading2"/>
        <w:keepNext w:val="0"/>
        <w:widowControl w:val="0"/>
        <w:numPr>
          <w:ilvl w:val="1"/>
          <w:numId w:val="7"/>
        </w:numPr>
        <w:spacing w:line="360" w:lineRule="auto"/>
      </w:pPr>
      <w:r w:rsidRPr="000C38CD">
        <w:rPr>
          <w:bCs w:val="0"/>
          <w:iCs w:val="0"/>
          <w:sz w:val="20"/>
          <w:szCs w:val="20"/>
        </w:rPr>
        <w:t xml:space="preserve">There were 11 responses received to the consultation. The Working Group </w:t>
      </w:r>
      <w:r w:rsidRPr="000C38CD">
        <w:rPr>
          <w:bCs w:val="0"/>
          <w:iCs w:val="0"/>
          <w:sz w:val="20"/>
          <w:szCs w:val="20"/>
        </w:rPr>
        <w:lastRenderedPageBreak/>
        <w:t xml:space="preserve">discussed each response and its comments are summarised alongside the collated Consultation responses in </w:t>
      </w:r>
      <w:r w:rsidR="004F3769">
        <w:rPr>
          <w:bCs w:val="0"/>
          <w:iCs w:val="0"/>
          <w:color w:val="FF0000"/>
          <w:sz w:val="20"/>
          <w:szCs w:val="20"/>
        </w:rPr>
        <w:t>Appendix D</w:t>
      </w:r>
      <w:r w:rsidRPr="000C38CD">
        <w:rPr>
          <w:bCs w:val="0"/>
          <w:iCs w:val="0"/>
          <w:color w:val="FF0000"/>
          <w:sz w:val="20"/>
          <w:szCs w:val="20"/>
        </w:rPr>
        <w:t>.</w:t>
      </w:r>
      <w:r w:rsidRPr="000C38CD">
        <w:rPr>
          <w:bCs w:val="0"/>
          <w:iCs w:val="0"/>
          <w:sz w:val="20"/>
          <w:szCs w:val="20"/>
        </w:rPr>
        <w:t xml:space="preserve">  </w:t>
      </w:r>
    </w:p>
    <w:p w:rsidR="00115122" w:rsidRPr="000C38CD" w:rsidRDefault="008276BE" w:rsidP="004D7419">
      <w:pPr>
        <w:pStyle w:val="Heading2"/>
        <w:keepNext w:val="0"/>
        <w:widowControl w:val="0"/>
        <w:numPr>
          <w:ilvl w:val="1"/>
          <w:numId w:val="7"/>
        </w:numPr>
        <w:spacing w:line="360" w:lineRule="auto"/>
      </w:pPr>
      <w:r w:rsidRPr="000C38CD">
        <w:rPr>
          <w:bCs w:val="0"/>
          <w:iCs w:val="0"/>
          <w:sz w:val="20"/>
          <w:szCs w:val="20"/>
        </w:rPr>
        <w:t>A summary of the responses received, and the Working Group’s conclusions are set out below:</w:t>
      </w:r>
    </w:p>
    <w:p w:rsidR="00C4432E" w:rsidRDefault="00C4432E" w:rsidP="00C4432E"/>
    <w:p w:rsidR="00C4432E" w:rsidRPr="008276BE" w:rsidRDefault="008276BE" w:rsidP="00C4432E">
      <w:pPr>
        <w:rPr>
          <w:u w:val="single"/>
        </w:rPr>
      </w:pPr>
      <w:r w:rsidRPr="008276BE">
        <w:rPr>
          <w:rFonts w:ascii="Verdana" w:hAnsi="Verdana"/>
          <w:b/>
          <w:sz w:val="20"/>
          <w:szCs w:val="20"/>
          <w:u w:val="single"/>
        </w:rPr>
        <w:t>Question 1 - Do you understand the intent of the CP?</w:t>
      </w:r>
    </w:p>
    <w:p w:rsidR="000C38CD" w:rsidRPr="000C38CD" w:rsidRDefault="000C38CD" w:rsidP="004D7419">
      <w:pPr>
        <w:pStyle w:val="Heading2"/>
        <w:keepNext w:val="0"/>
        <w:widowControl w:val="0"/>
        <w:numPr>
          <w:ilvl w:val="1"/>
          <w:numId w:val="7"/>
        </w:numPr>
        <w:tabs>
          <w:tab w:val="num" w:pos="718"/>
        </w:tabs>
        <w:spacing w:line="360" w:lineRule="auto"/>
        <w:rPr>
          <w:bCs w:val="0"/>
          <w:iCs w:val="0"/>
          <w:sz w:val="20"/>
          <w:szCs w:val="20"/>
        </w:rPr>
      </w:pPr>
      <w:r w:rsidRPr="000C38CD">
        <w:rPr>
          <w:bCs w:val="0"/>
          <w:iCs w:val="0"/>
          <w:sz w:val="20"/>
          <w:szCs w:val="20"/>
        </w:rPr>
        <w:t>The Working Group noted that the all respondents understood the intent of the CP.</w:t>
      </w:r>
    </w:p>
    <w:p w:rsidR="00C4432E" w:rsidRPr="00C4432E" w:rsidRDefault="00C4432E" w:rsidP="00C4432E"/>
    <w:p w:rsidR="00286FB7" w:rsidRPr="000C38CD" w:rsidRDefault="000C38CD" w:rsidP="00286FB7">
      <w:pPr>
        <w:rPr>
          <w:b/>
          <w:u w:val="single"/>
        </w:rPr>
      </w:pPr>
      <w:r w:rsidRPr="000C38CD">
        <w:rPr>
          <w:rFonts w:ascii="Verdana" w:hAnsi="Verdana"/>
          <w:b/>
          <w:sz w:val="20"/>
          <w:szCs w:val="20"/>
          <w:u w:val="single"/>
        </w:rPr>
        <w:t>Question 2 - Are you supportive of the principles established by this proposal?</w:t>
      </w:r>
    </w:p>
    <w:p w:rsidR="00286FB7" w:rsidRPr="005276C1" w:rsidRDefault="005276C1" w:rsidP="004D7419">
      <w:pPr>
        <w:pStyle w:val="Heading2"/>
        <w:keepNext w:val="0"/>
        <w:widowControl w:val="0"/>
        <w:numPr>
          <w:ilvl w:val="1"/>
          <w:numId w:val="7"/>
        </w:numPr>
        <w:tabs>
          <w:tab w:val="num" w:pos="718"/>
        </w:tabs>
        <w:spacing w:line="360" w:lineRule="auto"/>
        <w:rPr>
          <w:bCs w:val="0"/>
          <w:iCs w:val="0"/>
          <w:sz w:val="20"/>
          <w:szCs w:val="20"/>
        </w:rPr>
      </w:pPr>
      <w:r w:rsidRPr="005276C1">
        <w:rPr>
          <w:bCs w:val="0"/>
          <w:iCs w:val="0"/>
          <w:sz w:val="20"/>
          <w:szCs w:val="20"/>
        </w:rPr>
        <w:t>The Working Group noted that the majority of respondents to the consultation were supportive of the principles of the CP.</w:t>
      </w:r>
      <w:r w:rsidR="007A5F23">
        <w:rPr>
          <w:bCs w:val="0"/>
          <w:iCs w:val="0"/>
          <w:sz w:val="20"/>
          <w:szCs w:val="20"/>
        </w:rPr>
        <w:t xml:space="preserve"> </w:t>
      </w:r>
      <w:r w:rsidR="007A5F23" w:rsidRPr="007A5F23">
        <w:rPr>
          <w:bCs w:val="0"/>
          <w:iCs w:val="0"/>
          <w:sz w:val="20"/>
          <w:szCs w:val="20"/>
        </w:rPr>
        <w:t>The following table provides a break down by respondent type.</w:t>
      </w:r>
      <w:r w:rsidRPr="005276C1">
        <w:rPr>
          <w:bCs w:val="0"/>
          <w:iCs w:val="0"/>
          <w:sz w:val="20"/>
          <w:szCs w:val="20"/>
        </w:rPr>
        <w:t xml:space="preserve"> </w:t>
      </w:r>
    </w:p>
    <w:p w:rsidR="00286FB7" w:rsidRDefault="00286FB7" w:rsidP="00286F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1640"/>
        <w:gridCol w:w="1761"/>
        <w:gridCol w:w="1836"/>
      </w:tblGrid>
      <w:tr w:rsidR="00786992" w:rsidTr="00786992">
        <w:trPr>
          <w:trHeight w:val="367"/>
          <w:jc w:val="center"/>
        </w:trPr>
        <w:tc>
          <w:tcPr>
            <w:tcW w:w="2838" w:type="dxa"/>
            <w:vMerge w:val="restart"/>
            <w:vAlign w:val="center"/>
          </w:tcPr>
          <w:p w:rsidR="00786992" w:rsidRPr="00342793" w:rsidRDefault="00786992" w:rsidP="00216B16">
            <w:pPr>
              <w:jc w:val="center"/>
              <w:rPr>
                <w:rFonts w:ascii="Verdana" w:hAnsi="Verdana" w:cs="Arial"/>
                <w:b/>
                <w:bCs/>
                <w:iCs/>
                <w:sz w:val="18"/>
                <w:szCs w:val="18"/>
              </w:rPr>
            </w:pPr>
            <w:r>
              <w:rPr>
                <w:rFonts w:ascii="Verdana" w:hAnsi="Verdana" w:cs="Arial"/>
                <w:b/>
                <w:bCs/>
                <w:iCs/>
                <w:sz w:val="18"/>
                <w:szCs w:val="18"/>
              </w:rPr>
              <w:t>Respondent</w:t>
            </w:r>
            <w:r w:rsidRPr="00342793">
              <w:rPr>
                <w:rFonts w:ascii="Verdana" w:hAnsi="Verdana" w:cs="Arial"/>
                <w:b/>
                <w:bCs/>
                <w:iCs/>
                <w:sz w:val="18"/>
                <w:szCs w:val="18"/>
              </w:rPr>
              <w:t xml:space="preserve"> Type</w:t>
            </w:r>
          </w:p>
        </w:tc>
        <w:tc>
          <w:tcPr>
            <w:tcW w:w="5237" w:type="dxa"/>
            <w:gridSpan w:val="3"/>
            <w:vAlign w:val="center"/>
          </w:tcPr>
          <w:p w:rsidR="00786992" w:rsidRDefault="00786992" w:rsidP="00216B16">
            <w:pPr>
              <w:jc w:val="center"/>
              <w:rPr>
                <w:rFonts w:ascii="Verdana" w:hAnsi="Verdana" w:cs="Arial"/>
                <w:b/>
                <w:bCs/>
                <w:iCs/>
                <w:sz w:val="18"/>
                <w:szCs w:val="18"/>
              </w:rPr>
            </w:pPr>
            <w:r w:rsidRPr="00CC36B8">
              <w:rPr>
                <w:rFonts w:ascii="Verdana" w:hAnsi="Verdana" w:cs="Arial"/>
                <w:b/>
                <w:bCs/>
                <w:iCs/>
                <w:sz w:val="18"/>
                <w:szCs w:val="18"/>
              </w:rPr>
              <w:t>Are you supportive of the principles of the CP?</w:t>
            </w:r>
          </w:p>
        </w:tc>
      </w:tr>
      <w:tr w:rsidR="00786992" w:rsidTr="00786992">
        <w:trPr>
          <w:trHeight w:val="236"/>
          <w:jc w:val="center"/>
        </w:trPr>
        <w:tc>
          <w:tcPr>
            <w:tcW w:w="2838" w:type="dxa"/>
            <w:vMerge/>
          </w:tcPr>
          <w:p w:rsidR="00786992" w:rsidRDefault="00786992" w:rsidP="00216B16">
            <w:pPr>
              <w:jc w:val="center"/>
              <w:rPr>
                <w:rFonts w:ascii="Verdana" w:hAnsi="Verdana" w:cs="Arial"/>
                <w:b/>
                <w:bCs/>
                <w:iCs/>
                <w:sz w:val="18"/>
                <w:szCs w:val="18"/>
              </w:rPr>
            </w:pPr>
          </w:p>
        </w:tc>
        <w:tc>
          <w:tcPr>
            <w:tcW w:w="1640"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Yes</w:t>
            </w:r>
          </w:p>
        </w:tc>
        <w:tc>
          <w:tcPr>
            <w:tcW w:w="1761"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No</w:t>
            </w:r>
          </w:p>
        </w:tc>
        <w:tc>
          <w:tcPr>
            <w:tcW w:w="1836" w:type="dxa"/>
          </w:tcPr>
          <w:p w:rsidR="00786992" w:rsidRDefault="00786992" w:rsidP="00216B16">
            <w:pPr>
              <w:jc w:val="center"/>
              <w:rPr>
                <w:rFonts w:ascii="Verdana" w:hAnsi="Verdana" w:cs="Arial"/>
                <w:b/>
                <w:bCs/>
                <w:iCs/>
                <w:sz w:val="18"/>
                <w:szCs w:val="18"/>
              </w:rPr>
            </w:pPr>
            <w:r>
              <w:rPr>
                <w:rFonts w:ascii="Verdana" w:hAnsi="Verdana" w:cs="Arial"/>
                <w:b/>
                <w:bCs/>
                <w:iCs/>
                <w:sz w:val="18"/>
                <w:szCs w:val="18"/>
              </w:rPr>
              <w:t>Total</w:t>
            </w:r>
          </w:p>
        </w:tc>
      </w:tr>
      <w:tr w:rsidR="00786992" w:rsidRPr="00274467" w:rsidTr="00786992">
        <w:trPr>
          <w:trHeight w:val="236"/>
          <w:jc w:val="center"/>
        </w:trPr>
        <w:tc>
          <w:tcPr>
            <w:tcW w:w="2838"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DNO</w:t>
            </w:r>
          </w:p>
        </w:tc>
        <w:tc>
          <w:tcPr>
            <w:tcW w:w="1640"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6</w:t>
            </w:r>
          </w:p>
        </w:tc>
        <w:tc>
          <w:tcPr>
            <w:tcW w:w="1761"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0</w:t>
            </w:r>
          </w:p>
        </w:tc>
        <w:tc>
          <w:tcPr>
            <w:tcW w:w="1836" w:type="dxa"/>
          </w:tcPr>
          <w:p w:rsidR="00786992" w:rsidRPr="00274467" w:rsidRDefault="00786992" w:rsidP="00216B16">
            <w:pPr>
              <w:jc w:val="center"/>
              <w:rPr>
                <w:rFonts w:ascii="Verdana" w:hAnsi="Verdana" w:cs="Arial"/>
                <w:b/>
                <w:bCs/>
                <w:iCs/>
                <w:sz w:val="18"/>
                <w:szCs w:val="18"/>
              </w:rPr>
            </w:pPr>
            <w:r>
              <w:rPr>
                <w:rFonts w:ascii="Verdana" w:hAnsi="Verdana" w:cs="Arial"/>
                <w:b/>
                <w:bCs/>
                <w:iCs/>
                <w:sz w:val="18"/>
                <w:szCs w:val="18"/>
              </w:rPr>
              <w:t>6</w:t>
            </w:r>
          </w:p>
        </w:tc>
      </w:tr>
      <w:tr w:rsidR="00786992" w:rsidRPr="00274467" w:rsidTr="00786992">
        <w:trPr>
          <w:trHeight w:val="252"/>
          <w:jc w:val="center"/>
        </w:trPr>
        <w:tc>
          <w:tcPr>
            <w:tcW w:w="2838"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Supplier</w:t>
            </w:r>
          </w:p>
        </w:tc>
        <w:tc>
          <w:tcPr>
            <w:tcW w:w="1640"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3</w:t>
            </w:r>
          </w:p>
        </w:tc>
        <w:tc>
          <w:tcPr>
            <w:tcW w:w="1761"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1</w:t>
            </w:r>
          </w:p>
        </w:tc>
        <w:tc>
          <w:tcPr>
            <w:tcW w:w="1836" w:type="dxa"/>
          </w:tcPr>
          <w:p w:rsidR="00786992" w:rsidRPr="00274467" w:rsidRDefault="005276C1" w:rsidP="00216B16">
            <w:pPr>
              <w:jc w:val="center"/>
              <w:rPr>
                <w:rFonts w:ascii="Verdana" w:hAnsi="Verdana" w:cs="Arial"/>
                <w:b/>
                <w:bCs/>
                <w:iCs/>
                <w:sz w:val="18"/>
                <w:szCs w:val="18"/>
              </w:rPr>
            </w:pPr>
            <w:r>
              <w:rPr>
                <w:rFonts w:ascii="Verdana" w:hAnsi="Verdana" w:cs="Arial"/>
                <w:b/>
                <w:bCs/>
                <w:iCs/>
                <w:sz w:val="18"/>
                <w:szCs w:val="18"/>
              </w:rPr>
              <w:t>4</w:t>
            </w:r>
          </w:p>
        </w:tc>
      </w:tr>
      <w:tr w:rsidR="00786992" w:rsidRPr="00274467" w:rsidTr="00786992">
        <w:trPr>
          <w:trHeight w:val="267"/>
          <w:jc w:val="center"/>
        </w:trPr>
        <w:tc>
          <w:tcPr>
            <w:tcW w:w="2838"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Other</w:t>
            </w:r>
          </w:p>
        </w:tc>
        <w:tc>
          <w:tcPr>
            <w:tcW w:w="1640"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0</w:t>
            </w:r>
          </w:p>
        </w:tc>
        <w:tc>
          <w:tcPr>
            <w:tcW w:w="1761" w:type="dxa"/>
          </w:tcPr>
          <w:p w:rsidR="00786992" w:rsidRPr="00342793" w:rsidRDefault="00786992" w:rsidP="00216B16">
            <w:pPr>
              <w:jc w:val="center"/>
              <w:rPr>
                <w:rFonts w:ascii="Verdana" w:hAnsi="Verdana" w:cs="Arial"/>
                <w:bCs/>
                <w:iCs/>
                <w:sz w:val="18"/>
                <w:szCs w:val="18"/>
              </w:rPr>
            </w:pPr>
            <w:r>
              <w:rPr>
                <w:rFonts w:ascii="Verdana" w:hAnsi="Verdana" w:cs="Arial"/>
                <w:bCs/>
                <w:iCs/>
                <w:sz w:val="18"/>
                <w:szCs w:val="18"/>
              </w:rPr>
              <w:t>1</w:t>
            </w:r>
          </w:p>
        </w:tc>
        <w:tc>
          <w:tcPr>
            <w:tcW w:w="1836" w:type="dxa"/>
          </w:tcPr>
          <w:p w:rsidR="00786992" w:rsidRPr="00274467" w:rsidRDefault="00786992" w:rsidP="00216B16">
            <w:pPr>
              <w:jc w:val="center"/>
              <w:rPr>
                <w:rFonts w:ascii="Verdana" w:hAnsi="Verdana" w:cs="Arial"/>
                <w:b/>
                <w:bCs/>
                <w:iCs/>
                <w:sz w:val="18"/>
                <w:szCs w:val="18"/>
              </w:rPr>
            </w:pPr>
            <w:r>
              <w:rPr>
                <w:rFonts w:ascii="Verdana" w:hAnsi="Verdana" w:cs="Arial"/>
                <w:b/>
                <w:bCs/>
                <w:iCs/>
                <w:sz w:val="18"/>
                <w:szCs w:val="18"/>
              </w:rPr>
              <w:t>1</w:t>
            </w:r>
          </w:p>
        </w:tc>
      </w:tr>
      <w:tr w:rsidR="00786992" w:rsidRPr="00274467" w:rsidTr="00786992">
        <w:trPr>
          <w:trHeight w:val="267"/>
          <w:jc w:val="center"/>
        </w:trPr>
        <w:tc>
          <w:tcPr>
            <w:tcW w:w="2838" w:type="dxa"/>
          </w:tcPr>
          <w:p w:rsidR="00786992" w:rsidRPr="00342793" w:rsidRDefault="00786992" w:rsidP="00216B16">
            <w:pPr>
              <w:jc w:val="center"/>
              <w:rPr>
                <w:rFonts w:ascii="Verdana" w:hAnsi="Verdana" w:cs="Arial"/>
                <w:b/>
                <w:bCs/>
                <w:iCs/>
                <w:sz w:val="18"/>
                <w:szCs w:val="18"/>
              </w:rPr>
            </w:pPr>
            <w:r w:rsidRPr="00342793">
              <w:rPr>
                <w:rFonts w:ascii="Verdana" w:hAnsi="Verdana" w:cs="Arial"/>
                <w:b/>
                <w:bCs/>
                <w:iCs/>
                <w:sz w:val="18"/>
                <w:szCs w:val="18"/>
              </w:rPr>
              <w:t>Total</w:t>
            </w:r>
          </w:p>
        </w:tc>
        <w:tc>
          <w:tcPr>
            <w:tcW w:w="1640" w:type="dxa"/>
          </w:tcPr>
          <w:p w:rsidR="00786992" w:rsidRPr="00274467" w:rsidRDefault="005276C1" w:rsidP="00216B16">
            <w:pPr>
              <w:jc w:val="center"/>
              <w:rPr>
                <w:rFonts w:ascii="Verdana" w:hAnsi="Verdana" w:cs="Arial"/>
                <w:b/>
                <w:bCs/>
                <w:iCs/>
                <w:sz w:val="18"/>
                <w:szCs w:val="18"/>
              </w:rPr>
            </w:pPr>
            <w:r>
              <w:rPr>
                <w:rFonts w:ascii="Verdana" w:hAnsi="Verdana" w:cs="Arial"/>
                <w:b/>
                <w:bCs/>
                <w:iCs/>
                <w:sz w:val="18"/>
                <w:szCs w:val="18"/>
              </w:rPr>
              <w:t>9</w:t>
            </w:r>
          </w:p>
        </w:tc>
        <w:tc>
          <w:tcPr>
            <w:tcW w:w="1761" w:type="dxa"/>
          </w:tcPr>
          <w:p w:rsidR="00786992" w:rsidRPr="00274467" w:rsidRDefault="005276C1" w:rsidP="00216B16">
            <w:pPr>
              <w:jc w:val="center"/>
              <w:rPr>
                <w:rFonts w:ascii="Verdana" w:hAnsi="Verdana" w:cs="Arial"/>
                <w:b/>
                <w:bCs/>
                <w:iCs/>
                <w:sz w:val="18"/>
                <w:szCs w:val="18"/>
              </w:rPr>
            </w:pPr>
            <w:r>
              <w:rPr>
                <w:rFonts w:ascii="Verdana" w:hAnsi="Verdana" w:cs="Arial"/>
                <w:b/>
                <w:bCs/>
                <w:iCs/>
                <w:sz w:val="18"/>
                <w:szCs w:val="18"/>
              </w:rPr>
              <w:t>2</w:t>
            </w:r>
          </w:p>
        </w:tc>
        <w:tc>
          <w:tcPr>
            <w:tcW w:w="1836" w:type="dxa"/>
          </w:tcPr>
          <w:p w:rsidR="00786992" w:rsidRPr="00274467" w:rsidRDefault="005276C1" w:rsidP="00216B16">
            <w:pPr>
              <w:jc w:val="center"/>
              <w:rPr>
                <w:rFonts w:ascii="Verdana" w:hAnsi="Verdana" w:cs="Arial"/>
                <w:b/>
                <w:bCs/>
                <w:iCs/>
                <w:sz w:val="18"/>
                <w:szCs w:val="18"/>
              </w:rPr>
            </w:pPr>
            <w:r>
              <w:rPr>
                <w:rFonts w:ascii="Verdana" w:hAnsi="Verdana" w:cs="Arial"/>
                <w:b/>
                <w:bCs/>
                <w:iCs/>
                <w:sz w:val="18"/>
                <w:szCs w:val="18"/>
              </w:rPr>
              <w:t>11</w:t>
            </w:r>
          </w:p>
        </w:tc>
      </w:tr>
    </w:tbl>
    <w:p w:rsidR="00BA33D7" w:rsidRDefault="007A5F23" w:rsidP="004D7419">
      <w:pPr>
        <w:pStyle w:val="Heading2"/>
        <w:keepNext w:val="0"/>
        <w:widowControl w:val="0"/>
        <w:numPr>
          <w:ilvl w:val="1"/>
          <w:numId w:val="7"/>
        </w:numPr>
        <w:tabs>
          <w:tab w:val="num" w:pos="718"/>
        </w:tabs>
        <w:spacing w:line="360" w:lineRule="auto"/>
        <w:rPr>
          <w:bCs w:val="0"/>
          <w:iCs w:val="0"/>
          <w:sz w:val="20"/>
          <w:szCs w:val="20"/>
        </w:rPr>
      </w:pPr>
      <w:r w:rsidRPr="007A5F23">
        <w:rPr>
          <w:bCs w:val="0"/>
          <w:iCs w:val="0"/>
          <w:sz w:val="20"/>
          <w:szCs w:val="20"/>
        </w:rPr>
        <w:t>Of the two respondents that were not supportive of the principles, one</w:t>
      </w:r>
      <w:r w:rsidR="00974FA3">
        <w:rPr>
          <w:bCs w:val="0"/>
          <w:iCs w:val="0"/>
          <w:sz w:val="20"/>
          <w:szCs w:val="20"/>
        </w:rPr>
        <w:t xml:space="preserve"> highlighted that they had provided specific comments on why again</w:t>
      </w:r>
      <w:r w:rsidR="00BA33D7">
        <w:rPr>
          <w:bCs w:val="0"/>
          <w:iCs w:val="0"/>
          <w:sz w:val="20"/>
          <w:szCs w:val="20"/>
        </w:rPr>
        <w:t>st later consultation questions.</w:t>
      </w:r>
    </w:p>
    <w:p w:rsidR="007A5F23" w:rsidRPr="00BA33D7" w:rsidRDefault="00BA33D7" w:rsidP="004D7419">
      <w:pPr>
        <w:pStyle w:val="Heading2"/>
        <w:keepNext w:val="0"/>
        <w:widowControl w:val="0"/>
        <w:numPr>
          <w:ilvl w:val="1"/>
          <w:numId w:val="7"/>
        </w:numPr>
        <w:tabs>
          <w:tab w:val="num" w:pos="718"/>
        </w:tabs>
        <w:spacing w:line="360" w:lineRule="auto"/>
        <w:rPr>
          <w:bCs w:val="0"/>
          <w:iCs w:val="0"/>
          <w:sz w:val="20"/>
          <w:szCs w:val="20"/>
        </w:rPr>
      </w:pPr>
      <w:r>
        <w:rPr>
          <w:bCs w:val="0"/>
          <w:iCs w:val="0"/>
          <w:sz w:val="20"/>
          <w:szCs w:val="20"/>
        </w:rPr>
        <w:t xml:space="preserve">The other respondent suggested that the DCP 164 timetable should be advisory only. The Working Group discussed this comment and noted that this would not be in line with the intent of the CP and would not help to improve the present situation. </w:t>
      </w:r>
    </w:p>
    <w:p w:rsidR="007A5F23" w:rsidRPr="00485800" w:rsidRDefault="007A5F23" w:rsidP="00286FB7">
      <w:pPr>
        <w:rPr>
          <w:rFonts w:ascii="Verdana" w:hAnsi="Verdana"/>
          <w:b/>
          <w:sz w:val="20"/>
          <w:szCs w:val="20"/>
          <w:u w:val="single"/>
        </w:rPr>
      </w:pPr>
    </w:p>
    <w:p w:rsidR="007A5F23" w:rsidRPr="00485800" w:rsidRDefault="00485800" w:rsidP="00286FB7">
      <w:pPr>
        <w:rPr>
          <w:rFonts w:ascii="Verdana" w:hAnsi="Verdana"/>
          <w:b/>
          <w:sz w:val="20"/>
          <w:szCs w:val="20"/>
          <w:u w:val="single"/>
        </w:rPr>
      </w:pPr>
      <w:r w:rsidRPr="00485800">
        <w:rPr>
          <w:rFonts w:ascii="Verdana" w:hAnsi="Verdana"/>
          <w:b/>
          <w:sz w:val="20"/>
          <w:szCs w:val="20"/>
          <w:u w:val="single"/>
        </w:rPr>
        <w:t>Question 3 - Are there any unintended consequences of this proposal?</w:t>
      </w:r>
    </w:p>
    <w:p w:rsidR="00A50F44" w:rsidRDefault="00A50F44" w:rsidP="004D7419">
      <w:pPr>
        <w:pStyle w:val="Heading2"/>
        <w:keepNext w:val="0"/>
        <w:widowControl w:val="0"/>
        <w:numPr>
          <w:ilvl w:val="1"/>
          <w:numId w:val="7"/>
        </w:numPr>
        <w:tabs>
          <w:tab w:val="num" w:pos="718"/>
        </w:tabs>
        <w:spacing w:line="360" w:lineRule="auto"/>
        <w:rPr>
          <w:bCs w:val="0"/>
          <w:iCs w:val="0"/>
          <w:sz w:val="20"/>
          <w:szCs w:val="20"/>
        </w:rPr>
      </w:pPr>
      <w:r w:rsidRPr="00A50F44">
        <w:rPr>
          <w:bCs w:val="0"/>
          <w:iCs w:val="0"/>
          <w:sz w:val="20"/>
          <w:szCs w:val="20"/>
        </w:rPr>
        <w:t>Seven of the eleven respondents</w:t>
      </w:r>
      <w:r>
        <w:rPr>
          <w:bCs w:val="0"/>
          <w:iCs w:val="0"/>
          <w:sz w:val="20"/>
          <w:szCs w:val="20"/>
        </w:rPr>
        <w:t xml:space="preserve"> noted that they were not aware of any unintended consequences of this CP.</w:t>
      </w:r>
    </w:p>
    <w:p w:rsidR="00B46650" w:rsidRDefault="00A50F44" w:rsidP="004D7419">
      <w:pPr>
        <w:pStyle w:val="Heading2"/>
        <w:keepNext w:val="0"/>
        <w:widowControl w:val="0"/>
        <w:numPr>
          <w:ilvl w:val="1"/>
          <w:numId w:val="7"/>
        </w:numPr>
        <w:spacing w:line="360" w:lineRule="auto"/>
        <w:rPr>
          <w:bCs w:val="0"/>
          <w:iCs w:val="0"/>
          <w:sz w:val="20"/>
          <w:szCs w:val="20"/>
        </w:rPr>
      </w:pPr>
      <w:r>
        <w:rPr>
          <w:bCs w:val="0"/>
          <w:iCs w:val="0"/>
          <w:sz w:val="20"/>
          <w:szCs w:val="20"/>
        </w:rPr>
        <w:t xml:space="preserve">One respondent suggested that the CP raises a question on how an urgent CP is defined within DCUSA. </w:t>
      </w:r>
      <w:r w:rsidRPr="00A50F44">
        <w:rPr>
          <w:bCs w:val="0"/>
          <w:iCs w:val="0"/>
          <w:sz w:val="20"/>
          <w:szCs w:val="20"/>
        </w:rPr>
        <w:t xml:space="preserve">The Working Group discussed this comment and </w:t>
      </w:r>
      <w:r w:rsidRPr="00A50F44">
        <w:rPr>
          <w:bCs w:val="0"/>
          <w:iCs w:val="0"/>
          <w:sz w:val="20"/>
          <w:szCs w:val="20"/>
        </w:rPr>
        <w:lastRenderedPageBreak/>
        <w:t>agreed that the timescales of DCP 164 should apply to urgent changes too. The group agreed that</w:t>
      </w:r>
      <w:r w:rsidR="00B46650">
        <w:rPr>
          <w:bCs w:val="0"/>
          <w:iCs w:val="0"/>
          <w:sz w:val="20"/>
          <w:szCs w:val="20"/>
        </w:rPr>
        <w:t xml:space="preserve"> it was not necessary to include </w:t>
      </w:r>
      <w:r w:rsidRPr="00A50F44">
        <w:rPr>
          <w:bCs w:val="0"/>
          <w:iCs w:val="0"/>
          <w:sz w:val="20"/>
          <w:szCs w:val="20"/>
        </w:rPr>
        <w:t xml:space="preserve">explicit text relating to urgent changes </w:t>
      </w:r>
      <w:r w:rsidR="00B46650">
        <w:rPr>
          <w:bCs w:val="0"/>
          <w:iCs w:val="0"/>
          <w:sz w:val="20"/>
          <w:szCs w:val="20"/>
        </w:rPr>
        <w:t>in the DCP 164 legal text.</w:t>
      </w:r>
    </w:p>
    <w:p w:rsidR="00FE0E81" w:rsidRDefault="00B46650" w:rsidP="004D7419">
      <w:pPr>
        <w:pStyle w:val="Heading2"/>
        <w:keepNext w:val="0"/>
        <w:widowControl w:val="0"/>
        <w:numPr>
          <w:ilvl w:val="1"/>
          <w:numId w:val="7"/>
        </w:numPr>
        <w:spacing w:line="360" w:lineRule="auto"/>
        <w:rPr>
          <w:bCs w:val="0"/>
          <w:iCs w:val="0"/>
          <w:sz w:val="20"/>
          <w:szCs w:val="20"/>
        </w:rPr>
      </w:pPr>
      <w:r>
        <w:rPr>
          <w:bCs w:val="0"/>
          <w:iCs w:val="0"/>
          <w:sz w:val="20"/>
          <w:szCs w:val="20"/>
        </w:rPr>
        <w:t xml:space="preserve">Another consultation respondent highlighted their concern that the DCP 164 timescales would become the </w:t>
      </w:r>
      <w:proofErr w:type="spellStart"/>
      <w:r>
        <w:rPr>
          <w:bCs w:val="0"/>
          <w:iCs w:val="0"/>
          <w:sz w:val="20"/>
          <w:szCs w:val="20"/>
        </w:rPr>
        <w:t>defacto</w:t>
      </w:r>
      <w:proofErr w:type="spellEnd"/>
      <w:r>
        <w:rPr>
          <w:bCs w:val="0"/>
          <w:iCs w:val="0"/>
          <w:sz w:val="20"/>
          <w:szCs w:val="20"/>
        </w:rPr>
        <w:t xml:space="preserve"> timescale for methodology changes.  </w:t>
      </w:r>
      <w:r w:rsidR="00FE0E81">
        <w:rPr>
          <w:bCs w:val="0"/>
          <w:iCs w:val="0"/>
          <w:sz w:val="20"/>
          <w:szCs w:val="20"/>
        </w:rPr>
        <w:t>The Working Group noted the respondent’s concern.</w:t>
      </w:r>
    </w:p>
    <w:p w:rsidR="00B47066" w:rsidRDefault="00FE0E81" w:rsidP="004D7419">
      <w:pPr>
        <w:pStyle w:val="Heading2"/>
        <w:keepNext w:val="0"/>
        <w:widowControl w:val="0"/>
        <w:numPr>
          <w:ilvl w:val="1"/>
          <w:numId w:val="7"/>
        </w:numPr>
        <w:spacing w:line="360" w:lineRule="auto"/>
        <w:rPr>
          <w:sz w:val="20"/>
          <w:szCs w:val="20"/>
        </w:rPr>
      </w:pPr>
      <w:r>
        <w:rPr>
          <w:bCs w:val="0"/>
          <w:iCs w:val="0"/>
          <w:sz w:val="20"/>
          <w:szCs w:val="20"/>
        </w:rPr>
        <w:t xml:space="preserve">A Supplier respondent noted their concern that the DCP 164 timescales may slow down the smart meter project.  The Working Group discussed this comment and noted that </w:t>
      </w:r>
      <w:r w:rsidRPr="00FE0E81">
        <w:rPr>
          <w:sz w:val="20"/>
          <w:szCs w:val="20"/>
        </w:rPr>
        <w:t>DCP 164 only relates to the charging methodology CPs and thus should not im</w:t>
      </w:r>
      <w:r w:rsidR="00B47066">
        <w:rPr>
          <w:sz w:val="20"/>
          <w:szCs w:val="20"/>
        </w:rPr>
        <w:t>pact the smart meter roll out.</w:t>
      </w:r>
    </w:p>
    <w:p w:rsidR="00B47066" w:rsidRPr="00B47066" w:rsidRDefault="00B47066" w:rsidP="004D7419">
      <w:pPr>
        <w:pStyle w:val="Heading2"/>
        <w:keepNext w:val="0"/>
        <w:widowControl w:val="0"/>
        <w:numPr>
          <w:ilvl w:val="1"/>
          <w:numId w:val="7"/>
        </w:numPr>
        <w:spacing w:line="360" w:lineRule="auto"/>
        <w:rPr>
          <w:sz w:val="20"/>
          <w:szCs w:val="20"/>
        </w:rPr>
      </w:pPr>
      <w:r w:rsidRPr="00B47066">
        <w:rPr>
          <w:sz w:val="20"/>
          <w:szCs w:val="20"/>
        </w:rPr>
        <w:t>Another re</w:t>
      </w:r>
      <w:r>
        <w:rPr>
          <w:sz w:val="20"/>
          <w:szCs w:val="20"/>
        </w:rPr>
        <w:t xml:space="preserve">spondent highlighted that they had noted specific comments against questions 5, 9 and 10. </w:t>
      </w:r>
    </w:p>
    <w:p w:rsidR="00B46650" w:rsidRDefault="00B46650" w:rsidP="00B46650"/>
    <w:p w:rsidR="00B46650" w:rsidRPr="00B47066" w:rsidRDefault="00B47066" w:rsidP="00B46650">
      <w:pPr>
        <w:rPr>
          <w:rFonts w:ascii="Verdana" w:hAnsi="Verdana"/>
          <w:b/>
          <w:sz w:val="20"/>
          <w:szCs w:val="20"/>
          <w:u w:val="single"/>
        </w:rPr>
      </w:pPr>
      <w:r>
        <w:rPr>
          <w:rFonts w:ascii="Verdana" w:hAnsi="Verdana"/>
          <w:b/>
          <w:sz w:val="20"/>
          <w:szCs w:val="20"/>
          <w:u w:val="single"/>
        </w:rPr>
        <w:t xml:space="preserve">Question 4 - </w:t>
      </w:r>
      <w:r w:rsidRPr="00B47066">
        <w:rPr>
          <w:rFonts w:ascii="Verdana" w:hAnsi="Verdana"/>
          <w:b/>
          <w:sz w:val="20"/>
          <w:szCs w:val="20"/>
          <w:u w:val="single"/>
        </w:rPr>
        <w:t>Do you agree with the Working Group’s evaluation of the CP against the DCUSA objectives?</w:t>
      </w:r>
    </w:p>
    <w:p w:rsidR="00B46650" w:rsidRDefault="00B46650" w:rsidP="00B46650"/>
    <w:p w:rsidR="004D7419" w:rsidRDefault="00576CAB" w:rsidP="004D7419">
      <w:pPr>
        <w:pStyle w:val="Heading2"/>
        <w:keepNext w:val="0"/>
        <w:widowControl w:val="0"/>
        <w:numPr>
          <w:ilvl w:val="1"/>
          <w:numId w:val="7"/>
        </w:numPr>
        <w:spacing w:line="360" w:lineRule="auto"/>
        <w:rPr>
          <w:sz w:val="20"/>
          <w:szCs w:val="20"/>
        </w:rPr>
      </w:pPr>
      <w:r>
        <w:rPr>
          <w:sz w:val="20"/>
          <w:szCs w:val="20"/>
        </w:rPr>
        <w:t>In the consultation document</w:t>
      </w:r>
      <w:r w:rsidR="00E55738">
        <w:rPr>
          <w:sz w:val="20"/>
          <w:szCs w:val="20"/>
        </w:rPr>
        <w:t xml:space="preserve"> issued to the industry,</w:t>
      </w:r>
      <w:r>
        <w:rPr>
          <w:sz w:val="20"/>
          <w:szCs w:val="20"/>
        </w:rPr>
        <w:t xml:space="preserve"> the Working Group noted that it believes DCP 164 better facilitates DCUSA General Objective two and General Objective three. </w:t>
      </w:r>
      <w:r w:rsidR="004D7419" w:rsidRPr="004D7419">
        <w:rPr>
          <w:sz w:val="20"/>
          <w:szCs w:val="20"/>
        </w:rPr>
        <w:t>Of the eleven respondents</w:t>
      </w:r>
      <w:r>
        <w:rPr>
          <w:sz w:val="20"/>
          <w:szCs w:val="20"/>
        </w:rPr>
        <w:t xml:space="preserve"> to the consultation,</w:t>
      </w:r>
      <w:r w:rsidR="004D7419" w:rsidRPr="004D7419">
        <w:rPr>
          <w:sz w:val="20"/>
          <w:szCs w:val="20"/>
        </w:rPr>
        <w:t xml:space="preserve"> nine agreed with the Working Group’s evaluation against the DCUSA </w:t>
      </w:r>
      <w:r>
        <w:rPr>
          <w:sz w:val="20"/>
          <w:szCs w:val="20"/>
        </w:rPr>
        <w:t xml:space="preserve">objectives. </w:t>
      </w:r>
      <w:r w:rsidR="004D7419" w:rsidRPr="004D7419">
        <w:rPr>
          <w:sz w:val="20"/>
          <w:szCs w:val="20"/>
        </w:rPr>
        <w:t xml:space="preserve"> </w:t>
      </w:r>
    </w:p>
    <w:p w:rsidR="00ED4F94" w:rsidRDefault="004D7419" w:rsidP="001E5996">
      <w:pPr>
        <w:pStyle w:val="Heading2"/>
        <w:keepNext w:val="0"/>
        <w:widowControl w:val="0"/>
        <w:numPr>
          <w:ilvl w:val="1"/>
          <w:numId w:val="7"/>
        </w:numPr>
        <w:spacing w:line="360" w:lineRule="auto"/>
        <w:rPr>
          <w:sz w:val="20"/>
          <w:szCs w:val="20"/>
        </w:rPr>
      </w:pPr>
      <w:r w:rsidRPr="004D7419">
        <w:rPr>
          <w:sz w:val="20"/>
          <w:szCs w:val="20"/>
        </w:rPr>
        <w:t xml:space="preserve">Of the two that disagreed, one suggested that the </w:t>
      </w:r>
      <w:r w:rsidR="00A67D5D">
        <w:rPr>
          <w:sz w:val="20"/>
          <w:szCs w:val="20"/>
        </w:rPr>
        <w:t xml:space="preserve">DCUSA </w:t>
      </w:r>
      <w:r w:rsidRPr="004D7419">
        <w:rPr>
          <w:sz w:val="20"/>
          <w:szCs w:val="20"/>
        </w:rPr>
        <w:t>objectives may be better facilitated on some occasions, but circumstances could arise where the CP does not provide an appropriate solution.</w:t>
      </w:r>
      <w:r w:rsidR="00A67D5D">
        <w:rPr>
          <w:sz w:val="20"/>
          <w:szCs w:val="20"/>
        </w:rPr>
        <w:t xml:space="preserve"> The Working Group </w:t>
      </w:r>
      <w:r w:rsidR="001E5996">
        <w:rPr>
          <w:sz w:val="20"/>
          <w:szCs w:val="20"/>
        </w:rPr>
        <w:t xml:space="preserve">discussed this comment and noted that </w:t>
      </w:r>
      <w:r w:rsidR="00A67D5D" w:rsidRPr="001E5996">
        <w:rPr>
          <w:sz w:val="20"/>
          <w:szCs w:val="20"/>
        </w:rPr>
        <w:t>DCP 164 is not trying to hold up the Change Process, it is aiming to ensure that a model incorporating approved changes is available in time to calculate indicative tariffs. It is not trying to stifle change but make change manageable.</w:t>
      </w:r>
    </w:p>
    <w:p w:rsidR="00A67D5D" w:rsidRPr="001E5996" w:rsidRDefault="00ED4F94" w:rsidP="001E5996">
      <w:pPr>
        <w:pStyle w:val="Heading2"/>
        <w:keepNext w:val="0"/>
        <w:widowControl w:val="0"/>
        <w:numPr>
          <w:ilvl w:val="1"/>
          <w:numId w:val="7"/>
        </w:numPr>
        <w:spacing w:line="360" w:lineRule="auto"/>
        <w:rPr>
          <w:sz w:val="20"/>
          <w:szCs w:val="20"/>
        </w:rPr>
      </w:pPr>
      <w:r>
        <w:rPr>
          <w:sz w:val="20"/>
          <w:szCs w:val="20"/>
        </w:rPr>
        <w:t>T</w:t>
      </w:r>
      <w:r w:rsidR="00A23358">
        <w:rPr>
          <w:sz w:val="20"/>
          <w:szCs w:val="20"/>
        </w:rPr>
        <w:t>he other respondent to disagree</w:t>
      </w:r>
      <w:r>
        <w:rPr>
          <w:sz w:val="20"/>
          <w:szCs w:val="20"/>
        </w:rPr>
        <w:t xml:space="preserve"> with the Working Group’</w:t>
      </w:r>
      <w:r w:rsidR="00486396">
        <w:rPr>
          <w:sz w:val="20"/>
          <w:szCs w:val="20"/>
        </w:rPr>
        <w:t xml:space="preserve">s evaluation suggested that the </w:t>
      </w:r>
      <w:r w:rsidR="00486396" w:rsidRPr="00C50C53">
        <w:rPr>
          <w:sz w:val="20"/>
          <w:szCs w:val="20"/>
        </w:rPr>
        <w:t>change would affect charging methodologies by reducing the fle</w:t>
      </w:r>
      <w:r w:rsidR="00A23358">
        <w:rPr>
          <w:sz w:val="20"/>
          <w:szCs w:val="20"/>
        </w:rPr>
        <w:t xml:space="preserve">xibility of their governance and suggested that </w:t>
      </w:r>
      <w:r w:rsidR="00486396" w:rsidRPr="00C50C53">
        <w:rPr>
          <w:sz w:val="20"/>
          <w:szCs w:val="20"/>
        </w:rPr>
        <w:t>perhaps the charging objectives should be taken into account</w:t>
      </w:r>
      <w:r w:rsidR="00486396">
        <w:rPr>
          <w:sz w:val="20"/>
          <w:szCs w:val="20"/>
        </w:rPr>
        <w:t xml:space="preserve">. The Working Group agreed that the charging objectives should be considered. </w:t>
      </w:r>
    </w:p>
    <w:p w:rsidR="00A67D5D" w:rsidRPr="00A67D5D" w:rsidRDefault="00A67D5D" w:rsidP="00A67D5D"/>
    <w:p w:rsidR="00420305" w:rsidRPr="00420305" w:rsidRDefault="00420305" w:rsidP="00420305">
      <w:pPr>
        <w:rPr>
          <w:rFonts w:ascii="Verdana" w:hAnsi="Verdana"/>
          <w:b/>
          <w:sz w:val="20"/>
          <w:szCs w:val="20"/>
          <w:u w:val="single"/>
        </w:rPr>
      </w:pPr>
      <w:r w:rsidRPr="00420305">
        <w:rPr>
          <w:rFonts w:ascii="Verdana" w:hAnsi="Verdana"/>
          <w:b/>
          <w:sz w:val="20"/>
          <w:szCs w:val="20"/>
          <w:u w:val="single"/>
        </w:rPr>
        <w:t xml:space="preserve">Question 5 - Do you consider that the proposal better facilitates the DCUSA Objectives? </w:t>
      </w:r>
    </w:p>
    <w:p w:rsidR="00A23358" w:rsidRPr="009D18A1" w:rsidRDefault="009D18A1" w:rsidP="00B46650">
      <w:pPr>
        <w:pStyle w:val="Heading2"/>
        <w:keepNext w:val="0"/>
        <w:widowControl w:val="0"/>
        <w:numPr>
          <w:ilvl w:val="1"/>
          <w:numId w:val="7"/>
        </w:numPr>
        <w:spacing w:line="360" w:lineRule="auto"/>
        <w:rPr>
          <w:sz w:val="20"/>
          <w:szCs w:val="20"/>
        </w:rPr>
      </w:pPr>
      <w:r w:rsidRPr="009D18A1">
        <w:rPr>
          <w:sz w:val="20"/>
          <w:szCs w:val="20"/>
        </w:rPr>
        <w:t>The following table outlines the respondents’ views on which DCUSA Objectives a</w:t>
      </w:r>
      <w:r>
        <w:rPr>
          <w:sz w:val="20"/>
          <w:szCs w:val="20"/>
        </w:rPr>
        <w:t>re better facilitated by the CP:</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4D7419" w:rsidRPr="004F62F4" w:rsidTr="00216B16">
        <w:trPr>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DCUSA General Objectives</w:t>
            </w:r>
          </w:p>
        </w:tc>
        <w:tc>
          <w:tcPr>
            <w:tcW w:w="2552" w:type="dxa"/>
          </w:tcPr>
          <w:p w:rsidR="004D7419" w:rsidRPr="004F62F4" w:rsidRDefault="004D7419" w:rsidP="00216B16">
            <w:pPr>
              <w:jc w:val="center"/>
              <w:rPr>
                <w:rFonts w:ascii="Verdana" w:hAnsi="Verdana" w:cs="Arial"/>
                <w:b/>
                <w:bCs/>
                <w:iCs/>
                <w:sz w:val="20"/>
                <w:szCs w:val="20"/>
              </w:rPr>
            </w:pPr>
            <w:r>
              <w:rPr>
                <w:rFonts w:ascii="Verdana" w:hAnsi="Verdana" w:cs="Arial"/>
                <w:b/>
                <w:bCs/>
                <w:iCs/>
                <w:sz w:val="20"/>
                <w:szCs w:val="20"/>
              </w:rPr>
              <w:t>No. Of Respondents that agree it is better facilitated</w:t>
            </w:r>
          </w:p>
        </w:tc>
      </w:tr>
      <w:tr w:rsidR="004D7419" w:rsidRPr="004F62F4" w:rsidTr="00216B16">
        <w:trPr>
          <w:trHeight w:val="263"/>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Objective 1</w:t>
            </w:r>
          </w:p>
        </w:tc>
        <w:tc>
          <w:tcPr>
            <w:tcW w:w="2552" w:type="dxa"/>
          </w:tcPr>
          <w:p w:rsidR="004D7419" w:rsidRPr="004F62F4" w:rsidRDefault="00AD1840" w:rsidP="00216B16">
            <w:pPr>
              <w:jc w:val="center"/>
              <w:rPr>
                <w:rFonts w:ascii="Verdana" w:hAnsi="Verdana" w:cs="Arial"/>
                <w:bCs/>
                <w:iCs/>
                <w:sz w:val="20"/>
                <w:szCs w:val="20"/>
              </w:rPr>
            </w:pPr>
            <w:r>
              <w:rPr>
                <w:rFonts w:ascii="Verdana" w:hAnsi="Verdana" w:cs="Arial"/>
                <w:bCs/>
                <w:iCs/>
                <w:sz w:val="20"/>
                <w:szCs w:val="20"/>
              </w:rPr>
              <w:t>1</w:t>
            </w:r>
          </w:p>
        </w:tc>
      </w:tr>
      <w:tr w:rsidR="004D7419" w:rsidRPr="004F62F4" w:rsidTr="00216B16">
        <w:trPr>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Objective 2</w:t>
            </w:r>
          </w:p>
        </w:tc>
        <w:tc>
          <w:tcPr>
            <w:tcW w:w="2552" w:type="dxa"/>
          </w:tcPr>
          <w:p w:rsidR="004D7419" w:rsidRPr="004F62F4" w:rsidRDefault="00576CAB" w:rsidP="00216B16">
            <w:pPr>
              <w:jc w:val="center"/>
              <w:rPr>
                <w:rFonts w:ascii="Verdana" w:hAnsi="Verdana" w:cs="Arial"/>
                <w:bCs/>
                <w:iCs/>
                <w:sz w:val="20"/>
                <w:szCs w:val="20"/>
              </w:rPr>
            </w:pPr>
            <w:r>
              <w:rPr>
                <w:rFonts w:ascii="Verdana" w:hAnsi="Verdana" w:cs="Arial"/>
                <w:bCs/>
                <w:iCs/>
                <w:sz w:val="20"/>
                <w:szCs w:val="20"/>
              </w:rPr>
              <w:t>9</w:t>
            </w:r>
          </w:p>
        </w:tc>
      </w:tr>
      <w:tr w:rsidR="004D7419" w:rsidRPr="004F62F4" w:rsidTr="00216B16">
        <w:trPr>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Objective 3</w:t>
            </w:r>
          </w:p>
        </w:tc>
        <w:tc>
          <w:tcPr>
            <w:tcW w:w="2552" w:type="dxa"/>
          </w:tcPr>
          <w:p w:rsidR="004D7419" w:rsidRPr="004F62F4" w:rsidRDefault="00576CAB" w:rsidP="00216B16">
            <w:pPr>
              <w:jc w:val="center"/>
              <w:rPr>
                <w:rFonts w:ascii="Verdana" w:hAnsi="Verdana" w:cs="Arial"/>
                <w:bCs/>
                <w:iCs/>
                <w:sz w:val="20"/>
                <w:szCs w:val="20"/>
              </w:rPr>
            </w:pPr>
            <w:r>
              <w:rPr>
                <w:rFonts w:ascii="Verdana" w:hAnsi="Verdana" w:cs="Arial"/>
                <w:bCs/>
                <w:iCs/>
                <w:sz w:val="20"/>
                <w:szCs w:val="20"/>
              </w:rPr>
              <w:t>7</w:t>
            </w:r>
          </w:p>
        </w:tc>
      </w:tr>
      <w:tr w:rsidR="004D7419" w:rsidRPr="004F62F4" w:rsidTr="00216B16">
        <w:trPr>
          <w:trHeight w:val="70"/>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Objective 4</w:t>
            </w:r>
          </w:p>
        </w:tc>
        <w:tc>
          <w:tcPr>
            <w:tcW w:w="2552" w:type="dxa"/>
          </w:tcPr>
          <w:p w:rsidR="004D7419" w:rsidRPr="004F62F4" w:rsidRDefault="00576CAB" w:rsidP="00216B16">
            <w:pPr>
              <w:jc w:val="center"/>
              <w:rPr>
                <w:rFonts w:ascii="Verdana" w:hAnsi="Verdana" w:cs="Arial"/>
                <w:bCs/>
                <w:iCs/>
                <w:sz w:val="20"/>
                <w:szCs w:val="20"/>
              </w:rPr>
            </w:pPr>
            <w:r>
              <w:rPr>
                <w:rFonts w:ascii="Verdana" w:hAnsi="Verdana" w:cs="Arial"/>
                <w:bCs/>
                <w:iCs/>
                <w:sz w:val="20"/>
                <w:szCs w:val="20"/>
              </w:rPr>
              <w:t>3</w:t>
            </w:r>
          </w:p>
        </w:tc>
      </w:tr>
      <w:tr w:rsidR="004D7419" w:rsidRPr="004F62F4" w:rsidTr="00216B16">
        <w:trPr>
          <w:jc w:val="center"/>
        </w:trPr>
        <w:tc>
          <w:tcPr>
            <w:tcW w:w="1899" w:type="dxa"/>
          </w:tcPr>
          <w:p w:rsidR="004D7419" w:rsidRPr="004F62F4" w:rsidRDefault="004D7419" w:rsidP="00216B16">
            <w:pPr>
              <w:jc w:val="center"/>
              <w:rPr>
                <w:rFonts w:ascii="Verdana" w:hAnsi="Verdana" w:cs="Arial"/>
                <w:b/>
                <w:bCs/>
                <w:iCs/>
                <w:sz w:val="20"/>
                <w:szCs w:val="20"/>
              </w:rPr>
            </w:pPr>
            <w:r w:rsidRPr="004F62F4">
              <w:rPr>
                <w:rFonts w:ascii="Verdana" w:hAnsi="Verdana" w:cs="Arial"/>
                <w:b/>
                <w:bCs/>
                <w:iCs/>
                <w:sz w:val="20"/>
                <w:szCs w:val="20"/>
              </w:rPr>
              <w:t>Objective 5</w:t>
            </w:r>
          </w:p>
        </w:tc>
        <w:tc>
          <w:tcPr>
            <w:tcW w:w="2552" w:type="dxa"/>
          </w:tcPr>
          <w:p w:rsidR="004D7419" w:rsidRPr="004F62F4" w:rsidRDefault="00AD1840" w:rsidP="00216B16">
            <w:pPr>
              <w:jc w:val="center"/>
              <w:rPr>
                <w:rFonts w:ascii="Verdana" w:hAnsi="Verdana" w:cs="Arial"/>
                <w:bCs/>
                <w:iCs/>
                <w:sz w:val="20"/>
                <w:szCs w:val="20"/>
              </w:rPr>
            </w:pPr>
            <w:r>
              <w:rPr>
                <w:rFonts w:ascii="Verdana" w:hAnsi="Verdana" w:cs="Arial"/>
                <w:bCs/>
                <w:iCs/>
                <w:sz w:val="20"/>
                <w:szCs w:val="20"/>
              </w:rPr>
              <w:t>1</w:t>
            </w:r>
          </w:p>
        </w:tc>
      </w:tr>
    </w:tbl>
    <w:p w:rsidR="00B46650" w:rsidRDefault="00B46650" w:rsidP="00B46650"/>
    <w:p w:rsidR="009D18A1" w:rsidRDefault="009D18A1" w:rsidP="009D18A1">
      <w:pPr>
        <w:pStyle w:val="Heading2"/>
        <w:keepNext w:val="0"/>
        <w:widowControl w:val="0"/>
        <w:numPr>
          <w:ilvl w:val="1"/>
          <w:numId w:val="7"/>
        </w:numPr>
        <w:spacing w:line="360" w:lineRule="auto"/>
        <w:rPr>
          <w:sz w:val="20"/>
          <w:szCs w:val="20"/>
        </w:rPr>
      </w:pPr>
      <w:r w:rsidRPr="009D18A1">
        <w:rPr>
          <w:sz w:val="20"/>
          <w:szCs w:val="20"/>
        </w:rPr>
        <w:t xml:space="preserve">The Working Group noted that nine respondents agree that the CP better facilitates the DCUSA objectives and two disagree. </w:t>
      </w:r>
      <w:r>
        <w:rPr>
          <w:sz w:val="20"/>
          <w:szCs w:val="20"/>
        </w:rPr>
        <w:t>One of the respondents to disagree noted that Objectives 2, 3 and four might be better facilitated if there was not a clause in the DCP 164 legal text allowing Ofgem to over-ride the timescales. The Working Group subsequently removed this clause from the legal text.</w:t>
      </w:r>
    </w:p>
    <w:p w:rsidR="00B46650" w:rsidRPr="009D18A1" w:rsidRDefault="009D18A1" w:rsidP="009D18A1">
      <w:pPr>
        <w:pStyle w:val="Heading2"/>
        <w:keepNext w:val="0"/>
        <w:widowControl w:val="0"/>
        <w:numPr>
          <w:ilvl w:val="1"/>
          <w:numId w:val="7"/>
        </w:numPr>
        <w:spacing w:line="360" w:lineRule="auto"/>
        <w:rPr>
          <w:sz w:val="20"/>
          <w:szCs w:val="20"/>
        </w:rPr>
      </w:pPr>
      <w:r>
        <w:rPr>
          <w:sz w:val="20"/>
          <w:szCs w:val="20"/>
        </w:rPr>
        <w:t xml:space="preserve">The other respondent to disagree referred to their comments made against question four.  </w:t>
      </w:r>
    </w:p>
    <w:p w:rsidR="00B46650" w:rsidRPr="00D531F1" w:rsidRDefault="00D531F1" w:rsidP="00B46650">
      <w:pPr>
        <w:rPr>
          <w:rFonts w:ascii="Verdana" w:hAnsi="Verdana"/>
          <w:b/>
          <w:sz w:val="20"/>
          <w:szCs w:val="20"/>
          <w:u w:val="single"/>
        </w:rPr>
      </w:pPr>
      <w:r>
        <w:rPr>
          <w:rFonts w:ascii="Verdana" w:hAnsi="Verdana"/>
          <w:b/>
          <w:sz w:val="20"/>
          <w:szCs w:val="20"/>
          <w:u w:val="single"/>
        </w:rPr>
        <w:t xml:space="preserve">Question 6 - </w:t>
      </w:r>
      <w:r w:rsidR="007D604E" w:rsidRPr="007D604E">
        <w:rPr>
          <w:rFonts w:ascii="Verdana" w:hAnsi="Verdana"/>
          <w:b/>
          <w:sz w:val="20"/>
          <w:szCs w:val="20"/>
          <w:u w:val="single"/>
        </w:rPr>
        <w:t>Do you agree that all models impacted by Schedule 16, Schedule 17 and Schedule 18 should be included in this CP?</w:t>
      </w:r>
    </w:p>
    <w:p w:rsidR="00D531F1" w:rsidRDefault="00D531F1" w:rsidP="00D531F1">
      <w:pPr>
        <w:pStyle w:val="Heading2"/>
        <w:keepNext w:val="0"/>
        <w:widowControl w:val="0"/>
        <w:numPr>
          <w:ilvl w:val="1"/>
          <w:numId w:val="7"/>
        </w:numPr>
        <w:spacing w:line="360" w:lineRule="auto"/>
        <w:rPr>
          <w:sz w:val="20"/>
          <w:szCs w:val="20"/>
        </w:rPr>
      </w:pPr>
      <w:r w:rsidRPr="00D531F1">
        <w:rPr>
          <w:sz w:val="20"/>
          <w:szCs w:val="20"/>
        </w:rPr>
        <w:t>The Working Group noted that ten of the eleven respondents agreed that DCP 164 should apply to all Schedule 16, Schedule 17 and Schedule 18 models.</w:t>
      </w:r>
    </w:p>
    <w:p w:rsidR="00B46650" w:rsidRPr="00D531F1" w:rsidRDefault="00D531F1" w:rsidP="00D531F1">
      <w:pPr>
        <w:pStyle w:val="Heading2"/>
        <w:keepNext w:val="0"/>
        <w:widowControl w:val="0"/>
        <w:numPr>
          <w:ilvl w:val="1"/>
          <w:numId w:val="7"/>
        </w:numPr>
        <w:spacing w:line="360" w:lineRule="auto"/>
        <w:rPr>
          <w:sz w:val="20"/>
          <w:szCs w:val="20"/>
        </w:rPr>
      </w:pPr>
      <w:r>
        <w:rPr>
          <w:sz w:val="20"/>
          <w:szCs w:val="20"/>
        </w:rPr>
        <w:t xml:space="preserve">The one respondent to disagree noted that they did so for the same reasons as specified against earlier consultation questions. </w:t>
      </w:r>
    </w:p>
    <w:p w:rsidR="007D604E" w:rsidRPr="00B46650" w:rsidRDefault="007D604E" w:rsidP="00B46650"/>
    <w:p w:rsidR="00B46650" w:rsidRDefault="00D531F1" w:rsidP="00B46650">
      <w:pPr>
        <w:rPr>
          <w:rFonts w:ascii="Verdana" w:hAnsi="Verdana"/>
          <w:b/>
          <w:sz w:val="20"/>
          <w:szCs w:val="20"/>
          <w:u w:val="single"/>
        </w:rPr>
      </w:pPr>
      <w:r>
        <w:rPr>
          <w:rFonts w:ascii="Verdana" w:hAnsi="Verdana"/>
          <w:b/>
          <w:sz w:val="20"/>
          <w:szCs w:val="20"/>
          <w:u w:val="single"/>
        </w:rPr>
        <w:t xml:space="preserve">Question 7 - </w:t>
      </w:r>
      <w:r w:rsidRPr="00D531F1">
        <w:rPr>
          <w:rFonts w:ascii="Verdana" w:hAnsi="Verdana"/>
          <w:b/>
          <w:sz w:val="20"/>
          <w:szCs w:val="20"/>
          <w:u w:val="single"/>
        </w:rPr>
        <w:t>If the HIDAM (DCP 133) and LDNO price disaggregation models (DCP 128 and DCP 129) are incorporated into DCUSA then it is the view of the Working Group that these should be subject to the provisions of DCP 164. Do you agree with this approach?</w:t>
      </w:r>
    </w:p>
    <w:p w:rsidR="00D531F1" w:rsidRDefault="00D531F1" w:rsidP="00A77490">
      <w:pPr>
        <w:pStyle w:val="Heading2"/>
        <w:keepNext w:val="0"/>
        <w:widowControl w:val="0"/>
        <w:numPr>
          <w:ilvl w:val="1"/>
          <w:numId w:val="7"/>
        </w:numPr>
        <w:spacing w:line="360" w:lineRule="auto"/>
        <w:rPr>
          <w:sz w:val="20"/>
          <w:szCs w:val="20"/>
        </w:rPr>
      </w:pPr>
      <w:r>
        <w:rPr>
          <w:sz w:val="20"/>
          <w:szCs w:val="20"/>
        </w:rPr>
        <w:t>Ten of the el</w:t>
      </w:r>
      <w:r w:rsidR="005D0697">
        <w:rPr>
          <w:sz w:val="20"/>
          <w:szCs w:val="20"/>
        </w:rPr>
        <w:t>e</w:t>
      </w:r>
      <w:r>
        <w:rPr>
          <w:sz w:val="20"/>
          <w:szCs w:val="20"/>
        </w:rPr>
        <w:t xml:space="preserve">ven respondents agreed that the Hypothetical Incremental Distribution Asset Model (HIDAM) and LDNO price control disaggregation models should be subject to </w:t>
      </w:r>
      <w:r w:rsidR="00A77490">
        <w:rPr>
          <w:sz w:val="20"/>
          <w:szCs w:val="20"/>
        </w:rPr>
        <w:t>the DCP 164 timescales, should they be approved for incorporation into the DCUSA.</w:t>
      </w:r>
    </w:p>
    <w:p w:rsidR="00A77490" w:rsidRDefault="00A77490" w:rsidP="00A77490">
      <w:pPr>
        <w:pStyle w:val="Heading2"/>
        <w:keepNext w:val="0"/>
        <w:widowControl w:val="0"/>
        <w:numPr>
          <w:ilvl w:val="1"/>
          <w:numId w:val="7"/>
        </w:numPr>
        <w:spacing w:line="360" w:lineRule="auto"/>
        <w:rPr>
          <w:sz w:val="20"/>
          <w:szCs w:val="20"/>
        </w:rPr>
      </w:pPr>
      <w:r>
        <w:rPr>
          <w:sz w:val="20"/>
          <w:szCs w:val="20"/>
        </w:rPr>
        <w:lastRenderedPageBreak/>
        <w:t xml:space="preserve">One respondent disagreed, suggesting that an advisory timetable would be preferable. </w:t>
      </w:r>
    </w:p>
    <w:p w:rsidR="000831E3" w:rsidRPr="000831E3" w:rsidRDefault="000831E3" w:rsidP="000831E3">
      <w:pPr>
        <w:rPr>
          <w:rFonts w:ascii="Verdana" w:hAnsi="Verdana"/>
          <w:b/>
          <w:sz w:val="20"/>
          <w:szCs w:val="20"/>
          <w:u w:val="single"/>
        </w:rPr>
      </w:pPr>
    </w:p>
    <w:p w:rsidR="000831E3" w:rsidRPr="000831E3" w:rsidRDefault="000831E3" w:rsidP="000831E3">
      <w:pPr>
        <w:rPr>
          <w:rFonts w:ascii="Verdana" w:hAnsi="Verdana"/>
          <w:b/>
          <w:sz w:val="20"/>
          <w:szCs w:val="20"/>
          <w:u w:val="single"/>
        </w:rPr>
      </w:pPr>
      <w:r w:rsidRPr="000831E3">
        <w:rPr>
          <w:rFonts w:ascii="Verdana" w:hAnsi="Verdana"/>
          <w:b/>
          <w:sz w:val="20"/>
          <w:szCs w:val="20"/>
          <w:u w:val="single"/>
        </w:rPr>
        <w:t>Question 8 - Do you agree that it is appropriate to limit changes to the charging methodology models to once a year?</w:t>
      </w:r>
    </w:p>
    <w:p w:rsidR="005D0697" w:rsidRDefault="00517B9B" w:rsidP="005D0697">
      <w:pPr>
        <w:pStyle w:val="Heading2"/>
        <w:keepNext w:val="0"/>
        <w:widowControl w:val="0"/>
        <w:numPr>
          <w:ilvl w:val="1"/>
          <w:numId w:val="7"/>
        </w:numPr>
        <w:spacing w:line="360" w:lineRule="auto"/>
        <w:rPr>
          <w:sz w:val="20"/>
          <w:szCs w:val="20"/>
        </w:rPr>
      </w:pPr>
      <w:r w:rsidRPr="005D0697">
        <w:rPr>
          <w:sz w:val="20"/>
          <w:szCs w:val="20"/>
        </w:rPr>
        <w:t>Nine of the respondents agreed that changes to the charging methodology models should b</w:t>
      </w:r>
      <w:r w:rsidR="005D0697">
        <w:rPr>
          <w:sz w:val="20"/>
          <w:szCs w:val="20"/>
        </w:rPr>
        <w:t>e limited to 1 April each year, as detailed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1640"/>
        <w:gridCol w:w="1761"/>
        <w:gridCol w:w="1836"/>
      </w:tblGrid>
      <w:tr w:rsidR="005D0697" w:rsidRPr="005D0697" w:rsidTr="006341B3">
        <w:trPr>
          <w:trHeight w:val="367"/>
          <w:jc w:val="center"/>
        </w:trPr>
        <w:tc>
          <w:tcPr>
            <w:tcW w:w="2838" w:type="dxa"/>
            <w:vMerge w:val="restart"/>
            <w:vAlign w:val="center"/>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Respondent Type</w:t>
            </w:r>
          </w:p>
        </w:tc>
        <w:tc>
          <w:tcPr>
            <w:tcW w:w="5237" w:type="dxa"/>
            <w:gridSpan w:val="3"/>
            <w:vAlign w:val="center"/>
          </w:tcPr>
          <w:p w:rsidR="005D0697" w:rsidRPr="001B5C21" w:rsidRDefault="005D0697" w:rsidP="005D0697">
            <w:pPr>
              <w:jc w:val="center"/>
              <w:rPr>
                <w:rFonts w:ascii="Verdana" w:hAnsi="Verdana" w:cs="Arial"/>
                <w:b/>
                <w:bCs/>
                <w:iCs/>
                <w:sz w:val="18"/>
                <w:szCs w:val="18"/>
              </w:rPr>
            </w:pPr>
            <w:r w:rsidRPr="001B5C21">
              <w:rPr>
                <w:rFonts w:ascii="Verdana" w:hAnsi="Verdana"/>
                <w:b/>
                <w:sz w:val="20"/>
                <w:szCs w:val="20"/>
              </w:rPr>
              <w:t>Do you agree that it is appropriate to limit changes to the charging methodology models to once a year</w:t>
            </w:r>
            <w:r w:rsidRPr="001B5C21">
              <w:rPr>
                <w:rFonts w:ascii="Verdana" w:hAnsi="Verdana" w:cs="Arial"/>
                <w:b/>
                <w:bCs/>
                <w:iCs/>
                <w:sz w:val="18"/>
                <w:szCs w:val="18"/>
              </w:rPr>
              <w:t>?</w:t>
            </w:r>
          </w:p>
        </w:tc>
      </w:tr>
      <w:tr w:rsidR="005D0697" w:rsidRPr="005D0697" w:rsidTr="006341B3">
        <w:trPr>
          <w:trHeight w:val="236"/>
          <w:jc w:val="center"/>
        </w:trPr>
        <w:tc>
          <w:tcPr>
            <w:tcW w:w="2838" w:type="dxa"/>
            <w:vMerge/>
          </w:tcPr>
          <w:p w:rsidR="005D0697" w:rsidRPr="001B5C21" w:rsidRDefault="005D0697" w:rsidP="006341B3">
            <w:pPr>
              <w:jc w:val="center"/>
              <w:rPr>
                <w:rFonts w:ascii="Verdana" w:hAnsi="Verdana" w:cs="Arial"/>
                <w:b/>
                <w:bCs/>
                <w:iCs/>
                <w:sz w:val="18"/>
                <w:szCs w:val="18"/>
              </w:rPr>
            </w:pPr>
          </w:p>
        </w:tc>
        <w:tc>
          <w:tcPr>
            <w:tcW w:w="1640"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Yes</w:t>
            </w:r>
          </w:p>
        </w:tc>
        <w:tc>
          <w:tcPr>
            <w:tcW w:w="1761"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No</w:t>
            </w:r>
          </w:p>
        </w:tc>
        <w:tc>
          <w:tcPr>
            <w:tcW w:w="1836"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Total</w:t>
            </w:r>
          </w:p>
        </w:tc>
      </w:tr>
      <w:tr w:rsidR="005D0697" w:rsidRPr="005D0697" w:rsidTr="006341B3">
        <w:trPr>
          <w:trHeight w:val="236"/>
          <w:jc w:val="center"/>
        </w:trPr>
        <w:tc>
          <w:tcPr>
            <w:tcW w:w="2838"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DNO</w:t>
            </w:r>
          </w:p>
        </w:tc>
        <w:tc>
          <w:tcPr>
            <w:tcW w:w="1640"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6</w:t>
            </w:r>
          </w:p>
        </w:tc>
        <w:tc>
          <w:tcPr>
            <w:tcW w:w="1761"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0</w:t>
            </w:r>
          </w:p>
        </w:tc>
        <w:tc>
          <w:tcPr>
            <w:tcW w:w="1836"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6</w:t>
            </w:r>
          </w:p>
        </w:tc>
      </w:tr>
      <w:tr w:rsidR="005D0697" w:rsidRPr="005D0697" w:rsidTr="006341B3">
        <w:trPr>
          <w:trHeight w:val="252"/>
          <w:jc w:val="center"/>
        </w:trPr>
        <w:tc>
          <w:tcPr>
            <w:tcW w:w="2838"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Supplier</w:t>
            </w:r>
          </w:p>
        </w:tc>
        <w:tc>
          <w:tcPr>
            <w:tcW w:w="1640"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3</w:t>
            </w:r>
          </w:p>
        </w:tc>
        <w:tc>
          <w:tcPr>
            <w:tcW w:w="1761"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1</w:t>
            </w:r>
          </w:p>
        </w:tc>
        <w:tc>
          <w:tcPr>
            <w:tcW w:w="1836"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4</w:t>
            </w:r>
          </w:p>
        </w:tc>
      </w:tr>
      <w:tr w:rsidR="005D0697" w:rsidRPr="005D0697" w:rsidTr="005D0697">
        <w:trPr>
          <w:trHeight w:val="77"/>
          <w:jc w:val="center"/>
        </w:trPr>
        <w:tc>
          <w:tcPr>
            <w:tcW w:w="2838"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Other</w:t>
            </w:r>
          </w:p>
        </w:tc>
        <w:tc>
          <w:tcPr>
            <w:tcW w:w="1640"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0</w:t>
            </w:r>
          </w:p>
        </w:tc>
        <w:tc>
          <w:tcPr>
            <w:tcW w:w="1761" w:type="dxa"/>
          </w:tcPr>
          <w:p w:rsidR="005D0697" w:rsidRPr="001B5C21" w:rsidRDefault="001B5C21" w:rsidP="006341B3">
            <w:pPr>
              <w:jc w:val="center"/>
              <w:rPr>
                <w:rFonts w:ascii="Verdana" w:hAnsi="Verdana" w:cs="Arial"/>
                <w:bCs/>
                <w:iCs/>
                <w:sz w:val="18"/>
                <w:szCs w:val="18"/>
              </w:rPr>
            </w:pPr>
            <w:r w:rsidRPr="001B5C21">
              <w:rPr>
                <w:rFonts w:ascii="Verdana" w:hAnsi="Verdana" w:cs="Arial"/>
                <w:bCs/>
                <w:iCs/>
                <w:sz w:val="18"/>
                <w:szCs w:val="18"/>
              </w:rPr>
              <w:t>1</w:t>
            </w:r>
          </w:p>
        </w:tc>
        <w:tc>
          <w:tcPr>
            <w:tcW w:w="1836"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1</w:t>
            </w:r>
          </w:p>
        </w:tc>
      </w:tr>
      <w:tr w:rsidR="005D0697" w:rsidRPr="005D0697" w:rsidTr="006341B3">
        <w:trPr>
          <w:trHeight w:val="267"/>
          <w:jc w:val="center"/>
        </w:trPr>
        <w:tc>
          <w:tcPr>
            <w:tcW w:w="2838"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Total</w:t>
            </w:r>
          </w:p>
        </w:tc>
        <w:tc>
          <w:tcPr>
            <w:tcW w:w="1640" w:type="dxa"/>
          </w:tcPr>
          <w:p w:rsidR="005D0697" w:rsidRPr="001B5C21" w:rsidRDefault="001B5C21" w:rsidP="006341B3">
            <w:pPr>
              <w:jc w:val="center"/>
              <w:rPr>
                <w:rFonts w:ascii="Verdana" w:hAnsi="Verdana" w:cs="Arial"/>
                <w:b/>
                <w:bCs/>
                <w:iCs/>
                <w:sz w:val="18"/>
                <w:szCs w:val="18"/>
              </w:rPr>
            </w:pPr>
            <w:r w:rsidRPr="001B5C21">
              <w:rPr>
                <w:rFonts w:ascii="Verdana" w:hAnsi="Verdana" w:cs="Arial"/>
                <w:b/>
                <w:bCs/>
                <w:iCs/>
                <w:sz w:val="18"/>
                <w:szCs w:val="18"/>
              </w:rPr>
              <w:t>9</w:t>
            </w:r>
          </w:p>
        </w:tc>
        <w:tc>
          <w:tcPr>
            <w:tcW w:w="1761" w:type="dxa"/>
          </w:tcPr>
          <w:p w:rsidR="005D0697" w:rsidRPr="001B5C21" w:rsidRDefault="001B5C21" w:rsidP="006341B3">
            <w:pPr>
              <w:jc w:val="center"/>
              <w:rPr>
                <w:rFonts w:ascii="Verdana" w:hAnsi="Verdana" w:cs="Arial"/>
                <w:b/>
                <w:bCs/>
                <w:iCs/>
                <w:sz w:val="18"/>
                <w:szCs w:val="18"/>
              </w:rPr>
            </w:pPr>
            <w:r w:rsidRPr="001B5C21">
              <w:rPr>
                <w:rFonts w:ascii="Verdana" w:hAnsi="Verdana" w:cs="Arial"/>
                <w:b/>
                <w:bCs/>
                <w:iCs/>
                <w:sz w:val="18"/>
                <w:szCs w:val="18"/>
              </w:rPr>
              <w:t>2</w:t>
            </w:r>
          </w:p>
        </w:tc>
        <w:tc>
          <w:tcPr>
            <w:tcW w:w="1836" w:type="dxa"/>
          </w:tcPr>
          <w:p w:rsidR="005D0697" w:rsidRPr="001B5C21" w:rsidRDefault="005D0697" w:rsidP="006341B3">
            <w:pPr>
              <w:jc w:val="center"/>
              <w:rPr>
                <w:rFonts w:ascii="Verdana" w:hAnsi="Verdana" w:cs="Arial"/>
                <w:b/>
                <w:bCs/>
                <w:iCs/>
                <w:sz w:val="18"/>
                <w:szCs w:val="18"/>
              </w:rPr>
            </w:pPr>
            <w:r w:rsidRPr="001B5C21">
              <w:rPr>
                <w:rFonts w:ascii="Verdana" w:hAnsi="Verdana" w:cs="Arial"/>
                <w:b/>
                <w:bCs/>
                <w:iCs/>
                <w:sz w:val="18"/>
                <w:szCs w:val="18"/>
              </w:rPr>
              <w:t>11</w:t>
            </w:r>
          </w:p>
        </w:tc>
      </w:tr>
    </w:tbl>
    <w:p w:rsidR="005D0697" w:rsidRPr="005D0697" w:rsidRDefault="005D0697" w:rsidP="005D0697"/>
    <w:p w:rsidR="00517B9B" w:rsidRPr="005D0697" w:rsidRDefault="005D0697" w:rsidP="005D0697">
      <w:pPr>
        <w:pStyle w:val="Heading2"/>
        <w:keepNext w:val="0"/>
        <w:widowControl w:val="0"/>
        <w:numPr>
          <w:ilvl w:val="1"/>
          <w:numId w:val="7"/>
        </w:numPr>
        <w:spacing w:line="360" w:lineRule="auto"/>
        <w:rPr>
          <w:sz w:val="20"/>
          <w:szCs w:val="20"/>
        </w:rPr>
      </w:pPr>
      <w:r>
        <w:rPr>
          <w:sz w:val="20"/>
          <w:szCs w:val="20"/>
        </w:rPr>
        <w:t>Several of the</w:t>
      </w:r>
      <w:r w:rsidR="00517B9B" w:rsidRPr="005D0697">
        <w:rPr>
          <w:sz w:val="20"/>
          <w:szCs w:val="20"/>
        </w:rPr>
        <w:t xml:space="preserve"> respondents</w:t>
      </w:r>
      <w:r>
        <w:rPr>
          <w:sz w:val="20"/>
          <w:szCs w:val="20"/>
        </w:rPr>
        <w:t xml:space="preserve"> that agreed with limiting changes to the 1 April each year</w:t>
      </w:r>
      <w:r w:rsidR="00517B9B" w:rsidRPr="005D0697">
        <w:rPr>
          <w:sz w:val="20"/>
          <w:szCs w:val="20"/>
        </w:rPr>
        <w:t xml:space="preserve"> highlighted that this is consistent with RIIO-ED1 requirements to reduce charging volatility. </w:t>
      </w:r>
    </w:p>
    <w:p w:rsidR="00781AE2" w:rsidRDefault="00517B9B" w:rsidP="00781AE2">
      <w:pPr>
        <w:pStyle w:val="Heading2"/>
        <w:keepNext w:val="0"/>
        <w:widowControl w:val="0"/>
        <w:numPr>
          <w:ilvl w:val="1"/>
          <w:numId w:val="7"/>
        </w:numPr>
        <w:spacing w:line="360" w:lineRule="auto"/>
        <w:rPr>
          <w:sz w:val="20"/>
          <w:szCs w:val="20"/>
        </w:rPr>
      </w:pPr>
      <w:r w:rsidRPr="00517B9B">
        <w:rPr>
          <w:sz w:val="20"/>
          <w:szCs w:val="20"/>
        </w:rPr>
        <w:t>One respondent noted that whilst they agree with limiting changes to once a year, they believe that Ofgem and the DCUSA Panel should have the discretion to implement changes at other times of the year.</w:t>
      </w:r>
    </w:p>
    <w:p w:rsidR="00781AE2" w:rsidRDefault="00517B9B" w:rsidP="00781AE2">
      <w:pPr>
        <w:pStyle w:val="Heading2"/>
        <w:keepNext w:val="0"/>
        <w:widowControl w:val="0"/>
        <w:numPr>
          <w:ilvl w:val="1"/>
          <w:numId w:val="7"/>
        </w:numPr>
        <w:spacing w:line="360" w:lineRule="auto"/>
        <w:rPr>
          <w:sz w:val="20"/>
          <w:szCs w:val="20"/>
        </w:rPr>
      </w:pPr>
      <w:r w:rsidRPr="00781AE2">
        <w:rPr>
          <w:sz w:val="20"/>
          <w:szCs w:val="20"/>
        </w:rPr>
        <w:t>Another respondent suggested that convenience benefits to distributors and suppliers of making all changes with effect from 1 April is outweighed by the risk of a major adverse effect on c</w:t>
      </w:r>
      <w:r w:rsidR="00781AE2" w:rsidRPr="00781AE2">
        <w:rPr>
          <w:sz w:val="20"/>
          <w:szCs w:val="20"/>
        </w:rPr>
        <w:t>ustomers of continuing with a de</w:t>
      </w:r>
      <w:r w:rsidRPr="00781AE2">
        <w:rPr>
          <w:sz w:val="20"/>
          <w:szCs w:val="20"/>
        </w:rPr>
        <w:t xml:space="preserve">fective methodology for six months longer than necessary. </w:t>
      </w:r>
    </w:p>
    <w:p w:rsidR="00781AE2" w:rsidRPr="00781AE2" w:rsidRDefault="00781AE2" w:rsidP="00781AE2">
      <w:pPr>
        <w:pStyle w:val="Heading2"/>
        <w:keepNext w:val="0"/>
        <w:widowControl w:val="0"/>
        <w:numPr>
          <w:ilvl w:val="1"/>
          <w:numId w:val="7"/>
        </w:numPr>
        <w:spacing w:line="360" w:lineRule="auto"/>
        <w:rPr>
          <w:sz w:val="20"/>
          <w:szCs w:val="20"/>
        </w:rPr>
      </w:pPr>
      <w:r w:rsidRPr="00781AE2">
        <w:rPr>
          <w:sz w:val="20"/>
          <w:szCs w:val="20"/>
        </w:rPr>
        <w:t>The Working Group discussed this comment and noted that that, as picked up by other respondents, there will not be mid-year price changes relating to methodology changes or any other reason going forward under RIIO-ED1.</w:t>
      </w:r>
      <w:r>
        <w:rPr>
          <w:sz w:val="20"/>
          <w:szCs w:val="20"/>
        </w:rPr>
        <w:t xml:space="preserve"> The group also noted that the </w:t>
      </w:r>
      <w:r w:rsidRPr="00781AE2">
        <w:rPr>
          <w:sz w:val="20"/>
          <w:szCs w:val="20"/>
        </w:rPr>
        <w:t xml:space="preserve">CDCM has been under open governance for three years and many significant issues have been considered under the DCUSA Change Process in order to address these concerns and work is under way to address others. </w:t>
      </w:r>
    </w:p>
    <w:p w:rsidR="00781AE2" w:rsidRPr="00781AE2" w:rsidRDefault="00781AE2" w:rsidP="00781AE2"/>
    <w:p w:rsidR="00781AE2" w:rsidRPr="00781AE2" w:rsidRDefault="00781AE2" w:rsidP="00781AE2">
      <w:pPr>
        <w:rPr>
          <w:rFonts w:ascii="Verdana" w:hAnsi="Verdana"/>
          <w:b/>
          <w:sz w:val="20"/>
          <w:szCs w:val="20"/>
          <w:u w:val="single"/>
        </w:rPr>
      </w:pPr>
      <w:r w:rsidRPr="00781AE2">
        <w:rPr>
          <w:rFonts w:ascii="Verdana" w:hAnsi="Verdana"/>
          <w:b/>
          <w:sz w:val="20"/>
          <w:szCs w:val="20"/>
          <w:u w:val="single"/>
        </w:rPr>
        <w:t>Question 9 - Do you have any comments on the proposed legal text?</w:t>
      </w:r>
    </w:p>
    <w:p w:rsidR="009C7FAA" w:rsidRDefault="00D448D1" w:rsidP="009C7FAA">
      <w:pPr>
        <w:pStyle w:val="Heading2"/>
        <w:keepNext w:val="0"/>
        <w:widowControl w:val="0"/>
        <w:numPr>
          <w:ilvl w:val="1"/>
          <w:numId w:val="7"/>
        </w:numPr>
        <w:spacing w:line="360" w:lineRule="auto"/>
        <w:rPr>
          <w:sz w:val="20"/>
          <w:szCs w:val="20"/>
        </w:rPr>
      </w:pPr>
      <w:r>
        <w:rPr>
          <w:sz w:val="20"/>
          <w:szCs w:val="20"/>
        </w:rPr>
        <w:lastRenderedPageBreak/>
        <w:t xml:space="preserve">Two respondents highlighted that the legal text only relates to the publication of final charges </w:t>
      </w:r>
      <w:r w:rsidR="007B3960">
        <w:rPr>
          <w:sz w:val="20"/>
          <w:szCs w:val="20"/>
        </w:rPr>
        <w:t xml:space="preserve">and suggested that reference should be made to indicative tariffs. </w:t>
      </w:r>
      <w:r w:rsidR="009C7FAA">
        <w:rPr>
          <w:sz w:val="20"/>
          <w:szCs w:val="20"/>
        </w:rPr>
        <w:t xml:space="preserve">The Working Group noted that </w:t>
      </w:r>
      <w:r w:rsidR="009C7FAA" w:rsidRPr="009C7FAA">
        <w:rPr>
          <w:sz w:val="20"/>
          <w:szCs w:val="20"/>
        </w:rPr>
        <w:t xml:space="preserve">at its </w:t>
      </w:r>
      <w:r w:rsidR="009C7FAA">
        <w:rPr>
          <w:sz w:val="20"/>
          <w:szCs w:val="20"/>
        </w:rPr>
        <w:t xml:space="preserve">first meeting it had </w:t>
      </w:r>
      <w:r w:rsidR="009C7FAA" w:rsidRPr="009C7FAA">
        <w:rPr>
          <w:sz w:val="20"/>
          <w:szCs w:val="20"/>
        </w:rPr>
        <w:t>noted that DCUSA specifies th</w:t>
      </w:r>
      <w:r w:rsidR="009C7FAA">
        <w:rPr>
          <w:sz w:val="20"/>
          <w:szCs w:val="20"/>
        </w:rPr>
        <w:t>e rules for final charges where</w:t>
      </w:r>
      <w:r w:rsidR="009C7FAA" w:rsidRPr="009C7FAA">
        <w:rPr>
          <w:sz w:val="20"/>
          <w:szCs w:val="20"/>
        </w:rPr>
        <w:t>as the licence conditions specify the rules for indicative tariffs. The DCP 164 legal text can therefore only be defined in terms of final charges in the DCUSA legal text</w:t>
      </w:r>
      <w:r w:rsidR="009C7FAA">
        <w:rPr>
          <w:sz w:val="20"/>
          <w:szCs w:val="20"/>
        </w:rPr>
        <w:t>.</w:t>
      </w:r>
    </w:p>
    <w:p w:rsidR="009C7FAA" w:rsidRPr="009C7FAA" w:rsidRDefault="009C7FAA" w:rsidP="009C7FAA">
      <w:pPr>
        <w:pStyle w:val="Heading2"/>
        <w:keepNext w:val="0"/>
        <w:widowControl w:val="0"/>
        <w:numPr>
          <w:ilvl w:val="1"/>
          <w:numId w:val="7"/>
        </w:numPr>
        <w:spacing w:line="360" w:lineRule="auto"/>
        <w:rPr>
          <w:sz w:val="20"/>
          <w:szCs w:val="20"/>
        </w:rPr>
      </w:pPr>
      <w:r w:rsidRPr="009C7FAA">
        <w:rPr>
          <w:sz w:val="20"/>
          <w:szCs w:val="20"/>
        </w:rPr>
        <w:t xml:space="preserve">One respondent suggested that allowing Ofgem to override the timescales means that the CP </w:t>
      </w:r>
      <w:r w:rsidRPr="00C50C53">
        <w:rPr>
          <w:sz w:val="20"/>
          <w:szCs w:val="20"/>
        </w:rPr>
        <w:t>introduces rigidities in the development of change proposals without providing any effective protection against short-notice changes</w:t>
      </w:r>
      <w:r>
        <w:rPr>
          <w:sz w:val="20"/>
          <w:szCs w:val="20"/>
        </w:rPr>
        <w:t xml:space="preserve">. The group noted that they had previously discussed removing the paragraph in the legal text that would allow Ofgem to override the timescales. </w:t>
      </w:r>
    </w:p>
    <w:p w:rsidR="00517B9B" w:rsidRDefault="00517B9B" w:rsidP="000831E3"/>
    <w:p w:rsidR="00D448D1" w:rsidRDefault="00D448D1" w:rsidP="000831E3">
      <w:pPr>
        <w:rPr>
          <w:rFonts w:ascii="Verdana" w:hAnsi="Verdana"/>
          <w:b/>
          <w:sz w:val="20"/>
          <w:szCs w:val="20"/>
          <w:u w:val="single"/>
        </w:rPr>
      </w:pPr>
      <w:r w:rsidRPr="00D448D1">
        <w:rPr>
          <w:rFonts w:ascii="Verdana" w:hAnsi="Verdana"/>
          <w:b/>
          <w:sz w:val="20"/>
          <w:szCs w:val="20"/>
          <w:u w:val="single"/>
        </w:rPr>
        <w:t xml:space="preserve">Question 10 - Do you agree with the proposed timescales as defined in the </w:t>
      </w:r>
    </w:p>
    <w:p w:rsidR="00D448D1" w:rsidRDefault="00D448D1" w:rsidP="000831E3">
      <w:pPr>
        <w:rPr>
          <w:rFonts w:ascii="Verdana" w:hAnsi="Verdana"/>
          <w:b/>
          <w:sz w:val="20"/>
          <w:szCs w:val="20"/>
          <w:u w:val="single"/>
        </w:rPr>
      </w:pPr>
      <w:proofErr w:type="gramStart"/>
      <w:r w:rsidRPr="00D448D1">
        <w:rPr>
          <w:rFonts w:ascii="Verdana" w:hAnsi="Verdana"/>
          <w:b/>
          <w:sz w:val="20"/>
          <w:szCs w:val="20"/>
          <w:u w:val="single"/>
        </w:rPr>
        <w:t>legal</w:t>
      </w:r>
      <w:proofErr w:type="gramEnd"/>
      <w:r w:rsidRPr="00D448D1">
        <w:rPr>
          <w:rFonts w:ascii="Verdana" w:hAnsi="Verdana"/>
          <w:b/>
          <w:sz w:val="20"/>
          <w:szCs w:val="20"/>
          <w:u w:val="single"/>
        </w:rPr>
        <w:t xml:space="preserve"> text?</w:t>
      </w:r>
    </w:p>
    <w:p w:rsidR="00887E4A" w:rsidRDefault="000F2F81" w:rsidP="009C7FAA">
      <w:pPr>
        <w:pStyle w:val="Heading2"/>
        <w:keepNext w:val="0"/>
        <w:widowControl w:val="0"/>
        <w:numPr>
          <w:ilvl w:val="1"/>
          <w:numId w:val="7"/>
        </w:numPr>
        <w:spacing w:line="360" w:lineRule="auto"/>
        <w:rPr>
          <w:sz w:val="20"/>
          <w:szCs w:val="20"/>
        </w:rPr>
      </w:pPr>
      <w:r>
        <w:rPr>
          <w:sz w:val="20"/>
          <w:szCs w:val="20"/>
        </w:rPr>
        <w:t>Of the eleven respondents to the consultation s</w:t>
      </w:r>
      <w:r w:rsidR="00920C31">
        <w:rPr>
          <w:sz w:val="20"/>
          <w:szCs w:val="20"/>
        </w:rPr>
        <w:t>even respondents agree</w:t>
      </w:r>
      <w:r w:rsidR="00E73A1F">
        <w:rPr>
          <w:sz w:val="20"/>
          <w:szCs w:val="20"/>
        </w:rPr>
        <w:t>d with the proposed timescales, as detailed in the following table.</w:t>
      </w:r>
    </w:p>
    <w:p w:rsidR="00E73A1F" w:rsidRDefault="00E73A1F" w:rsidP="00E73A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1453"/>
        <w:gridCol w:w="1538"/>
        <w:gridCol w:w="1597"/>
        <w:gridCol w:w="1680"/>
      </w:tblGrid>
      <w:tr w:rsidR="00E73A1F" w:rsidRPr="005D0697" w:rsidTr="00E5381D">
        <w:trPr>
          <w:trHeight w:val="367"/>
          <w:jc w:val="center"/>
        </w:trPr>
        <w:tc>
          <w:tcPr>
            <w:tcW w:w="2588" w:type="dxa"/>
            <w:vMerge w:val="restart"/>
            <w:vAlign w:val="center"/>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Respondent Type</w:t>
            </w:r>
          </w:p>
        </w:tc>
        <w:tc>
          <w:tcPr>
            <w:tcW w:w="6268" w:type="dxa"/>
            <w:gridSpan w:val="4"/>
          </w:tcPr>
          <w:p w:rsidR="00E73A1F" w:rsidRPr="001B5C21" w:rsidRDefault="00E73A1F" w:rsidP="006341B3">
            <w:pPr>
              <w:jc w:val="center"/>
              <w:rPr>
                <w:rFonts w:ascii="Verdana" w:hAnsi="Verdana" w:cs="Arial"/>
                <w:b/>
                <w:bCs/>
                <w:iCs/>
                <w:sz w:val="18"/>
                <w:szCs w:val="18"/>
              </w:rPr>
            </w:pPr>
            <w:r w:rsidRPr="001B5C21">
              <w:rPr>
                <w:rFonts w:ascii="Verdana" w:hAnsi="Verdana"/>
                <w:b/>
                <w:sz w:val="20"/>
                <w:szCs w:val="20"/>
              </w:rPr>
              <w:t>Do you agree that it is appropriate to limit changes to the charging methodology models to once a year</w:t>
            </w:r>
            <w:r w:rsidRPr="001B5C21">
              <w:rPr>
                <w:rFonts w:ascii="Verdana" w:hAnsi="Verdana" w:cs="Arial"/>
                <w:b/>
                <w:bCs/>
                <w:iCs/>
                <w:sz w:val="18"/>
                <w:szCs w:val="18"/>
              </w:rPr>
              <w:t>?</w:t>
            </w:r>
          </w:p>
        </w:tc>
      </w:tr>
      <w:tr w:rsidR="00E73A1F" w:rsidRPr="005D0697" w:rsidTr="00E73A1F">
        <w:trPr>
          <w:trHeight w:val="236"/>
          <w:jc w:val="center"/>
        </w:trPr>
        <w:tc>
          <w:tcPr>
            <w:tcW w:w="2588" w:type="dxa"/>
            <w:vMerge/>
          </w:tcPr>
          <w:p w:rsidR="00E73A1F" w:rsidRPr="001B5C21" w:rsidRDefault="00E73A1F" w:rsidP="006341B3">
            <w:pPr>
              <w:jc w:val="center"/>
              <w:rPr>
                <w:rFonts w:ascii="Verdana" w:hAnsi="Verdana" w:cs="Arial"/>
                <w:b/>
                <w:bCs/>
                <w:iCs/>
                <w:sz w:val="18"/>
                <w:szCs w:val="18"/>
              </w:rPr>
            </w:pPr>
          </w:p>
        </w:tc>
        <w:tc>
          <w:tcPr>
            <w:tcW w:w="1453"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Yes</w:t>
            </w:r>
          </w:p>
        </w:tc>
        <w:tc>
          <w:tcPr>
            <w:tcW w:w="1538"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No</w:t>
            </w:r>
          </w:p>
        </w:tc>
        <w:tc>
          <w:tcPr>
            <w:tcW w:w="1597" w:type="dxa"/>
          </w:tcPr>
          <w:p w:rsidR="00E73A1F" w:rsidRPr="001B5C21" w:rsidRDefault="00E73A1F" w:rsidP="006341B3">
            <w:pPr>
              <w:jc w:val="center"/>
              <w:rPr>
                <w:rFonts w:ascii="Verdana" w:hAnsi="Verdana" w:cs="Arial"/>
                <w:b/>
                <w:bCs/>
                <w:iCs/>
                <w:sz w:val="18"/>
                <w:szCs w:val="18"/>
              </w:rPr>
            </w:pPr>
            <w:r>
              <w:rPr>
                <w:rFonts w:ascii="Verdana" w:hAnsi="Verdana" w:cs="Arial"/>
                <w:b/>
                <w:bCs/>
                <w:iCs/>
                <w:sz w:val="18"/>
                <w:szCs w:val="18"/>
              </w:rPr>
              <w:t>No Response</w:t>
            </w:r>
          </w:p>
        </w:tc>
        <w:tc>
          <w:tcPr>
            <w:tcW w:w="1680"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Total</w:t>
            </w:r>
          </w:p>
        </w:tc>
      </w:tr>
      <w:tr w:rsidR="00E73A1F" w:rsidRPr="005D0697" w:rsidTr="00E73A1F">
        <w:trPr>
          <w:trHeight w:val="236"/>
          <w:jc w:val="center"/>
        </w:trPr>
        <w:tc>
          <w:tcPr>
            <w:tcW w:w="2588"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DNO</w:t>
            </w:r>
          </w:p>
        </w:tc>
        <w:tc>
          <w:tcPr>
            <w:tcW w:w="1453"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6</w:t>
            </w:r>
          </w:p>
        </w:tc>
        <w:tc>
          <w:tcPr>
            <w:tcW w:w="1538"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0</w:t>
            </w:r>
          </w:p>
        </w:tc>
        <w:tc>
          <w:tcPr>
            <w:tcW w:w="1597"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0</w:t>
            </w:r>
          </w:p>
        </w:tc>
        <w:tc>
          <w:tcPr>
            <w:tcW w:w="1680"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6</w:t>
            </w:r>
          </w:p>
        </w:tc>
      </w:tr>
      <w:tr w:rsidR="00E73A1F" w:rsidRPr="005D0697" w:rsidTr="00E73A1F">
        <w:trPr>
          <w:trHeight w:val="252"/>
          <w:jc w:val="center"/>
        </w:trPr>
        <w:tc>
          <w:tcPr>
            <w:tcW w:w="2588"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Supplier</w:t>
            </w:r>
          </w:p>
        </w:tc>
        <w:tc>
          <w:tcPr>
            <w:tcW w:w="1453"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1</w:t>
            </w:r>
          </w:p>
        </w:tc>
        <w:tc>
          <w:tcPr>
            <w:tcW w:w="1538"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2</w:t>
            </w:r>
          </w:p>
        </w:tc>
        <w:tc>
          <w:tcPr>
            <w:tcW w:w="1597" w:type="dxa"/>
          </w:tcPr>
          <w:p w:rsidR="00E73A1F" w:rsidRPr="00E73A1F" w:rsidRDefault="00E73A1F" w:rsidP="006341B3">
            <w:pPr>
              <w:jc w:val="center"/>
              <w:rPr>
                <w:rFonts w:ascii="Verdana" w:hAnsi="Verdana" w:cs="Arial"/>
                <w:bCs/>
                <w:iCs/>
                <w:sz w:val="18"/>
                <w:szCs w:val="18"/>
              </w:rPr>
            </w:pPr>
            <w:r w:rsidRPr="00E73A1F">
              <w:rPr>
                <w:rFonts w:ascii="Verdana" w:hAnsi="Verdana" w:cs="Arial"/>
                <w:bCs/>
                <w:iCs/>
                <w:sz w:val="18"/>
                <w:szCs w:val="18"/>
              </w:rPr>
              <w:t>1</w:t>
            </w:r>
          </w:p>
        </w:tc>
        <w:tc>
          <w:tcPr>
            <w:tcW w:w="1680"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4</w:t>
            </w:r>
          </w:p>
        </w:tc>
      </w:tr>
      <w:tr w:rsidR="00E73A1F" w:rsidRPr="005D0697" w:rsidTr="00E73A1F">
        <w:trPr>
          <w:trHeight w:val="77"/>
          <w:jc w:val="center"/>
        </w:trPr>
        <w:tc>
          <w:tcPr>
            <w:tcW w:w="2588"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Other</w:t>
            </w:r>
          </w:p>
        </w:tc>
        <w:tc>
          <w:tcPr>
            <w:tcW w:w="1453"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0</w:t>
            </w:r>
          </w:p>
        </w:tc>
        <w:tc>
          <w:tcPr>
            <w:tcW w:w="1538"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1</w:t>
            </w:r>
          </w:p>
        </w:tc>
        <w:tc>
          <w:tcPr>
            <w:tcW w:w="1597" w:type="dxa"/>
          </w:tcPr>
          <w:p w:rsidR="00E73A1F" w:rsidRPr="00E73A1F" w:rsidRDefault="00E73A1F" w:rsidP="006341B3">
            <w:pPr>
              <w:jc w:val="center"/>
              <w:rPr>
                <w:rFonts w:ascii="Verdana" w:hAnsi="Verdana" w:cs="Arial"/>
                <w:bCs/>
                <w:iCs/>
                <w:sz w:val="18"/>
                <w:szCs w:val="18"/>
              </w:rPr>
            </w:pPr>
            <w:r>
              <w:rPr>
                <w:rFonts w:ascii="Verdana" w:hAnsi="Verdana" w:cs="Arial"/>
                <w:bCs/>
                <w:iCs/>
                <w:sz w:val="18"/>
                <w:szCs w:val="18"/>
              </w:rPr>
              <w:t>0</w:t>
            </w:r>
          </w:p>
        </w:tc>
        <w:tc>
          <w:tcPr>
            <w:tcW w:w="1680"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1</w:t>
            </w:r>
          </w:p>
        </w:tc>
      </w:tr>
      <w:tr w:rsidR="00E73A1F" w:rsidRPr="005D0697" w:rsidTr="00E73A1F">
        <w:trPr>
          <w:trHeight w:val="267"/>
          <w:jc w:val="center"/>
        </w:trPr>
        <w:tc>
          <w:tcPr>
            <w:tcW w:w="2588"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Total</w:t>
            </w:r>
          </w:p>
        </w:tc>
        <w:tc>
          <w:tcPr>
            <w:tcW w:w="1453" w:type="dxa"/>
          </w:tcPr>
          <w:p w:rsidR="00E73A1F" w:rsidRPr="001B5C21" w:rsidRDefault="00E73A1F" w:rsidP="006341B3">
            <w:pPr>
              <w:jc w:val="center"/>
              <w:rPr>
                <w:rFonts w:ascii="Verdana" w:hAnsi="Verdana" w:cs="Arial"/>
                <w:b/>
                <w:bCs/>
                <w:iCs/>
                <w:sz w:val="18"/>
                <w:szCs w:val="18"/>
              </w:rPr>
            </w:pPr>
            <w:r>
              <w:rPr>
                <w:rFonts w:ascii="Verdana" w:hAnsi="Verdana" w:cs="Arial"/>
                <w:b/>
                <w:bCs/>
                <w:iCs/>
                <w:sz w:val="18"/>
                <w:szCs w:val="18"/>
              </w:rPr>
              <w:t>7</w:t>
            </w:r>
          </w:p>
        </w:tc>
        <w:tc>
          <w:tcPr>
            <w:tcW w:w="1538" w:type="dxa"/>
          </w:tcPr>
          <w:p w:rsidR="00E73A1F" w:rsidRPr="001B5C21" w:rsidRDefault="00E73A1F" w:rsidP="006341B3">
            <w:pPr>
              <w:jc w:val="center"/>
              <w:rPr>
                <w:rFonts w:ascii="Verdana" w:hAnsi="Verdana" w:cs="Arial"/>
                <w:b/>
                <w:bCs/>
                <w:iCs/>
                <w:sz w:val="18"/>
                <w:szCs w:val="18"/>
              </w:rPr>
            </w:pPr>
            <w:r>
              <w:rPr>
                <w:rFonts w:ascii="Verdana" w:hAnsi="Verdana" w:cs="Arial"/>
                <w:b/>
                <w:bCs/>
                <w:iCs/>
                <w:sz w:val="18"/>
                <w:szCs w:val="18"/>
              </w:rPr>
              <w:t>3</w:t>
            </w:r>
          </w:p>
        </w:tc>
        <w:tc>
          <w:tcPr>
            <w:tcW w:w="1597" w:type="dxa"/>
          </w:tcPr>
          <w:p w:rsidR="00E73A1F" w:rsidRPr="001B5C21" w:rsidRDefault="00E73A1F" w:rsidP="006341B3">
            <w:pPr>
              <w:jc w:val="center"/>
              <w:rPr>
                <w:rFonts w:ascii="Verdana" w:hAnsi="Verdana" w:cs="Arial"/>
                <w:b/>
                <w:bCs/>
                <w:iCs/>
                <w:sz w:val="18"/>
                <w:szCs w:val="18"/>
              </w:rPr>
            </w:pPr>
            <w:r>
              <w:rPr>
                <w:rFonts w:ascii="Verdana" w:hAnsi="Verdana" w:cs="Arial"/>
                <w:b/>
                <w:bCs/>
                <w:iCs/>
                <w:sz w:val="18"/>
                <w:szCs w:val="18"/>
              </w:rPr>
              <w:t>1</w:t>
            </w:r>
          </w:p>
        </w:tc>
        <w:tc>
          <w:tcPr>
            <w:tcW w:w="1680" w:type="dxa"/>
          </w:tcPr>
          <w:p w:rsidR="00E73A1F" w:rsidRPr="001B5C21" w:rsidRDefault="00E73A1F" w:rsidP="006341B3">
            <w:pPr>
              <w:jc w:val="center"/>
              <w:rPr>
                <w:rFonts w:ascii="Verdana" w:hAnsi="Verdana" w:cs="Arial"/>
                <w:b/>
                <w:bCs/>
                <w:iCs/>
                <w:sz w:val="18"/>
                <w:szCs w:val="18"/>
              </w:rPr>
            </w:pPr>
            <w:r w:rsidRPr="001B5C21">
              <w:rPr>
                <w:rFonts w:ascii="Verdana" w:hAnsi="Verdana" w:cs="Arial"/>
                <w:b/>
                <w:bCs/>
                <w:iCs/>
                <w:sz w:val="18"/>
                <w:szCs w:val="18"/>
              </w:rPr>
              <w:t>11</w:t>
            </w:r>
          </w:p>
        </w:tc>
      </w:tr>
    </w:tbl>
    <w:p w:rsidR="00E73A1F" w:rsidRPr="00E73A1F" w:rsidRDefault="00E73A1F" w:rsidP="00E73A1F"/>
    <w:p w:rsidR="009C7FAA" w:rsidRDefault="00011F01" w:rsidP="009C7FAA">
      <w:pPr>
        <w:pStyle w:val="Heading2"/>
        <w:keepNext w:val="0"/>
        <w:widowControl w:val="0"/>
        <w:numPr>
          <w:ilvl w:val="1"/>
          <w:numId w:val="7"/>
        </w:numPr>
        <w:spacing w:line="360" w:lineRule="auto"/>
        <w:rPr>
          <w:sz w:val="20"/>
          <w:szCs w:val="20"/>
        </w:rPr>
      </w:pPr>
      <w:r>
        <w:rPr>
          <w:sz w:val="20"/>
          <w:szCs w:val="20"/>
        </w:rPr>
        <w:t>Of the four</w:t>
      </w:r>
      <w:r w:rsidR="00920C31">
        <w:rPr>
          <w:sz w:val="20"/>
          <w:szCs w:val="20"/>
        </w:rPr>
        <w:t xml:space="preserve"> respondents that</w:t>
      </w:r>
      <w:r>
        <w:rPr>
          <w:sz w:val="20"/>
          <w:szCs w:val="20"/>
        </w:rPr>
        <w:t xml:space="preserve"> did not agree with the proposed timescales, one responded with “n/a”.  Another</w:t>
      </w:r>
      <w:r w:rsidR="009C7FAA" w:rsidRPr="009C7FAA">
        <w:rPr>
          <w:sz w:val="20"/>
          <w:szCs w:val="20"/>
        </w:rPr>
        <w:t xml:space="preserve"> </w:t>
      </w:r>
      <w:r w:rsidR="009C7FAA">
        <w:rPr>
          <w:sz w:val="20"/>
          <w:szCs w:val="20"/>
        </w:rPr>
        <w:t xml:space="preserve">suggested shortening the timescales </w:t>
      </w:r>
      <w:r w:rsidR="00F61F60">
        <w:rPr>
          <w:sz w:val="20"/>
          <w:szCs w:val="20"/>
        </w:rPr>
        <w:t xml:space="preserve">in the legal text </w:t>
      </w:r>
      <w:r w:rsidR="009C7FAA">
        <w:rPr>
          <w:sz w:val="20"/>
          <w:szCs w:val="20"/>
        </w:rPr>
        <w:t>by approximately two weeks. The group noted the importance of having a correct model and agreed that th</w:t>
      </w:r>
      <w:r w:rsidR="000F2F81">
        <w:rPr>
          <w:sz w:val="20"/>
          <w:szCs w:val="20"/>
        </w:rPr>
        <w:t xml:space="preserve">e more time afforded the better. The group therefore agreed that the timescales should not be shortened. </w:t>
      </w:r>
    </w:p>
    <w:p w:rsidR="000E7943" w:rsidRDefault="00F61F60" w:rsidP="009C7FAA">
      <w:pPr>
        <w:pStyle w:val="Heading2"/>
        <w:keepNext w:val="0"/>
        <w:widowControl w:val="0"/>
        <w:numPr>
          <w:ilvl w:val="1"/>
          <w:numId w:val="7"/>
        </w:numPr>
        <w:spacing w:line="360" w:lineRule="auto"/>
        <w:rPr>
          <w:sz w:val="20"/>
          <w:szCs w:val="20"/>
        </w:rPr>
      </w:pPr>
      <w:r>
        <w:rPr>
          <w:sz w:val="20"/>
          <w:szCs w:val="20"/>
        </w:rPr>
        <w:t>Another respondent suggested</w:t>
      </w:r>
      <w:r w:rsidR="000E7943">
        <w:rPr>
          <w:sz w:val="20"/>
          <w:szCs w:val="20"/>
        </w:rPr>
        <w:t xml:space="preserve"> the following</w:t>
      </w:r>
      <w:r>
        <w:rPr>
          <w:sz w:val="20"/>
          <w:szCs w:val="20"/>
        </w:rPr>
        <w:t xml:space="preserve"> specific cut off dates be included in the legal text</w:t>
      </w:r>
      <w:r w:rsidR="000E7943">
        <w:rPr>
          <w:sz w:val="20"/>
          <w:szCs w:val="20"/>
        </w:rPr>
        <w:t>:</w:t>
      </w:r>
    </w:p>
    <w:p w:rsidR="000E7943" w:rsidRPr="000E7943" w:rsidRDefault="000E7943" w:rsidP="000E7943">
      <w:pPr>
        <w:pStyle w:val="ListParagraph"/>
        <w:numPr>
          <w:ilvl w:val="0"/>
          <w:numId w:val="4"/>
        </w:numPr>
        <w:spacing w:beforeLines="20" w:before="48" w:afterLines="20" w:after="48"/>
        <w:jc w:val="both"/>
        <w:rPr>
          <w:rFonts w:ascii="Verdana" w:hAnsi="Verdana" w:cs="Arial"/>
          <w:sz w:val="20"/>
          <w:szCs w:val="20"/>
        </w:rPr>
      </w:pPr>
      <w:r w:rsidRPr="000E7943">
        <w:rPr>
          <w:rFonts w:ascii="Verdana" w:hAnsi="Verdana" w:cs="Arial"/>
          <w:sz w:val="20"/>
          <w:szCs w:val="20"/>
        </w:rPr>
        <w:t xml:space="preserve">30 September </w:t>
      </w:r>
      <w:r w:rsidR="00170267">
        <w:rPr>
          <w:rFonts w:ascii="Verdana" w:hAnsi="Verdana" w:cs="Arial"/>
          <w:sz w:val="20"/>
          <w:szCs w:val="20"/>
        </w:rPr>
        <w:t xml:space="preserve">- </w:t>
      </w:r>
      <w:r w:rsidRPr="000E7943">
        <w:rPr>
          <w:rFonts w:ascii="Verdana" w:hAnsi="Verdana" w:cs="Arial"/>
          <w:sz w:val="20"/>
          <w:szCs w:val="20"/>
        </w:rPr>
        <w:t>Authority consent has to be granted.</w:t>
      </w:r>
    </w:p>
    <w:p w:rsidR="000E7943" w:rsidRPr="000E7943" w:rsidRDefault="000E7943" w:rsidP="000E7943">
      <w:pPr>
        <w:pStyle w:val="ListParagraph"/>
        <w:numPr>
          <w:ilvl w:val="0"/>
          <w:numId w:val="4"/>
        </w:numPr>
        <w:spacing w:beforeLines="20" w:before="48" w:afterLines="20" w:after="48"/>
        <w:jc w:val="both"/>
        <w:rPr>
          <w:rFonts w:ascii="Verdana" w:hAnsi="Verdana" w:cs="Arial"/>
          <w:sz w:val="20"/>
          <w:szCs w:val="20"/>
        </w:rPr>
      </w:pPr>
      <w:r w:rsidRPr="000E7943">
        <w:rPr>
          <w:rFonts w:ascii="Verdana" w:hAnsi="Verdana" w:cs="Arial"/>
          <w:sz w:val="20"/>
          <w:szCs w:val="20"/>
        </w:rPr>
        <w:t xml:space="preserve">31 October </w:t>
      </w:r>
      <w:r w:rsidR="00170267">
        <w:rPr>
          <w:rFonts w:ascii="Verdana" w:hAnsi="Verdana" w:cs="Arial"/>
          <w:sz w:val="20"/>
          <w:szCs w:val="20"/>
        </w:rPr>
        <w:t xml:space="preserve">- </w:t>
      </w:r>
      <w:r w:rsidRPr="000E7943">
        <w:rPr>
          <w:rFonts w:ascii="Verdana" w:hAnsi="Verdana" w:cs="Arial"/>
          <w:sz w:val="20"/>
          <w:szCs w:val="20"/>
        </w:rPr>
        <w:t>Model pre-release</w:t>
      </w:r>
    </w:p>
    <w:p w:rsidR="00C12CC6" w:rsidRDefault="00F61F60" w:rsidP="008934D1">
      <w:pPr>
        <w:pStyle w:val="Heading2"/>
        <w:keepNext w:val="0"/>
        <w:widowControl w:val="0"/>
        <w:numPr>
          <w:ilvl w:val="1"/>
          <w:numId w:val="7"/>
        </w:numPr>
        <w:spacing w:line="360" w:lineRule="auto"/>
        <w:rPr>
          <w:sz w:val="20"/>
          <w:szCs w:val="20"/>
        </w:rPr>
      </w:pPr>
      <w:r>
        <w:rPr>
          <w:sz w:val="20"/>
          <w:szCs w:val="20"/>
        </w:rPr>
        <w:t>The Working Group noted that</w:t>
      </w:r>
      <w:r w:rsidR="00C12CC6">
        <w:rPr>
          <w:sz w:val="20"/>
          <w:szCs w:val="20"/>
        </w:rPr>
        <w:t xml:space="preserve"> it had previously debated</w:t>
      </w:r>
      <w:r>
        <w:rPr>
          <w:sz w:val="20"/>
          <w:szCs w:val="20"/>
        </w:rPr>
        <w:t xml:space="preserve"> </w:t>
      </w:r>
      <w:r w:rsidR="000E7943">
        <w:rPr>
          <w:sz w:val="20"/>
          <w:szCs w:val="20"/>
        </w:rPr>
        <w:t>specifying the deadlines in terms of fixed dates</w:t>
      </w:r>
      <w:r>
        <w:rPr>
          <w:sz w:val="20"/>
          <w:szCs w:val="20"/>
        </w:rPr>
        <w:t xml:space="preserve"> </w:t>
      </w:r>
      <w:r w:rsidR="00C12CC6">
        <w:rPr>
          <w:sz w:val="20"/>
          <w:szCs w:val="20"/>
        </w:rPr>
        <w:t xml:space="preserve">when first drafting </w:t>
      </w:r>
      <w:r>
        <w:rPr>
          <w:sz w:val="20"/>
          <w:szCs w:val="20"/>
        </w:rPr>
        <w:t>the legal text</w:t>
      </w:r>
      <w:r w:rsidR="008934D1">
        <w:rPr>
          <w:sz w:val="20"/>
          <w:szCs w:val="20"/>
        </w:rPr>
        <w:t xml:space="preserve">. However, </w:t>
      </w:r>
      <w:r w:rsidR="008934D1">
        <w:rPr>
          <w:sz w:val="20"/>
          <w:szCs w:val="20"/>
        </w:rPr>
        <w:lastRenderedPageBreak/>
        <w:t xml:space="preserve">the </w:t>
      </w:r>
      <w:r w:rsidR="00FB1BEF">
        <w:rPr>
          <w:sz w:val="20"/>
          <w:szCs w:val="20"/>
        </w:rPr>
        <w:t xml:space="preserve">group </w:t>
      </w:r>
      <w:r w:rsidR="00C12CC6">
        <w:rPr>
          <w:sz w:val="20"/>
          <w:szCs w:val="20"/>
        </w:rPr>
        <w:t>had agreed that</w:t>
      </w:r>
      <w:r w:rsidR="008934D1">
        <w:rPr>
          <w:sz w:val="20"/>
          <w:szCs w:val="20"/>
        </w:rPr>
        <w:t xml:space="preserve"> to write </w:t>
      </w:r>
      <w:r w:rsidR="008934D1" w:rsidRPr="008934D1">
        <w:rPr>
          <w:sz w:val="20"/>
          <w:szCs w:val="20"/>
        </w:rPr>
        <w:t>the timescales in a way that ensures</w:t>
      </w:r>
      <w:r w:rsidR="008934D1">
        <w:rPr>
          <w:sz w:val="20"/>
          <w:szCs w:val="20"/>
        </w:rPr>
        <w:t xml:space="preserve"> that they will </w:t>
      </w:r>
      <w:r w:rsidR="008934D1" w:rsidRPr="008934D1">
        <w:rPr>
          <w:sz w:val="20"/>
          <w:szCs w:val="20"/>
        </w:rPr>
        <w:t>not need to be amended should the publicati</w:t>
      </w:r>
      <w:r w:rsidR="00C12CC6">
        <w:rPr>
          <w:sz w:val="20"/>
          <w:szCs w:val="20"/>
        </w:rPr>
        <w:t>on date of final tariffs change, rather than giving fixed dates.</w:t>
      </w:r>
    </w:p>
    <w:p w:rsidR="009C7FAA" w:rsidRPr="00E73A1F" w:rsidRDefault="00170267" w:rsidP="000831E3">
      <w:pPr>
        <w:pStyle w:val="Heading2"/>
        <w:keepNext w:val="0"/>
        <w:widowControl w:val="0"/>
        <w:numPr>
          <w:ilvl w:val="1"/>
          <w:numId w:val="7"/>
        </w:numPr>
        <w:spacing w:line="360" w:lineRule="auto"/>
        <w:rPr>
          <w:sz w:val="20"/>
          <w:szCs w:val="20"/>
        </w:rPr>
      </w:pPr>
      <w:r>
        <w:rPr>
          <w:sz w:val="20"/>
          <w:szCs w:val="20"/>
        </w:rPr>
        <w:t xml:space="preserve">The final respondent to disagree with the proposed timescales suggested that it would be better to </w:t>
      </w:r>
      <w:r w:rsidRPr="00170267">
        <w:rPr>
          <w:sz w:val="20"/>
          <w:szCs w:val="20"/>
        </w:rPr>
        <w:t>set an expectation that good models (albeit not final ones because of interactions between DCPs) should be available before voting, and that final models should be prepared a short time after approval.</w:t>
      </w:r>
      <w:r>
        <w:rPr>
          <w:sz w:val="20"/>
          <w:szCs w:val="20"/>
        </w:rPr>
        <w:t xml:space="preserve"> The group noted that this would create the maximum number of models possible, as changes would not be batched and implemented in a single release of the model. </w:t>
      </w:r>
      <w:r w:rsidRPr="00170267">
        <w:rPr>
          <w:sz w:val="20"/>
          <w:szCs w:val="20"/>
        </w:rPr>
        <w:t xml:space="preserve"> </w:t>
      </w:r>
    </w:p>
    <w:p w:rsidR="009C7FAA" w:rsidRDefault="009C7FAA" w:rsidP="000831E3">
      <w:pPr>
        <w:rPr>
          <w:rFonts w:ascii="Verdana" w:hAnsi="Verdana"/>
          <w:b/>
          <w:sz w:val="20"/>
          <w:szCs w:val="20"/>
          <w:u w:val="single"/>
        </w:rPr>
      </w:pPr>
    </w:p>
    <w:p w:rsidR="009C7FAA" w:rsidRDefault="009C7FAA" w:rsidP="000831E3">
      <w:pPr>
        <w:rPr>
          <w:rFonts w:ascii="Verdana" w:hAnsi="Verdana"/>
          <w:b/>
          <w:sz w:val="20"/>
          <w:szCs w:val="20"/>
          <w:u w:val="single"/>
        </w:rPr>
      </w:pPr>
    </w:p>
    <w:p w:rsidR="00517B9B" w:rsidRDefault="00D448D1" w:rsidP="000831E3">
      <w:pPr>
        <w:rPr>
          <w:rFonts w:ascii="Verdana" w:hAnsi="Verdana"/>
          <w:b/>
          <w:sz w:val="20"/>
          <w:szCs w:val="20"/>
          <w:u w:val="single"/>
        </w:rPr>
      </w:pPr>
      <w:r>
        <w:rPr>
          <w:rFonts w:ascii="Verdana" w:hAnsi="Verdana"/>
          <w:b/>
          <w:sz w:val="20"/>
          <w:szCs w:val="20"/>
          <w:u w:val="single"/>
        </w:rPr>
        <w:t xml:space="preserve">Question 11 </w:t>
      </w:r>
      <w:r w:rsidRPr="00D448D1">
        <w:rPr>
          <w:rFonts w:ascii="Verdana" w:hAnsi="Verdana"/>
          <w:b/>
          <w:sz w:val="20"/>
          <w:szCs w:val="20"/>
          <w:u w:val="single"/>
        </w:rPr>
        <w:t xml:space="preserve">- Are there any alternative solutions or matters that should be considered? </w:t>
      </w:r>
    </w:p>
    <w:p w:rsidR="001E6C8B" w:rsidRDefault="00170267" w:rsidP="00170267">
      <w:pPr>
        <w:pStyle w:val="Heading2"/>
        <w:keepNext w:val="0"/>
        <w:widowControl w:val="0"/>
        <w:numPr>
          <w:ilvl w:val="1"/>
          <w:numId w:val="7"/>
        </w:numPr>
        <w:spacing w:line="360" w:lineRule="auto"/>
        <w:rPr>
          <w:sz w:val="20"/>
          <w:szCs w:val="20"/>
        </w:rPr>
      </w:pPr>
      <w:r w:rsidRPr="00170267">
        <w:rPr>
          <w:sz w:val="20"/>
          <w:szCs w:val="20"/>
        </w:rPr>
        <w:t xml:space="preserve">Eight of the eleven </w:t>
      </w:r>
      <w:r>
        <w:rPr>
          <w:sz w:val="20"/>
          <w:szCs w:val="20"/>
        </w:rPr>
        <w:t xml:space="preserve">respondents </w:t>
      </w:r>
      <w:r w:rsidR="001E6C8B">
        <w:rPr>
          <w:sz w:val="20"/>
          <w:szCs w:val="20"/>
        </w:rPr>
        <w:t>did</w:t>
      </w:r>
      <w:r w:rsidR="00121773">
        <w:rPr>
          <w:sz w:val="20"/>
          <w:szCs w:val="20"/>
        </w:rPr>
        <w:t xml:space="preserve"> not</w:t>
      </w:r>
      <w:r w:rsidR="001E6C8B">
        <w:rPr>
          <w:sz w:val="20"/>
          <w:szCs w:val="20"/>
        </w:rPr>
        <w:t xml:space="preserve"> suggest any alternative solutions or matters that should be considered.</w:t>
      </w:r>
    </w:p>
    <w:p w:rsidR="001C1B5D" w:rsidRDefault="00155843" w:rsidP="00170267">
      <w:pPr>
        <w:pStyle w:val="Heading2"/>
        <w:keepNext w:val="0"/>
        <w:widowControl w:val="0"/>
        <w:numPr>
          <w:ilvl w:val="1"/>
          <w:numId w:val="7"/>
        </w:numPr>
        <w:spacing w:line="360" w:lineRule="auto"/>
        <w:rPr>
          <w:sz w:val="20"/>
          <w:szCs w:val="20"/>
        </w:rPr>
      </w:pPr>
      <w:r>
        <w:rPr>
          <w:sz w:val="20"/>
          <w:szCs w:val="20"/>
        </w:rPr>
        <w:t>One respondent suggested that</w:t>
      </w:r>
      <w:r w:rsidR="001E6C8B">
        <w:rPr>
          <w:sz w:val="20"/>
          <w:szCs w:val="20"/>
        </w:rPr>
        <w:t xml:space="preserve"> </w:t>
      </w:r>
      <w:r>
        <w:rPr>
          <w:sz w:val="20"/>
          <w:szCs w:val="20"/>
        </w:rPr>
        <w:t xml:space="preserve">the </w:t>
      </w:r>
      <w:r w:rsidRPr="00C50C53">
        <w:rPr>
          <w:sz w:val="20"/>
          <w:szCs w:val="20"/>
        </w:rPr>
        <w:t>legal drafting should remove reference to the “publication date of final charges” and should instead refer to “notice period for the publication of charges (as defined in the Distribution Licence)”</w:t>
      </w:r>
      <w:r>
        <w:rPr>
          <w:sz w:val="20"/>
          <w:szCs w:val="20"/>
        </w:rPr>
        <w:t>. This respondent provided alternative legal text</w:t>
      </w:r>
      <w:r w:rsidR="001C1B5D">
        <w:rPr>
          <w:sz w:val="20"/>
          <w:szCs w:val="20"/>
        </w:rPr>
        <w:t xml:space="preserve"> for the Working Group’s consideration. The Working Group agreed that this alternative text should be progressed over the text that was issued for consultation.</w:t>
      </w:r>
    </w:p>
    <w:p w:rsidR="00C964B9" w:rsidRDefault="001C1B5D" w:rsidP="00C964B9">
      <w:pPr>
        <w:pStyle w:val="Heading2"/>
        <w:keepNext w:val="0"/>
        <w:widowControl w:val="0"/>
        <w:numPr>
          <w:ilvl w:val="1"/>
          <w:numId w:val="7"/>
        </w:numPr>
        <w:spacing w:line="360" w:lineRule="auto"/>
        <w:rPr>
          <w:sz w:val="20"/>
          <w:szCs w:val="20"/>
        </w:rPr>
      </w:pPr>
      <w:r>
        <w:rPr>
          <w:sz w:val="20"/>
          <w:szCs w:val="20"/>
        </w:rPr>
        <w:t>Another respondent suggested that t</w:t>
      </w:r>
      <w:r w:rsidRPr="001C1B5D">
        <w:rPr>
          <w:sz w:val="20"/>
          <w:szCs w:val="20"/>
        </w:rPr>
        <w:t>he CP does not address the confusion caused by multiple Change Proposals being processed simultaneously.</w:t>
      </w:r>
      <w:r>
        <w:rPr>
          <w:sz w:val="20"/>
          <w:szCs w:val="20"/>
        </w:rPr>
        <w:t xml:space="preserve"> </w:t>
      </w:r>
      <w:r w:rsidR="00155843">
        <w:rPr>
          <w:sz w:val="20"/>
          <w:szCs w:val="20"/>
        </w:rPr>
        <w:t xml:space="preserve"> </w:t>
      </w:r>
      <w:r w:rsidR="00155843" w:rsidRPr="00C50C53">
        <w:rPr>
          <w:sz w:val="20"/>
          <w:szCs w:val="20"/>
        </w:rPr>
        <w:t xml:space="preserve"> </w:t>
      </w:r>
      <w:r w:rsidR="00E84AC7">
        <w:rPr>
          <w:sz w:val="20"/>
          <w:szCs w:val="20"/>
        </w:rPr>
        <w:t>The Working Group discussed this comment and noted that in it</w:t>
      </w:r>
      <w:r w:rsidR="00E84AC7" w:rsidRPr="00E84AC7">
        <w:rPr>
          <w:sz w:val="20"/>
          <w:szCs w:val="20"/>
        </w:rPr>
        <w:t xml:space="preserve"> view DCP 164 does reduce confusion at it ensures that all changes approved by a certain date get incorporated in the final model.</w:t>
      </w:r>
      <w:r w:rsidR="00E84AC7">
        <w:rPr>
          <w:sz w:val="20"/>
          <w:szCs w:val="20"/>
        </w:rPr>
        <w:t xml:space="preserve"> </w:t>
      </w:r>
      <w:r w:rsidR="00155843" w:rsidRPr="00C50C53">
        <w:rPr>
          <w:sz w:val="20"/>
          <w:szCs w:val="20"/>
        </w:rPr>
        <w:t xml:space="preserve"> </w:t>
      </w:r>
      <w:r w:rsidR="00E84AC7" w:rsidRPr="00E84AC7">
        <w:rPr>
          <w:sz w:val="20"/>
          <w:szCs w:val="20"/>
        </w:rPr>
        <w:t>It was</w:t>
      </w:r>
      <w:r w:rsidR="00E84AC7">
        <w:rPr>
          <w:sz w:val="20"/>
          <w:szCs w:val="20"/>
        </w:rPr>
        <w:t xml:space="preserve"> also</w:t>
      </w:r>
      <w:r w:rsidR="00E84AC7" w:rsidRPr="00E84AC7">
        <w:rPr>
          <w:sz w:val="20"/>
          <w:szCs w:val="20"/>
        </w:rPr>
        <w:t xml:space="preserve"> noted that the intent of the CP did not cover th</w:t>
      </w:r>
      <w:r w:rsidR="00E84AC7">
        <w:rPr>
          <w:sz w:val="20"/>
          <w:szCs w:val="20"/>
        </w:rPr>
        <w:t>e interactions between Working G</w:t>
      </w:r>
      <w:r w:rsidR="00E84AC7" w:rsidRPr="00E84AC7">
        <w:rPr>
          <w:sz w:val="20"/>
          <w:szCs w:val="20"/>
        </w:rPr>
        <w:t>roups.</w:t>
      </w:r>
    </w:p>
    <w:p w:rsidR="00DB5A64" w:rsidRPr="00C964B9" w:rsidRDefault="00DB5A64" w:rsidP="00C964B9">
      <w:pPr>
        <w:pStyle w:val="Heading2"/>
        <w:keepNext w:val="0"/>
        <w:widowControl w:val="0"/>
        <w:numPr>
          <w:ilvl w:val="1"/>
          <w:numId w:val="7"/>
        </w:numPr>
        <w:spacing w:line="360" w:lineRule="auto"/>
        <w:rPr>
          <w:sz w:val="20"/>
          <w:szCs w:val="20"/>
        </w:rPr>
      </w:pPr>
      <w:commentRangeStart w:id="2"/>
      <w:r w:rsidRPr="00C964B9">
        <w:rPr>
          <w:sz w:val="20"/>
          <w:szCs w:val="20"/>
        </w:rPr>
        <w:t xml:space="preserve">Another respondent suggested that “A simpler and more effective way of meeting the intent would be to require that the implementation date of a charging methodology change be on the 1 April (or 1 October if the intent is modified to permit mid-year changes) that follows the expiry of a five-month period after publication of a set of modelling tools that implement that </w:t>
      </w:r>
      <w:r w:rsidRPr="00C964B9">
        <w:rPr>
          <w:sz w:val="20"/>
          <w:szCs w:val="20"/>
        </w:rPr>
        <w:lastRenderedPageBreak/>
        <w:t>change.”</w:t>
      </w:r>
      <w:r w:rsidR="00C964B9">
        <w:rPr>
          <w:sz w:val="20"/>
          <w:szCs w:val="20"/>
        </w:rPr>
        <w:t xml:space="preserve"> The Working Group discussed this suggestion and … </w:t>
      </w:r>
      <w:r w:rsidRPr="00C964B9">
        <w:rPr>
          <w:sz w:val="20"/>
          <w:szCs w:val="20"/>
        </w:rPr>
        <w:t xml:space="preserve">  </w:t>
      </w:r>
      <w:commentRangeEnd w:id="2"/>
      <w:r w:rsidR="00C964B9">
        <w:rPr>
          <w:rStyle w:val="CommentReference"/>
          <w:rFonts w:ascii="Times New Roman" w:hAnsi="Times New Roman" w:cs="Times New Roman"/>
          <w:bCs w:val="0"/>
          <w:iCs w:val="0"/>
        </w:rPr>
        <w:commentReference w:id="2"/>
      </w:r>
    </w:p>
    <w:p w:rsidR="00DB5A64" w:rsidRPr="00DB5A64" w:rsidRDefault="00DB5A64" w:rsidP="00DB5A64"/>
    <w:p w:rsidR="001E6C8B" w:rsidRPr="001E6C8B" w:rsidRDefault="001E6C8B" w:rsidP="001E6C8B"/>
    <w:p w:rsidR="00170267" w:rsidRDefault="00C964B9" w:rsidP="000831E3">
      <w:pPr>
        <w:rPr>
          <w:rFonts w:ascii="Verdana" w:hAnsi="Verdana"/>
          <w:b/>
          <w:sz w:val="20"/>
          <w:szCs w:val="20"/>
          <w:u w:val="single"/>
        </w:rPr>
      </w:pPr>
      <w:r w:rsidRPr="00C964B9">
        <w:rPr>
          <w:rFonts w:ascii="Verdana" w:hAnsi="Verdana"/>
          <w:b/>
          <w:sz w:val="20"/>
          <w:szCs w:val="20"/>
          <w:u w:val="single"/>
        </w:rPr>
        <w:t>Question 12 - Are you supportive of the proposed implementation date of the first release after Authority consent?</w:t>
      </w:r>
    </w:p>
    <w:p w:rsidR="00C964B9" w:rsidRDefault="00C964B9" w:rsidP="000831E3">
      <w:pPr>
        <w:rPr>
          <w:u w:val="single"/>
        </w:rPr>
      </w:pPr>
    </w:p>
    <w:p w:rsidR="00C964B9" w:rsidRDefault="00C964B9" w:rsidP="00C964B9">
      <w:pPr>
        <w:pStyle w:val="Heading2"/>
        <w:keepNext w:val="0"/>
        <w:widowControl w:val="0"/>
        <w:numPr>
          <w:ilvl w:val="1"/>
          <w:numId w:val="7"/>
        </w:numPr>
        <w:spacing w:line="360" w:lineRule="auto"/>
        <w:rPr>
          <w:sz w:val="20"/>
          <w:szCs w:val="20"/>
        </w:rPr>
      </w:pPr>
      <w:r w:rsidRPr="00C964B9">
        <w:rPr>
          <w:sz w:val="20"/>
          <w:szCs w:val="20"/>
        </w:rPr>
        <w:t xml:space="preserve">All respondents to the consultation </w:t>
      </w:r>
      <w:r>
        <w:rPr>
          <w:sz w:val="20"/>
          <w:szCs w:val="20"/>
        </w:rPr>
        <w:t xml:space="preserve">supported the proposed implementation date of the first release after Authority consent. Although one of the respondents stated that this was subject to the timescales introduced by the CP being advisory only, and another stated that it was subject to the </w:t>
      </w:r>
      <w:r w:rsidRPr="00C964B9">
        <w:rPr>
          <w:sz w:val="20"/>
          <w:szCs w:val="20"/>
        </w:rPr>
        <w:t>def</w:t>
      </w:r>
      <w:r>
        <w:rPr>
          <w:sz w:val="20"/>
          <w:szCs w:val="20"/>
        </w:rPr>
        <w:t>ects discussed elsewhere their response being</w:t>
      </w:r>
      <w:r w:rsidRPr="00C964B9">
        <w:rPr>
          <w:sz w:val="20"/>
          <w:szCs w:val="20"/>
        </w:rPr>
        <w:t xml:space="preserve"> cured</w:t>
      </w:r>
      <w:r>
        <w:rPr>
          <w:sz w:val="20"/>
          <w:szCs w:val="20"/>
        </w:rPr>
        <w:t>.</w:t>
      </w:r>
    </w:p>
    <w:p w:rsidR="00007987" w:rsidRDefault="00007987" w:rsidP="00007987"/>
    <w:p w:rsidR="00007987" w:rsidRDefault="00007987" w:rsidP="00007987">
      <w:pPr>
        <w:rPr>
          <w:rFonts w:ascii="Verdana" w:hAnsi="Verdana"/>
          <w:b/>
          <w:sz w:val="20"/>
          <w:szCs w:val="20"/>
          <w:u w:val="single"/>
        </w:rPr>
      </w:pPr>
      <w:r w:rsidRPr="00C964B9">
        <w:rPr>
          <w:rFonts w:ascii="Verdana" w:hAnsi="Verdana"/>
          <w:b/>
          <w:sz w:val="20"/>
          <w:szCs w:val="20"/>
          <w:u w:val="single"/>
        </w:rPr>
        <w:t>Question 1</w:t>
      </w:r>
      <w:r>
        <w:rPr>
          <w:rFonts w:ascii="Verdana" w:hAnsi="Verdana"/>
          <w:b/>
          <w:sz w:val="20"/>
          <w:szCs w:val="20"/>
          <w:u w:val="single"/>
        </w:rPr>
        <w:t>3</w:t>
      </w:r>
      <w:r w:rsidRPr="00C964B9">
        <w:rPr>
          <w:rFonts w:ascii="Verdana" w:hAnsi="Verdana"/>
          <w:b/>
          <w:sz w:val="20"/>
          <w:szCs w:val="20"/>
          <w:u w:val="single"/>
        </w:rPr>
        <w:t xml:space="preserve"> </w:t>
      </w:r>
      <w:r>
        <w:rPr>
          <w:rFonts w:ascii="Verdana" w:hAnsi="Verdana"/>
          <w:b/>
          <w:sz w:val="20"/>
          <w:szCs w:val="20"/>
          <w:u w:val="single"/>
        </w:rPr>
        <w:t>–</w:t>
      </w:r>
      <w:r w:rsidRPr="00007987">
        <w:rPr>
          <w:rFonts w:ascii="Verdana" w:hAnsi="Verdana"/>
          <w:b/>
          <w:sz w:val="20"/>
          <w:szCs w:val="20"/>
          <w:u w:val="single"/>
        </w:rPr>
        <w:t xml:space="preserve">Please state any other comments </w:t>
      </w:r>
      <w:r>
        <w:rPr>
          <w:rFonts w:ascii="Verdana" w:hAnsi="Verdana"/>
          <w:b/>
          <w:sz w:val="20"/>
          <w:szCs w:val="20"/>
          <w:u w:val="single"/>
        </w:rPr>
        <w:t>or views on the Change Proposal</w:t>
      </w:r>
    </w:p>
    <w:p w:rsidR="00593922" w:rsidRDefault="00593922" w:rsidP="00593922">
      <w:pPr>
        <w:pStyle w:val="Heading2"/>
        <w:keepNext w:val="0"/>
        <w:widowControl w:val="0"/>
        <w:numPr>
          <w:ilvl w:val="1"/>
          <w:numId w:val="7"/>
        </w:numPr>
        <w:spacing w:line="360" w:lineRule="auto"/>
        <w:rPr>
          <w:sz w:val="20"/>
          <w:szCs w:val="20"/>
        </w:rPr>
      </w:pPr>
      <w:r w:rsidRPr="00593922">
        <w:rPr>
          <w:sz w:val="20"/>
          <w:szCs w:val="20"/>
        </w:rPr>
        <w:t xml:space="preserve">Seven of the eleven respondents </w:t>
      </w:r>
      <w:r>
        <w:rPr>
          <w:sz w:val="20"/>
          <w:szCs w:val="20"/>
        </w:rPr>
        <w:t>had no further comments or views on DCP 164.</w:t>
      </w:r>
    </w:p>
    <w:p w:rsidR="00A85A06" w:rsidRPr="00CB0513" w:rsidRDefault="00F83D76" w:rsidP="00A85A06">
      <w:pPr>
        <w:pStyle w:val="Heading2"/>
        <w:keepNext w:val="0"/>
        <w:widowControl w:val="0"/>
        <w:numPr>
          <w:ilvl w:val="1"/>
          <w:numId w:val="7"/>
        </w:numPr>
        <w:spacing w:line="360" w:lineRule="auto"/>
        <w:rPr>
          <w:sz w:val="20"/>
          <w:szCs w:val="20"/>
        </w:rPr>
      </w:pPr>
      <w:r w:rsidRPr="00CB0513">
        <w:rPr>
          <w:sz w:val="20"/>
          <w:szCs w:val="20"/>
        </w:rPr>
        <w:t>In its response to this question the Party that proposed DCP 164 stated that the CP</w:t>
      </w:r>
      <w:r w:rsidR="004C3BE8" w:rsidRPr="00CB0513">
        <w:rPr>
          <w:sz w:val="20"/>
          <w:szCs w:val="20"/>
        </w:rPr>
        <w:t xml:space="preserve"> will improve the process and lessen the burden on all parties (including Ofgem) in working up the changes, assessing the impact, passing to Ofgem for approval and having a model in time for charge setting in any one year</w:t>
      </w:r>
      <w:r w:rsidRPr="00CB0513">
        <w:rPr>
          <w:sz w:val="20"/>
          <w:szCs w:val="20"/>
        </w:rPr>
        <w:t>.</w:t>
      </w:r>
    </w:p>
    <w:p w:rsidR="0085489F" w:rsidRPr="00CB0513" w:rsidRDefault="00230BA3" w:rsidP="00A85A06">
      <w:pPr>
        <w:pStyle w:val="Heading2"/>
        <w:keepNext w:val="0"/>
        <w:widowControl w:val="0"/>
        <w:numPr>
          <w:ilvl w:val="1"/>
          <w:numId w:val="7"/>
        </w:numPr>
        <w:spacing w:line="360" w:lineRule="auto"/>
        <w:rPr>
          <w:sz w:val="20"/>
          <w:szCs w:val="20"/>
        </w:rPr>
      </w:pPr>
      <w:r w:rsidRPr="00CB0513">
        <w:rPr>
          <w:sz w:val="20"/>
          <w:szCs w:val="20"/>
        </w:rPr>
        <w:t xml:space="preserve">Another respondent suggested that </w:t>
      </w:r>
      <w:r w:rsidR="00A85A06" w:rsidRPr="00CB0513">
        <w:rPr>
          <w:sz w:val="20"/>
          <w:szCs w:val="20"/>
        </w:rPr>
        <w:t>DCP 164 is trying to mandate project timescales by reference to the requirement of the DCUSA parties, and does not allow for the possibility of conflicting requirements from other industry bodies such as Elexon, DECC, and Ofgem. It was the respon</w:t>
      </w:r>
      <w:r w:rsidR="008A7B9E" w:rsidRPr="00CB0513">
        <w:rPr>
          <w:sz w:val="20"/>
          <w:szCs w:val="20"/>
        </w:rPr>
        <w:t>dents view that given that Ofgem has</w:t>
      </w:r>
      <w:r w:rsidR="00A85A06" w:rsidRPr="00CB0513">
        <w:rPr>
          <w:sz w:val="20"/>
          <w:szCs w:val="20"/>
        </w:rPr>
        <w:t xml:space="preserve"> asked the industry to work together on Smart Meter issues, </w:t>
      </w:r>
      <w:r w:rsidR="008A7B9E" w:rsidRPr="00CB0513">
        <w:rPr>
          <w:sz w:val="20"/>
          <w:szCs w:val="20"/>
        </w:rPr>
        <w:t xml:space="preserve">the DCP 164 </w:t>
      </w:r>
      <w:r w:rsidR="00A85A06" w:rsidRPr="00CB0513">
        <w:rPr>
          <w:sz w:val="20"/>
          <w:szCs w:val="20"/>
        </w:rPr>
        <w:t>timescales should take account of the requirement of the industry as a whole, rather than just the requirements of the DCUSA parties.</w:t>
      </w:r>
    </w:p>
    <w:p w:rsidR="00A85A06" w:rsidRPr="00CB0513" w:rsidRDefault="00A85A06" w:rsidP="00321CD4">
      <w:pPr>
        <w:pStyle w:val="Heading2"/>
        <w:keepNext w:val="0"/>
        <w:widowControl w:val="0"/>
        <w:numPr>
          <w:ilvl w:val="1"/>
          <w:numId w:val="7"/>
        </w:numPr>
        <w:spacing w:line="360" w:lineRule="auto"/>
        <w:rPr>
          <w:sz w:val="20"/>
          <w:szCs w:val="20"/>
        </w:rPr>
      </w:pPr>
      <w:r w:rsidRPr="00CB0513">
        <w:rPr>
          <w:sz w:val="20"/>
          <w:szCs w:val="20"/>
        </w:rPr>
        <w:t xml:space="preserve">The Working Group discussed this comment and noted that </w:t>
      </w:r>
      <w:r w:rsidR="003A7E31" w:rsidRPr="00CB0513">
        <w:rPr>
          <w:sz w:val="20"/>
          <w:szCs w:val="20"/>
        </w:rPr>
        <w:t>very few smart metering related changes will impact distribution use of system changes.</w:t>
      </w:r>
      <w:r w:rsidR="00321CD4" w:rsidRPr="00CB0513">
        <w:rPr>
          <w:sz w:val="20"/>
          <w:szCs w:val="20"/>
        </w:rPr>
        <w:t xml:space="preserve"> It was also noted that smart metering has been progressing for quite </w:t>
      </w:r>
      <w:proofErr w:type="spellStart"/>
      <w:r w:rsidR="00321CD4" w:rsidRPr="00CB0513">
        <w:rPr>
          <w:sz w:val="20"/>
          <w:szCs w:val="20"/>
        </w:rPr>
        <w:t>sometime</w:t>
      </w:r>
      <w:proofErr w:type="spellEnd"/>
      <w:r w:rsidR="00321CD4" w:rsidRPr="00CB0513">
        <w:rPr>
          <w:sz w:val="20"/>
          <w:szCs w:val="20"/>
        </w:rPr>
        <w:t>, thus the number smart metering changes requiring implementation at short notice will be limited.</w:t>
      </w:r>
    </w:p>
    <w:p w:rsidR="00F83D76" w:rsidRPr="00CB0513" w:rsidRDefault="006835D6" w:rsidP="00F83D76">
      <w:pPr>
        <w:pStyle w:val="Heading2"/>
        <w:keepNext w:val="0"/>
        <w:widowControl w:val="0"/>
        <w:numPr>
          <w:ilvl w:val="1"/>
          <w:numId w:val="7"/>
        </w:numPr>
        <w:spacing w:line="360" w:lineRule="auto"/>
        <w:rPr>
          <w:sz w:val="20"/>
          <w:szCs w:val="20"/>
        </w:rPr>
      </w:pPr>
      <w:r w:rsidRPr="00CB0513">
        <w:rPr>
          <w:sz w:val="20"/>
          <w:szCs w:val="20"/>
        </w:rPr>
        <w:t xml:space="preserve">Another respondent suggested that the Working Group was incorrect in </w:t>
      </w:r>
      <w:r w:rsidRPr="00CB0513">
        <w:rPr>
          <w:sz w:val="20"/>
          <w:szCs w:val="20"/>
        </w:rPr>
        <w:lastRenderedPageBreak/>
        <w:t xml:space="preserve">thinking that Ofgem decisions on Charging Methodology Change Proposals may only be appealed by judicial review. </w:t>
      </w:r>
      <w:commentRangeStart w:id="3"/>
      <w:r w:rsidRPr="00CB0513">
        <w:rPr>
          <w:sz w:val="20"/>
          <w:szCs w:val="20"/>
        </w:rPr>
        <w:t>The Working Group sought legal advice on this point and was advised that…</w:t>
      </w:r>
      <w:commentRangeEnd w:id="3"/>
      <w:r w:rsidRPr="00CB0513">
        <w:rPr>
          <w:rStyle w:val="CommentReference"/>
          <w:rFonts w:ascii="Times New Roman" w:hAnsi="Times New Roman" w:cs="Times New Roman"/>
          <w:bCs w:val="0"/>
          <w:iCs w:val="0"/>
        </w:rPr>
        <w:commentReference w:id="3"/>
      </w:r>
    </w:p>
    <w:p w:rsidR="00F83D76" w:rsidRPr="00CB0513" w:rsidRDefault="00F83D76" w:rsidP="00F83D76"/>
    <w:p w:rsidR="00593922" w:rsidRPr="00CB0513" w:rsidRDefault="00593922" w:rsidP="00593922">
      <w:pPr>
        <w:pStyle w:val="Heading2"/>
        <w:keepNext w:val="0"/>
        <w:widowControl w:val="0"/>
        <w:numPr>
          <w:ilvl w:val="1"/>
          <w:numId w:val="7"/>
        </w:numPr>
        <w:spacing w:line="360" w:lineRule="auto"/>
      </w:pPr>
      <w:r w:rsidRPr="00CB0513">
        <w:rPr>
          <w:sz w:val="20"/>
          <w:szCs w:val="20"/>
        </w:rPr>
        <w:t>One respondent suggested that the Working Group should consider whether it is appropriate to extend the notice to include all changes that affect Schedules 16, 17 and 18 rather than just model changes. The group agreed that this would improve predictability and stability of DUoS Tariffs, as under the current DCUSA drafting DNOs could have a model but not have certainty over which inputs to use.</w:t>
      </w:r>
    </w:p>
    <w:p w:rsidR="00DE1607" w:rsidRPr="00DE1607" w:rsidRDefault="00DE1607" w:rsidP="00DE1607">
      <w:pPr>
        <w:pStyle w:val="Heading1"/>
        <w:numPr>
          <w:ilvl w:val="0"/>
          <w:numId w:val="7"/>
        </w:numPr>
        <w:spacing w:line="360" w:lineRule="auto"/>
        <w:rPr>
          <w:b/>
          <w:caps/>
          <w:sz w:val="20"/>
          <w:szCs w:val="20"/>
        </w:rPr>
      </w:pPr>
      <w:r w:rsidRPr="00DE1607">
        <w:rPr>
          <w:b/>
          <w:caps/>
          <w:sz w:val="20"/>
          <w:szCs w:val="20"/>
        </w:rPr>
        <w:lastRenderedPageBreak/>
        <w:t>WOR</w:t>
      </w:r>
      <w:r>
        <w:rPr>
          <w:b/>
          <w:caps/>
          <w:sz w:val="20"/>
          <w:szCs w:val="20"/>
        </w:rPr>
        <w:t xml:space="preserve">KING GROUP ASSESSMENT OF DCP 164 FOLLOWING INdustry CONSULTATION </w:t>
      </w:r>
    </w:p>
    <w:p w:rsidR="009814BA" w:rsidRPr="009814BA" w:rsidRDefault="008C187C" w:rsidP="009814BA">
      <w:pPr>
        <w:pStyle w:val="Heading2"/>
        <w:numPr>
          <w:ilvl w:val="1"/>
          <w:numId w:val="7"/>
        </w:numPr>
        <w:spacing w:line="360" w:lineRule="auto"/>
        <w:ind w:left="718"/>
        <w:rPr>
          <w:bCs w:val="0"/>
          <w:iCs w:val="0"/>
          <w:sz w:val="20"/>
          <w:szCs w:val="20"/>
        </w:rPr>
      </w:pPr>
      <w:r w:rsidRPr="008C187C">
        <w:rPr>
          <w:bCs w:val="0"/>
          <w:iCs w:val="0"/>
          <w:sz w:val="20"/>
          <w:szCs w:val="20"/>
        </w:rPr>
        <w:t>After reviewing the DCP 164</w:t>
      </w:r>
      <w:r>
        <w:rPr>
          <w:bCs w:val="0"/>
          <w:iCs w:val="0"/>
          <w:sz w:val="20"/>
          <w:szCs w:val="20"/>
        </w:rPr>
        <w:t xml:space="preserve"> consultation responses, the Working Group </w:t>
      </w:r>
      <w:r w:rsidR="009814BA">
        <w:rPr>
          <w:bCs w:val="0"/>
          <w:iCs w:val="0"/>
          <w:sz w:val="20"/>
          <w:szCs w:val="20"/>
        </w:rPr>
        <w:t>agreed to make the</w:t>
      </w:r>
      <w:r w:rsidR="00CB2852">
        <w:rPr>
          <w:bCs w:val="0"/>
          <w:iCs w:val="0"/>
          <w:sz w:val="20"/>
          <w:szCs w:val="20"/>
        </w:rPr>
        <w:t xml:space="preserve"> following amendments</w:t>
      </w:r>
      <w:r w:rsidR="009814BA">
        <w:rPr>
          <w:bCs w:val="0"/>
          <w:iCs w:val="0"/>
          <w:sz w:val="20"/>
          <w:szCs w:val="20"/>
        </w:rPr>
        <w:t xml:space="preserve"> to the DCP 164 legal text.</w:t>
      </w:r>
    </w:p>
    <w:p w:rsidR="00522210" w:rsidRDefault="00CB2852" w:rsidP="00522210">
      <w:pPr>
        <w:pStyle w:val="Heading2"/>
        <w:numPr>
          <w:ilvl w:val="1"/>
          <w:numId w:val="7"/>
        </w:numPr>
        <w:spacing w:line="360" w:lineRule="auto"/>
        <w:ind w:left="718"/>
        <w:rPr>
          <w:sz w:val="20"/>
          <w:szCs w:val="20"/>
        </w:rPr>
      </w:pPr>
      <w:r>
        <w:rPr>
          <w:b/>
          <w:sz w:val="20"/>
          <w:szCs w:val="20"/>
        </w:rPr>
        <w:t>Amendment</w:t>
      </w:r>
      <w:r w:rsidR="009814BA" w:rsidRPr="009814BA">
        <w:rPr>
          <w:b/>
          <w:sz w:val="20"/>
          <w:szCs w:val="20"/>
        </w:rPr>
        <w:t xml:space="preserve"> 1 -</w:t>
      </w:r>
      <w:r w:rsidR="009814BA" w:rsidRPr="009814BA">
        <w:rPr>
          <w:sz w:val="20"/>
          <w:szCs w:val="20"/>
        </w:rPr>
        <w:t xml:space="preserve"> paragraphs 14.10 and 14.11 were amended such that the timescales were given relative to the publication of indicative tariffs</w:t>
      </w:r>
      <w:r w:rsidR="009814BA" w:rsidRPr="00CB2852">
        <w:rPr>
          <w:sz w:val="20"/>
          <w:szCs w:val="20"/>
          <w:vertAlign w:val="superscript"/>
        </w:rPr>
        <w:footnoteReference w:id="4"/>
      </w:r>
      <w:r w:rsidR="009814BA" w:rsidRPr="009814BA">
        <w:rPr>
          <w:sz w:val="20"/>
          <w:szCs w:val="20"/>
        </w:rPr>
        <w:t xml:space="preserve"> rather than final tariffs. Th</w:t>
      </w:r>
      <w:r>
        <w:rPr>
          <w:sz w:val="20"/>
          <w:szCs w:val="20"/>
        </w:rPr>
        <w:t xml:space="preserve">e purpose of this </w:t>
      </w:r>
      <w:r w:rsidR="00522210">
        <w:rPr>
          <w:sz w:val="20"/>
          <w:szCs w:val="20"/>
        </w:rPr>
        <w:t>amendment was to</w:t>
      </w:r>
      <w:r w:rsidR="009814BA" w:rsidRPr="009814BA">
        <w:rPr>
          <w:sz w:val="20"/>
          <w:szCs w:val="20"/>
        </w:rPr>
        <w:t xml:space="preserve"> future proof </w:t>
      </w:r>
      <w:r w:rsidR="00522210">
        <w:rPr>
          <w:sz w:val="20"/>
          <w:szCs w:val="20"/>
        </w:rPr>
        <w:t xml:space="preserve">the legal text </w:t>
      </w:r>
      <w:r w:rsidR="009814BA" w:rsidRPr="009814BA">
        <w:rPr>
          <w:sz w:val="20"/>
          <w:szCs w:val="20"/>
        </w:rPr>
        <w:t>against any potential change to the timescales for the publication of indicative charges in the Distribution Licence</w:t>
      </w:r>
      <w:r w:rsidR="00522210">
        <w:rPr>
          <w:sz w:val="20"/>
          <w:szCs w:val="20"/>
        </w:rPr>
        <w:t>.</w:t>
      </w:r>
    </w:p>
    <w:p w:rsidR="00522210" w:rsidRPr="00522210" w:rsidRDefault="00522210" w:rsidP="00522210">
      <w:pPr>
        <w:pStyle w:val="Heading2"/>
        <w:numPr>
          <w:ilvl w:val="1"/>
          <w:numId w:val="7"/>
        </w:numPr>
        <w:spacing w:line="360" w:lineRule="auto"/>
        <w:ind w:left="718"/>
        <w:rPr>
          <w:sz w:val="20"/>
          <w:szCs w:val="20"/>
        </w:rPr>
      </w:pPr>
      <w:r w:rsidRPr="00522210">
        <w:rPr>
          <w:b/>
          <w:sz w:val="20"/>
          <w:szCs w:val="20"/>
        </w:rPr>
        <w:t>Amendment 2</w:t>
      </w:r>
      <w:r w:rsidRPr="00522210">
        <w:rPr>
          <w:sz w:val="20"/>
          <w:szCs w:val="20"/>
        </w:rPr>
        <w:t xml:space="preserve"> - To address concerns raised by several respondents that the timescales could be easily over ridden by Ofgem the original parag</w:t>
      </w:r>
      <w:r>
        <w:rPr>
          <w:sz w:val="20"/>
          <w:szCs w:val="20"/>
        </w:rPr>
        <w:t>raph 14.12 in the legal text was</w:t>
      </w:r>
      <w:r w:rsidRPr="00522210">
        <w:rPr>
          <w:sz w:val="20"/>
          <w:szCs w:val="20"/>
        </w:rPr>
        <w:t xml:space="preserve"> removed. This paragraph read as follows:</w:t>
      </w:r>
    </w:p>
    <w:p w:rsidR="00522210" w:rsidRPr="00522210" w:rsidRDefault="00522210" w:rsidP="00522210">
      <w:pPr>
        <w:pStyle w:val="Heading2"/>
        <w:numPr>
          <w:ilvl w:val="0"/>
          <w:numId w:val="0"/>
        </w:numPr>
        <w:spacing w:line="360" w:lineRule="auto"/>
        <w:ind w:left="718"/>
        <w:rPr>
          <w:sz w:val="20"/>
          <w:szCs w:val="20"/>
        </w:rPr>
      </w:pPr>
      <w:r w:rsidRPr="00522210">
        <w:rPr>
          <w:sz w:val="20"/>
          <w:szCs w:val="20"/>
        </w:rPr>
        <w:t>“</w:t>
      </w:r>
      <w:r w:rsidRPr="00522210">
        <w:rPr>
          <w:i/>
          <w:sz w:val="20"/>
          <w:szCs w:val="20"/>
        </w:rPr>
        <w:t>Timescales in Clauses 14.10 and 14.11 may be amended under the direction of the Authority.”</w:t>
      </w:r>
    </w:p>
    <w:p w:rsidR="00522210" w:rsidRDefault="00522210" w:rsidP="00522210">
      <w:pPr>
        <w:pStyle w:val="Heading2"/>
        <w:numPr>
          <w:ilvl w:val="1"/>
          <w:numId w:val="7"/>
        </w:numPr>
        <w:spacing w:line="360" w:lineRule="auto"/>
        <w:ind w:left="718"/>
        <w:rPr>
          <w:sz w:val="20"/>
          <w:szCs w:val="20"/>
        </w:rPr>
      </w:pPr>
      <w:r w:rsidRPr="00522210">
        <w:rPr>
          <w:sz w:val="20"/>
          <w:szCs w:val="20"/>
        </w:rPr>
        <w:t>The Working Group notes that Ofgem has the ability to direct a price change at any time during the year under emergency provisions. Therefore, a specific clause permitting amendment of the DCP 164 timescales for urgent matters is not necessary.</w:t>
      </w:r>
    </w:p>
    <w:p w:rsidR="00522210" w:rsidRDefault="00522210" w:rsidP="00D0465F">
      <w:pPr>
        <w:pStyle w:val="Heading2"/>
        <w:numPr>
          <w:ilvl w:val="1"/>
          <w:numId w:val="7"/>
        </w:numPr>
        <w:spacing w:line="360" w:lineRule="auto"/>
        <w:rPr>
          <w:sz w:val="20"/>
          <w:szCs w:val="20"/>
        </w:rPr>
      </w:pPr>
      <w:r w:rsidRPr="00330332">
        <w:rPr>
          <w:b/>
          <w:sz w:val="20"/>
          <w:szCs w:val="20"/>
        </w:rPr>
        <w:t>Amendment 3</w:t>
      </w:r>
      <w:r w:rsidRPr="00522210">
        <w:rPr>
          <w:sz w:val="20"/>
          <w:szCs w:val="20"/>
        </w:rPr>
        <w:t xml:space="preserve"> </w:t>
      </w:r>
      <w:r w:rsidR="00D0465F">
        <w:rPr>
          <w:sz w:val="20"/>
          <w:szCs w:val="20"/>
        </w:rPr>
        <w:t>–</w:t>
      </w:r>
      <w:r w:rsidRPr="00522210">
        <w:rPr>
          <w:sz w:val="20"/>
          <w:szCs w:val="20"/>
        </w:rPr>
        <w:t xml:space="preserve"> </w:t>
      </w:r>
      <w:r w:rsidR="00D0465F">
        <w:rPr>
          <w:sz w:val="20"/>
          <w:szCs w:val="20"/>
        </w:rPr>
        <w:t xml:space="preserve">The group noted that there were concerns that </w:t>
      </w:r>
      <w:r w:rsidR="00D0465F" w:rsidRPr="00D0465F">
        <w:rPr>
          <w:sz w:val="20"/>
          <w:szCs w:val="20"/>
        </w:rPr>
        <w:t>a final model(s) could be available in line with the DCP 164 timescales, however, there may be an outstanding decision from Ofgem regarding one or more of the model inputs that could impact on the publicatio</w:t>
      </w:r>
      <w:r w:rsidR="00D0465F">
        <w:rPr>
          <w:sz w:val="20"/>
          <w:szCs w:val="20"/>
        </w:rPr>
        <w:t xml:space="preserve">n timeline for </w:t>
      </w:r>
      <w:proofErr w:type="gramStart"/>
      <w:r w:rsidR="00D0465F">
        <w:rPr>
          <w:sz w:val="20"/>
          <w:szCs w:val="20"/>
        </w:rPr>
        <w:t>setting  tariffs</w:t>
      </w:r>
      <w:proofErr w:type="gramEnd"/>
      <w:r w:rsidR="00D0465F">
        <w:rPr>
          <w:sz w:val="20"/>
          <w:szCs w:val="20"/>
        </w:rPr>
        <w:t xml:space="preserve">. To address this, the Working Group updated the legal text such that it would apply to both the models and methodologies. </w:t>
      </w:r>
    </w:p>
    <w:p w:rsidR="000C3178" w:rsidRPr="000C3178" w:rsidRDefault="000C3178" w:rsidP="000C3178">
      <w:pPr>
        <w:pStyle w:val="Heading2"/>
        <w:numPr>
          <w:ilvl w:val="1"/>
          <w:numId w:val="7"/>
        </w:numPr>
        <w:spacing w:line="360" w:lineRule="auto"/>
        <w:rPr>
          <w:sz w:val="20"/>
          <w:szCs w:val="20"/>
        </w:rPr>
      </w:pPr>
      <w:r w:rsidRPr="000C3178">
        <w:rPr>
          <w:sz w:val="20"/>
          <w:szCs w:val="20"/>
        </w:rPr>
        <w:t>As</w:t>
      </w:r>
      <w:r>
        <w:rPr>
          <w:sz w:val="20"/>
          <w:szCs w:val="20"/>
        </w:rPr>
        <w:t xml:space="preserve"> the changes to the legal text were not insubstantial the Working Group decided to issue an up</w:t>
      </w:r>
      <w:r w:rsidR="005F05D4">
        <w:rPr>
          <w:sz w:val="20"/>
          <w:szCs w:val="20"/>
        </w:rPr>
        <w:t>date to consultation respondents and DCUSA Parties detailing the amendments that had been made and seeking feedback.</w:t>
      </w:r>
      <w:r w:rsidR="00B97803">
        <w:rPr>
          <w:sz w:val="20"/>
          <w:szCs w:val="20"/>
        </w:rPr>
        <w:t xml:space="preserve"> </w:t>
      </w:r>
    </w:p>
    <w:p w:rsidR="009814BA" w:rsidRDefault="009814BA" w:rsidP="009814BA"/>
    <w:p w:rsidR="009814BA" w:rsidRPr="009814BA" w:rsidRDefault="009814BA" w:rsidP="009814BA"/>
    <w:p w:rsidR="00982144" w:rsidRDefault="00982144" w:rsidP="00982144">
      <w:pPr>
        <w:pStyle w:val="Heading1"/>
        <w:numPr>
          <w:ilvl w:val="0"/>
          <w:numId w:val="7"/>
        </w:numPr>
        <w:spacing w:line="360" w:lineRule="auto"/>
        <w:rPr>
          <w:b/>
          <w:caps/>
          <w:sz w:val="20"/>
          <w:szCs w:val="20"/>
        </w:rPr>
      </w:pPr>
      <w:r>
        <w:rPr>
          <w:b/>
          <w:caps/>
          <w:sz w:val="20"/>
          <w:szCs w:val="20"/>
        </w:rPr>
        <w:lastRenderedPageBreak/>
        <w:t>Feedback on updated DCP 164 Legal text</w:t>
      </w:r>
    </w:p>
    <w:p w:rsidR="009C3AB4" w:rsidRPr="009C3AB4" w:rsidRDefault="00323F03" w:rsidP="00CB0513">
      <w:pPr>
        <w:pStyle w:val="Heading2"/>
        <w:numPr>
          <w:ilvl w:val="1"/>
          <w:numId w:val="7"/>
        </w:numPr>
        <w:spacing w:line="360" w:lineRule="auto"/>
        <w:rPr>
          <w:sz w:val="20"/>
          <w:szCs w:val="20"/>
        </w:rPr>
      </w:pPr>
      <w:commentRangeStart w:id="4"/>
      <w:r w:rsidRPr="00CB0513">
        <w:rPr>
          <w:sz w:val="20"/>
          <w:szCs w:val="20"/>
        </w:rPr>
        <w:t xml:space="preserve">The Working Group received five responses when it sought feedback on the updated legal text. The group discussed each response and its comments are summarised alongside the collated responses in </w:t>
      </w:r>
      <w:r w:rsidRPr="00CB0513">
        <w:rPr>
          <w:color w:val="FF0000"/>
          <w:sz w:val="20"/>
          <w:szCs w:val="20"/>
        </w:rPr>
        <w:t>Appendix E.</w:t>
      </w:r>
      <w:commentRangeEnd w:id="4"/>
      <w:r w:rsidR="009C3AB4">
        <w:rPr>
          <w:rStyle w:val="CommentReference"/>
          <w:rFonts w:ascii="Times New Roman" w:hAnsi="Times New Roman" w:cs="Times New Roman"/>
          <w:bCs w:val="0"/>
          <w:iCs w:val="0"/>
        </w:rPr>
        <w:commentReference w:id="4"/>
      </w:r>
    </w:p>
    <w:p w:rsidR="00007987" w:rsidRPr="00CB0513" w:rsidRDefault="00323F03" w:rsidP="009C3AB4">
      <w:pPr>
        <w:pStyle w:val="Heading2"/>
        <w:numPr>
          <w:ilvl w:val="0"/>
          <w:numId w:val="0"/>
        </w:numPr>
        <w:spacing w:line="360" w:lineRule="auto"/>
        <w:ind w:left="576" w:hanging="576"/>
        <w:rPr>
          <w:sz w:val="20"/>
          <w:szCs w:val="20"/>
        </w:rPr>
      </w:pPr>
      <w:r w:rsidRPr="00CB0513">
        <w:rPr>
          <w:color w:val="FF0000"/>
          <w:sz w:val="20"/>
          <w:szCs w:val="20"/>
        </w:rPr>
        <w:t xml:space="preserve">  </w:t>
      </w:r>
    </w:p>
    <w:p w:rsidR="00BF0B49" w:rsidRDefault="00BF0B49" w:rsidP="004D7419">
      <w:pPr>
        <w:pStyle w:val="Heading1"/>
        <w:numPr>
          <w:ilvl w:val="0"/>
          <w:numId w:val="7"/>
        </w:numPr>
        <w:spacing w:line="360" w:lineRule="auto"/>
        <w:rPr>
          <w:b/>
          <w:caps/>
          <w:sz w:val="20"/>
          <w:szCs w:val="20"/>
        </w:rPr>
      </w:pPr>
      <w:r w:rsidRPr="00BF0B49">
        <w:rPr>
          <w:b/>
          <w:caps/>
          <w:sz w:val="20"/>
          <w:szCs w:val="20"/>
        </w:rPr>
        <w:t xml:space="preserve">ENGAGEMENT </w:t>
      </w:r>
      <w:r>
        <w:rPr>
          <w:b/>
          <w:caps/>
          <w:sz w:val="20"/>
          <w:szCs w:val="20"/>
        </w:rPr>
        <w:t>with the authority</w:t>
      </w:r>
    </w:p>
    <w:p w:rsidR="00BF0B49" w:rsidRPr="00BE01A6" w:rsidRDefault="002778DC" w:rsidP="004D7419">
      <w:pPr>
        <w:pStyle w:val="Heading2"/>
        <w:numPr>
          <w:ilvl w:val="1"/>
          <w:numId w:val="7"/>
        </w:numPr>
        <w:spacing w:line="360" w:lineRule="auto"/>
        <w:ind w:left="718"/>
        <w:rPr>
          <w:bCs w:val="0"/>
          <w:iCs w:val="0"/>
          <w:sz w:val="20"/>
          <w:szCs w:val="20"/>
        </w:rPr>
      </w:pPr>
      <w:r>
        <w:rPr>
          <w:bCs w:val="0"/>
          <w:iCs w:val="0"/>
          <w:sz w:val="20"/>
          <w:szCs w:val="20"/>
        </w:rPr>
        <w:t xml:space="preserve">Ofgem has been engaged in the progression of DCP 164 as a member of the Working Group. </w:t>
      </w:r>
    </w:p>
    <w:p w:rsidR="009502B2" w:rsidRPr="00224683" w:rsidRDefault="00DC5A14" w:rsidP="004D7419">
      <w:pPr>
        <w:pStyle w:val="Heading1"/>
        <w:numPr>
          <w:ilvl w:val="0"/>
          <w:numId w:val="7"/>
        </w:numPr>
        <w:spacing w:line="360" w:lineRule="auto"/>
        <w:rPr>
          <w:b/>
          <w:sz w:val="20"/>
          <w:szCs w:val="20"/>
        </w:rPr>
      </w:pPr>
      <w:r>
        <w:rPr>
          <w:b/>
          <w:sz w:val="20"/>
          <w:szCs w:val="20"/>
        </w:rPr>
        <w:t>ASSESSMENT AGAINST THE DCUSA OBJECTIVES</w:t>
      </w:r>
    </w:p>
    <w:p w:rsidR="00D06FC1" w:rsidRPr="0003391C" w:rsidRDefault="00D06FC1" w:rsidP="0003391C">
      <w:pPr>
        <w:pStyle w:val="Heading2"/>
        <w:numPr>
          <w:ilvl w:val="1"/>
          <w:numId w:val="7"/>
        </w:numPr>
        <w:spacing w:line="360" w:lineRule="auto"/>
        <w:rPr>
          <w:sz w:val="20"/>
          <w:szCs w:val="20"/>
        </w:rPr>
      </w:pPr>
      <w:r w:rsidRPr="00CB0513">
        <w:rPr>
          <w:sz w:val="20"/>
          <w:szCs w:val="20"/>
        </w:rPr>
        <w:t xml:space="preserve">Working Group considers that the following DCUSA Objectives </w:t>
      </w:r>
      <w:r w:rsidR="0003391C">
        <w:rPr>
          <w:sz w:val="20"/>
          <w:szCs w:val="20"/>
        </w:rPr>
        <w:t>are better facilitated by DCP 164</w:t>
      </w:r>
      <w:r w:rsidRPr="0003391C">
        <w:rPr>
          <w:sz w:val="20"/>
          <w:szCs w:val="20"/>
        </w:rPr>
        <w:t>.</w:t>
      </w:r>
    </w:p>
    <w:p w:rsidR="00D06FC1" w:rsidRPr="008D2DF6" w:rsidRDefault="00D06FC1" w:rsidP="00D06FC1"/>
    <w:p w:rsidR="0003391C" w:rsidRPr="003A339F" w:rsidRDefault="0003391C" w:rsidP="0003391C">
      <w:pPr>
        <w:ind w:left="576"/>
        <w:rPr>
          <w:rFonts w:ascii="Verdana" w:hAnsi="Verdana"/>
          <w:b/>
          <w:noProof/>
          <w:sz w:val="20"/>
          <w:u w:val="single"/>
        </w:rPr>
      </w:pPr>
      <w:r w:rsidRPr="003A339F">
        <w:rPr>
          <w:rFonts w:ascii="Verdana" w:hAnsi="Verdana"/>
          <w:b/>
          <w:noProof/>
          <w:sz w:val="20"/>
          <w:u w:val="single"/>
        </w:rPr>
        <w:t>General Objective 2 - The facilitation of effective competition in the generation and supply of electricity and (so far as is consistent therewith) the promotion of such competition in the sale, distribution and purchase of electricity</w:t>
      </w:r>
    </w:p>
    <w:p w:rsidR="0003391C" w:rsidRDefault="0003391C" w:rsidP="0003391C">
      <w:pPr>
        <w:pStyle w:val="BodyText"/>
        <w:spacing w:after="120"/>
        <w:ind w:left="546" w:hanging="546"/>
        <w:rPr>
          <w:rFonts w:ascii="Verdana" w:hAnsi="Verdana"/>
          <w:noProof/>
          <w:sz w:val="20"/>
        </w:rPr>
      </w:pPr>
    </w:p>
    <w:p w:rsidR="0003391C" w:rsidRPr="008A4063" w:rsidRDefault="0003391C" w:rsidP="0003391C">
      <w:pPr>
        <w:pStyle w:val="Heading2"/>
        <w:numPr>
          <w:ilvl w:val="1"/>
          <w:numId w:val="35"/>
        </w:numPr>
        <w:spacing w:line="360" w:lineRule="auto"/>
        <w:rPr>
          <w:rFonts w:cs="Verdana"/>
          <w:sz w:val="20"/>
          <w:szCs w:val="20"/>
          <w:lang w:val="en-US" w:eastAsia="en-US"/>
        </w:rPr>
      </w:pPr>
      <w:r>
        <w:rPr>
          <w:rFonts w:cs="Verdana"/>
          <w:sz w:val="20"/>
          <w:szCs w:val="20"/>
          <w:lang w:val="en-US" w:eastAsia="en-US"/>
        </w:rPr>
        <w:t>DCP 164</w:t>
      </w:r>
      <w:r w:rsidRPr="008A4063">
        <w:rPr>
          <w:rFonts w:cs="Verdana"/>
          <w:sz w:val="20"/>
          <w:szCs w:val="20"/>
          <w:lang w:val="en-US" w:eastAsia="en-US"/>
        </w:rPr>
        <w:t xml:space="preserve"> will give advance notice to Suppliers and Distributors of the methodology and charging models that will be used for charging.  This will improve transparency and b</w:t>
      </w:r>
      <w:r>
        <w:rPr>
          <w:rFonts w:cs="Verdana"/>
          <w:sz w:val="20"/>
          <w:szCs w:val="20"/>
          <w:lang w:val="en-US" w:eastAsia="en-US"/>
        </w:rPr>
        <w:t xml:space="preserve">etter meet DCUSA General Objective 2. </w:t>
      </w:r>
    </w:p>
    <w:p w:rsidR="0003391C" w:rsidRPr="002F610D" w:rsidRDefault="0003391C" w:rsidP="0003391C">
      <w:pPr>
        <w:pStyle w:val="BodyText"/>
        <w:spacing w:after="120"/>
        <w:ind w:left="546" w:hanging="546"/>
        <w:rPr>
          <w:rFonts w:ascii="Verdana" w:hAnsi="Verdana"/>
          <w:noProof/>
          <w:sz w:val="20"/>
        </w:rPr>
      </w:pPr>
      <w:r>
        <w:rPr>
          <w:rFonts w:ascii="Verdana" w:hAnsi="Verdana"/>
          <w:noProof/>
          <w:sz w:val="20"/>
        </w:rPr>
        <w:t xml:space="preserve"> </w:t>
      </w:r>
    </w:p>
    <w:p w:rsidR="0003391C" w:rsidRDefault="0003391C" w:rsidP="0003391C">
      <w:pPr>
        <w:ind w:left="576"/>
        <w:rPr>
          <w:rFonts w:ascii="Verdana" w:hAnsi="Verdana"/>
          <w:b/>
          <w:noProof/>
          <w:sz w:val="20"/>
          <w:u w:val="single"/>
        </w:rPr>
      </w:pPr>
      <w:r w:rsidRPr="003A339F">
        <w:rPr>
          <w:rFonts w:ascii="Verdana" w:hAnsi="Verdana"/>
          <w:b/>
          <w:noProof/>
          <w:sz w:val="20"/>
          <w:u w:val="single"/>
        </w:rPr>
        <w:t>General Objective 3 - The efficient discharge by the DNO Parties and IDNO Parties of obligations imposed upon them in their Distribution Licences</w:t>
      </w:r>
    </w:p>
    <w:p w:rsidR="0003391C" w:rsidRPr="00F828C2" w:rsidRDefault="0003391C" w:rsidP="0003391C">
      <w:pPr>
        <w:spacing w:line="360" w:lineRule="auto"/>
        <w:ind w:left="576"/>
        <w:rPr>
          <w:rFonts w:ascii="Verdana" w:hAnsi="Verdana" w:cs="Verdana"/>
          <w:sz w:val="20"/>
          <w:szCs w:val="20"/>
          <w:lang w:val="en-US" w:eastAsia="en-US"/>
        </w:rPr>
      </w:pPr>
    </w:p>
    <w:p w:rsidR="0003391C" w:rsidRPr="00F828C2" w:rsidRDefault="0003391C" w:rsidP="0003391C">
      <w:pPr>
        <w:spacing w:line="360" w:lineRule="auto"/>
        <w:ind w:left="709" w:hanging="709"/>
        <w:rPr>
          <w:rFonts w:ascii="Verdana" w:hAnsi="Verdana" w:cs="Verdana"/>
          <w:sz w:val="20"/>
          <w:szCs w:val="20"/>
          <w:lang w:val="en-US" w:eastAsia="en-US"/>
        </w:rPr>
      </w:pPr>
      <w:r>
        <w:rPr>
          <w:rFonts w:ascii="Verdana" w:hAnsi="Verdana" w:cs="Verdana"/>
          <w:sz w:val="20"/>
          <w:szCs w:val="20"/>
          <w:lang w:val="en-US" w:eastAsia="en-US"/>
        </w:rPr>
        <w:t>4.4</w:t>
      </w:r>
      <w:r w:rsidRPr="00F828C2">
        <w:rPr>
          <w:rFonts w:ascii="Verdana" w:hAnsi="Verdana" w:cs="Verdana"/>
          <w:sz w:val="20"/>
          <w:szCs w:val="20"/>
          <w:lang w:val="en-US" w:eastAsia="en-US"/>
        </w:rPr>
        <w:tab/>
        <w:t xml:space="preserve">DCP 164 will facilitate DNO Parties in producing indicative charges in line with licence condition 14 which will better meet DCUSA General Objective 3.   </w:t>
      </w: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Default="009C3AB4" w:rsidP="00D06FC1">
      <w:pPr>
        <w:rPr>
          <w:rFonts w:ascii="Verdana" w:hAnsi="Verdana" w:cs="Arial"/>
          <w:b/>
          <w:sz w:val="20"/>
          <w:szCs w:val="20"/>
          <w:u w:val="single"/>
        </w:rPr>
      </w:pPr>
    </w:p>
    <w:p w:rsidR="009C3AB4" w:rsidRPr="008D2DF6" w:rsidRDefault="009C3AB4" w:rsidP="00D06FC1">
      <w:pPr>
        <w:rPr>
          <w:rFonts w:ascii="Verdana" w:hAnsi="Verdana" w:cs="Arial"/>
          <w:b/>
          <w:sz w:val="20"/>
          <w:szCs w:val="20"/>
          <w:u w:val="single"/>
        </w:rPr>
      </w:pPr>
    </w:p>
    <w:p w:rsidR="009502B2" w:rsidRPr="00FB31FC" w:rsidRDefault="00D06FC1" w:rsidP="004D7419">
      <w:pPr>
        <w:pStyle w:val="Heading1"/>
        <w:numPr>
          <w:ilvl w:val="0"/>
          <w:numId w:val="7"/>
        </w:numPr>
        <w:spacing w:line="360" w:lineRule="auto"/>
        <w:rPr>
          <w:b/>
          <w:sz w:val="20"/>
          <w:szCs w:val="20"/>
        </w:rPr>
      </w:pPr>
      <w:r>
        <w:rPr>
          <w:b/>
          <w:sz w:val="20"/>
          <w:szCs w:val="20"/>
        </w:rPr>
        <w:t xml:space="preserve">DCP 164 </w:t>
      </w:r>
      <w:r w:rsidR="00DC5A14" w:rsidRPr="00FB31FC">
        <w:rPr>
          <w:b/>
          <w:sz w:val="20"/>
          <w:szCs w:val="20"/>
        </w:rPr>
        <w:t>– LEGAL DRAFTING</w:t>
      </w:r>
    </w:p>
    <w:p w:rsidR="009502B2" w:rsidRDefault="00D06FC1" w:rsidP="00D06FC1">
      <w:pPr>
        <w:pStyle w:val="Heading2"/>
        <w:numPr>
          <w:ilvl w:val="1"/>
          <w:numId w:val="7"/>
        </w:numPr>
        <w:spacing w:line="360" w:lineRule="auto"/>
        <w:ind w:left="567" w:hanging="567"/>
        <w:rPr>
          <w:sz w:val="20"/>
          <w:szCs w:val="20"/>
        </w:rPr>
      </w:pPr>
      <w:r>
        <w:rPr>
          <w:sz w:val="20"/>
          <w:szCs w:val="20"/>
        </w:rPr>
        <w:t xml:space="preserve">The DCP 164 legal drafting is provided as </w:t>
      </w:r>
      <w:r w:rsidR="00492146">
        <w:rPr>
          <w:color w:val="FF0000"/>
          <w:sz w:val="20"/>
          <w:szCs w:val="20"/>
        </w:rPr>
        <w:t>Appendix B</w:t>
      </w:r>
      <w:r w:rsidR="009C3AB4">
        <w:rPr>
          <w:color w:val="FF0000"/>
          <w:sz w:val="20"/>
          <w:szCs w:val="20"/>
        </w:rPr>
        <w:t xml:space="preserve">. </w:t>
      </w:r>
    </w:p>
    <w:p w:rsidR="003C566D" w:rsidRDefault="003C566D" w:rsidP="004D7419">
      <w:pPr>
        <w:pStyle w:val="Heading1"/>
        <w:numPr>
          <w:ilvl w:val="0"/>
          <w:numId w:val="7"/>
        </w:numPr>
        <w:spacing w:line="360" w:lineRule="auto"/>
        <w:rPr>
          <w:b/>
          <w:caps/>
          <w:kern w:val="0"/>
          <w:sz w:val="20"/>
          <w:szCs w:val="20"/>
        </w:rPr>
      </w:pPr>
      <w:r>
        <w:rPr>
          <w:b/>
          <w:caps/>
          <w:kern w:val="0"/>
          <w:sz w:val="20"/>
          <w:szCs w:val="20"/>
        </w:rPr>
        <w:t>Environmental Impact</w:t>
      </w:r>
    </w:p>
    <w:p w:rsidR="003C566D" w:rsidRPr="00351E34" w:rsidRDefault="003C566D" w:rsidP="003C566D">
      <w:pPr>
        <w:pStyle w:val="Heading2"/>
        <w:numPr>
          <w:ilvl w:val="1"/>
          <w:numId w:val="7"/>
        </w:numPr>
        <w:spacing w:line="360" w:lineRule="auto"/>
        <w:ind w:left="567" w:hanging="567"/>
        <w:rPr>
          <w:sz w:val="20"/>
          <w:szCs w:val="20"/>
        </w:rPr>
      </w:pPr>
      <w:r w:rsidRPr="00030D52">
        <w:rPr>
          <w:sz w:val="20"/>
          <w:szCs w:val="20"/>
        </w:rPr>
        <w:t xml:space="preserve">The </w:t>
      </w:r>
      <w:r>
        <w:rPr>
          <w:sz w:val="20"/>
          <w:szCs w:val="20"/>
        </w:rPr>
        <w:t>Working Group unanimously agreed that the environmental impact of DCP 164 is negligible and, therefore</w:t>
      </w:r>
      <w:r w:rsidRPr="00030D52">
        <w:rPr>
          <w:sz w:val="20"/>
          <w:szCs w:val="20"/>
        </w:rPr>
        <w:t>, no environmental impact analysis is required on the implementation of this CP</w:t>
      </w:r>
      <w:r>
        <w:rPr>
          <w:sz w:val="20"/>
          <w:szCs w:val="20"/>
        </w:rPr>
        <w:t>.</w:t>
      </w:r>
      <w:bookmarkStart w:id="5" w:name="_GoBack"/>
      <w:bookmarkEnd w:id="5"/>
    </w:p>
    <w:p w:rsidR="009502B2" w:rsidRDefault="009502B2" w:rsidP="004D7419">
      <w:pPr>
        <w:pStyle w:val="Heading1"/>
        <w:numPr>
          <w:ilvl w:val="0"/>
          <w:numId w:val="7"/>
        </w:numPr>
        <w:spacing w:line="360" w:lineRule="auto"/>
        <w:rPr>
          <w:b/>
          <w:caps/>
          <w:kern w:val="0"/>
          <w:sz w:val="20"/>
          <w:szCs w:val="20"/>
        </w:rPr>
      </w:pPr>
      <w:r>
        <w:rPr>
          <w:b/>
          <w:caps/>
          <w:kern w:val="0"/>
          <w:sz w:val="20"/>
          <w:szCs w:val="20"/>
        </w:rPr>
        <w:t>implementation</w:t>
      </w:r>
    </w:p>
    <w:p w:rsidR="0003391C" w:rsidRPr="0003391C" w:rsidRDefault="0003391C" w:rsidP="0003391C">
      <w:pPr>
        <w:pStyle w:val="Heading2"/>
        <w:numPr>
          <w:ilvl w:val="1"/>
          <w:numId w:val="7"/>
        </w:numPr>
        <w:spacing w:line="360" w:lineRule="auto"/>
        <w:ind w:left="567" w:hanging="567"/>
        <w:rPr>
          <w:sz w:val="20"/>
          <w:szCs w:val="20"/>
        </w:rPr>
      </w:pPr>
      <w:r w:rsidRPr="0003391C">
        <w:rPr>
          <w:sz w:val="20"/>
          <w:szCs w:val="20"/>
        </w:rPr>
        <w:t>The proposed implementation date for DCP 164 is the first release following Authority consent.</w:t>
      </w:r>
    </w:p>
    <w:p w:rsidR="00BF0B49" w:rsidRDefault="00BF0B49" w:rsidP="004D7419">
      <w:pPr>
        <w:pStyle w:val="Heading1"/>
        <w:numPr>
          <w:ilvl w:val="0"/>
          <w:numId w:val="7"/>
        </w:numPr>
        <w:spacing w:line="360" w:lineRule="auto"/>
        <w:rPr>
          <w:b/>
          <w:caps/>
          <w:kern w:val="0"/>
          <w:sz w:val="20"/>
          <w:szCs w:val="20"/>
        </w:rPr>
      </w:pPr>
      <w:r>
        <w:rPr>
          <w:b/>
          <w:caps/>
          <w:kern w:val="0"/>
          <w:sz w:val="20"/>
          <w:szCs w:val="20"/>
        </w:rPr>
        <w:t>panel recommendation</w:t>
      </w:r>
    </w:p>
    <w:p w:rsidR="00BF0B49" w:rsidRPr="00BF0B49" w:rsidRDefault="00BF0B49" w:rsidP="004D7419">
      <w:pPr>
        <w:pStyle w:val="Heading2"/>
        <w:numPr>
          <w:ilvl w:val="1"/>
          <w:numId w:val="7"/>
        </w:numPr>
        <w:spacing w:line="360" w:lineRule="auto"/>
        <w:rPr>
          <w:sz w:val="20"/>
          <w:szCs w:val="20"/>
        </w:rPr>
      </w:pPr>
      <w:r w:rsidRPr="00BF0B49">
        <w:rPr>
          <w:sz w:val="20"/>
          <w:szCs w:val="20"/>
        </w:rPr>
        <w:t xml:space="preserve">The Panel approved this Change Report at its meeting on </w:t>
      </w:r>
      <w:r w:rsidR="00A1470B" w:rsidRPr="00A1470B">
        <w:rPr>
          <w:color w:val="FF0000"/>
          <w:sz w:val="20"/>
          <w:szCs w:val="20"/>
        </w:rPr>
        <w:t>19 June 2013.</w:t>
      </w:r>
      <w:r w:rsidRPr="00A1470B">
        <w:rPr>
          <w:color w:val="FF0000"/>
          <w:sz w:val="20"/>
          <w:szCs w:val="20"/>
        </w:rPr>
        <w:t xml:space="preserve"> </w:t>
      </w:r>
    </w:p>
    <w:p w:rsidR="00BF0B49" w:rsidRPr="00BF0B49" w:rsidRDefault="00BF0B49" w:rsidP="004D7419">
      <w:pPr>
        <w:pStyle w:val="Heading2"/>
        <w:numPr>
          <w:ilvl w:val="1"/>
          <w:numId w:val="7"/>
        </w:numPr>
        <w:spacing w:line="360" w:lineRule="auto"/>
        <w:rPr>
          <w:sz w:val="20"/>
          <w:szCs w:val="20"/>
        </w:rPr>
      </w:pPr>
      <w:r>
        <w:rPr>
          <w:sz w:val="20"/>
          <w:szCs w:val="20"/>
        </w:rPr>
        <w:t>The timetable for the progression of the CP</w:t>
      </w:r>
      <w:r w:rsidR="003D5445">
        <w:rPr>
          <w:sz w:val="20"/>
          <w:szCs w:val="20"/>
        </w:rPr>
        <w:t xml:space="preserve"> is set out below</w:t>
      </w:r>
      <w:r w:rsidRPr="00BF0B49">
        <w:rPr>
          <w:sz w:val="20"/>
          <w:szCs w:val="20"/>
        </w:rPr>
        <w:t>:</w:t>
      </w:r>
    </w:p>
    <w:p w:rsidR="00BF0B49" w:rsidRPr="00846FBE" w:rsidRDefault="00BF0B49" w:rsidP="00BF0B49">
      <w:pPr>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tblGrid>
      <w:tr w:rsidR="00BF0B49" w:rsidRPr="0037687A" w:rsidTr="002A770C">
        <w:trPr>
          <w:trHeight w:val="257"/>
          <w:jc w:val="center"/>
        </w:trPr>
        <w:tc>
          <w:tcPr>
            <w:tcW w:w="3480" w:type="dxa"/>
          </w:tcPr>
          <w:p w:rsidR="00BF0B49" w:rsidRPr="0037687A" w:rsidRDefault="00BF0B49" w:rsidP="002A770C">
            <w:pPr>
              <w:rPr>
                <w:rFonts w:ascii="Verdana" w:hAnsi="Verdana"/>
                <w:b/>
                <w:sz w:val="20"/>
                <w:szCs w:val="20"/>
              </w:rPr>
            </w:pPr>
            <w:r w:rsidRPr="0037687A">
              <w:rPr>
                <w:rFonts w:ascii="Verdana" w:hAnsi="Verdana"/>
                <w:b/>
                <w:sz w:val="20"/>
                <w:szCs w:val="20"/>
              </w:rPr>
              <w:t>Activity</w:t>
            </w:r>
          </w:p>
        </w:tc>
        <w:tc>
          <w:tcPr>
            <w:tcW w:w="3480" w:type="dxa"/>
          </w:tcPr>
          <w:p w:rsidR="00BF0B49" w:rsidRPr="0037687A" w:rsidRDefault="00BF0B49" w:rsidP="002A770C">
            <w:pPr>
              <w:rPr>
                <w:rFonts w:ascii="Verdana" w:hAnsi="Verdana"/>
                <w:b/>
                <w:sz w:val="20"/>
                <w:szCs w:val="20"/>
              </w:rPr>
            </w:pPr>
            <w:r w:rsidRPr="0037687A">
              <w:rPr>
                <w:rFonts w:ascii="Verdana" w:hAnsi="Verdana"/>
                <w:b/>
                <w:sz w:val="20"/>
                <w:szCs w:val="20"/>
              </w:rPr>
              <w:t>Date</w:t>
            </w:r>
          </w:p>
        </w:tc>
      </w:tr>
      <w:tr w:rsidR="00BF0B49" w:rsidRPr="0037687A" w:rsidTr="002A770C">
        <w:trPr>
          <w:trHeight w:val="257"/>
          <w:jc w:val="center"/>
        </w:trPr>
        <w:tc>
          <w:tcPr>
            <w:tcW w:w="3480" w:type="dxa"/>
          </w:tcPr>
          <w:p w:rsidR="00BF0B49" w:rsidRPr="0037687A" w:rsidRDefault="00BF0B49" w:rsidP="002A770C">
            <w:pPr>
              <w:rPr>
                <w:rFonts w:ascii="Verdana" w:hAnsi="Verdana"/>
                <w:sz w:val="20"/>
                <w:szCs w:val="20"/>
              </w:rPr>
            </w:pPr>
            <w:r w:rsidRPr="0037687A">
              <w:rPr>
                <w:rFonts w:ascii="Verdana" w:hAnsi="Verdana"/>
                <w:sz w:val="20"/>
                <w:szCs w:val="20"/>
              </w:rPr>
              <w:t>Change Report issued for voting</w:t>
            </w:r>
          </w:p>
        </w:tc>
        <w:tc>
          <w:tcPr>
            <w:tcW w:w="3480" w:type="dxa"/>
          </w:tcPr>
          <w:p w:rsidR="00BF0B49" w:rsidRPr="0037687A" w:rsidRDefault="00A1470B" w:rsidP="002A770C">
            <w:pPr>
              <w:rPr>
                <w:rFonts w:ascii="Verdana" w:hAnsi="Verdana"/>
                <w:sz w:val="20"/>
                <w:szCs w:val="20"/>
              </w:rPr>
            </w:pPr>
            <w:r>
              <w:rPr>
                <w:rFonts w:ascii="Verdana" w:hAnsi="Verdana"/>
                <w:sz w:val="20"/>
                <w:szCs w:val="20"/>
              </w:rPr>
              <w:t>21 June 2013</w:t>
            </w:r>
          </w:p>
        </w:tc>
      </w:tr>
      <w:tr w:rsidR="00BF0B49" w:rsidRPr="0037687A" w:rsidTr="002A770C">
        <w:trPr>
          <w:trHeight w:val="241"/>
          <w:jc w:val="center"/>
        </w:trPr>
        <w:tc>
          <w:tcPr>
            <w:tcW w:w="3480" w:type="dxa"/>
          </w:tcPr>
          <w:p w:rsidR="00BF0B49" w:rsidRPr="0037687A" w:rsidRDefault="00BF0B49" w:rsidP="002A770C">
            <w:pPr>
              <w:rPr>
                <w:rFonts w:ascii="Verdana" w:hAnsi="Verdana"/>
                <w:sz w:val="20"/>
                <w:szCs w:val="20"/>
              </w:rPr>
            </w:pPr>
            <w:r w:rsidRPr="0037687A">
              <w:rPr>
                <w:rFonts w:ascii="Verdana" w:hAnsi="Verdana"/>
                <w:sz w:val="20"/>
                <w:szCs w:val="20"/>
              </w:rPr>
              <w:t>Voting closes</w:t>
            </w:r>
          </w:p>
        </w:tc>
        <w:tc>
          <w:tcPr>
            <w:tcW w:w="3480" w:type="dxa"/>
          </w:tcPr>
          <w:p w:rsidR="00BF0B49" w:rsidRPr="0037687A" w:rsidRDefault="00A1470B" w:rsidP="00A1470B">
            <w:pPr>
              <w:rPr>
                <w:rFonts w:ascii="Verdana" w:hAnsi="Verdana"/>
                <w:sz w:val="20"/>
                <w:szCs w:val="20"/>
              </w:rPr>
            </w:pPr>
            <w:r>
              <w:rPr>
                <w:rFonts w:ascii="Verdana" w:hAnsi="Verdana"/>
                <w:sz w:val="20"/>
                <w:szCs w:val="20"/>
              </w:rPr>
              <w:t>5 July 2013</w:t>
            </w:r>
          </w:p>
        </w:tc>
      </w:tr>
      <w:tr w:rsidR="00BF0B49" w:rsidRPr="0037687A" w:rsidTr="002A770C">
        <w:trPr>
          <w:trHeight w:val="257"/>
          <w:jc w:val="center"/>
        </w:trPr>
        <w:tc>
          <w:tcPr>
            <w:tcW w:w="3480" w:type="dxa"/>
          </w:tcPr>
          <w:p w:rsidR="00BF0B49" w:rsidRPr="0037687A" w:rsidRDefault="00BF0B49" w:rsidP="002A770C">
            <w:pPr>
              <w:rPr>
                <w:rFonts w:ascii="Verdana" w:hAnsi="Verdana"/>
                <w:sz w:val="20"/>
                <w:szCs w:val="20"/>
              </w:rPr>
            </w:pPr>
            <w:r w:rsidRPr="0037687A">
              <w:rPr>
                <w:rFonts w:ascii="Verdana" w:hAnsi="Verdana"/>
                <w:sz w:val="20"/>
                <w:szCs w:val="20"/>
              </w:rPr>
              <w:t>Change Declaration</w:t>
            </w:r>
          </w:p>
        </w:tc>
        <w:tc>
          <w:tcPr>
            <w:tcW w:w="3480" w:type="dxa"/>
          </w:tcPr>
          <w:p w:rsidR="00BF0B49" w:rsidRPr="0037687A" w:rsidRDefault="00A1470B" w:rsidP="00A1470B">
            <w:pPr>
              <w:rPr>
                <w:rFonts w:ascii="Verdana" w:hAnsi="Verdana"/>
                <w:sz w:val="20"/>
                <w:szCs w:val="20"/>
              </w:rPr>
            </w:pPr>
            <w:r>
              <w:rPr>
                <w:rFonts w:ascii="Verdana" w:hAnsi="Verdana"/>
                <w:sz w:val="20"/>
                <w:szCs w:val="20"/>
              </w:rPr>
              <w:t>9 July 2013</w:t>
            </w:r>
          </w:p>
        </w:tc>
      </w:tr>
      <w:tr w:rsidR="00BF0B49" w:rsidRPr="0037687A" w:rsidTr="002A770C">
        <w:trPr>
          <w:trHeight w:val="257"/>
          <w:jc w:val="center"/>
        </w:trPr>
        <w:tc>
          <w:tcPr>
            <w:tcW w:w="3480" w:type="dxa"/>
          </w:tcPr>
          <w:p w:rsidR="00BF0B49" w:rsidRPr="0037687A" w:rsidRDefault="00BF0B49" w:rsidP="002A770C">
            <w:pPr>
              <w:rPr>
                <w:rFonts w:ascii="Verdana" w:hAnsi="Verdana"/>
                <w:sz w:val="20"/>
                <w:szCs w:val="20"/>
              </w:rPr>
            </w:pPr>
            <w:r>
              <w:rPr>
                <w:rFonts w:ascii="Verdana" w:hAnsi="Verdana"/>
                <w:sz w:val="20"/>
                <w:szCs w:val="20"/>
              </w:rPr>
              <w:t>Authority Determination</w:t>
            </w:r>
          </w:p>
        </w:tc>
        <w:tc>
          <w:tcPr>
            <w:tcW w:w="3480" w:type="dxa"/>
          </w:tcPr>
          <w:p w:rsidR="00BF0B49" w:rsidRDefault="00A1470B" w:rsidP="002A770C">
            <w:pPr>
              <w:rPr>
                <w:rFonts w:ascii="Verdana" w:hAnsi="Verdana"/>
                <w:sz w:val="20"/>
                <w:szCs w:val="20"/>
              </w:rPr>
            </w:pPr>
            <w:r>
              <w:rPr>
                <w:rFonts w:ascii="Verdana" w:hAnsi="Verdana"/>
                <w:sz w:val="20"/>
                <w:szCs w:val="20"/>
              </w:rPr>
              <w:t>14 August 2013</w:t>
            </w:r>
          </w:p>
        </w:tc>
      </w:tr>
      <w:tr w:rsidR="00BF0B49" w:rsidRPr="0037687A" w:rsidTr="002A770C">
        <w:trPr>
          <w:trHeight w:val="273"/>
          <w:jc w:val="center"/>
        </w:trPr>
        <w:tc>
          <w:tcPr>
            <w:tcW w:w="3480" w:type="dxa"/>
          </w:tcPr>
          <w:p w:rsidR="00BF0B49" w:rsidRPr="0037687A" w:rsidRDefault="00BF0B49" w:rsidP="002A770C">
            <w:pPr>
              <w:rPr>
                <w:rFonts w:ascii="Verdana" w:hAnsi="Verdana"/>
                <w:sz w:val="20"/>
                <w:szCs w:val="20"/>
              </w:rPr>
            </w:pPr>
            <w:r>
              <w:rPr>
                <w:rFonts w:ascii="Verdana" w:hAnsi="Verdana"/>
                <w:sz w:val="20"/>
                <w:szCs w:val="20"/>
              </w:rPr>
              <w:t>D</w:t>
            </w:r>
            <w:r w:rsidRPr="0037687A">
              <w:rPr>
                <w:rFonts w:ascii="Verdana" w:hAnsi="Verdana"/>
                <w:sz w:val="20"/>
                <w:szCs w:val="20"/>
              </w:rPr>
              <w:t>CP</w:t>
            </w:r>
            <w:r w:rsidR="003D5445">
              <w:rPr>
                <w:rFonts w:ascii="Verdana" w:hAnsi="Verdana"/>
                <w:sz w:val="20"/>
                <w:szCs w:val="20"/>
              </w:rPr>
              <w:t xml:space="preserve"> 164</w:t>
            </w:r>
            <w:r>
              <w:rPr>
                <w:rFonts w:ascii="Verdana" w:hAnsi="Verdana"/>
                <w:sz w:val="20"/>
                <w:szCs w:val="20"/>
              </w:rPr>
              <w:t xml:space="preserve"> </w:t>
            </w:r>
            <w:r w:rsidRPr="0037687A">
              <w:rPr>
                <w:rFonts w:ascii="Verdana" w:hAnsi="Verdana"/>
                <w:sz w:val="20"/>
                <w:szCs w:val="20"/>
              </w:rPr>
              <w:t xml:space="preserve"> Implemented</w:t>
            </w:r>
          </w:p>
        </w:tc>
        <w:tc>
          <w:tcPr>
            <w:tcW w:w="3480" w:type="dxa"/>
          </w:tcPr>
          <w:p w:rsidR="00BF0B49" w:rsidRPr="0037687A" w:rsidRDefault="00A1470B" w:rsidP="002A770C">
            <w:pPr>
              <w:rPr>
                <w:rFonts w:ascii="Verdana" w:hAnsi="Verdana"/>
                <w:sz w:val="20"/>
                <w:szCs w:val="20"/>
              </w:rPr>
            </w:pPr>
            <w:r w:rsidRPr="00A1470B">
              <w:rPr>
                <w:rFonts w:ascii="Verdana" w:hAnsi="Verdana"/>
                <w:sz w:val="20"/>
                <w:szCs w:val="20"/>
              </w:rPr>
              <w:t>First release following Authority consent</w:t>
            </w:r>
          </w:p>
        </w:tc>
      </w:tr>
    </w:tbl>
    <w:p w:rsidR="00BF0B49" w:rsidRPr="00BF0B49" w:rsidRDefault="00BF0B49" w:rsidP="00BF0B49"/>
    <w:p w:rsidR="00E8599C" w:rsidRPr="00224683" w:rsidRDefault="00E8599C" w:rsidP="004D7419">
      <w:pPr>
        <w:pStyle w:val="Heading1"/>
        <w:numPr>
          <w:ilvl w:val="0"/>
          <w:numId w:val="7"/>
        </w:numPr>
        <w:spacing w:line="360" w:lineRule="auto"/>
        <w:rPr>
          <w:b/>
          <w:caps/>
          <w:kern w:val="0"/>
          <w:sz w:val="20"/>
          <w:szCs w:val="20"/>
        </w:rPr>
      </w:pPr>
      <w:r w:rsidRPr="00224683">
        <w:rPr>
          <w:b/>
          <w:caps/>
          <w:kern w:val="0"/>
          <w:sz w:val="20"/>
          <w:szCs w:val="20"/>
        </w:rPr>
        <w:lastRenderedPageBreak/>
        <w:t>next steps</w:t>
      </w:r>
    </w:p>
    <w:p w:rsidR="00BF0B49" w:rsidRDefault="00BF0B49" w:rsidP="004D7419">
      <w:pPr>
        <w:pStyle w:val="Heading2"/>
        <w:numPr>
          <w:ilvl w:val="1"/>
          <w:numId w:val="7"/>
        </w:numPr>
        <w:spacing w:line="360" w:lineRule="auto"/>
        <w:ind w:left="718"/>
        <w:rPr>
          <w:sz w:val="20"/>
          <w:szCs w:val="20"/>
        </w:rPr>
      </w:pPr>
      <w:r w:rsidRPr="00115122">
        <w:rPr>
          <w:sz w:val="20"/>
          <w:szCs w:val="20"/>
        </w:rPr>
        <w:t xml:space="preserve">Parties are invited to consider the proposed amendment (Appendix </w:t>
      </w:r>
      <w:r>
        <w:rPr>
          <w:sz w:val="20"/>
          <w:szCs w:val="20"/>
        </w:rPr>
        <w:t>X</w:t>
      </w:r>
      <w:r w:rsidRPr="00115122">
        <w:rPr>
          <w:sz w:val="20"/>
          <w:szCs w:val="20"/>
        </w:rPr>
        <w:t xml:space="preserve">), together with the </w:t>
      </w:r>
      <w:r>
        <w:rPr>
          <w:sz w:val="20"/>
          <w:szCs w:val="20"/>
        </w:rPr>
        <w:t>C</w:t>
      </w:r>
      <w:r w:rsidRPr="00115122">
        <w:rPr>
          <w:sz w:val="20"/>
          <w:szCs w:val="20"/>
        </w:rPr>
        <w:t xml:space="preserve">onsultation documentation (Appendix </w:t>
      </w:r>
      <w:r>
        <w:rPr>
          <w:sz w:val="20"/>
          <w:szCs w:val="20"/>
        </w:rPr>
        <w:t>X</w:t>
      </w:r>
      <w:r w:rsidRPr="00115122">
        <w:rPr>
          <w:sz w:val="20"/>
          <w:szCs w:val="20"/>
        </w:rPr>
        <w:t xml:space="preserve">) and submit their votes using the </w:t>
      </w:r>
      <w:r>
        <w:rPr>
          <w:sz w:val="20"/>
          <w:szCs w:val="20"/>
        </w:rPr>
        <w:t xml:space="preserve">Voting </w:t>
      </w:r>
      <w:r w:rsidRPr="00115122">
        <w:rPr>
          <w:sz w:val="20"/>
          <w:szCs w:val="20"/>
        </w:rPr>
        <w:t xml:space="preserve">form </w:t>
      </w:r>
      <w:r>
        <w:rPr>
          <w:sz w:val="20"/>
          <w:szCs w:val="20"/>
        </w:rPr>
        <w:t>(Appendix X)</w:t>
      </w:r>
      <w:r w:rsidRPr="00115122">
        <w:rPr>
          <w:sz w:val="20"/>
          <w:szCs w:val="20"/>
        </w:rPr>
        <w:t xml:space="preserve"> to dcusa@electralink.co.uk by </w:t>
      </w:r>
      <w:r w:rsidRPr="00115122">
        <w:rPr>
          <w:b/>
          <w:sz w:val="20"/>
          <w:szCs w:val="20"/>
        </w:rPr>
        <w:t>day/month/year</w:t>
      </w:r>
      <w:r w:rsidRPr="00115122">
        <w:rPr>
          <w:sz w:val="20"/>
          <w:szCs w:val="20"/>
        </w:rPr>
        <w:t>.</w:t>
      </w:r>
    </w:p>
    <w:p w:rsidR="00BF0B49" w:rsidRPr="008F731B" w:rsidRDefault="00BF0B49" w:rsidP="004D7419">
      <w:pPr>
        <w:pStyle w:val="Heading2"/>
        <w:numPr>
          <w:ilvl w:val="1"/>
          <w:numId w:val="7"/>
        </w:numPr>
        <w:spacing w:line="360" w:lineRule="auto"/>
        <w:rPr>
          <w:sz w:val="20"/>
          <w:szCs w:val="20"/>
        </w:rPr>
      </w:pPr>
      <w:r w:rsidRPr="008F731B">
        <w:rPr>
          <w:sz w:val="20"/>
          <w:szCs w:val="20"/>
        </w:rPr>
        <w:t>If you have any questions about this paper or the DCUSA Change P</w:t>
      </w:r>
      <w:r w:rsidR="00DC5A14">
        <w:rPr>
          <w:sz w:val="20"/>
          <w:szCs w:val="20"/>
        </w:rPr>
        <w:t>rocess please contact the DCUSA</w:t>
      </w:r>
      <w:r>
        <w:rPr>
          <w:sz w:val="20"/>
          <w:szCs w:val="20"/>
        </w:rPr>
        <w:t xml:space="preserve"> </w:t>
      </w:r>
      <w:r w:rsidRPr="008F731B">
        <w:rPr>
          <w:sz w:val="20"/>
          <w:szCs w:val="20"/>
        </w:rPr>
        <w:t xml:space="preserve">by email to </w:t>
      </w:r>
      <w:hyperlink r:id="rId11" w:history="1">
        <w:r w:rsidRPr="008F731B">
          <w:rPr>
            <w:rStyle w:val="Hyperlink"/>
            <w:sz w:val="20"/>
            <w:szCs w:val="20"/>
          </w:rPr>
          <w:t>dcusa@electralink.co.uk</w:t>
        </w:r>
      </w:hyperlink>
      <w:r w:rsidR="008506CF">
        <w:rPr>
          <w:sz w:val="20"/>
          <w:szCs w:val="20"/>
        </w:rPr>
        <w:t xml:space="preserve"> or telephone 020 7432 2842</w:t>
      </w:r>
      <w:r w:rsidRPr="008F731B">
        <w:rPr>
          <w:sz w:val="20"/>
          <w:szCs w:val="20"/>
        </w:rPr>
        <w:t>.</w:t>
      </w:r>
    </w:p>
    <w:p w:rsidR="00E8599C" w:rsidRPr="00224683" w:rsidRDefault="00E8599C" w:rsidP="00224683">
      <w:pPr>
        <w:spacing w:line="360" w:lineRule="auto"/>
        <w:rPr>
          <w:rFonts w:ascii="Verdana" w:hAnsi="Verdana"/>
          <w:sz w:val="20"/>
          <w:szCs w:val="20"/>
        </w:rPr>
      </w:pPr>
    </w:p>
    <w:p w:rsidR="00E8599C" w:rsidRPr="00224683" w:rsidRDefault="00E8599C" w:rsidP="00224683">
      <w:pPr>
        <w:pStyle w:val="ListNumber"/>
        <w:numPr>
          <w:ilvl w:val="0"/>
          <w:numId w:val="0"/>
        </w:numPr>
        <w:spacing w:before="120" w:after="120" w:line="360" w:lineRule="auto"/>
        <w:rPr>
          <w:rFonts w:ascii="Verdana" w:hAnsi="Verdana"/>
          <w:b/>
          <w:bCs/>
          <w:caps/>
          <w:sz w:val="20"/>
          <w:szCs w:val="20"/>
        </w:rPr>
      </w:pPr>
      <w:r w:rsidRPr="00224683">
        <w:rPr>
          <w:rFonts w:ascii="Verdana" w:hAnsi="Verdana"/>
          <w:b/>
          <w:bCs/>
          <w:caps/>
          <w:sz w:val="20"/>
          <w:szCs w:val="20"/>
        </w:rPr>
        <w:t>APPENDICES</w:t>
      </w:r>
    </w:p>
    <w:p w:rsidR="002D7F11" w:rsidRDefault="00E8599C" w:rsidP="00224683">
      <w:pPr>
        <w:pStyle w:val="Heading1"/>
        <w:numPr>
          <w:ilvl w:val="0"/>
          <w:numId w:val="3"/>
        </w:numPr>
        <w:spacing w:beforeLines="100" w:after="240" w:line="360" w:lineRule="auto"/>
        <w:rPr>
          <w:sz w:val="20"/>
          <w:szCs w:val="20"/>
        </w:rPr>
      </w:pPr>
      <w:r w:rsidRPr="00224683">
        <w:rPr>
          <w:sz w:val="20"/>
          <w:szCs w:val="20"/>
        </w:rPr>
        <w:t xml:space="preserve">Appendix </w:t>
      </w:r>
      <w:proofErr w:type="gramStart"/>
      <w:r w:rsidRPr="00224683">
        <w:rPr>
          <w:sz w:val="20"/>
          <w:szCs w:val="20"/>
        </w:rPr>
        <w:t>A</w:t>
      </w:r>
      <w:proofErr w:type="gramEnd"/>
      <w:r w:rsidRPr="00224683">
        <w:rPr>
          <w:sz w:val="20"/>
          <w:szCs w:val="20"/>
        </w:rPr>
        <w:t xml:space="preserve"> </w:t>
      </w:r>
      <w:r w:rsidR="002D7F11" w:rsidRPr="00224683">
        <w:rPr>
          <w:sz w:val="20"/>
          <w:szCs w:val="20"/>
        </w:rPr>
        <w:t xml:space="preserve">– </w:t>
      </w:r>
      <w:r w:rsidR="008371DE">
        <w:rPr>
          <w:sz w:val="20"/>
          <w:szCs w:val="20"/>
        </w:rPr>
        <w:t>CP Form</w:t>
      </w:r>
    </w:p>
    <w:p w:rsidR="00DF41F8" w:rsidRPr="00DF41F8" w:rsidRDefault="00DF41F8" w:rsidP="00DF41F8">
      <w:pPr>
        <w:pStyle w:val="Heading1"/>
        <w:numPr>
          <w:ilvl w:val="0"/>
          <w:numId w:val="3"/>
        </w:numPr>
        <w:spacing w:beforeLines="100" w:after="240" w:line="360" w:lineRule="auto"/>
        <w:rPr>
          <w:sz w:val="20"/>
          <w:szCs w:val="20"/>
        </w:rPr>
      </w:pPr>
      <w:r w:rsidRPr="00DF41F8">
        <w:rPr>
          <w:sz w:val="20"/>
          <w:szCs w:val="20"/>
        </w:rPr>
        <w:t>Appendix B –</w:t>
      </w:r>
      <w:r w:rsidR="008371DE">
        <w:rPr>
          <w:sz w:val="20"/>
          <w:szCs w:val="20"/>
        </w:rPr>
        <w:t xml:space="preserve"> Legal Text</w:t>
      </w:r>
    </w:p>
    <w:p w:rsidR="00DF41F8" w:rsidRDefault="00DF41F8" w:rsidP="00DF41F8">
      <w:pPr>
        <w:pStyle w:val="Heading1"/>
        <w:numPr>
          <w:ilvl w:val="0"/>
          <w:numId w:val="3"/>
        </w:numPr>
        <w:spacing w:beforeLines="100" w:after="240" w:line="360" w:lineRule="auto"/>
        <w:rPr>
          <w:sz w:val="20"/>
          <w:szCs w:val="20"/>
        </w:rPr>
      </w:pPr>
      <w:r w:rsidRPr="00DF41F8">
        <w:rPr>
          <w:sz w:val="20"/>
          <w:szCs w:val="20"/>
        </w:rPr>
        <w:t xml:space="preserve">Appendix C </w:t>
      </w:r>
      <w:r w:rsidR="00323F03">
        <w:rPr>
          <w:sz w:val="20"/>
          <w:szCs w:val="20"/>
        </w:rPr>
        <w:t>–</w:t>
      </w:r>
      <w:r w:rsidR="008371DE">
        <w:rPr>
          <w:sz w:val="20"/>
          <w:szCs w:val="20"/>
        </w:rPr>
        <w:t xml:space="preserve"> Voting Form</w:t>
      </w:r>
    </w:p>
    <w:p w:rsidR="008371DE" w:rsidRDefault="008371DE" w:rsidP="008371DE">
      <w:pPr>
        <w:pStyle w:val="Heading1"/>
        <w:numPr>
          <w:ilvl w:val="0"/>
          <w:numId w:val="3"/>
        </w:numPr>
        <w:spacing w:beforeLines="100" w:after="240" w:line="360" w:lineRule="auto"/>
        <w:rPr>
          <w:sz w:val="20"/>
          <w:szCs w:val="20"/>
        </w:rPr>
      </w:pPr>
      <w:r w:rsidRPr="008371DE">
        <w:rPr>
          <w:sz w:val="20"/>
          <w:szCs w:val="20"/>
        </w:rPr>
        <w:t xml:space="preserve">Appendix D – </w:t>
      </w:r>
      <w:r>
        <w:rPr>
          <w:sz w:val="20"/>
          <w:szCs w:val="20"/>
        </w:rPr>
        <w:t>Consultation</w:t>
      </w:r>
      <w:r w:rsidRPr="008371DE">
        <w:rPr>
          <w:sz w:val="20"/>
          <w:szCs w:val="20"/>
        </w:rPr>
        <w:t xml:space="preserve"> Responses</w:t>
      </w:r>
    </w:p>
    <w:p w:rsidR="00492146" w:rsidRPr="00492146" w:rsidRDefault="00492146" w:rsidP="00492146">
      <w:pPr>
        <w:pStyle w:val="Heading1"/>
        <w:numPr>
          <w:ilvl w:val="0"/>
          <w:numId w:val="3"/>
        </w:numPr>
        <w:spacing w:beforeLines="100" w:after="240" w:line="360" w:lineRule="auto"/>
        <w:rPr>
          <w:sz w:val="20"/>
          <w:szCs w:val="20"/>
        </w:rPr>
      </w:pPr>
      <w:r w:rsidRPr="00492146">
        <w:rPr>
          <w:sz w:val="20"/>
          <w:szCs w:val="20"/>
        </w:rPr>
        <w:t>Appendix E – Consultation Update Responses</w:t>
      </w:r>
    </w:p>
    <w:p w:rsidR="00323F03" w:rsidRPr="00492146" w:rsidRDefault="00323F03" w:rsidP="00492146">
      <w:pPr>
        <w:pStyle w:val="Heading1"/>
        <w:numPr>
          <w:ilvl w:val="0"/>
          <w:numId w:val="0"/>
        </w:numPr>
        <w:spacing w:beforeLines="100" w:after="240" w:line="360" w:lineRule="auto"/>
        <w:ind w:left="720"/>
        <w:rPr>
          <w:sz w:val="20"/>
          <w:szCs w:val="20"/>
        </w:rPr>
      </w:pPr>
    </w:p>
    <w:p w:rsidR="00D9529C" w:rsidRPr="00224683" w:rsidRDefault="00D9529C" w:rsidP="00492146">
      <w:pPr>
        <w:pStyle w:val="Heading1"/>
        <w:numPr>
          <w:ilvl w:val="0"/>
          <w:numId w:val="0"/>
        </w:numPr>
        <w:spacing w:beforeLines="100" w:after="240" w:line="360" w:lineRule="auto"/>
        <w:ind w:left="720"/>
        <w:rPr>
          <w:sz w:val="20"/>
          <w:szCs w:val="20"/>
        </w:rPr>
      </w:pPr>
    </w:p>
    <w:sectPr w:rsidR="00D9529C" w:rsidRPr="00224683" w:rsidSect="003B3354">
      <w:headerReference w:type="default" r:id="rId12"/>
      <w:footerReference w:type="default" r:id="rId1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rking Group Comment" w:date="2013-05-09T11:45:00Z" w:initials="h">
    <w:p w:rsidR="005B273A" w:rsidRDefault="005B273A">
      <w:pPr>
        <w:pStyle w:val="CommentText"/>
      </w:pPr>
      <w:r>
        <w:rPr>
          <w:rStyle w:val="CommentReference"/>
        </w:rPr>
        <w:annotationRef/>
      </w:r>
      <w:r>
        <w:t xml:space="preserve">To be updated once legal text has been finalised. </w:t>
      </w:r>
    </w:p>
  </w:comment>
  <w:comment w:id="1" w:author="Working Group Comment" w:date="2013-05-09T11:46:00Z" w:initials="h">
    <w:p w:rsidR="005B273A" w:rsidRDefault="005B273A">
      <w:pPr>
        <w:pStyle w:val="CommentText"/>
      </w:pPr>
      <w:r>
        <w:rPr>
          <w:rStyle w:val="CommentReference"/>
        </w:rPr>
        <w:annotationRef/>
      </w:r>
      <w:r>
        <w:t>Timeline to be added once legal text has been finalised</w:t>
      </w:r>
    </w:p>
  </w:comment>
  <w:comment w:id="2" w:author="Working Group Comment" w:date="2013-05-20T10:49:00Z" w:initials="h">
    <w:p w:rsidR="00C964B9" w:rsidRDefault="00C964B9">
      <w:pPr>
        <w:pStyle w:val="CommentText"/>
      </w:pPr>
      <w:r>
        <w:rPr>
          <w:rStyle w:val="CommentReference"/>
        </w:rPr>
        <w:annotationRef/>
      </w:r>
      <w:r>
        <w:t>What is the Working Group’s view on this suggestion?</w:t>
      </w:r>
    </w:p>
  </w:comment>
  <w:comment w:id="3" w:author="Working Group Comment" w:date="2013-05-22T14:42:00Z" w:initials="h">
    <w:p w:rsidR="006835D6" w:rsidRDefault="006835D6">
      <w:pPr>
        <w:pStyle w:val="CommentText"/>
      </w:pPr>
      <w:r>
        <w:rPr>
          <w:rStyle w:val="CommentReference"/>
        </w:rPr>
        <w:annotationRef/>
      </w:r>
      <w:r>
        <w:t>Outstanding action</w:t>
      </w:r>
    </w:p>
  </w:comment>
  <w:comment w:id="4" w:author="Working Group Comment" w:date="2013-05-22T14:53:00Z" w:initials="h">
    <w:p w:rsidR="009C3AB4" w:rsidRDefault="009C3AB4">
      <w:pPr>
        <w:pStyle w:val="CommentText"/>
      </w:pPr>
      <w:r>
        <w:rPr>
          <w:rStyle w:val="CommentReference"/>
        </w:rPr>
        <w:annotationRef/>
      </w:r>
      <w:r>
        <w:t xml:space="preserve">This section is to be completed once the feedback has been reviewed by the </w:t>
      </w:r>
      <w:r w:rsidR="00E9195E">
        <w:t>group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B6" w:rsidRDefault="002800B6">
      <w:r>
        <w:separator/>
      </w:r>
    </w:p>
  </w:endnote>
  <w:endnote w:type="continuationSeparator" w:id="0">
    <w:p w:rsidR="002800B6" w:rsidRDefault="0028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A218BB" w:rsidRDefault="00A1470B">
    <w:pPr>
      <w:pStyle w:val="Footer"/>
      <w:rPr>
        <w:rFonts w:ascii="Verdana" w:hAnsi="Verdana"/>
        <w:sz w:val="16"/>
        <w:szCs w:val="16"/>
      </w:rPr>
    </w:pPr>
    <w:r w:rsidRPr="00A1470B">
      <w:rPr>
        <w:rFonts w:ascii="Verdana" w:hAnsi="Verdana"/>
        <w:color w:val="FF0000"/>
        <w:sz w:val="16"/>
        <w:szCs w:val="16"/>
      </w:rPr>
      <w:t>21 June 2013</w:t>
    </w:r>
    <w:r w:rsidR="007D3121" w:rsidRPr="00A218BB">
      <w:rPr>
        <w:rFonts w:ascii="Verdana" w:hAnsi="Verdana"/>
        <w:sz w:val="16"/>
        <w:szCs w:val="16"/>
      </w:rPr>
      <w:tab/>
      <w:t xml:space="preserve">Page </w:t>
    </w:r>
    <w:r w:rsidR="00DC651A" w:rsidRPr="00A218BB">
      <w:rPr>
        <w:rFonts w:ascii="Verdana" w:hAnsi="Verdana"/>
        <w:sz w:val="16"/>
        <w:szCs w:val="16"/>
      </w:rPr>
      <w:fldChar w:fldCharType="begin"/>
    </w:r>
    <w:r w:rsidR="007D3121" w:rsidRPr="00A218BB">
      <w:rPr>
        <w:rFonts w:ascii="Verdana" w:hAnsi="Verdana"/>
        <w:sz w:val="16"/>
        <w:szCs w:val="16"/>
      </w:rPr>
      <w:instrText xml:space="preserve"> PAGE </w:instrText>
    </w:r>
    <w:r w:rsidR="00DC651A" w:rsidRPr="00A218BB">
      <w:rPr>
        <w:rFonts w:ascii="Verdana" w:hAnsi="Verdana"/>
        <w:sz w:val="16"/>
        <w:szCs w:val="16"/>
      </w:rPr>
      <w:fldChar w:fldCharType="separate"/>
    </w:r>
    <w:r w:rsidR="00351E34">
      <w:rPr>
        <w:rFonts w:ascii="Verdana" w:hAnsi="Verdana"/>
        <w:noProof/>
        <w:sz w:val="16"/>
        <w:szCs w:val="16"/>
      </w:rPr>
      <w:t>15</w:t>
    </w:r>
    <w:r w:rsidR="00DC651A" w:rsidRPr="00A218BB">
      <w:rPr>
        <w:rFonts w:ascii="Verdana" w:hAnsi="Verdana"/>
        <w:sz w:val="16"/>
        <w:szCs w:val="16"/>
      </w:rPr>
      <w:fldChar w:fldCharType="end"/>
    </w:r>
    <w:r w:rsidR="007D3121" w:rsidRPr="00A218BB">
      <w:rPr>
        <w:rFonts w:ascii="Verdana" w:hAnsi="Verdana"/>
        <w:sz w:val="16"/>
        <w:szCs w:val="16"/>
      </w:rPr>
      <w:t xml:space="preserve"> of </w:t>
    </w:r>
    <w:r w:rsidR="00DC651A" w:rsidRPr="00A218BB">
      <w:rPr>
        <w:rFonts w:ascii="Verdana" w:hAnsi="Verdana"/>
        <w:sz w:val="16"/>
        <w:szCs w:val="16"/>
      </w:rPr>
      <w:fldChar w:fldCharType="begin"/>
    </w:r>
    <w:r w:rsidR="007D3121" w:rsidRPr="00A218BB">
      <w:rPr>
        <w:rFonts w:ascii="Verdana" w:hAnsi="Verdana"/>
        <w:sz w:val="16"/>
        <w:szCs w:val="16"/>
      </w:rPr>
      <w:instrText xml:space="preserve"> NUMPAGES </w:instrText>
    </w:r>
    <w:r w:rsidR="00DC651A" w:rsidRPr="00A218BB">
      <w:rPr>
        <w:rFonts w:ascii="Verdana" w:hAnsi="Verdana"/>
        <w:sz w:val="16"/>
        <w:szCs w:val="16"/>
      </w:rPr>
      <w:fldChar w:fldCharType="separate"/>
    </w:r>
    <w:r w:rsidR="00351E34">
      <w:rPr>
        <w:rFonts w:ascii="Verdana" w:hAnsi="Verdana"/>
        <w:noProof/>
        <w:sz w:val="16"/>
        <w:szCs w:val="16"/>
      </w:rPr>
      <w:t>16</w:t>
    </w:r>
    <w:r w:rsidR="00DC651A" w:rsidRPr="00A218BB">
      <w:rPr>
        <w:rFonts w:ascii="Verdana" w:hAnsi="Verdana"/>
        <w:sz w:val="16"/>
        <w:szCs w:val="16"/>
      </w:rPr>
      <w:fldChar w:fldCharType="end"/>
    </w:r>
    <w:r w:rsidR="007D3121" w:rsidRPr="00A218BB">
      <w:rPr>
        <w:rFonts w:ascii="Verdana" w:hAnsi="Verdana"/>
        <w:sz w:val="16"/>
        <w:szCs w:val="16"/>
      </w:rPr>
      <w:tab/>
    </w:r>
    <w:r w:rsidR="001A0838">
      <w:rPr>
        <w:rFonts w:ascii="Verdana" w:hAnsi="Verdana"/>
        <w:sz w:val="16"/>
        <w:szCs w:val="16"/>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B6" w:rsidRDefault="002800B6">
      <w:r>
        <w:separator/>
      </w:r>
    </w:p>
  </w:footnote>
  <w:footnote w:type="continuationSeparator" w:id="0">
    <w:p w:rsidR="002800B6" w:rsidRDefault="002800B6">
      <w:r>
        <w:continuationSeparator/>
      </w:r>
    </w:p>
  </w:footnote>
  <w:footnote w:id="1">
    <w:p w:rsidR="003C566D" w:rsidRPr="00005CCF" w:rsidRDefault="003C566D" w:rsidP="003C566D">
      <w:pPr>
        <w:pStyle w:val="FootnoteText"/>
        <w:rPr>
          <w:rFonts w:ascii="Verdana" w:hAnsi="Verdana"/>
          <w:sz w:val="18"/>
          <w:szCs w:val="18"/>
        </w:rPr>
      </w:pPr>
      <w:r w:rsidRPr="00005CCF">
        <w:rPr>
          <w:rStyle w:val="FootnoteReference"/>
          <w:rFonts w:ascii="Verdana" w:hAnsi="Verdana"/>
          <w:sz w:val="18"/>
          <w:szCs w:val="18"/>
        </w:rPr>
        <w:footnoteRef/>
      </w:r>
      <w:r w:rsidRPr="00005CCF">
        <w:rPr>
          <w:rFonts w:ascii="Verdana" w:hAnsi="Verdana"/>
          <w:sz w:val="18"/>
          <w:szCs w:val="18"/>
        </w:rPr>
        <w:t xml:space="preserve"> DCP 133 - 500MW Network Common Model for CDCM Input</w:t>
      </w:r>
    </w:p>
  </w:footnote>
  <w:footnote w:id="2">
    <w:p w:rsidR="003C566D" w:rsidRPr="00005CCF" w:rsidRDefault="003C566D" w:rsidP="003C566D">
      <w:pPr>
        <w:pStyle w:val="FootnoteText"/>
        <w:rPr>
          <w:rFonts w:ascii="Verdana" w:hAnsi="Verdana"/>
          <w:sz w:val="18"/>
          <w:szCs w:val="18"/>
        </w:rPr>
      </w:pPr>
      <w:r w:rsidRPr="00005CCF">
        <w:rPr>
          <w:rStyle w:val="FootnoteReference"/>
          <w:rFonts w:ascii="Verdana" w:hAnsi="Verdana"/>
          <w:sz w:val="18"/>
          <w:szCs w:val="18"/>
        </w:rPr>
        <w:footnoteRef/>
      </w:r>
      <w:r w:rsidRPr="00005CCF">
        <w:rPr>
          <w:rFonts w:ascii="Verdana" w:hAnsi="Verdana"/>
          <w:sz w:val="18"/>
          <w:szCs w:val="18"/>
        </w:rPr>
        <w:t xml:space="preserve"> DCP 128 - Bringing the EDCM Price Control Disaggregation Under the DCUSA Open Governance Framework</w:t>
      </w:r>
    </w:p>
  </w:footnote>
  <w:footnote w:id="3">
    <w:p w:rsidR="003C566D" w:rsidRPr="00005CCF" w:rsidRDefault="003C566D" w:rsidP="003C566D">
      <w:pPr>
        <w:pStyle w:val="FootnoteText"/>
        <w:rPr>
          <w:rFonts w:ascii="Verdana" w:hAnsi="Verdana"/>
          <w:sz w:val="18"/>
          <w:szCs w:val="18"/>
        </w:rPr>
      </w:pPr>
      <w:r w:rsidRPr="00005CCF">
        <w:footnoteRef/>
      </w:r>
      <w:r w:rsidRPr="00005CCF">
        <w:rPr>
          <w:rFonts w:ascii="Verdana" w:hAnsi="Verdana"/>
          <w:sz w:val="18"/>
          <w:szCs w:val="18"/>
        </w:rPr>
        <w:t xml:space="preserve"> DCP 129 - Bringing the CDCM Price Control Disaggregation (Method M) Under the DCUSA Open Governance Framework</w:t>
      </w:r>
    </w:p>
    <w:p w:rsidR="003C566D" w:rsidRDefault="003C566D" w:rsidP="003C566D">
      <w:pPr>
        <w:pStyle w:val="FootnoteText"/>
      </w:pPr>
    </w:p>
  </w:footnote>
  <w:footnote w:id="4">
    <w:p w:rsidR="009814BA" w:rsidRDefault="009814BA" w:rsidP="009814BA">
      <w:pPr>
        <w:pStyle w:val="FootnoteText"/>
      </w:pPr>
      <w:r>
        <w:rPr>
          <w:rStyle w:val="FootnoteReference"/>
        </w:rPr>
        <w:footnoteRef/>
      </w:r>
      <w:r>
        <w:t xml:space="preserve"> </w:t>
      </w:r>
      <w:r>
        <w:rPr>
          <w:sz w:val="22"/>
        </w:rPr>
        <w:t xml:space="preserve">The charges that are issued under the Distribution Licence </w:t>
      </w:r>
      <w:proofErr w:type="gramStart"/>
      <w:r w:rsidRPr="00066DC1">
        <w:rPr>
          <w:sz w:val="22"/>
        </w:rPr>
        <w:t>does</w:t>
      </w:r>
      <w:proofErr w:type="gramEnd"/>
      <w:r w:rsidRPr="00066DC1">
        <w:rPr>
          <w:sz w:val="22"/>
        </w:rPr>
        <w:t xml:space="preserve"> not specifically reference “indicative charges”</w:t>
      </w:r>
      <w:r>
        <w:rPr>
          <w:sz w:val="22"/>
        </w:rPr>
        <w:t>, but this has become common terminology within the industry.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A218BB" w:rsidRDefault="001A0838">
    <w:pPr>
      <w:pStyle w:val="Header"/>
      <w:rPr>
        <w:rFonts w:ascii="Verdana" w:hAnsi="Verdana"/>
        <w:sz w:val="16"/>
        <w:szCs w:val="16"/>
      </w:rPr>
    </w:pPr>
    <w:r>
      <w:rPr>
        <w:rFonts w:ascii="Verdana" w:hAnsi="Verdana"/>
        <w:sz w:val="16"/>
        <w:szCs w:val="16"/>
      </w:rPr>
      <w:t xml:space="preserve">DCUSA </w:t>
    </w:r>
    <w:r w:rsidR="00612C60">
      <w:rPr>
        <w:rFonts w:ascii="Verdana" w:hAnsi="Verdana"/>
        <w:sz w:val="16"/>
        <w:szCs w:val="16"/>
      </w:rPr>
      <w:t>Consultation</w:t>
    </w:r>
    <w:r>
      <w:rPr>
        <w:rFonts w:ascii="Verdana" w:hAnsi="Verdana"/>
        <w:sz w:val="16"/>
        <w:szCs w:val="16"/>
      </w:rPr>
      <w:tab/>
    </w:r>
    <w:r>
      <w:rPr>
        <w:rFonts w:ascii="Verdana" w:hAnsi="Verdana"/>
        <w:sz w:val="16"/>
        <w:szCs w:val="16"/>
      </w:rPr>
      <w:tab/>
    </w:r>
    <w:r w:rsidR="0024202A">
      <w:rPr>
        <w:rFonts w:ascii="Verdana" w:hAnsi="Verdana"/>
        <w:sz w:val="16"/>
        <w:szCs w:val="16"/>
      </w:rPr>
      <w:t>DCP 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B225B41"/>
    <w:multiLevelType w:val="multilevel"/>
    <w:tmpl w:val="CC1ABDCE"/>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6A678AA"/>
    <w:multiLevelType w:val="multilevel"/>
    <w:tmpl w:val="A9720816"/>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8F37AE8"/>
    <w:multiLevelType w:val="multilevel"/>
    <w:tmpl w:val="D4BCAE24"/>
    <w:lvl w:ilvl="0">
      <w:start w:val="3"/>
      <w:numFmt w:val="decimal"/>
      <w:lvlText w:val="%1"/>
      <w:lvlJc w:val="left"/>
      <w:pPr>
        <w:ind w:left="510" w:hanging="510"/>
      </w:pPr>
      <w:rPr>
        <w:rFonts w:hint="default"/>
        <w:sz w:val="20"/>
      </w:rPr>
    </w:lvl>
    <w:lvl w:ilvl="1">
      <w:start w:val="2"/>
      <w:numFmt w:val="decimal"/>
      <w:lvlText w:val="%1.%2"/>
      <w:lvlJc w:val="left"/>
      <w:pPr>
        <w:ind w:left="720" w:hanging="720"/>
      </w:pPr>
      <w:rPr>
        <w:rFonts w:hint="default"/>
        <w:sz w:val="20"/>
      </w:rPr>
    </w:lvl>
    <w:lvl w:ilvl="2">
      <w:start w:val="1"/>
      <w:numFmt w:val="decimal"/>
      <w:lvlText w:val="%1.%2.%3"/>
      <w:lvlJc w:val="left"/>
      <w:pPr>
        <w:ind w:left="1080" w:hanging="108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2160" w:hanging="2160"/>
      </w:pPr>
      <w:rPr>
        <w:rFonts w:hint="default"/>
        <w:sz w:val="20"/>
      </w:rPr>
    </w:lvl>
    <w:lvl w:ilvl="7">
      <w:start w:val="1"/>
      <w:numFmt w:val="decimal"/>
      <w:lvlText w:val="%1.%2.%3.%4.%5.%6.%7.%8"/>
      <w:lvlJc w:val="left"/>
      <w:pPr>
        <w:ind w:left="2520" w:hanging="2520"/>
      </w:pPr>
      <w:rPr>
        <w:rFonts w:hint="default"/>
        <w:sz w:val="20"/>
      </w:rPr>
    </w:lvl>
    <w:lvl w:ilvl="8">
      <w:start w:val="1"/>
      <w:numFmt w:val="decimal"/>
      <w:lvlText w:val="%1.%2.%3.%4.%5.%6.%7.%8.%9"/>
      <w:lvlJc w:val="left"/>
      <w:pPr>
        <w:ind w:left="2520" w:hanging="2520"/>
      </w:pPr>
      <w:rPr>
        <w:rFonts w:hint="default"/>
        <w:sz w:val="20"/>
      </w:rPr>
    </w:lvl>
  </w:abstractNum>
  <w:abstractNum w:abstractNumId="4">
    <w:nsid w:val="47333AC0"/>
    <w:multiLevelType w:val="multilevel"/>
    <w:tmpl w:val="AE6A97E2"/>
    <w:lvl w:ilvl="0">
      <w:start w:val="1"/>
      <w:numFmt w:val="decimal"/>
      <w:pStyle w:val="Heading1"/>
      <w:lvlText w:val="%1"/>
      <w:lvlJc w:val="left"/>
      <w:pPr>
        <w:tabs>
          <w:tab w:val="num" w:pos="432"/>
        </w:tabs>
        <w:ind w:left="432" w:hanging="432"/>
      </w:pPr>
      <w:rPr>
        <w:rFonts w:cs="Times New Roman"/>
        <w:b/>
        <w:sz w:val="20"/>
        <w:szCs w:val="20"/>
      </w:rPr>
    </w:lvl>
    <w:lvl w:ilvl="1">
      <w:start w:val="1"/>
      <w:numFmt w:val="decimal"/>
      <w:pStyle w:val="Heading2"/>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49435749"/>
    <w:multiLevelType w:val="hybridMultilevel"/>
    <w:tmpl w:val="78362B4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nsid w:val="520006D0"/>
    <w:multiLevelType w:val="hybridMultilevel"/>
    <w:tmpl w:val="1C16BF0A"/>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FC1966"/>
    <w:multiLevelType w:val="multilevel"/>
    <w:tmpl w:val="F14A5130"/>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63F45E5D"/>
    <w:multiLevelType w:val="multilevel"/>
    <w:tmpl w:val="A9DCD11E"/>
    <w:lvl w:ilvl="0">
      <w:start w:val="4"/>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1080" w:hanging="108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2160" w:hanging="2160"/>
      </w:pPr>
      <w:rPr>
        <w:rFonts w:hint="default"/>
        <w:sz w:val="20"/>
      </w:rPr>
    </w:lvl>
    <w:lvl w:ilvl="7">
      <w:start w:val="1"/>
      <w:numFmt w:val="decimal"/>
      <w:lvlText w:val="%1.%2.%3.%4.%5.%6.%7.%8"/>
      <w:lvlJc w:val="left"/>
      <w:pPr>
        <w:ind w:left="2520" w:hanging="2520"/>
      </w:pPr>
      <w:rPr>
        <w:rFonts w:hint="default"/>
        <w:sz w:val="20"/>
      </w:rPr>
    </w:lvl>
    <w:lvl w:ilvl="8">
      <w:start w:val="1"/>
      <w:numFmt w:val="decimal"/>
      <w:lvlText w:val="%1.%2.%3.%4.%5.%6.%7.%8.%9"/>
      <w:lvlJc w:val="left"/>
      <w:pPr>
        <w:ind w:left="2520" w:hanging="2520"/>
      </w:pPr>
      <w:rPr>
        <w:rFonts w:hint="default"/>
        <w:sz w:val="20"/>
      </w:rPr>
    </w:lvl>
  </w:abstractNum>
  <w:num w:numId="1">
    <w:abstractNumId w:val="4"/>
  </w:num>
  <w:num w:numId="2">
    <w:abstractNumId w:val="0"/>
  </w:num>
  <w:num w:numId="3">
    <w:abstractNumId w:val="6"/>
  </w:num>
  <w:num w:numId="4">
    <w:abstractNumId w:val="5"/>
  </w:num>
  <w:num w:numId="5">
    <w:abstractNumId w:val="3"/>
  </w:num>
  <w:num w:numId="6">
    <w:abstractNumId w:val="7"/>
  </w:num>
  <w:num w:numId="7">
    <w:abstractNumId w:val="8"/>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2"/>
  </w:num>
  <w:num w:numId="36">
    <w:abstractNumId w:val="1"/>
  </w:num>
  <w:num w:numId="37">
    <w:abstractNumId w:val="4"/>
  </w:num>
  <w:num w:numId="38">
    <w:abstractNumId w:val="4"/>
  </w:num>
  <w:num w:numId="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28E0"/>
    <w:rsid w:val="0000680D"/>
    <w:rsid w:val="00007987"/>
    <w:rsid w:val="00010ADE"/>
    <w:rsid w:val="00011F01"/>
    <w:rsid w:val="000125BD"/>
    <w:rsid w:val="00012AC1"/>
    <w:rsid w:val="00013C8B"/>
    <w:rsid w:val="00017434"/>
    <w:rsid w:val="00020E7D"/>
    <w:rsid w:val="00022762"/>
    <w:rsid w:val="00024E44"/>
    <w:rsid w:val="0002680F"/>
    <w:rsid w:val="0003391C"/>
    <w:rsid w:val="00033B08"/>
    <w:rsid w:val="00033F40"/>
    <w:rsid w:val="0003400C"/>
    <w:rsid w:val="000347AF"/>
    <w:rsid w:val="00036D63"/>
    <w:rsid w:val="00043458"/>
    <w:rsid w:val="00043ED4"/>
    <w:rsid w:val="000449CE"/>
    <w:rsid w:val="00044BDF"/>
    <w:rsid w:val="00046173"/>
    <w:rsid w:val="00047B01"/>
    <w:rsid w:val="000523E0"/>
    <w:rsid w:val="000554EA"/>
    <w:rsid w:val="00055AC9"/>
    <w:rsid w:val="00056497"/>
    <w:rsid w:val="00056946"/>
    <w:rsid w:val="00057701"/>
    <w:rsid w:val="00057848"/>
    <w:rsid w:val="00062C3E"/>
    <w:rsid w:val="00063592"/>
    <w:rsid w:val="00065B17"/>
    <w:rsid w:val="00066325"/>
    <w:rsid w:val="00070C5D"/>
    <w:rsid w:val="0007178C"/>
    <w:rsid w:val="00073AEA"/>
    <w:rsid w:val="00075C69"/>
    <w:rsid w:val="0007678E"/>
    <w:rsid w:val="000772D1"/>
    <w:rsid w:val="00082025"/>
    <w:rsid w:val="000825B9"/>
    <w:rsid w:val="000831E3"/>
    <w:rsid w:val="00083462"/>
    <w:rsid w:val="00086056"/>
    <w:rsid w:val="00086D93"/>
    <w:rsid w:val="000872ED"/>
    <w:rsid w:val="000903DD"/>
    <w:rsid w:val="0009125E"/>
    <w:rsid w:val="00091297"/>
    <w:rsid w:val="00092792"/>
    <w:rsid w:val="000930CB"/>
    <w:rsid w:val="000944D8"/>
    <w:rsid w:val="000A18F0"/>
    <w:rsid w:val="000A3FCB"/>
    <w:rsid w:val="000A4776"/>
    <w:rsid w:val="000B0F57"/>
    <w:rsid w:val="000B239F"/>
    <w:rsid w:val="000B3D10"/>
    <w:rsid w:val="000B762C"/>
    <w:rsid w:val="000C0643"/>
    <w:rsid w:val="000C1298"/>
    <w:rsid w:val="000C3178"/>
    <w:rsid w:val="000C38CD"/>
    <w:rsid w:val="000C42BC"/>
    <w:rsid w:val="000C47FC"/>
    <w:rsid w:val="000C7004"/>
    <w:rsid w:val="000C7C88"/>
    <w:rsid w:val="000D29EA"/>
    <w:rsid w:val="000D4E79"/>
    <w:rsid w:val="000E21A9"/>
    <w:rsid w:val="000E271A"/>
    <w:rsid w:val="000E3F45"/>
    <w:rsid w:val="000E7943"/>
    <w:rsid w:val="000E7B83"/>
    <w:rsid w:val="000F04A3"/>
    <w:rsid w:val="000F2F81"/>
    <w:rsid w:val="000F36C4"/>
    <w:rsid w:val="000F3808"/>
    <w:rsid w:val="000F427D"/>
    <w:rsid w:val="000F5552"/>
    <w:rsid w:val="00100A92"/>
    <w:rsid w:val="00103AAD"/>
    <w:rsid w:val="001047FC"/>
    <w:rsid w:val="00105454"/>
    <w:rsid w:val="001067AC"/>
    <w:rsid w:val="00112798"/>
    <w:rsid w:val="001127A2"/>
    <w:rsid w:val="00115122"/>
    <w:rsid w:val="001202B5"/>
    <w:rsid w:val="00121773"/>
    <w:rsid w:val="001253BD"/>
    <w:rsid w:val="00126F6B"/>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55843"/>
    <w:rsid w:val="00163E81"/>
    <w:rsid w:val="00170267"/>
    <w:rsid w:val="00174E38"/>
    <w:rsid w:val="001754AC"/>
    <w:rsid w:val="00177740"/>
    <w:rsid w:val="00190C3B"/>
    <w:rsid w:val="001A0838"/>
    <w:rsid w:val="001A13C3"/>
    <w:rsid w:val="001A24CC"/>
    <w:rsid w:val="001A2891"/>
    <w:rsid w:val="001A384B"/>
    <w:rsid w:val="001A4569"/>
    <w:rsid w:val="001A4961"/>
    <w:rsid w:val="001A6D0C"/>
    <w:rsid w:val="001A6E4E"/>
    <w:rsid w:val="001A7849"/>
    <w:rsid w:val="001B5C21"/>
    <w:rsid w:val="001B6526"/>
    <w:rsid w:val="001C019B"/>
    <w:rsid w:val="001C1B5D"/>
    <w:rsid w:val="001C3F03"/>
    <w:rsid w:val="001C5181"/>
    <w:rsid w:val="001C757E"/>
    <w:rsid w:val="001C77A7"/>
    <w:rsid w:val="001D26E8"/>
    <w:rsid w:val="001D4F1B"/>
    <w:rsid w:val="001E2907"/>
    <w:rsid w:val="001E4D85"/>
    <w:rsid w:val="001E5996"/>
    <w:rsid w:val="001E6C8B"/>
    <w:rsid w:val="001F1C28"/>
    <w:rsid w:val="001F3031"/>
    <w:rsid w:val="001F5128"/>
    <w:rsid w:val="001F54FB"/>
    <w:rsid w:val="001F5A22"/>
    <w:rsid w:val="001F5C27"/>
    <w:rsid w:val="001F64E1"/>
    <w:rsid w:val="001F7FA3"/>
    <w:rsid w:val="00202971"/>
    <w:rsid w:val="002041FA"/>
    <w:rsid w:val="00211F54"/>
    <w:rsid w:val="0021215D"/>
    <w:rsid w:val="00216D86"/>
    <w:rsid w:val="002210CB"/>
    <w:rsid w:val="00221D5E"/>
    <w:rsid w:val="00223F66"/>
    <w:rsid w:val="00224683"/>
    <w:rsid w:val="002264D0"/>
    <w:rsid w:val="002273D6"/>
    <w:rsid w:val="00230BA3"/>
    <w:rsid w:val="00231BF8"/>
    <w:rsid w:val="00233DF0"/>
    <w:rsid w:val="00237B97"/>
    <w:rsid w:val="00237CCF"/>
    <w:rsid w:val="00240EEC"/>
    <w:rsid w:val="0024202A"/>
    <w:rsid w:val="00242D4F"/>
    <w:rsid w:val="00242E15"/>
    <w:rsid w:val="00246CE1"/>
    <w:rsid w:val="00252E64"/>
    <w:rsid w:val="00253E0E"/>
    <w:rsid w:val="00254059"/>
    <w:rsid w:val="00256D59"/>
    <w:rsid w:val="00260353"/>
    <w:rsid w:val="00260480"/>
    <w:rsid w:val="00261861"/>
    <w:rsid w:val="00261BCB"/>
    <w:rsid w:val="00263CEA"/>
    <w:rsid w:val="00263DD6"/>
    <w:rsid w:val="002651E6"/>
    <w:rsid w:val="002778DC"/>
    <w:rsid w:val="002800B6"/>
    <w:rsid w:val="00280711"/>
    <w:rsid w:val="00280875"/>
    <w:rsid w:val="0028206A"/>
    <w:rsid w:val="00282848"/>
    <w:rsid w:val="00284327"/>
    <w:rsid w:val="002843DF"/>
    <w:rsid w:val="00286A7D"/>
    <w:rsid w:val="00286FB7"/>
    <w:rsid w:val="0028783E"/>
    <w:rsid w:val="002919ED"/>
    <w:rsid w:val="002944C8"/>
    <w:rsid w:val="00297941"/>
    <w:rsid w:val="002A30DF"/>
    <w:rsid w:val="002A69DD"/>
    <w:rsid w:val="002B3675"/>
    <w:rsid w:val="002B4269"/>
    <w:rsid w:val="002B456D"/>
    <w:rsid w:val="002C55DB"/>
    <w:rsid w:val="002C7081"/>
    <w:rsid w:val="002D0763"/>
    <w:rsid w:val="002D1B3D"/>
    <w:rsid w:val="002D7F11"/>
    <w:rsid w:val="002E3048"/>
    <w:rsid w:val="002E3680"/>
    <w:rsid w:val="002E43EA"/>
    <w:rsid w:val="002F173C"/>
    <w:rsid w:val="002F3265"/>
    <w:rsid w:val="002F705F"/>
    <w:rsid w:val="0030078E"/>
    <w:rsid w:val="003040DE"/>
    <w:rsid w:val="00304FFF"/>
    <w:rsid w:val="0030696A"/>
    <w:rsid w:val="00311375"/>
    <w:rsid w:val="00321738"/>
    <w:rsid w:val="00321CD4"/>
    <w:rsid w:val="00323F03"/>
    <w:rsid w:val="00325E50"/>
    <w:rsid w:val="00325F2D"/>
    <w:rsid w:val="00326C68"/>
    <w:rsid w:val="00327AFE"/>
    <w:rsid w:val="00330332"/>
    <w:rsid w:val="00331748"/>
    <w:rsid w:val="00332302"/>
    <w:rsid w:val="0033482A"/>
    <w:rsid w:val="00337126"/>
    <w:rsid w:val="00340B35"/>
    <w:rsid w:val="00341962"/>
    <w:rsid w:val="00346905"/>
    <w:rsid w:val="00347FCF"/>
    <w:rsid w:val="00351E34"/>
    <w:rsid w:val="00352019"/>
    <w:rsid w:val="003552C6"/>
    <w:rsid w:val="00357A5E"/>
    <w:rsid w:val="00366B63"/>
    <w:rsid w:val="0036708F"/>
    <w:rsid w:val="00372239"/>
    <w:rsid w:val="0037353E"/>
    <w:rsid w:val="00375600"/>
    <w:rsid w:val="00375847"/>
    <w:rsid w:val="00376E51"/>
    <w:rsid w:val="00377515"/>
    <w:rsid w:val="00381F53"/>
    <w:rsid w:val="003855ED"/>
    <w:rsid w:val="003927B9"/>
    <w:rsid w:val="00393139"/>
    <w:rsid w:val="00393850"/>
    <w:rsid w:val="003943C4"/>
    <w:rsid w:val="00396080"/>
    <w:rsid w:val="003A396A"/>
    <w:rsid w:val="003A7E31"/>
    <w:rsid w:val="003B32D3"/>
    <w:rsid w:val="003B3354"/>
    <w:rsid w:val="003B5D6B"/>
    <w:rsid w:val="003B7812"/>
    <w:rsid w:val="003C08C7"/>
    <w:rsid w:val="003C44A8"/>
    <w:rsid w:val="003C4B51"/>
    <w:rsid w:val="003C566D"/>
    <w:rsid w:val="003C6C41"/>
    <w:rsid w:val="003D0026"/>
    <w:rsid w:val="003D2193"/>
    <w:rsid w:val="003D2B87"/>
    <w:rsid w:val="003D5445"/>
    <w:rsid w:val="003D5CC4"/>
    <w:rsid w:val="003E21F3"/>
    <w:rsid w:val="003E484D"/>
    <w:rsid w:val="003E5365"/>
    <w:rsid w:val="003F1BE3"/>
    <w:rsid w:val="003F3FAD"/>
    <w:rsid w:val="003F4E83"/>
    <w:rsid w:val="003F57C8"/>
    <w:rsid w:val="003F5B7B"/>
    <w:rsid w:val="003F61EC"/>
    <w:rsid w:val="003F67DB"/>
    <w:rsid w:val="003F7576"/>
    <w:rsid w:val="003F7966"/>
    <w:rsid w:val="003F7E4C"/>
    <w:rsid w:val="004011D9"/>
    <w:rsid w:val="0040513A"/>
    <w:rsid w:val="004066FF"/>
    <w:rsid w:val="0041369F"/>
    <w:rsid w:val="00420305"/>
    <w:rsid w:val="004233AA"/>
    <w:rsid w:val="00427696"/>
    <w:rsid w:val="0043452F"/>
    <w:rsid w:val="00434C17"/>
    <w:rsid w:val="00434D8F"/>
    <w:rsid w:val="00434DC2"/>
    <w:rsid w:val="00435098"/>
    <w:rsid w:val="00436B45"/>
    <w:rsid w:val="0044068D"/>
    <w:rsid w:val="00442FBA"/>
    <w:rsid w:val="0044402A"/>
    <w:rsid w:val="0044439C"/>
    <w:rsid w:val="00447852"/>
    <w:rsid w:val="004535C5"/>
    <w:rsid w:val="00453B3B"/>
    <w:rsid w:val="00456633"/>
    <w:rsid w:val="00460896"/>
    <w:rsid w:val="00461524"/>
    <w:rsid w:val="004650CA"/>
    <w:rsid w:val="0046539B"/>
    <w:rsid w:val="0046701A"/>
    <w:rsid w:val="00467A9C"/>
    <w:rsid w:val="00471677"/>
    <w:rsid w:val="00472494"/>
    <w:rsid w:val="004736B8"/>
    <w:rsid w:val="0047408D"/>
    <w:rsid w:val="00476005"/>
    <w:rsid w:val="0048240C"/>
    <w:rsid w:val="00483295"/>
    <w:rsid w:val="00485800"/>
    <w:rsid w:val="00486396"/>
    <w:rsid w:val="0048684C"/>
    <w:rsid w:val="00486E43"/>
    <w:rsid w:val="00492146"/>
    <w:rsid w:val="00492C26"/>
    <w:rsid w:val="004931FD"/>
    <w:rsid w:val="00493480"/>
    <w:rsid w:val="004A2FD8"/>
    <w:rsid w:val="004A6DFA"/>
    <w:rsid w:val="004A7ED7"/>
    <w:rsid w:val="004A7F08"/>
    <w:rsid w:val="004B0018"/>
    <w:rsid w:val="004B3F8E"/>
    <w:rsid w:val="004B4CE0"/>
    <w:rsid w:val="004B5B54"/>
    <w:rsid w:val="004B69BF"/>
    <w:rsid w:val="004B7BBF"/>
    <w:rsid w:val="004C051C"/>
    <w:rsid w:val="004C0C31"/>
    <w:rsid w:val="004C2CF0"/>
    <w:rsid w:val="004C3BE8"/>
    <w:rsid w:val="004C76A5"/>
    <w:rsid w:val="004D5995"/>
    <w:rsid w:val="004D5A3C"/>
    <w:rsid w:val="004D7419"/>
    <w:rsid w:val="004D7859"/>
    <w:rsid w:val="004E3181"/>
    <w:rsid w:val="004E5595"/>
    <w:rsid w:val="004E5742"/>
    <w:rsid w:val="004F3769"/>
    <w:rsid w:val="004F4F3C"/>
    <w:rsid w:val="004F50B0"/>
    <w:rsid w:val="004F5C7A"/>
    <w:rsid w:val="004F6DD6"/>
    <w:rsid w:val="00501F0A"/>
    <w:rsid w:val="00505844"/>
    <w:rsid w:val="00513405"/>
    <w:rsid w:val="00517B9B"/>
    <w:rsid w:val="00522210"/>
    <w:rsid w:val="0052410C"/>
    <w:rsid w:val="00525079"/>
    <w:rsid w:val="00526829"/>
    <w:rsid w:val="005276C1"/>
    <w:rsid w:val="005320D4"/>
    <w:rsid w:val="005360A5"/>
    <w:rsid w:val="00540745"/>
    <w:rsid w:val="005415E7"/>
    <w:rsid w:val="00542C69"/>
    <w:rsid w:val="0054368F"/>
    <w:rsid w:val="00550720"/>
    <w:rsid w:val="00551F11"/>
    <w:rsid w:val="005547CF"/>
    <w:rsid w:val="0055551E"/>
    <w:rsid w:val="00555DBA"/>
    <w:rsid w:val="00556D6A"/>
    <w:rsid w:val="0056372F"/>
    <w:rsid w:val="005712F0"/>
    <w:rsid w:val="00572506"/>
    <w:rsid w:val="00576290"/>
    <w:rsid w:val="00576CAB"/>
    <w:rsid w:val="00582EFB"/>
    <w:rsid w:val="0058352E"/>
    <w:rsid w:val="00585F98"/>
    <w:rsid w:val="00590D2A"/>
    <w:rsid w:val="00593922"/>
    <w:rsid w:val="00594568"/>
    <w:rsid w:val="005B1FD7"/>
    <w:rsid w:val="005B273A"/>
    <w:rsid w:val="005C1D98"/>
    <w:rsid w:val="005C21D2"/>
    <w:rsid w:val="005C3007"/>
    <w:rsid w:val="005C3CFC"/>
    <w:rsid w:val="005D0697"/>
    <w:rsid w:val="005D159C"/>
    <w:rsid w:val="005D1DC8"/>
    <w:rsid w:val="005D41E3"/>
    <w:rsid w:val="005D720B"/>
    <w:rsid w:val="005E6553"/>
    <w:rsid w:val="005E6641"/>
    <w:rsid w:val="005E7EB8"/>
    <w:rsid w:val="005F05D4"/>
    <w:rsid w:val="005F4DCA"/>
    <w:rsid w:val="005F5F3D"/>
    <w:rsid w:val="005F7403"/>
    <w:rsid w:val="005F7A1A"/>
    <w:rsid w:val="006012B3"/>
    <w:rsid w:val="006030C2"/>
    <w:rsid w:val="00606479"/>
    <w:rsid w:val="00607564"/>
    <w:rsid w:val="00607A0E"/>
    <w:rsid w:val="00611723"/>
    <w:rsid w:val="00612C60"/>
    <w:rsid w:val="00614B6D"/>
    <w:rsid w:val="00620E07"/>
    <w:rsid w:val="00621D01"/>
    <w:rsid w:val="00621E54"/>
    <w:rsid w:val="00622CDC"/>
    <w:rsid w:val="00625FD5"/>
    <w:rsid w:val="00626399"/>
    <w:rsid w:val="00627AB2"/>
    <w:rsid w:val="00627DE1"/>
    <w:rsid w:val="0063045C"/>
    <w:rsid w:val="006307B5"/>
    <w:rsid w:val="00631896"/>
    <w:rsid w:val="00631B51"/>
    <w:rsid w:val="006647EC"/>
    <w:rsid w:val="006658B0"/>
    <w:rsid w:val="00673C6A"/>
    <w:rsid w:val="0067772F"/>
    <w:rsid w:val="006809A2"/>
    <w:rsid w:val="0068221C"/>
    <w:rsid w:val="006835D6"/>
    <w:rsid w:val="00686A4A"/>
    <w:rsid w:val="00690322"/>
    <w:rsid w:val="00692EF0"/>
    <w:rsid w:val="006943DC"/>
    <w:rsid w:val="00697864"/>
    <w:rsid w:val="006A2FA2"/>
    <w:rsid w:val="006A5428"/>
    <w:rsid w:val="006A5D92"/>
    <w:rsid w:val="006A6076"/>
    <w:rsid w:val="006A653D"/>
    <w:rsid w:val="006C014A"/>
    <w:rsid w:val="006C0577"/>
    <w:rsid w:val="006C0B86"/>
    <w:rsid w:val="006C2610"/>
    <w:rsid w:val="006C2DD5"/>
    <w:rsid w:val="006C52E0"/>
    <w:rsid w:val="006D037F"/>
    <w:rsid w:val="006D1687"/>
    <w:rsid w:val="006D3528"/>
    <w:rsid w:val="006D4F7C"/>
    <w:rsid w:val="006E1085"/>
    <w:rsid w:val="006E7697"/>
    <w:rsid w:val="006E7D44"/>
    <w:rsid w:val="007040F7"/>
    <w:rsid w:val="00707CA0"/>
    <w:rsid w:val="00707F20"/>
    <w:rsid w:val="00710A50"/>
    <w:rsid w:val="00711F80"/>
    <w:rsid w:val="007133A5"/>
    <w:rsid w:val="00716176"/>
    <w:rsid w:val="00717BD0"/>
    <w:rsid w:val="00720ED5"/>
    <w:rsid w:val="00725473"/>
    <w:rsid w:val="0072567A"/>
    <w:rsid w:val="007275EF"/>
    <w:rsid w:val="00727E92"/>
    <w:rsid w:val="00734786"/>
    <w:rsid w:val="007347C8"/>
    <w:rsid w:val="00735329"/>
    <w:rsid w:val="007375CC"/>
    <w:rsid w:val="0074055F"/>
    <w:rsid w:val="0074293F"/>
    <w:rsid w:val="00743600"/>
    <w:rsid w:val="00745790"/>
    <w:rsid w:val="007465D6"/>
    <w:rsid w:val="0075033E"/>
    <w:rsid w:val="00750ECC"/>
    <w:rsid w:val="00752963"/>
    <w:rsid w:val="00753808"/>
    <w:rsid w:val="007571AA"/>
    <w:rsid w:val="00757E0B"/>
    <w:rsid w:val="0076185F"/>
    <w:rsid w:val="00764066"/>
    <w:rsid w:val="0076676F"/>
    <w:rsid w:val="007667A0"/>
    <w:rsid w:val="0076780D"/>
    <w:rsid w:val="00767AA7"/>
    <w:rsid w:val="00771000"/>
    <w:rsid w:val="00771F3C"/>
    <w:rsid w:val="007725F5"/>
    <w:rsid w:val="00773627"/>
    <w:rsid w:val="0077599E"/>
    <w:rsid w:val="00781AE2"/>
    <w:rsid w:val="00786992"/>
    <w:rsid w:val="007874ED"/>
    <w:rsid w:val="007A0A5A"/>
    <w:rsid w:val="007A20E4"/>
    <w:rsid w:val="007A2B24"/>
    <w:rsid w:val="007A37CC"/>
    <w:rsid w:val="007A4483"/>
    <w:rsid w:val="007A5F23"/>
    <w:rsid w:val="007B04ED"/>
    <w:rsid w:val="007B3904"/>
    <w:rsid w:val="007B3960"/>
    <w:rsid w:val="007B5153"/>
    <w:rsid w:val="007B78FF"/>
    <w:rsid w:val="007C07A6"/>
    <w:rsid w:val="007C53AB"/>
    <w:rsid w:val="007C7AE0"/>
    <w:rsid w:val="007D3121"/>
    <w:rsid w:val="007D32F2"/>
    <w:rsid w:val="007D3601"/>
    <w:rsid w:val="007D4493"/>
    <w:rsid w:val="007D604E"/>
    <w:rsid w:val="007D7AE2"/>
    <w:rsid w:val="007E07D9"/>
    <w:rsid w:val="007E07E3"/>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234C"/>
    <w:rsid w:val="00812371"/>
    <w:rsid w:val="008132DA"/>
    <w:rsid w:val="00813FD8"/>
    <w:rsid w:val="00817CD6"/>
    <w:rsid w:val="008211CC"/>
    <w:rsid w:val="008257D6"/>
    <w:rsid w:val="008276BE"/>
    <w:rsid w:val="008342EE"/>
    <w:rsid w:val="008346F9"/>
    <w:rsid w:val="00837074"/>
    <w:rsid w:val="00837123"/>
    <w:rsid w:val="008371DE"/>
    <w:rsid w:val="00837B05"/>
    <w:rsid w:val="00840BAF"/>
    <w:rsid w:val="008432AA"/>
    <w:rsid w:val="008456F8"/>
    <w:rsid w:val="008467F2"/>
    <w:rsid w:val="008506CF"/>
    <w:rsid w:val="0085287E"/>
    <w:rsid w:val="00852B9C"/>
    <w:rsid w:val="00852DC7"/>
    <w:rsid w:val="0085489F"/>
    <w:rsid w:val="00856B88"/>
    <w:rsid w:val="00856CFA"/>
    <w:rsid w:val="00857C4D"/>
    <w:rsid w:val="00860992"/>
    <w:rsid w:val="008615E1"/>
    <w:rsid w:val="008656B7"/>
    <w:rsid w:val="008672AB"/>
    <w:rsid w:val="00867B0B"/>
    <w:rsid w:val="00871894"/>
    <w:rsid w:val="0087539A"/>
    <w:rsid w:val="00876503"/>
    <w:rsid w:val="00876A30"/>
    <w:rsid w:val="00880FBA"/>
    <w:rsid w:val="00885D96"/>
    <w:rsid w:val="00885FD3"/>
    <w:rsid w:val="008869E6"/>
    <w:rsid w:val="00887E4A"/>
    <w:rsid w:val="008906BB"/>
    <w:rsid w:val="00892AE4"/>
    <w:rsid w:val="008934D1"/>
    <w:rsid w:val="00895759"/>
    <w:rsid w:val="00897B9A"/>
    <w:rsid w:val="00897FDA"/>
    <w:rsid w:val="008A17E4"/>
    <w:rsid w:val="008A3046"/>
    <w:rsid w:val="008A30FD"/>
    <w:rsid w:val="008A5381"/>
    <w:rsid w:val="008A611F"/>
    <w:rsid w:val="008A6B50"/>
    <w:rsid w:val="008A79D4"/>
    <w:rsid w:val="008A7B9E"/>
    <w:rsid w:val="008B570A"/>
    <w:rsid w:val="008C0633"/>
    <w:rsid w:val="008C13AE"/>
    <w:rsid w:val="008C187C"/>
    <w:rsid w:val="008C6AA7"/>
    <w:rsid w:val="008D2527"/>
    <w:rsid w:val="008D2704"/>
    <w:rsid w:val="008D6D3D"/>
    <w:rsid w:val="008E011D"/>
    <w:rsid w:val="008E1656"/>
    <w:rsid w:val="008E6A3E"/>
    <w:rsid w:val="008E7578"/>
    <w:rsid w:val="008F0D7B"/>
    <w:rsid w:val="008F35A3"/>
    <w:rsid w:val="008F3DFE"/>
    <w:rsid w:val="008F499E"/>
    <w:rsid w:val="008F731B"/>
    <w:rsid w:val="008F7E36"/>
    <w:rsid w:val="009030DD"/>
    <w:rsid w:val="00904D83"/>
    <w:rsid w:val="009051DF"/>
    <w:rsid w:val="009057C5"/>
    <w:rsid w:val="009067D7"/>
    <w:rsid w:val="0091137B"/>
    <w:rsid w:val="00916B3B"/>
    <w:rsid w:val="00916B57"/>
    <w:rsid w:val="00920C31"/>
    <w:rsid w:val="00922FDA"/>
    <w:rsid w:val="00931F32"/>
    <w:rsid w:val="00932C03"/>
    <w:rsid w:val="0093344D"/>
    <w:rsid w:val="00934FA4"/>
    <w:rsid w:val="00935C95"/>
    <w:rsid w:val="009424C0"/>
    <w:rsid w:val="009457C7"/>
    <w:rsid w:val="0094750A"/>
    <w:rsid w:val="009502B2"/>
    <w:rsid w:val="00952C0E"/>
    <w:rsid w:val="009534CC"/>
    <w:rsid w:val="00953BD7"/>
    <w:rsid w:val="009567DD"/>
    <w:rsid w:val="00960C94"/>
    <w:rsid w:val="00960EB4"/>
    <w:rsid w:val="00961717"/>
    <w:rsid w:val="00962680"/>
    <w:rsid w:val="0096297F"/>
    <w:rsid w:val="009679E5"/>
    <w:rsid w:val="009708F3"/>
    <w:rsid w:val="0097284A"/>
    <w:rsid w:val="00974FA3"/>
    <w:rsid w:val="00976B38"/>
    <w:rsid w:val="00976B82"/>
    <w:rsid w:val="00977A29"/>
    <w:rsid w:val="009814BA"/>
    <w:rsid w:val="00981C72"/>
    <w:rsid w:val="00982144"/>
    <w:rsid w:val="009846DC"/>
    <w:rsid w:val="00984B97"/>
    <w:rsid w:val="009851DE"/>
    <w:rsid w:val="00986D22"/>
    <w:rsid w:val="009937E8"/>
    <w:rsid w:val="00993968"/>
    <w:rsid w:val="00993FAB"/>
    <w:rsid w:val="009A1D93"/>
    <w:rsid w:val="009A5567"/>
    <w:rsid w:val="009A77CD"/>
    <w:rsid w:val="009A7B08"/>
    <w:rsid w:val="009B0704"/>
    <w:rsid w:val="009B3104"/>
    <w:rsid w:val="009B3DD0"/>
    <w:rsid w:val="009B663C"/>
    <w:rsid w:val="009B67EA"/>
    <w:rsid w:val="009B705F"/>
    <w:rsid w:val="009B762A"/>
    <w:rsid w:val="009C0C5D"/>
    <w:rsid w:val="009C3AB4"/>
    <w:rsid w:val="009C3EFC"/>
    <w:rsid w:val="009C530A"/>
    <w:rsid w:val="009C7FAA"/>
    <w:rsid w:val="009D18A1"/>
    <w:rsid w:val="009D2446"/>
    <w:rsid w:val="009D74C8"/>
    <w:rsid w:val="009D7B40"/>
    <w:rsid w:val="009D7D49"/>
    <w:rsid w:val="009E0D16"/>
    <w:rsid w:val="009E7510"/>
    <w:rsid w:val="009E7D88"/>
    <w:rsid w:val="009F052C"/>
    <w:rsid w:val="009F244A"/>
    <w:rsid w:val="009F35E1"/>
    <w:rsid w:val="009F5048"/>
    <w:rsid w:val="009F6328"/>
    <w:rsid w:val="00A03529"/>
    <w:rsid w:val="00A03F47"/>
    <w:rsid w:val="00A04E24"/>
    <w:rsid w:val="00A066E2"/>
    <w:rsid w:val="00A07BF7"/>
    <w:rsid w:val="00A10970"/>
    <w:rsid w:val="00A11672"/>
    <w:rsid w:val="00A1331C"/>
    <w:rsid w:val="00A1470B"/>
    <w:rsid w:val="00A15083"/>
    <w:rsid w:val="00A15DE2"/>
    <w:rsid w:val="00A17049"/>
    <w:rsid w:val="00A218BB"/>
    <w:rsid w:val="00A229EC"/>
    <w:rsid w:val="00A23358"/>
    <w:rsid w:val="00A264E4"/>
    <w:rsid w:val="00A2797F"/>
    <w:rsid w:val="00A33B4D"/>
    <w:rsid w:val="00A33D05"/>
    <w:rsid w:val="00A33E90"/>
    <w:rsid w:val="00A34518"/>
    <w:rsid w:val="00A36C34"/>
    <w:rsid w:val="00A40ECB"/>
    <w:rsid w:val="00A42B46"/>
    <w:rsid w:val="00A4353C"/>
    <w:rsid w:val="00A447DD"/>
    <w:rsid w:val="00A45BF3"/>
    <w:rsid w:val="00A50F44"/>
    <w:rsid w:val="00A54702"/>
    <w:rsid w:val="00A56F66"/>
    <w:rsid w:val="00A570D9"/>
    <w:rsid w:val="00A57499"/>
    <w:rsid w:val="00A60041"/>
    <w:rsid w:val="00A639F7"/>
    <w:rsid w:val="00A64F5F"/>
    <w:rsid w:val="00A67D5D"/>
    <w:rsid w:val="00A73FE2"/>
    <w:rsid w:val="00A74B12"/>
    <w:rsid w:val="00A74C2E"/>
    <w:rsid w:val="00A76216"/>
    <w:rsid w:val="00A77490"/>
    <w:rsid w:val="00A81CD4"/>
    <w:rsid w:val="00A82A4F"/>
    <w:rsid w:val="00A82E42"/>
    <w:rsid w:val="00A85A06"/>
    <w:rsid w:val="00A8652D"/>
    <w:rsid w:val="00A866B0"/>
    <w:rsid w:val="00A8695F"/>
    <w:rsid w:val="00A87350"/>
    <w:rsid w:val="00A87790"/>
    <w:rsid w:val="00A87ABB"/>
    <w:rsid w:val="00A87D61"/>
    <w:rsid w:val="00A90B88"/>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1840"/>
    <w:rsid w:val="00AD41B9"/>
    <w:rsid w:val="00AD56DD"/>
    <w:rsid w:val="00AD6347"/>
    <w:rsid w:val="00AF529E"/>
    <w:rsid w:val="00AF64E4"/>
    <w:rsid w:val="00AF7EB1"/>
    <w:rsid w:val="00B00055"/>
    <w:rsid w:val="00B016AF"/>
    <w:rsid w:val="00B02312"/>
    <w:rsid w:val="00B036DF"/>
    <w:rsid w:val="00B0512A"/>
    <w:rsid w:val="00B06309"/>
    <w:rsid w:val="00B06465"/>
    <w:rsid w:val="00B06CB0"/>
    <w:rsid w:val="00B075B8"/>
    <w:rsid w:val="00B10945"/>
    <w:rsid w:val="00B11ABA"/>
    <w:rsid w:val="00B13FF6"/>
    <w:rsid w:val="00B157CE"/>
    <w:rsid w:val="00B16C22"/>
    <w:rsid w:val="00B173B6"/>
    <w:rsid w:val="00B20F4C"/>
    <w:rsid w:val="00B2171D"/>
    <w:rsid w:val="00B239AF"/>
    <w:rsid w:val="00B2652A"/>
    <w:rsid w:val="00B2675A"/>
    <w:rsid w:val="00B32191"/>
    <w:rsid w:val="00B32807"/>
    <w:rsid w:val="00B378CA"/>
    <w:rsid w:val="00B37EE6"/>
    <w:rsid w:val="00B42D8A"/>
    <w:rsid w:val="00B45B9F"/>
    <w:rsid w:val="00B46650"/>
    <w:rsid w:val="00B47066"/>
    <w:rsid w:val="00B509EF"/>
    <w:rsid w:val="00B50E02"/>
    <w:rsid w:val="00B60B62"/>
    <w:rsid w:val="00B60C11"/>
    <w:rsid w:val="00B6103F"/>
    <w:rsid w:val="00B65495"/>
    <w:rsid w:val="00B655CE"/>
    <w:rsid w:val="00B656AD"/>
    <w:rsid w:val="00B7727F"/>
    <w:rsid w:val="00B77E7B"/>
    <w:rsid w:val="00B80D1A"/>
    <w:rsid w:val="00B83CA5"/>
    <w:rsid w:val="00B90C54"/>
    <w:rsid w:val="00B92D68"/>
    <w:rsid w:val="00B9443E"/>
    <w:rsid w:val="00B96DC8"/>
    <w:rsid w:val="00B97803"/>
    <w:rsid w:val="00BA2DCD"/>
    <w:rsid w:val="00BA33D7"/>
    <w:rsid w:val="00BA6397"/>
    <w:rsid w:val="00BA785D"/>
    <w:rsid w:val="00BA7D11"/>
    <w:rsid w:val="00BB09DE"/>
    <w:rsid w:val="00BB3DBE"/>
    <w:rsid w:val="00BB4316"/>
    <w:rsid w:val="00BB4BB4"/>
    <w:rsid w:val="00BB503F"/>
    <w:rsid w:val="00BC0F8F"/>
    <w:rsid w:val="00BC1A00"/>
    <w:rsid w:val="00BC26E5"/>
    <w:rsid w:val="00BC3689"/>
    <w:rsid w:val="00BC37E3"/>
    <w:rsid w:val="00BC6F9F"/>
    <w:rsid w:val="00BC7024"/>
    <w:rsid w:val="00BC7F2E"/>
    <w:rsid w:val="00BD174C"/>
    <w:rsid w:val="00BD1919"/>
    <w:rsid w:val="00BD21B5"/>
    <w:rsid w:val="00BD2408"/>
    <w:rsid w:val="00BD2414"/>
    <w:rsid w:val="00BD6147"/>
    <w:rsid w:val="00BD70AB"/>
    <w:rsid w:val="00BE01A6"/>
    <w:rsid w:val="00BE1CB2"/>
    <w:rsid w:val="00BE74E6"/>
    <w:rsid w:val="00BF06A6"/>
    <w:rsid w:val="00BF0B49"/>
    <w:rsid w:val="00BF0FF8"/>
    <w:rsid w:val="00BF4BD6"/>
    <w:rsid w:val="00BF50EF"/>
    <w:rsid w:val="00C02128"/>
    <w:rsid w:val="00C064F5"/>
    <w:rsid w:val="00C129DD"/>
    <w:rsid w:val="00C12CC6"/>
    <w:rsid w:val="00C17569"/>
    <w:rsid w:val="00C2128F"/>
    <w:rsid w:val="00C218F4"/>
    <w:rsid w:val="00C24020"/>
    <w:rsid w:val="00C25FAC"/>
    <w:rsid w:val="00C269B4"/>
    <w:rsid w:val="00C26CE2"/>
    <w:rsid w:val="00C26D8D"/>
    <w:rsid w:val="00C279B3"/>
    <w:rsid w:val="00C30CE2"/>
    <w:rsid w:val="00C33866"/>
    <w:rsid w:val="00C346F6"/>
    <w:rsid w:val="00C358B9"/>
    <w:rsid w:val="00C41BDB"/>
    <w:rsid w:val="00C4432E"/>
    <w:rsid w:val="00C45099"/>
    <w:rsid w:val="00C451BC"/>
    <w:rsid w:val="00C46639"/>
    <w:rsid w:val="00C46651"/>
    <w:rsid w:val="00C542B5"/>
    <w:rsid w:val="00C553EE"/>
    <w:rsid w:val="00C57670"/>
    <w:rsid w:val="00C61DEB"/>
    <w:rsid w:val="00C7215F"/>
    <w:rsid w:val="00C73988"/>
    <w:rsid w:val="00C7455F"/>
    <w:rsid w:val="00C75819"/>
    <w:rsid w:val="00C8162D"/>
    <w:rsid w:val="00C86012"/>
    <w:rsid w:val="00C86900"/>
    <w:rsid w:val="00C92763"/>
    <w:rsid w:val="00C940F5"/>
    <w:rsid w:val="00C94623"/>
    <w:rsid w:val="00C952EC"/>
    <w:rsid w:val="00C964B9"/>
    <w:rsid w:val="00C966EF"/>
    <w:rsid w:val="00C979D8"/>
    <w:rsid w:val="00C97E83"/>
    <w:rsid w:val="00CA0FEB"/>
    <w:rsid w:val="00CA1299"/>
    <w:rsid w:val="00CA1EC1"/>
    <w:rsid w:val="00CA3C07"/>
    <w:rsid w:val="00CA54E2"/>
    <w:rsid w:val="00CB03C4"/>
    <w:rsid w:val="00CB0513"/>
    <w:rsid w:val="00CB0F68"/>
    <w:rsid w:val="00CB2852"/>
    <w:rsid w:val="00CB2952"/>
    <w:rsid w:val="00CB7E77"/>
    <w:rsid w:val="00CC1EFA"/>
    <w:rsid w:val="00CC4911"/>
    <w:rsid w:val="00CC4BB5"/>
    <w:rsid w:val="00CC610C"/>
    <w:rsid w:val="00CD400A"/>
    <w:rsid w:val="00CD48FD"/>
    <w:rsid w:val="00CD7415"/>
    <w:rsid w:val="00CE0C6E"/>
    <w:rsid w:val="00CE616A"/>
    <w:rsid w:val="00CE6770"/>
    <w:rsid w:val="00CE6F1F"/>
    <w:rsid w:val="00CE79F0"/>
    <w:rsid w:val="00CF0329"/>
    <w:rsid w:val="00CF0C55"/>
    <w:rsid w:val="00CF2682"/>
    <w:rsid w:val="00CF5A83"/>
    <w:rsid w:val="00D01ABC"/>
    <w:rsid w:val="00D027BC"/>
    <w:rsid w:val="00D0465F"/>
    <w:rsid w:val="00D05FFA"/>
    <w:rsid w:val="00D06FC1"/>
    <w:rsid w:val="00D13BD1"/>
    <w:rsid w:val="00D1611B"/>
    <w:rsid w:val="00D16A57"/>
    <w:rsid w:val="00D16AE6"/>
    <w:rsid w:val="00D23414"/>
    <w:rsid w:val="00D247EA"/>
    <w:rsid w:val="00D334C8"/>
    <w:rsid w:val="00D448D1"/>
    <w:rsid w:val="00D44B68"/>
    <w:rsid w:val="00D453ED"/>
    <w:rsid w:val="00D45C09"/>
    <w:rsid w:val="00D4626C"/>
    <w:rsid w:val="00D50B35"/>
    <w:rsid w:val="00D51E60"/>
    <w:rsid w:val="00D52BDB"/>
    <w:rsid w:val="00D52FA4"/>
    <w:rsid w:val="00D531F1"/>
    <w:rsid w:val="00D62667"/>
    <w:rsid w:val="00D72F0A"/>
    <w:rsid w:val="00D73E50"/>
    <w:rsid w:val="00D7501A"/>
    <w:rsid w:val="00D75868"/>
    <w:rsid w:val="00D77377"/>
    <w:rsid w:val="00D80297"/>
    <w:rsid w:val="00D80A24"/>
    <w:rsid w:val="00D82D95"/>
    <w:rsid w:val="00D839BF"/>
    <w:rsid w:val="00D847CF"/>
    <w:rsid w:val="00D84D48"/>
    <w:rsid w:val="00D854A8"/>
    <w:rsid w:val="00D86BD1"/>
    <w:rsid w:val="00D92327"/>
    <w:rsid w:val="00D92CFA"/>
    <w:rsid w:val="00D940C8"/>
    <w:rsid w:val="00D94DDB"/>
    <w:rsid w:val="00D9529C"/>
    <w:rsid w:val="00D96923"/>
    <w:rsid w:val="00DA1084"/>
    <w:rsid w:val="00DA4197"/>
    <w:rsid w:val="00DA551C"/>
    <w:rsid w:val="00DA6CD3"/>
    <w:rsid w:val="00DA7A30"/>
    <w:rsid w:val="00DB1D08"/>
    <w:rsid w:val="00DB3026"/>
    <w:rsid w:val="00DB4BC1"/>
    <w:rsid w:val="00DB4BEA"/>
    <w:rsid w:val="00DB5A64"/>
    <w:rsid w:val="00DB5D7E"/>
    <w:rsid w:val="00DC4346"/>
    <w:rsid w:val="00DC5A14"/>
    <w:rsid w:val="00DC651A"/>
    <w:rsid w:val="00DC6992"/>
    <w:rsid w:val="00DD30B0"/>
    <w:rsid w:val="00DD53B5"/>
    <w:rsid w:val="00DE1607"/>
    <w:rsid w:val="00DE7EDA"/>
    <w:rsid w:val="00DF0E9C"/>
    <w:rsid w:val="00DF41F8"/>
    <w:rsid w:val="00DF74C7"/>
    <w:rsid w:val="00E052BD"/>
    <w:rsid w:val="00E11DE1"/>
    <w:rsid w:val="00E16FD3"/>
    <w:rsid w:val="00E17224"/>
    <w:rsid w:val="00E3089A"/>
    <w:rsid w:val="00E33BBE"/>
    <w:rsid w:val="00E35189"/>
    <w:rsid w:val="00E40CE5"/>
    <w:rsid w:val="00E40DFE"/>
    <w:rsid w:val="00E4462D"/>
    <w:rsid w:val="00E45DB7"/>
    <w:rsid w:val="00E47137"/>
    <w:rsid w:val="00E51119"/>
    <w:rsid w:val="00E51EF7"/>
    <w:rsid w:val="00E52646"/>
    <w:rsid w:val="00E55738"/>
    <w:rsid w:val="00E55BBB"/>
    <w:rsid w:val="00E60E97"/>
    <w:rsid w:val="00E62621"/>
    <w:rsid w:val="00E67538"/>
    <w:rsid w:val="00E72F46"/>
    <w:rsid w:val="00E73258"/>
    <w:rsid w:val="00E73A1F"/>
    <w:rsid w:val="00E73D3B"/>
    <w:rsid w:val="00E740EC"/>
    <w:rsid w:val="00E742F8"/>
    <w:rsid w:val="00E7624F"/>
    <w:rsid w:val="00E7707E"/>
    <w:rsid w:val="00E8069F"/>
    <w:rsid w:val="00E8343F"/>
    <w:rsid w:val="00E84AC7"/>
    <w:rsid w:val="00E854F6"/>
    <w:rsid w:val="00E8599C"/>
    <w:rsid w:val="00E85BE4"/>
    <w:rsid w:val="00E85DB2"/>
    <w:rsid w:val="00E9195E"/>
    <w:rsid w:val="00E9386C"/>
    <w:rsid w:val="00E9615A"/>
    <w:rsid w:val="00E97BC6"/>
    <w:rsid w:val="00EA2B80"/>
    <w:rsid w:val="00EA7203"/>
    <w:rsid w:val="00EA7509"/>
    <w:rsid w:val="00EA7551"/>
    <w:rsid w:val="00EA7842"/>
    <w:rsid w:val="00EB0264"/>
    <w:rsid w:val="00EB4D10"/>
    <w:rsid w:val="00EC0FE5"/>
    <w:rsid w:val="00EC4EA0"/>
    <w:rsid w:val="00EC60EE"/>
    <w:rsid w:val="00EC6C6C"/>
    <w:rsid w:val="00EC75F4"/>
    <w:rsid w:val="00ED3C32"/>
    <w:rsid w:val="00ED4541"/>
    <w:rsid w:val="00ED4F94"/>
    <w:rsid w:val="00ED5FFB"/>
    <w:rsid w:val="00EE051E"/>
    <w:rsid w:val="00EE2FDB"/>
    <w:rsid w:val="00EE4182"/>
    <w:rsid w:val="00EE426E"/>
    <w:rsid w:val="00EE4530"/>
    <w:rsid w:val="00EE5572"/>
    <w:rsid w:val="00EF08DC"/>
    <w:rsid w:val="00EF242A"/>
    <w:rsid w:val="00EF246A"/>
    <w:rsid w:val="00EF2798"/>
    <w:rsid w:val="00EF63C0"/>
    <w:rsid w:val="00EF7362"/>
    <w:rsid w:val="00F01653"/>
    <w:rsid w:val="00F025D5"/>
    <w:rsid w:val="00F046A3"/>
    <w:rsid w:val="00F05568"/>
    <w:rsid w:val="00F05859"/>
    <w:rsid w:val="00F069DD"/>
    <w:rsid w:val="00F1439C"/>
    <w:rsid w:val="00F15066"/>
    <w:rsid w:val="00F16CD1"/>
    <w:rsid w:val="00F17243"/>
    <w:rsid w:val="00F1767A"/>
    <w:rsid w:val="00F21395"/>
    <w:rsid w:val="00F30BC3"/>
    <w:rsid w:val="00F30FCA"/>
    <w:rsid w:val="00F3190D"/>
    <w:rsid w:val="00F36C14"/>
    <w:rsid w:val="00F3767B"/>
    <w:rsid w:val="00F42D6D"/>
    <w:rsid w:val="00F42FCE"/>
    <w:rsid w:val="00F437B7"/>
    <w:rsid w:val="00F45D36"/>
    <w:rsid w:val="00F51518"/>
    <w:rsid w:val="00F51CDA"/>
    <w:rsid w:val="00F61EE8"/>
    <w:rsid w:val="00F61F60"/>
    <w:rsid w:val="00F646CB"/>
    <w:rsid w:val="00F70097"/>
    <w:rsid w:val="00F72E56"/>
    <w:rsid w:val="00F80179"/>
    <w:rsid w:val="00F81782"/>
    <w:rsid w:val="00F83D76"/>
    <w:rsid w:val="00F83F87"/>
    <w:rsid w:val="00F85C03"/>
    <w:rsid w:val="00F87829"/>
    <w:rsid w:val="00F95DAF"/>
    <w:rsid w:val="00FA29B7"/>
    <w:rsid w:val="00FA2A42"/>
    <w:rsid w:val="00FB1026"/>
    <w:rsid w:val="00FB1BEF"/>
    <w:rsid w:val="00FB31FC"/>
    <w:rsid w:val="00FC0FAD"/>
    <w:rsid w:val="00FC1831"/>
    <w:rsid w:val="00FC41EF"/>
    <w:rsid w:val="00FD18BB"/>
    <w:rsid w:val="00FD3D9D"/>
    <w:rsid w:val="00FD479D"/>
    <w:rsid w:val="00FD4B26"/>
    <w:rsid w:val="00FD4B63"/>
    <w:rsid w:val="00FD5225"/>
    <w:rsid w:val="00FD6FC8"/>
    <w:rsid w:val="00FE0E81"/>
    <w:rsid w:val="00FE369E"/>
    <w:rsid w:val="00FE6F6A"/>
    <w:rsid w:val="00FE753A"/>
    <w:rsid w:val="00FE7A49"/>
    <w:rsid w:val="00FF117B"/>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character" w:customStyle="1" w:styleId="FootnoteTextChar">
    <w:name w:val="Footnote Text Char"/>
    <w:basedOn w:val="DefaultParagraphFont"/>
    <w:link w:val="FootnoteText"/>
    <w:uiPriority w:val="99"/>
    <w:semiHidden/>
    <w:rsid w:val="003C566D"/>
  </w:style>
  <w:style w:type="paragraph" w:styleId="BodyText">
    <w:name w:val="Body Text"/>
    <w:basedOn w:val="Normal"/>
    <w:link w:val="BodyTextChar"/>
    <w:rsid w:val="0003391C"/>
    <w:pPr>
      <w:jc w:val="both"/>
    </w:pPr>
    <w:rPr>
      <w:rFonts w:ascii="Arial" w:hAnsi="Arial"/>
      <w:szCs w:val="20"/>
    </w:rPr>
  </w:style>
  <w:style w:type="character" w:customStyle="1" w:styleId="BodyTextChar">
    <w:name w:val="Body Text Char"/>
    <w:basedOn w:val="DefaultParagraphFont"/>
    <w:link w:val="BodyText"/>
    <w:rsid w:val="0003391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character" w:customStyle="1" w:styleId="FootnoteTextChar">
    <w:name w:val="Footnote Text Char"/>
    <w:basedOn w:val="DefaultParagraphFont"/>
    <w:link w:val="FootnoteText"/>
    <w:uiPriority w:val="99"/>
    <w:semiHidden/>
    <w:rsid w:val="003C566D"/>
  </w:style>
  <w:style w:type="paragraph" w:styleId="BodyText">
    <w:name w:val="Body Text"/>
    <w:basedOn w:val="Normal"/>
    <w:link w:val="BodyTextChar"/>
    <w:rsid w:val="0003391C"/>
    <w:pPr>
      <w:jc w:val="both"/>
    </w:pPr>
    <w:rPr>
      <w:rFonts w:ascii="Arial" w:hAnsi="Arial"/>
      <w:szCs w:val="20"/>
    </w:rPr>
  </w:style>
  <w:style w:type="character" w:customStyle="1" w:styleId="BodyTextChar">
    <w:name w:val="Body Text Char"/>
    <w:basedOn w:val="DefaultParagraphFont"/>
    <w:link w:val="BodyText"/>
    <w:rsid w:val="0003391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cusa@electralink.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dcusa.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2014-06-08T09:37:23+00:00</DateLastActivated1>
    <Commitees xmlns="c7312139-f4c2-453d-a4c8-c631b6303d87">
      <Value>117</Value>
      <Value>117</Value>
    </Commitees>
    <DocNotes xmlns="c7312139-f4c2-453d-a4c8-c631b6303d87" xsi:nil="true"/>
    <Activities xmlns="c7312139-f4c2-453d-a4c8-c631b6303d87">
      <Value>1122</Value>
    </Activities>
    <Issues xmlns="c7312139-f4c2-453d-a4c8-c631b6303d87"/>
    <PublishDate xmlns="c7312139-f4c2-453d-a4c8-c631b6303d87">2013-05-22T23:00:00+00:00</PublishDate>
    <ChangeProposal1 xmlns="c7312139-f4c2-453d-a4c8-c631b6303d87"/>
    <Confidential1 xmlns="c7312139-f4c2-453d-a4c8-c631b6303d87">false</Confidential1>
    <DocType xmlns="c7312139-f4c2-453d-a4c8-c631b6303d87">3</DocType>
    <Restricted xmlns="830862f3-40c2-43d5-9778-1909aaa95bc7">true</Restricted>
    <DateLastDeactivated1 xmlns="c7312139-f4c2-453d-a4c8-c631b6303d87" xsi:nil="true"/>
    <DocVersion xmlns="c7312139-f4c2-453d-a4c8-c631b6303d87">0.1</DocVersion>
    <Archived xmlns="c7312139-f4c2-453d-a4c8-c631b6303d87">false</Archived>
    <SQLID xmlns="c7312139-f4c2-453d-a4c8-c631b6303d87">7355</SQLID>
    <_dlc_DocIdUrl xmlns="c7312139-f4c2-453d-a4c8-c631b6303d87">
      <Url>/_layouts/15/DocIdRedir.aspx</Url>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97F69-1016-4F1B-B463-C1045B1F51AE}"/>
</file>

<file path=customXml/itemProps2.xml><?xml version="1.0" encoding="utf-8"?>
<ds:datastoreItem xmlns:ds="http://schemas.openxmlformats.org/officeDocument/2006/customXml" ds:itemID="{AC0D073F-D3E0-4729-9400-088969C3070E}"/>
</file>

<file path=customXml/itemProps3.xml><?xml version="1.0" encoding="utf-8"?>
<ds:datastoreItem xmlns:ds="http://schemas.openxmlformats.org/officeDocument/2006/customXml" ds:itemID="{7F7CC063-DB4D-43E6-A52B-A8CCDF8A1B77}"/>
</file>

<file path=customXml/itemProps4.xml><?xml version="1.0" encoding="utf-8"?>
<ds:datastoreItem xmlns:ds="http://schemas.openxmlformats.org/officeDocument/2006/customXml" ds:itemID="{F6D2270B-0FB4-40D5-B099-51276243B798}"/>
</file>

<file path=docProps/app.xml><?xml version="1.0" encoding="utf-8"?>
<Properties xmlns="http://schemas.openxmlformats.org/officeDocument/2006/extended-properties" xmlns:vt="http://schemas.openxmlformats.org/officeDocument/2006/docPropsVTypes">
  <Template>Normal</Template>
  <TotalTime>112</TotalTime>
  <Pages>16</Pages>
  <Words>3822</Words>
  <Characters>19332</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23108</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164 Draft Change Report</dc:title>
  <dc:creator>burforda</dc:creator>
  <cp:lastModifiedBy>Working Group Comment</cp:lastModifiedBy>
  <cp:revision>53</cp:revision>
  <cp:lastPrinted>2011-01-31T15:08:00Z</cp:lastPrinted>
  <dcterms:created xsi:type="dcterms:W3CDTF">2013-05-20T14:49:00Z</dcterms:created>
  <dcterms:modified xsi:type="dcterms:W3CDTF">2013-05-23T14:52:00Z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