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098" w:rsidRDefault="00625123" w:rsidP="00435098">
      <w:pPr>
        <w:ind w:hanging="851"/>
        <w:rPr>
          <w:noProof/>
          <w:lang w:val="en-US"/>
        </w:rPr>
      </w:pPr>
      <w:r>
        <w:rPr>
          <w:noProof/>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2650490" cy="856615"/>
            <wp:effectExtent l="0" t="0" r="0" b="635"/>
            <wp:wrapSquare wrapText="bothSides"/>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0490" cy="856615"/>
                    </a:xfrm>
                    <a:prstGeom prst="rect">
                      <a:avLst/>
                    </a:prstGeom>
                    <a:noFill/>
                    <a:ln>
                      <a:noFill/>
                    </a:ln>
                  </pic:spPr>
                </pic:pic>
              </a:graphicData>
            </a:graphic>
          </wp:anchor>
        </w:drawing>
      </w:r>
      <w:r w:rsidR="00F76F5F">
        <w:rPr>
          <w:noProof/>
          <w:lang w:val="en-US"/>
        </w:rPr>
        <w:br w:type="textWrapping" w:clear="all"/>
      </w:r>
    </w:p>
    <w:p w:rsidR="00435098" w:rsidRDefault="00435098">
      <w:pPr>
        <w:rPr>
          <w:noProof/>
          <w:lang w:val="en-US"/>
        </w:rPr>
      </w:pPr>
    </w:p>
    <w:p w:rsidR="00435098" w:rsidRDefault="00435098">
      <w:pPr>
        <w:rPr>
          <w:noProof/>
          <w:lang w:val="en-US"/>
        </w:rPr>
      </w:pPr>
    </w:p>
    <w:p w:rsidR="00612C60" w:rsidRDefault="00612C60"/>
    <w:p w:rsidR="00594568" w:rsidRDefault="00594568" w:rsidP="00594568">
      <w:pPr>
        <w:pStyle w:val="Header"/>
      </w:pPr>
    </w:p>
    <w:p w:rsidR="00594568" w:rsidRDefault="00594568" w:rsidP="00594568">
      <w:pPr>
        <w:pStyle w:val="Header"/>
      </w:pPr>
    </w:p>
    <w:p w:rsidR="00594568" w:rsidRDefault="00412E13" w:rsidP="00594568">
      <w:pPr>
        <w:pStyle w:val="Header"/>
      </w:pPr>
      <w:r>
        <w:rPr>
          <w:noProof/>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0</wp:posOffset>
                </wp:positionV>
                <wp:extent cx="5218430" cy="1533525"/>
                <wp:effectExtent l="0" t="0" r="20320" b="2857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8430" cy="1533525"/>
                        </a:xfrm>
                        <a:prstGeom prst="rect">
                          <a:avLst/>
                        </a:prstGeom>
                        <a:solidFill>
                          <a:srgbClr val="FFFFFF"/>
                        </a:solidFill>
                        <a:ln w="9525">
                          <a:solidFill>
                            <a:srgbClr val="000000"/>
                          </a:solidFill>
                          <a:miter lim="800000"/>
                          <a:headEnd/>
                          <a:tailEnd/>
                        </a:ln>
                      </wps:spPr>
                      <wps:txbx>
                        <w:txbxContent>
                          <w:p w:rsidR="001A4C04" w:rsidRPr="00F76F5F" w:rsidRDefault="001A4C04" w:rsidP="00594568">
                            <w:pPr>
                              <w:rPr>
                                <w:rFonts w:asciiTheme="minorHAnsi" w:hAnsiTheme="minorHAnsi"/>
                                <w:b/>
                                <w:sz w:val="44"/>
                                <w:szCs w:val="44"/>
                              </w:rPr>
                            </w:pPr>
                            <w:r w:rsidRPr="00F76F5F">
                              <w:rPr>
                                <w:rFonts w:asciiTheme="minorHAnsi" w:hAnsiTheme="minorHAnsi"/>
                                <w:b/>
                                <w:sz w:val="44"/>
                                <w:szCs w:val="44"/>
                              </w:rPr>
                              <w:t>DCUSA CONSULTATION</w:t>
                            </w:r>
                            <w:r w:rsidR="00CE3151" w:rsidRPr="00F76F5F">
                              <w:rPr>
                                <w:rFonts w:asciiTheme="minorHAnsi" w:hAnsiTheme="minorHAnsi"/>
                                <w:b/>
                                <w:sz w:val="44"/>
                                <w:szCs w:val="44"/>
                              </w:rPr>
                              <w:t xml:space="preserve"> TWO</w:t>
                            </w:r>
                          </w:p>
                          <w:p w:rsidR="001A4C04" w:rsidRPr="00F76F5F" w:rsidRDefault="001A4C04" w:rsidP="00594568">
                            <w:pPr>
                              <w:rPr>
                                <w:rFonts w:asciiTheme="minorHAnsi" w:hAnsiTheme="minorHAnsi"/>
                                <w:sz w:val="44"/>
                                <w:szCs w:val="44"/>
                              </w:rPr>
                            </w:pPr>
                          </w:p>
                          <w:p w:rsidR="001A4C04" w:rsidRPr="00F76F5F" w:rsidRDefault="001A4C04" w:rsidP="00E45DBB">
                            <w:pPr>
                              <w:ind w:left="2127" w:hanging="2127"/>
                              <w:rPr>
                                <w:rFonts w:asciiTheme="minorHAnsi" w:hAnsiTheme="minorHAnsi"/>
                                <w:b/>
                                <w:sz w:val="44"/>
                                <w:szCs w:val="44"/>
                              </w:rPr>
                            </w:pPr>
                            <w:r w:rsidRPr="00F76F5F">
                              <w:rPr>
                                <w:rFonts w:asciiTheme="minorHAnsi" w:hAnsiTheme="minorHAnsi"/>
                                <w:b/>
                                <w:sz w:val="44"/>
                                <w:szCs w:val="44"/>
                              </w:rPr>
                              <w:t>DCP 1</w:t>
                            </w:r>
                            <w:r w:rsidR="005B3F5F">
                              <w:rPr>
                                <w:rFonts w:asciiTheme="minorHAnsi" w:hAnsiTheme="minorHAnsi"/>
                                <w:b/>
                                <w:sz w:val="44"/>
                                <w:szCs w:val="44"/>
                              </w:rPr>
                              <w:t>60</w:t>
                            </w:r>
                            <w:r w:rsidRPr="00F76F5F">
                              <w:rPr>
                                <w:rFonts w:asciiTheme="minorHAnsi" w:hAnsiTheme="minorHAnsi"/>
                                <w:b/>
                                <w:sz w:val="44"/>
                                <w:szCs w:val="44"/>
                              </w:rPr>
                              <w:t xml:space="preserve"> - </w:t>
                            </w:r>
                            <w:r w:rsidR="005B3F5F" w:rsidRPr="005B3F5F">
                              <w:rPr>
                                <w:rFonts w:asciiTheme="minorHAnsi" w:hAnsiTheme="minorHAnsi"/>
                                <w:b/>
                                <w:sz w:val="44"/>
                                <w:szCs w:val="44"/>
                              </w:rPr>
                              <w:t>Non-Half Hourly (NHH) Notional Capacity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0;margin-top:0;width:410.9pt;height:120.7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">
                <v:textbox>
                  <w:txbxContent>
                    <w:p w:rsidR="001A4C04" w:rsidRPr="00F76F5F" w:rsidRDefault="001A4C04" w:rsidP="00594568">
                      <w:pPr>
                        <w:rPr>
                          <w:rFonts w:asciiTheme="minorHAnsi" w:hAnsiTheme="minorHAnsi"/>
                          <w:b/>
                          <w:sz w:val="44"/>
                          <w:szCs w:val="44"/>
                        </w:rPr>
                      </w:pPr>
                      <w:r w:rsidRPr="00F76F5F">
                        <w:rPr>
                          <w:rFonts w:asciiTheme="minorHAnsi" w:hAnsiTheme="minorHAnsi"/>
                          <w:b/>
                          <w:sz w:val="44"/>
                          <w:szCs w:val="44"/>
                        </w:rPr>
                        <w:t>DCUSA CONSULTATION</w:t>
                      </w:r>
                      <w:r w:rsidR="00CE3151" w:rsidRPr="00F76F5F">
                        <w:rPr>
                          <w:rFonts w:asciiTheme="minorHAnsi" w:hAnsiTheme="minorHAnsi"/>
                          <w:b/>
                          <w:sz w:val="44"/>
                          <w:szCs w:val="44"/>
                        </w:rPr>
                        <w:t xml:space="preserve"> TWO</w:t>
                      </w:r>
                    </w:p>
                    <w:p w:rsidR="001A4C04" w:rsidRPr="00F76F5F" w:rsidRDefault="001A4C04" w:rsidP="00594568">
                      <w:pPr>
                        <w:rPr>
                          <w:rFonts w:asciiTheme="minorHAnsi" w:hAnsiTheme="minorHAnsi"/>
                          <w:sz w:val="44"/>
                          <w:szCs w:val="44"/>
                        </w:rPr>
                      </w:pPr>
                    </w:p>
                    <w:p w:rsidR="001A4C04" w:rsidRPr="00F76F5F" w:rsidRDefault="001A4C04" w:rsidP="00E45DBB">
                      <w:pPr>
                        <w:ind w:left="2127" w:hanging="2127"/>
                        <w:rPr>
                          <w:rFonts w:asciiTheme="minorHAnsi" w:hAnsiTheme="minorHAnsi"/>
                          <w:b/>
                          <w:sz w:val="44"/>
                          <w:szCs w:val="44"/>
                        </w:rPr>
                      </w:pPr>
                      <w:r w:rsidRPr="00F76F5F">
                        <w:rPr>
                          <w:rFonts w:asciiTheme="minorHAnsi" w:hAnsiTheme="minorHAnsi"/>
                          <w:b/>
                          <w:sz w:val="44"/>
                          <w:szCs w:val="44"/>
                        </w:rPr>
                        <w:t>DCP 1</w:t>
                      </w:r>
                      <w:r w:rsidR="005B3F5F">
                        <w:rPr>
                          <w:rFonts w:asciiTheme="minorHAnsi" w:hAnsiTheme="minorHAnsi"/>
                          <w:b/>
                          <w:sz w:val="44"/>
                          <w:szCs w:val="44"/>
                        </w:rPr>
                        <w:t>60</w:t>
                      </w:r>
                      <w:r w:rsidRPr="00F76F5F">
                        <w:rPr>
                          <w:rFonts w:asciiTheme="minorHAnsi" w:hAnsiTheme="minorHAnsi"/>
                          <w:b/>
                          <w:sz w:val="44"/>
                          <w:szCs w:val="44"/>
                        </w:rPr>
                        <w:t xml:space="preserve"> - </w:t>
                      </w:r>
                      <w:r w:rsidR="005B3F5F" w:rsidRPr="005B3F5F">
                        <w:rPr>
                          <w:rFonts w:asciiTheme="minorHAnsi" w:hAnsiTheme="minorHAnsi"/>
                          <w:b/>
                          <w:sz w:val="44"/>
                          <w:szCs w:val="44"/>
                        </w:rPr>
                        <w:t>Non-Half Hourly (NHH) Notional Capacity</w:t>
                      </w:r>
                    </w:p>
                  </w:txbxContent>
                </v:textbox>
              </v:shape>
            </w:pict>
          </mc:Fallback>
        </mc:AlternateContent>
      </w:r>
    </w:p>
    <w:p w:rsidR="00594568" w:rsidRDefault="00594568"/>
    <w:p w:rsidR="00594568" w:rsidRDefault="00594568"/>
    <w:p w:rsidR="00594568" w:rsidRDefault="00594568"/>
    <w:p w:rsidR="00594568" w:rsidRDefault="00594568"/>
    <w:p w:rsidR="00594568" w:rsidRDefault="00594568"/>
    <w:p w:rsidR="00594568" w:rsidRDefault="00594568"/>
    <w:p w:rsidR="00594568" w:rsidRDefault="00594568"/>
    <w:p w:rsidR="00594568" w:rsidRDefault="00594568"/>
    <w:p w:rsidR="00594568" w:rsidRDefault="00594568"/>
    <w:p w:rsidR="00594568" w:rsidRDefault="00E45DBB" w:rsidP="00E45DBB">
      <w:pPr>
        <w:tabs>
          <w:tab w:val="left" w:pos="1935"/>
        </w:tabs>
      </w:pPr>
      <w:r>
        <w:tab/>
      </w:r>
    </w:p>
    <w:p w:rsidR="00594568" w:rsidRDefault="00594568"/>
    <w:p w:rsidR="00594568" w:rsidRDefault="00594568"/>
    <w:p w:rsidR="00594568" w:rsidRDefault="00412E13">
      <w:r>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0</wp:posOffset>
                </wp:positionV>
                <wp:extent cx="5172710" cy="1076325"/>
                <wp:effectExtent l="0" t="0" r="27940" b="2857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710" cy="1076325"/>
                        </a:xfrm>
                        <a:prstGeom prst="rect">
                          <a:avLst/>
                        </a:prstGeom>
                        <a:solidFill>
                          <a:srgbClr val="FFFFFF"/>
                        </a:solidFill>
                        <a:ln w="9525">
                          <a:solidFill>
                            <a:srgbClr val="000000"/>
                          </a:solidFill>
                          <a:miter lim="800000"/>
                          <a:headEnd/>
                          <a:tailEnd/>
                        </a:ln>
                      </wps:spPr>
                      <wps:txbx>
                        <w:txbxContent>
                          <w:p w:rsidR="001A4C04" w:rsidRPr="00F76F5F" w:rsidRDefault="005B3F5F" w:rsidP="005B3F5F">
                            <w:pPr>
                              <w:rPr>
                                <w:rFonts w:asciiTheme="minorHAnsi" w:hAnsiTheme="minorHAnsi" w:cs="Arial"/>
                                <w:bCs/>
                                <w:iCs/>
                                <w:sz w:val="22"/>
                              </w:rPr>
                            </w:pPr>
                            <w:r>
                              <w:rPr>
                                <w:rFonts w:asciiTheme="minorHAnsi" w:hAnsiTheme="minorHAnsi"/>
                                <w:sz w:val="22"/>
                              </w:rPr>
                              <w:t>DCP 160 was raised by UK</w:t>
                            </w:r>
                            <w:r w:rsidR="001A4C04" w:rsidRPr="00F76F5F">
                              <w:rPr>
                                <w:rFonts w:asciiTheme="minorHAnsi" w:hAnsiTheme="minorHAnsi"/>
                                <w:sz w:val="22"/>
                              </w:rPr>
                              <w:t xml:space="preserve"> Power Networks an</w:t>
                            </w:r>
                            <w:r w:rsidR="00FD47AA">
                              <w:rPr>
                                <w:rFonts w:asciiTheme="minorHAnsi" w:hAnsiTheme="minorHAnsi"/>
                                <w:sz w:val="22"/>
                              </w:rPr>
                              <w:t xml:space="preserve">d seeks </w:t>
                            </w:r>
                            <w:r>
                              <w:rPr>
                                <w:rFonts w:ascii="Verdana" w:hAnsi="Verdana"/>
                                <w:sz w:val="20"/>
                                <w:szCs w:val="20"/>
                              </w:rPr>
                              <w:t xml:space="preserve">to revise Schedule 16 (along with appropriate CDCM and ARP Modelling changes) to introduce a notional spare capacity requirement to be applied to the average maximum demand when calculating NHH tariffs.  The notional spare capacity should align with the same proportions which are calculated and allocated to Half Hourly (HH) tariffs. </w:t>
                            </w:r>
                            <w:r w:rsidR="001A4C04" w:rsidRPr="00F76F5F">
                              <w:rPr>
                                <w:rFonts w:asciiTheme="minorHAnsi" w:hAnsiTheme="minorHAnsi"/>
                                <w:sz w:val="22"/>
                              </w:rPr>
                              <w:t xml:space="preserve"> </w:t>
                            </w:r>
                          </w:p>
                          <w:p w:rsidR="001A4C04" w:rsidRDefault="001A4C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margin-left:0;margin-top:0;width:407.3pt;height:84.7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">
                <v:textbox>
                  <w:txbxContent>
                    <w:p w:rsidR="001A4C04" w:rsidRPr="00F76F5F" w:rsidRDefault="005B3F5F" w:rsidP="005B3F5F">
                      <w:pPr>
                        <w:rPr>
                          <w:rFonts w:asciiTheme="minorHAnsi" w:hAnsiTheme="minorHAnsi" w:cs="Arial"/>
                          <w:bCs/>
                          <w:iCs/>
                          <w:sz w:val="22"/>
                        </w:rPr>
                      </w:pPr>
                      <w:r>
                        <w:rPr>
                          <w:rFonts w:asciiTheme="minorHAnsi" w:hAnsiTheme="minorHAnsi"/>
                          <w:sz w:val="22"/>
                        </w:rPr>
                        <w:t>DCP 160 was raised by UK</w:t>
                      </w:r>
                      <w:r w:rsidR="001A4C04" w:rsidRPr="00F76F5F">
                        <w:rPr>
                          <w:rFonts w:asciiTheme="minorHAnsi" w:hAnsiTheme="minorHAnsi"/>
                          <w:sz w:val="22"/>
                        </w:rPr>
                        <w:t xml:space="preserve"> Power Networks an</w:t>
                      </w:r>
                      <w:r w:rsidR="00FD47AA">
                        <w:rPr>
                          <w:rFonts w:asciiTheme="minorHAnsi" w:hAnsiTheme="minorHAnsi"/>
                          <w:sz w:val="22"/>
                        </w:rPr>
                        <w:t xml:space="preserve">d seeks </w:t>
                      </w:r>
                      <w:r>
                        <w:rPr>
                          <w:rFonts w:ascii="Verdana" w:hAnsi="Verdana"/>
                          <w:sz w:val="20"/>
                          <w:szCs w:val="20"/>
                        </w:rPr>
                        <w:t xml:space="preserve">to revise Schedule 16 (along with appropriate CDCM and ARP Modelling changes) to introduce a notional spare capacity requirement to be applied to the average maximum demand when calculating NHH tariffs.  The notional spare capacity should align with the same proportions which are calculated and allocated to Half Hourly (HH) tariffs. </w:t>
                      </w:r>
                      <w:r w:rsidR="001A4C04" w:rsidRPr="00F76F5F">
                        <w:rPr>
                          <w:rFonts w:asciiTheme="minorHAnsi" w:hAnsiTheme="minorHAnsi"/>
                          <w:sz w:val="22"/>
                        </w:rPr>
                        <w:t xml:space="preserve"> </w:t>
                      </w:r>
                    </w:p>
                    <w:p w:rsidR="001A4C04" w:rsidRDefault="001A4C04"/>
                  </w:txbxContent>
                </v:textbox>
              </v:shape>
            </w:pict>
          </mc:Fallback>
        </mc:AlternateContent>
      </w:r>
    </w:p>
    <w:p w:rsidR="00594568" w:rsidRDefault="00594568"/>
    <w:p w:rsidR="00594568" w:rsidRDefault="00594568"/>
    <w:p w:rsidR="00594568" w:rsidRDefault="00594568"/>
    <w:p w:rsidR="00594568" w:rsidRDefault="00594568"/>
    <w:p w:rsidR="00E8599C" w:rsidRPr="00F76F5F" w:rsidRDefault="00E8599C" w:rsidP="00224683">
      <w:pPr>
        <w:pStyle w:val="Heading1"/>
        <w:spacing w:line="360" w:lineRule="auto"/>
        <w:rPr>
          <w:rFonts w:asciiTheme="minorHAnsi" w:hAnsiTheme="minorHAnsi"/>
          <w:b/>
          <w:caps/>
          <w:sz w:val="22"/>
          <w:szCs w:val="22"/>
        </w:rPr>
      </w:pPr>
      <w:r w:rsidRPr="00F76F5F">
        <w:rPr>
          <w:rFonts w:asciiTheme="minorHAnsi" w:hAnsiTheme="minorHAnsi"/>
          <w:b/>
          <w:caps/>
          <w:sz w:val="22"/>
          <w:szCs w:val="22"/>
        </w:rPr>
        <w:lastRenderedPageBreak/>
        <w:t>PURPOSE</w:t>
      </w:r>
    </w:p>
    <w:p w:rsidR="00E8599C" w:rsidRPr="00F76F5F" w:rsidRDefault="00E8599C" w:rsidP="00DE7B14">
      <w:pPr>
        <w:pStyle w:val="Heading2"/>
        <w:spacing w:line="360" w:lineRule="auto"/>
        <w:ind w:left="567" w:hanging="567"/>
        <w:jc w:val="both"/>
        <w:rPr>
          <w:rFonts w:asciiTheme="minorHAnsi" w:hAnsiTheme="minorHAnsi"/>
          <w:sz w:val="22"/>
          <w:szCs w:val="22"/>
        </w:rPr>
      </w:pPr>
      <w:r w:rsidRPr="00F76F5F">
        <w:rPr>
          <w:rFonts w:asciiTheme="minorHAnsi" w:hAnsiTheme="minorHAnsi"/>
          <w:sz w:val="22"/>
          <w:szCs w:val="22"/>
        </w:rPr>
        <w:t xml:space="preserve">The Distribution Connection and Use of System Agreement (DCUSA) </w:t>
      </w:r>
      <w:proofErr w:type="gramStart"/>
      <w:r w:rsidRPr="00F76F5F">
        <w:rPr>
          <w:rFonts w:asciiTheme="minorHAnsi" w:hAnsiTheme="minorHAnsi"/>
          <w:sz w:val="22"/>
          <w:szCs w:val="22"/>
        </w:rPr>
        <w:t>is</w:t>
      </w:r>
      <w:proofErr w:type="gramEnd"/>
      <w:r w:rsidRPr="00F76F5F">
        <w:rPr>
          <w:rFonts w:asciiTheme="minorHAnsi" w:hAnsiTheme="minorHAnsi"/>
          <w:sz w:val="22"/>
          <w:szCs w:val="22"/>
        </w:rPr>
        <w:t xml:space="preserve"> a multi-party contract between electricity Distributors and electricity Suppliers and large Generators.</w:t>
      </w:r>
      <w:r w:rsidR="00F449BF" w:rsidRPr="00F76F5F">
        <w:rPr>
          <w:rFonts w:asciiTheme="minorHAnsi" w:hAnsiTheme="minorHAnsi"/>
          <w:sz w:val="22"/>
          <w:szCs w:val="22"/>
        </w:rPr>
        <w:t xml:space="preserve"> Parties to the DCUSA can raise Change Proposals (CPs) to amend the Agreement with the consent of other Parties and (where applicable) the Authority.</w:t>
      </w:r>
    </w:p>
    <w:p w:rsidR="00001E0C" w:rsidRPr="00F76F5F" w:rsidRDefault="00EF7362" w:rsidP="00DE7B14">
      <w:pPr>
        <w:pStyle w:val="Heading2"/>
        <w:spacing w:line="360" w:lineRule="auto"/>
        <w:jc w:val="both"/>
        <w:rPr>
          <w:rFonts w:asciiTheme="minorHAnsi" w:hAnsiTheme="minorHAnsi" w:cs="Verdana"/>
          <w:color w:val="000000"/>
          <w:sz w:val="22"/>
          <w:szCs w:val="22"/>
        </w:rPr>
      </w:pPr>
      <w:r w:rsidRPr="00F76F5F">
        <w:rPr>
          <w:rFonts w:asciiTheme="minorHAnsi" w:hAnsiTheme="minorHAnsi"/>
          <w:sz w:val="22"/>
          <w:szCs w:val="22"/>
        </w:rPr>
        <w:t xml:space="preserve">This document is a </w:t>
      </w:r>
      <w:r w:rsidR="00220716" w:rsidRPr="00F76F5F">
        <w:rPr>
          <w:rFonts w:asciiTheme="minorHAnsi" w:hAnsiTheme="minorHAnsi"/>
          <w:sz w:val="22"/>
          <w:szCs w:val="22"/>
        </w:rPr>
        <w:t>c</w:t>
      </w:r>
      <w:r w:rsidRPr="00F76F5F">
        <w:rPr>
          <w:rFonts w:asciiTheme="minorHAnsi" w:hAnsiTheme="minorHAnsi"/>
          <w:sz w:val="22"/>
          <w:szCs w:val="22"/>
        </w:rPr>
        <w:t>onsultation issued to D</w:t>
      </w:r>
      <w:r w:rsidR="0095264C" w:rsidRPr="00F76F5F">
        <w:rPr>
          <w:rFonts w:asciiTheme="minorHAnsi" w:hAnsiTheme="minorHAnsi"/>
          <w:sz w:val="22"/>
          <w:szCs w:val="22"/>
        </w:rPr>
        <w:t xml:space="preserve">istribution </w:t>
      </w:r>
      <w:r w:rsidRPr="00F76F5F">
        <w:rPr>
          <w:rFonts w:asciiTheme="minorHAnsi" w:hAnsiTheme="minorHAnsi"/>
          <w:sz w:val="22"/>
          <w:szCs w:val="22"/>
        </w:rPr>
        <w:t>N</w:t>
      </w:r>
      <w:r w:rsidR="0095264C" w:rsidRPr="00F76F5F">
        <w:rPr>
          <w:rFonts w:asciiTheme="minorHAnsi" w:hAnsiTheme="minorHAnsi"/>
          <w:sz w:val="22"/>
          <w:szCs w:val="22"/>
        </w:rPr>
        <w:t xml:space="preserve">etwork </w:t>
      </w:r>
      <w:r w:rsidRPr="00F76F5F">
        <w:rPr>
          <w:rFonts w:asciiTheme="minorHAnsi" w:hAnsiTheme="minorHAnsi"/>
          <w:sz w:val="22"/>
          <w:szCs w:val="22"/>
        </w:rPr>
        <w:t>O</w:t>
      </w:r>
      <w:r w:rsidR="0095264C" w:rsidRPr="00F76F5F">
        <w:rPr>
          <w:rFonts w:asciiTheme="minorHAnsi" w:hAnsiTheme="minorHAnsi"/>
          <w:sz w:val="22"/>
          <w:szCs w:val="22"/>
        </w:rPr>
        <w:t>perator</w:t>
      </w:r>
      <w:r w:rsidR="00753D89" w:rsidRPr="00F76F5F">
        <w:rPr>
          <w:rFonts w:asciiTheme="minorHAnsi" w:hAnsiTheme="minorHAnsi"/>
          <w:sz w:val="22"/>
          <w:szCs w:val="22"/>
        </w:rPr>
        <w:t>s</w:t>
      </w:r>
      <w:r w:rsidR="0095264C" w:rsidRPr="00F76F5F">
        <w:rPr>
          <w:rFonts w:asciiTheme="minorHAnsi" w:hAnsiTheme="minorHAnsi"/>
          <w:sz w:val="22"/>
          <w:szCs w:val="22"/>
        </w:rPr>
        <w:t xml:space="preserve"> (DNO)</w:t>
      </w:r>
      <w:r w:rsidRPr="00F76F5F">
        <w:rPr>
          <w:rFonts w:asciiTheme="minorHAnsi" w:hAnsiTheme="minorHAnsi"/>
          <w:sz w:val="22"/>
          <w:szCs w:val="22"/>
        </w:rPr>
        <w:t>, I</w:t>
      </w:r>
      <w:r w:rsidR="0095264C" w:rsidRPr="00F76F5F">
        <w:rPr>
          <w:rFonts w:asciiTheme="minorHAnsi" w:hAnsiTheme="minorHAnsi"/>
          <w:sz w:val="22"/>
          <w:szCs w:val="22"/>
        </w:rPr>
        <w:t xml:space="preserve">ndependent </w:t>
      </w:r>
      <w:r w:rsidRPr="00F76F5F">
        <w:rPr>
          <w:rFonts w:asciiTheme="minorHAnsi" w:hAnsiTheme="minorHAnsi"/>
          <w:sz w:val="22"/>
          <w:szCs w:val="22"/>
        </w:rPr>
        <w:t>D</w:t>
      </w:r>
      <w:r w:rsidR="0095264C" w:rsidRPr="00F76F5F">
        <w:rPr>
          <w:rFonts w:asciiTheme="minorHAnsi" w:hAnsiTheme="minorHAnsi"/>
          <w:sz w:val="22"/>
          <w:szCs w:val="22"/>
        </w:rPr>
        <w:t xml:space="preserve">istribution </w:t>
      </w:r>
      <w:r w:rsidRPr="00F76F5F">
        <w:rPr>
          <w:rFonts w:asciiTheme="minorHAnsi" w:hAnsiTheme="minorHAnsi"/>
          <w:sz w:val="22"/>
          <w:szCs w:val="22"/>
        </w:rPr>
        <w:t>N</w:t>
      </w:r>
      <w:r w:rsidR="0095264C" w:rsidRPr="00F76F5F">
        <w:rPr>
          <w:rFonts w:asciiTheme="minorHAnsi" w:hAnsiTheme="minorHAnsi"/>
          <w:sz w:val="22"/>
          <w:szCs w:val="22"/>
        </w:rPr>
        <w:t xml:space="preserve">etwork </w:t>
      </w:r>
      <w:r w:rsidRPr="00F76F5F">
        <w:rPr>
          <w:rFonts w:asciiTheme="minorHAnsi" w:hAnsiTheme="minorHAnsi"/>
          <w:sz w:val="22"/>
          <w:szCs w:val="22"/>
        </w:rPr>
        <w:t>O</w:t>
      </w:r>
      <w:r w:rsidR="0095264C" w:rsidRPr="00F76F5F">
        <w:rPr>
          <w:rFonts w:asciiTheme="minorHAnsi" w:hAnsiTheme="minorHAnsi"/>
          <w:sz w:val="22"/>
          <w:szCs w:val="22"/>
        </w:rPr>
        <w:t>perator</w:t>
      </w:r>
      <w:r w:rsidR="00753D89" w:rsidRPr="00F76F5F">
        <w:rPr>
          <w:rFonts w:asciiTheme="minorHAnsi" w:hAnsiTheme="minorHAnsi"/>
          <w:sz w:val="22"/>
          <w:szCs w:val="22"/>
        </w:rPr>
        <w:t>s</w:t>
      </w:r>
      <w:r w:rsidR="0095264C" w:rsidRPr="00F76F5F">
        <w:rPr>
          <w:rFonts w:asciiTheme="minorHAnsi" w:hAnsiTheme="minorHAnsi"/>
          <w:sz w:val="22"/>
          <w:szCs w:val="22"/>
        </w:rPr>
        <w:t xml:space="preserve"> (IDNO)</w:t>
      </w:r>
      <w:r w:rsidRPr="00F76F5F">
        <w:rPr>
          <w:rFonts w:asciiTheme="minorHAnsi" w:hAnsiTheme="minorHAnsi"/>
          <w:sz w:val="22"/>
          <w:szCs w:val="22"/>
        </w:rPr>
        <w:t xml:space="preserve">, Suppliers, Consumer </w:t>
      </w:r>
      <w:r w:rsidR="0013367A" w:rsidRPr="00F76F5F">
        <w:rPr>
          <w:rFonts w:asciiTheme="minorHAnsi" w:hAnsiTheme="minorHAnsi"/>
          <w:sz w:val="22"/>
          <w:szCs w:val="22"/>
        </w:rPr>
        <w:t>Futures</w:t>
      </w:r>
      <w:r w:rsidRPr="00F76F5F">
        <w:rPr>
          <w:rFonts w:asciiTheme="minorHAnsi" w:hAnsiTheme="minorHAnsi"/>
          <w:sz w:val="22"/>
          <w:szCs w:val="22"/>
        </w:rPr>
        <w:t xml:space="preserve">, ELEXON, </w:t>
      </w:r>
      <w:proofErr w:type="spellStart"/>
      <w:r w:rsidR="002C09E8" w:rsidRPr="00F76F5F">
        <w:rPr>
          <w:rFonts w:asciiTheme="minorHAnsi" w:hAnsiTheme="minorHAnsi"/>
          <w:sz w:val="22"/>
          <w:szCs w:val="22"/>
        </w:rPr>
        <w:t>Gemserv</w:t>
      </w:r>
      <w:proofErr w:type="spellEnd"/>
      <w:r w:rsidR="002C09E8" w:rsidRPr="00F76F5F">
        <w:rPr>
          <w:rFonts w:asciiTheme="minorHAnsi" w:hAnsiTheme="minorHAnsi"/>
          <w:sz w:val="22"/>
          <w:szCs w:val="22"/>
        </w:rPr>
        <w:t xml:space="preserve">, </w:t>
      </w:r>
      <w:r w:rsidRPr="00F76F5F">
        <w:rPr>
          <w:rFonts w:asciiTheme="minorHAnsi" w:hAnsiTheme="minorHAnsi"/>
          <w:sz w:val="22"/>
          <w:szCs w:val="22"/>
        </w:rPr>
        <w:t>any other interested Parties and the Authority in accordance with Clause 11.1</w:t>
      </w:r>
      <w:r w:rsidR="00DA22D5" w:rsidRPr="00F76F5F">
        <w:rPr>
          <w:rFonts w:asciiTheme="minorHAnsi" w:hAnsiTheme="minorHAnsi"/>
          <w:sz w:val="22"/>
          <w:szCs w:val="22"/>
        </w:rPr>
        <w:t>4 of the DCUSA</w:t>
      </w:r>
      <w:r w:rsidR="00001E0C" w:rsidRPr="00F76F5F">
        <w:rPr>
          <w:rFonts w:asciiTheme="minorHAnsi" w:hAnsiTheme="minorHAnsi"/>
          <w:sz w:val="22"/>
          <w:szCs w:val="22"/>
        </w:rPr>
        <w:t>,</w:t>
      </w:r>
      <w:r w:rsidR="00DA22D5" w:rsidRPr="00F76F5F">
        <w:rPr>
          <w:rFonts w:asciiTheme="minorHAnsi" w:hAnsiTheme="minorHAnsi"/>
          <w:sz w:val="22"/>
          <w:szCs w:val="22"/>
        </w:rPr>
        <w:t xml:space="preserve"> seeking industry </w:t>
      </w:r>
      <w:r w:rsidRPr="00F76F5F">
        <w:rPr>
          <w:rFonts w:asciiTheme="minorHAnsi" w:hAnsiTheme="minorHAnsi"/>
          <w:sz w:val="22"/>
          <w:szCs w:val="22"/>
        </w:rPr>
        <w:t xml:space="preserve">views on </w:t>
      </w:r>
      <w:r w:rsidR="005B3F5F" w:rsidRPr="005B3F5F">
        <w:rPr>
          <w:rFonts w:asciiTheme="minorHAnsi" w:hAnsiTheme="minorHAnsi"/>
          <w:sz w:val="22"/>
          <w:szCs w:val="22"/>
        </w:rPr>
        <w:t>DCP 160</w:t>
      </w:r>
      <w:r w:rsidR="008F26F9" w:rsidRPr="005B3F5F">
        <w:rPr>
          <w:rFonts w:asciiTheme="minorHAnsi" w:hAnsiTheme="minorHAnsi"/>
          <w:sz w:val="22"/>
          <w:szCs w:val="22"/>
        </w:rPr>
        <w:t xml:space="preserve"> </w:t>
      </w:r>
      <w:r w:rsidR="00F466CD" w:rsidRPr="00F466CD">
        <w:rPr>
          <w:rFonts w:asciiTheme="minorHAnsi" w:hAnsiTheme="minorHAnsi"/>
          <w:i/>
          <w:sz w:val="22"/>
          <w:szCs w:val="22"/>
        </w:rPr>
        <w:t>‘</w:t>
      </w:r>
      <w:r w:rsidR="005B3F5F" w:rsidRPr="00F466CD">
        <w:rPr>
          <w:rFonts w:asciiTheme="minorHAnsi" w:hAnsiTheme="minorHAnsi"/>
          <w:i/>
          <w:sz w:val="22"/>
          <w:szCs w:val="22"/>
        </w:rPr>
        <w:t>Non-Half Hourly (NHH) Notional Capacity</w:t>
      </w:r>
      <w:r w:rsidR="00F466CD">
        <w:rPr>
          <w:rFonts w:asciiTheme="minorHAnsi" w:hAnsiTheme="minorHAnsi"/>
          <w:i/>
          <w:sz w:val="22"/>
          <w:szCs w:val="22"/>
        </w:rPr>
        <w:t>’</w:t>
      </w:r>
      <w:r w:rsidR="007D6634" w:rsidRPr="00FD47AA">
        <w:rPr>
          <w:rFonts w:asciiTheme="minorHAnsi" w:hAnsiTheme="minorHAnsi"/>
          <w:sz w:val="22"/>
          <w:szCs w:val="22"/>
        </w:rPr>
        <w:t xml:space="preserve"> </w:t>
      </w:r>
      <w:r w:rsidR="00B654DA" w:rsidRPr="005B3F5F">
        <w:rPr>
          <w:rFonts w:asciiTheme="minorHAnsi" w:hAnsiTheme="minorHAnsi"/>
          <w:sz w:val="22"/>
          <w:szCs w:val="22"/>
          <w:highlight w:val="yellow"/>
        </w:rPr>
        <w:t xml:space="preserve">(Attachment </w:t>
      </w:r>
      <w:r w:rsidR="005B3F5F" w:rsidRPr="005B3F5F">
        <w:rPr>
          <w:rFonts w:asciiTheme="minorHAnsi" w:hAnsiTheme="minorHAnsi"/>
          <w:sz w:val="22"/>
          <w:szCs w:val="22"/>
          <w:highlight w:val="yellow"/>
        </w:rPr>
        <w:t>2</w:t>
      </w:r>
      <w:r w:rsidR="00B654DA" w:rsidRPr="005B3F5F">
        <w:rPr>
          <w:rFonts w:asciiTheme="minorHAnsi" w:hAnsiTheme="minorHAnsi"/>
          <w:sz w:val="22"/>
          <w:szCs w:val="22"/>
          <w:highlight w:val="yellow"/>
        </w:rPr>
        <w:t>)</w:t>
      </w:r>
      <w:r w:rsidR="00001E0C" w:rsidRPr="005B3F5F">
        <w:rPr>
          <w:rFonts w:asciiTheme="minorHAnsi" w:hAnsiTheme="minorHAnsi"/>
          <w:sz w:val="22"/>
          <w:szCs w:val="22"/>
          <w:highlight w:val="yellow"/>
        </w:rPr>
        <w:t>.</w:t>
      </w:r>
    </w:p>
    <w:p w:rsidR="00CF2682" w:rsidRDefault="00001E0C" w:rsidP="00DE7B14">
      <w:pPr>
        <w:pStyle w:val="Heading2"/>
        <w:spacing w:line="360" w:lineRule="auto"/>
        <w:jc w:val="both"/>
        <w:rPr>
          <w:rFonts w:asciiTheme="minorHAnsi" w:hAnsiTheme="minorHAnsi" w:cs="Verdana"/>
          <w:color w:val="000000"/>
          <w:sz w:val="22"/>
          <w:szCs w:val="22"/>
        </w:rPr>
      </w:pPr>
      <w:r w:rsidRPr="00F76F5F">
        <w:rPr>
          <w:rFonts w:asciiTheme="minorHAnsi" w:hAnsiTheme="minorHAnsi"/>
          <w:sz w:val="22"/>
          <w:szCs w:val="22"/>
        </w:rPr>
        <w:t>Parties</w:t>
      </w:r>
      <w:r w:rsidR="008F26F9" w:rsidRPr="00F76F5F">
        <w:rPr>
          <w:rFonts w:asciiTheme="minorHAnsi" w:hAnsiTheme="minorHAnsi"/>
          <w:sz w:val="22"/>
          <w:szCs w:val="22"/>
        </w:rPr>
        <w:t xml:space="preserve"> </w:t>
      </w:r>
      <w:r w:rsidR="00CF2682" w:rsidRPr="00F76F5F">
        <w:rPr>
          <w:rFonts w:asciiTheme="minorHAnsi" w:hAnsiTheme="minorHAnsi" w:cs="Verdana"/>
          <w:color w:val="000000"/>
          <w:sz w:val="22"/>
          <w:szCs w:val="22"/>
        </w:rPr>
        <w:t xml:space="preserve">are invited to consider the </w:t>
      </w:r>
      <w:r w:rsidR="00DA22D5" w:rsidRPr="00F76F5F">
        <w:rPr>
          <w:rFonts w:asciiTheme="minorHAnsi" w:hAnsiTheme="minorHAnsi" w:cs="Verdana"/>
          <w:color w:val="000000"/>
          <w:sz w:val="22"/>
          <w:szCs w:val="22"/>
        </w:rPr>
        <w:t xml:space="preserve">questions set out in </w:t>
      </w:r>
      <w:r w:rsidR="00F466CD">
        <w:rPr>
          <w:rFonts w:asciiTheme="minorHAnsi" w:hAnsiTheme="minorHAnsi" w:cs="Verdana"/>
          <w:color w:val="000000"/>
          <w:sz w:val="22"/>
          <w:szCs w:val="22"/>
          <w:highlight w:val="yellow"/>
        </w:rPr>
        <w:t>S</w:t>
      </w:r>
      <w:r w:rsidR="00DA22D5" w:rsidRPr="005B3F5F">
        <w:rPr>
          <w:rFonts w:asciiTheme="minorHAnsi" w:hAnsiTheme="minorHAnsi" w:cs="Verdana"/>
          <w:color w:val="000000"/>
          <w:sz w:val="22"/>
          <w:szCs w:val="22"/>
          <w:highlight w:val="yellow"/>
        </w:rPr>
        <w:t xml:space="preserve">ection </w:t>
      </w:r>
      <w:r w:rsidR="00FD47AA" w:rsidRPr="005B3F5F">
        <w:rPr>
          <w:rFonts w:asciiTheme="minorHAnsi" w:hAnsiTheme="minorHAnsi" w:cs="Verdana"/>
          <w:color w:val="000000"/>
          <w:sz w:val="22"/>
          <w:szCs w:val="22"/>
          <w:highlight w:val="yellow"/>
        </w:rPr>
        <w:t>4</w:t>
      </w:r>
      <w:r w:rsidR="00C358B9" w:rsidRPr="00F76F5F">
        <w:rPr>
          <w:rFonts w:asciiTheme="minorHAnsi" w:hAnsiTheme="minorHAnsi" w:cs="Verdana"/>
          <w:color w:val="000000"/>
          <w:sz w:val="22"/>
          <w:szCs w:val="22"/>
        </w:rPr>
        <w:t xml:space="preserve"> below and</w:t>
      </w:r>
      <w:r w:rsidR="009E7D88" w:rsidRPr="00F76F5F">
        <w:rPr>
          <w:rFonts w:asciiTheme="minorHAnsi" w:hAnsiTheme="minorHAnsi" w:cs="Verdana"/>
          <w:color w:val="000000"/>
          <w:sz w:val="22"/>
          <w:szCs w:val="22"/>
        </w:rPr>
        <w:t xml:space="preserve"> </w:t>
      </w:r>
      <w:r w:rsidR="00CF2682" w:rsidRPr="00F76F5F">
        <w:rPr>
          <w:rFonts w:asciiTheme="minorHAnsi" w:hAnsiTheme="minorHAnsi" w:cs="Verdana"/>
          <w:color w:val="000000"/>
          <w:sz w:val="22"/>
          <w:szCs w:val="22"/>
        </w:rPr>
        <w:t xml:space="preserve">submit comments using the form attached as </w:t>
      </w:r>
      <w:r w:rsidR="00CF2682" w:rsidRPr="005B3F5F">
        <w:rPr>
          <w:rFonts w:asciiTheme="minorHAnsi" w:hAnsiTheme="minorHAnsi" w:cs="Verdana"/>
          <w:color w:val="000000"/>
          <w:sz w:val="22"/>
          <w:szCs w:val="22"/>
          <w:highlight w:val="yellow"/>
        </w:rPr>
        <w:t>A</w:t>
      </w:r>
      <w:r w:rsidR="00B654DA" w:rsidRPr="005B3F5F">
        <w:rPr>
          <w:rFonts w:asciiTheme="minorHAnsi" w:hAnsiTheme="minorHAnsi" w:cs="Verdana"/>
          <w:color w:val="000000"/>
          <w:sz w:val="22"/>
          <w:szCs w:val="22"/>
          <w:highlight w:val="yellow"/>
        </w:rPr>
        <w:t xml:space="preserve">ttachment </w:t>
      </w:r>
      <w:r w:rsidR="000B3C71" w:rsidRPr="005B3F5F">
        <w:rPr>
          <w:rFonts w:asciiTheme="minorHAnsi" w:hAnsiTheme="minorHAnsi" w:cs="Verdana"/>
          <w:color w:val="000000"/>
          <w:sz w:val="22"/>
          <w:szCs w:val="22"/>
          <w:highlight w:val="yellow"/>
        </w:rPr>
        <w:t>1</w:t>
      </w:r>
      <w:r w:rsidR="00CF2682" w:rsidRPr="00F76F5F">
        <w:rPr>
          <w:rFonts w:asciiTheme="minorHAnsi" w:hAnsiTheme="minorHAnsi" w:cs="Verdana"/>
          <w:b/>
          <w:color w:val="000000"/>
          <w:sz w:val="22"/>
          <w:szCs w:val="22"/>
        </w:rPr>
        <w:t xml:space="preserve"> </w:t>
      </w:r>
      <w:r w:rsidR="00CF2682" w:rsidRPr="00F76F5F">
        <w:rPr>
          <w:rFonts w:asciiTheme="minorHAnsi" w:hAnsiTheme="minorHAnsi" w:cs="Verdana"/>
          <w:color w:val="000000"/>
          <w:sz w:val="22"/>
          <w:szCs w:val="22"/>
        </w:rPr>
        <w:t xml:space="preserve">to </w:t>
      </w:r>
      <w:r w:rsidR="00CF2682" w:rsidRPr="00F76F5F">
        <w:rPr>
          <w:rFonts w:asciiTheme="minorHAnsi" w:hAnsiTheme="minorHAnsi" w:cs="Verdana"/>
          <w:color w:val="0000FF"/>
          <w:sz w:val="22"/>
          <w:szCs w:val="22"/>
          <w:u w:val="single"/>
        </w:rPr>
        <w:t>dcusa@electralink.co.uk</w:t>
      </w:r>
      <w:r w:rsidR="00CF2682" w:rsidRPr="00F76F5F">
        <w:rPr>
          <w:rFonts w:asciiTheme="minorHAnsi" w:hAnsiTheme="minorHAnsi" w:cs="Verdana"/>
          <w:color w:val="000000"/>
          <w:sz w:val="22"/>
          <w:szCs w:val="22"/>
        </w:rPr>
        <w:t xml:space="preserve"> </w:t>
      </w:r>
      <w:r w:rsidR="00FD47AA" w:rsidRPr="005B3F5F">
        <w:rPr>
          <w:rFonts w:asciiTheme="minorHAnsi" w:hAnsiTheme="minorHAnsi" w:cs="Verdana"/>
          <w:b/>
          <w:color w:val="000000"/>
          <w:sz w:val="22"/>
          <w:szCs w:val="22"/>
          <w:highlight w:val="yellow"/>
        </w:rPr>
        <w:t>by Mon</w:t>
      </w:r>
      <w:r w:rsidR="00135A50" w:rsidRPr="005B3F5F">
        <w:rPr>
          <w:rFonts w:asciiTheme="minorHAnsi" w:hAnsiTheme="minorHAnsi" w:cs="Verdana"/>
          <w:b/>
          <w:color w:val="000000"/>
          <w:sz w:val="22"/>
          <w:szCs w:val="22"/>
          <w:highlight w:val="yellow"/>
        </w:rPr>
        <w:t>day</w:t>
      </w:r>
      <w:r w:rsidR="00F30AC3" w:rsidRPr="005B3F5F">
        <w:rPr>
          <w:rFonts w:asciiTheme="minorHAnsi" w:hAnsiTheme="minorHAnsi" w:cs="Verdana"/>
          <w:b/>
          <w:color w:val="000000"/>
          <w:sz w:val="22"/>
          <w:szCs w:val="22"/>
          <w:highlight w:val="yellow"/>
        </w:rPr>
        <w:t xml:space="preserve">, </w:t>
      </w:r>
      <w:r w:rsidR="00FD47AA" w:rsidRPr="005B3F5F">
        <w:rPr>
          <w:rFonts w:asciiTheme="minorHAnsi" w:hAnsiTheme="minorHAnsi" w:cs="Verdana"/>
          <w:b/>
          <w:color w:val="000000"/>
          <w:sz w:val="22"/>
          <w:szCs w:val="22"/>
          <w:highlight w:val="yellow"/>
        </w:rPr>
        <w:t>2</w:t>
      </w:r>
      <w:r w:rsidR="002E1B6C">
        <w:rPr>
          <w:rFonts w:asciiTheme="minorHAnsi" w:hAnsiTheme="minorHAnsi" w:cs="Verdana"/>
          <w:b/>
          <w:color w:val="000000"/>
          <w:sz w:val="22"/>
          <w:szCs w:val="22"/>
          <w:highlight w:val="yellow"/>
        </w:rPr>
        <w:t>7 March</w:t>
      </w:r>
      <w:r w:rsidR="00135A50" w:rsidRPr="005B3F5F">
        <w:rPr>
          <w:rFonts w:asciiTheme="minorHAnsi" w:hAnsiTheme="minorHAnsi" w:cs="Verdana"/>
          <w:b/>
          <w:color w:val="000000"/>
          <w:sz w:val="22"/>
          <w:szCs w:val="22"/>
          <w:highlight w:val="yellow"/>
        </w:rPr>
        <w:t xml:space="preserve"> </w:t>
      </w:r>
      <w:r w:rsidR="00F30AC3" w:rsidRPr="005B3F5F">
        <w:rPr>
          <w:rFonts w:asciiTheme="minorHAnsi" w:hAnsiTheme="minorHAnsi" w:cs="Verdana"/>
          <w:b/>
          <w:color w:val="000000"/>
          <w:sz w:val="22"/>
          <w:szCs w:val="22"/>
          <w:highlight w:val="yellow"/>
        </w:rPr>
        <w:t>20</w:t>
      </w:r>
      <w:r w:rsidR="000C3E5B" w:rsidRPr="005B3F5F">
        <w:rPr>
          <w:rFonts w:asciiTheme="minorHAnsi" w:hAnsiTheme="minorHAnsi" w:cs="Verdana"/>
          <w:b/>
          <w:color w:val="000000"/>
          <w:sz w:val="22"/>
          <w:szCs w:val="22"/>
          <w:highlight w:val="yellow"/>
        </w:rPr>
        <w:t>15</w:t>
      </w:r>
      <w:r w:rsidR="00F30AC3" w:rsidRPr="005B3F5F">
        <w:rPr>
          <w:rFonts w:asciiTheme="minorHAnsi" w:hAnsiTheme="minorHAnsi" w:cs="Verdana"/>
          <w:color w:val="000000"/>
          <w:sz w:val="22"/>
          <w:szCs w:val="22"/>
          <w:highlight w:val="yellow"/>
        </w:rPr>
        <w:t>.</w:t>
      </w:r>
    </w:p>
    <w:p w:rsidR="008201A3" w:rsidRDefault="008201A3" w:rsidP="008201A3">
      <w:pPr>
        <w:pStyle w:val="Heading1"/>
        <w:spacing w:line="360" w:lineRule="auto"/>
        <w:rPr>
          <w:rFonts w:asciiTheme="minorHAnsi" w:hAnsiTheme="minorHAnsi"/>
          <w:b/>
          <w:sz w:val="22"/>
          <w:szCs w:val="22"/>
        </w:rPr>
      </w:pPr>
      <w:r>
        <w:rPr>
          <w:rFonts w:asciiTheme="minorHAnsi" w:hAnsiTheme="minorHAnsi"/>
          <w:b/>
          <w:sz w:val="22"/>
          <w:szCs w:val="22"/>
        </w:rPr>
        <w:t>BACKGROUND TO THE DCP 160</w:t>
      </w:r>
      <w:r w:rsidRPr="00F76F5F">
        <w:rPr>
          <w:rFonts w:asciiTheme="minorHAnsi" w:hAnsiTheme="minorHAnsi"/>
          <w:b/>
          <w:sz w:val="22"/>
          <w:szCs w:val="22"/>
        </w:rPr>
        <w:t xml:space="preserve"> – </w:t>
      </w:r>
      <w:r>
        <w:rPr>
          <w:rFonts w:asciiTheme="minorHAnsi" w:hAnsiTheme="minorHAnsi"/>
          <w:b/>
          <w:sz w:val="22"/>
          <w:szCs w:val="22"/>
        </w:rPr>
        <w:t>NON</w:t>
      </w:r>
      <w:r w:rsidRPr="005B3F5F">
        <w:rPr>
          <w:rFonts w:asciiTheme="minorHAnsi" w:hAnsiTheme="minorHAnsi"/>
          <w:b/>
          <w:sz w:val="22"/>
          <w:szCs w:val="22"/>
        </w:rPr>
        <w:t>-H</w:t>
      </w:r>
      <w:r>
        <w:rPr>
          <w:rFonts w:asciiTheme="minorHAnsi" w:hAnsiTheme="minorHAnsi"/>
          <w:b/>
          <w:sz w:val="22"/>
          <w:szCs w:val="22"/>
        </w:rPr>
        <w:t>ALF</w:t>
      </w:r>
      <w:r w:rsidRPr="005B3F5F">
        <w:rPr>
          <w:rFonts w:asciiTheme="minorHAnsi" w:hAnsiTheme="minorHAnsi"/>
          <w:b/>
          <w:sz w:val="22"/>
          <w:szCs w:val="22"/>
        </w:rPr>
        <w:t xml:space="preserve"> H</w:t>
      </w:r>
      <w:r>
        <w:rPr>
          <w:rFonts w:asciiTheme="minorHAnsi" w:hAnsiTheme="minorHAnsi"/>
          <w:b/>
          <w:sz w:val="22"/>
          <w:szCs w:val="22"/>
        </w:rPr>
        <w:t>OURLY</w:t>
      </w:r>
      <w:r w:rsidRPr="005B3F5F">
        <w:rPr>
          <w:rFonts w:asciiTheme="minorHAnsi" w:hAnsiTheme="minorHAnsi"/>
          <w:b/>
          <w:sz w:val="22"/>
          <w:szCs w:val="22"/>
        </w:rPr>
        <w:t xml:space="preserve"> (NHH) N</w:t>
      </w:r>
      <w:r>
        <w:rPr>
          <w:rFonts w:asciiTheme="minorHAnsi" w:hAnsiTheme="minorHAnsi"/>
          <w:b/>
          <w:sz w:val="22"/>
          <w:szCs w:val="22"/>
        </w:rPr>
        <w:t>OTIONAL CAPACITY</w:t>
      </w:r>
      <w:r w:rsidRPr="00F76F5F">
        <w:rPr>
          <w:rFonts w:asciiTheme="minorHAnsi" w:hAnsiTheme="minorHAnsi"/>
          <w:b/>
          <w:sz w:val="22"/>
          <w:szCs w:val="22"/>
        </w:rPr>
        <w:t xml:space="preserve"> </w:t>
      </w:r>
      <w:r>
        <w:rPr>
          <w:rFonts w:asciiTheme="minorHAnsi" w:hAnsiTheme="minorHAnsi"/>
          <w:b/>
          <w:sz w:val="22"/>
          <w:szCs w:val="22"/>
        </w:rPr>
        <w:t>CP</w:t>
      </w:r>
    </w:p>
    <w:p w:rsidR="008201A3" w:rsidRPr="00395511" w:rsidRDefault="008201A3" w:rsidP="008201A3">
      <w:pPr>
        <w:pStyle w:val="Heading2"/>
        <w:keepNext w:val="0"/>
        <w:widowControl w:val="0"/>
        <w:spacing w:after="120" w:line="360" w:lineRule="auto"/>
        <w:jc w:val="both"/>
      </w:pPr>
      <w:r>
        <w:rPr>
          <w:rFonts w:asciiTheme="minorHAnsi" w:hAnsiTheme="minorHAnsi"/>
          <w:sz w:val="22"/>
          <w:szCs w:val="22"/>
        </w:rPr>
        <w:t>This</w:t>
      </w:r>
      <w:r w:rsidRPr="00395511">
        <w:rPr>
          <w:rFonts w:asciiTheme="minorHAnsi" w:hAnsiTheme="minorHAnsi"/>
          <w:sz w:val="22"/>
          <w:szCs w:val="22"/>
        </w:rPr>
        <w:t xml:space="preserve"> change was initially derived from discussions at the Methodology Issues Group (MIG) sub-group that were set up to consider the anomalies between the two different cost allocation mechanisms for HH and NHH tariffs in the CDCM in 2011.</w:t>
      </w:r>
      <w:r w:rsidRPr="00395511">
        <w:t xml:space="preserve"> </w:t>
      </w:r>
    </w:p>
    <w:p w:rsidR="008201A3" w:rsidRPr="008201A3" w:rsidRDefault="008201A3" w:rsidP="008201A3">
      <w:pPr>
        <w:pStyle w:val="Heading2"/>
        <w:keepNext w:val="0"/>
        <w:widowControl w:val="0"/>
        <w:spacing w:after="120" w:line="360" w:lineRule="auto"/>
        <w:jc w:val="both"/>
        <w:rPr>
          <w:rFonts w:ascii="Calibri" w:hAnsi="Calibri"/>
          <w:sz w:val="22"/>
          <w:szCs w:val="22"/>
        </w:rPr>
      </w:pPr>
      <w:r w:rsidRPr="008201A3">
        <w:rPr>
          <w:rFonts w:ascii="Calibri" w:hAnsi="Calibri"/>
          <w:sz w:val="22"/>
          <w:szCs w:val="22"/>
        </w:rPr>
        <w:t>NHH costs are based on the coincidence to peak demand and are recovered through the number of units spread out across a flat profile. While the HH costs are based on the coincidence to peak demand and are recovered through the number of units in each time band.  This has the effect where a HH tariff group that has less consumption in the peak time band than a flat profile will receive higher total annual charges than the equivalent NHH tariff. The overall objective</w:t>
      </w:r>
      <w:r>
        <w:rPr>
          <w:rFonts w:ascii="Calibri" w:hAnsi="Calibri"/>
          <w:sz w:val="22"/>
          <w:szCs w:val="22"/>
        </w:rPr>
        <w:t xml:space="preserve"> of this CP</w:t>
      </w:r>
      <w:r w:rsidRPr="008201A3">
        <w:rPr>
          <w:rFonts w:ascii="Calibri" w:hAnsi="Calibri"/>
          <w:sz w:val="22"/>
          <w:szCs w:val="22"/>
        </w:rPr>
        <w:t xml:space="preserve"> was for the average DUOS bill for a NHH settled customer to be similar to the average bill of an ‘equivalent’ HH settled customer. </w:t>
      </w:r>
    </w:p>
    <w:p w:rsidR="008201A3" w:rsidRDefault="008201A3" w:rsidP="008201A3">
      <w:pPr>
        <w:pStyle w:val="Heading2"/>
        <w:keepNext w:val="0"/>
        <w:widowControl w:val="0"/>
        <w:spacing w:after="120" w:line="360" w:lineRule="auto"/>
        <w:jc w:val="both"/>
        <w:rPr>
          <w:rFonts w:asciiTheme="minorHAnsi" w:hAnsiTheme="minorHAnsi"/>
          <w:sz w:val="22"/>
          <w:szCs w:val="22"/>
        </w:rPr>
      </w:pPr>
      <w:r w:rsidRPr="008201A3">
        <w:rPr>
          <w:rFonts w:ascii="Calibri" w:hAnsi="Calibri"/>
          <w:sz w:val="22"/>
          <w:szCs w:val="22"/>
        </w:rPr>
        <w:t>In reviewing the</w:t>
      </w:r>
      <w:r w:rsidRPr="008201A3">
        <w:rPr>
          <w:rFonts w:asciiTheme="minorHAnsi" w:hAnsiTheme="minorHAnsi"/>
          <w:sz w:val="22"/>
          <w:szCs w:val="22"/>
        </w:rPr>
        <w:t xml:space="preserve"> two different</w:t>
      </w:r>
      <w:r w:rsidRPr="00395511">
        <w:rPr>
          <w:rFonts w:asciiTheme="minorHAnsi" w:hAnsiTheme="minorHAnsi"/>
          <w:sz w:val="22"/>
          <w:szCs w:val="22"/>
        </w:rPr>
        <w:t xml:space="preserve"> cost allocation mechanisms for HH and NHH tariffs</w:t>
      </w:r>
      <w:r>
        <w:rPr>
          <w:rFonts w:asciiTheme="minorHAnsi" w:hAnsiTheme="minorHAnsi"/>
          <w:sz w:val="22"/>
          <w:szCs w:val="22"/>
        </w:rPr>
        <w:t>, the DCMF MIG sub-group agreed to work in accordance with a set of agreed principles:</w:t>
      </w:r>
    </w:p>
    <w:p w:rsidR="008201A3" w:rsidRPr="008201A3" w:rsidRDefault="008201A3" w:rsidP="008201A3">
      <w:pPr>
        <w:pStyle w:val="ListParagraph"/>
        <w:numPr>
          <w:ilvl w:val="0"/>
          <w:numId w:val="21"/>
        </w:numPr>
        <w:spacing w:after="120"/>
        <w:jc w:val="both"/>
        <w:rPr>
          <w:rFonts w:ascii="Calibri" w:hAnsi="Calibri"/>
          <w:i/>
        </w:rPr>
      </w:pPr>
      <w:r w:rsidRPr="008201A3">
        <w:rPr>
          <w:rFonts w:ascii="Calibri" w:hAnsi="Calibri"/>
          <w:i/>
        </w:rPr>
        <w:t>“Principle 1 – Introduction of a new tariff structure;</w:t>
      </w:r>
    </w:p>
    <w:p w:rsidR="008201A3" w:rsidRPr="008201A3" w:rsidRDefault="008201A3" w:rsidP="008201A3">
      <w:pPr>
        <w:pStyle w:val="ListParagraph"/>
        <w:numPr>
          <w:ilvl w:val="0"/>
          <w:numId w:val="21"/>
        </w:numPr>
        <w:spacing w:after="120"/>
        <w:jc w:val="both"/>
        <w:rPr>
          <w:rFonts w:ascii="Calibri" w:hAnsi="Calibri"/>
          <w:i/>
        </w:rPr>
      </w:pPr>
      <w:r w:rsidRPr="008201A3">
        <w:rPr>
          <w:rFonts w:ascii="Calibri" w:hAnsi="Calibri"/>
          <w:i/>
        </w:rPr>
        <w:lastRenderedPageBreak/>
        <w:t>Principle 2 – To ensure consistency between the new tariffs;</w:t>
      </w:r>
    </w:p>
    <w:p w:rsidR="008201A3" w:rsidRPr="008201A3" w:rsidRDefault="008201A3" w:rsidP="008201A3">
      <w:pPr>
        <w:pStyle w:val="ListParagraph"/>
        <w:numPr>
          <w:ilvl w:val="0"/>
          <w:numId w:val="21"/>
        </w:numPr>
        <w:spacing w:after="120"/>
        <w:jc w:val="both"/>
        <w:rPr>
          <w:rFonts w:ascii="Calibri" w:hAnsi="Calibri"/>
          <w:i/>
        </w:rPr>
      </w:pPr>
      <w:r w:rsidRPr="008201A3">
        <w:rPr>
          <w:rFonts w:ascii="Calibri" w:hAnsi="Calibri"/>
          <w:i/>
        </w:rPr>
        <w:t>Principle 3 – To ensure consistency between the existing and new tariffs; and</w:t>
      </w:r>
    </w:p>
    <w:p w:rsidR="008201A3" w:rsidRPr="008201A3" w:rsidRDefault="008201A3" w:rsidP="008201A3">
      <w:pPr>
        <w:pStyle w:val="ListParagraph"/>
        <w:numPr>
          <w:ilvl w:val="0"/>
          <w:numId w:val="21"/>
        </w:numPr>
        <w:spacing w:after="120"/>
        <w:jc w:val="both"/>
        <w:rPr>
          <w:rFonts w:ascii="Calibri" w:hAnsi="Calibri"/>
          <w:i/>
        </w:rPr>
      </w:pPr>
      <w:r w:rsidRPr="008201A3">
        <w:rPr>
          <w:rFonts w:ascii="Calibri" w:hAnsi="Calibri"/>
          <w:i/>
        </w:rPr>
        <w:t>Principle 4 – Customers to gradually migrate to the new tariffs”.</w:t>
      </w:r>
    </w:p>
    <w:p w:rsidR="008201A3" w:rsidRDefault="008201A3" w:rsidP="008201A3">
      <w:pPr>
        <w:pStyle w:val="Heading2"/>
        <w:keepNext w:val="0"/>
        <w:widowControl w:val="0"/>
        <w:spacing w:after="120" w:line="360" w:lineRule="auto"/>
        <w:jc w:val="both"/>
        <w:rPr>
          <w:rFonts w:ascii="Calibri" w:hAnsi="Calibri"/>
          <w:i/>
          <w:sz w:val="22"/>
          <w:szCs w:val="22"/>
        </w:rPr>
      </w:pPr>
      <w:r w:rsidRPr="008201A3">
        <w:rPr>
          <w:rFonts w:ascii="Calibri" w:hAnsi="Calibri"/>
          <w:sz w:val="22"/>
          <w:szCs w:val="22"/>
        </w:rPr>
        <w:t xml:space="preserve">The DCP 160 change was raised in accordance with </w:t>
      </w:r>
      <w:r w:rsidRPr="008201A3">
        <w:rPr>
          <w:rFonts w:ascii="Calibri" w:hAnsi="Calibri"/>
          <w:i/>
          <w:sz w:val="22"/>
          <w:szCs w:val="22"/>
        </w:rPr>
        <w:t>Principle 3 ‘To ensure consistency between the existing and new tariffs’.</w:t>
      </w:r>
    </w:p>
    <w:p w:rsidR="00B6488B" w:rsidRPr="00F76F5F" w:rsidRDefault="00812351" w:rsidP="00B6488B">
      <w:pPr>
        <w:pStyle w:val="Heading1"/>
        <w:spacing w:line="360" w:lineRule="auto"/>
        <w:rPr>
          <w:rFonts w:asciiTheme="minorHAnsi" w:hAnsiTheme="minorHAnsi"/>
          <w:b/>
          <w:sz w:val="22"/>
          <w:szCs w:val="22"/>
        </w:rPr>
      </w:pPr>
      <w:r w:rsidRPr="00F76F5F">
        <w:rPr>
          <w:rFonts w:asciiTheme="minorHAnsi" w:hAnsiTheme="minorHAnsi"/>
          <w:b/>
          <w:sz w:val="22"/>
          <w:szCs w:val="22"/>
        </w:rPr>
        <w:t xml:space="preserve">INTENT </w:t>
      </w:r>
      <w:r w:rsidR="004630F3" w:rsidRPr="00F76F5F">
        <w:rPr>
          <w:rFonts w:asciiTheme="minorHAnsi" w:hAnsiTheme="minorHAnsi"/>
          <w:b/>
          <w:sz w:val="22"/>
          <w:szCs w:val="22"/>
        </w:rPr>
        <w:t xml:space="preserve">OF </w:t>
      </w:r>
      <w:r w:rsidR="005B3F5F">
        <w:rPr>
          <w:rFonts w:asciiTheme="minorHAnsi" w:hAnsiTheme="minorHAnsi"/>
          <w:b/>
          <w:sz w:val="22"/>
          <w:szCs w:val="22"/>
        </w:rPr>
        <w:t>DCP 160</w:t>
      </w:r>
      <w:r w:rsidR="00B6488B" w:rsidRPr="00F76F5F">
        <w:rPr>
          <w:rFonts w:asciiTheme="minorHAnsi" w:hAnsiTheme="minorHAnsi"/>
          <w:b/>
          <w:sz w:val="22"/>
          <w:szCs w:val="22"/>
        </w:rPr>
        <w:t xml:space="preserve"> </w:t>
      </w:r>
      <w:r w:rsidR="007D6634" w:rsidRPr="00F76F5F">
        <w:rPr>
          <w:rFonts w:asciiTheme="minorHAnsi" w:hAnsiTheme="minorHAnsi"/>
          <w:b/>
          <w:sz w:val="22"/>
          <w:szCs w:val="22"/>
        </w:rPr>
        <w:t>–</w:t>
      </w:r>
      <w:r w:rsidR="00B6488B" w:rsidRPr="00F76F5F">
        <w:rPr>
          <w:rFonts w:asciiTheme="minorHAnsi" w:hAnsiTheme="minorHAnsi"/>
          <w:b/>
          <w:sz w:val="22"/>
          <w:szCs w:val="22"/>
        </w:rPr>
        <w:t xml:space="preserve"> </w:t>
      </w:r>
      <w:r w:rsidR="005B3F5F">
        <w:rPr>
          <w:rFonts w:asciiTheme="minorHAnsi" w:hAnsiTheme="minorHAnsi"/>
          <w:b/>
          <w:sz w:val="22"/>
          <w:szCs w:val="22"/>
        </w:rPr>
        <w:t>NON</w:t>
      </w:r>
      <w:r w:rsidR="005B3F5F" w:rsidRPr="005B3F5F">
        <w:rPr>
          <w:rFonts w:asciiTheme="minorHAnsi" w:hAnsiTheme="minorHAnsi"/>
          <w:b/>
          <w:sz w:val="22"/>
          <w:szCs w:val="22"/>
        </w:rPr>
        <w:t>-H</w:t>
      </w:r>
      <w:r w:rsidR="005B3F5F">
        <w:rPr>
          <w:rFonts w:asciiTheme="minorHAnsi" w:hAnsiTheme="minorHAnsi"/>
          <w:b/>
          <w:sz w:val="22"/>
          <w:szCs w:val="22"/>
        </w:rPr>
        <w:t>ALF</w:t>
      </w:r>
      <w:r w:rsidR="005B3F5F" w:rsidRPr="005B3F5F">
        <w:rPr>
          <w:rFonts w:asciiTheme="minorHAnsi" w:hAnsiTheme="minorHAnsi"/>
          <w:b/>
          <w:sz w:val="22"/>
          <w:szCs w:val="22"/>
        </w:rPr>
        <w:t xml:space="preserve"> H</w:t>
      </w:r>
      <w:r w:rsidR="005B3F5F">
        <w:rPr>
          <w:rFonts w:asciiTheme="minorHAnsi" w:hAnsiTheme="minorHAnsi"/>
          <w:b/>
          <w:sz w:val="22"/>
          <w:szCs w:val="22"/>
        </w:rPr>
        <w:t>OURLY</w:t>
      </w:r>
      <w:r w:rsidR="005B3F5F" w:rsidRPr="005B3F5F">
        <w:rPr>
          <w:rFonts w:asciiTheme="minorHAnsi" w:hAnsiTheme="minorHAnsi"/>
          <w:b/>
          <w:sz w:val="22"/>
          <w:szCs w:val="22"/>
        </w:rPr>
        <w:t xml:space="preserve"> (NHH) N</w:t>
      </w:r>
      <w:r w:rsidR="005B3F5F">
        <w:rPr>
          <w:rFonts w:asciiTheme="minorHAnsi" w:hAnsiTheme="minorHAnsi"/>
          <w:b/>
          <w:sz w:val="22"/>
          <w:szCs w:val="22"/>
        </w:rPr>
        <w:t xml:space="preserve">OTIONAL CAPACITY </w:t>
      </w:r>
    </w:p>
    <w:p w:rsidR="00E6535F" w:rsidRDefault="005B3F5F" w:rsidP="005B3F5F">
      <w:pPr>
        <w:pStyle w:val="Heading2"/>
        <w:keepNext w:val="0"/>
        <w:widowControl w:val="0"/>
        <w:spacing w:line="360" w:lineRule="auto"/>
        <w:jc w:val="both"/>
        <w:rPr>
          <w:rFonts w:asciiTheme="minorHAnsi" w:hAnsiTheme="minorHAnsi"/>
          <w:sz w:val="22"/>
          <w:szCs w:val="22"/>
        </w:rPr>
      </w:pPr>
      <w:r>
        <w:rPr>
          <w:rFonts w:asciiTheme="minorHAnsi" w:hAnsiTheme="minorHAnsi"/>
          <w:sz w:val="22"/>
          <w:szCs w:val="22"/>
        </w:rPr>
        <w:t>DCP 160 was raised by UK</w:t>
      </w:r>
      <w:r w:rsidR="008C282E" w:rsidRPr="00F76F5F">
        <w:rPr>
          <w:rFonts w:asciiTheme="minorHAnsi" w:hAnsiTheme="minorHAnsi"/>
          <w:sz w:val="22"/>
          <w:szCs w:val="22"/>
        </w:rPr>
        <w:t xml:space="preserve"> </w:t>
      </w:r>
      <w:r>
        <w:rPr>
          <w:rFonts w:asciiTheme="minorHAnsi" w:hAnsiTheme="minorHAnsi"/>
          <w:sz w:val="22"/>
          <w:szCs w:val="22"/>
        </w:rPr>
        <w:t xml:space="preserve">Power Networks and seeks to </w:t>
      </w:r>
      <w:r w:rsidRPr="005B3F5F">
        <w:rPr>
          <w:rFonts w:asciiTheme="minorHAnsi" w:hAnsiTheme="minorHAnsi"/>
          <w:sz w:val="22"/>
          <w:szCs w:val="22"/>
        </w:rPr>
        <w:t>revise Schedule 16 (along with appropriate CDCM and ARP Modelling changes) to introduce a notional spare capacity requirement to be applied to the average maximum demand</w:t>
      </w:r>
      <w:r w:rsidR="000C46FE">
        <w:rPr>
          <w:rFonts w:asciiTheme="minorHAnsi" w:hAnsiTheme="minorHAnsi"/>
          <w:sz w:val="22"/>
          <w:szCs w:val="22"/>
        </w:rPr>
        <w:t xml:space="preserve"> when calculating NHH tariffs. </w:t>
      </w:r>
      <w:r w:rsidRPr="005B3F5F">
        <w:rPr>
          <w:rFonts w:asciiTheme="minorHAnsi" w:hAnsiTheme="minorHAnsi"/>
          <w:sz w:val="22"/>
          <w:szCs w:val="22"/>
        </w:rPr>
        <w:t xml:space="preserve">The notional spare capacity should align with the same proportions which are calculated and allocated to Half Hourly (HH) tariffs. </w:t>
      </w:r>
    </w:p>
    <w:p w:rsidR="007B13DA" w:rsidRPr="007B13DA" w:rsidRDefault="00EA4D0E" w:rsidP="007B13DA">
      <w:pPr>
        <w:pStyle w:val="Heading2"/>
        <w:keepNext w:val="0"/>
        <w:widowControl w:val="0"/>
        <w:spacing w:line="360" w:lineRule="auto"/>
        <w:jc w:val="both"/>
      </w:pPr>
      <w:r w:rsidRPr="00EA4D0E">
        <w:rPr>
          <w:rFonts w:asciiTheme="minorHAnsi" w:hAnsiTheme="minorHAnsi"/>
          <w:sz w:val="22"/>
          <w:szCs w:val="22"/>
        </w:rPr>
        <w:t>The solution to this change recommends that f</w:t>
      </w:r>
      <w:r w:rsidR="007B13DA" w:rsidRPr="00EA4D0E">
        <w:rPr>
          <w:rFonts w:asciiTheme="minorHAnsi" w:hAnsiTheme="minorHAnsi"/>
          <w:sz w:val="22"/>
          <w:szCs w:val="22"/>
        </w:rPr>
        <w:t xml:space="preserve">or each NHH tariff group the average maximum demand used in the calculation of charges should be increased by a factor to allow for spare capacity. The factor </w:t>
      </w:r>
      <w:r>
        <w:rPr>
          <w:rFonts w:asciiTheme="minorHAnsi" w:hAnsiTheme="minorHAnsi"/>
          <w:sz w:val="22"/>
          <w:szCs w:val="22"/>
        </w:rPr>
        <w:t xml:space="preserve">proposed is </w:t>
      </w:r>
      <w:r w:rsidR="007B13DA" w:rsidRPr="00EA4D0E">
        <w:rPr>
          <w:rFonts w:asciiTheme="minorHAnsi" w:hAnsiTheme="minorHAnsi"/>
          <w:sz w:val="22"/>
          <w:szCs w:val="22"/>
        </w:rPr>
        <w:t>the ratio between the average maximum demand and capacity from a similar HH tariff.</w:t>
      </w:r>
    </w:p>
    <w:p w:rsidR="00F466CD" w:rsidRDefault="00F466CD" w:rsidP="00F466CD">
      <w:pPr>
        <w:pStyle w:val="Heading1"/>
        <w:spacing w:line="360" w:lineRule="auto"/>
        <w:rPr>
          <w:rFonts w:asciiTheme="minorHAnsi" w:hAnsiTheme="minorHAnsi"/>
          <w:b/>
          <w:sz w:val="22"/>
          <w:szCs w:val="22"/>
        </w:rPr>
      </w:pPr>
      <w:r w:rsidRPr="00F76F5F">
        <w:rPr>
          <w:rFonts w:asciiTheme="minorHAnsi" w:hAnsiTheme="minorHAnsi"/>
          <w:b/>
          <w:sz w:val="22"/>
          <w:szCs w:val="22"/>
        </w:rPr>
        <w:t xml:space="preserve">WORKING GROUP ANALYSIS OF </w:t>
      </w:r>
      <w:r>
        <w:rPr>
          <w:rFonts w:asciiTheme="minorHAnsi" w:hAnsiTheme="minorHAnsi"/>
          <w:b/>
          <w:sz w:val="22"/>
          <w:szCs w:val="22"/>
        </w:rPr>
        <w:t>DCP 160</w:t>
      </w:r>
      <w:r w:rsidRPr="00F76F5F">
        <w:rPr>
          <w:rFonts w:asciiTheme="minorHAnsi" w:hAnsiTheme="minorHAnsi"/>
          <w:b/>
          <w:sz w:val="22"/>
          <w:szCs w:val="22"/>
        </w:rPr>
        <w:t xml:space="preserve"> – </w:t>
      </w:r>
      <w:r>
        <w:rPr>
          <w:rFonts w:asciiTheme="minorHAnsi" w:hAnsiTheme="minorHAnsi"/>
          <w:b/>
          <w:sz w:val="22"/>
          <w:szCs w:val="22"/>
        </w:rPr>
        <w:t>NON</w:t>
      </w:r>
      <w:r w:rsidRPr="005B3F5F">
        <w:rPr>
          <w:rFonts w:asciiTheme="minorHAnsi" w:hAnsiTheme="minorHAnsi"/>
          <w:b/>
          <w:sz w:val="22"/>
          <w:szCs w:val="22"/>
        </w:rPr>
        <w:t>-H</w:t>
      </w:r>
      <w:r>
        <w:rPr>
          <w:rFonts w:asciiTheme="minorHAnsi" w:hAnsiTheme="minorHAnsi"/>
          <w:b/>
          <w:sz w:val="22"/>
          <w:szCs w:val="22"/>
        </w:rPr>
        <w:t>ALF</w:t>
      </w:r>
      <w:r w:rsidRPr="005B3F5F">
        <w:rPr>
          <w:rFonts w:asciiTheme="minorHAnsi" w:hAnsiTheme="minorHAnsi"/>
          <w:b/>
          <w:sz w:val="22"/>
          <w:szCs w:val="22"/>
        </w:rPr>
        <w:t xml:space="preserve"> H</w:t>
      </w:r>
      <w:r>
        <w:rPr>
          <w:rFonts w:asciiTheme="minorHAnsi" w:hAnsiTheme="minorHAnsi"/>
          <w:b/>
          <w:sz w:val="22"/>
          <w:szCs w:val="22"/>
        </w:rPr>
        <w:t>OURLY</w:t>
      </w:r>
      <w:r w:rsidRPr="005B3F5F">
        <w:rPr>
          <w:rFonts w:asciiTheme="minorHAnsi" w:hAnsiTheme="minorHAnsi"/>
          <w:b/>
          <w:sz w:val="22"/>
          <w:szCs w:val="22"/>
        </w:rPr>
        <w:t xml:space="preserve"> (NHH) N</w:t>
      </w:r>
      <w:r>
        <w:rPr>
          <w:rFonts w:asciiTheme="minorHAnsi" w:hAnsiTheme="minorHAnsi"/>
          <w:b/>
          <w:sz w:val="22"/>
          <w:szCs w:val="22"/>
        </w:rPr>
        <w:t>OTIONAL CAPACITY</w:t>
      </w:r>
      <w:r w:rsidRPr="00F76F5F">
        <w:rPr>
          <w:rFonts w:asciiTheme="minorHAnsi" w:hAnsiTheme="minorHAnsi"/>
          <w:b/>
          <w:sz w:val="22"/>
          <w:szCs w:val="22"/>
        </w:rPr>
        <w:t xml:space="preserve"> </w:t>
      </w:r>
    </w:p>
    <w:p w:rsidR="00C14833" w:rsidRDefault="00C14833" w:rsidP="007808A5">
      <w:pPr>
        <w:pStyle w:val="Heading2"/>
        <w:keepNext w:val="0"/>
        <w:widowControl w:val="0"/>
        <w:spacing w:line="360" w:lineRule="auto"/>
        <w:jc w:val="both"/>
        <w:rPr>
          <w:rFonts w:asciiTheme="minorHAnsi" w:hAnsiTheme="minorHAnsi"/>
          <w:sz w:val="22"/>
          <w:szCs w:val="22"/>
        </w:rPr>
      </w:pPr>
      <w:r w:rsidRPr="00F76F5F">
        <w:rPr>
          <w:rFonts w:asciiTheme="minorHAnsi" w:hAnsiTheme="minorHAnsi"/>
          <w:sz w:val="22"/>
          <w:szCs w:val="22"/>
        </w:rPr>
        <w:t>The DCUSA</w:t>
      </w:r>
      <w:r w:rsidR="00C94E63">
        <w:rPr>
          <w:rFonts w:asciiTheme="minorHAnsi" w:hAnsiTheme="minorHAnsi"/>
          <w:sz w:val="22"/>
          <w:szCs w:val="22"/>
        </w:rPr>
        <w:t xml:space="preserve"> Panel has established a DCP 160</w:t>
      </w:r>
      <w:r w:rsidRPr="00F76F5F">
        <w:rPr>
          <w:rFonts w:asciiTheme="minorHAnsi" w:hAnsiTheme="minorHAnsi"/>
          <w:sz w:val="22"/>
          <w:szCs w:val="22"/>
        </w:rPr>
        <w:t xml:space="preserve"> Working Group</w:t>
      </w:r>
      <w:r w:rsidR="000C6C40" w:rsidRPr="00F76F5F">
        <w:rPr>
          <w:rFonts w:asciiTheme="minorHAnsi" w:hAnsiTheme="minorHAnsi"/>
          <w:sz w:val="22"/>
          <w:szCs w:val="22"/>
        </w:rPr>
        <w:t xml:space="preserve"> </w:t>
      </w:r>
      <w:r w:rsidRPr="00F76F5F">
        <w:rPr>
          <w:rFonts w:asciiTheme="minorHAnsi" w:hAnsiTheme="minorHAnsi"/>
          <w:sz w:val="22"/>
          <w:szCs w:val="22"/>
        </w:rPr>
        <w:t xml:space="preserve">which consists of Supplier, DNO and </w:t>
      </w:r>
      <w:proofErr w:type="spellStart"/>
      <w:r w:rsidRPr="00F76F5F">
        <w:rPr>
          <w:rFonts w:asciiTheme="minorHAnsi" w:hAnsiTheme="minorHAnsi"/>
          <w:sz w:val="22"/>
          <w:szCs w:val="22"/>
        </w:rPr>
        <w:t>Ofgem</w:t>
      </w:r>
      <w:proofErr w:type="spellEnd"/>
      <w:r w:rsidRPr="00F76F5F">
        <w:rPr>
          <w:rFonts w:asciiTheme="minorHAnsi" w:hAnsiTheme="minorHAnsi"/>
          <w:sz w:val="22"/>
          <w:szCs w:val="22"/>
        </w:rPr>
        <w:t xml:space="preserve"> representatives to consider the Change Proposal.</w:t>
      </w:r>
    </w:p>
    <w:p w:rsidR="000C46FE" w:rsidRPr="00F466CD" w:rsidRDefault="000C46FE" w:rsidP="000C46FE">
      <w:pPr>
        <w:pStyle w:val="Heading2"/>
        <w:keepNext w:val="0"/>
        <w:widowControl w:val="0"/>
        <w:spacing w:line="360" w:lineRule="auto"/>
        <w:jc w:val="both"/>
        <w:rPr>
          <w:rFonts w:asciiTheme="minorHAnsi" w:hAnsiTheme="minorHAnsi"/>
          <w:sz w:val="22"/>
          <w:szCs w:val="22"/>
        </w:rPr>
      </w:pPr>
      <w:r>
        <w:rPr>
          <w:rFonts w:asciiTheme="minorHAnsi" w:hAnsiTheme="minorHAnsi"/>
          <w:sz w:val="22"/>
          <w:szCs w:val="22"/>
        </w:rPr>
        <w:t xml:space="preserve">The Working Group </w:t>
      </w:r>
      <w:r w:rsidRPr="00F466CD">
        <w:rPr>
          <w:rFonts w:asciiTheme="minorHAnsi" w:hAnsiTheme="minorHAnsi"/>
          <w:sz w:val="22"/>
          <w:szCs w:val="22"/>
        </w:rPr>
        <w:t>defined the concept of notional spare capacity as:</w:t>
      </w:r>
    </w:p>
    <w:p w:rsidR="000C46FE" w:rsidRPr="00DF116E" w:rsidRDefault="000C46FE" w:rsidP="002E1B6C">
      <w:pPr>
        <w:pStyle w:val="GSBodyParaBullet"/>
        <w:numPr>
          <w:ilvl w:val="0"/>
          <w:numId w:val="0"/>
        </w:numPr>
        <w:spacing w:before="120"/>
        <w:ind w:left="720"/>
        <w:rPr>
          <w:i/>
        </w:rPr>
      </w:pPr>
      <w:proofErr w:type="gramStart"/>
      <w:r w:rsidRPr="00DF116E">
        <w:rPr>
          <w:i/>
        </w:rPr>
        <w:t>where</w:t>
      </w:r>
      <w:proofErr w:type="gramEnd"/>
      <w:r w:rsidRPr="00DF116E">
        <w:rPr>
          <w:i/>
        </w:rPr>
        <w:t xml:space="preserve"> the sum of the agreed capacity is x; and</w:t>
      </w:r>
    </w:p>
    <w:p w:rsidR="000C46FE" w:rsidRPr="00DF116E" w:rsidRDefault="000C46FE" w:rsidP="002E1B6C">
      <w:pPr>
        <w:pStyle w:val="GSBodyParaBullet"/>
        <w:numPr>
          <w:ilvl w:val="0"/>
          <w:numId w:val="0"/>
        </w:numPr>
        <w:spacing w:before="120"/>
        <w:ind w:left="720"/>
        <w:rPr>
          <w:i/>
        </w:rPr>
      </w:pPr>
      <w:proofErr w:type="gramStart"/>
      <w:r w:rsidRPr="00DF116E">
        <w:rPr>
          <w:i/>
        </w:rPr>
        <w:t>the</w:t>
      </w:r>
      <w:proofErr w:type="gramEnd"/>
      <w:r w:rsidRPr="00DF116E">
        <w:rPr>
          <w:i/>
        </w:rPr>
        <w:t xml:space="preserve"> sum of the maximum demand capacity is y;</w:t>
      </w:r>
    </w:p>
    <w:p w:rsidR="000C46FE" w:rsidRDefault="000C46FE" w:rsidP="002E1B6C">
      <w:pPr>
        <w:pStyle w:val="GSBodyParaBullet"/>
        <w:numPr>
          <w:ilvl w:val="0"/>
          <w:numId w:val="0"/>
        </w:numPr>
        <w:spacing w:before="120"/>
        <w:ind w:left="720"/>
      </w:pPr>
      <w:proofErr w:type="gramStart"/>
      <w:r w:rsidRPr="00DF116E">
        <w:rPr>
          <w:i/>
        </w:rPr>
        <w:t>then</w:t>
      </w:r>
      <w:proofErr w:type="gramEnd"/>
      <w:r w:rsidRPr="00DF116E">
        <w:rPr>
          <w:i/>
        </w:rPr>
        <w:t xml:space="preserve"> the Spare Capacity is x/y</w:t>
      </w:r>
      <w:r>
        <w:t>.</w:t>
      </w:r>
    </w:p>
    <w:p w:rsidR="000C46FE" w:rsidRPr="00DF116E" w:rsidRDefault="000C46FE" w:rsidP="00DF116E">
      <w:pPr>
        <w:pStyle w:val="Heading2"/>
        <w:keepNext w:val="0"/>
        <w:widowControl w:val="0"/>
        <w:spacing w:line="360" w:lineRule="auto"/>
        <w:jc w:val="both"/>
        <w:rPr>
          <w:rFonts w:asciiTheme="minorHAnsi" w:hAnsiTheme="minorHAnsi"/>
          <w:sz w:val="22"/>
          <w:szCs w:val="22"/>
        </w:rPr>
      </w:pPr>
      <w:r w:rsidRPr="00DF116E">
        <w:rPr>
          <w:rFonts w:asciiTheme="minorHAnsi" w:hAnsiTheme="minorHAnsi"/>
          <w:sz w:val="22"/>
          <w:szCs w:val="22"/>
        </w:rPr>
        <w:t>The Working Group agreed that the b</w:t>
      </w:r>
      <w:r w:rsidR="00DF116E" w:rsidRPr="00DF116E">
        <w:rPr>
          <w:rFonts w:asciiTheme="minorHAnsi" w:hAnsiTheme="minorHAnsi"/>
          <w:sz w:val="22"/>
          <w:szCs w:val="22"/>
        </w:rPr>
        <w:t xml:space="preserve">usiness justification </w:t>
      </w:r>
      <w:r w:rsidRPr="00DF116E">
        <w:rPr>
          <w:rFonts w:asciiTheme="minorHAnsi" w:hAnsiTheme="minorHAnsi"/>
          <w:sz w:val="22"/>
          <w:szCs w:val="22"/>
        </w:rPr>
        <w:t xml:space="preserve">for this change is that all tariffs need to be applied on a consistent cost relative basis for both existing and new tariffs. </w:t>
      </w:r>
      <w:r w:rsidR="00DF116E" w:rsidRPr="00DF116E">
        <w:rPr>
          <w:rFonts w:asciiTheme="minorHAnsi" w:hAnsiTheme="minorHAnsi"/>
          <w:sz w:val="22"/>
          <w:szCs w:val="22"/>
        </w:rPr>
        <w:t>In order to ensure the consistency of tariffs</w:t>
      </w:r>
      <w:r w:rsidR="00E35ED5">
        <w:rPr>
          <w:rFonts w:asciiTheme="minorHAnsi" w:hAnsiTheme="minorHAnsi"/>
          <w:sz w:val="22"/>
          <w:szCs w:val="22"/>
        </w:rPr>
        <w:t>,</w:t>
      </w:r>
      <w:r w:rsidR="00DF116E" w:rsidRPr="00DF116E">
        <w:rPr>
          <w:rFonts w:asciiTheme="minorHAnsi" w:hAnsiTheme="minorHAnsi"/>
          <w:sz w:val="22"/>
          <w:szCs w:val="22"/>
        </w:rPr>
        <w:t xml:space="preserve"> the </w:t>
      </w:r>
      <w:r w:rsidRPr="00DF116E">
        <w:rPr>
          <w:rFonts w:asciiTheme="minorHAnsi" w:hAnsiTheme="minorHAnsi"/>
          <w:sz w:val="22"/>
          <w:szCs w:val="22"/>
        </w:rPr>
        <w:t xml:space="preserve">Working Group </w:t>
      </w:r>
      <w:r w:rsidR="002E1B6C">
        <w:rPr>
          <w:rFonts w:asciiTheme="minorHAnsi" w:hAnsiTheme="minorHAnsi"/>
          <w:sz w:val="22"/>
          <w:szCs w:val="22"/>
        </w:rPr>
        <w:t xml:space="preserve">considered the treatment of capacity in the CDCM and </w:t>
      </w:r>
      <w:r w:rsidRPr="00DF116E">
        <w:rPr>
          <w:rFonts w:asciiTheme="minorHAnsi" w:hAnsiTheme="minorHAnsi"/>
          <w:sz w:val="22"/>
          <w:szCs w:val="22"/>
        </w:rPr>
        <w:t xml:space="preserve">tracked the calculation used in the model for NHH customers </w:t>
      </w:r>
      <w:r w:rsidRPr="00DF116E">
        <w:rPr>
          <w:rFonts w:asciiTheme="minorHAnsi" w:hAnsiTheme="minorHAnsi"/>
          <w:sz w:val="22"/>
          <w:szCs w:val="22"/>
        </w:rPr>
        <w:lastRenderedPageBreak/>
        <w:t xml:space="preserve">and concluded that there was some capacity elements </w:t>
      </w:r>
      <w:r w:rsidR="00DF116E" w:rsidRPr="00DF116E">
        <w:rPr>
          <w:rFonts w:asciiTheme="minorHAnsi" w:hAnsiTheme="minorHAnsi"/>
          <w:sz w:val="22"/>
          <w:szCs w:val="22"/>
        </w:rPr>
        <w:t xml:space="preserve">hidden in a NHH customers fixed </w:t>
      </w:r>
      <w:r w:rsidR="002E1B6C">
        <w:rPr>
          <w:rFonts w:asciiTheme="minorHAnsi" w:hAnsiTheme="minorHAnsi"/>
          <w:sz w:val="22"/>
          <w:szCs w:val="22"/>
        </w:rPr>
        <w:t>c</w:t>
      </w:r>
      <w:r w:rsidR="00DF116E" w:rsidRPr="00DF116E">
        <w:rPr>
          <w:rFonts w:asciiTheme="minorHAnsi" w:hAnsiTheme="minorHAnsi"/>
          <w:sz w:val="22"/>
          <w:szCs w:val="22"/>
        </w:rPr>
        <w:t>harge.</w:t>
      </w:r>
    </w:p>
    <w:p w:rsidR="000C46FE" w:rsidRDefault="000C46FE" w:rsidP="00DF116E">
      <w:pPr>
        <w:pStyle w:val="Heading2"/>
        <w:keepNext w:val="0"/>
        <w:widowControl w:val="0"/>
        <w:spacing w:line="360" w:lineRule="auto"/>
        <w:jc w:val="both"/>
        <w:rPr>
          <w:rFonts w:asciiTheme="minorHAnsi" w:hAnsiTheme="minorHAnsi"/>
          <w:sz w:val="22"/>
          <w:szCs w:val="22"/>
        </w:rPr>
      </w:pPr>
      <w:r w:rsidRPr="00DF116E">
        <w:rPr>
          <w:rFonts w:asciiTheme="minorHAnsi" w:hAnsiTheme="minorHAnsi"/>
          <w:sz w:val="22"/>
          <w:szCs w:val="22"/>
        </w:rPr>
        <w:t xml:space="preserve">The Working Group </w:t>
      </w:r>
      <w:r w:rsidR="002E1B6C">
        <w:rPr>
          <w:rFonts w:asciiTheme="minorHAnsi" w:hAnsiTheme="minorHAnsi"/>
          <w:sz w:val="22"/>
          <w:szCs w:val="22"/>
        </w:rPr>
        <w:t>is</w:t>
      </w:r>
      <w:r w:rsidR="00DF116E" w:rsidRPr="00DF116E">
        <w:rPr>
          <w:rFonts w:asciiTheme="minorHAnsi" w:hAnsiTheme="minorHAnsi"/>
          <w:sz w:val="22"/>
          <w:szCs w:val="22"/>
        </w:rPr>
        <w:t xml:space="preserve"> interested in respondent</w:t>
      </w:r>
      <w:r w:rsidR="00E35ED5">
        <w:rPr>
          <w:rFonts w:asciiTheme="minorHAnsi" w:hAnsiTheme="minorHAnsi"/>
          <w:sz w:val="22"/>
          <w:szCs w:val="22"/>
        </w:rPr>
        <w:t>’</w:t>
      </w:r>
      <w:r w:rsidR="00DF116E" w:rsidRPr="00DF116E">
        <w:rPr>
          <w:rFonts w:asciiTheme="minorHAnsi" w:hAnsiTheme="minorHAnsi"/>
          <w:sz w:val="22"/>
          <w:szCs w:val="22"/>
        </w:rPr>
        <w:t xml:space="preserve">s views on </w:t>
      </w:r>
      <w:r w:rsidR="00DF116E">
        <w:rPr>
          <w:rFonts w:asciiTheme="minorHAnsi" w:hAnsiTheme="minorHAnsi"/>
          <w:sz w:val="22"/>
          <w:szCs w:val="22"/>
        </w:rPr>
        <w:t>whether the</w:t>
      </w:r>
      <w:r w:rsidRPr="00DF116E">
        <w:rPr>
          <w:rFonts w:asciiTheme="minorHAnsi" w:hAnsiTheme="minorHAnsi"/>
          <w:sz w:val="22"/>
          <w:szCs w:val="22"/>
        </w:rPr>
        <w:t xml:space="preserve"> elements</w:t>
      </w:r>
      <w:r w:rsidR="002E1B6C">
        <w:rPr>
          <w:rFonts w:asciiTheme="minorHAnsi" w:hAnsiTheme="minorHAnsi"/>
          <w:sz w:val="22"/>
          <w:szCs w:val="22"/>
        </w:rPr>
        <w:t xml:space="preserve"> of capacity in the </w:t>
      </w:r>
      <w:r w:rsidR="00DF116E">
        <w:rPr>
          <w:rFonts w:asciiTheme="minorHAnsi" w:hAnsiTheme="minorHAnsi"/>
          <w:sz w:val="22"/>
          <w:szCs w:val="22"/>
        </w:rPr>
        <w:t>Standing Charge Factors</w:t>
      </w:r>
      <w:r w:rsidR="007C661D">
        <w:rPr>
          <w:rFonts w:asciiTheme="minorHAnsi" w:hAnsiTheme="minorHAnsi"/>
          <w:sz w:val="22"/>
          <w:szCs w:val="22"/>
        </w:rPr>
        <w:t xml:space="preserve"> is</w:t>
      </w:r>
      <w:r w:rsidRPr="00DF116E">
        <w:rPr>
          <w:rFonts w:asciiTheme="minorHAnsi" w:hAnsiTheme="minorHAnsi"/>
          <w:sz w:val="22"/>
          <w:szCs w:val="22"/>
        </w:rPr>
        <w:t xml:space="preserve"> sufficient and whether a change is justified for NHH calculations in order to bring them in line with the treatment of HH calculations</w:t>
      </w:r>
      <w:r w:rsidR="00DF116E">
        <w:rPr>
          <w:rFonts w:asciiTheme="minorHAnsi" w:hAnsiTheme="minorHAnsi"/>
          <w:sz w:val="22"/>
          <w:szCs w:val="22"/>
        </w:rPr>
        <w:t>.</w:t>
      </w:r>
    </w:p>
    <w:p w:rsidR="007C661D" w:rsidRPr="007C661D" w:rsidRDefault="00DF116E" w:rsidP="007C661D">
      <w:pPr>
        <w:pStyle w:val="Heading2"/>
        <w:keepNext w:val="0"/>
        <w:widowControl w:val="0"/>
        <w:spacing w:line="360" w:lineRule="auto"/>
        <w:jc w:val="both"/>
        <w:rPr>
          <w:rFonts w:asciiTheme="minorHAnsi" w:hAnsiTheme="minorHAnsi"/>
          <w:sz w:val="22"/>
          <w:szCs w:val="22"/>
        </w:rPr>
      </w:pPr>
      <w:r w:rsidRPr="002E1B6C">
        <w:rPr>
          <w:rFonts w:asciiTheme="minorHAnsi" w:hAnsiTheme="minorHAnsi"/>
          <w:sz w:val="22"/>
          <w:szCs w:val="22"/>
        </w:rPr>
        <w:t>DNO network planning uses the agreed capacities for HH customers but for NHH customers DNO’s use maximum demand assumptions.</w:t>
      </w:r>
      <w:r w:rsidR="002E1B6C" w:rsidRPr="002E1B6C">
        <w:rPr>
          <w:rFonts w:asciiTheme="minorHAnsi" w:hAnsiTheme="minorHAnsi"/>
          <w:sz w:val="22"/>
          <w:szCs w:val="22"/>
        </w:rPr>
        <w:t xml:space="preserve"> </w:t>
      </w:r>
      <w:r w:rsidR="007C661D" w:rsidRPr="007C661D">
        <w:rPr>
          <w:rFonts w:asciiTheme="minorHAnsi" w:hAnsiTheme="minorHAnsi"/>
          <w:sz w:val="22"/>
          <w:szCs w:val="22"/>
        </w:rPr>
        <w:t>W</w:t>
      </w:r>
      <w:r w:rsidR="00EA4D0E">
        <w:rPr>
          <w:rFonts w:asciiTheme="minorHAnsi" w:hAnsiTheme="minorHAnsi"/>
          <w:sz w:val="22"/>
          <w:szCs w:val="22"/>
        </w:rPr>
        <w:t xml:space="preserve">here </w:t>
      </w:r>
      <w:r w:rsidR="007C661D" w:rsidRPr="007C661D">
        <w:rPr>
          <w:rFonts w:asciiTheme="minorHAnsi" w:hAnsiTheme="minorHAnsi"/>
          <w:sz w:val="22"/>
          <w:szCs w:val="22"/>
        </w:rPr>
        <w:t>HH customer</w:t>
      </w:r>
      <w:r w:rsidR="00EA4D0E">
        <w:rPr>
          <w:rFonts w:asciiTheme="minorHAnsi" w:hAnsiTheme="minorHAnsi"/>
          <w:sz w:val="22"/>
          <w:szCs w:val="22"/>
        </w:rPr>
        <w:t>s have</w:t>
      </w:r>
      <w:r w:rsidR="007C661D" w:rsidRPr="007C661D">
        <w:rPr>
          <w:rFonts w:asciiTheme="minorHAnsi" w:hAnsiTheme="minorHAnsi"/>
          <w:sz w:val="22"/>
          <w:szCs w:val="22"/>
        </w:rPr>
        <w:t xml:space="preserve"> contracted for a specific level of capacity to be available for their use on the DNO network at any one time, any spare capacity will be subject to </w:t>
      </w:r>
      <w:r w:rsidR="00EA4D0E">
        <w:rPr>
          <w:rFonts w:asciiTheme="minorHAnsi" w:hAnsiTheme="minorHAnsi"/>
          <w:sz w:val="22"/>
          <w:szCs w:val="22"/>
        </w:rPr>
        <w:t>fluctuations in these</w:t>
      </w:r>
      <w:r w:rsidR="007C661D" w:rsidRPr="007C661D">
        <w:rPr>
          <w:rFonts w:asciiTheme="minorHAnsi" w:hAnsiTheme="minorHAnsi"/>
          <w:sz w:val="22"/>
          <w:szCs w:val="22"/>
        </w:rPr>
        <w:t xml:space="preserve"> HH customers use and could not be used for network design purposes to meet the needs of NHH customers.</w:t>
      </w:r>
    </w:p>
    <w:p w:rsidR="002E1B6C" w:rsidRDefault="002E1B6C" w:rsidP="002E1B6C">
      <w:pPr>
        <w:pStyle w:val="Heading2"/>
        <w:keepNext w:val="0"/>
        <w:widowControl w:val="0"/>
        <w:spacing w:line="360" w:lineRule="auto"/>
        <w:jc w:val="both"/>
        <w:rPr>
          <w:rFonts w:asciiTheme="minorHAnsi" w:hAnsiTheme="minorHAnsi"/>
          <w:sz w:val="22"/>
          <w:szCs w:val="22"/>
        </w:rPr>
      </w:pPr>
      <w:r w:rsidRPr="002E1B6C">
        <w:rPr>
          <w:rFonts w:asciiTheme="minorHAnsi" w:hAnsiTheme="minorHAnsi"/>
          <w:sz w:val="22"/>
          <w:szCs w:val="22"/>
        </w:rPr>
        <w:t>The Working Group is seeking Parties opinions on whether the NHH customer should be paying through their tariff for notional spare capacity when the DNO</w:t>
      </w:r>
      <w:r w:rsidR="00E35ED5">
        <w:rPr>
          <w:rFonts w:asciiTheme="minorHAnsi" w:hAnsiTheme="minorHAnsi"/>
          <w:sz w:val="22"/>
          <w:szCs w:val="22"/>
        </w:rPr>
        <w:t xml:space="preserve"> NHH</w:t>
      </w:r>
      <w:r w:rsidRPr="002E1B6C">
        <w:rPr>
          <w:rFonts w:asciiTheme="minorHAnsi" w:hAnsiTheme="minorHAnsi"/>
          <w:sz w:val="22"/>
          <w:szCs w:val="22"/>
        </w:rPr>
        <w:t xml:space="preserve"> network has not been designed for NHH customer use.</w:t>
      </w:r>
    </w:p>
    <w:p w:rsidR="0072288F" w:rsidRPr="00F76F5F" w:rsidRDefault="00F25001" w:rsidP="0072288F">
      <w:pPr>
        <w:pStyle w:val="Heading1"/>
        <w:keepNext w:val="0"/>
        <w:spacing w:line="360" w:lineRule="auto"/>
        <w:rPr>
          <w:rFonts w:asciiTheme="minorHAnsi" w:hAnsiTheme="minorHAnsi"/>
          <w:b/>
          <w:sz w:val="22"/>
          <w:szCs w:val="22"/>
        </w:rPr>
      </w:pPr>
      <w:r w:rsidRPr="00F76F5F">
        <w:rPr>
          <w:rFonts w:asciiTheme="minorHAnsi" w:hAnsiTheme="minorHAnsi"/>
          <w:b/>
          <w:sz w:val="22"/>
          <w:szCs w:val="22"/>
        </w:rPr>
        <w:t>D</w:t>
      </w:r>
      <w:r w:rsidR="006C3915">
        <w:rPr>
          <w:rFonts w:asciiTheme="minorHAnsi" w:hAnsiTheme="minorHAnsi"/>
          <w:b/>
          <w:sz w:val="22"/>
          <w:szCs w:val="22"/>
        </w:rPr>
        <w:t>CP 160</w:t>
      </w:r>
      <w:r w:rsidRPr="00F76F5F">
        <w:rPr>
          <w:rFonts w:asciiTheme="minorHAnsi" w:hAnsiTheme="minorHAnsi"/>
          <w:b/>
          <w:sz w:val="22"/>
          <w:szCs w:val="22"/>
        </w:rPr>
        <w:t xml:space="preserve"> – </w:t>
      </w:r>
      <w:r w:rsidR="00C27AB6" w:rsidRPr="00F76F5F">
        <w:rPr>
          <w:rFonts w:asciiTheme="minorHAnsi" w:hAnsiTheme="minorHAnsi"/>
          <w:b/>
          <w:sz w:val="22"/>
          <w:szCs w:val="22"/>
        </w:rPr>
        <w:t>Consultation</w:t>
      </w:r>
      <w:r w:rsidR="006C3915">
        <w:rPr>
          <w:rFonts w:asciiTheme="minorHAnsi" w:hAnsiTheme="minorHAnsi"/>
          <w:b/>
          <w:sz w:val="22"/>
          <w:szCs w:val="22"/>
        </w:rPr>
        <w:t xml:space="preserve"> One</w:t>
      </w:r>
      <w:r w:rsidR="00C27AB6" w:rsidRPr="00F76F5F">
        <w:rPr>
          <w:rFonts w:asciiTheme="minorHAnsi" w:hAnsiTheme="minorHAnsi"/>
          <w:b/>
          <w:sz w:val="22"/>
          <w:szCs w:val="22"/>
        </w:rPr>
        <w:t xml:space="preserve"> Questions</w:t>
      </w:r>
    </w:p>
    <w:p w:rsidR="0072288F" w:rsidRDefault="0072288F" w:rsidP="0072288F">
      <w:pPr>
        <w:pStyle w:val="Heading2"/>
        <w:keepNext w:val="0"/>
        <w:spacing w:line="360" w:lineRule="auto"/>
        <w:ind w:left="567" w:hanging="567"/>
        <w:rPr>
          <w:rFonts w:asciiTheme="minorHAnsi" w:hAnsiTheme="minorHAnsi"/>
          <w:sz w:val="22"/>
          <w:szCs w:val="22"/>
        </w:rPr>
      </w:pPr>
      <w:r w:rsidRPr="00F76F5F">
        <w:rPr>
          <w:rFonts w:asciiTheme="minorHAnsi" w:hAnsiTheme="minorHAnsi"/>
          <w:sz w:val="22"/>
          <w:szCs w:val="22"/>
        </w:rPr>
        <w:t xml:space="preserve">The following table provides a </w:t>
      </w:r>
      <w:r w:rsidR="00D51518" w:rsidRPr="00F76F5F">
        <w:rPr>
          <w:rFonts w:asciiTheme="minorHAnsi" w:hAnsiTheme="minorHAnsi"/>
          <w:sz w:val="22"/>
          <w:szCs w:val="22"/>
        </w:rPr>
        <w:t xml:space="preserve">list </w:t>
      </w:r>
      <w:r w:rsidRPr="00F76F5F">
        <w:rPr>
          <w:rFonts w:asciiTheme="minorHAnsi" w:hAnsiTheme="minorHAnsi"/>
          <w:sz w:val="22"/>
          <w:szCs w:val="22"/>
        </w:rPr>
        <w:t xml:space="preserve">of the consultation questions that the Working Group is seeking responses to.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7286"/>
      </w:tblGrid>
      <w:tr w:rsidR="007521E4" w:rsidRPr="00F76F5F" w:rsidTr="002663ED">
        <w:trPr>
          <w:jc w:val="center"/>
        </w:trPr>
        <w:tc>
          <w:tcPr>
            <w:tcW w:w="1242" w:type="dxa"/>
            <w:shd w:val="pct65" w:color="auto" w:fill="auto"/>
          </w:tcPr>
          <w:p w:rsidR="007521E4" w:rsidRPr="00E35ED5" w:rsidRDefault="007521E4" w:rsidP="00C80561">
            <w:pPr>
              <w:spacing w:after="60"/>
              <w:rPr>
                <w:rFonts w:asciiTheme="minorHAnsi" w:hAnsiTheme="minorHAnsi"/>
                <w:b/>
                <w:color w:val="FFFFFF"/>
                <w:sz w:val="22"/>
                <w:szCs w:val="22"/>
              </w:rPr>
            </w:pPr>
            <w:r w:rsidRPr="00E35ED5">
              <w:rPr>
                <w:rFonts w:asciiTheme="minorHAnsi" w:hAnsiTheme="minorHAnsi"/>
                <w:b/>
                <w:color w:val="FFFFFF"/>
                <w:sz w:val="22"/>
                <w:szCs w:val="22"/>
              </w:rPr>
              <w:t>Question Number</w:t>
            </w:r>
          </w:p>
        </w:tc>
        <w:tc>
          <w:tcPr>
            <w:tcW w:w="7286" w:type="dxa"/>
            <w:shd w:val="pct65" w:color="auto" w:fill="auto"/>
          </w:tcPr>
          <w:p w:rsidR="007521E4" w:rsidRPr="00E35ED5" w:rsidRDefault="001974CE" w:rsidP="00C838BE">
            <w:pPr>
              <w:spacing w:after="60" w:line="360" w:lineRule="auto"/>
              <w:rPr>
                <w:rFonts w:asciiTheme="minorHAnsi" w:hAnsiTheme="minorHAnsi"/>
                <w:b/>
                <w:color w:val="FFFFFF"/>
                <w:sz w:val="22"/>
                <w:szCs w:val="22"/>
              </w:rPr>
            </w:pPr>
            <w:r w:rsidRPr="00E35ED5">
              <w:rPr>
                <w:rFonts w:asciiTheme="minorHAnsi" w:hAnsiTheme="minorHAnsi"/>
                <w:b/>
                <w:color w:val="FFFFFF"/>
                <w:sz w:val="22"/>
                <w:szCs w:val="22"/>
              </w:rPr>
              <w:t xml:space="preserve">General </w:t>
            </w:r>
            <w:r w:rsidR="007521E4" w:rsidRPr="00E35ED5">
              <w:rPr>
                <w:rFonts w:asciiTheme="minorHAnsi" w:hAnsiTheme="minorHAnsi"/>
                <w:b/>
                <w:color w:val="FFFFFF"/>
                <w:sz w:val="22"/>
                <w:szCs w:val="22"/>
              </w:rPr>
              <w:t>Question</w:t>
            </w:r>
            <w:r w:rsidRPr="00E35ED5">
              <w:rPr>
                <w:rFonts w:asciiTheme="minorHAnsi" w:hAnsiTheme="minorHAnsi"/>
                <w:b/>
                <w:color w:val="FFFFFF"/>
                <w:sz w:val="22"/>
                <w:szCs w:val="22"/>
              </w:rPr>
              <w:t>s</w:t>
            </w:r>
          </w:p>
        </w:tc>
      </w:tr>
      <w:tr w:rsidR="007521E4" w:rsidRPr="00F76F5F" w:rsidTr="002663ED">
        <w:trPr>
          <w:jc w:val="center"/>
        </w:trPr>
        <w:tc>
          <w:tcPr>
            <w:tcW w:w="1242" w:type="dxa"/>
            <w:vAlign w:val="center"/>
          </w:tcPr>
          <w:p w:rsidR="007521E4" w:rsidRPr="00E35ED5" w:rsidRDefault="007521E4" w:rsidP="00C80561">
            <w:pPr>
              <w:pStyle w:val="ListParagraph"/>
              <w:numPr>
                <w:ilvl w:val="0"/>
                <w:numId w:val="5"/>
              </w:numPr>
              <w:spacing w:after="60"/>
              <w:jc w:val="center"/>
              <w:rPr>
                <w:rFonts w:asciiTheme="minorHAnsi" w:hAnsiTheme="minorHAnsi"/>
                <w:sz w:val="22"/>
                <w:szCs w:val="22"/>
              </w:rPr>
            </w:pPr>
          </w:p>
        </w:tc>
        <w:tc>
          <w:tcPr>
            <w:tcW w:w="7286" w:type="dxa"/>
            <w:vAlign w:val="center"/>
          </w:tcPr>
          <w:p w:rsidR="006C3915" w:rsidRPr="00E35ED5" w:rsidRDefault="00F466CD" w:rsidP="006C3915">
            <w:pPr>
              <w:pStyle w:val="Heading1"/>
              <w:keepNext w:val="0"/>
              <w:numPr>
                <w:ilvl w:val="0"/>
                <w:numId w:val="0"/>
              </w:numPr>
              <w:tabs>
                <w:tab w:val="left" w:pos="851"/>
              </w:tabs>
              <w:spacing w:after="120" w:line="360" w:lineRule="auto"/>
              <w:jc w:val="both"/>
              <w:rPr>
                <w:rFonts w:asciiTheme="minorHAnsi" w:hAnsiTheme="minorHAnsi"/>
                <w:b/>
                <w:sz w:val="22"/>
                <w:szCs w:val="22"/>
                <w:u w:val="single"/>
              </w:rPr>
            </w:pPr>
            <w:r w:rsidRPr="00E35ED5">
              <w:rPr>
                <w:rFonts w:asciiTheme="minorHAnsi" w:hAnsiTheme="minorHAnsi"/>
                <w:b/>
                <w:sz w:val="22"/>
                <w:szCs w:val="22"/>
                <w:u w:val="single"/>
              </w:rPr>
              <w:t>Statement</w:t>
            </w:r>
            <w:r w:rsidR="006C3915" w:rsidRPr="00E35ED5">
              <w:rPr>
                <w:rFonts w:asciiTheme="minorHAnsi" w:hAnsiTheme="minorHAnsi"/>
                <w:b/>
                <w:sz w:val="22"/>
                <w:szCs w:val="22"/>
                <w:u w:val="single"/>
              </w:rPr>
              <w:t xml:space="preserve">: All tariffs need to be applied on a consistent cost relative basis for both existing and new tariffs. </w:t>
            </w:r>
          </w:p>
          <w:p w:rsidR="007521E4" w:rsidRPr="00E35ED5" w:rsidRDefault="006C3915" w:rsidP="006C3915">
            <w:pPr>
              <w:pStyle w:val="GSBodyParaBullet"/>
              <w:numPr>
                <w:ilvl w:val="0"/>
                <w:numId w:val="0"/>
              </w:numPr>
              <w:rPr>
                <w:rFonts w:asciiTheme="minorHAnsi" w:hAnsiTheme="minorHAnsi"/>
                <w:sz w:val="22"/>
              </w:rPr>
            </w:pPr>
            <w:r w:rsidRPr="00E35ED5">
              <w:rPr>
                <w:sz w:val="22"/>
              </w:rPr>
              <w:t>Do you agree with this statement?</w:t>
            </w:r>
          </w:p>
        </w:tc>
      </w:tr>
      <w:tr w:rsidR="007521E4" w:rsidRPr="00F76F5F" w:rsidTr="002663ED">
        <w:trPr>
          <w:jc w:val="center"/>
        </w:trPr>
        <w:tc>
          <w:tcPr>
            <w:tcW w:w="1242" w:type="dxa"/>
            <w:vAlign w:val="center"/>
          </w:tcPr>
          <w:p w:rsidR="007521E4" w:rsidRPr="00E35ED5" w:rsidRDefault="007521E4" w:rsidP="00C80561">
            <w:pPr>
              <w:pStyle w:val="ListParagraph"/>
              <w:numPr>
                <w:ilvl w:val="0"/>
                <w:numId w:val="5"/>
              </w:numPr>
              <w:spacing w:after="60"/>
              <w:jc w:val="center"/>
              <w:rPr>
                <w:rFonts w:asciiTheme="minorHAnsi" w:hAnsiTheme="minorHAnsi"/>
                <w:sz w:val="22"/>
                <w:szCs w:val="22"/>
              </w:rPr>
            </w:pPr>
          </w:p>
        </w:tc>
        <w:tc>
          <w:tcPr>
            <w:tcW w:w="7286" w:type="dxa"/>
            <w:vAlign w:val="center"/>
          </w:tcPr>
          <w:p w:rsidR="006C3915" w:rsidRPr="00E35ED5" w:rsidRDefault="006C3915" w:rsidP="00972C0E">
            <w:pPr>
              <w:pStyle w:val="GSBodyParaBullet"/>
              <w:numPr>
                <w:ilvl w:val="0"/>
                <w:numId w:val="0"/>
              </w:numPr>
              <w:rPr>
                <w:sz w:val="22"/>
              </w:rPr>
            </w:pPr>
            <w:r w:rsidRPr="00E35ED5">
              <w:rPr>
                <w:sz w:val="22"/>
              </w:rPr>
              <w:t>D</w:t>
            </w:r>
            <w:r w:rsidR="00972C0E" w:rsidRPr="00E35ED5">
              <w:rPr>
                <w:sz w:val="22"/>
              </w:rPr>
              <w:t>o you understand the Standing C</w:t>
            </w:r>
            <w:r w:rsidRPr="00E35ED5">
              <w:rPr>
                <w:sz w:val="22"/>
              </w:rPr>
              <w:t xml:space="preserve">harge </w:t>
            </w:r>
            <w:r w:rsidR="00972C0E" w:rsidRPr="00E35ED5">
              <w:rPr>
                <w:sz w:val="22"/>
              </w:rPr>
              <w:t>F</w:t>
            </w:r>
            <w:r w:rsidRPr="00E35ED5">
              <w:rPr>
                <w:sz w:val="22"/>
              </w:rPr>
              <w:t>actors?</w:t>
            </w:r>
          </w:p>
        </w:tc>
      </w:tr>
      <w:tr w:rsidR="00972C0E" w:rsidRPr="00F76F5F" w:rsidTr="00081F1A">
        <w:trPr>
          <w:jc w:val="center"/>
        </w:trPr>
        <w:tc>
          <w:tcPr>
            <w:tcW w:w="1242" w:type="dxa"/>
            <w:vAlign w:val="center"/>
          </w:tcPr>
          <w:p w:rsidR="00972C0E" w:rsidRPr="00E35ED5" w:rsidRDefault="00972C0E" w:rsidP="00C80561">
            <w:pPr>
              <w:pStyle w:val="ListParagraph"/>
              <w:numPr>
                <w:ilvl w:val="0"/>
                <w:numId w:val="5"/>
              </w:numPr>
              <w:spacing w:after="60"/>
              <w:jc w:val="center"/>
              <w:rPr>
                <w:rFonts w:asciiTheme="minorHAnsi" w:hAnsiTheme="minorHAnsi"/>
                <w:sz w:val="22"/>
                <w:szCs w:val="22"/>
              </w:rPr>
            </w:pPr>
          </w:p>
        </w:tc>
        <w:tc>
          <w:tcPr>
            <w:tcW w:w="7286" w:type="dxa"/>
          </w:tcPr>
          <w:p w:rsidR="00972C0E" w:rsidRPr="00E35ED5" w:rsidRDefault="00972C0E" w:rsidP="007C661D">
            <w:pPr>
              <w:pStyle w:val="GSBodyParaBullet"/>
              <w:numPr>
                <w:ilvl w:val="0"/>
                <w:numId w:val="0"/>
              </w:numPr>
              <w:rPr>
                <w:sz w:val="22"/>
              </w:rPr>
            </w:pPr>
            <w:r w:rsidRPr="00E35ED5">
              <w:rPr>
                <w:sz w:val="22"/>
              </w:rPr>
              <w:t>The planning process</w:t>
            </w:r>
            <w:r w:rsidR="007C661D">
              <w:rPr>
                <w:sz w:val="22"/>
              </w:rPr>
              <w:t xml:space="preserve"> for NHH customers is based on Maximum Demand assumption w</w:t>
            </w:r>
            <w:r w:rsidRPr="00E35ED5">
              <w:rPr>
                <w:sz w:val="22"/>
              </w:rPr>
              <w:t xml:space="preserve">hich for HH customers is agreed </w:t>
            </w:r>
            <w:proofErr w:type="gramStart"/>
            <w:r w:rsidRPr="00E35ED5">
              <w:rPr>
                <w:sz w:val="22"/>
              </w:rPr>
              <w:t>capacity,</w:t>
            </w:r>
            <w:proofErr w:type="gramEnd"/>
            <w:r w:rsidRPr="00E35ED5">
              <w:rPr>
                <w:sz w:val="22"/>
              </w:rPr>
              <w:t xml:space="preserve"> do you consider the current process correct for applying tariffs as set out under the CDCM?</w:t>
            </w:r>
          </w:p>
        </w:tc>
      </w:tr>
      <w:tr w:rsidR="00972C0E" w:rsidRPr="00F76F5F" w:rsidTr="00081F1A">
        <w:trPr>
          <w:jc w:val="center"/>
        </w:trPr>
        <w:tc>
          <w:tcPr>
            <w:tcW w:w="1242" w:type="dxa"/>
            <w:vAlign w:val="center"/>
          </w:tcPr>
          <w:p w:rsidR="00972C0E" w:rsidRPr="00E35ED5" w:rsidRDefault="00972C0E" w:rsidP="00C80561">
            <w:pPr>
              <w:pStyle w:val="ListParagraph"/>
              <w:numPr>
                <w:ilvl w:val="0"/>
                <w:numId w:val="5"/>
              </w:numPr>
              <w:spacing w:after="60"/>
              <w:jc w:val="center"/>
              <w:rPr>
                <w:rFonts w:asciiTheme="minorHAnsi" w:hAnsiTheme="minorHAnsi"/>
                <w:sz w:val="22"/>
                <w:szCs w:val="22"/>
              </w:rPr>
            </w:pPr>
          </w:p>
        </w:tc>
        <w:tc>
          <w:tcPr>
            <w:tcW w:w="7286" w:type="dxa"/>
          </w:tcPr>
          <w:p w:rsidR="00972C0E" w:rsidRPr="00E35ED5" w:rsidRDefault="00972C0E" w:rsidP="00972C0E">
            <w:pPr>
              <w:pStyle w:val="GSBodyParaBullet"/>
              <w:numPr>
                <w:ilvl w:val="0"/>
                <w:numId w:val="0"/>
              </w:numPr>
              <w:rPr>
                <w:sz w:val="22"/>
              </w:rPr>
            </w:pPr>
            <w:r w:rsidRPr="00E35ED5">
              <w:rPr>
                <w:sz w:val="22"/>
              </w:rPr>
              <w:t>There is a perception that there is notional spare capacity created by HH customers. Is this correct?</w:t>
            </w:r>
          </w:p>
        </w:tc>
      </w:tr>
      <w:tr w:rsidR="00972C0E" w:rsidRPr="00F76F5F" w:rsidTr="00081F1A">
        <w:trPr>
          <w:jc w:val="center"/>
        </w:trPr>
        <w:tc>
          <w:tcPr>
            <w:tcW w:w="1242" w:type="dxa"/>
            <w:vAlign w:val="center"/>
          </w:tcPr>
          <w:p w:rsidR="00972C0E" w:rsidRPr="00E35ED5" w:rsidRDefault="00972C0E" w:rsidP="00C80561">
            <w:pPr>
              <w:pStyle w:val="ListParagraph"/>
              <w:numPr>
                <w:ilvl w:val="0"/>
                <w:numId w:val="5"/>
              </w:numPr>
              <w:spacing w:after="60"/>
              <w:jc w:val="center"/>
              <w:rPr>
                <w:rFonts w:asciiTheme="minorHAnsi" w:hAnsiTheme="minorHAnsi"/>
                <w:sz w:val="22"/>
                <w:szCs w:val="22"/>
              </w:rPr>
            </w:pPr>
          </w:p>
        </w:tc>
        <w:tc>
          <w:tcPr>
            <w:tcW w:w="7286" w:type="dxa"/>
          </w:tcPr>
          <w:p w:rsidR="00972C0E" w:rsidRPr="00E35ED5" w:rsidRDefault="00972C0E" w:rsidP="00972C0E">
            <w:pPr>
              <w:pStyle w:val="GSBodyParaBullet"/>
              <w:numPr>
                <w:ilvl w:val="0"/>
                <w:numId w:val="0"/>
              </w:numPr>
              <w:rPr>
                <w:sz w:val="22"/>
              </w:rPr>
            </w:pPr>
            <w:r w:rsidRPr="00E35ED5">
              <w:rPr>
                <w:sz w:val="22"/>
              </w:rPr>
              <w:t>If you think that NHH customers should be picking up some proportion of this notional spare capacity, is the proportion</w:t>
            </w:r>
            <w:r w:rsidR="007D3BBE">
              <w:rPr>
                <w:rStyle w:val="FootnoteReference"/>
                <w:sz w:val="22"/>
              </w:rPr>
              <w:footnoteReference w:id="1"/>
            </w:r>
            <w:r w:rsidRPr="00E35ED5">
              <w:rPr>
                <w:sz w:val="22"/>
              </w:rPr>
              <w:t xml:space="preserve"> suggested in this CP appropriate?</w:t>
            </w:r>
          </w:p>
        </w:tc>
      </w:tr>
      <w:tr w:rsidR="00972C0E" w:rsidRPr="00F76F5F" w:rsidTr="00081F1A">
        <w:trPr>
          <w:jc w:val="center"/>
        </w:trPr>
        <w:tc>
          <w:tcPr>
            <w:tcW w:w="1242" w:type="dxa"/>
            <w:vAlign w:val="center"/>
          </w:tcPr>
          <w:p w:rsidR="00972C0E" w:rsidRPr="00E35ED5" w:rsidRDefault="00972C0E" w:rsidP="00C80561">
            <w:pPr>
              <w:pStyle w:val="ListParagraph"/>
              <w:numPr>
                <w:ilvl w:val="0"/>
                <w:numId w:val="5"/>
              </w:numPr>
              <w:spacing w:after="60"/>
              <w:jc w:val="center"/>
              <w:rPr>
                <w:rFonts w:asciiTheme="minorHAnsi" w:hAnsiTheme="minorHAnsi"/>
                <w:sz w:val="22"/>
                <w:szCs w:val="22"/>
              </w:rPr>
            </w:pPr>
          </w:p>
        </w:tc>
        <w:tc>
          <w:tcPr>
            <w:tcW w:w="7286" w:type="dxa"/>
          </w:tcPr>
          <w:p w:rsidR="00972C0E" w:rsidRPr="00E35ED5" w:rsidRDefault="00972C0E" w:rsidP="00972C0E">
            <w:pPr>
              <w:pStyle w:val="GSBodyParaBullet"/>
              <w:numPr>
                <w:ilvl w:val="0"/>
                <w:numId w:val="0"/>
              </w:numPr>
              <w:rPr>
                <w:sz w:val="22"/>
              </w:rPr>
            </w:pPr>
            <w:r w:rsidRPr="00E35ED5">
              <w:rPr>
                <w:sz w:val="22"/>
              </w:rPr>
              <w:t>Are customers happy paying for spare capacity or are they paying for reserved non-used capacity?</w:t>
            </w:r>
          </w:p>
        </w:tc>
      </w:tr>
      <w:tr w:rsidR="00972C0E" w:rsidRPr="00F76F5F" w:rsidTr="00081F1A">
        <w:trPr>
          <w:jc w:val="center"/>
        </w:trPr>
        <w:tc>
          <w:tcPr>
            <w:tcW w:w="1242" w:type="dxa"/>
            <w:vAlign w:val="center"/>
          </w:tcPr>
          <w:p w:rsidR="00972C0E" w:rsidRPr="00E35ED5" w:rsidRDefault="00972C0E" w:rsidP="00C80561">
            <w:pPr>
              <w:pStyle w:val="ListParagraph"/>
              <w:numPr>
                <w:ilvl w:val="0"/>
                <w:numId w:val="5"/>
              </w:numPr>
              <w:spacing w:after="60"/>
              <w:jc w:val="center"/>
              <w:rPr>
                <w:rFonts w:asciiTheme="minorHAnsi" w:hAnsiTheme="minorHAnsi"/>
                <w:sz w:val="22"/>
                <w:szCs w:val="22"/>
              </w:rPr>
            </w:pPr>
          </w:p>
        </w:tc>
        <w:tc>
          <w:tcPr>
            <w:tcW w:w="7286" w:type="dxa"/>
          </w:tcPr>
          <w:p w:rsidR="00972C0E" w:rsidRPr="00E35ED5" w:rsidRDefault="00972C0E" w:rsidP="00972C0E">
            <w:pPr>
              <w:pStyle w:val="GSBodyParaBullet"/>
              <w:numPr>
                <w:ilvl w:val="0"/>
                <w:numId w:val="0"/>
              </w:numPr>
              <w:rPr>
                <w:sz w:val="22"/>
              </w:rPr>
            </w:pPr>
            <w:r w:rsidRPr="00E35ED5">
              <w:rPr>
                <w:sz w:val="22"/>
              </w:rPr>
              <w:t>Do you agree that HH customers are paying for spare capacity whereas NHH customers are not?</w:t>
            </w:r>
          </w:p>
        </w:tc>
      </w:tr>
      <w:tr w:rsidR="00972C0E" w:rsidRPr="00F76F5F" w:rsidTr="00081F1A">
        <w:trPr>
          <w:jc w:val="center"/>
        </w:trPr>
        <w:tc>
          <w:tcPr>
            <w:tcW w:w="1242" w:type="dxa"/>
            <w:vAlign w:val="center"/>
          </w:tcPr>
          <w:p w:rsidR="00972C0E" w:rsidRPr="00E35ED5" w:rsidRDefault="00972C0E" w:rsidP="00C80561">
            <w:pPr>
              <w:pStyle w:val="ListParagraph"/>
              <w:numPr>
                <w:ilvl w:val="0"/>
                <w:numId w:val="5"/>
              </w:numPr>
              <w:spacing w:after="60"/>
              <w:jc w:val="center"/>
              <w:rPr>
                <w:rFonts w:asciiTheme="minorHAnsi" w:hAnsiTheme="minorHAnsi"/>
                <w:sz w:val="22"/>
                <w:szCs w:val="22"/>
              </w:rPr>
            </w:pPr>
          </w:p>
        </w:tc>
        <w:tc>
          <w:tcPr>
            <w:tcW w:w="7286" w:type="dxa"/>
          </w:tcPr>
          <w:p w:rsidR="00972C0E" w:rsidRPr="00E35ED5" w:rsidRDefault="00972C0E" w:rsidP="00972C0E">
            <w:pPr>
              <w:pStyle w:val="GSBodyParaBullet"/>
              <w:numPr>
                <w:ilvl w:val="0"/>
                <w:numId w:val="0"/>
              </w:numPr>
              <w:rPr>
                <w:sz w:val="22"/>
              </w:rPr>
            </w:pPr>
            <w:r w:rsidRPr="00E35ED5">
              <w:rPr>
                <w:sz w:val="22"/>
              </w:rPr>
              <w:t>If you consider that NHH customers are not using the reserved non-used agreed capacity, is there another factor that should be used?</w:t>
            </w:r>
          </w:p>
        </w:tc>
      </w:tr>
    </w:tbl>
    <w:p w:rsidR="005117D7" w:rsidRPr="00F76F5F" w:rsidRDefault="005117D7" w:rsidP="005117D7">
      <w:pPr>
        <w:rPr>
          <w:rFonts w:asciiTheme="minorHAnsi" w:hAnsiTheme="minorHAnsi"/>
          <w:sz w:val="22"/>
          <w:szCs w:val="22"/>
        </w:rPr>
      </w:pPr>
    </w:p>
    <w:p w:rsidR="004F4F3C" w:rsidRPr="00E35ED5" w:rsidRDefault="00A264E4" w:rsidP="00F76F5F">
      <w:pPr>
        <w:pStyle w:val="Heading2"/>
        <w:keepNext w:val="0"/>
        <w:spacing w:line="360" w:lineRule="auto"/>
        <w:ind w:left="578" w:hanging="578"/>
        <w:jc w:val="both"/>
        <w:rPr>
          <w:rFonts w:asciiTheme="minorHAnsi" w:hAnsiTheme="minorHAnsi"/>
          <w:sz w:val="22"/>
          <w:szCs w:val="22"/>
        </w:rPr>
      </w:pPr>
      <w:r w:rsidRPr="00E35ED5">
        <w:rPr>
          <w:rFonts w:asciiTheme="minorHAnsi" w:hAnsiTheme="minorHAnsi"/>
          <w:sz w:val="22"/>
          <w:szCs w:val="22"/>
        </w:rPr>
        <w:t>Responses sh</w:t>
      </w:r>
      <w:r w:rsidR="00F04639" w:rsidRPr="00E35ED5">
        <w:rPr>
          <w:rFonts w:asciiTheme="minorHAnsi" w:hAnsiTheme="minorHAnsi"/>
          <w:sz w:val="22"/>
          <w:szCs w:val="22"/>
        </w:rPr>
        <w:t xml:space="preserve">ould be submitted using Attachment </w:t>
      </w:r>
      <w:r w:rsidR="000B3C71" w:rsidRPr="00E35ED5">
        <w:rPr>
          <w:rFonts w:asciiTheme="minorHAnsi" w:hAnsiTheme="minorHAnsi"/>
          <w:sz w:val="22"/>
          <w:szCs w:val="22"/>
        </w:rPr>
        <w:t>1</w:t>
      </w:r>
      <w:r w:rsidR="00F04639" w:rsidRPr="00E35ED5">
        <w:rPr>
          <w:rFonts w:asciiTheme="minorHAnsi" w:hAnsiTheme="minorHAnsi"/>
          <w:sz w:val="22"/>
          <w:szCs w:val="22"/>
        </w:rPr>
        <w:t xml:space="preserve"> </w:t>
      </w:r>
      <w:r w:rsidRPr="00E35ED5">
        <w:rPr>
          <w:rFonts w:asciiTheme="minorHAnsi" w:hAnsiTheme="minorHAnsi"/>
          <w:sz w:val="22"/>
          <w:szCs w:val="22"/>
        </w:rPr>
        <w:t xml:space="preserve">to </w:t>
      </w:r>
      <w:hyperlink r:id="rId10" w:history="1">
        <w:r w:rsidRPr="00E35ED5">
          <w:rPr>
            <w:rStyle w:val="Hyperlink"/>
            <w:rFonts w:asciiTheme="minorHAnsi" w:hAnsiTheme="minorHAnsi"/>
            <w:sz w:val="22"/>
            <w:szCs w:val="22"/>
          </w:rPr>
          <w:t>dcusa@electralink.co.uk</w:t>
        </w:r>
      </w:hyperlink>
      <w:r w:rsidRPr="00E35ED5">
        <w:rPr>
          <w:rFonts w:asciiTheme="minorHAnsi" w:hAnsiTheme="minorHAnsi"/>
          <w:sz w:val="22"/>
          <w:szCs w:val="22"/>
        </w:rPr>
        <w:t xml:space="preserve"> no later than </w:t>
      </w:r>
      <w:r w:rsidR="008604EB" w:rsidRPr="00E35ED5">
        <w:rPr>
          <w:rFonts w:asciiTheme="minorHAnsi" w:hAnsiTheme="minorHAnsi"/>
          <w:b/>
          <w:sz w:val="22"/>
          <w:szCs w:val="22"/>
          <w:highlight w:val="yellow"/>
        </w:rPr>
        <w:t>Mon</w:t>
      </w:r>
      <w:r w:rsidR="00F9590C" w:rsidRPr="00E35ED5">
        <w:rPr>
          <w:rFonts w:asciiTheme="minorHAnsi" w:hAnsiTheme="minorHAnsi"/>
          <w:b/>
          <w:sz w:val="22"/>
          <w:szCs w:val="22"/>
          <w:highlight w:val="yellow"/>
        </w:rPr>
        <w:t>day</w:t>
      </w:r>
      <w:r w:rsidR="00F30AC3" w:rsidRPr="00E35ED5">
        <w:rPr>
          <w:rFonts w:asciiTheme="minorHAnsi" w:hAnsiTheme="minorHAnsi"/>
          <w:b/>
          <w:sz w:val="22"/>
          <w:szCs w:val="22"/>
          <w:highlight w:val="yellow"/>
        </w:rPr>
        <w:t xml:space="preserve">, </w:t>
      </w:r>
      <w:r w:rsidR="002E1B6C" w:rsidRPr="00E35ED5">
        <w:rPr>
          <w:rFonts w:asciiTheme="minorHAnsi" w:hAnsiTheme="minorHAnsi"/>
          <w:b/>
          <w:sz w:val="22"/>
          <w:szCs w:val="22"/>
          <w:highlight w:val="yellow"/>
        </w:rPr>
        <w:t>27 March</w:t>
      </w:r>
      <w:r w:rsidR="00C80561" w:rsidRPr="00E35ED5">
        <w:rPr>
          <w:rFonts w:asciiTheme="minorHAnsi" w:hAnsiTheme="minorHAnsi"/>
          <w:b/>
          <w:sz w:val="22"/>
          <w:szCs w:val="22"/>
          <w:highlight w:val="yellow"/>
        </w:rPr>
        <w:t xml:space="preserve"> 2015</w:t>
      </w:r>
      <w:r w:rsidR="00F30AC3" w:rsidRPr="00E35ED5">
        <w:rPr>
          <w:rFonts w:asciiTheme="minorHAnsi" w:hAnsiTheme="minorHAnsi"/>
          <w:sz w:val="22"/>
          <w:szCs w:val="22"/>
        </w:rPr>
        <w:t>.</w:t>
      </w:r>
    </w:p>
    <w:p w:rsidR="00E8599C" w:rsidRPr="00E35ED5" w:rsidRDefault="00E8599C" w:rsidP="00F76F5F">
      <w:pPr>
        <w:pStyle w:val="Heading2"/>
        <w:keepNext w:val="0"/>
        <w:spacing w:line="360" w:lineRule="auto"/>
        <w:ind w:left="578" w:hanging="578"/>
        <w:jc w:val="both"/>
        <w:rPr>
          <w:rFonts w:asciiTheme="minorHAnsi" w:hAnsiTheme="minorHAnsi"/>
          <w:sz w:val="22"/>
          <w:szCs w:val="22"/>
        </w:rPr>
      </w:pPr>
      <w:r w:rsidRPr="00E35ED5">
        <w:rPr>
          <w:rFonts w:asciiTheme="minorHAnsi" w:hAnsiTheme="minorHAnsi"/>
          <w:sz w:val="22"/>
          <w:szCs w:val="22"/>
        </w:rPr>
        <w:t>Responses, or any part thereof, can be provided in confidence. Parties are asked to clearly indicate any parts of a response that are to be treated confidentially.</w:t>
      </w:r>
    </w:p>
    <w:p w:rsidR="00E8599C" w:rsidRPr="00E35ED5" w:rsidRDefault="00E8599C" w:rsidP="00C838BE">
      <w:pPr>
        <w:pStyle w:val="Heading1"/>
        <w:keepNext w:val="0"/>
        <w:spacing w:line="360" w:lineRule="auto"/>
        <w:rPr>
          <w:rFonts w:asciiTheme="minorHAnsi" w:hAnsiTheme="minorHAnsi"/>
          <w:b/>
          <w:caps/>
          <w:kern w:val="0"/>
          <w:sz w:val="22"/>
          <w:szCs w:val="22"/>
        </w:rPr>
      </w:pPr>
      <w:r w:rsidRPr="00E35ED5">
        <w:rPr>
          <w:rFonts w:asciiTheme="minorHAnsi" w:hAnsiTheme="minorHAnsi"/>
          <w:b/>
          <w:caps/>
          <w:kern w:val="0"/>
          <w:sz w:val="22"/>
          <w:szCs w:val="22"/>
        </w:rPr>
        <w:t>next steps</w:t>
      </w:r>
    </w:p>
    <w:p w:rsidR="00AA61BC" w:rsidRPr="00E35ED5" w:rsidRDefault="00AA61BC" w:rsidP="00C838BE">
      <w:pPr>
        <w:pStyle w:val="Heading2"/>
        <w:keepNext w:val="0"/>
        <w:spacing w:line="360" w:lineRule="auto"/>
        <w:rPr>
          <w:rFonts w:asciiTheme="minorHAnsi" w:hAnsiTheme="minorHAnsi"/>
          <w:sz w:val="22"/>
          <w:szCs w:val="22"/>
        </w:rPr>
      </w:pPr>
      <w:r w:rsidRPr="00E35ED5">
        <w:rPr>
          <w:rFonts w:asciiTheme="minorHAnsi" w:hAnsiTheme="minorHAnsi"/>
          <w:sz w:val="22"/>
          <w:szCs w:val="22"/>
        </w:rPr>
        <w:t xml:space="preserve">Responses to the </w:t>
      </w:r>
      <w:r w:rsidR="004F7EFA" w:rsidRPr="00E35ED5">
        <w:rPr>
          <w:rFonts w:asciiTheme="minorHAnsi" w:hAnsiTheme="minorHAnsi"/>
          <w:sz w:val="22"/>
          <w:szCs w:val="22"/>
        </w:rPr>
        <w:t>Consultation</w:t>
      </w:r>
      <w:r w:rsidRPr="00E35ED5">
        <w:rPr>
          <w:rFonts w:asciiTheme="minorHAnsi" w:hAnsiTheme="minorHAnsi"/>
          <w:sz w:val="22"/>
          <w:szCs w:val="22"/>
        </w:rPr>
        <w:t xml:space="preserve"> will be reviewed by the </w:t>
      </w:r>
      <w:r w:rsidR="007521E4" w:rsidRPr="00E35ED5">
        <w:rPr>
          <w:rFonts w:asciiTheme="minorHAnsi" w:hAnsiTheme="minorHAnsi"/>
          <w:sz w:val="22"/>
          <w:szCs w:val="22"/>
        </w:rPr>
        <w:t>DCP 1</w:t>
      </w:r>
      <w:r w:rsidR="00F466CD" w:rsidRPr="00E35ED5">
        <w:rPr>
          <w:rFonts w:asciiTheme="minorHAnsi" w:hAnsiTheme="minorHAnsi"/>
          <w:sz w:val="22"/>
          <w:szCs w:val="22"/>
        </w:rPr>
        <w:t>60</w:t>
      </w:r>
      <w:r w:rsidR="007521E4" w:rsidRPr="00E35ED5">
        <w:rPr>
          <w:rFonts w:asciiTheme="minorHAnsi" w:hAnsiTheme="minorHAnsi"/>
          <w:sz w:val="22"/>
          <w:szCs w:val="22"/>
        </w:rPr>
        <w:t xml:space="preserve"> Working Group.</w:t>
      </w:r>
      <w:r w:rsidR="007521E4" w:rsidRPr="00E35ED5">
        <w:rPr>
          <w:rFonts w:asciiTheme="minorHAnsi" w:hAnsiTheme="minorHAnsi"/>
          <w:sz w:val="22"/>
          <w:szCs w:val="22"/>
          <w:lang w:val="en-US"/>
        </w:rPr>
        <w:t xml:space="preserve"> </w:t>
      </w:r>
      <w:r w:rsidR="007521E4" w:rsidRPr="00E35ED5">
        <w:rPr>
          <w:rFonts w:asciiTheme="minorHAnsi" w:hAnsiTheme="minorHAnsi"/>
          <w:sz w:val="22"/>
          <w:szCs w:val="22"/>
        </w:rPr>
        <w:t>The Working Group will then determine the progression route for the CP.</w:t>
      </w:r>
    </w:p>
    <w:p w:rsidR="00E8599C" w:rsidRPr="00E35ED5" w:rsidRDefault="00E8599C" w:rsidP="00F76F5F">
      <w:pPr>
        <w:pStyle w:val="Heading2"/>
        <w:keepNext w:val="0"/>
        <w:spacing w:line="360" w:lineRule="auto"/>
        <w:jc w:val="both"/>
        <w:rPr>
          <w:rFonts w:asciiTheme="minorHAnsi" w:hAnsiTheme="minorHAnsi"/>
          <w:sz w:val="22"/>
          <w:szCs w:val="22"/>
        </w:rPr>
      </w:pPr>
      <w:r w:rsidRPr="00E35ED5">
        <w:rPr>
          <w:rFonts w:asciiTheme="minorHAnsi" w:hAnsiTheme="minorHAnsi"/>
          <w:sz w:val="22"/>
          <w:szCs w:val="22"/>
        </w:rPr>
        <w:t xml:space="preserve">If you have any questions about this paper or the DCUSA Change Process please contact the DCUSA </w:t>
      </w:r>
      <w:r w:rsidR="007521E4" w:rsidRPr="00E35ED5">
        <w:rPr>
          <w:rFonts w:asciiTheme="minorHAnsi" w:hAnsiTheme="minorHAnsi"/>
          <w:sz w:val="22"/>
          <w:szCs w:val="22"/>
        </w:rPr>
        <w:t>helpdesk</w:t>
      </w:r>
      <w:r w:rsidR="00DF41F8" w:rsidRPr="00E35ED5">
        <w:rPr>
          <w:rFonts w:asciiTheme="minorHAnsi" w:hAnsiTheme="minorHAnsi"/>
          <w:sz w:val="22"/>
          <w:szCs w:val="22"/>
        </w:rPr>
        <w:t xml:space="preserve"> </w:t>
      </w:r>
      <w:r w:rsidRPr="00E35ED5">
        <w:rPr>
          <w:rFonts w:asciiTheme="minorHAnsi" w:hAnsiTheme="minorHAnsi"/>
          <w:sz w:val="22"/>
          <w:szCs w:val="22"/>
        </w:rPr>
        <w:t xml:space="preserve">by email to </w:t>
      </w:r>
      <w:hyperlink r:id="rId11" w:history="1">
        <w:r w:rsidRPr="00E35ED5">
          <w:rPr>
            <w:rStyle w:val="Hyperlink"/>
            <w:rFonts w:asciiTheme="minorHAnsi" w:hAnsiTheme="minorHAnsi"/>
            <w:sz w:val="22"/>
            <w:szCs w:val="22"/>
          </w:rPr>
          <w:t>dcusa@electralink.co.uk</w:t>
        </w:r>
      </w:hyperlink>
      <w:r w:rsidRPr="00E35ED5">
        <w:rPr>
          <w:rFonts w:asciiTheme="minorHAnsi" w:hAnsiTheme="minorHAnsi"/>
          <w:sz w:val="22"/>
          <w:szCs w:val="22"/>
        </w:rPr>
        <w:t xml:space="preserve"> or telephone 020 7432 30</w:t>
      </w:r>
      <w:r w:rsidR="007521E4" w:rsidRPr="00E35ED5">
        <w:rPr>
          <w:rFonts w:asciiTheme="minorHAnsi" w:hAnsiTheme="minorHAnsi"/>
          <w:sz w:val="22"/>
          <w:szCs w:val="22"/>
        </w:rPr>
        <w:t>17</w:t>
      </w:r>
      <w:r w:rsidRPr="00E35ED5">
        <w:rPr>
          <w:rFonts w:asciiTheme="minorHAnsi" w:hAnsiTheme="minorHAnsi"/>
          <w:sz w:val="22"/>
          <w:szCs w:val="22"/>
        </w:rPr>
        <w:t>.</w:t>
      </w:r>
    </w:p>
    <w:p w:rsidR="00E8599C" w:rsidRPr="00E35ED5" w:rsidRDefault="00E8599C" w:rsidP="00C838BE">
      <w:pPr>
        <w:pStyle w:val="ListNumber"/>
        <w:numPr>
          <w:ilvl w:val="0"/>
          <w:numId w:val="0"/>
        </w:numPr>
        <w:spacing w:before="120" w:after="120" w:line="360" w:lineRule="auto"/>
        <w:rPr>
          <w:rFonts w:asciiTheme="minorHAnsi" w:hAnsiTheme="minorHAnsi"/>
          <w:b/>
          <w:bCs/>
          <w:caps/>
          <w:sz w:val="22"/>
          <w:szCs w:val="22"/>
        </w:rPr>
      </w:pPr>
      <w:r w:rsidRPr="00E35ED5">
        <w:rPr>
          <w:rFonts w:asciiTheme="minorHAnsi" w:hAnsiTheme="minorHAnsi"/>
          <w:b/>
          <w:bCs/>
          <w:caps/>
          <w:sz w:val="22"/>
          <w:szCs w:val="22"/>
        </w:rPr>
        <w:t>A</w:t>
      </w:r>
      <w:r w:rsidR="00F9590C" w:rsidRPr="00E35ED5">
        <w:rPr>
          <w:rFonts w:asciiTheme="minorHAnsi" w:hAnsiTheme="minorHAnsi"/>
          <w:b/>
          <w:bCs/>
          <w:caps/>
          <w:sz w:val="22"/>
          <w:szCs w:val="22"/>
        </w:rPr>
        <w:t>TTACHMENTS</w:t>
      </w:r>
    </w:p>
    <w:p w:rsidR="00B85BAA" w:rsidRPr="00E35ED5" w:rsidRDefault="00F466CD" w:rsidP="00B85BAA">
      <w:pPr>
        <w:pStyle w:val="Heading1"/>
        <w:keepNext w:val="0"/>
        <w:numPr>
          <w:ilvl w:val="0"/>
          <w:numId w:val="3"/>
        </w:numPr>
        <w:spacing w:beforeLines="100" w:after="240" w:line="360" w:lineRule="auto"/>
        <w:rPr>
          <w:rFonts w:asciiTheme="minorHAnsi" w:hAnsiTheme="minorHAnsi"/>
          <w:sz w:val="22"/>
          <w:szCs w:val="22"/>
        </w:rPr>
      </w:pPr>
      <w:r w:rsidRPr="00E35ED5">
        <w:rPr>
          <w:rFonts w:asciiTheme="minorHAnsi" w:hAnsiTheme="minorHAnsi"/>
          <w:sz w:val="22"/>
          <w:szCs w:val="22"/>
        </w:rPr>
        <w:t>Attachment 1 – DCP 160</w:t>
      </w:r>
      <w:r w:rsidR="00B85BAA" w:rsidRPr="00E35ED5">
        <w:rPr>
          <w:rFonts w:asciiTheme="minorHAnsi" w:hAnsiTheme="minorHAnsi"/>
          <w:sz w:val="22"/>
          <w:szCs w:val="22"/>
        </w:rPr>
        <w:t xml:space="preserve"> Response Form</w:t>
      </w:r>
    </w:p>
    <w:p w:rsidR="002D7F11" w:rsidRPr="00E35ED5" w:rsidRDefault="00F9590C" w:rsidP="00C838BE">
      <w:pPr>
        <w:pStyle w:val="Heading1"/>
        <w:keepNext w:val="0"/>
        <w:numPr>
          <w:ilvl w:val="0"/>
          <w:numId w:val="3"/>
        </w:numPr>
        <w:spacing w:beforeLines="100" w:after="240" w:line="360" w:lineRule="auto"/>
        <w:rPr>
          <w:rFonts w:asciiTheme="minorHAnsi" w:hAnsiTheme="minorHAnsi"/>
          <w:sz w:val="22"/>
          <w:szCs w:val="22"/>
        </w:rPr>
      </w:pPr>
      <w:r w:rsidRPr="00E35ED5">
        <w:rPr>
          <w:rFonts w:asciiTheme="minorHAnsi" w:hAnsiTheme="minorHAnsi"/>
          <w:sz w:val="22"/>
          <w:szCs w:val="22"/>
        </w:rPr>
        <w:t>Attachmen</w:t>
      </w:r>
      <w:bookmarkStart w:id="0" w:name="_GoBack"/>
      <w:bookmarkEnd w:id="0"/>
      <w:r w:rsidRPr="00E35ED5">
        <w:rPr>
          <w:rFonts w:asciiTheme="minorHAnsi" w:hAnsiTheme="minorHAnsi"/>
          <w:sz w:val="22"/>
          <w:szCs w:val="22"/>
        </w:rPr>
        <w:t xml:space="preserve">t </w:t>
      </w:r>
      <w:r w:rsidR="00B715FF" w:rsidRPr="00E35ED5">
        <w:rPr>
          <w:rFonts w:asciiTheme="minorHAnsi" w:hAnsiTheme="minorHAnsi"/>
          <w:sz w:val="22"/>
          <w:szCs w:val="22"/>
        </w:rPr>
        <w:t>2</w:t>
      </w:r>
      <w:r w:rsidR="00E8599C" w:rsidRPr="00E35ED5">
        <w:rPr>
          <w:rFonts w:asciiTheme="minorHAnsi" w:hAnsiTheme="minorHAnsi"/>
          <w:sz w:val="22"/>
          <w:szCs w:val="22"/>
        </w:rPr>
        <w:t xml:space="preserve"> </w:t>
      </w:r>
      <w:r w:rsidR="002D7F11" w:rsidRPr="00E35ED5">
        <w:rPr>
          <w:rFonts w:asciiTheme="minorHAnsi" w:hAnsiTheme="minorHAnsi"/>
          <w:sz w:val="22"/>
          <w:szCs w:val="22"/>
        </w:rPr>
        <w:t xml:space="preserve">– </w:t>
      </w:r>
      <w:r w:rsidR="00F466CD" w:rsidRPr="00E35ED5">
        <w:rPr>
          <w:rFonts w:asciiTheme="minorHAnsi" w:hAnsiTheme="minorHAnsi"/>
          <w:sz w:val="22"/>
          <w:szCs w:val="22"/>
        </w:rPr>
        <w:t xml:space="preserve">DCP 160 </w:t>
      </w:r>
      <w:r w:rsidR="009C24FE" w:rsidRPr="00E35ED5">
        <w:rPr>
          <w:rFonts w:asciiTheme="minorHAnsi" w:hAnsiTheme="minorHAnsi"/>
          <w:sz w:val="22"/>
          <w:szCs w:val="22"/>
        </w:rPr>
        <w:t>Change Proposal</w:t>
      </w:r>
    </w:p>
    <w:sectPr w:rsidR="002D7F11" w:rsidRPr="00E35ED5" w:rsidSect="00E20109">
      <w:headerReference w:type="default"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F35" w:rsidRDefault="002E3F35">
      <w:r>
        <w:separator/>
      </w:r>
    </w:p>
  </w:endnote>
  <w:endnote w:type="continuationSeparator" w:id="0">
    <w:p w:rsidR="002E3F35" w:rsidRDefault="002E3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C04" w:rsidRPr="00A218BB" w:rsidRDefault="002E1B6C">
    <w:pPr>
      <w:pStyle w:val="Footer"/>
      <w:rPr>
        <w:rFonts w:ascii="Verdana" w:hAnsi="Verdana"/>
        <w:sz w:val="16"/>
        <w:szCs w:val="16"/>
      </w:rPr>
    </w:pPr>
    <w:r>
      <w:rPr>
        <w:rFonts w:ascii="Verdana" w:hAnsi="Verdana"/>
        <w:sz w:val="16"/>
        <w:szCs w:val="16"/>
      </w:rPr>
      <w:t>06 March</w:t>
    </w:r>
    <w:r w:rsidR="000C3E5B">
      <w:rPr>
        <w:rFonts w:ascii="Verdana" w:hAnsi="Verdana"/>
        <w:sz w:val="16"/>
        <w:szCs w:val="16"/>
      </w:rPr>
      <w:t xml:space="preserve"> 2015</w:t>
    </w:r>
    <w:r w:rsidR="001A4C04" w:rsidRPr="00A218BB">
      <w:rPr>
        <w:rFonts w:ascii="Verdana" w:hAnsi="Verdana"/>
        <w:sz w:val="16"/>
        <w:szCs w:val="16"/>
      </w:rPr>
      <w:tab/>
      <w:t xml:space="preserve">Page </w:t>
    </w:r>
    <w:r w:rsidR="00282948" w:rsidRPr="00A218BB">
      <w:rPr>
        <w:rFonts w:ascii="Verdana" w:hAnsi="Verdana"/>
        <w:sz w:val="16"/>
        <w:szCs w:val="16"/>
      </w:rPr>
      <w:fldChar w:fldCharType="begin"/>
    </w:r>
    <w:r w:rsidR="001A4C04" w:rsidRPr="00A218BB">
      <w:rPr>
        <w:rFonts w:ascii="Verdana" w:hAnsi="Verdana"/>
        <w:sz w:val="16"/>
        <w:szCs w:val="16"/>
      </w:rPr>
      <w:instrText xml:space="preserve"> PAGE </w:instrText>
    </w:r>
    <w:r w:rsidR="00282948" w:rsidRPr="00A218BB">
      <w:rPr>
        <w:rFonts w:ascii="Verdana" w:hAnsi="Verdana"/>
        <w:sz w:val="16"/>
        <w:szCs w:val="16"/>
      </w:rPr>
      <w:fldChar w:fldCharType="separate"/>
    </w:r>
    <w:r w:rsidR="007314DF">
      <w:rPr>
        <w:rFonts w:ascii="Verdana" w:hAnsi="Verdana"/>
        <w:noProof/>
        <w:sz w:val="16"/>
        <w:szCs w:val="16"/>
      </w:rPr>
      <w:t>2</w:t>
    </w:r>
    <w:r w:rsidR="00282948" w:rsidRPr="00A218BB">
      <w:rPr>
        <w:rFonts w:ascii="Verdana" w:hAnsi="Verdana"/>
        <w:sz w:val="16"/>
        <w:szCs w:val="16"/>
      </w:rPr>
      <w:fldChar w:fldCharType="end"/>
    </w:r>
    <w:r w:rsidR="001A4C04" w:rsidRPr="00A218BB">
      <w:rPr>
        <w:rFonts w:ascii="Verdana" w:hAnsi="Verdana"/>
        <w:sz w:val="16"/>
        <w:szCs w:val="16"/>
      </w:rPr>
      <w:t xml:space="preserve"> of </w:t>
    </w:r>
    <w:r w:rsidR="00282948" w:rsidRPr="00A218BB">
      <w:rPr>
        <w:rFonts w:ascii="Verdana" w:hAnsi="Verdana"/>
        <w:sz w:val="16"/>
        <w:szCs w:val="16"/>
      </w:rPr>
      <w:fldChar w:fldCharType="begin"/>
    </w:r>
    <w:r w:rsidR="001A4C04" w:rsidRPr="00A218BB">
      <w:rPr>
        <w:rFonts w:ascii="Verdana" w:hAnsi="Verdana"/>
        <w:sz w:val="16"/>
        <w:szCs w:val="16"/>
      </w:rPr>
      <w:instrText xml:space="preserve"> NUMPAGES </w:instrText>
    </w:r>
    <w:r w:rsidR="00282948" w:rsidRPr="00A218BB">
      <w:rPr>
        <w:rFonts w:ascii="Verdana" w:hAnsi="Verdana"/>
        <w:sz w:val="16"/>
        <w:szCs w:val="16"/>
      </w:rPr>
      <w:fldChar w:fldCharType="separate"/>
    </w:r>
    <w:r w:rsidR="007314DF">
      <w:rPr>
        <w:rFonts w:ascii="Verdana" w:hAnsi="Verdana"/>
        <w:noProof/>
        <w:sz w:val="16"/>
        <w:szCs w:val="16"/>
      </w:rPr>
      <w:t>5</w:t>
    </w:r>
    <w:r w:rsidR="00282948" w:rsidRPr="00A218BB">
      <w:rPr>
        <w:rFonts w:ascii="Verdana" w:hAnsi="Verdana"/>
        <w:sz w:val="16"/>
        <w:szCs w:val="16"/>
      </w:rPr>
      <w:fldChar w:fldCharType="end"/>
    </w:r>
    <w:r w:rsidR="001A4C04" w:rsidRPr="00A218BB">
      <w:rPr>
        <w:rFonts w:ascii="Verdana" w:hAnsi="Verdana"/>
        <w:sz w:val="16"/>
        <w:szCs w:val="16"/>
      </w:rPr>
      <w:tab/>
    </w:r>
    <w:r w:rsidR="001A4C04">
      <w:rPr>
        <w:rFonts w:ascii="Verdana" w:hAnsi="Verdana"/>
        <w:sz w:val="16"/>
        <w:szCs w:val="16"/>
      </w:rPr>
      <w:t>v1.0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F35" w:rsidRDefault="002E3F35">
      <w:r>
        <w:separator/>
      </w:r>
    </w:p>
  </w:footnote>
  <w:footnote w:type="continuationSeparator" w:id="0">
    <w:p w:rsidR="002E3F35" w:rsidRDefault="002E3F35">
      <w:r>
        <w:continuationSeparator/>
      </w:r>
    </w:p>
  </w:footnote>
  <w:footnote w:id="1">
    <w:p w:rsidR="007D3BBE" w:rsidRDefault="007D3BBE">
      <w:pPr>
        <w:pStyle w:val="FootnoteText"/>
      </w:pPr>
      <w:r>
        <w:rPr>
          <w:rStyle w:val="FootnoteReference"/>
        </w:rPr>
        <w:footnoteRef/>
      </w:r>
      <w:r>
        <w:t xml:space="preserve"> </w:t>
      </w:r>
      <w:r w:rsidR="007314DF" w:rsidRPr="00EA4D0E">
        <w:rPr>
          <w:rFonts w:asciiTheme="minorHAnsi" w:hAnsiTheme="minorHAnsi"/>
          <w:sz w:val="22"/>
          <w:szCs w:val="22"/>
        </w:rPr>
        <w:t xml:space="preserve">The factor </w:t>
      </w:r>
      <w:r w:rsidR="007314DF">
        <w:rPr>
          <w:rFonts w:asciiTheme="minorHAnsi" w:hAnsiTheme="minorHAnsi"/>
          <w:sz w:val="22"/>
          <w:szCs w:val="22"/>
        </w:rPr>
        <w:t xml:space="preserve">proposed is </w:t>
      </w:r>
      <w:r w:rsidR="007314DF" w:rsidRPr="00EA4D0E">
        <w:rPr>
          <w:rFonts w:asciiTheme="minorHAnsi" w:hAnsiTheme="minorHAnsi"/>
          <w:sz w:val="22"/>
          <w:szCs w:val="22"/>
        </w:rPr>
        <w:t>the ratio between the average maximum demand and capacity from a similar HH tariff.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C04" w:rsidRPr="00A218BB" w:rsidRDefault="001A4C04">
    <w:pPr>
      <w:pStyle w:val="Header"/>
      <w:rPr>
        <w:rFonts w:ascii="Verdana" w:hAnsi="Verdana"/>
        <w:sz w:val="16"/>
        <w:szCs w:val="16"/>
      </w:rPr>
    </w:pPr>
    <w:r w:rsidRPr="00F76F5F">
      <w:rPr>
        <w:rFonts w:asciiTheme="minorHAnsi" w:hAnsiTheme="minorHAnsi"/>
        <w:sz w:val="20"/>
        <w:szCs w:val="20"/>
      </w:rPr>
      <w:t>DCUSA Consultation</w:t>
    </w:r>
    <w:r>
      <w:rPr>
        <w:rFonts w:ascii="Verdana" w:hAnsi="Verdana"/>
        <w:sz w:val="16"/>
        <w:szCs w:val="16"/>
      </w:rPr>
      <w:tab/>
    </w:r>
    <w:r>
      <w:rPr>
        <w:rFonts w:ascii="Verdana" w:hAnsi="Verdana"/>
        <w:sz w:val="16"/>
        <w:szCs w:val="16"/>
      </w:rPr>
      <w:tab/>
    </w:r>
    <w:r w:rsidRPr="00F76F5F">
      <w:rPr>
        <w:rFonts w:asciiTheme="minorHAnsi" w:hAnsiTheme="minorHAnsi"/>
        <w:sz w:val="20"/>
        <w:szCs w:val="20"/>
      </w:rPr>
      <w:t>DCP 1</w:t>
    </w:r>
    <w:r w:rsidR="005B3F5F">
      <w:rPr>
        <w:rFonts w:asciiTheme="minorHAnsi" w:hAnsiTheme="minorHAnsi"/>
        <w:sz w:val="20"/>
        <w:szCs w:val="20"/>
      </w:rPr>
      <w:t>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EB24404"/>
    <w:lvl w:ilvl="0">
      <w:start w:val="1"/>
      <w:numFmt w:val="decimal"/>
      <w:pStyle w:val="ListNumber"/>
      <w:lvlText w:val="%1."/>
      <w:lvlJc w:val="left"/>
      <w:pPr>
        <w:tabs>
          <w:tab w:val="num" w:pos="360"/>
        </w:tabs>
        <w:ind w:left="360" w:hanging="360"/>
      </w:pPr>
    </w:lvl>
  </w:abstractNum>
  <w:abstractNum w:abstractNumId="1">
    <w:nsid w:val="060A59BC"/>
    <w:multiLevelType w:val="hybridMultilevel"/>
    <w:tmpl w:val="507895FA"/>
    <w:lvl w:ilvl="0" w:tplc="18E69B8E">
      <w:start w:val="1"/>
      <w:numFmt w:val="lowerLetter"/>
      <w:lvlText w:val="(%1)"/>
      <w:lvlJc w:val="left"/>
      <w:pPr>
        <w:tabs>
          <w:tab w:val="num" w:pos="990"/>
        </w:tabs>
        <w:ind w:left="990" w:hanging="630"/>
      </w:pPr>
      <w:rPr>
        <w:rFonts w:cs="Times New Roman" w:hint="default"/>
      </w:rPr>
    </w:lvl>
    <w:lvl w:ilvl="1" w:tplc="31109608">
      <w:start w:val="1"/>
      <w:numFmt w:val="lowerLetter"/>
      <w:pStyle w:val="StyleHeading210pt"/>
      <w:lvlText w:val="%2."/>
      <w:lvlJc w:val="left"/>
      <w:pPr>
        <w:tabs>
          <w:tab w:val="num" w:pos="1440"/>
        </w:tabs>
        <w:ind w:left="1440" w:hanging="360"/>
      </w:pPr>
      <w:rPr>
        <w:rFonts w:cs="Times New Roman"/>
      </w:rPr>
    </w:lvl>
    <w:lvl w:ilvl="2" w:tplc="347E3EC2" w:tentative="1">
      <w:start w:val="1"/>
      <w:numFmt w:val="lowerRoman"/>
      <w:lvlText w:val="%3."/>
      <w:lvlJc w:val="right"/>
      <w:pPr>
        <w:tabs>
          <w:tab w:val="num" w:pos="2160"/>
        </w:tabs>
        <w:ind w:left="2160" w:hanging="180"/>
      </w:pPr>
      <w:rPr>
        <w:rFonts w:cs="Times New Roman"/>
      </w:rPr>
    </w:lvl>
    <w:lvl w:ilvl="3" w:tplc="F014B12E" w:tentative="1">
      <w:start w:val="1"/>
      <w:numFmt w:val="decimal"/>
      <w:lvlText w:val="%4."/>
      <w:lvlJc w:val="left"/>
      <w:pPr>
        <w:tabs>
          <w:tab w:val="num" w:pos="2880"/>
        </w:tabs>
        <w:ind w:left="2880" w:hanging="360"/>
      </w:pPr>
      <w:rPr>
        <w:rFonts w:cs="Times New Roman"/>
      </w:rPr>
    </w:lvl>
    <w:lvl w:ilvl="4" w:tplc="CE900964" w:tentative="1">
      <w:start w:val="1"/>
      <w:numFmt w:val="lowerLetter"/>
      <w:lvlText w:val="%5."/>
      <w:lvlJc w:val="left"/>
      <w:pPr>
        <w:tabs>
          <w:tab w:val="num" w:pos="3600"/>
        </w:tabs>
        <w:ind w:left="3600" w:hanging="360"/>
      </w:pPr>
      <w:rPr>
        <w:rFonts w:cs="Times New Roman"/>
      </w:rPr>
    </w:lvl>
    <w:lvl w:ilvl="5" w:tplc="C1242218" w:tentative="1">
      <w:start w:val="1"/>
      <w:numFmt w:val="lowerRoman"/>
      <w:lvlText w:val="%6."/>
      <w:lvlJc w:val="right"/>
      <w:pPr>
        <w:tabs>
          <w:tab w:val="num" w:pos="4320"/>
        </w:tabs>
        <w:ind w:left="4320" w:hanging="180"/>
      </w:pPr>
      <w:rPr>
        <w:rFonts w:cs="Times New Roman"/>
      </w:rPr>
    </w:lvl>
    <w:lvl w:ilvl="6" w:tplc="39467F7C" w:tentative="1">
      <w:start w:val="1"/>
      <w:numFmt w:val="decimal"/>
      <w:lvlText w:val="%7."/>
      <w:lvlJc w:val="left"/>
      <w:pPr>
        <w:tabs>
          <w:tab w:val="num" w:pos="5040"/>
        </w:tabs>
        <w:ind w:left="5040" w:hanging="360"/>
      </w:pPr>
      <w:rPr>
        <w:rFonts w:cs="Times New Roman"/>
      </w:rPr>
    </w:lvl>
    <w:lvl w:ilvl="7" w:tplc="200A86EE" w:tentative="1">
      <w:start w:val="1"/>
      <w:numFmt w:val="lowerLetter"/>
      <w:lvlText w:val="%8."/>
      <w:lvlJc w:val="left"/>
      <w:pPr>
        <w:tabs>
          <w:tab w:val="num" w:pos="5760"/>
        </w:tabs>
        <w:ind w:left="5760" w:hanging="360"/>
      </w:pPr>
      <w:rPr>
        <w:rFonts w:cs="Times New Roman"/>
      </w:rPr>
    </w:lvl>
    <w:lvl w:ilvl="8" w:tplc="B8C26928" w:tentative="1">
      <w:start w:val="1"/>
      <w:numFmt w:val="lowerRoman"/>
      <w:lvlText w:val="%9."/>
      <w:lvlJc w:val="right"/>
      <w:pPr>
        <w:tabs>
          <w:tab w:val="num" w:pos="6480"/>
        </w:tabs>
        <w:ind w:left="6480" w:hanging="180"/>
      </w:pPr>
      <w:rPr>
        <w:rFonts w:cs="Times New Roman"/>
      </w:rPr>
    </w:lvl>
  </w:abstractNum>
  <w:abstractNum w:abstractNumId="2">
    <w:nsid w:val="09AA701F"/>
    <w:multiLevelType w:val="hybridMultilevel"/>
    <w:tmpl w:val="ECAE7C1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nsid w:val="0DF46E30"/>
    <w:multiLevelType w:val="multilevel"/>
    <w:tmpl w:val="766A4F9E"/>
    <w:lvl w:ilvl="0">
      <w:start w:val="1"/>
      <w:numFmt w:val="decimal"/>
      <w:lvlText w:val="%1"/>
      <w:lvlJc w:val="left"/>
      <w:pPr>
        <w:tabs>
          <w:tab w:val="num" w:pos="567"/>
        </w:tabs>
        <w:ind w:left="567" w:hanging="567"/>
      </w:pPr>
      <w:rPr>
        <w:rFonts w:ascii="Calibri" w:hAnsi="Calibri" w:hint="default"/>
        <w:sz w:val="24"/>
      </w:rPr>
    </w:lvl>
    <w:lvl w:ilvl="1">
      <w:start w:val="1"/>
      <w:numFmt w:val="decimal"/>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pStyle w:val="GSBodyParaBullet"/>
      <w:lvlText w:val=""/>
      <w:lvlJc w:val="left"/>
      <w:pPr>
        <w:tabs>
          <w:tab w:val="num" w:pos="851"/>
        </w:tabs>
        <w:ind w:left="851" w:hanging="284"/>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4">
    <w:nsid w:val="120F05E0"/>
    <w:multiLevelType w:val="multilevel"/>
    <w:tmpl w:val="26FE4F86"/>
    <w:lvl w:ilvl="0">
      <w:start w:val="1"/>
      <w:numFmt w:val="decimal"/>
      <w:pStyle w:val="GSHeading1withnumb"/>
      <w:lvlText w:val="%1"/>
      <w:lvlJc w:val="left"/>
      <w:pPr>
        <w:tabs>
          <w:tab w:val="num" w:pos="567"/>
        </w:tabs>
        <w:ind w:left="567" w:hanging="567"/>
      </w:pPr>
      <w:rPr>
        <w:rFonts w:ascii="Calibri" w:hAnsi="Calibri" w:hint="default"/>
        <w:sz w:val="24"/>
      </w:rPr>
    </w:lvl>
    <w:lvl w:ilvl="1">
      <w:start w:val="1"/>
      <w:numFmt w:val="decimal"/>
      <w:pStyle w:val="GSBodyParawithnumb"/>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5">
    <w:nsid w:val="17350920"/>
    <w:multiLevelType w:val="multilevel"/>
    <w:tmpl w:val="26FE4F86"/>
    <w:styleLink w:val="GSNumList"/>
    <w:lvl w:ilvl="0">
      <w:start w:val="1"/>
      <w:numFmt w:val="decimal"/>
      <w:lvlText w:val="%1"/>
      <w:lvlJc w:val="left"/>
      <w:pPr>
        <w:tabs>
          <w:tab w:val="num" w:pos="567"/>
        </w:tabs>
        <w:ind w:left="567" w:hanging="567"/>
      </w:pPr>
      <w:rPr>
        <w:rFonts w:ascii="Calibri" w:hAnsi="Calibri" w:hint="default"/>
        <w:sz w:val="24"/>
      </w:rPr>
    </w:lvl>
    <w:lvl w:ilvl="1">
      <w:start w:val="1"/>
      <w:numFmt w:val="decimal"/>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6">
    <w:nsid w:val="19191C6F"/>
    <w:multiLevelType w:val="hybridMultilevel"/>
    <w:tmpl w:val="2FB480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7">
    <w:nsid w:val="419B118D"/>
    <w:multiLevelType w:val="hybridMultilevel"/>
    <w:tmpl w:val="E2DCB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1FF0B6C"/>
    <w:multiLevelType w:val="multilevel"/>
    <w:tmpl w:val="B88C6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7333AC0"/>
    <w:multiLevelType w:val="multilevel"/>
    <w:tmpl w:val="EEA00D02"/>
    <w:lvl w:ilvl="0">
      <w:start w:val="1"/>
      <w:numFmt w:val="decimal"/>
      <w:pStyle w:val="Heading1"/>
      <w:lvlText w:val="%1"/>
      <w:lvlJc w:val="left"/>
      <w:pPr>
        <w:tabs>
          <w:tab w:val="num" w:pos="432"/>
        </w:tabs>
        <w:ind w:left="432" w:hanging="432"/>
      </w:pPr>
      <w:rPr>
        <w:rFonts w:cs="Times New Roman"/>
        <w:b/>
        <w:sz w:val="22"/>
        <w:szCs w:val="22"/>
      </w:rPr>
    </w:lvl>
    <w:lvl w:ilvl="1">
      <w:start w:val="1"/>
      <w:numFmt w:val="decimal"/>
      <w:pStyle w:val="Heading2"/>
      <w:lvlText w:val="%1.%2"/>
      <w:lvlJc w:val="left"/>
      <w:pPr>
        <w:tabs>
          <w:tab w:val="num" w:pos="576"/>
        </w:tabs>
        <w:ind w:left="576"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nsid w:val="49382134"/>
    <w:multiLevelType w:val="hybridMultilevel"/>
    <w:tmpl w:val="0CA46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D3F28E7"/>
    <w:multiLevelType w:val="multilevel"/>
    <w:tmpl w:val="D7C40240"/>
    <w:lvl w:ilvl="0">
      <w:start w:val="1"/>
      <w:numFmt w:val="decimal"/>
      <w:lvlText w:val="%1"/>
      <w:lvlJc w:val="left"/>
      <w:pPr>
        <w:tabs>
          <w:tab w:val="num" w:pos="432"/>
        </w:tabs>
        <w:ind w:left="432" w:hanging="432"/>
      </w:pPr>
      <w:rPr>
        <w:rFonts w:cs="Times New Roman"/>
        <w:b/>
        <w:sz w:val="20"/>
        <w:szCs w:val="20"/>
      </w:rPr>
    </w:lvl>
    <w:lvl w:ilvl="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nsid w:val="520006D0"/>
    <w:multiLevelType w:val="hybridMultilevel"/>
    <w:tmpl w:val="5358E792"/>
    <w:lvl w:ilvl="0" w:tplc="9B3CD3C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1890A5F"/>
    <w:multiLevelType w:val="multilevel"/>
    <w:tmpl w:val="26FE4F86"/>
    <w:numStyleLink w:val="GSNumList"/>
  </w:abstractNum>
  <w:num w:numId="1">
    <w:abstractNumId w:val="9"/>
  </w:num>
  <w:num w:numId="2">
    <w:abstractNumId w:val="0"/>
  </w:num>
  <w:num w:numId="3">
    <w:abstractNumId w:val="12"/>
  </w:num>
  <w:num w:numId="4">
    <w:abstractNumId w:val="1"/>
  </w:num>
  <w:num w:numId="5">
    <w:abstractNumId w:val="6"/>
  </w:num>
  <w:num w:numId="6">
    <w:abstractNumId w:val="4"/>
  </w:num>
  <w:num w:numId="7">
    <w:abstractNumId w:val="3"/>
  </w:num>
  <w:num w:numId="8">
    <w:abstractNumId w:val="2"/>
  </w:num>
  <w:num w:numId="9">
    <w:abstractNumId w:val="11"/>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 w:numId="14">
    <w:abstractNumId w:val="13"/>
  </w:num>
  <w:num w:numId="15">
    <w:abstractNumId w:val="9"/>
  </w:num>
  <w:num w:numId="16">
    <w:abstractNumId w:val="3"/>
  </w:num>
  <w:num w:numId="17">
    <w:abstractNumId w:val="10"/>
  </w:num>
  <w:num w:numId="18">
    <w:abstractNumId w:val="9"/>
  </w:num>
  <w:num w:numId="19">
    <w:abstractNumId w:val="9"/>
  </w:num>
  <w:num w:numId="20">
    <w:abstractNumId w:val="9"/>
  </w:num>
  <w:num w:numId="21">
    <w:abstractNumId w:val="7"/>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D89"/>
    <w:rsid w:val="00001697"/>
    <w:rsid w:val="00001E0C"/>
    <w:rsid w:val="000028E0"/>
    <w:rsid w:val="00006673"/>
    <w:rsid w:val="0000680D"/>
    <w:rsid w:val="00010ADE"/>
    <w:rsid w:val="000125BD"/>
    <w:rsid w:val="00012AC1"/>
    <w:rsid w:val="00013C8B"/>
    <w:rsid w:val="00017434"/>
    <w:rsid w:val="00020E7D"/>
    <w:rsid w:val="00022169"/>
    <w:rsid w:val="00022F9C"/>
    <w:rsid w:val="00023049"/>
    <w:rsid w:val="00024E44"/>
    <w:rsid w:val="0002680F"/>
    <w:rsid w:val="00031A5D"/>
    <w:rsid w:val="00032E04"/>
    <w:rsid w:val="00033B08"/>
    <w:rsid w:val="00033F40"/>
    <w:rsid w:val="0003400C"/>
    <w:rsid w:val="000347AF"/>
    <w:rsid w:val="00036D63"/>
    <w:rsid w:val="00043ED4"/>
    <w:rsid w:val="000449CE"/>
    <w:rsid w:val="00044BDF"/>
    <w:rsid w:val="00046173"/>
    <w:rsid w:val="00047B01"/>
    <w:rsid w:val="000523E0"/>
    <w:rsid w:val="000554EA"/>
    <w:rsid w:val="000558E1"/>
    <w:rsid w:val="00055AC9"/>
    <w:rsid w:val="00056497"/>
    <w:rsid w:val="00056946"/>
    <w:rsid w:val="00057701"/>
    <w:rsid w:val="00062C3E"/>
    <w:rsid w:val="00063592"/>
    <w:rsid w:val="000635E1"/>
    <w:rsid w:val="00065B17"/>
    <w:rsid w:val="00066325"/>
    <w:rsid w:val="0007178C"/>
    <w:rsid w:val="00073AEA"/>
    <w:rsid w:val="00075C69"/>
    <w:rsid w:val="0007678E"/>
    <w:rsid w:val="000772D1"/>
    <w:rsid w:val="00082025"/>
    <w:rsid w:val="000825B9"/>
    <w:rsid w:val="00083462"/>
    <w:rsid w:val="00086056"/>
    <w:rsid w:val="00086D93"/>
    <w:rsid w:val="000872ED"/>
    <w:rsid w:val="000903DD"/>
    <w:rsid w:val="0009125E"/>
    <w:rsid w:val="00091297"/>
    <w:rsid w:val="00092792"/>
    <w:rsid w:val="00092962"/>
    <w:rsid w:val="000930CB"/>
    <w:rsid w:val="000A18F0"/>
    <w:rsid w:val="000A3FCB"/>
    <w:rsid w:val="000A4776"/>
    <w:rsid w:val="000A7913"/>
    <w:rsid w:val="000B0F57"/>
    <w:rsid w:val="000B239F"/>
    <w:rsid w:val="000B3C71"/>
    <w:rsid w:val="000B3D10"/>
    <w:rsid w:val="000B762C"/>
    <w:rsid w:val="000C02DE"/>
    <w:rsid w:val="000C0643"/>
    <w:rsid w:val="000C1298"/>
    <w:rsid w:val="000C3208"/>
    <w:rsid w:val="000C3E5B"/>
    <w:rsid w:val="000C42BC"/>
    <w:rsid w:val="000C46FE"/>
    <w:rsid w:val="000C47FC"/>
    <w:rsid w:val="000C6C40"/>
    <w:rsid w:val="000C7004"/>
    <w:rsid w:val="000D24C4"/>
    <w:rsid w:val="000D29EA"/>
    <w:rsid w:val="000D4E79"/>
    <w:rsid w:val="000E21A9"/>
    <w:rsid w:val="000E271A"/>
    <w:rsid w:val="000E2F7D"/>
    <w:rsid w:val="000E3F45"/>
    <w:rsid w:val="000E41C8"/>
    <w:rsid w:val="000E6A93"/>
    <w:rsid w:val="000E7B83"/>
    <w:rsid w:val="000F04A3"/>
    <w:rsid w:val="000F1FDF"/>
    <w:rsid w:val="000F36C4"/>
    <w:rsid w:val="000F3808"/>
    <w:rsid w:val="000F427D"/>
    <w:rsid w:val="000F5552"/>
    <w:rsid w:val="00100A92"/>
    <w:rsid w:val="00103AAD"/>
    <w:rsid w:val="001047FC"/>
    <w:rsid w:val="00105454"/>
    <w:rsid w:val="001067AC"/>
    <w:rsid w:val="00112798"/>
    <w:rsid w:val="001127A2"/>
    <w:rsid w:val="001133CB"/>
    <w:rsid w:val="00114E99"/>
    <w:rsid w:val="001202B5"/>
    <w:rsid w:val="001253BD"/>
    <w:rsid w:val="00127B9D"/>
    <w:rsid w:val="001311EA"/>
    <w:rsid w:val="001314AD"/>
    <w:rsid w:val="00131838"/>
    <w:rsid w:val="00131FA2"/>
    <w:rsid w:val="0013367A"/>
    <w:rsid w:val="00134B56"/>
    <w:rsid w:val="00134DB0"/>
    <w:rsid w:val="00135A50"/>
    <w:rsid w:val="00136933"/>
    <w:rsid w:val="001376B1"/>
    <w:rsid w:val="00137A2E"/>
    <w:rsid w:val="00137B95"/>
    <w:rsid w:val="00142CC5"/>
    <w:rsid w:val="00143F5D"/>
    <w:rsid w:val="00144BB1"/>
    <w:rsid w:val="001452BA"/>
    <w:rsid w:val="00145A92"/>
    <w:rsid w:val="00145E18"/>
    <w:rsid w:val="00146D8A"/>
    <w:rsid w:val="00150446"/>
    <w:rsid w:val="0015394C"/>
    <w:rsid w:val="00154005"/>
    <w:rsid w:val="00163E81"/>
    <w:rsid w:val="00174E38"/>
    <w:rsid w:val="001754AC"/>
    <w:rsid w:val="00176611"/>
    <w:rsid w:val="00177740"/>
    <w:rsid w:val="00182C64"/>
    <w:rsid w:val="00190C3B"/>
    <w:rsid w:val="00196438"/>
    <w:rsid w:val="001974CE"/>
    <w:rsid w:val="001A0838"/>
    <w:rsid w:val="001A13C3"/>
    <w:rsid w:val="001A24CC"/>
    <w:rsid w:val="001A2891"/>
    <w:rsid w:val="001A384B"/>
    <w:rsid w:val="001A3CE0"/>
    <w:rsid w:val="001A4569"/>
    <w:rsid w:val="001A4961"/>
    <w:rsid w:val="001A4C04"/>
    <w:rsid w:val="001A6D0C"/>
    <w:rsid w:val="001A6E4E"/>
    <w:rsid w:val="001A7849"/>
    <w:rsid w:val="001B3DCE"/>
    <w:rsid w:val="001B5CC9"/>
    <w:rsid w:val="001B6526"/>
    <w:rsid w:val="001C019B"/>
    <w:rsid w:val="001C3F03"/>
    <w:rsid w:val="001C5181"/>
    <w:rsid w:val="001C64CF"/>
    <w:rsid w:val="001C757E"/>
    <w:rsid w:val="001C77A7"/>
    <w:rsid w:val="001D26E8"/>
    <w:rsid w:val="001D4F1B"/>
    <w:rsid w:val="001D542C"/>
    <w:rsid w:val="001E2907"/>
    <w:rsid w:val="001E4D85"/>
    <w:rsid w:val="001E65BC"/>
    <w:rsid w:val="001F1C28"/>
    <w:rsid w:val="001F3031"/>
    <w:rsid w:val="001F3AB8"/>
    <w:rsid w:val="001F5128"/>
    <w:rsid w:val="001F54FB"/>
    <w:rsid w:val="001F5A22"/>
    <w:rsid w:val="001F5C27"/>
    <w:rsid w:val="001F64E1"/>
    <w:rsid w:val="001F7019"/>
    <w:rsid w:val="001F7B83"/>
    <w:rsid w:val="001F7FA3"/>
    <w:rsid w:val="00202971"/>
    <w:rsid w:val="002041FA"/>
    <w:rsid w:val="002042BF"/>
    <w:rsid w:val="00211F54"/>
    <w:rsid w:val="0021215D"/>
    <w:rsid w:val="00220716"/>
    <w:rsid w:val="002210CB"/>
    <w:rsid w:val="00221D5E"/>
    <w:rsid w:val="00223F66"/>
    <w:rsid w:val="00224683"/>
    <w:rsid w:val="002264D0"/>
    <w:rsid w:val="002273D6"/>
    <w:rsid w:val="00231BF8"/>
    <w:rsid w:val="00232823"/>
    <w:rsid w:val="00233DF0"/>
    <w:rsid w:val="00237CCF"/>
    <w:rsid w:val="00240EEC"/>
    <w:rsid w:val="00242D4F"/>
    <w:rsid w:val="00242E15"/>
    <w:rsid w:val="00246CE1"/>
    <w:rsid w:val="00252E64"/>
    <w:rsid w:val="00253E0E"/>
    <w:rsid w:val="00254059"/>
    <w:rsid w:val="00256D59"/>
    <w:rsid w:val="00260353"/>
    <w:rsid w:val="00260480"/>
    <w:rsid w:val="00261861"/>
    <w:rsid w:val="00261BCB"/>
    <w:rsid w:val="00263CEA"/>
    <w:rsid w:val="00263DD6"/>
    <w:rsid w:val="002644A4"/>
    <w:rsid w:val="002651E6"/>
    <w:rsid w:val="002663ED"/>
    <w:rsid w:val="002706B2"/>
    <w:rsid w:val="00280140"/>
    <w:rsid w:val="00280711"/>
    <w:rsid w:val="00280875"/>
    <w:rsid w:val="0028206A"/>
    <w:rsid w:val="00282848"/>
    <w:rsid w:val="00282948"/>
    <w:rsid w:val="00284327"/>
    <w:rsid w:val="002843DF"/>
    <w:rsid w:val="00286A7D"/>
    <w:rsid w:val="0028783E"/>
    <w:rsid w:val="002919ED"/>
    <w:rsid w:val="002944C8"/>
    <w:rsid w:val="00297941"/>
    <w:rsid w:val="002A33E9"/>
    <w:rsid w:val="002A69DD"/>
    <w:rsid w:val="002B1522"/>
    <w:rsid w:val="002B3675"/>
    <w:rsid w:val="002B4269"/>
    <w:rsid w:val="002B456D"/>
    <w:rsid w:val="002B632E"/>
    <w:rsid w:val="002C09E8"/>
    <w:rsid w:val="002C55DB"/>
    <w:rsid w:val="002C7081"/>
    <w:rsid w:val="002D0763"/>
    <w:rsid w:val="002D11A6"/>
    <w:rsid w:val="002D16E4"/>
    <w:rsid w:val="002D1B3D"/>
    <w:rsid w:val="002D4394"/>
    <w:rsid w:val="002D5E31"/>
    <w:rsid w:val="002D784C"/>
    <w:rsid w:val="002D7F11"/>
    <w:rsid w:val="002E1B6C"/>
    <w:rsid w:val="002E3048"/>
    <w:rsid w:val="002E3680"/>
    <w:rsid w:val="002E3F35"/>
    <w:rsid w:val="002E43EA"/>
    <w:rsid w:val="002F173C"/>
    <w:rsid w:val="002F19D9"/>
    <w:rsid w:val="002F3265"/>
    <w:rsid w:val="002F6510"/>
    <w:rsid w:val="002F705F"/>
    <w:rsid w:val="0030078E"/>
    <w:rsid w:val="003040DE"/>
    <w:rsid w:val="00304FFF"/>
    <w:rsid w:val="00311375"/>
    <w:rsid w:val="00317A55"/>
    <w:rsid w:val="00320E79"/>
    <w:rsid w:val="00321738"/>
    <w:rsid w:val="00325E50"/>
    <w:rsid w:val="00325F2D"/>
    <w:rsid w:val="00326C68"/>
    <w:rsid w:val="00327AFE"/>
    <w:rsid w:val="00331748"/>
    <w:rsid w:val="00332302"/>
    <w:rsid w:val="0033482A"/>
    <w:rsid w:val="00337126"/>
    <w:rsid w:val="00340B35"/>
    <w:rsid w:val="00341962"/>
    <w:rsid w:val="00343077"/>
    <w:rsid w:val="00344B98"/>
    <w:rsid w:val="00346452"/>
    <w:rsid w:val="00346905"/>
    <w:rsid w:val="00347FCF"/>
    <w:rsid w:val="00352019"/>
    <w:rsid w:val="0035325E"/>
    <w:rsid w:val="003552C6"/>
    <w:rsid w:val="00357A5E"/>
    <w:rsid w:val="00361764"/>
    <w:rsid w:val="00362E09"/>
    <w:rsid w:val="00366B63"/>
    <w:rsid w:val="0036708F"/>
    <w:rsid w:val="00370AA9"/>
    <w:rsid w:val="00372239"/>
    <w:rsid w:val="0037353E"/>
    <w:rsid w:val="003744C2"/>
    <w:rsid w:val="00375600"/>
    <w:rsid w:val="00375785"/>
    <w:rsid w:val="00375847"/>
    <w:rsid w:val="00376E51"/>
    <w:rsid w:val="00377209"/>
    <w:rsid w:val="00377515"/>
    <w:rsid w:val="00381F53"/>
    <w:rsid w:val="00391350"/>
    <w:rsid w:val="003927B9"/>
    <w:rsid w:val="003928E7"/>
    <w:rsid w:val="00393139"/>
    <w:rsid w:val="00393850"/>
    <w:rsid w:val="003943C4"/>
    <w:rsid w:val="0039493D"/>
    <w:rsid w:val="00395511"/>
    <w:rsid w:val="003A396A"/>
    <w:rsid w:val="003B32D3"/>
    <w:rsid w:val="003B375D"/>
    <w:rsid w:val="003B5D6B"/>
    <w:rsid w:val="003B7812"/>
    <w:rsid w:val="003C44A8"/>
    <w:rsid w:val="003C4B51"/>
    <w:rsid w:val="003C6C41"/>
    <w:rsid w:val="003C6CB9"/>
    <w:rsid w:val="003D0026"/>
    <w:rsid w:val="003D02BB"/>
    <w:rsid w:val="003D0E9A"/>
    <w:rsid w:val="003D20CC"/>
    <w:rsid w:val="003D2193"/>
    <w:rsid w:val="003D2B87"/>
    <w:rsid w:val="003E21F3"/>
    <w:rsid w:val="003E373F"/>
    <w:rsid w:val="003E484D"/>
    <w:rsid w:val="003E5365"/>
    <w:rsid w:val="003E6174"/>
    <w:rsid w:val="003F0E22"/>
    <w:rsid w:val="003F1BE3"/>
    <w:rsid w:val="003F3FAD"/>
    <w:rsid w:val="003F4C5C"/>
    <w:rsid w:val="003F4E83"/>
    <w:rsid w:val="003F549C"/>
    <w:rsid w:val="003F57C8"/>
    <w:rsid w:val="003F5B7B"/>
    <w:rsid w:val="003F61EC"/>
    <w:rsid w:val="003F67DB"/>
    <w:rsid w:val="003F7576"/>
    <w:rsid w:val="003F7966"/>
    <w:rsid w:val="004011D9"/>
    <w:rsid w:val="0040513A"/>
    <w:rsid w:val="004066FF"/>
    <w:rsid w:val="00412E13"/>
    <w:rsid w:val="0041369F"/>
    <w:rsid w:val="004151A3"/>
    <w:rsid w:val="00420C44"/>
    <w:rsid w:val="004233AA"/>
    <w:rsid w:val="00427696"/>
    <w:rsid w:val="004327A6"/>
    <w:rsid w:val="004333F6"/>
    <w:rsid w:val="0043452F"/>
    <w:rsid w:val="00434C17"/>
    <w:rsid w:val="00434D8F"/>
    <w:rsid w:val="00434DC2"/>
    <w:rsid w:val="00435098"/>
    <w:rsid w:val="00436B45"/>
    <w:rsid w:val="00442FBA"/>
    <w:rsid w:val="0044402A"/>
    <w:rsid w:val="0044439C"/>
    <w:rsid w:val="00447852"/>
    <w:rsid w:val="004516D7"/>
    <w:rsid w:val="00453B3B"/>
    <w:rsid w:val="00456633"/>
    <w:rsid w:val="00460896"/>
    <w:rsid w:val="00461524"/>
    <w:rsid w:val="004630F3"/>
    <w:rsid w:val="004650CA"/>
    <w:rsid w:val="0046539B"/>
    <w:rsid w:val="0046701A"/>
    <w:rsid w:val="00467A9C"/>
    <w:rsid w:val="00471677"/>
    <w:rsid w:val="00472494"/>
    <w:rsid w:val="004736B8"/>
    <w:rsid w:val="0047408D"/>
    <w:rsid w:val="00476005"/>
    <w:rsid w:val="00477F86"/>
    <w:rsid w:val="0048240C"/>
    <w:rsid w:val="00483295"/>
    <w:rsid w:val="0048684C"/>
    <w:rsid w:val="00486E43"/>
    <w:rsid w:val="00487045"/>
    <w:rsid w:val="00492534"/>
    <w:rsid w:val="00492C26"/>
    <w:rsid w:val="00493480"/>
    <w:rsid w:val="004A2F63"/>
    <w:rsid w:val="004A2FD8"/>
    <w:rsid w:val="004A6DFA"/>
    <w:rsid w:val="004A7ED7"/>
    <w:rsid w:val="004A7F08"/>
    <w:rsid w:val="004B0018"/>
    <w:rsid w:val="004B2673"/>
    <w:rsid w:val="004B3F8E"/>
    <w:rsid w:val="004B4CE0"/>
    <w:rsid w:val="004B5B54"/>
    <w:rsid w:val="004B69BF"/>
    <w:rsid w:val="004B7BBF"/>
    <w:rsid w:val="004C051C"/>
    <w:rsid w:val="004C0C31"/>
    <w:rsid w:val="004C2CF0"/>
    <w:rsid w:val="004C66BD"/>
    <w:rsid w:val="004C76A5"/>
    <w:rsid w:val="004D5995"/>
    <w:rsid w:val="004D5A3C"/>
    <w:rsid w:val="004D6800"/>
    <w:rsid w:val="004E3181"/>
    <w:rsid w:val="004E5595"/>
    <w:rsid w:val="004E5742"/>
    <w:rsid w:val="004F3CFD"/>
    <w:rsid w:val="004F4F3C"/>
    <w:rsid w:val="004F50B0"/>
    <w:rsid w:val="004F5C7A"/>
    <w:rsid w:val="004F6DD6"/>
    <w:rsid w:val="004F7EFA"/>
    <w:rsid w:val="005008E6"/>
    <w:rsid w:val="00501F0A"/>
    <w:rsid w:val="00505844"/>
    <w:rsid w:val="005117D7"/>
    <w:rsid w:val="00513405"/>
    <w:rsid w:val="00520285"/>
    <w:rsid w:val="0052410C"/>
    <w:rsid w:val="00525079"/>
    <w:rsid w:val="00526173"/>
    <w:rsid w:val="00526829"/>
    <w:rsid w:val="00531E9E"/>
    <w:rsid w:val="005320D4"/>
    <w:rsid w:val="00532B48"/>
    <w:rsid w:val="005360A5"/>
    <w:rsid w:val="00540745"/>
    <w:rsid w:val="005415E7"/>
    <w:rsid w:val="00542C69"/>
    <w:rsid w:val="0054368F"/>
    <w:rsid w:val="00545C91"/>
    <w:rsid w:val="00550720"/>
    <w:rsid w:val="00551F11"/>
    <w:rsid w:val="005528EE"/>
    <w:rsid w:val="005547CF"/>
    <w:rsid w:val="0055551E"/>
    <w:rsid w:val="00555DBA"/>
    <w:rsid w:val="0056372F"/>
    <w:rsid w:val="00563D7E"/>
    <w:rsid w:val="005712F0"/>
    <w:rsid w:val="005721D2"/>
    <w:rsid w:val="00572506"/>
    <w:rsid w:val="00576290"/>
    <w:rsid w:val="00582EFB"/>
    <w:rsid w:val="0058352E"/>
    <w:rsid w:val="00583664"/>
    <w:rsid w:val="00590D2A"/>
    <w:rsid w:val="00594568"/>
    <w:rsid w:val="00597C9C"/>
    <w:rsid w:val="005A6BD8"/>
    <w:rsid w:val="005B1FD7"/>
    <w:rsid w:val="005B397D"/>
    <w:rsid w:val="005B3D97"/>
    <w:rsid w:val="005B3F5F"/>
    <w:rsid w:val="005B6A01"/>
    <w:rsid w:val="005C1D98"/>
    <w:rsid w:val="005C21D2"/>
    <w:rsid w:val="005C3007"/>
    <w:rsid w:val="005C3CFC"/>
    <w:rsid w:val="005C653B"/>
    <w:rsid w:val="005D159C"/>
    <w:rsid w:val="005D1DC8"/>
    <w:rsid w:val="005D41E3"/>
    <w:rsid w:val="005D720B"/>
    <w:rsid w:val="005E392C"/>
    <w:rsid w:val="005E3F3F"/>
    <w:rsid w:val="005E5A1E"/>
    <w:rsid w:val="005E6641"/>
    <w:rsid w:val="005E7EB8"/>
    <w:rsid w:val="005F4DCA"/>
    <w:rsid w:val="005F5F3D"/>
    <w:rsid w:val="005F7403"/>
    <w:rsid w:val="005F7A1A"/>
    <w:rsid w:val="0060027C"/>
    <w:rsid w:val="006012B3"/>
    <w:rsid w:val="006030C2"/>
    <w:rsid w:val="00606479"/>
    <w:rsid w:val="00607564"/>
    <w:rsid w:val="00607A0E"/>
    <w:rsid w:val="00611723"/>
    <w:rsid w:val="00612C60"/>
    <w:rsid w:val="0061409C"/>
    <w:rsid w:val="00614B6D"/>
    <w:rsid w:val="00620E07"/>
    <w:rsid w:val="00621D01"/>
    <w:rsid w:val="00621E54"/>
    <w:rsid w:val="00622CDC"/>
    <w:rsid w:val="00622E1F"/>
    <w:rsid w:val="00625123"/>
    <w:rsid w:val="00625FD5"/>
    <w:rsid w:val="00626399"/>
    <w:rsid w:val="00626D8C"/>
    <w:rsid w:val="0062788B"/>
    <w:rsid w:val="00627AB2"/>
    <w:rsid w:val="00627DE1"/>
    <w:rsid w:val="0063045C"/>
    <w:rsid w:val="006307B5"/>
    <w:rsid w:val="00631896"/>
    <w:rsid w:val="00631B51"/>
    <w:rsid w:val="0063518E"/>
    <w:rsid w:val="00644202"/>
    <w:rsid w:val="00645A14"/>
    <w:rsid w:val="006647EC"/>
    <w:rsid w:val="006658B0"/>
    <w:rsid w:val="00665B18"/>
    <w:rsid w:val="006675B2"/>
    <w:rsid w:val="00667E40"/>
    <w:rsid w:val="00672690"/>
    <w:rsid w:val="00673C6A"/>
    <w:rsid w:val="0067563F"/>
    <w:rsid w:val="0067772F"/>
    <w:rsid w:val="006809A2"/>
    <w:rsid w:val="006811CC"/>
    <w:rsid w:val="0068221C"/>
    <w:rsid w:val="00686A4A"/>
    <w:rsid w:val="00690322"/>
    <w:rsid w:val="00692EF0"/>
    <w:rsid w:val="006943DC"/>
    <w:rsid w:val="00694960"/>
    <w:rsid w:val="00695152"/>
    <w:rsid w:val="00697864"/>
    <w:rsid w:val="006A2FA2"/>
    <w:rsid w:val="006A5428"/>
    <w:rsid w:val="006A5D92"/>
    <w:rsid w:val="006A6076"/>
    <w:rsid w:val="006A653D"/>
    <w:rsid w:val="006B22BC"/>
    <w:rsid w:val="006B313A"/>
    <w:rsid w:val="006C014A"/>
    <w:rsid w:val="006C0577"/>
    <w:rsid w:val="006C0B86"/>
    <w:rsid w:val="006C2610"/>
    <w:rsid w:val="006C2DD5"/>
    <w:rsid w:val="006C3307"/>
    <w:rsid w:val="006C3915"/>
    <w:rsid w:val="006C52E0"/>
    <w:rsid w:val="006C6338"/>
    <w:rsid w:val="006C716B"/>
    <w:rsid w:val="006D037F"/>
    <w:rsid w:val="006D1687"/>
    <w:rsid w:val="006D3528"/>
    <w:rsid w:val="006E1085"/>
    <w:rsid w:val="006E2E70"/>
    <w:rsid w:val="006E5202"/>
    <w:rsid w:val="006E7697"/>
    <w:rsid w:val="006E7D44"/>
    <w:rsid w:val="006F3FC0"/>
    <w:rsid w:val="006F70D9"/>
    <w:rsid w:val="007040F7"/>
    <w:rsid w:val="00707CA0"/>
    <w:rsid w:val="00707F20"/>
    <w:rsid w:val="00711F80"/>
    <w:rsid w:val="007133A5"/>
    <w:rsid w:val="00714F4E"/>
    <w:rsid w:val="00716176"/>
    <w:rsid w:val="00717BD0"/>
    <w:rsid w:val="00720ED5"/>
    <w:rsid w:val="0072288F"/>
    <w:rsid w:val="00722DCE"/>
    <w:rsid w:val="00725473"/>
    <w:rsid w:val="0072567A"/>
    <w:rsid w:val="007275EF"/>
    <w:rsid w:val="00727E92"/>
    <w:rsid w:val="00730F77"/>
    <w:rsid w:val="007314DF"/>
    <w:rsid w:val="00733392"/>
    <w:rsid w:val="00734243"/>
    <w:rsid w:val="00734786"/>
    <w:rsid w:val="007347C8"/>
    <w:rsid w:val="00735329"/>
    <w:rsid w:val="00735DE3"/>
    <w:rsid w:val="007375CC"/>
    <w:rsid w:val="007415DF"/>
    <w:rsid w:val="0074293F"/>
    <w:rsid w:val="00743600"/>
    <w:rsid w:val="00745790"/>
    <w:rsid w:val="007465D6"/>
    <w:rsid w:val="0075033E"/>
    <w:rsid w:val="00750ECC"/>
    <w:rsid w:val="007520D8"/>
    <w:rsid w:val="007521E4"/>
    <w:rsid w:val="00752963"/>
    <w:rsid w:val="00753808"/>
    <w:rsid w:val="00753D89"/>
    <w:rsid w:val="007566E6"/>
    <w:rsid w:val="007571AA"/>
    <w:rsid w:val="00757E0B"/>
    <w:rsid w:val="0076185F"/>
    <w:rsid w:val="00764066"/>
    <w:rsid w:val="0076676F"/>
    <w:rsid w:val="007667A0"/>
    <w:rsid w:val="0076780D"/>
    <w:rsid w:val="00767AA7"/>
    <w:rsid w:val="00771000"/>
    <w:rsid w:val="00771F3C"/>
    <w:rsid w:val="007725F5"/>
    <w:rsid w:val="0077599E"/>
    <w:rsid w:val="007808A5"/>
    <w:rsid w:val="007846AF"/>
    <w:rsid w:val="007874ED"/>
    <w:rsid w:val="00790286"/>
    <w:rsid w:val="00794BD0"/>
    <w:rsid w:val="0079643C"/>
    <w:rsid w:val="00797F6E"/>
    <w:rsid w:val="007A0A5A"/>
    <w:rsid w:val="007A20E4"/>
    <w:rsid w:val="007A2B24"/>
    <w:rsid w:val="007A37CC"/>
    <w:rsid w:val="007A4055"/>
    <w:rsid w:val="007A4483"/>
    <w:rsid w:val="007B04ED"/>
    <w:rsid w:val="007B13DA"/>
    <w:rsid w:val="007B3904"/>
    <w:rsid w:val="007B5153"/>
    <w:rsid w:val="007B78FF"/>
    <w:rsid w:val="007C07A6"/>
    <w:rsid w:val="007C3CB3"/>
    <w:rsid w:val="007C53AB"/>
    <w:rsid w:val="007C661D"/>
    <w:rsid w:val="007C7AE0"/>
    <w:rsid w:val="007D3121"/>
    <w:rsid w:val="007D32F2"/>
    <w:rsid w:val="007D3601"/>
    <w:rsid w:val="007D3BBE"/>
    <w:rsid w:val="007D4493"/>
    <w:rsid w:val="007D6634"/>
    <w:rsid w:val="007D7AE2"/>
    <w:rsid w:val="007E07D9"/>
    <w:rsid w:val="007E07E3"/>
    <w:rsid w:val="007E1E5F"/>
    <w:rsid w:val="007E32AA"/>
    <w:rsid w:val="007E3E94"/>
    <w:rsid w:val="007E4657"/>
    <w:rsid w:val="007E7FCD"/>
    <w:rsid w:val="007F0D49"/>
    <w:rsid w:val="007F3A74"/>
    <w:rsid w:val="007F3B36"/>
    <w:rsid w:val="007F3B5A"/>
    <w:rsid w:val="007F4083"/>
    <w:rsid w:val="007F4BC4"/>
    <w:rsid w:val="007F768D"/>
    <w:rsid w:val="0080023A"/>
    <w:rsid w:val="00800B0C"/>
    <w:rsid w:val="00801F17"/>
    <w:rsid w:val="00803D7E"/>
    <w:rsid w:val="008060FA"/>
    <w:rsid w:val="008072B1"/>
    <w:rsid w:val="0081121E"/>
    <w:rsid w:val="008115C6"/>
    <w:rsid w:val="00812239"/>
    <w:rsid w:val="0081234C"/>
    <w:rsid w:val="00812351"/>
    <w:rsid w:val="00812371"/>
    <w:rsid w:val="008132DA"/>
    <w:rsid w:val="00813FD8"/>
    <w:rsid w:val="0081459C"/>
    <w:rsid w:val="00817CD6"/>
    <w:rsid w:val="008201A3"/>
    <w:rsid w:val="008211CC"/>
    <w:rsid w:val="00831B92"/>
    <w:rsid w:val="008342EE"/>
    <w:rsid w:val="00837074"/>
    <w:rsid w:val="00837123"/>
    <w:rsid w:val="00837B05"/>
    <w:rsid w:val="00840A45"/>
    <w:rsid w:val="00840BAF"/>
    <w:rsid w:val="008432AA"/>
    <w:rsid w:val="008456F8"/>
    <w:rsid w:val="00845C4E"/>
    <w:rsid w:val="008467F2"/>
    <w:rsid w:val="00850F68"/>
    <w:rsid w:val="0085287E"/>
    <w:rsid w:val="00852B9C"/>
    <w:rsid w:val="00852DC7"/>
    <w:rsid w:val="00856B88"/>
    <w:rsid w:val="00856CFA"/>
    <w:rsid w:val="00857C4D"/>
    <w:rsid w:val="008604EB"/>
    <w:rsid w:val="00860992"/>
    <w:rsid w:val="00860F8A"/>
    <w:rsid w:val="008615E1"/>
    <w:rsid w:val="008656B7"/>
    <w:rsid w:val="008672AB"/>
    <w:rsid w:val="00867B0B"/>
    <w:rsid w:val="00871894"/>
    <w:rsid w:val="008728E3"/>
    <w:rsid w:val="0087539A"/>
    <w:rsid w:val="008761D5"/>
    <w:rsid w:val="00876503"/>
    <w:rsid w:val="00876A30"/>
    <w:rsid w:val="00877E91"/>
    <w:rsid w:val="00880374"/>
    <w:rsid w:val="00880FBA"/>
    <w:rsid w:val="00885D96"/>
    <w:rsid w:val="00885FD3"/>
    <w:rsid w:val="008869E6"/>
    <w:rsid w:val="008906BB"/>
    <w:rsid w:val="00892AE4"/>
    <w:rsid w:val="00897B9A"/>
    <w:rsid w:val="00897FDA"/>
    <w:rsid w:val="008A17E4"/>
    <w:rsid w:val="008A3046"/>
    <w:rsid w:val="008A30FD"/>
    <w:rsid w:val="008A5381"/>
    <w:rsid w:val="008A5B57"/>
    <w:rsid w:val="008A611F"/>
    <w:rsid w:val="008A6B50"/>
    <w:rsid w:val="008A79D4"/>
    <w:rsid w:val="008B3C51"/>
    <w:rsid w:val="008B4725"/>
    <w:rsid w:val="008B5227"/>
    <w:rsid w:val="008B570A"/>
    <w:rsid w:val="008C0633"/>
    <w:rsid w:val="008C13AE"/>
    <w:rsid w:val="008C282E"/>
    <w:rsid w:val="008C4B1C"/>
    <w:rsid w:val="008C5446"/>
    <w:rsid w:val="008C6AA7"/>
    <w:rsid w:val="008D2527"/>
    <w:rsid w:val="008D2704"/>
    <w:rsid w:val="008D6D3D"/>
    <w:rsid w:val="008E011D"/>
    <w:rsid w:val="008E0C50"/>
    <w:rsid w:val="008E1656"/>
    <w:rsid w:val="008E3C68"/>
    <w:rsid w:val="008E3FF2"/>
    <w:rsid w:val="008E6A3E"/>
    <w:rsid w:val="008F0D7B"/>
    <w:rsid w:val="008F26F9"/>
    <w:rsid w:val="008F35A3"/>
    <w:rsid w:val="008F3DFE"/>
    <w:rsid w:val="008F499E"/>
    <w:rsid w:val="008F731B"/>
    <w:rsid w:val="008F7E36"/>
    <w:rsid w:val="00900652"/>
    <w:rsid w:val="009030DD"/>
    <w:rsid w:val="00904D83"/>
    <w:rsid w:val="009051DF"/>
    <w:rsid w:val="009057C5"/>
    <w:rsid w:val="009067D7"/>
    <w:rsid w:val="0091137B"/>
    <w:rsid w:val="009113D2"/>
    <w:rsid w:val="00916B3B"/>
    <w:rsid w:val="00916B57"/>
    <w:rsid w:val="00922FDA"/>
    <w:rsid w:val="00925EC8"/>
    <w:rsid w:val="009261B4"/>
    <w:rsid w:val="0093024E"/>
    <w:rsid w:val="00931F32"/>
    <w:rsid w:val="00932C03"/>
    <w:rsid w:val="0093344D"/>
    <w:rsid w:val="00934FA4"/>
    <w:rsid w:val="00935C95"/>
    <w:rsid w:val="0093720B"/>
    <w:rsid w:val="009424C0"/>
    <w:rsid w:val="00942A52"/>
    <w:rsid w:val="009457C7"/>
    <w:rsid w:val="0094750A"/>
    <w:rsid w:val="0095264C"/>
    <w:rsid w:val="00952C0E"/>
    <w:rsid w:val="009534CC"/>
    <w:rsid w:val="00953BD7"/>
    <w:rsid w:val="00953DF5"/>
    <w:rsid w:val="009567DD"/>
    <w:rsid w:val="009578CD"/>
    <w:rsid w:val="00960EB4"/>
    <w:rsid w:val="00961717"/>
    <w:rsid w:val="00962680"/>
    <w:rsid w:val="0096297F"/>
    <w:rsid w:val="009679E5"/>
    <w:rsid w:val="009708F3"/>
    <w:rsid w:val="0097284A"/>
    <w:rsid w:val="00972C0E"/>
    <w:rsid w:val="00976B38"/>
    <w:rsid w:val="00977A29"/>
    <w:rsid w:val="0098057C"/>
    <w:rsid w:val="00981C72"/>
    <w:rsid w:val="00984B97"/>
    <w:rsid w:val="009851DE"/>
    <w:rsid w:val="00986D22"/>
    <w:rsid w:val="009933AF"/>
    <w:rsid w:val="009937E8"/>
    <w:rsid w:val="00993968"/>
    <w:rsid w:val="00993FAB"/>
    <w:rsid w:val="00994DC0"/>
    <w:rsid w:val="009A1D93"/>
    <w:rsid w:val="009A4B1B"/>
    <w:rsid w:val="009A5567"/>
    <w:rsid w:val="009A77CD"/>
    <w:rsid w:val="009A7B08"/>
    <w:rsid w:val="009B3104"/>
    <w:rsid w:val="009B663C"/>
    <w:rsid w:val="009B67EA"/>
    <w:rsid w:val="009B705F"/>
    <w:rsid w:val="009B762A"/>
    <w:rsid w:val="009C0C5D"/>
    <w:rsid w:val="009C24FE"/>
    <w:rsid w:val="009C3EFC"/>
    <w:rsid w:val="009C530A"/>
    <w:rsid w:val="009D2446"/>
    <w:rsid w:val="009D52AF"/>
    <w:rsid w:val="009D74C8"/>
    <w:rsid w:val="009D7B40"/>
    <w:rsid w:val="009D7D49"/>
    <w:rsid w:val="009E0D16"/>
    <w:rsid w:val="009E7510"/>
    <w:rsid w:val="009E7D88"/>
    <w:rsid w:val="009F052C"/>
    <w:rsid w:val="009F244A"/>
    <w:rsid w:val="009F6328"/>
    <w:rsid w:val="00A02333"/>
    <w:rsid w:val="00A03529"/>
    <w:rsid w:val="00A03F47"/>
    <w:rsid w:val="00A04E24"/>
    <w:rsid w:val="00A066E2"/>
    <w:rsid w:val="00A06B67"/>
    <w:rsid w:val="00A0702E"/>
    <w:rsid w:val="00A07BF7"/>
    <w:rsid w:val="00A10970"/>
    <w:rsid w:val="00A11672"/>
    <w:rsid w:val="00A1331C"/>
    <w:rsid w:val="00A15083"/>
    <w:rsid w:val="00A15DE2"/>
    <w:rsid w:val="00A17049"/>
    <w:rsid w:val="00A217E7"/>
    <w:rsid w:val="00A218BB"/>
    <w:rsid w:val="00A2243C"/>
    <w:rsid w:val="00A229EC"/>
    <w:rsid w:val="00A2438C"/>
    <w:rsid w:val="00A264E4"/>
    <w:rsid w:val="00A2797F"/>
    <w:rsid w:val="00A3063B"/>
    <w:rsid w:val="00A33B4D"/>
    <w:rsid w:val="00A33D05"/>
    <w:rsid w:val="00A33E90"/>
    <w:rsid w:val="00A34518"/>
    <w:rsid w:val="00A36C34"/>
    <w:rsid w:val="00A40DD6"/>
    <w:rsid w:val="00A40ECB"/>
    <w:rsid w:val="00A42B46"/>
    <w:rsid w:val="00A4353C"/>
    <w:rsid w:val="00A447DD"/>
    <w:rsid w:val="00A45BF3"/>
    <w:rsid w:val="00A47255"/>
    <w:rsid w:val="00A54702"/>
    <w:rsid w:val="00A56F66"/>
    <w:rsid w:val="00A570D9"/>
    <w:rsid w:val="00A57499"/>
    <w:rsid w:val="00A60041"/>
    <w:rsid w:val="00A62C39"/>
    <w:rsid w:val="00A639F7"/>
    <w:rsid w:val="00A64F5F"/>
    <w:rsid w:val="00A73FE2"/>
    <w:rsid w:val="00A74B12"/>
    <w:rsid w:val="00A74C2E"/>
    <w:rsid w:val="00A76216"/>
    <w:rsid w:val="00A81CD4"/>
    <w:rsid w:val="00A82A4F"/>
    <w:rsid w:val="00A84873"/>
    <w:rsid w:val="00A8652D"/>
    <w:rsid w:val="00A866B0"/>
    <w:rsid w:val="00A87350"/>
    <w:rsid w:val="00A87790"/>
    <w:rsid w:val="00A87ABB"/>
    <w:rsid w:val="00A87D61"/>
    <w:rsid w:val="00A928C5"/>
    <w:rsid w:val="00A92BDF"/>
    <w:rsid w:val="00A92CFC"/>
    <w:rsid w:val="00AA2D55"/>
    <w:rsid w:val="00AA35A8"/>
    <w:rsid w:val="00AA4773"/>
    <w:rsid w:val="00AA4AD5"/>
    <w:rsid w:val="00AA5081"/>
    <w:rsid w:val="00AA5139"/>
    <w:rsid w:val="00AA59EE"/>
    <w:rsid w:val="00AA61BC"/>
    <w:rsid w:val="00AA6560"/>
    <w:rsid w:val="00AB042F"/>
    <w:rsid w:val="00AB044A"/>
    <w:rsid w:val="00AB1D4C"/>
    <w:rsid w:val="00AB52C7"/>
    <w:rsid w:val="00AB67C4"/>
    <w:rsid w:val="00AB7325"/>
    <w:rsid w:val="00AC1286"/>
    <w:rsid w:val="00AC239F"/>
    <w:rsid w:val="00AC2AF6"/>
    <w:rsid w:val="00AC30D4"/>
    <w:rsid w:val="00AC3B28"/>
    <w:rsid w:val="00AC468C"/>
    <w:rsid w:val="00AC46FA"/>
    <w:rsid w:val="00AC7614"/>
    <w:rsid w:val="00AC794E"/>
    <w:rsid w:val="00AD1E37"/>
    <w:rsid w:val="00AD41B9"/>
    <w:rsid w:val="00AD56DD"/>
    <w:rsid w:val="00AF529E"/>
    <w:rsid w:val="00AF5F40"/>
    <w:rsid w:val="00AF64E4"/>
    <w:rsid w:val="00AF7834"/>
    <w:rsid w:val="00AF7EB1"/>
    <w:rsid w:val="00B00055"/>
    <w:rsid w:val="00B016AF"/>
    <w:rsid w:val="00B02312"/>
    <w:rsid w:val="00B036DF"/>
    <w:rsid w:val="00B06309"/>
    <w:rsid w:val="00B06465"/>
    <w:rsid w:val="00B06CB0"/>
    <w:rsid w:val="00B075B8"/>
    <w:rsid w:val="00B10945"/>
    <w:rsid w:val="00B110D9"/>
    <w:rsid w:val="00B11ABA"/>
    <w:rsid w:val="00B13FF6"/>
    <w:rsid w:val="00B157CE"/>
    <w:rsid w:val="00B16C22"/>
    <w:rsid w:val="00B173B6"/>
    <w:rsid w:val="00B2171D"/>
    <w:rsid w:val="00B2208F"/>
    <w:rsid w:val="00B2652A"/>
    <w:rsid w:val="00B2675A"/>
    <w:rsid w:val="00B316AF"/>
    <w:rsid w:val="00B32191"/>
    <w:rsid w:val="00B32807"/>
    <w:rsid w:val="00B32C5B"/>
    <w:rsid w:val="00B378CA"/>
    <w:rsid w:val="00B37EE6"/>
    <w:rsid w:val="00B43CB1"/>
    <w:rsid w:val="00B43D34"/>
    <w:rsid w:val="00B45B9F"/>
    <w:rsid w:val="00B504DE"/>
    <w:rsid w:val="00B509EF"/>
    <w:rsid w:val="00B50E02"/>
    <w:rsid w:val="00B60B62"/>
    <w:rsid w:val="00B60C11"/>
    <w:rsid w:val="00B6103F"/>
    <w:rsid w:val="00B6488B"/>
    <w:rsid w:val="00B65495"/>
    <w:rsid w:val="00B654DA"/>
    <w:rsid w:val="00B655CE"/>
    <w:rsid w:val="00B656AD"/>
    <w:rsid w:val="00B670F4"/>
    <w:rsid w:val="00B715FF"/>
    <w:rsid w:val="00B74296"/>
    <w:rsid w:val="00B7727F"/>
    <w:rsid w:val="00B77E7B"/>
    <w:rsid w:val="00B80D1A"/>
    <w:rsid w:val="00B83CA5"/>
    <w:rsid w:val="00B85BAA"/>
    <w:rsid w:val="00B90C54"/>
    <w:rsid w:val="00B92D68"/>
    <w:rsid w:val="00B9443E"/>
    <w:rsid w:val="00B97806"/>
    <w:rsid w:val="00BA091A"/>
    <w:rsid w:val="00BA2DCD"/>
    <w:rsid w:val="00BA62EB"/>
    <w:rsid w:val="00BA6397"/>
    <w:rsid w:val="00BA7D11"/>
    <w:rsid w:val="00BB09DE"/>
    <w:rsid w:val="00BB28FF"/>
    <w:rsid w:val="00BB3104"/>
    <w:rsid w:val="00BB3DBE"/>
    <w:rsid w:val="00BB4316"/>
    <w:rsid w:val="00BB4BB4"/>
    <w:rsid w:val="00BB503F"/>
    <w:rsid w:val="00BC0F8F"/>
    <w:rsid w:val="00BC1A00"/>
    <w:rsid w:val="00BC26E5"/>
    <w:rsid w:val="00BC2D5F"/>
    <w:rsid w:val="00BC3689"/>
    <w:rsid w:val="00BC37E3"/>
    <w:rsid w:val="00BC6F9F"/>
    <w:rsid w:val="00BC7024"/>
    <w:rsid w:val="00BC7F2E"/>
    <w:rsid w:val="00BD174C"/>
    <w:rsid w:val="00BD1919"/>
    <w:rsid w:val="00BD21B5"/>
    <w:rsid w:val="00BD2408"/>
    <w:rsid w:val="00BD2414"/>
    <w:rsid w:val="00BD6147"/>
    <w:rsid w:val="00BD70AB"/>
    <w:rsid w:val="00BE1CB2"/>
    <w:rsid w:val="00BE74E6"/>
    <w:rsid w:val="00BF06A6"/>
    <w:rsid w:val="00BF0FF8"/>
    <w:rsid w:val="00BF4BD6"/>
    <w:rsid w:val="00BF50EF"/>
    <w:rsid w:val="00C01B9E"/>
    <w:rsid w:val="00C0600B"/>
    <w:rsid w:val="00C064F5"/>
    <w:rsid w:val="00C10378"/>
    <w:rsid w:val="00C129DD"/>
    <w:rsid w:val="00C14833"/>
    <w:rsid w:val="00C17569"/>
    <w:rsid w:val="00C2100A"/>
    <w:rsid w:val="00C2128F"/>
    <w:rsid w:val="00C218F4"/>
    <w:rsid w:val="00C238CE"/>
    <w:rsid w:val="00C24020"/>
    <w:rsid w:val="00C2404F"/>
    <w:rsid w:val="00C25FAC"/>
    <w:rsid w:val="00C269B4"/>
    <w:rsid w:val="00C26CE2"/>
    <w:rsid w:val="00C26D8D"/>
    <w:rsid w:val="00C279B3"/>
    <w:rsid w:val="00C27AB6"/>
    <w:rsid w:val="00C30CE2"/>
    <w:rsid w:val="00C33866"/>
    <w:rsid w:val="00C346F6"/>
    <w:rsid w:val="00C358B9"/>
    <w:rsid w:val="00C36F7D"/>
    <w:rsid w:val="00C41BDB"/>
    <w:rsid w:val="00C436D7"/>
    <w:rsid w:val="00C45099"/>
    <w:rsid w:val="00C451BC"/>
    <w:rsid w:val="00C46651"/>
    <w:rsid w:val="00C51D4D"/>
    <w:rsid w:val="00C542B5"/>
    <w:rsid w:val="00C553EE"/>
    <w:rsid w:val="00C57670"/>
    <w:rsid w:val="00C57936"/>
    <w:rsid w:val="00C61DEB"/>
    <w:rsid w:val="00C63999"/>
    <w:rsid w:val="00C7215F"/>
    <w:rsid w:val="00C7455F"/>
    <w:rsid w:val="00C75819"/>
    <w:rsid w:val="00C76DCF"/>
    <w:rsid w:val="00C80561"/>
    <w:rsid w:val="00C8162D"/>
    <w:rsid w:val="00C838BE"/>
    <w:rsid w:val="00C86012"/>
    <w:rsid w:val="00C86900"/>
    <w:rsid w:val="00C922B4"/>
    <w:rsid w:val="00C92713"/>
    <w:rsid w:val="00C92763"/>
    <w:rsid w:val="00C940F5"/>
    <w:rsid w:val="00C94623"/>
    <w:rsid w:val="00C94E63"/>
    <w:rsid w:val="00C952EC"/>
    <w:rsid w:val="00C966EF"/>
    <w:rsid w:val="00C979D8"/>
    <w:rsid w:val="00C97E83"/>
    <w:rsid w:val="00CA0FEB"/>
    <w:rsid w:val="00CA1299"/>
    <w:rsid w:val="00CA1EC1"/>
    <w:rsid w:val="00CA2AFE"/>
    <w:rsid w:val="00CA3C07"/>
    <w:rsid w:val="00CA54E2"/>
    <w:rsid w:val="00CB03C4"/>
    <w:rsid w:val="00CB0F68"/>
    <w:rsid w:val="00CB2952"/>
    <w:rsid w:val="00CB3102"/>
    <w:rsid w:val="00CB7E77"/>
    <w:rsid w:val="00CC1EFA"/>
    <w:rsid w:val="00CC4BB5"/>
    <w:rsid w:val="00CC610C"/>
    <w:rsid w:val="00CC7BC0"/>
    <w:rsid w:val="00CD1C5F"/>
    <w:rsid w:val="00CD400A"/>
    <w:rsid w:val="00CD48FD"/>
    <w:rsid w:val="00CD7415"/>
    <w:rsid w:val="00CE0C6E"/>
    <w:rsid w:val="00CE22D5"/>
    <w:rsid w:val="00CE3151"/>
    <w:rsid w:val="00CE616A"/>
    <w:rsid w:val="00CE6770"/>
    <w:rsid w:val="00CE6F1F"/>
    <w:rsid w:val="00CE79F0"/>
    <w:rsid w:val="00CE7D2D"/>
    <w:rsid w:val="00CF0329"/>
    <w:rsid w:val="00CF0C55"/>
    <w:rsid w:val="00CF2682"/>
    <w:rsid w:val="00CF5A83"/>
    <w:rsid w:val="00D01ABC"/>
    <w:rsid w:val="00D027BC"/>
    <w:rsid w:val="00D04B89"/>
    <w:rsid w:val="00D05FFA"/>
    <w:rsid w:val="00D122AB"/>
    <w:rsid w:val="00D13BD1"/>
    <w:rsid w:val="00D15D72"/>
    <w:rsid w:val="00D1611B"/>
    <w:rsid w:val="00D16A57"/>
    <w:rsid w:val="00D16AE6"/>
    <w:rsid w:val="00D23414"/>
    <w:rsid w:val="00D24009"/>
    <w:rsid w:val="00D247EA"/>
    <w:rsid w:val="00D26E9D"/>
    <w:rsid w:val="00D3183E"/>
    <w:rsid w:val="00D334C8"/>
    <w:rsid w:val="00D356A4"/>
    <w:rsid w:val="00D3641B"/>
    <w:rsid w:val="00D43377"/>
    <w:rsid w:val="00D44B68"/>
    <w:rsid w:val="00D453ED"/>
    <w:rsid w:val="00D45C09"/>
    <w:rsid w:val="00D4626C"/>
    <w:rsid w:val="00D47EDC"/>
    <w:rsid w:val="00D50B35"/>
    <w:rsid w:val="00D51518"/>
    <w:rsid w:val="00D51E60"/>
    <w:rsid w:val="00D524FE"/>
    <w:rsid w:val="00D52FA4"/>
    <w:rsid w:val="00D532AE"/>
    <w:rsid w:val="00D564BC"/>
    <w:rsid w:val="00D62667"/>
    <w:rsid w:val="00D63529"/>
    <w:rsid w:val="00D72F0A"/>
    <w:rsid w:val="00D73E50"/>
    <w:rsid w:val="00D7501A"/>
    <w:rsid w:val="00D75868"/>
    <w:rsid w:val="00D77377"/>
    <w:rsid w:val="00D80297"/>
    <w:rsid w:val="00D80A24"/>
    <w:rsid w:val="00D81E7D"/>
    <w:rsid w:val="00D82D95"/>
    <w:rsid w:val="00D83393"/>
    <w:rsid w:val="00D839BF"/>
    <w:rsid w:val="00D847CF"/>
    <w:rsid w:val="00D84D48"/>
    <w:rsid w:val="00D854A8"/>
    <w:rsid w:val="00D86BD1"/>
    <w:rsid w:val="00D92327"/>
    <w:rsid w:val="00D92CFA"/>
    <w:rsid w:val="00D940C8"/>
    <w:rsid w:val="00D9471C"/>
    <w:rsid w:val="00D94DDB"/>
    <w:rsid w:val="00D9529C"/>
    <w:rsid w:val="00D96923"/>
    <w:rsid w:val="00DA1084"/>
    <w:rsid w:val="00DA22D5"/>
    <w:rsid w:val="00DA4197"/>
    <w:rsid w:val="00DA551C"/>
    <w:rsid w:val="00DA6CD3"/>
    <w:rsid w:val="00DA7A30"/>
    <w:rsid w:val="00DB1D08"/>
    <w:rsid w:val="00DB3026"/>
    <w:rsid w:val="00DB4BC1"/>
    <w:rsid w:val="00DB4BEA"/>
    <w:rsid w:val="00DB5D7E"/>
    <w:rsid w:val="00DB7E6B"/>
    <w:rsid w:val="00DC0742"/>
    <w:rsid w:val="00DC3179"/>
    <w:rsid w:val="00DC4346"/>
    <w:rsid w:val="00DC66F4"/>
    <w:rsid w:val="00DC6992"/>
    <w:rsid w:val="00DD30B0"/>
    <w:rsid w:val="00DD328C"/>
    <w:rsid w:val="00DD47B2"/>
    <w:rsid w:val="00DD53B5"/>
    <w:rsid w:val="00DD7C46"/>
    <w:rsid w:val="00DE6A88"/>
    <w:rsid w:val="00DE7B14"/>
    <w:rsid w:val="00DE7EDA"/>
    <w:rsid w:val="00DF039F"/>
    <w:rsid w:val="00DF0E9C"/>
    <w:rsid w:val="00DF116E"/>
    <w:rsid w:val="00DF41F8"/>
    <w:rsid w:val="00DF74C7"/>
    <w:rsid w:val="00E0155C"/>
    <w:rsid w:val="00E052BD"/>
    <w:rsid w:val="00E11DE1"/>
    <w:rsid w:val="00E13C23"/>
    <w:rsid w:val="00E16FD3"/>
    <w:rsid w:val="00E17224"/>
    <w:rsid w:val="00E20109"/>
    <w:rsid w:val="00E3089A"/>
    <w:rsid w:val="00E33BBE"/>
    <w:rsid w:val="00E35189"/>
    <w:rsid w:val="00E35ED5"/>
    <w:rsid w:val="00E40CE5"/>
    <w:rsid w:val="00E4462D"/>
    <w:rsid w:val="00E45DB7"/>
    <w:rsid w:val="00E45DBB"/>
    <w:rsid w:val="00E47137"/>
    <w:rsid w:val="00E51119"/>
    <w:rsid w:val="00E51EF7"/>
    <w:rsid w:val="00E52646"/>
    <w:rsid w:val="00E55BBB"/>
    <w:rsid w:val="00E60E97"/>
    <w:rsid w:val="00E62621"/>
    <w:rsid w:val="00E6535F"/>
    <w:rsid w:val="00E67538"/>
    <w:rsid w:val="00E72F46"/>
    <w:rsid w:val="00E73258"/>
    <w:rsid w:val="00E73D3B"/>
    <w:rsid w:val="00E742F8"/>
    <w:rsid w:val="00E7624F"/>
    <w:rsid w:val="00E767D4"/>
    <w:rsid w:val="00E7707E"/>
    <w:rsid w:val="00E8069F"/>
    <w:rsid w:val="00E8343F"/>
    <w:rsid w:val="00E8599C"/>
    <w:rsid w:val="00E85BE4"/>
    <w:rsid w:val="00E85DB2"/>
    <w:rsid w:val="00E9386C"/>
    <w:rsid w:val="00E9615A"/>
    <w:rsid w:val="00E96EBC"/>
    <w:rsid w:val="00EA1C2D"/>
    <w:rsid w:val="00EA2B80"/>
    <w:rsid w:val="00EA473D"/>
    <w:rsid w:val="00EA4D0E"/>
    <w:rsid w:val="00EA52E4"/>
    <w:rsid w:val="00EA7203"/>
    <w:rsid w:val="00EA7551"/>
    <w:rsid w:val="00EA7842"/>
    <w:rsid w:val="00EB0264"/>
    <w:rsid w:val="00EB4D10"/>
    <w:rsid w:val="00EC0FE5"/>
    <w:rsid w:val="00EC4EA0"/>
    <w:rsid w:val="00EC560F"/>
    <w:rsid w:val="00EC60EE"/>
    <w:rsid w:val="00EC6C6C"/>
    <w:rsid w:val="00EC72FA"/>
    <w:rsid w:val="00EC75F4"/>
    <w:rsid w:val="00ED4541"/>
    <w:rsid w:val="00ED5FFB"/>
    <w:rsid w:val="00EE051E"/>
    <w:rsid w:val="00EE2FDB"/>
    <w:rsid w:val="00EE3976"/>
    <w:rsid w:val="00EE4182"/>
    <w:rsid w:val="00EE426E"/>
    <w:rsid w:val="00EE4530"/>
    <w:rsid w:val="00EE5572"/>
    <w:rsid w:val="00EF08DC"/>
    <w:rsid w:val="00EF242A"/>
    <w:rsid w:val="00EF246A"/>
    <w:rsid w:val="00EF3F57"/>
    <w:rsid w:val="00EF63C0"/>
    <w:rsid w:val="00EF7362"/>
    <w:rsid w:val="00F01653"/>
    <w:rsid w:val="00F025D5"/>
    <w:rsid w:val="00F04441"/>
    <w:rsid w:val="00F04639"/>
    <w:rsid w:val="00F046A3"/>
    <w:rsid w:val="00F05568"/>
    <w:rsid w:val="00F05859"/>
    <w:rsid w:val="00F06787"/>
    <w:rsid w:val="00F069DD"/>
    <w:rsid w:val="00F1040B"/>
    <w:rsid w:val="00F1305D"/>
    <w:rsid w:val="00F13EC3"/>
    <w:rsid w:val="00F1439C"/>
    <w:rsid w:val="00F149F3"/>
    <w:rsid w:val="00F15066"/>
    <w:rsid w:val="00F16E65"/>
    <w:rsid w:val="00F17243"/>
    <w:rsid w:val="00F1767A"/>
    <w:rsid w:val="00F21395"/>
    <w:rsid w:val="00F25001"/>
    <w:rsid w:val="00F30AC3"/>
    <w:rsid w:val="00F30FCA"/>
    <w:rsid w:val="00F3190D"/>
    <w:rsid w:val="00F36C14"/>
    <w:rsid w:val="00F3767B"/>
    <w:rsid w:val="00F42D6D"/>
    <w:rsid w:val="00F42FCE"/>
    <w:rsid w:val="00F437B7"/>
    <w:rsid w:val="00F449BF"/>
    <w:rsid w:val="00F45D36"/>
    <w:rsid w:val="00F466CD"/>
    <w:rsid w:val="00F51518"/>
    <w:rsid w:val="00F51CDA"/>
    <w:rsid w:val="00F613D8"/>
    <w:rsid w:val="00F61EE8"/>
    <w:rsid w:val="00F646CB"/>
    <w:rsid w:val="00F70097"/>
    <w:rsid w:val="00F7155F"/>
    <w:rsid w:val="00F76F5F"/>
    <w:rsid w:val="00F80179"/>
    <w:rsid w:val="00F81782"/>
    <w:rsid w:val="00F821B8"/>
    <w:rsid w:val="00F83F87"/>
    <w:rsid w:val="00F84427"/>
    <w:rsid w:val="00F85C03"/>
    <w:rsid w:val="00F87829"/>
    <w:rsid w:val="00F9590C"/>
    <w:rsid w:val="00F95DAF"/>
    <w:rsid w:val="00FA29B7"/>
    <w:rsid w:val="00FA2A42"/>
    <w:rsid w:val="00FB1026"/>
    <w:rsid w:val="00FB31FC"/>
    <w:rsid w:val="00FC0FAD"/>
    <w:rsid w:val="00FC1831"/>
    <w:rsid w:val="00FC494D"/>
    <w:rsid w:val="00FD18BB"/>
    <w:rsid w:val="00FD22A1"/>
    <w:rsid w:val="00FD3D9D"/>
    <w:rsid w:val="00FD479D"/>
    <w:rsid w:val="00FD47AA"/>
    <w:rsid w:val="00FD4B26"/>
    <w:rsid w:val="00FD4B63"/>
    <w:rsid w:val="00FD4CCF"/>
    <w:rsid w:val="00FD5225"/>
    <w:rsid w:val="00FD6FC8"/>
    <w:rsid w:val="00FE2F4F"/>
    <w:rsid w:val="00FE369E"/>
    <w:rsid w:val="00FE6F6A"/>
    <w:rsid w:val="00FE753A"/>
    <w:rsid w:val="00FE7A49"/>
    <w:rsid w:val="00FF053F"/>
    <w:rsid w:val="00FF456D"/>
    <w:rsid w:val="00FF54A3"/>
    <w:rsid w:val="00FF7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99C"/>
    <w:rPr>
      <w:sz w:val="24"/>
      <w:szCs w:val="24"/>
    </w:rPr>
  </w:style>
  <w:style w:type="paragraph" w:styleId="Heading1">
    <w:name w:val="heading 1"/>
    <w:aliases w:val="JPW-num-section,level 1,level1,Nadpis 1,Heading 1 Char,Char Char,Char, Char Char, Char"/>
    <w:basedOn w:val="Normal"/>
    <w:next w:val="Normal"/>
    <w:qFormat/>
    <w:rsid w:val="00E8599C"/>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E8599C"/>
    <w:pPr>
      <w:keepNext/>
      <w:numPr>
        <w:ilvl w:val="1"/>
        <w:numId w:val="1"/>
      </w:numPr>
      <w:spacing w:before="240" w:after="60"/>
      <w:outlineLvl w:val="1"/>
    </w:pPr>
    <w:rPr>
      <w:rFonts w:ascii="Verdana" w:hAnsi="Verdana"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59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8599C"/>
    <w:rPr>
      <w:sz w:val="20"/>
      <w:szCs w:val="20"/>
    </w:rPr>
  </w:style>
  <w:style w:type="character" w:styleId="FootnoteReference">
    <w:name w:val="footnote reference"/>
    <w:basedOn w:val="DefaultParagraphFont"/>
    <w:rsid w:val="00E8599C"/>
    <w:rPr>
      <w:rFonts w:cs="Times New Roman"/>
      <w:vertAlign w:val="superscript"/>
    </w:rPr>
  </w:style>
  <w:style w:type="character" w:styleId="Hyperlink">
    <w:name w:val="Hyperlink"/>
    <w:basedOn w:val="DefaultParagraphFont"/>
    <w:uiPriority w:val="99"/>
    <w:rsid w:val="00E8599C"/>
    <w:rPr>
      <w:rFonts w:cs="Times New Roman"/>
      <w:color w:val="0000FF"/>
      <w:u w:val="single"/>
    </w:rPr>
  </w:style>
  <w:style w:type="paragraph" w:customStyle="1" w:styleId="Default">
    <w:name w:val="Default"/>
    <w:rsid w:val="00E8599C"/>
    <w:pPr>
      <w:widowControl w:val="0"/>
      <w:autoSpaceDE w:val="0"/>
      <w:autoSpaceDN w:val="0"/>
      <w:adjustRightInd w:val="0"/>
    </w:pPr>
    <w:rPr>
      <w:rFonts w:ascii="Verdana" w:hAnsi="Verdana" w:cs="Verdana"/>
      <w:color w:val="000000"/>
      <w:sz w:val="24"/>
      <w:szCs w:val="24"/>
      <w:lang w:val="en-US" w:eastAsia="en-US"/>
    </w:rPr>
  </w:style>
  <w:style w:type="paragraph" w:styleId="ListNumber">
    <w:name w:val="List Number"/>
    <w:basedOn w:val="Normal"/>
    <w:rsid w:val="00E8599C"/>
    <w:pPr>
      <w:numPr>
        <w:numId w:val="2"/>
      </w:numPr>
    </w:pPr>
  </w:style>
  <w:style w:type="character" w:customStyle="1" w:styleId="Heading2Char">
    <w:name w:val="Heading 2 Char"/>
    <w:aliases w:val="level 2 Char,level2 Char"/>
    <w:basedOn w:val="DefaultParagraphFont"/>
    <w:link w:val="Heading2"/>
    <w:rsid w:val="00E8599C"/>
    <w:rPr>
      <w:rFonts w:ascii="Verdana" w:hAnsi="Verdana" w:cs="Arial"/>
      <w:bCs/>
      <w:iCs/>
      <w:sz w:val="24"/>
      <w:szCs w:val="28"/>
    </w:rPr>
  </w:style>
  <w:style w:type="paragraph" w:styleId="BalloonText">
    <w:name w:val="Balloon Text"/>
    <w:basedOn w:val="Normal"/>
    <w:semiHidden/>
    <w:rsid w:val="00A218BB"/>
    <w:rPr>
      <w:rFonts w:ascii="Tahoma" w:hAnsi="Tahoma" w:cs="Tahoma"/>
      <w:sz w:val="16"/>
      <w:szCs w:val="16"/>
    </w:rPr>
  </w:style>
  <w:style w:type="paragraph" w:styleId="Header">
    <w:name w:val="header"/>
    <w:basedOn w:val="Normal"/>
    <w:rsid w:val="00A218BB"/>
    <w:pPr>
      <w:tabs>
        <w:tab w:val="center" w:pos="4320"/>
        <w:tab w:val="right" w:pos="8640"/>
      </w:tabs>
    </w:pPr>
  </w:style>
  <w:style w:type="paragraph" w:styleId="Footer">
    <w:name w:val="footer"/>
    <w:basedOn w:val="Normal"/>
    <w:rsid w:val="00A218BB"/>
    <w:pPr>
      <w:tabs>
        <w:tab w:val="center" w:pos="4320"/>
        <w:tab w:val="right" w:pos="8640"/>
      </w:tabs>
    </w:pPr>
  </w:style>
  <w:style w:type="character" w:styleId="CommentReference">
    <w:name w:val="annotation reference"/>
    <w:basedOn w:val="DefaultParagraphFont"/>
    <w:rsid w:val="00A218BB"/>
    <w:rPr>
      <w:sz w:val="16"/>
      <w:szCs w:val="16"/>
    </w:rPr>
  </w:style>
  <w:style w:type="paragraph" w:styleId="CommentText">
    <w:name w:val="annotation text"/>
    <w:basedOn w:val="Normal"/>
    <w:link w:val="CommentTextChar"/>
    <w:rsid w:val="00A218BB"/>
    <w:rPr>
      <w:sz w:val="20"/>
      <w:szCs w:val="20"/>
    </w:rPr>
  </w:style>
  <w:style w:type="paragraph" w:styleId="CommentSubject">
    <w:name w:val="annotation subject"/>
    <w:basedOn w:val="CommentText"/>
    <w:next w:val="CommentText"/>
    <w:semiHidden/>
    <w:rsid w:val="00A218BB"/>
    <w:rPr>
      <w:b/>
      <w:bCs/>
    </w:rPr>
  </w:style>
  <w:style w:type="paragraph" w:styleId="ListParagraph">
    <w:name w:val="List Paragraph"/>
    <w:basedOn w:val="Normal"/>
    <w:uiPriority w:val="34"/>
    <w:qFormat/>
    <w:rsid w:val="002D7F11"/>
    <w:pPr>
      <w:ind w:left="720"/>
    </w:pPr>
  </w:style>
  <w:style w:type="paragraph" w:customStyle="1" w:styleId="StyleHeading210pt">
    <w:name w:val="Style Heading 2 + 10 pt"/>
    <w:basedOn w:val="Heading2"/>
    <w:uiPriority w:val="99"/>
    <w:rsid w:val="000D24C4"/>
    <w:pPr>
      <w:keepNext w:val="0"/>
      <w:numPr>
        <w:numId w:val="4"/>
      </w:numPr>
    </w:pPr>
  </w:style>
  <w:style w:type="character" w:customStyle="1" w:styleId="CommentTextChar">
    <w:name w:val="Comment Text Char"/>
    <w:basedOn w:val="DefaultParagraphFont"/>
    <w:link w:val="CommentText"/>
    <w:locked/>
    <w:rsid w:val="00797F6E"/>
  </w:style>
  <w:style w:type="paragraph" w:styleId="BodyText">
    <w:name w:val="Body Text"/>
    <w:basedOn w:val="Normal"/>
    <w:link w:val="BodyTextChar"/>
    <w:rsid w:val="00B97806"/>
    <w:pPr>
      <w:jc w:val="both"/>
    </w:pPr>
    <w:rPr>
      <w:rFonts w:ascii="Arial" w:hAnsi="Arial"/>
      <w:szCs w:val="20"/>
    </w:rPr>
  </w:style>
  <w:style w:type="character" w:customStyle="1" w:styleId="BodyTextChar">
    <w:name w:val="Body Text Char"/>
    <w:basedOn w:val="DefaultParagraphFont"/>
    <w:link w:val="BodyText"/>
    <w:rsid w:val="00B97806"/>
    <w:rPr>
      <w:rFonts w:ascii="Arial" w:hAnsi="Arial"/>
      <w:sz w:val="24"/>
    </w:rPr>
  </w:style>
  <w:style w:type="character" w:customStyle="1" w:styleId="FootnoteTextChar">
    <w:name w:val="Footnote Text Char"/>
    <w:basedOn w:val="DefaultParagraphFont"/>
    <w:link w:val="FootnoteText"/>
    <w:locked/>
    <w:rsid w:val="00583664"/>
  </w:style>
  <w:style w:type="paragraph" w:styleId="EndnoteText">
    <w:name w:val="endnote text"/>
    <w:basedOn w:val="Normal"/>
    <w:link w:val="EndnoteTextChar"/>
    <w:rsid w:val="00320E79"/>
    <w:rPr>
      <w:sz w:val="20"/>
      <w:szCs w:val="20"/>
    </w:rPr>
  </w:style>
  <w:style w:type="character" w:customStyle="1" w:styleId="EndnoteTextChar">
    <w:name w:val="Endnote Text Char"/>
    <w:basedOn w:val="DefaultParagraphFont"/>
    <w:link w:val="EndnoteText"/>
    <w:rsid w:val="00320E79"/>
    <w:rPr>
      <w:lang w:val="en-GB" w:eastAsia="en-GB"/>
    </w:rPr>
  </w:style>
  <w:style w:type="character" w:styleId="EndnoteReference">
    <w:name w:val="endnote reference"/>
    <w:basedOn w:val="DefaultParagraphFont"/>
    <w:rsid w:val="00320E79"/>
    <w:rPr>
      <w:vertAlign w:val="superscript"/>
    </w:rPr>
  </w:style>
  <w:style w:type="paragraph" w:styleId="Revision">
    <w:name w:val="Revision"/>
    <w:hidden/>
    <w:uiPriority w:val="99"/>
    <w:semiHidden/>
    <w:rsid w:val="002C09E8"/>
    <w:rPr>
      <w:sz w:val="24"/>
      <w:szCs w:val="24"/>
    </w:rPr>
  </w:style>
  <w:style w:type="paragraph" w:customStyle="1" w:styleId="GSBodyParawithnumb">
    <w:name w:val="GS Body Para with numb"/>
    <w:basedOn w:val="Normal"/>
    <w:link w:val="GSBodyParawithnumbChar"/>
    <w:qFormat/>
    <w:rsid w:val="00001697"/>
    <w:pPr>
      <w:numPr>
        <w:ilvl w:val="1"/>
        <w:numId w:val="6"/>
      </w:numPr>
      <w:spacing w:before="60" w:after="120"/>
      <w:outlineLvl w:val="1"/>
    </w:pPr>
    <w:rPr>
      <w:rFonts w:ascii="Calibri" w:eastAsiaTheme="minorHAnsi" w:hAnsi="Calibri" w:cstheme="minorBidi"/>
      <w:szCs w:val="22"/>
      <w:lang w:eastAsia="en-US"/>
    </w:rPr>
  </w:style>
  <w:style w:type="character" w:customStyle="1" w:styleId="GSBodyParawithnumbChar">
    <w:name w:val="GS Body Para with numb Char"/>
    <w:basedOn w:val="DefaultParagraphFont"/>
    <w:link w:val="GSBodyParawithnumb"/>
    <w:rsid w:val="00001697"/>
    <w:rPr>
      <w:rFonts w:ascii="Calibri" w:eastAsiaTheme="minorHAnsi" w:hAnsi="Calibri" w:cstheme="minorBidi"/>
      <w:sz w:val="24"/>
      <w:szCs w:val="22"/>
      <w:lang w:eastAsia="en-US"/>
    </w:rPr>
  </w:style>
  <w:style w:type="paragraph" w:customStyle="1" w:styleId="GSHeading1withnumb">
    <w:name w:val="GS Heading 1 with numb"/>
    <w:basedOn w:val="Normal"/>
    <w:qFormat/>
    <w:rsid w:val="00001697"/>
    <w:pPr>
      <w:numPr>
        <w:numId w:val="6"/>
      </w:numPr>
      <w:spacing w:before="240" w:after="240"/>
      <w:outlineLvl w:val="0"/>
    </w:pPr>
    <w:rPr>
      <w:rFonts w:ascii="Calibri" w:eastAsiaTheme="minorHAnsi" w:hAnsi="Calibri" w:cstheme="minorBidi"/>
      <w:b/>
      <w:caps/>
      <w:szCs w:val="22"/>
      <w:lang w:eastAsia="en-US"/>
    </w:rPr>
  </w:style>
  <w:style w:type="paragraph" w:customStyle="1" w:styleId="GSBodyPara">
    <w:name w:val="GS Body Para"/>
    <w:basedOn w:val="Normal"/>
    <w:link w:val="GSBodyParaChar"/>
    <w:qFormat/>
    <w:rsid w:val="0060027C"/>
    <w:pPr>
      <w:spacing w:after="240"/>
      <w:ind w:left="567"/>
      <w:outlineLvl w:val="1"/>
    </w:pPr>
    <w:rPr>
      <w:rFonts w:ascii="Calibri" w:eastAsiaTheme="minorHAnsi" w:hAnsi="Calibri" w:cstheme="minorBidi"/>
      <w:szCs w:val="22"/>
      <w:lang w:eastAsia="en-US"/>
    </w:rPr>
  </w:style>
  <w:style w:type="character" w:customStyle="1" w:styleId="GSBodyParaChar">
    <w:name w:val="GS Body Para Char"/>
    <w:basedOn w:val="DefaultParagraphFont"/>
    <w:link w:val="GSBodyPara"/>
    <w:rsid w:val="0060027C"/>
    <w:rPr>
      <w:rFonts w:ascii="Calibri" w:eastAsiaTheme="minorHAnsi" w:hAnsi="Calibri" w:cstheme="minorBidi"/>
      <w:sz w:val="24"/>
      <w:szCs w:val="22"/>
      <w:lang w:eastAsia="en-US"/>
    </w:rPr>
  </w:style>
  <w:style w:type="paragraph" w:customStyle="1" w:styleId="GSBodyParaBullet">
    <w:name w:val="GS Body Para Bullet"/>
    <w:basedOn w:val="Normal"/>
    <w:link w:val="GSBodyParaBulletChar"/>
    <w:qFormat/>
    <w:rsid w:val="0060027C"/>
    <w:pPr>
      <w:numPr>
        <w:ilvl w:val="3"/>
        <w:numId w:val="7"/>
      </w:numPr>
      <w:spacing w:before="60" w:after="120" w:line="276" w:lineRule="auto"/>
      <w:outlineLvl w:val="1"/>
    </w:pPr>
    <w:rPr>
      <w:rFonts w:ascii="Calibri" w:eastAsiaTheme="minorHAnsi" w:hAnsi="Calibri" w:cstheme="minorBidi"/>
      <w:szCs w:val="22"/>
      <w:lang w:eastAsia="en-US"/>
    </w:rPr>
  </w:style>
  <w:style w:type="character" w:customStyle="1" w:styleId="GSBodyParaBulletChar">
    <w:name w:val="GS Body Para Bullet Char"/>
    <w:basedOn w:val="DefaultParagraphFont"/>
    <w:link w:val="GSBodyParaBullet"/>
    <w:rsid w:val="0060027C"/>
    <w:rPr>
      <w:rFonts w:ascii="Calibri" w:eastAsiaTheme="minorHAnsi" w:hAnsi="Calibri" w:cstheme="minorBidi"/>
      <w:sz w:val="24"/>
      <w:szCs w:val="22"/>
      <w:lang w:eastAsia="en-US"/>
    </w:rPr>
  </w:style>
  <w:style w:type="character" w:customStyle="1" w:styleId="googqs-tidbit1">
    <w:name w:val="goog_qs-tidbit1"/>
    <w:basedOn w:val="DefaultParagraphFont"/>
    <w:rsid w:val="003D02BB"/>
    <w:rPr>
      <w:vanish w:val="0"/>
      <w:webHidden w:val="0"/>
      <w:specVanish w:val="0"/>
    </w:rPr>
  </w:style>
  <w:style w:type="character" w:customStyle="1" w:styleId="apple-converted-space">
    <w:name w:val="apple-converted-space"/>
    <w:basedOn w:val="DefaultParagraphFont"/>
    <w:rsid w:val="003D02BB"/>
  </w:style>
  <w:style w:type="paragraph" w:styleId="PlainText">
    <w:name w:val="Plain Text"/>
    <w:basedOn w:val="Normal"/>
    <w:link w:val="PlainTextChar"/>
    <w:uiPriority w:val="99"/>
    <w:unhideWhenUsed/>
    <w:rsid w:val="001F7019"/>
    <w:rPr>
      <w:rFonts w:ascii="Consolas" w:eastAsiaTheme="minorHAnsi" w:hAnsi="Consolas"/>
      <w:sz w:val="21"/>
      <w:szCs w:val="21"/>
      <w:lang w:val="en-US" w:eastAsia="en-US"/>
    </w:rPr>
  </w:style>
  <w:style w:type="character" w:customStyle="1" w:styleId="PlainTextChar">
    <w:name w:val="Plain Text Char"/>
    <w:basedOn w:val="DefaultParagraphFont"/>
    <w:link w:val="PlainText"/>
    <w:uiPriority w:val="99"/>
    <w:rsid w:val="001F7019"/>
    <w:rPr>
      <w:rFonts w:ascii="Consolas" w:eastAsiaTheme="minorHAnsi" w:hAnsi="Consolas"/>
      <w:sz w:val="21"/>
      <w:szCs w:val="21"/>
      <w:lang w:val="en-US" w:eastAsia="en-US"/>
    </w:rPr>
  </w:style>
  <w:style w:type="numbering" w:customStyle="1" w:styleId="GSNumList">
    <w:name w:val="GS NumList"/>
    <w:uiPriority w:val="99"/>
    <w:rsid w:val="006C3915"/>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99C"/>
    <w:rPr>
      <w:sz w:val="24"/>
      <w:szCs w:val="24"/>
    </w:rPr>
  </w:style>
  <w:style w:type="paragraph" w:styleId="Heading1">
    <w:name w:val="heading 1"/>
    <w:aliases w:val="JPW-num-section,level 1,level1,Nadpis 1,Heading 1 Char,Char Char,Char, Char Char, Char"/>
    <w:basedOn w:val="Normal"/>
    <w:next w:val="Normal"/>
    <w:qFormat/>
    <w:rsid w:val="00E8599C"/>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E8599C"/>
    <w:pPr>
      <w:keepNext/>
      <w:numPr>
        <w:ilvl w:val="1"/>
        <w:numId w:val="1"/>
      </w:numPr>
      <w:spacing w:before="240" w:after="60"/>
      <w:outlineLvl w:val="1"/>
    </w:pPr>
    <w:rPr>
      <w:rFonts w:ascii="Verdana" w:hAnsi="Verdana"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59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8599C"/>
    <w:rPr>
      <w:sz w:val="20"/>
      <w:szCs w:val="20"/>
    </w:rPr>
  </w:style>
  <w:style w:type="character" w:styleId="FootnoteReference">
    <w:name w:val="footnote reference"/>
    <w:basedOn w:val="DefaultParagraphFont"/>
    <w:rsid w:val="00E8599C"/>
    <w:rPr>
      <w:rFonts w:cs="Times New Roman"/>
      <w:vertAlign w:val="superscript"/>
    </w:rPr>
  </w:style>
  <w:style w:type="character" w:styleId="Hyperlink">
    <w:name w:val="Hyperlink"/>
    <w:basedOn w:val="DefaultParagraphFont"/>
    <w:uiPriority w:val="99"/>
    <w:rsid w:val="00E8599C"/>
    <w:rPr>
      <w:rFonts w:cs="Times New Roman"/>
      <w:color w:val="0000FF"/>
      <w:u w:val="single"/>
    </w:rPr>
  </w:style>
  <w:style w:type="paragraph" w:customStyle="1" w:styleId="Default">
    <w:name w:val="Default"/>
    <w:rsid w:val="00E8599C"/>
    <w:pPr>
      <w:widowControl w:val="0"/>
      <w:autoSpaceDE w:val="0"/>
      <w:autoSpaceDN w:val="0"/>
      <w:adjustRightInd w:val="0"/>
    </w:pPr>
    <w:rPr>
      <w:rFonts w:ascii="Verdana" w:hAnsi="Verdana" w:cs="Verdana"/>
      <w:color w:val="000000"/>
      <w:sz w:val="24"/>
      <w:szCs w:val="24"/>
      <w:lang w:val="en-US" w:eastAsia="en-US"/>
    </w:rPr>
  </w:style>
  <w:style w:type="paragraph" w:styleId="ListNumber">
    <w:name w:val="List Number"/>
    <w:basedOn w:val="Normal"/>
    <w:rsid w:val="00E8599C"/>
    <w:pPr>
      <w:numPr>
        <w:numId w:val="2"/>
      </w:numPr>
    </w:pPr>
  </w:style>
  <w:style w:type="character" w:customStyle="1" w:styleId="Heading2Char">
    <w:name w:val="Heading 2 Char"/>
    <w:aliases w:val="level 2 Char,level2 Char"/>
    <w:basedOn w:val="DefaultParagraphFont"/>
    <w:link w:val="Heading2"/>
    <w:rsid w:val="00E8599C"/>
    <w:rPr>
      <w:rFonts w:ascii="Verdana" w:hAnsi="Verdana" w:cs="Arial"/>
      <w:bCs/>
      <w:iCs/>
      <w:sz w:val="24"/>
      <w:szCs w:val="28"/>
    </w:rPr>
  </w:style>
  <w:style w:type="paragraph" w:styleId="BalloonText">
    <w:name w:val="Balloon Text"/>
    <w:basedOn w:val="Normal"/>
    <w:semiHidden/>
    <w:rsid w:val="00A218BB"/>
    <w:rPr>
      <w:rFonts w:ascii="Tahoma" w:hAnsi="Tahoma" w:cs="Tahoma"/>
      <w:sz w:val="16"/>
      <w:szCs w:val="16"/>
    </w:rPr>
  </w:style>
  <w:style w:type="paragraph" w:styleId="Header">
    <w:name w:val="header"/>
    <w:basedOn w:val="Normal"/>
    <w:rsid w:val="00A218BB"/>
    <w:pPr>
      <w:tabs>
        <w:tab w:val="center" w:pos="4320"/>
        <w:tab w:val="right" w:pos="8640"/>
      </w:tabs>
    </w:pPr>
  </w:style>
  <w:style w:type="paragraph" w:styleId="Footer">
    <w:name w:val="footer"/>
    <w:basedOn w:val="Normal"/>
    <w:rsid w:val="00A218BB"/>
    <w:pPr>
      <w:tabs>
        <w:tab w:val="center" w:pos="4320"/>
        <w:tab w:val="right" w:pos="8640"/>
      </w:tabs>
    </w:pPr>
  </w:style>
  <w:style w:type="character" w:styleId="CommentReference">
    <w:name w:val="annotation reference"/>
    <w:basedOn w:val="DefaultParagraphFont"/>
    <w:rsid w:val="00A218BB"/>
    <w:rPr>
      <w:sz w:val="16"/>
      <w:szCs w:val="16"/>
    </w:rPr>
  </w:style>
  <w:style w:type="paragraph" w:styleId="CommentText">
    <w:name w:val="annotation text"/>
    <w:basedOn w:val="Normal"/>
    <w:link w:val="CommentTextChar"/>
    <w:rsid w:val="00A218BB"/>
    <w:rPr>
      <w:sz w:val="20"/>
      <w:szCs w:val="20"/>
    </w:rPr>
  </w:style>
  <w:style w:type="paragraph" w:styleId="CommentSubject">
    <w:name w:val="annotation subject"/>
    <w:basedOn w:val="CommentText"/>
    <w:next w:val="CommentText"/>
    <w:semiHidden/>
    <w:rsid w:val="00A218BB"/>
    <w:rPr>
      <w:b/>
      <w:bCs/>
    </w:rPr>
  </w:style>
  <w:style w:type="paragraph" w:styleId="ListParagraph">
    <w:name w:val="List Paragraph"/>
    <w:basedOn w:val="Normal"/>
    <w:uiPriority w:val="34"/>
    <w:qFormat/>
    <w:rsid w:val="002D7F11"/>
    <w:pPr>
      <w:ind w:left="720"/>
    </w:pPr>
  </w:style>
  <w:style w:type="paragraph" w:customStyle="1" w:styleId="StyleHeading210pt">
    <w:name w:val="Style Heading 2 + 10 pt"/>
    <w:basedOn w:val="Heading2"/>
    <w:uiPriority w:val="99"/>
    <w:rsid w:val="000D24C4"/>
    <w:pPr>
      <w:keepNext w:val="0"/>
      <w:numPr>
        <w:numId w:val="4"/>
      </w:numPr>
    </w:pPr>
  </w:style>
  <w:style w:type="character" w:customStyle="1" w:styleId="CommentTextChar">
    <w:name w:val="Comment Text Char"/>
    <w:basedOn w:val="DefaultParagraphFont"/>
    <w:link w:val="CommentText"/>
    <w:locked/>
    <w:rsid w:val="00797F6E"/>
  </w:style>
  <w:style w:type="paragraph" w:styleId="BodyText">
    <w:name w:val="Body Text"/>
    <w:basedOn w:val="Normal"/>
    <w:link w:val="BodyTextChar"/>
    <w:rsid w:val="00B97806"/>
    <w:pPr>
      <w:jc w:val="both"/>
    </w:pPr>
    <w:rPr>
      <w:rFonts w:ascii="Arial" w:hAnsi="Arial"/>
      <w:szCs w:val="20"/>
    </w:rPr>
  </w:style>
  <w:style w:type="character" w:customStyle="1" w:styleId="BodyTextChar">
    <w:name w:val="Body Text Char"/>
    <w:basedOn w:val="DefaultParagraphFont"/>
    <w:link w:val="BodyText"/>
    <w:rsid w:val="00B97806"/>
    <w:rPr>
      <w:rFonts w:ascii="Arial" w:hAnsi="Arial"/>
      <w:sz w:val="24"/>
    </w:rPr>
  </w:style>
  <w:style w:type="character" w:customStyle="1" w:styleId="FootnoteTextChar">
    <w:name w:val="Footnote Text Char"/>
    <w:basedOn w:val="DefaultParagraphFont"/>
    <w:link w:val="FootnoteText"/>
    <w:locked/>
    <w:rsid w:val="00583664"/>
  </w:style>
  <w:style w:type="paragraph" w:styleId="EndnoteText">
    <w:name w:val="endnote text"/>
    <w:basedOn w:val="Normal"/>
    <w:link w:val="EndnoteTextChar"/>
    <w:rsid w:val="00320E79"/>
    <w:rPr>
      <w:sz w:val="20"/>
      <w:szCs w:val="20"/>
    </w:rPr>
  </w:style>
  <w:style w:type="character" w:customStyle="1" w:styleId="EndnoteTextChar">
    <w:name w:val="Endnote Text Char"/>
    <w:basedOn w:val="DefaultParagraphFont"/>
    <w:link w:val="EndnoteText"/>
    <w:rsid w:val="00320E79"/>
    <w:rPr>
      <w:lang w:val="en-GB" w:eastAsia="en-GB"/>
    </w:rPr>
  </w:style>
  <w:style w:type="character" w:styleId="EndnoteReference">
    <w:name w:val="endnote reference"/>
    <w:basedOn w:val="DefaultParagraphFont"/>
    <w:rsid w:val="00320E79"/>
    <w:rPr>
      <w:vertAlign w:val="superscript"/>
    </w:rPr>
  </w:style>
  <w:style w:type="paragraph" w:styleId="Revision">
    <w:name w:val="Revision"/>
    <w:hidden/>
    <w:uiPriority w:val="99"/>
    <w:semiHidden/>
    <w:rsid w:val="002C09E8"/>
    <w:rPr>
      <w:sz w:val="24"/>
      <w:szCs w:val="24"/>
    </w:rPr>
  </w:style>
  <w:style w:type="paragraph" w:customStyle="1" w:styleId="GSBodyParawithnumb">
    <w:name w:val="GS Body Para with numb"/>
    <w:basedOn w:val="Normal"/>
    <w:link w:val="GSBodyParawithnumbChar"/>
    <w:qFormat/>
    <w:rsid w:val="00001697"/>
    <w:pPr>
      <w:numPr>
        <w:ilvl w:val="1"/>
        <w:numId w:val="6"/>
      </w:numPr>
      <w:spacing w:before="60" w:after="120"/>
      <w:outlineLvl w:val="1"/>
    </w:pPr>
    <w:rPr>
      <w:rFonts w:ascii="Calibri" w:eastAsiaTheme="minorHAnsi" w:hAnsi="Calibri" w:cstheme="minorBidi"/>
      <w:szCs w:val="22"/>
      <w:lang w:eastAsia="en-US"/>
    </w:rPr>
  </w:style>
  <w:style w:type="character" w:customStyle="1" w:styleId="GSBodyParawithnumbChar">
    <w:name w:val="GS Body Para with numb Char"/>
    <w:basedOn w:val="DefaultParagraphFont"/>
    <w:link w:val="GSBodyParawithnumb"/>
    <w:rsid w:val="00001697"/>
    <w:rPr>
      <w:rFonts w:ascii="Calibri" w:eastAsiaTheme="minorHAnsi" w:hAnsi="Calibri" w:cstheme="minorBidi"/>
      <w:sz w:val="24"/>
      <w:szCs w:val="22"/>
      <w:lang w:eastAsia="en-US"/>
    </w:rPr>
  </w:style>
  <w:style w:type="paragraph" w:customStyle="1" w:styleId="GSHeading1withnumb">
    <w:name w:val="GS Heading 1 with numb"/>
    <w:basedOn w:val="Normal"/>
    <w:qFormat/>
    <w:rsid w:val="00001697"/>
    <w:pPr>
      <w:numPr>
        <w:numId w:val="6"/>
      </w:numPr>
      <w:spacing w:before="240" w:after="240"/>
      <w:outlineLvl w:val="0"/>
    </w:pPr>
    <w:rPr>
      <w:rFonts w:ascii="Calibri" w:eastAsiaTheme="minorHAnsi" w:hAnsi="Calibri" w:cstheme="minorBidi"/>
      <w:b/>
      <w:caps/>
      <w:szCs w:val="22"/>
      <w:lang w:eastAsia="en-US"/>
    </w:rPr>
  </w:style>
  <w:style w:type="paragraph" w:customStyle="1" w:styleId="GSBodyPara">
    <w:name w:val="GS Body Para"/>
    <w:basedOn w:val="Normal"/>
    <w:link w:val="GSBodyParaChar"/>
    <w:qFormat/>
    <w:rsid w:val="0060027C"/>
    <w:pPr>
      <w:spacing w:after="240"/>
      <w:ind w:left="567"/>
      <w:outlineLvl w:val="1"/>
    </w:pPr>
    <w:rPr>
      <w:rFonts w:ascii="Calibri" w:eastAsiaTheme="minorHAnsi" w:hAnsi="Calibri" w:cstheme="minorBidi"/>
      <w:szCs w:val="22"/>
      <w:lang w:eastAsia="en-US"/>
    </w:rPr>
  </w:style>
  <w:style w:type="character" w:customStyle="1" w:styleId="GSBodyParaChar">
    <w:name w:val="GS Body Para Char"/>
    <w:basedOn w:val="DefaultParagraphFont"/>
    <w:link w:val="GSBodyPara"/>
    <w:rsid w:val="0060027C"/>
    <w:rPr>
      <w:rFonts w:ascii="Calibri" w:eastAsiaTheme="minorHAnsi" w:hAnsi="Calibri" w:cstheme="minorBidi"/>
      <w:sz w:val="24"/>
      <w:szCs w:val="22"/>
      <w:lang w:eastAsia="en-US"/>
    </w:rPr>
  </w:style>
  <w:style w:type="paragraph" w:customStyle="1" w:styleId="GSBodyParaBullet">
    <w:name w:val="GS Body Para Bullet"/>
    <w:basedOn w:val="Normal"/>
    <w:link w:val="GSBodyParaBulletChar"/>
    <w:qFormat/>
    <w:rsid w:val="0060027C"/>
    <w:pPr>
      <w:numPr>
        <w:ilvl w:val="3"/>
        <w:numId w:val="7"/>
      </w:numPr>
      <w:spacing w:before="60" w:after="120" w:line="276" w:lineRule="auto"/>
      <w:outlineLvl w:val="1"/>
    </w:pPr>
    <w:rPr>
      <w:rFonts w:ascii="Calibri" w:eastAsiaTheme="minorHAnsi" w:hAnsi="Calibri" w:cstheme="minorBidi"/>
      <w:szCs w:val="22"/>
      <w:lang w:eastAsia="en-US"/>
    </w:rPr>
  </w:style>
  <w:style w:type="character" w:customStyle="1" w:styleId="GSBodyParaBulletChar">
    <w:name w:val="GS Body Para Bullet Char"/>
    <w:basedOn w:val="DefaultParagraphFont"/>
    <w:link w:val="GSBodyParaBullet"/>
    <w:rsid w:val="0060027C"/>
    <w:rPr>
      <w:rFonts w:ascii="Calibri" w:eastAsiaTheme="minorHAnsi" w:hAnsi="Calibri" w:cstheme="minorBidi"/>
      <w:sz w:val="24"/>
      <w:szCs w:val="22"/>
      <w:lang w:eastAsia="en-US"/>
    </w:rPr>
  </w:style>
  <w:style w:type="character" w:customStyle="1" w:styleId="googqs-tidbit1">
    <w:name w:val="goog_qs-tidbit1"/>
    <w:basedOn w:val="DefaultParagraphFont"/>
    <w:rsid w:val="003D02BB"/>
    <w:rPr>
      <w:vanish w:val="0"/>
      <w:webHidden w:val="0"/>
      <w:specVanish w:val="0"/>
    </w:rPr>
  </w:style>
  <w:style w:type="character" w:customStyle="1" w:styleId="apple-converted-space">
    <w:name w:val="apple-converted-space"/>
    <w:basedOn w:val="DefaultParagraphFont"/>
    <w:rsid w:val="003D02BB"/>
  </w:style>
  <w:style w:type="paragraph" w:styleId="PlainText">
    <w:name w:val="Plain Text"/>
    <w:basedOn w:val="Normal"/>
    <w:link w:val="PlainTextChar"/>
    <w:uiPriority w:val="99"/>
    <w:unhideWhenUsed/>
    <w:rsid w:val="001F7019"/>
    <w:rPr>
      <w:rFonts w:ascii="Consolas" w:eastAsiaTheme="minorHAnsi" w:hAnsi="Consolas"/>
      <w:sz w:val="21"/>
      <w:szCs w:val="21"/>
      <w:lang w:val="en-US" w:eastAsia="en-US"/>
    </w:rPr>
  </w:style>
  <w:style w:type="character" w:customStyle="1" w:styleId="PlainTextChar">
    <w:name w:val="Plain Text Char"/>
    <w:basedOn w:val="DefaultParagraphFont"/>
    <w:link w:val="PlainText"/>
    <w:uiPriority w:val="99"/>
    <w:rsid w:val="001F7019"/>
    <w:rPr>
      <w:rFonts w:ascii="Consolas" w:eastAsiaTheme="minorHAnsi" w:hAnsi="Consolas"/>
      <w:sz w:val="21"/>
      <w:szCs w:val="21"/>
      <w:lang w:val="en-US" w:eastAsia="en-US"/>
    </w:rPr>
  </w:style>
  <w:style w:type="numbering" w:customStyle="1" w:styleId="GSNumList">
    <w:name w:val="GS NumList"/>
    <w:uiPriority w:val="99"/>
    <w:rsid w:val="006C391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760784">
      <w:bodyDiv w:val="1"/>
      <w:marLeft w:val="0"/>
      <w:marRight w:val="0"/>
      <w:marTop w:val="0"/>
      <w:marBottom w:val="0"/>
      <w:divBdr>
        <w:top w:val="none" w:sz="0" w:space="0" w:color="auto"/>
        <w:left w:val="none" w:sz="0" w:space="0" w:color="auto"/>
        <w:bottom w:val="none" w:sz="0" w:space="0" w:color="auto"/>
        <w:right w:val="none" w:sz="0" w:space="0" w:color="auto"/>
      </w:divBdr>
    </w:div>
    <w:div w:id="465009423">
      <w:bodyDiv w:val="1"/>
      <w:marLeft w:val="0"/>
      <w:marRight w:val="0"/>
      <w:marTop w:val="0"/>
      <w:marBottom w:val="0"/>
      <w:divBdr>
        <w:top w:val="none" w:sz="0" w:space="0" w:color="auto"/>
        <w:left w:val="none" w:sz="0" w:space="0" w:color="auto"/>
        <w:bottom w:val="none" w:sz="0" w:space="0" w:color="auto"/>
        <w:right w:val="none" w:sz="0" w:space="0" w:color="auto"/>
      </w:divBdr>
    </w:div>
    <w:div w:id="738408512">
      <w:bodyDiv w:val="1"/>
      <w:marLeft w:val="0"/>
      <w:marRight w:val="0"/>
      <w:marTop w:val="0"/>
      <w:marBottom w:val="0"/>
      <w:divBdr>
        <w:top w:val="none" w:sz="0" w:space="0" w:color="auto"/>
        <w:left w:val="none" w:sz="0" w:space="0" w:color="auto"/>
        <w:bottom w:val="none" w:sz="0" w:space="0" w:color="auto"/>
        <w:right w:val="none" w:sz="0" w:space="0" w:color="auto"/>
      </w:divBdr>
    </w:div>
    <w:div w:id="849759854">
      <w:bodyDiv w:val="1"/>
      <w:marLeft w:val="0"/>
      <w:marRight w:val="0"/>
      <w:marTop w:val="0"/>
      <w:marBottom w:val="0"/>
      <w:divBdr>
        <w:top w:val="none" w:sz="0" w:space="0" w:color="auto"/>
        <w:left w:val="none" w:sz="0" w:space="0" w:color="auto"/>
        <w:bottom w:val="none" w:sz="0" w:space="0" w:color="auto"/>
        <w:right w:val="none" w:sz="0" w:space="0" w:color="auto"/>
      </w:divBdr>
    </w:div>
    <w:div w:id="932936317">
      <w:bodyDiv w:val="1"/>
      <w:marLeft w:val="0"/>
      <w:marRight w:val="0"/>
      <w:marTop w:val="0"/>
      <w:marBottom w:val="0"/>
      <w:divBdr>
        <w:top w:val="none" w:sz="0" w:space="0" w:color="auto"/>
        <w:left w:val="none" w:sz="0" w:space="0" w:color="auto"/>
        <w:bottom w:val="none" w:sz="0" w:space="0" w:color="auto"/>
        <w:right w:val="none" w:sz="0" w:space="0" w:color="auto"/>
      </w:divBdr>
    </w:div>
    <w:div w:id="1091007878">
      <w:bodyDiv w:val="1"/>
      <w:marLeft w:val="0"/>
      <w:marRight w:val="0"/>
      <w:marTop w:val="0"/>
      <w:marBottom w:val="0"/>
      <w:divBdr>
        <w:top w:val="none" w:sz="0" w:space="0" w:color="auto"/>
        <w:left w:val="none" w:sz="0" w:space="0" w:color="auto"/>
        <w:bottom w:val="none" w:sz="0" w:space="0" w:color="auto"/>
        <w:right w:val="none" w:sz="0" w:space="0" w:color="auto"/>
      </w:divBdr>
    </w:div>
    <w:div w:id="1223836050">
      <w:bodyDiv w:val="1"/>
      <w:marLeft w:val="0"/>
      <w:marRight w:val="0"/>
      <w:marTop w:val="0"/>
      <w:marBottom w:val="0"/>
      <w:divBdr>
        <w:top w:val="none" w:sz="0" w:space="0" w:color="auto"/>
        <w:left w:val="none" w:sz="0" w:space="0" w:color="auto"/>
        <w:bottom w:val="none" w:sz="0" w:space="0" w:color="auto"/>
        <w:right w:val="none" w:sz="0" w:space="0" w:color="auto"/>
      </w:divBdr>
    </w:div>
    <w:div w:id="1427193293">
      <w:bodyDiv w:val="1"/>
      <w:marLeft w:val="0"/>
      <w:marRight w:val="0"/>
      <w:marTop w:val="0"/>
      <w:marBottom w:val="0"/>
      <w:divBdr>
        <w:top w:val="none" w:sz="0" w:space="0" w:color="auto"/>
        <w:left w:val="none" w:sz="0" w:space="0" w:color="auto"/>
        <w:bottom w:val="none" w:sz="0" w:space="0" w:color="auto"/>
        <w:right w:val="none" w:sz="0" w:space="0" w:color="auto"/>
      </w:divBdr>
    </w:div>
    <w:div w:id="155839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cusa@electralink.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cusa@electralink.co.uk" TargetMode="Externa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aymo1p\Local%20Settings\Temporary%20Internet%20Files\Content.Outlook\YYZ2RX5Q\DCP%20158%20Consultation%20%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6</DocumentCategory>
    <DateLastActivated1 xmlns="c7312139-f4c2-453d-a4c8-c631b6303d87">2015-02-24T16:22:17+00:00</DateLastActivated1>
    <Commitees xmlns="c7312139-f4c2-453d-a4c8-c631b6303d87">
      <Value>111</Value>
    </Commitees>
    <DocNotes xmlns="c7312139-f4c2-453d-a4c8-c631b6303d87" xsi:nil="true"/>
    <Activities xmlns="c7312139-f4c2-453d-a4c8-c631b6303d87">
      <Value>1915</Value>
    </Activities>
    <Issues xmlns="c7312139-f4c2-453d-a4c8-c631b6303d87"/>
    <PublishDate xmlns="c7312139-f4c2-453d-a4c8-c631b6303d87">2015-02-24T00:00:00+00:00</PublishDate>
    <ChangeProposal1 xmlns="c7312139-f4c2-453d-a4c8-c631b6303d87">
      <Value>124</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0.1</DocVersion>
    <Archived xmlns="c7312139-f4c2-453d-a4c8-c631b6303d87">false</Archived>
    <SQLID xmlns="c7312139-f4c2-453d-a4c8-c631b6303d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F000A0-D3D4-431D-AA2F-9A8CECB92E80}"/>
</file>

<file path=customXml/itemProps2.xml><?xml version="1.0" encoding="utf-8"?>
<ds:datastoreItem xmlns:ds="http://schemas.openxmlformats.org/officeDocument/2006/customXml" ds:itemID="{F4425240-C2F5-4CE6-BCB9-349411940F6A}"/>
</file>

<file path=customXml/itemProps3.xml><?xml version="1.0" encoding="utf-8"?>
<ds:datastoreItem xmlns:ds="http://schemas.openxmlformats.org/officeDocument/2006/customXml" ds:itemID="{2F3239CC-4E1D-442F-97CE-22442A70B3B1}"/>
</file>

<file path=customXml/itemProps4.xml><?xml version="1.0" encoding="utf-8"?>
<ds:datastoreItem xmlns:ds="http://schemas.openxmlformats.org/officeDocument/2006/customXml" ds:itemID="{890CF418-AD45-46FD-8D4D-00F971EED9FE}"/>
</file>

<file path=customXml/itemProps5.xml><?xml version="1.0" encoding="utf-8"?>
<ds:datastoreItem xmlns:ds="http://schemas.openxmlformats.org/officeDocument/2006/customXml" ds:itemID="{8A9F7F2C-C648-4A2B-94A4-1720A2E8E382}"/>
</file>

<file path=docProps/app.xml><?xml version="1.0" encoding="utf-8"?>
<Properties xmlns="http://schemas.openxmlformats.org/officeDocument/2006/extended-properties" xmlns:vt="http://schemas.openxmlformats.org/officeDocument/2006/docPropsVTypes">
  <Template>DCP 158 Consultation  V1</Template>
  <TotalTime>95</TotalTime>
  <Pages>5</Pages>
  <Words>1125</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DCUSA CONSULTATION DOCUMENT</vt:lpstr>
    </vt:vector>
  </TitlesOfParts>
  <Company>Electralink</Company>
  <LinksUpToDate>false</LinksUpToDate>
  <CharactersWithSpaces>6851</CharactersWithSpaces>
  <SharedDoc>false</SharedDoc>
  <HLinks>
    <vt:vector size="12" baseType="variant">
      <vt:variant>
        <vt:i4>2293841</vt:i4>
      </vt:variant>
      <vt:variant>
        <vt:i4>3</vt:i4>
      </vt:variant>
      <vt:variant>
        <vt:i4>0</vt:i4>
      </vt:variant>
      <vt:variant>
        <vt:i4>5</vt:i4>
      </vt:variant>
      <vt:variant>
        <vt:lpwstr>mailto:dcusa@electralink.co.uk</vt:lpwstr>
      </vt:variant>
      <vt:variant>
        <vt:lpwstr/>
      </vt:variant>
      <vt:variant>
        <vt:i4>2293841</vt:i4>
      </vt:variant>
      <vt:variant>
        <vt:i4>0</vt:i4>
      </vt:variant>
      <vt:variant>
        <vt:i4>0</vt:i4>
      </vt:variant>
      <vt:variant>
        <vt:i4>5</vt:i4>
      </vt:variant>
      <vt:variant>
        <vt:lpwstr>mailto:dcusa@electralink.co.uk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160 Draft Consultation One v1 0</dc:title>
  <dc:creator>waymo1p</dc:creator>
  <cp:lastModifiedBy>Claire Hynes</cp:lastModifiedBy>
  <cp:revision>11</cp:revision>
  <cp:lastPrinted>2015-01-23T14:50:00Z</cp:lastPrinted>
  <dcterms:created xsi:type="dcterms:W3CDTF">2015-02-20T08:49:00Z</dcterms:created>
  <dcterms:modified xsi:type="dcterms:W3CDTF">2015-02-23T17:33:00Z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ies>
</file>