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21D4" w14:textId="6977949A" w:rsidR="007C27D2" w:rsidRPr="00D44441" w:rsidRDefault="007C27D2" w:rsidP="00BA343A">
      <w:pPr>
        <w:pStyle w:val="Heading"/>
        <w:pBdr>
          <w:top w:val="none" w:sz="0" w:space="0" w:color="auto"/>
          <w:left w:val="none" w:sz="0" w:space="0" w:color="auto"/>
          <w:bottom w:val="none" w:sz="0" w:space="0" w:color="auto"/>
          <w:right w:val="none" w:sz="0" w:space="0" w:color="auto"/>
          <w:bar w:val="none" w:sz="0" w:color="auto"/>
        </w:pBdr>
        <w:rPr>
          <w:lang w:val="en-GB"/>
        </w:rPr>
      </w:pPr>
      <w:r w:rsidRPr="00D44441">
        <w:rPr>
          <w:lang w:val="en-GB"/>
        </w:rPr>
        <w:t xml:space="preserve">DCP </w:t>
      </w:r>
      <w:r w:rsidR="00C829C9">
        <w:rPr>
          <w:lang w:val="en-GB"/>
        </w:rPr>
        <w:t>160 CDCM model</w:t>
      </w:r>
    </w:p>
    <w:p w14:paraId="3D99E63A" w14:textId="14B9305B" w:rsidR="00BA1867" w:rsidRDefault="00BA1867" w:rsidP="00971920">
      <w:pPr>
        <w:pStyle w:val="Text"/>
      </w:pPr>
      <w:r>
        <w:t xml:space="preserve">This document describes a CDCM tariff model </w:t>
      </w:r>
      <w:r w:rsidR="00C0408D">
        <w:t xml:space="preserve">(r7087) </w:t>
      </w:r>
      <w:r>
        <w:t xml:space="preserve">produced to implement a specification issued by the DCP </w:t>
      </w:r>
      <w:r w:rsidR="00274FFC">
        <w:t>160</w:t>
      </w:r>
      <w:r>
        <w:t xml:space="preserve"> working group </w:t>
      </w:r>
      <w:r w:rsidR="00274FFC">
        <w:t xml:space="preserve">in </w:t>
      </w:r>
      <w:r w:rsidR="00360F3F">
        <w:t>January</w:t>
      </w:r>
      <w:r w:rsidR="00274FFC">
        <w:t xml:space="preserve"> </w:t>
      </w:r>
      <w:r w:rsidR="00360F3F">
        <w:t>2016</w:t>
      </w:r>
      <w:r>
        <w:t>.</w:t>
      </w:r>
    </w:p>
    <w:p w14:paraId="7A4F7EC1" w14:textId="33219F1C" w:rsidR="00CC4E9C" w:rsidRDefault="003C1872" w:rsidP="003C1872">
      <w:pPr>
        <w:pStyle w:val="Text"/>
      </w:pPr>
      <w:r>
        <w:t xml:space="preserve">The reference version is a model produced for the DCUSA panel in November 2015 that includes DCP </w:t>
      </w:r>
      <w:r>
        <w:t>227</w:t>
      </w:r>
      <w:r w:rsidR="00CC4E9C">
        <w:t>.</w:t>
      </w:r>
    </w:p>
    <w:p w14:paraId="0732EE4C" w14:textId="77777777" w:rsidR="007C27D2" w:rsidRPr="00C530D0" w:rsidRDefault="007C27D2" w:rsidP="00BA343A">
      <w:pPr>
        <w:pStyle w:val="Heading2"/>
      </w:pPr>
      <w:bookmarkStart w:id="0" w:name="_Toc260037360"/>
      <w:r w:rsidRPr="00C530D0">
        <w:t>Structural changes</w:t>
      </w:r>
      <w:bookmarkEnd w:id="0"/>
    </w:p>
    <w:p w14:paraId="5BA7D786" w14:textId="019DF3C6" w:rsidR="004552D6" w:rsidRDefault="000F7048" w:rsidP="00257D83">
      <w:pPr>
        <w:pStyle w:val="Text"/>
      </w:pPr>
      <w:r>
        <w:t xml:space="preserve">There are </w:t>
      </w:r>
      <w:r w:rsidR="004F7D05">
        <w:t xml:space="preserve">additional tables in </w:t>
      </w:r>
      <w:r w:rsidR="004552D6">
        <w:t xml:space="preserve">the </w:t>
      </w:r>
      <w:r w:rsidR="00274FFC">
        <w:t xml:space="preserve">AMD </w:t>
      </w:r>
      <w:r w:rsidR="004552D6">
        <w:t>sheet.</w:t>
      </w:r>
    </w:p>
    <w:p w14:paraId="6DBDD092" w14:textId="77777777" w:rsidR="00932665" w:rsidRDefault="00932665" w:rsidP="00932665">
      <w:pPr>
        <w:pStyle w:val="Heading2"/>
      </w:pPr>
      <w:bookmarkStart w:id="1" w:name="_Toc260037361"/>
      <w:r>
        <w:t>Additional or modified input data</w:t>
      </w:r>
      <w:bookmarkEnd w:id="1"/>
    </w:p>
    <w:p w14:paraId="25F757FE" w14:textId="77777777" w:rsidR="00932665" w:rsidRDefault="00932665" w:rsidP="00932665">
      <w:pPr>
        <w:pStyle w:val="Text"/>
        <w:numPr>
          <w:ilvl w:val="1"/>
          <w:numId w:val="2"/>
        </w:numPr>
      </w:pPr>
      <w:bookmarkStart w:id="2" w:name="_Toc260037362"/>
      <w:r>
        <w:t>There are no changes to input data.</w:t>
      </w:r>
    </w:p>
    <w:p w14:paraId="1CF774EE" w14:textId="77777777" w:rsidR="00932665" w:rsidRDefault="00932665" w:rsidP="00932665">
      <w:pPr>
        <w:pStyle w:val="Heading2"/>
      </w:pPr>
      <w:r>
        <w:t>Additional or modified outputs</w:t>
      </w:r>
      <w:bookmarkEnd w:id="2"/>
    </w:p>
    <w:p w14:paraId="5C4D9724" w14:textId="77777777" w:rsidR="00932665" w:rsidRDefault="00932665" w:rsidP="00932665">
      <w:pPr>
        <w:pStyle w:val="Text"/>
        <w:numPr>
          <w:ilvl w:val="1"/>
          <w:numId w:val="2"/>
        </w:numPr>
      </w:pPr>
      <w:r>
        <w:t>There are no changes to the structure of outputs.</w:t>
      </w:r>
    </w:p>
    <w:p w14:paraId="27AC2143" w14:textId="77777777" w:rsidR="00932665" w:rsidRDefault="00932665" w:rsidP="00932665">
      <w:pPr>
        <w:pStyle w:val="Heading2"/>
      </w:pPr>
      <w:bookmarkStart w:id="3" w:name="_Toc260037363"/>
      <w:r>
        <w:t>New or modified calculation tables</w:t>
      </w:r>
      <w:bookmarkEnd w:id="3"/>
    </w:p>
    <w:p w14:paraId="272ABA2F" w14:textId="15AE6B14" w:rsidR="00274FFC" w:rsidRDefault="006115C3" w:rsidP="00932665">
      <w:pPr>
        <w:pStyle w:val="Text"/>
        <w:numPr>
          <w:ilvl w:val="1"/>
          <w:numId w:val="2"/>
        </w:numPr>
      </w:pPr>
      <w:r>
        <w:t xml:space="preserve">All the changes are in the </w:t>
      </w:r>
      <w:r w:rsidR="00274FFC">
        <w:t xml:space="preserve">AMD and AggCap </w:t>
      </w:r>
      <w:r w:rsidR="008B693F">
        <w:t>sheet</w:t>
      </w:r>
      <w:r w:rsidR="00274FFC">
        <w:t>s</w:t>
      </w:r>
      <w:r>
        <w:t xml:space="preserve">, which contains tables numbered </w:t>
      </w:r>
      <w:r w:rsidR="00274FFC">
        <w:t>in the 26XX</w:t>
      </w:r>
      <w:r>
        <w:t xml:space="preserve"> </w:t>
      </w:r>
      <w:r w:rsidR="006D02FE">
        <w:t>and 31XX ranges respectively.</w:t>
      </w:r>
    </w:p>
    <w:p w14:paraId="75D73CB9" w14:textId="5DB334A9" w:rsidR="00897FFE" w:rsidRDefault="00897FFE" w:rsidP="006115C3">
      <w:pPr>
        <w:pStyle w:val="Text"/>
      </w:pPr>
      <w:r>
        <w:t>All existing t</w:t>
      </w:r>
      <w:r w:rsidR="008B693F">
        <w:t>ables</w:t>
      </w:r>
      <w:r>
        <w:t xml:space="preserve"> in the AMD sheet</w:t>
      </w:r>
      <w:r w:rsidR="008B693F">
        <w:t xml:space="preserve"> </w:t>
      </w:r>
      <w:r>
        <w:t>(tables 2601–2613)</w:t>
      </w:r>
      <w:r w:rsidR="002F2443">
        <w:t xml:space="preserve"> are</w:t>
      </w:r>
      <w:r>
        <w:t xml:space="preserve"> </w:t>
      </w:r>
      <w:r w:rsidR="002F2443">
        <w:t>as in the reference version</w:t>
      </w:r>
      <w:r>
        <w:t xml:space="preserve">, </w:t>
      </w:r>
      <w:r w:rsidR="002F2443">
        <w:t>subject to</w:t>
      </w:r>
      <w:r>
        <w:t>:</w:t>
      </w:r>
    </w:p>
    <w:p w14:paraId="68C97591" w14:textId="15111535" w:rsidR="00897FFE" w:rsidRDefault="00897FFE" w:rsidP="00897FFE">
      <w:pPr>
        <w:pStyle w:val="ListBullet"/>
      </w:pPr>
      <w:r>
        <w:t>Renumbering: tab</w:t>
      </w:r>
      <w:r w:rsidR="00E03CA8">
        <w:t>les 2604–2613 have moved to 2613–2622</w:t>
      </w:r>
      <w:r>
        <w:t>.</w:t>
      </w:r>
    </w:p>
    <w:p w14:paraId="21123B16" w14:textId="43C3E45D" w:rsidR="00897FFE" w:rsidRDefault="00E03CA8" w:rsidP="00897FFE">
      <w:pPr>
        <w:pStyle w:val="ListBullet"/>
      </w:pPr>
      <w:r>
        <w:t>The formula in table 2613</w:t>
      </w:r>
      <w:r w:rsidR="00897FFE">
        <w:t xml:space="preserve"> (previously 2604) now refers to “</w:t>
      </w:r>
      <w:r>
        <w:t>2612</w:t>
      </w:r>
      <w:r w:rsidR="00897FFE" w:rsidRPr="00897FFE">
        <w:t>. Implied average load factor</w:t>
      </w:r>
      <w:r w:rsidR="00897FFE">
        <w:t>” instead of “</w:t>
      </w:r>
      <w:r w:rsidR="00897FFE" w:rsidRPr="00897FFE">
        <w:t>1041. Load factor for each type of demand user (in Load profile data for demand users)</w:t>
      </w:r>
      <w:r w:rsidR="00897FFE">
        <w:t>”.</w:t>
      </w:r>
    </w:p>
    <w:p w14:paraId="376CFB54" w14:textId="6CCD978B" w:rsidR="00897FFE" w:rsidRDefault="00897FFE" w:rsidP="00897FFE">
      <w:pPr>
        <w:pStyle w:val="Text"/>
      </w:pPr>
      <w:r>
        <w:t xml:space="preserve">The </w:t>
      </w:r>
      <w:r w:rsidR="00C73D9F">
        <w:t>calculations</w:t>
      </w:r>
      <w:r>
        <w:t xml:space="preserve"> </w:t>
      </w:r>
      <w:r w:rsidR="00C73D9F">
        <w:t xml:space="preserve">listed in table </w:t>
      </w:r>
      <w:r w:rsidR="00C73D9F">
        <w:fldChar w:fldCharType="begin"/>
      </w:r>
      <w:r w:rsidR="00C73D9F">
        <w:instrText xml:space="preserve"> =1+</w:instrText>
      </w:r>
      <w:r w:rsidR="00C73D9F">
        <w:fldChar w:fldCharType="begin"/>
      </w:r>
      <w:r w:rsidR="00C73D9F">
        <w:instrText xml:space="preserve"> SEQ \c Table \* ARABIC </w:instrText>
      </w:r>
      <w:r w:rsidR="00C73D9F">
        <w:fldChar w:fldCharType="separate"/>
      </w:r>
      <w:r w:rsidR="00C73D9F">
        <w:rPr>
          <w:noProof/>
        </w:rPr>
        <w:instrText>0</w:instrText>
      </w:r>
      <w:r w:rsidR="00C73D9F">
        <w:fldChar w:fldCharType="end"/>
      </w:r>
      <w:r w:rsidR="00C73D9F">
        <w:fldChar w:fldCharType="separate"/>
      </w:r>
      <w:r w:rsidR="00C73D9F">
        <w:rPr>
          <w:noProof/>
        </w:rPr>
        <w:t>1</w:t>
      </w:r>
      <w:r w:rsidR="00C73D9F">
        <w:fldChar w:fldCharType="end"/>
      </w:r>
      <w:r w:rsidR="00C73D9F">
        <w:t xml:space="preserve"> </w:t>
      </w:r>
      <w:r>
        <w:t xml:space="preserve">have been inserted </w:t>
      </w:r>
      <w:r w:rsidR="00C73D9F">
        <w:t>in the AMD sheet to implement DCP 160.</w:t>
      </w:r>
    </w:p>
    <w:p w14:paraId="282A4FFC" w14:textId="77777777" w:rsidR="00C73D9F" w:rsidRDefault="00C73D9F" w:rsidP="00C73D9F">
      <w:pPr>
        <w:pStyle w:val="Caption"/>
      </w:pPr>
      <w:r>
        <w:t xml:space="preserve">Table </w:t>
      </w:r>
      <w:r>
        <w:fldChar w:fldCharType="begin"/>
      </w:r>
      <w:r>
        <w:instrText xml:space="preserve"> SEQ Table \* ARABIC </w:instrText>
      </w:r>
      <w:r>
        <w:fldChar w:fldCharType="separate"/>
      </w:r>
      <w:r>
        <w:rPr>
          <w:noProof/>
        </w:rPr>
        <w:t>1</w:t>
      </w:r>
      <w:r>
        <w:fldChar w:fldCharType="end"/>
      </w:r>
      <w:r>
        <w:tab/>
        <w:t>Additional calculations in the AMD sheet</w:t>
      </w:r>
    </w:p>
    <w:tbl>
      <w:tblPr>
        <w:tblStyle w:val="TableGrid"/>
        <w:tblW w:w="0" w:type="auto"/>
        <w:tblLook w:val="04A0" w:firstRow="1" w:lastRow="0" w:firstColumn="1" w:lastColumn="0" w:noHBand="0" w:noVBand="1"/>
      </w:tblPr>
      <w:tblGrid>
        <w:gridCol w:w="738"/>
        <w:gridCol w:w="8262"/>
      </w:tblGrid>
      <w:tr w:rsidR="00745EEC" w14:paraId="743C0250" w14:textId="77777777" w:rsidTr="00C73D9F">
        <w:trPr>
          <w:cantSplit/>
        </w:trPr>
        <w:tc>
          <w:tcPr>
            <w:tcW w:w="738" w:type="dxa"/>
          </w:tcPr>
          <w:p w14:paraId="5E4FA212" w14:textId="347EFDD6" w:rsidR="00745EEC" w:rsidRPr="00C73D9F" w:rsidRDefault="00745EEC" w:rsidP="00745EEC">
            <w:pPr>
              <w:pStyle w:val="Table"/>
              <w:rPr>
                <w:b/>
              </w:rPr>
            </w:pPr>
            <w:r w:rsidRPr="00C73D9F">
              <w:rPr>
                <w:b/>
              </w:rPr>
              <w:t>2604</w:t>
            </w:r>
          </w:p>
        </w:tc>
        <w:tc>
          <w:tcPr>
            <w:tcW w:w="8262" w:type="dxa"/>
          </w:tcPr>
          <w:p w14:paraId="5126B506" w14:textId="77777777" w:rsidR="000B2C01" w:rsidRPr="00B64729" w:rsidRDefault="000B2C01" w:rsidP="000B2C01">
            <w:pPr>
              <w:pStyle w:val="Table"/>
              <w:rPr>
                <w:b/>
              </w:rPr>
            </w:pPr>
            <w:r w:rsidRPr="00B64729">
              <w:rPr>
                <w:b/>
              </w:rPr>
              <w:t>Mapping of users with fixed charges based on standing charges factors to tariff groups for deemed load factors</w:t>
            </w:r>
          </w:p>
          <w:p w14:paraId="30096A33" w14:textId="7E240E75" w:rsidR="009C43C1" w:rsidRPr="00133CD2" w:rsidRDefault="009C43C1" w:rsidP="005945F1">
            <w:pPr>
              <w:pStyle w:val="Table"/>
              <w:rPr>
                <w:b/>
              </w:rPr>
            </w:pPr>
            <w:r>
              <w:t xml:space="preserve">This constant data table establishes a mapping of </w:t>
            </w:r>
            <w:r w:rsidR="00133CD2">
              <w:t xml:space="preserve">demand </w:t>
            </w:r>
            <w:r>
              <w:t>users</w:t>
            </w:r>
            <w:r w:rsidR="00133CD2">
              <w:t xml:space="preserve"> with fixed charges and no capacity charges to the category (voltage level) used to </w:t>
            </w:r>
            <w:r w:rsidR="005945F1">
              <w:t xml:space="preserve">adjust </w:t>
            </w:r>
            <w:r w:rsidR="00133CD2">
              <w:t>load factor</w:t>
            </w:r>
            <w:r w:rsidR="005945F1">
              <w:t>s</w:t>
            </w:r>
            <w:r w:rsidR="00133CD2">
              <w:t>.</w:t>
            </w:r>
          </w:p>
        </w:tc>
      </w:tr>
      <w:tr w:rsidR="00745EEC" w14:paraId="25AE7678" w14:textId="77777777" w:rsidTr="00C73D9F">
        <w:trPr>
          <w:cantSplit/>
        </w:trPr>
        <w:tc>
          <w:tcPr>
            <w:tcW w:w="738" w:type="dxa"/>
          </w:tcPr>
          <w:p w14:paraId="77AD304A" w14:textId="3103977C" w:rsidR="00745EEC" w:rsidRPr="00C73D9F" w:rsidRDefault="00745EEC" w:rsidP="00C73D9F">
            <w:pPr>
              <w:pStyle w:val="Table"/>
              <w:rPr>
                <w:b/>
              </w:rPr>
            </w:pPr>
            <w:r w:rsidRPr="00C73D9F">
              <w:rPr>
                <w:b/>
              </w:rPr>
              <w:t>2605</w:t>
            </w:r>
          </w:p>
        </w:tc>
        <w:tc>
          <w:tcPr>
            <w:tcW w:w="8262" w:type="dxa"/>
          </w:tcPr>
          <w:p w14:paraId="05B902B6" w14:textId="77777777" w:rsidR="000B2C01" w:rsidRPr="00B64729" w:rsidRDefault="000B2C01" w:rsidP="000B2C01">
            <w:pPr>
              <w:pStyle w:val="Table"/>
              <w:rPr>
                <w:b/>
              </w:rPr>
            </w:pPr>
            <w:r w:rsidRPr="00B64729">
              <w:rPr>
                <w:b/>
              </w:rPr>
              <w:t>Mapping of users with capacity charges to tariff groups for deemed load factors</w:t>
            </w:r>
          </w:p>
          <w:p w14:paraId="4A226CA3" w14:textId="71BC03D2" w:rsidR="00745EEC" w:rsidRPr="009C43C1" w:rsidRDefault="00133CD2" w:rsidP="005945F1">
            <w:pPr>
              <w:pStyle w:val="Table"/>
              <w:rPr>
                <w:b/>
              </w:rPr>
            </w:pPr>
            <w:r>
              <w:t xml:space="preserve">This constant data table establishes a mapping of demand users with capacity charges to the category (voltage level) for which they are used to infer </w:t>
            </w:r>
            <w:r w:rsidR="005945F1">
              <w:t>the load factor adjustment factor</w:t>
            </w:r>
            <w:r>
              <w:t>.</w:t>
            </w:r>
          </w:p>
        </w:tc>
      </w:tr>
      <w:tr w:rsidR="00745EEC" w14:paraId="1D03FA9D" w14:textId="77777777" w:rsidTr="00C73D9F">
        <w:trPr>
          <w:cantSplit/>
        </w:trPr>
        <w:tc>
          <w:tcPr>
            <w:tcW w:w="738" w:type="dxa"/>
          </w:tcPr>
          <w:p w14:paraId="79BA9922" w14:textId="3CB20E3C" w:rsidR="00745EEC" w:rsidRPr="00C73D9F" w:rsidRDefault="00745EEC" w:rsidP="00C73D9F">
            <w:pPr>
              <w:pStyle w:val="Table"/>
              <w:rPr>
                <w:b/>
              </w:rPr>
            </w:pPr>
            <w:r w:rsidRPr="00C73D9F">
              <w:rPr>
                <w:b/>
              </w:rPr>
              <w:lastRenderedPageBreak/>
              <w:t>2606</w:t>
            </w:r>
          </w:p>
        </w:tc>
        <w:tc>
          <w:tcPr>
            <w:tcW w:w="8262" w:type="dxa"/>
          </w:tcPr>
          <w:p w14:paraId="6A0C9C0A" w14:textId="77777777" w:rsidR="005945F1" w:rsidRPr="00B64729" w:rsidRDefault="005945F1" w:rsidP="005945F1">
            <w:pPr>
              <w:pStyle w:val="Table"/>
              <w:rPr>
                <w:b/>
              </w:rPr>
            </w:pPr>
            <w:r w:rsidRPr="00B64729">
              <w:rPr>
                <w:b/>
              </w:rPr>
              <w:t>Diversified maximum demand (kW)</w:t>
            </w:r>
          </w:p>
          <w:p w14:paraId="0691A8C3" w14:textId="468F2E3A" w:rsidR="000F7048" w:rsidRPr="000F7048" w:rsidRDefault="005945F1" w:rsidP="005945F1">
            <w:pPr>
              <w:pStyle w:val="Table"/>
            </w:pPr>
            <w:r>
              <w:t>For each tariff with capacity charges, this calculates the diversified maximum demand implied by the consumption forecasts in table 1053 and the load factor in table 1041.</w:t>
            </w:r>
          </w:p>
        </w:tc>
      </w:tr>
      <w:tr w:rsidR="00745EEC" w14:paraId="149BC122" w14:textId="77777777" w:rsidTr="00C73D9F">
        <w:trPr>
          <w:cantSplit/>
        </w:trPr>
        <w:tc>
          <w:tcPr>
            <w:tcW w:w="738" w:type="dxa"/>
          </w:tcPr>
          <w:p w14:paraId="5F4206D2" w14:textId="364CF498" w:rsidR="00745EEC" w:rsidRPr="00C73D9F" w:rsidRDefault="00745EEC" w:rsidP="00C73D9F">
            <w:pPr>
              <w:pStyle w:val="Table"/>
              <w:rPr>
                <w:b/>
              </w:rPr>
            </w:pPr>
            <w:r w:rsidRPr="00C73D9F">
              <w:rPr>
                <w:b/>
              </w:rPr>
              <w:t>2607</w:t>
            </w:r>
          </w:p>
        </w:tc>
        <w:tc>
          <w:tcPr>
            <w:tcW w:w="8262" w:type="dxa"/>
          </w:tcPr>
          <w:p w14:paraId="0CF32734" w14:textId="77777777" w:rsidR="005945F1" w:rsidRPr="00B64729" w:rsidRDefault="005945F1" w:rsidP="005945F1">
            <w:pPr>
              <w:pStyle w:val="Table"/>
              <w:rPr>
                <w:b/>
              </w:rPr>
            </w:pPr>
            <w:r w:rsidRPr="00B64729">
              <w:rPr>
                <w:b/>
              </w:rPr>
              <w:t>Relevant diversified maximum demand in tariff group (kW)</w:t>
            </w:r>
          </w:p>
          <w:p w14:paraId="030C9423" w14:textId="227FEA22" w:rsidR="00745EEC" w:rsidRPr="009C43C1" w:rsidRDefault="000B2C01" w:rsidP="000B2C01">
            <w:pPr>
              <w:pStyle w:val="Table"/>
              <w:rPr>
                <w:b/>
              </w:rPr>
            </w:pPr>
            <w:r>
              <w:t>Usin</w:t>
            </w:r>
            <w:r w:rsidR="008B3E9F">
              <w:t xml:space="preserve">g the mapping from table 2605, </w:t>
            </w:r>
            <w:r w:rsidR="005945F1">
              <w:t>this aggregates the data from table 2606 to tariff groups.</w:t>
            </w:r>
          </w:p>
        </w:tc>
      </w:tr>
      <w:tr w:rsidR="00745EEC" w14:paraId="0B3C7FDE" w14:textId="77777777" w:rsidTr="00C73D9F">
        <w:trPr>
          <w:cantSplit/>
        </w:trPr>
        <w:tc>
          <w:tcPr>
            <w:tcW w:w="738" w:type="dxa"/>
          </w:tcPr>
          <w:p w14:paraId="168D9403" w14:textId="2B02197A" w:rsidR="00745EEC" w:rsidRPr="00C73D9F" w:rsidRDefault="00745EEC" w:rsidP="00C73D9F">
            <w:pPr>
              <w:pStyle w:val="Table"/>
              <w:rPr>
                <w:b/>
              </w:rPr>
            </w:pPr>
            <w:r w:rsidRPr="00C73D9F">
              <w:rPr>
                <w:b/>
              </w:rPr>
              <w:t>2608</w:t>
            </w:r>
          </w:p>
        </w:tc>
        <w:tc>
          <w:tcPr>
            <w:tcW w:w="8262" w:type="dxa"/>
          </w:tcPr>
          <w:p w14:paraId="7F19FE62" w14:textId="2CDEFD6F" w:rsidR="000B2C01" w:rsidRPr="00B64729" w:rsidRDefault="000B2C01" w:rsidP="000B2C01">
            <w:pPr>
              <w:pStyle w:val="Table"/>
              <w:rPr>
                <w:b/>
              </w:rPr>
            </w:pPr>
            <w:r>
              <w:rPr>
                <w:b/>
              </w:rPr>
              <w:t>Maximum import capacity (kVA)</w:t>
            </w:r>
            <w:r w:rsidRPr="00B64729">
              <w:rPr>
                <w:b/>
              </w:rPr>
              <w:t xml:space="preserve"> </w:t>
            </w:r>
          </w:p>
          <w:p w14:paraId="5073F2F5" w14:textId="6D08005E" w:rsidR="00745EEC" w:rsidRPr="009C43C1" w:rsidRDefault="005945F1" w:rsidP="005945F1">
            <w:pPr>
              <w:pStyle w:val="Table"/>
              <w:rPr>
                <w:b/>
              </w:rPr>
            </w:pPr>
            <w:r>
              <w:t>For each tariff with capacity charges, this picks out the aggregate maximum import capacity derived from the data in table 1053.</w:t>
            </w:r>
          </w:p>
        </w:tc>
      </w:tr>
      <w:tr w:rsidR="00C73D9F" w14:paraId="1130D1B1" w14:textId="77777777" w:rsidTr="00C73D9F">
        <w:trPr>
          <w:cantSplit/>
        </w:trPr>
        <w:tc>
          <w:tcPr>
            <w:tcW w:w="738" w:type="dxa"/>
          </w:tcPr>
          <w:p w14:paraId="6539DEC3" w14:textId="18E92AFA" w:rsidR="00C73D9F" w:rsidRPr="00C73D9F" w:rsidRDefault="00C73D9F" w:rsidP="00C73D9F">
            <w:pPr>
              <w:pStyle w:val="Table"/>
              <w:rPr>
                <w:b/>
              </w:rPr>
            </w:pPr>
            <w:r w:rsidRPr="00C73D9F">
              <w:rPr>
                <w:b/>
              </w:rPr>
              <w:t>2609</w:t>
            </w:r>
          </w:p>
        </w:tc>
        <w:tc>
          <w:tcPr>
            <w:tcW w:w="8262" w:type="dxa"/>
          </w:tcPr>
          <w:p w14:paraId="77C466DF" w14:textId="77777777" w:rsidR="000B2C01" w:rsidRPr="00B64729" w:rsidRDefault="000B2C01" w:rsidP="000B2C01">
            <w:pPr>
              <w:pStyle w:val="Table"/>
              <w:rPr>
                <w:b/>
              </w:rPr>
            </w:pPr>
            <w:r w:rsidRPr="00B64729">
              <w:rPr>
                <w:b/>
              </w:rPr>
              <w:t>Aggregate maximum import capacity in tariff group (kVA)</w:t>
            </w:r>
          </w:p>
          <w:p w14:paraId="7823D1B4" w14:textId="10785436" w:rsidR="00C73D9F" w:rsidRPr="009C43C1" w:rsidRDefault="000B2C01" w:rsidP="000B2C01">
            <w:pPr>
              <w:pStyle w:val="Table"/>
              <w:rPr>
                <w:b/>
              </w:rPr>
            </w:pPr>
            <w:r>
              <w:t>U</w:t>
            </w:r>
            <w:r w:rsidR="005945F1">
              <w:t>sing the mapping from table 2605,</w:t>
            </w:r>
            <w:r>
              <w:t xml:space="preserve"> </w:t>
            </w:r>
            <w:r w:rsidR="005945F1">
              <w:t>this aggregates the data from table 2608 to tariff groups.</w:t>
            </w:r>
          </w:p>
        </w:tc>
      </w:tr>
      <w:tr w:rsidR="00BF7BAB" w14:paraId="41D5983D" w14:textId="77777777" w:rsidTr="00C73D9F">
        <w:trPr>
          <w:cantSplit/>
        </w:trPr>
        <w:tc>
          <w:tcPr>
            <w:tcW w:w="738" w:type="dxa"/>
          </w:tcPr>
          <w:p w14:paraId="0F77B369" w14:textId="3A3E3A32" w:rsidR="00BF7BAB" w:rsidRPr="00C73D9F" w:rsidRDefault="00BF7BAB" w:rsidP="00C73D9F">
            <w:pPr>
              <w:pStyle w:val="Table"/>
              <w:rPr>
                <w:b/>
              </w:rPr>
            </w:pPr>
            <w:r>
              <w:rPr>
                <w:b/>
              </w:rPr>
              <w:t>2610</w:t>
            </w:r>
          </w:p>
        </w:tc>
        <w:tc>
          <w:tcPr>
            <w:tcW w:w="8262" w:type="dxa"/>
          </w:tcPr>
          <w:p w14:paraId="1A39B9AE" w14:textId="2B8CC438" w:rsidR="000B2C01" w:rsidRPr="00B64729" w:rsidRDefault="00CF4DA6" w:rsidP="000B2C01">
            <w:pPr>
              <w:pStyle w:val="Table"/>
              <w:rPr>
                <w:b/>
              </w:rPr>
            </w:pPr>
            <w:r>
              <w:rPr>
                <w:b/>
              </w:rPr>
              <w:t>L</w:t>
            </w:r>
            <w:r w:rsidR="000B2C01" w:rsidRPr="00B64729">
              <w:rPr>
                <w:b/>
              </w:rPr>
              <w:t>oad factor correction factor for tariff group</w:t>
            </w:r>
          </w:p>
          <w:p w14:paraId="7E2A8FA5" w14:textId="2F8CEF96" w:rsidR="00BF7BAB" w:rsidRPr="009C43C1" w:rsidRDefault="005945F1" w:rsidP="005945F1">
            <w:pPr>
              <w:pStyle w:val="Table"/>
              <w:rPr>
                <w:b/>
              </w:rPr>
            </w:pPr>
            <w:r>
              <w:t>The ratio of the aggregates in table 2609 and 2607 is the load factor correction factor for each tariff group.</w:t>
            </w:r>
          </w:p>
        </w:tc>
      </w:tr>
      <w:tr w:rsidR="00BF7BAB" w14:paraId="05227CF0" w14:textId="77777777" w:rsidTr="00C73D9F">
        <w:trPr>
          <w:cantSplit/>
        </w:trPr>
        <w:tc>
          <w:tcPr>
            <w:tcW w:w="738" w:type="dxa"/>
          </w:tcPr>
          <w:p w14:paraId="4E45D4F5" w14:textId="171FC1E8" w:rsidR="00BF7BAB" w:rsidRDefault="00BF7BAB" w:rsidP="00C73D9F">
            <w:pPr>
              <w:pStyle w:val="Table"/>
              <w:rPr>
                <w:b/>
              </w:rPr>
            </w:pPr>
            <w:r>
              <w:rPr>
                <w:b/>
              </w:rPr>
              <w:t>2611</w:t>
            </w:r>
          </w:p>
        </w:tc>
        <w:tc>
          <w:tcPr>
            <w:tcW w:w="8262" w:type="dxa"/>
          </w:tcPr>
          <w:p w14:paraId="3A9AC665" w14:textId="77777777" w:rsidR="000B2C01" w:rsidRPr="00B64729" w:rsidRDefault="000B2C01" w:rsidP="000B2C01">
            <w:pPr>
              <w:pStyle w:val="Table"/>
              <w:rPr>
                <w:b/>
              </w:rPr>
            </w:pPr>
            <w:r w:rsidRPr="00B64729">
              <w:rPr>
                <w:b/>
              </w:rPr>
              <w:t>Supercustomer load factor correction factor</w:t>
            </w:r>
          </w:p>
          <w:p w14:paraId="68078FBF" w14:textId="15A877D6" w:rsidR="00BF7BAB" w:rsidRPr="009C43C1" w:rsidRDefault="000B2C01" w:rsidP="00CF66E8">
            <w:pPr>
              <w:pStyle w:val="Table"/>
              <w:rPr>
                <w:b/>
              </w:rPr>
            </w:pPr>
            <w:r>
              <w:t>Us</w:t>
            </w:r>
            <w:r w:rsidR="00CF66E8">
              <w:t>ing the mapping from table 2604, this determines the load factor correction factor for each demand tariff with fixed charges and no capacity charges.</w:t>
            </w:r>
          </w:p>
        </w:tc>
      </w:tr>
      <w:tr w:rsidR="00BF7BAB" w14:paraId="4D541C5A" w14:textId="77777777" w:rsidTr="00C73D9F">
        <w:trPr>
          <w:cantSplit/>
        </w:trPr>
        <w:tc>
          <w:tcPr>
            <w:tcW w:w="738" w:type="dxa"/>
          </w:tcPr>
          <w:p w14:paraId="05559B57" w14:textId="2ED09604" w:rsidR="00BF7BAB" w:rsidRDefault="00BF7BAB" w:rsidP="00C73D9F">
            <w:pPr>
              <w:pStyle w:val="Table"/>
              <w:rPr>
                <w:b/>
              </w:rPr>
            </w:pPr>
            <w:r>
              <w:rPr>
                <w:b/>
              </w:rPr>
              <w:t>2612</w:t>
            </w:r>
          </w:p>
        </w:tc>
        <w:tc>
          <w:tcPr>
            <w:tcW w:w="8262" w:type="dxa"/>
          </w:tcPr>
          <w:p w14:paraId="1BECB74C" w14:textId="40285C8B" w:rsidR="000B2C01" w:rsidRDefault="00B64729" w:rsidP="000B2C01">
            <w:pPr>
              <w:pStyle w:val="Table"/>
            </w:pPr>
            <w:r w:rsidRPr="00B64729">
              <w:rPr>
                <w:b/>
              </w:rPr>
              <w:t>Implied average load factor</w:t>
            </w:r>
            <w:r w:rsidR="000B2C01">
              <w:t xml:space="preserve"> </w:t>
            </w:r>
          </w:p>
          <w:p w14:paraId="403506D6" w14:textId="0EAA3E61" w:rsidR="00BF7BAB" w:rsidRPr="009C43C1" w:rsidRDefault="000B2C01" w:rsidP="00CF66E8">
            <w:pPr>
              <w:pStyle w:val="Table"/>
              <w:rPr>
                <w:b/>
              </w:rPr>
            </w:pPr>
            <w:r>
              <w:t xml:space="preserve">Using </w:t>
            </w:r>
            <w:r w:rsidR="00CF66E8">
              <w:t>table 1041 and table 2611, this calculates an adjusted load factor for each demand tariff with fixed charges and no capacity charges.  This adjusted load factor will be used in the calculation of the part of fixed charges which is derived from charges for network capacity.</w:t>
            </w:r>
            <w:r>
              <w:t xml:space="preserve"> </w:t>
            </w:r>
          </w:p>
        </w:tc>
      </w:tr>
    </w:tbl>
    <w:p w14:paraId="2308AA28" w14:textId="3121F3A5" w:rsidR="00C73D9F" w:rsidRDefault="00C73D9F" w:rsidP="00C73D9F">
      <w:r>
        <w:t xml:space="preserve"> </w:t>
      </w:r>
    </w:p>
    <w:p w14:paraId="482C5F1E" w14:textId="3427D9CB" w:rsidR="00897FFE" w:rsidRDefault="00897FFE" w:rsidP="006115C3">
      <w:pPr>
        <w:pStyle w:val="Text"/>
      </w:pPr>
      <w:r>
        <w:t>The only change in the AggCap sheet is that the formula in table 3102 now refers to “</w:t>
      </w:r>
      <w:r w:rsidR="00A05466">
        <w:t>2612</w:t>
      </w:r>
      <w:r w:rsidRPr="00897FFE">
        <w:t>. Implied average load factor</w:t>
      </w:r>
      <w:r>
        <w:t>” instead of “</w:t>
      </w:r>
      <w:r w:rsidRPr="00897FFE">
        <w:t>1041. Load factor for each type of demand user (in Load profile data for demand users)</w:t>
      </w:r>
      <w:r>
        <w:t>”.</w:t>
      </w:r>
    </w:p>
    <w:p w14:paraId="06B576B8" w14:textId="77777777" w:rsidR="00932665" w:rsidRDefault="00932665" w:rsidP="00932665">
      <w:pPr>
        <w:pStyle w:val="Heading2"/>
      </w:pPr>
      <w:bookmarkStart w:id="4" w:name="_GoBack"/>
      <w:bookmarkEnd w:id="4"/>
      <w:r>
        <w:t>Impact statement</w:t>
      </w:r>
    </w:p>
    <w:p w14:paraId="7A982464" w14:textId="7223350D" w:rsidR="00932665" w:rsidRDefault="00932665" w:rsidP="00932665">
      <w:pPr>
        <w:pStyle w:val="Text"/>
        <w:numPr>
          <w:ilvl w:val="1"/>
          <w:numId w:val="2"/>
        </w:numPr>
      </w:pPr>
      <w:r>
        <w:t xml:space="preserve">The impact statement has been prepared </w:t>
      </w:r>
      <w:r w:rsidR="00D25078">
        <w:t xml:space="preserve">using data obtained from </w:t>
      </w:r>
      <w:r w:rsidR="00F01EC9">
        <w:t xml:space="preserve">the </w:t>
      </w:r>
      <w:r w:rsidR="00D25078">
        <w:t>2017/</w:t>
      </w:r>
      <w:r w:rsidR="008B3E9F">
        <w:t>20</w:t>
      </w:r>
      <w:r w:rsidR="00D25078">
        <w:t>18 CDCM mode</w:t>
      </w:r>
      <w:r w:rsidR="00F01EC9">
        <w:t>ls published by DNOs</w:t>
      </w:r>
      <w:r>
        <w:t>.</w:t>
      </w:r>
    </w:p>
    <w:sectPr w:rsidR="00932665" w:rsidSect="00964778">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1E902" w14:textId="77777777" w:rsidR="005945F1" w:rsidRDefault="005945F1" w:rsidP="00964778">
      <w:pPr>
        <w:spacing w:after="0"/>
      </w:pPr>
      <w:r>
        <w:separator/>
      </w:r>
    </w:p>
  </w:endnote>
  <w:endnote w:type="continuationSeparator" w:id="0">
    <w:p w14:paraId="20D8E2BE" w14:textId="77777777" w:rsidR="005945F1" w:rsidRDefault="005945F1" w:rsidP="009647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DFE Meta-Normal Roman">
    <w:altName w:val="Century Gothic"/>
    <w:charset w:val="00"/>
    <w:family w:val="swiss"/>
    <w:pitch w:val="variable"/>
    <w:sig w:usb0="8000002F" w:usb1="40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BDD1A" w14:textId="46F2080C" w:rsidR="005945F1" w:rsidRDefault="005945F1">
    <w:pPr>
      <w:pStyle w:val="Footer"/>
    </w:pPr>
    <w:r w:rsidRPr="008021FC">
      <w:tab/>
    </w:r>
    <w:r>
      <w:fldChar w:fldCharType="begin"/>
    </w:r>
    <w:r>
      <w:instrText xml:space="preserve"> PAGE  \* MERGEFORMAT </w:instrText>
    </w:r>
    <w:r>
      <w:fldChar w:fldCharType="separate"/>
    </w:r>
    <w:r w:rsidR="004D202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743C0" w14:textId="77777777" w:rsidR="005945F1" w:rsidRDefault="005945F1" w:rsidP="00964778">
      <w:pPr>
        <w:spacing w:after="0"/>
      </w:pPr>
      <w:r>
        <w:separator/>
      </w:r>
    </w:p>
  </w:footnote>
  <w:footnote w:type="continuationSeparator" w:id="0">
    <w:p w14:paraId="2D760DAF" w14:textId="77777777" w:rsidR="005945F1" w:rsidRDefault="005945F1" w:rsidP="0096477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9248A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8C23F8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F78F57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DC65E7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4F01F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FC0A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C01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06C5178"/>
    <w:lvl w:ilvl="0">
      <w:start w:val="1"/>
      <w:numFmt w:val="decimal"/>
      <w:lvlText w:val="%1."/>
      <w:lvlJc w:val="left"/>
      <w:pPr>
        <w:tabs>
          <w:tab w:val="num" w:pos="360"/>
        </w:tabs>
        <w:ind w:left="360" w:hanging="360"/>
      </w:pPr>
      <w:rPr>
        <w:rFonts w:cs="Times New Roman"/>
      </w:rPr>
    </w:lvl>
  </w:abstractNum>
  <w:abstractNum w:abstractNumId="8" w15:restartNumberingAfterBreak="0">
    <w:nsid w:val="FFFFFF89"/>
    <w:multiLevelType w:val="singleLevel"/>
    <w:tmpl w:val="A412BD9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1E0634"/>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0" w15:restartNumberingAfterBreak="0">
    <w:nsid w:val="0E1602E8"/>
    <w:multiLevelType w:val="multilevel"/>
    <w:tmpl w:val="97F40312"/>
    <w:lvl w:ilvl="0">
      <w:numFmt w:val="none"/>
      <w:lvlText w:val=""/>
      <w:lvlJc w:val="left"/>
      <w:pPr>
        <w:tabs>
          <w:tab w:val="num" w:pos="360"/>
        </w:tabs>
      </w:pPr>
      <w:rPr>
        <w:rFonts w:cs="Times New Roman"/>
      </w:rPr>
    </w:lvl>
    <w:lvl w:ilvl="1">
      <w:start w:val="1"/>
      <w:numFmt w:val="decimal"/>
      <w:pStyle w:val="T2"/>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1" w15:restartNumberingAfterBreak="0">
    <w:nsid w:val="18E12C36"/>
    <w:multiLevelType w:val="multilevel"/>
    <w:tmpl w:val="548E4A2C"/>
    <w:lvl w:ilvl="0">
      <w:start w:val="1"/>
      <w:numFmt w:val="none"/>
      <w:pStyle w:val="Heading1"/>
      <w:suff w:val="nothing"/>
      <w:lvlText w:val=""/>
      <w:lvlJc w:val="left"/>
      <w:rPr>
        <w:rFonts w:cs="Times New Roman" w:hint="default"/>
      </w:rPr>
    </w:lvl>
    <w:lvl w:ilvl="1">
      <w:start w:val="1"/>
      <w:numFmt w:val="decimal"/>
      <w:lvlRestart w:val="0"/>
      <w:pStyle w:val="Text"/>
      <w:lvlText w:val="%2."/>
      <w:lvlJc w:val="left"/>
      <w:pPr>
        <w:tabs>
          <w:tab w:val="num" w:pos="720"/>
        </w:tabs>
        <w:ind w:left="720" w:hanging="720"/>
      </w:pPr>
      <w:rPr>
        <w:rFonts w:cs="Times New Roman" w:hint="default"/>
      </w:rPr>
    </w:lvl>
    <w:lvl w:ilvl="2">
      <w:start w:val="1"/>
      <w:numFmt w:val="lowerLetter"/>
      <w:pStyle w:val="ListBullet"/>
      <w:lvlText w:val="(%3)"/>
      <w:lvlJc w:val="left"/>
      <w:pPr>
        <w:tabs>
          <w:tab w:val="num" w:pos="1195"/>
        </w:tabs>
        <w:ind w:left="1195" w:hanging="475"/>
      </w:pPr>
      <w:rPr>
        <w:rFonts w:cs="Times New Roman" w:hint="default"/>
      </w:rPr>
    </w:lvl>
    <w:lvl w:ilvl="3">
      <w:start w:val="1"/>
      <w:numFmt w:val="lowerRoman"/>
      <w:pStyle w:val="ListBullet2"/>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2" w15:restartNumberingAfterBreak="0">
    <w:nsid w:val="1FB87DBC"/>
    <w:multiLevelType w:val="multilevel"/>
    <w:tmpl w:val="9CB42DB0"/>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3" w15:restartNumberingAfterBreak="0">
    <w:nsid w:val="45F57804"/>
    <w:multiLevelType w:val="hybridMultilevel"/>
    <w:tmpl w:val="246C9FBE"/>
    <w:lvl w:ilvl="0" w:tplc="754A087C">
      <w:start w:val="1"/>
      <w:numFmt w:val="bullet"/>
      <w:lvlText w:val=""/>
      <w:lvlJc w:val="left"/>
      <w:pPr>
        <w:ind w:left="360" w:hanging="360"/>
      </w:pPr>
      <w:rPr>
        <w:rFonts w:ascii="Symbol" w:hAnsi="Symbol" w:hint="default"/>
      </w:rPr>
    </w:lvl>
    <w:lvl w:ilvl="1" w:tplc="BDA27C2E">
      <w:start w:val="1"/>
      <w:numFmt w:val="bullet"/>
      <w:lvlText w:val="o"/>
      <w:lvlJc w:val="left"/>
      <w:pPr>
        <w:ind w:left="1080" w:hanging="360"/>
      </w:pPr>
      <w:rPr>
        <w:rFonts w:ascii="Courier New" w:hAnsi="Courier New" w:hint="default"/>
      </w:rPr>
    </w:lvl>
    <w:lvl w:ilvl="2" w:tplc="747AE034" w:tentative="1">
      <w:start w:val="1"/>
      <w:numFmt w:val="bullet"/>
      <w:lvlText w:val=""/>
      <w:lvlJc w:val="left"/>
      <w:pPr>
        <w:ind w:left="1800" w:hanging="360"/>
      </w:pPr>
      <w:rPr>
        <w:rFonts w:ascii="Wingdings" w:hAnsi="Wingdings" w:hint="default"/>
      </w:rPr>
    </w:lvl>
    <w:lvl w:ilvl="3" w:tplc="D26ACD44" w:tentative="1">
      <w:start w:val="1"/>
      <w:numFmt w:val="bullet"/>
      <w:lvlText w:val=""/>
      <w:lvlJc w:val="left"/>
      <w:pPr>
        <w:ind w:left="2520" w:hanging="360"/>
      </w:pPr>
      <w:rPr>
        <w:rFonts w:ascii="Symbol" w:hAnsi="Symbol" w:hint="default"/>
      </w:rPr>
    </w:lvl>
    <w:lvl w:ilvl="4" w:tplc="4688534A" w:tentative="1">
      <w:start w:val="1"/>
      <w:numFmt w:val="bullet"/>
      <w:lvlText w:val="o"/>
      <w:lvlJc w:val="left"/>
      <w:pPr>
        <w:ind w:left="3240" w:hanging="360"/>
      </w:pPr>
      <w:rPr>
        <w:rFonts w:ascii="Courier New" w:hAnsi="Courier New" w:hint="default"/>
      </w:rPr>
    </w:lvl>
    <w:lvl w:ilvl="5" w:tplc="90CE9B06" w:tentative="1">
      <w:start w:val="1"/>
      <w:numFmt w:val="bullet"/>
      <w:lvlText w:val=""/>
      <w:lvlJc w:val="left"/>
      <w:pPr>
        <w:ind w:left="3960" w:hanging="360"/>
      </w:pPr>
      <w:rPr>
        <w:rFonts w:ascii="Wingdings" w:hAnsi="Wingdings" w:hint="default"/>
      </w:rPr>
    </w:lvl>
    <w:lvl w:ilvl="6" w:tplc="E40E893E" w:tentative="1">
      <w:start w:val="1"/>
      <w:numFmt w:val="bullet"/>
      <w:lvlText w:val=""/>
      <w:lvlJc w:val="left"/>
      <w:pPr>
        <w:ind w:left="4680" w:hanging="360"/>
      </w:pPr>
      <w:rPr>
        <w:rFonts w:ascii="Symbol" w:hAnsi="Symbol" w:hint="default"/>
      </w:rPr>
    </w:lvl>
    <w:lvl w:ilvl="7" w:tplc="A7DAD736" w:tentative="1">
      <w:start w:val="1"/>
      <w:numFmt w:val="bullet"/>
      <w:lvlText w:val="o"/>
      <w:lvlJc w:val="left"/>
      <w:pPr>
        <w:ind w:left="5400" w:hanging="360"/>
      </w:pPr>
      <w:rPr>
        <w:rFonts w:ascii="Courier New" w:hAnsi="Courier New" w:hint="default"/>
      </w:rPr>
    </w:lvl>
    <w:lvl w:ilvl="8" w:tplc="EE141834" w:tentative="1">
      <w:start w:val="1"/>
      <w:numFmt w:val="bullet"/>
      <w:lvlText w:val=""/>
      <w:lvlJc w:val="left"/>
      <w:pPr>
        <w:ind w:left="6120" w:hanging="360"/>
      </w:pPr>
      <w:rPr>
        <w:rFonts w:ascii="Wingdings" w:hAnsi="Wingdings" w:hint="default"/>
      </w:rPr>
    </w:lvl>
  </w:abstractNum>
  <w:abstractNum w:abstractNumId="14" w15:restartNumberingAfterBreak="0">
    <w:nsid w:val="482908A4"/>
    <w:multiLevelType w:val="multilevel"/>
    <w:tmpl w:val="58CA9606"/>
    <w:lvl w:ilvl="0">
      <w:numFmt w:val="none"/>
      <w:lvlText w:val=""/>
      <w:lvlJc w:val="left"/>
      <w:pPr>
        <w:tabs>
          <w:tab w:val="num" w:pos="360"/>
        </w:tabs>
      </w:pPr>
      <w:rPr>
        <w:rFonts w:cs="Times New Roman"/>
      </w:rPr>
    </w:lvl>
    <w:lvl w:ilvl="1">
      <w:start w:val="4"/>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5" w15:restartNumberingAfterBreak="0">
    <w:nsid w:val="546B4A91"/>
    <w:multiLevelType w:val="multilevel"/>
    <w:tmpl w:val="5BD8E6D4"/>
    <w:lvl w:ilvl="0">
      <w:numFmt w:val="none"/>
      <w:lvlText w:val=""/>
      <w:lvlJc w:val="left"/>
      <w:pPr>
        <w:tabs>
          <w:tab w:val="num" w:pos="360"/>
        </w:tabs>
      </w:pPr>
      <w:rPr>
        <w:rFonts w:cs="Times New Roman"/>
      </w:rPr>
    </w:lvl>
    <w:lvl w:ilvl="1">
      <w:start w:val="3"/>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6" w15:restartNumberingAfterBreak="0">
    <w:nsid w:val="63B90AFF"/>
    <w:multiLevelType w:val="multilevel"/>
    <w:tmpl w:val="E6D4D898"/>
    <w:lvl w:ilvl="0">
      <w:numFmt w:val="none"/>
      <w:lvlText w:val=""/>
      <w:lvlJc w:val="left"/>
      <w:pPr>
        <w:tabs>
          <w:tab w:val="num" w:pos="360"/>
        </w:tabs>
      </w:pPr>
      <w:rPr>
        <w:rFonts w:cs="Times New Roman"/>
      </w:rPr>
    </w:lvl>
    <w:lvl w:ilvl="1">
      <w:start w:val="6"/>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7" w15:restartNumberingAfterBreak="0">
    <w:nsid w:val="76CA015B"/>
    <w:multiLevelType w:val="multilevel"/>
    <w:tmpl w:val="EFBA485A"/>
    <w:lvl w:ilvl="0">
      <w:numFmt w:val="none"/>
      <w:lvlText w:val=""/>
      <w:lvlJc w:val="left"/>
      <w:pPr>
        <w:tabs>
          <w:tab w:val="num" w:pos="360"/>
        </w:tabs>
      </w:pPr>
      <w:rPr>
        <w:rFonts w:cs="Times New Roman"/>
      </w:rPr>
    </w:lvl>
    <w:lvl w:ilvl="1">
      <w:start w:val="5"/>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8" w15:restartNumberingAfterBreak="0">
    <w:nsid w:val="7EDE60CA"/>
    <w:multiLevelType w:val="multilevel"/>
    <w:tmpl w:val="FBB04A0C"/>
    <w:lvl w:ilvl="0">
      <w:numFmt w:val="none"/>
      <w:lvlText w:val=""/>
      <w:lvlJc w:val="left"/>
      <w:pPr>
        <w:tabs>
          <w:tab w:val="num" w:pos="360"/>
        </w:tabs>
      </w:pPr>
      <w:rPr>
        <w:rFonts w:cs="Times New Roman"/>
      </w:rPr>
    </w:lvl>
    <w:lvl w:ilvl="1">
      <w:start w:val="2"/>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num w:numId="1">
    <w:abstractNumId w:val="8"/>
  </w:num>
  <w:num w:numId="2">
    <w:abstractNumId w:val="11"/>
  </w:num>
  <w:num w:numId="3">
    <w:abstractNumId w:val="8"/>
  </w:num>
  <w:num w:numId="4">
    <w:abstractNumId w:val="11"/>
  </w:num>
  <w:num w:numId="5">
    <w:abstractNumId w:val="8"/>
  </w:num>
  <w:num w:numId="6">
    <w:abstractNumId w:val="11"/>
  </w:num>
  <w:num w:numId="7">
    <w:abstractNumId w:val="8"/>
  </w:num>
  <w:num w:numId="8">
    <w:abstractNumId w:val="11"/>
  </w:num>
  <w:num w:numId="9">
    <w:abstractNumId w:val="8"/>
  </w:num>
  <w:num w:numId="10">
    <w:abstractNumId w:val="11"/>
  </w:num>
  <w:num w:numId="11">
    <w:abstractNumId w:val="8"/>
  </w:num>
  <w:num w:numId="12">
    <w:abstractNumId w:val="11"/>
  </w:num>
  <w:num w:numId="13">
    <w:abstractNumId w:val="8"/>
  </w:num>
  <w:num w:numId="14">
    <w:abstractNumId w:val="11"/>
  </w:num>
  <w:num w:numId="15">
    <w:abstractNumId w:val="12"/>
  </w:num>
  <w:num w:numId="16">
    <w:abstractNumId w:val="8"/>
  </w:num>
  <w:num w:numId="17">
    <w:abstractNumId w:val="12"/>
  </w:num>
  <w:num w:numId="18">
    <w:abstractNumId w:val="11"/>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3"/>
  </w:num>
  <w:num w:numId="26">
    <w:abstractNumId w:val="12"/>
  </w:num>
  <w:num w:numId="27">
    <w:abstractNumId w:val="10"/>
  </w:num>
  <w:num w:numId="28">
    <w:abstractNumId w:val="18"/>
  </w:num>
  <w:num w:numId="29">
    <w:abstractNumId w:val="15"/>
  </w:num>
  <w:num w:numId="30">
    <w:abstractNumId w:val="14"/>
  </w:num>
  <w:num w:numId="31">
    <w:abstractNumId w:val="17"/>
  </w:num>
  <w:num w:numId="32">
    <w:abstractNumId w:val="16"/>
  </w:num>
  <w:num w:numId="33">
    <w:abstractNumId w:val="6"/>
  </w:num>
  <w:num w:numId="34">
    <w:abstractNumId w:val="5"/>
  </w:num>
  <w:num w:numId="35">
    <w:abstractNumId w:val="4"/>
  </w:num>
  <w:num w:numId="36">
    <w:abstractNumId w:val="7"/>
  </w:num>
  <w:num w:numId="37">
    <w:abstractNumId w:val="3"/>
  </w:num>
  <w:num w:numId="38">
    <w:abstractNumId w:val="2"/>
  </w:num>
  <w:num w:numId="39">
    <w:abstractNumId w:val="1"/>
  </w:num>
  <w:num w:numId="40">
    <w:abstractNumId w:val="0"/>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64778"/>
    <w:rsid w:val="00012D36"/>
    <w:rsid w:val="00064A45"/>
    <w:rsid w:val="000A5F45"/>
    <w:rsid w:val="000B2C01"/>
    <w:rsid w:val="000B68E0"/>
    <w:rsid w:val="000D17F5"/>
    <w:rsid w:val="000F450A"/>
    <w:rsid w:val="000F7048"/>
    <w:rsid w:val="00133CD2"/>
    <w:rsid w:val="00134BEE"/>
    <w:rsid w:val="00153C87"/>
    <w:rsid w:val="001722FC"/>
    <w:rsid w:val="00176468"/>
    <w:rsid w:val="0020086E"/>
    <w:rsid w:val="002571BC"/>
    <w:rsid w:val="00257D83"/>
    <w:rsid w:val="00274FFC"/>
    <w:rsid w:val="002806D3"/>
    <w:rsid w:val="002F2443"/>
    <w:rsid w:val="00302DBF"/>
    <w:rsid w:val="00302E67"/>
    <w:rsid w:val="00323937"/>
    <w:rsid w:val="00352323"/>
    <w:rsid w:val="00360F3F"/>
    <w:rsid w:val="00386B26"/>
    <w:rsid w:val="003C1872"/>
    <w:rsid w:val="003F7899"/>
    <w:rsid w:val="00431BC3"/>
    <w:rsid w:val="0044435A"/>
    <w:rsid w:val="004552D6"/>
    <w:rsid w:val="00457BE4"/>
    <w:rsid w:val="00474CC2"/>
    <w:rsid w:val="004769E6"/>
    <w:rsid w:val="00485A22"/>
    <w:rsid w:val="004D2021"/>
    <w:rsid w:val="004D75D4"/>
    <w:rsid w:val="004E2F22"/>
    <w:rsid w:val="004F03A7"/>
    <w:rsid w:val="004F7D05"/>
    <w:rsid w:val="005006BD"/>
    <w:rsid w:val="00512170"/>
    <w:rsid w:val="005630B1"/>
    <w:rsid w:val="005927FE"/>
    <w:rsid w:val="005945F1"/>
    <w:rsid w:val="005B7BB9"/>
    <w:rsid w:val="005D054C"/>
    <w:rsid w:val="006111E4"/>
    <w:rsid w:val="006115C3"/>
    <w:rsid w:val="00660700"/>
    <w:rsid w:val="006674F3"/>
    <w:rsid w:val="00694AEE"/>
    <w:rsid w:val="006D02FE"/>
    <w:rsid w:val="006D4CF3"/>
    <w:rsid w:val="006E546A"/>
    <w:rsid w:val="006F4C80"/>
    <w:rsid w:val="00704C6D"/>
    <w:rsid w:val="00732B85"/>
    <w:rsid w:val="00733024"/>
    <w:rsid w:val="00745EEC"/>
    <w:rsid w:val="00747B12"/>
    <w:rsid w:val="007C27D2"/>
    <w:rsid w:val="007E07B4"/>
    <w:rsid w:val="008021FC"/>
    <w:rsid w:val="00826967"/>
    <w:rsid w:val="00827C38"/>
    <w:rsid w:val="00831B6D"/>
    <w:rsid w:val="00850604"/>
    <w:rsid w:val="008560A0"/>
    <w:rsid w:val="008620BE"/>
    <w:rsid w:val="0086631C"/>
    <w:rsid w:val="00867C2F"/>
    <w:rsid w:val="00897FFE"/>
    <w:rsid w:val="008B3E9F"/>
    <w:rsid w:val="008B693F"/>
    <w:rsid w:val="008D12B0"/>
    <w:rsid w:val="00904928"/>
    <w:rsid w:val="00932665"/>
    <w:rsid w:val="0096304A"/>
    <w:rsid w:val="00964778"/>
    <w:rsid w:val="00971920"/>
    <w:rsid w:val="00984EAC"/>
    <w:rsid w:val="009860BE"/>
    <w:rsid w:val="0098782E"/>
    <w:rsid w:val="00987D84"/>
    <w:rsid w:val="009A02B4"/>
    <w:rsid w:val="009C43C1"/>
    <w:rsid w:val="009D2DFD"/>
    <w:rsid w:val="009D5D08"/>
    <w:rsid w:val="009F1DB7"/>
    <w:rsid w:val="00A05466"/>
    <w:rsid w:val="00A2433A"/>
    <w:rsid w:val="00A42FE8"/>
    <w:rsid w:val="00A51B07"/>
    <w:rsid w:val="00A67192"/>
    <w:rsid w:val="00A7660D"/>
    <w:rsid w:val="00AB3F64"/>
    <w:rsid w:val="00AB6F30"/>
    <w:rsid w:val="00AF086D"/>
    <w:rsid w:val="00B0165F"/>
    <w:rsid w:val="00B02542"/>
    <w:rsid w:val="00B23F95"/>
    <w:rsid w:val="00B24376"/>
    <w:rsid w:val="00B6300E"/>
    <w:rsid w:val="00B64729"/>
    <w:rsid w:val="00B75EAB"/>
    <w:rsid w:val="00BA1867"/>
    <w:rsid w:val="00BA343A"/>
    <w:rsid w:val="00BE5927"/>
    <w:rsid w:val="00BF7BAB"/>
    <w:rsid w:val="00C02A32"/>
    <w:rsid w:val="00C0408D"/>
    <w:rsid w:val="00C24F0D"/>
    <w:rsid w:val="00C2592E"/>
    <w:rsid w:val="00C260DA"/>
    <w:rsid w:val="00C530D0"/>
    <w:rsid w:val="00C629DA"/>
    <w:rsid w:val="00C73D9F"/>
    <w:rsid w:val="00C829C9"/>
    <w:rsid w:val="00C90DCF"/>
    <w:rsid w:val="00CC4E9C"/>
    <w:rsid w:val="00CD0575"/>
    <w:rsid w:val="00CD119E"/>
    <w:rsid w:val="00CD71AD"/>
    <w:rsid w:val="00CF3243"/>
    <w:rsid w:val="00CF4DA6"/>
    <w:rsid w:val="00CF66E8"/>
    <w:rsid w:val="00D04DCE"/>
    <w:rsid w:val="00D10DAF"/>
    <w:rsid w:val="00D10E8F"/>
    <w:rsid w:val="00D25078"/>
    <w:rsid w:val="00D26D08"/>
    <w:rsid w:val="00D44441"/>
    <w:rsid w:val="00D57004"/>
    <w:rsid w:val="00D81270"/>
    <w:rsid w:val="00D844C1"/>
    <w:rsid w:val="00D9519F"/>
    <w:rsid w:val="00D959CB"/>
    <w:rsid w:val="00DC07DC"/>
    <w:rsid w:val="00DD0C36"/>
    <w:rsid w:val="00DD37C4"/>
    <w:rsid w:val="00DD54AA"/>
    <w:rsid w:val="00DE022C"/>
    <w:rsid w:val="00DF5AE2"/>
    <w:rsid w:val="00E03CA8"/>
    <w:rsid w:val="00E05BFF"/>
    <w:rsid w:val="00E06BCF"/>
    <w:rsid w:val="00E27813"/>
    <w:rsid w:val="00E45825"/>
    <w:rsid w:val="00E5489C"/>
    <w:rsid w:val="00E65237"/>
    <w:rsid w:val="00E823DC"/>
    <w:rsid w:val="00ED64B9"/>
    <w:rsid w:val="00F01EC9"/>
    <w:rsid w:val="00F44989"/>
    <w:rsid w:val="00F731F4"/>
    <w:rsid w:val="00FB5E84"/>
    <w:rsid w:val="00FD6EEC"/>
    <w:rsid w:val="00FF4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0B928"/>
  <w15:docId w15:val="{630B8AFB-CBC3-42D3-B035-52230A7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4C"/>
    <w:pPr>
      <w:spacing w:after="240"/>
      <w:jc w:val="both"/>
    </w:pPr>
    <w:rPr>
      <w:kern w:val="14"/>
      <w:sz w:val="24"/>
      <w:szCs w:val="20"/>
      <w:lang w:val="en-GB"/>
    </w:rPr>
  </w:style>
  <w:style w:type="paragraph" w:styleId="Heading1">
    <w:name w:val="heading 1"/>
    <w:basedOn w:val="Normal"/>
    <w:next w:val="Text"/>
    <w:link w:val="Heading1Char"/>
    <w:uiPriority w:val="99"/>
    <w:qFormat/>
    <w:rsid w:val="005D054C"/>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uiPriority w:val="99"/>
    <w:qFormat/>
    <w:rsid w:val="004F03A7"/>
    <w:pPr>
      <w:keepNext/>
      <w:jc w:val="left"/>
      <w:outlineLvl w:val="1"/>
    </w:pPr>
    <w:rPr>
      <w:rFonts w:ascii="Arial Black" w:hAnsi="Arial Black"/>
      <w:color w:val="333333"/>
      <w:kern w:val="0"/>
      <w:sz w:val="20"/>
    </w:rPr>
  </w:style>
  <w:style w:type="paragraph" w:styleId="Heading3">
    <w:name w:val="heading 3"/>
    <w:basedOn w:val="Normal"/>
    <w:next w:val="Text"/>
    <w:link w:val="Heading3Char"/>
    <w:uiPriority w:val="99"/>
    <w:qFormat/>
    <w:rsid w:val="00474CC2"/>
    <w:pPr>
      <w:keepNext/>
      <w:jc w:val="left"/>
      <w:outlineLvl w:val="2"/>
    </w:pPr>
    <w:rPr>
      <w:rFonts w:cs="Arial"/>
      <w:b/>
      <w:color w:val="333333"/>
      <w:kern w:val="0"/>
      <w:sz w:val="22"/>
      <w:szCs w:val="18"/>
    </w:rPr>
  </w:style>
  <w:style w:type="paragraph" w:styleId="Heading4">
    <w:name w:val="heading 4"/>
    <w:basedOn w:val="Normal"/>
    <w:next w:val="Normal"/>
    <w:link w:val="Heading4Char"/>
    <w:uiPriority w:val="99"/>
    <w:qFormat/>
    <w:rsid w:val="005D054C"/>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69E6"/>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0A5F45"/>
    <w:rPr>
      <w:rFonts w:ascii="Arial Black" w:hAnsi="Arial Black" w:cs="Times New Roman"/>
      <w:color w:val="333333"/>
      <w:lang w:val="en-GB"/>
    </w:rPr>
  </w:style>
  <w:style w:type="character" w:customStyle="1" w:styleId="Heading3Char">
    <w:name w:val="Heading 3 Char"/>
    <w:basedOn w:val="DefaultParagraphFont"/>
    <w:link w:val="Heading3"/>
    <w:uiPriority w:val="99"/>
    <w:semiHidden/>
    <w:locked/>
    <w:rsid w:val="004769E6"/>
    <w:rPr>
      <w:rFonts w:ascii="Cambria" w:hAnsi="Cambria" w:cs="Times New Roman"/>
      <w:b/>
      <w:bCs/>
      <w:kern w:val="14"/>
      <w:sz w:val="26"/>
      <w:szCs w:val="26"/>
      <w:lang w:eastAsia="en-US"/>
    </w:rPr>
  </w:style>
  <w:style w:type="character" w:customStyle="1" w:styleId="Heading4Char">
    <w:name w:val="Heading 4 Char"/>
    <w:basedOn w:val="DefaultParagraphFont"/>
    <w:link w:val="Heading4"/>
    <w:uiPriority w:val="99"/>
    <w:semiHidden/>
    <w:locked/>
    <w:rsid w:val="004769E6"/>
    <w:rPr>
      <w:rFonts w:ascii="Calibri" w:hAnsi="Calibri" w:cs="Times New Roman"/>
      <w:b/>
      <w:bCs/>
      <w:kern w:val="14"/>
      <w:sz w:val="28"/>
      <w:szCs w:val="28"/>
      <w:lang w:eastAsia="en-US"/>
    </w:rPr>
  </w:style>
  <w:style w:type="paragraph" w:styleId="BodyText">
    <w:name w:val="Body Text"/>
    <w:basedOn w:val="Normal"/>
    <w:link w:val="BodyTextChar"/>
    <w:uiPriority w:val="99"/>
    <w:rsid w:val="005D054C"/>
    <w:pPr>
      <w:spacing w:after="0"/>
      <w:jc w:val="left"/>
    </w:pPr>
  </w:style>
  <w:style w:type="character" w:customStyle="1" w:styleId="BodyTextChar">
    <w:name w:val="Body Text Char"/>
    <w:basedOn w:val="DefaultParagraphFont"/>
    <w:link w:val="BodyText"/>
    <w:uiPriority w:val="99"/>
    <w:semiHidden/>
    <w:locked/>
    <w:rsid w:val="004769E6"/>
    <w:rPr>
      <w:rFonts w:cs="Times New Roman"/>
      <w:kern w:val="14"/>
      <w:sz w:val="20"/>
      <w:szCs w:val="20"/>
      <w:lang w:eastAsia="en-US"/>
    </w:rPr>
  </w:style>
  <w:style w:type="paragraph" w:styleId="Caption">
    <w:name w:val="caption"/>
    <w:basedOn w:val="Normal"/>
    <w:next w:val="Table"/>
    <w:uiPriority w:val="99"/>
    <w:qFormat/>
    <w:rsid w:val="005D054C"/>
    <w:pPr>
      <w:keepNext/>
      <w:keepLines/>
      <w:tabs>
        <w:tab w:val="left" w:pos="1080"/>
      </w:tabs>
      <w:ind w:left="1080" w:hanging="1080"/>
      <w:jc w:val="left"/>
      <w:outlineLvl w:val="4"/>
    </w:pPr>
    <w:rPr>
      <w:rFonts w:eastAsia="MS Mincho"/>
      <w:b/>
      <w:sz w:val="22"/>
    </w:rPr>
  </w:style>
  <w:style w:type="paragraph" w:customStyle="1" w:styleId="Code">
    <w:name w:val="Code"/>
    <w:basedOn w:val="BodyText"/>
    <w:uiPriority w:val="99"/>
    <w:rsid w:val="005D054C"/>
    <w:rPr>
      <w:rFonts w:ascii="Courier" w:hAnsi="Courier"/>
      <w:sz w:val="16"/>
    </w:rPr>
  </w:style>
  <w:style w:type="paragraph" w:customStyle="1" w:styleId="DocumentControl">
    <w:name w:val="Document Control"/>
    <w:basedOn w:val="Normal"/>
    <w:uiPriority w:val="99"/>
    <w:rsid w:val="005D054C"/>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link w:val="DocumentMapChar"/>
    <w:uiPriority w:val="99"/>
    <w:semiHidden/>
    <w:rsid w:val="005D054C"/>
    <w:pPr>
      <w:shd w:val="clear" w:color="auto" w:fill="000080"/>
      <w:tabs>
        <w:tab w:val="num" w:pos="720"/>
      </w:tabs>
      <w:ind w:left="720" w:hanging="720"/>
    </w:pPr>
    <w:rPr>
      <w:rFonts w:ascii="Tahoma" w:eastAsia="MS Gothic" w:hAnsi="Tahoma"/>
      <w:sz w:val="18"/>
    </w:rPr>
  </w:style>
  <w:style w:type="character" w:customStyle="1" w:styleId="DocumentMapChar">
    <w:name w:val="Document Map Char"/>
    <w:basedOn w:val="DefaultParagraphFont"/>
    <w:link w:val="DocumentMap"/>
    <w:uiPriority w:val="99"/>
    <w:semiHidden/>
    <w:locked/>
    <w:rsid w:val="004769E6"/>
    <w:rPr>
      <w:rFonts w:cs="Times New Roman"/>
      <w:kern w:val="14"/>
      <w:sz w:val="2"/>
      <w:lang w:eastAsia="en-US"/>
    </w:rPr>
  </w:style>
  <w:style w:type="paragraph" w:customStyle="1" w:styleId="DraftingNote">
    <w:name w:val="Drafting Note"/>
    <w:basedOn w:val="Normal"/>
    <w:uiPriority w:val="99"/>
    <w:rsid w:val="005D054C"/>
    <w:rPr>
      <w:i/>
      <w:color w:val="FF0000"/>
      <w:shd w:val="clear" w:color="FFFFFF" w:fill="FFFF99"/>
    </w:rPr>
  </w:style>
  <w:style w:type="character" w:customStyle="1" w:styleId="DraftingNoteChar">
    <w:name w:val="Drafting Note Char"/>
    <w:basedOn w:val="DefaultParagraphFont"/>
    <w:uiPriority w:val="99"/>
    <w:rsid w:val="005D054C"/>
    <w:rPr>
      <w:rFonts w:cs="Times New Roman"/>
      <w:i/>
      <w:color w:val="FF0000"/>
      <w:kern w:val="14"/>
      <w:sz w:val="24"/>
      <w:shd w:val="clear" w:color="FFFFFF" w:fill="FFFF99"/>
      <w:lang w:val="en-GB" w:eastAsia="en-US"/>
    </w:rPr>
  </w:style>
  <w:style w:type="paragraph" w:customStyle="1" w:styleId="Equation">
    <w:name w:val="Equation"/>
    <w:basedOn w:val="BodyText"/>
    <w:uiPriority w:val="99"/>
    <w:rsid w:val="005D054C"/>
    <w:pPr>
      <w:tabs>
        <w:tab w:val="right" w:pos="8640"/>
      </w:tabs>
      <w:spacing w:after="240"/>
      <w:ind w:left="1080"/>
    </w:pPr>
  </w:style>
  <w:style w:type="paragraph" w:customStyle="1" w:styleId="Eqwhere">
    <w:name w:val="Eqwhere"/>
    <w:basedOn w:val="BodyText"/>
    <w:uiPriority w:val="99"/>
    <w:rsid w:val="005D054C"/>
    <w:pPr>
      <w:spacing w:after="240"/>
      <w:ind w:left="720"/>
    </w:pPr>
  </w:style>
  <w:style w:type="character" w:styleId="FollowedHyperlink">
    <w:name w:val="FollowedHyperlink"/>
    <w:basedOn w:val="DefaultParagraphFont"/>
    <w:uiPriority w:val="99"/>
    <w:rsid w:val="005D054C"/>
    <w:rPr>
      <w:rFonts w:cs="Times New Roman"/>
      <w:color w:val="auto"/>
      <w:u w:val="none"/>
    </w:rPr>
  </w:style>
  <w:style w:type="paragraph" w:styleId="Header">
    <w:name w:val="header"/>
    <w:basedOn w:val="Normal"/>
    <w:link w:val="HeaderChar"/>
    <w:uiPriority w:val="99"/>
    <w:rsid w:val="005D054C"/>
    <w:pPr>
      <w:tabs>
        <w:tab w:val="right" w:pos="9000"/>
      </w:tabs>
      <w:spacing w:after="0" w:line="240" w:lineRule="exact"/>
      <w:jc w:val="left"/>
    </w:pPr>
    <w:rPr>
      <w:rFonts w:ascii="Arial" w:hAnsi="Arial"/>
      <w:color w:val="0066CC"/>
      <w:kern w:val="18"/>
      <w:sz w:val="18"/>
    </w:rPr>
  </w:style>
  <w:style w:type="character" w:customStyle="1" w:styleId="HeaderChar">
    <w:name w:val="Header Char"/>
    <w:basedOn w:val="DefaultParagraphFont"/>
    <w:link w:val="Header"/>
    <w:uiPriority w:val="99"/>
    <w:semiHidden/>
    <w:locked/>
    <w:rsid w:val="004769E6"/>
    <w:rPr>
      <w:rFonts w:cs="Times New Roman"/>
      <w:kern w:val="14"/>
      <w:sz w:val="20"/>
      <w:szCs w:val="20"/>
      <w:lang w:eastAsia="en-US"/>
    </w:rPr>
  </w:style>
  <w:style w:type="paragraph" w:styleId="Footer">
    <w:name w:val="footer"/>
    <w:basedOn w:val="Header"/>
    <w:link w:val="FooterChar"/>
    <w:uiPriority w:val="99"/>
    <w:semiHidden/>
    <w:rsid w:val="005D054C"/>
  </w:style>
  <w:style w:type="character" w:customStyle="1" w:styleId="FooterChar">
    <w:name w:val="Footer Char"/>
    <w:basedOn w:val="DefaultParagraphFont"/>
    <w:link w:val="Footer"/>
    <w:uiPriority w:val="99"/>
    <w:semiHidden/>
    <w:locked/>
    <w:rsid w:val="004769E6"/>
    <w:rPr>
      <w:rFonts w:cs="Times New Roman"/>
      <w:kern w:val="14"/>
      <w:sz w:val="20"/>
      <w:szCs w:val="20"/>
      <w:lang w:eastAsia="en-US"/>
    </w:rPr>
  </w:style>
  <w:style w:type="character" w:styleId="FootnoteReference">
    <w:name w:val="footnote reference"/>
    <w:basedOn w:val="DefaultParagraphFont"/>
    <w:uiPriority w:val="99"/>
    <w:semiHidden/>
    <w:rsid w:val="005D054C"/>
    <w:rPr>
      <w:rFonts w:cs="Times New Roman"/>
      <w:vertAlign w:val="superscript"/>
    </w:rPr>
  </w:style>
  <w:style w:type="paragraph" w:styleId="FootnoteText">
    <w:name w:val="footnote text"/>
    <w:basedOn w:val="Normal"/>
    <w:link w:val="FootnoteTextChar"/>
    <w:uiPriority w:val="99"/>
    <w:semiHidden/>
    <w:rsid w:val="005D054C"/>
    <w:pPr>
      <w:tabs>
        <w:tab w:val="left" w:pos="180"/>
      </w:tabs>
      <w:spacing w:after="0"/>
      <w:ind w:left="180" w:hanging="180"/>
      <w:jc w:val="left"/>
    </w:pPr>
    <w:rPr>
      <w:sz w:val="18"/>
    </w:rPr>
  </w:style>
  <w:style w:type="character" w:customStyle="1" w:styleId="FootnoteTextChar">
    <w:name w:val="Footnote Text Char"/>
    <w:basedOn w:val="DefaultParagraphFont"/>
    <w:link w:val="FootnoteText"/>
    <w:uiPriority w:val="99"/>
    <w:semiHidden/>
    <w:locked/>
    <w:rsid w:val="004769E6"/>
    <w:rPr>
      <w:rFonts w:cs="Times New Roman"/>
      <w:kern w:val="14"/>
      <w:sz w:val="20"/>
      <w:szCs w:val="20"/>
      <w:lang w:eastAsia="en-US"/>
    </w:rPr>
  </w:style>
  <w:style w:type="paragraph" w:customStyle="1" w:styleId="Hidden">
    <w:name w:val="Hidden"/>
    <w:basedOn w:val="DocumentControl"/>
    <w:uiPriority w:val="99"/>
    <w:rsid w:val="005D054C"/>
    <w:rPr>
      <w:vanish/>
      <w:color w:val="FF6633"/>
    </w:rPr>
  </w:style>
  <w:style w:type="character" w:styleId="Hyperlink">
    <w:name w:val="Hyperlink"/>
    <w:basedOn w:val="DefaultParagraphFont"/>
    <w:uiPriority w:val="99"/>
    <w:rsid w:val="005D054C"/>
    <w:rPr>
      <w:rFonts w:cs="Times New Roman"/>
      <w:color w:val="auto"/>
    </w:rPr>
  </w:style>
  <w:style w:type="paragraph" w:styleId="ListBullet">
    <w:name w:val="List Bullet"/>
    <w:basedOn w:val="Normal"/>
    <w:uiPriority w:val="99"/>
    <w:rsid w:val="005D054C"/>
    <w:pPr>
      <w:numPr>
        <w:ilvl w:val="2"/>
        <w:numId w:val="10"/>
      </w:numPr>
    </w:pPr>
  </w:style>
  <w:style w:type="paragraph" w:styleId="ListBullet2">
    <w:name w:val="List Bullet 2"/>
    <w:basedOn w:val="Normal"/>
    <w:uiPriority w:val="99"/>
    <w:rsid w:val="005D054C"/>
    <w:pPr>
      <w:numPr>
        <w:ilvl w:val="3"/>
        <w:numId w:val="10"/>
      </w:numPr>
    </w:pPr>
  </w:style>
  <w:style w:type="paragraph" w:styleId="PlainText">
    <w:name w:val="Plain Text"/>
    <w:basedOn w:val="Normal"/>
    <w:link w:val="PlainTextChar"/>
    <w:uiPriority w:val="99"/>
    <w:rsid w:val="005D054C"/>
    <w:rPr>
      <w:rFonts w:ascii="Courier" w:hAnsi="Courier"/>
      <w:szCs w:val="24"/>
    </w:rPr>
  </w:style>
  <w:style w:type="character" w:customStyle="1" w:styleId="PlainTextChar">
    <w:name w:val="Plain Text Char"/>
    <w:basedOn w:val="DefaultParagraphFont"/>
    <w:link w:val="PlainText"/>
    <w:uiPriority w:val="99"/>
    <w:semiHidden/>
    <w:locked/>
    <w:rsid w:val="004769E6"/>
    <w:rPr>
      <w:rFonts w:ascii="Courier New" w:hAnsi="Courier New" w:cs="Courier New"/>
      <w:kern w:val="14"/>
      <w:sz w:val="20"/>
      <w:szCs w:val="20"/>
      <w:lang w:eastAsia="en-US"/>
    </w:rPr>
  </w:style>
  <w:style w:type="paragraph" w:customStyle="1" w:styleId="Quotation">
    <w:name w:val="Quotation"/>
    <w:basedOn w:val="BodyText"/>
    <w:rsid w:val="005D054C"/>
    <w:pPr>
      <w:spacing w:after="240"/>
      <w:ind w:left="1080" w:right="360"/>
      <w:jc w:val="both"/>
    </w:pPr>
    <w:rPr>
      <w:spacing w:val="-4"/>
      <w:kern w:val="20"/>
    </w:rPr>
  </w:style>
  <w:style w:type="paragraph" w:customStyle="1" w:styleId="Table">
    <w:name w:val="Table"/>
    <w:basedOn w:val="Normal"/>
    <w:rsid w:val="005D054C"/>
    <w:pPr>
      <w:tabs>
        <w:tab w:val="num" w:pos="720"/>
      </w:tabs>
      <w:spacing w:before="120" w:after="120"/>
      <w:jc w:val="left"/>
    </w:pPr>
    <w:rPr>
      <w:sz w:val="22"/>
    </w:rPr>
  </w:style>
  <w:style w:type="table" w:styleId="TableGrid">
    <w:name w:val="Table Grid"/>
    <w:basedOn w:val="TableNormal"/>
    <w:uiPriority w:val="99"/>
    <w:rsid w:val="005D054C"/>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stNote">
    <w:name w:val="Table Last Note"/>
    <w:basedOn w:val="Normal"/>
    <w:uiPriority w:val="99"/>
    <w:rsid w:val="005D054C"/>
    <w:pPr>
      <w:keepLines/>
      <w:tabs>
        <w:tab w:val="num" w:pos="0"/>
      </w:tabs>
      <w:spacing w:before="40"/>
    </w:pPr>
    <w:rPr>
      <w:rFonts w:cs="Arial"/>
      <w:sz w:val="18"/>
      <w:szCs w:val="24"/>
    </w:rPr>
  </w:style>
  <w:style w:type="paragraph" w:customStyle="1" w:styleId="TableNotes">
    <w:name w:val="Table Notes"/>
    <w:basedOn w:val="Normal"/>
    <w:uiPriority w:val="99"/>
    <w:rsid w:val="005D054C"/>
    <w:pPr>
      <w:keepNext/>
      <w:keepLines/>
      <w:tabs>
        <w:tab w:val="num" w:pos="720"/>
      </w:tabs>
      <w:spacing w:before="40" w:after="40"/>
    </w:pPr>
    <w:rPr>
      <w:i/>
      <w:sz w:val="18"/>
    </w:rPr>
  </w:style>
  <w:style w:type="paragraph" w:customStyle="1" w:styleId="Text">
    <w:name w:val="Text"/>
    <w:basedOn w:val="Normal"/>
    <w:uiPriority w:val="99"/>
    <w:rsid w:val="002806D3"/>
    <w:pPr>
      <w:numPr>
        <w:ilvl w:val="1"/>
        <w:numId w:val="10"/>
      </w:numPr>
    </w:pPr>
  </w:style>
  <w:style w:type="paragraph" w:styleId="TOC1">
    <w:name w:val="toc 1"/>
    <w:basedOn w:val="Normal"/>
    <w:next w:val="Normal"/>
    <w:autoRedefine/>
    <w:uiPriority w:val="39"/>
    <w:rsid w:val="005D054C"/>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uiPriority w:val="39"/>
    <w:rsid w:val="005D054C"/>
    <w:pPr>
      <w:tabs>
        <w:tab w:val="right" w:leader="dot" w:pos="9000"/>
      </w:tabs>
      <w:spacing w:before="240" w:after="0"/>
      <w:ind w:right="360"/>
      <w:jc w:val="left"/>
    </w:pPr>
    <w:rPr>
      <w:b/>
      <w:noProof/>
      <w:kern w:val="0"/>
      <w:sz w:val="22"/>
    </w:rPr>
  </w:style>
  <w:style w:type="paragraph" w:styleId="TOC3">
    <w:name w:val="toc 3"/>
    <w:basedOn w:val="Normal"/>
    <w:next w:val="Normal"/>
    <w:autoRedefine/>
    <w:uiPriority w:val="99"/>
    <w:semiHidden/>
    <w:rsid w:val="005D054C"/>
    <w:pPr>
      <w:tabs>
        <w:tab w:val="right" w:leader="dot" w:pos="9000"/>
      </w:tabs>
      <w:spacing w:after="0"/>
      <w:ind w:right="380"/>
    </w:pPr>
    <w:rPr>
      <w:noProof/>
      <w:sz w:val="18"/>
    </w:rPr>
  </w:style>
  <w:style w:type="paragraph" w:styleId="TOCHeading">
    <w:name w:val="TOC Heading"/>
    <w:basedOn w:val="TOC1"/>
    <w:uiPriority w:val="99"/>
    <w:qFormat/>
    <w:rsid w:val="005D054C"/>
    <w:pPr>
      <w:ind w:right="0"/>
    </w:pPr>
  </w:style>
  <w:style w:type="paragraph" w:customStyle="1" w:styleId="Default">
    <w:name w:val="Default"/>
    <w:uiPriority w:val="99"/>
    <w:rsid w:val="00474CC2"/>
    <w:pPr>
      <w:autoSpaceDE w:val="0"/>
      <w:autoSpaceDN w:val="0"/>
      <w:adjustRightInd w:val="0"/>
    </w:pPr>
    <w:rPr>
      <w:rFonts w:ascii="Verdana" w:hAnsi="Verdana" w:cs="Verdana"/>
      <w:color w:val="000000"/>
      <w:sz w:val="24"/>
      <w:szCs w:val="24"/>
    </w:rPr>
  </w:style>
  <w:style w:type="character" w:customStyle="1" w:styleId="legaddition">
    <w:name w:val="legaddition"/>
    <w:basedOn w:val="DefaultParagraphFont"/>
    <w:uiPriority w:val="99"/>
    <w:rsid w:val="00474CC2"/>
    <w:rPr>
      <w:rFonts w:cs="Times New Roman"/>
    </w:rPr>
  </w:style>
  <w:style w:type="paragraph" w:customStyle="1" w:styleId="Byline">
    <w:name w:val="Byline"/>
    <w:basedOn w:val="Heading3"/>
    <w:uiPriority w:val="99"/>
    <w:rsid w:val="004F03A7"/>
    <w:pPr>
      <w:outlineLvl w:val="4"/>
    </w:pPr>
  </w:style>
  <w:style w:type="paragraph" w:customStyle="1" w:styleId="Heading">
    <w:name w:val="Heading"/>
    <w:next w:val="Text"/>
    <w:uiPriority w:val="99"/>
    <w:rsid w:val="00BA343A"/>
    <w:pPr>
      <w:keepNext/>
      <w:pBdr>
        <w:top w:val="none" w:sz="96" w:space="31" w:color="FFFFFF" w:frame="1"/>
        <w:left w:val="none" w:sz="96" w:space="31" w:color="FFFFFF" w:frame="1"/>
        <w:bottom w:val="none" w:sz="96" w:space="31" w:color="FFFFFF" w:frame="1"/>
        <w:right w:val="none" w:sz="96" w:space="31" w:color="FFFFFF" w:frame="1"/>
        <w:bar w:val="none" w:sz="0" w:color="000000"/>
      </w:pBdr>
      <w:spacing w:after="180"/>
      <w:outlineLvl w:val="0"/>
    </w:pPr>
    <w:rPr>
      <w:rFonts w:ascii="Arial Black" w:eastAsia="Arial Unicode MS" w:hAnsi="Arial Unicode MS" w:cs="Arial Unicode MS"/>
      <w:bCs/>
      <w:color w:val="333333"/>
      <w:sz w:val="28"/>
      <w:szCs w:val="28"/>
      <w:u w:color="333333"/>
      <w:lang w:val="es-ES_tradnl"/>
    </w:rPr>
  </w:style>
  <w:style w:type="paragraph" w:customStyle="1" w:styleId="TableB">
    <w:name w:val="TableB"/>
    <w:basedOn w:val="Table"/>
    <w:next w:val="Table"/>
    <w:uiPriority w:val="99"/>
    <w:rsid w:val="00DC07DC"/>
    <w:pPr>
      <w:tabs>
        <w:tab w:val="clear" w:pos="720"/>
      </w:tabs>
    </w:pPr>
    <w:rPr>
      <w:rFonts w:eastAsia="Arial Unicode MS"/>
      <w:b/>
      <w:szCs w:val="22"/>
    </w:rPr>
  </w:style>
  <w:style w:type="paragraph" w:customStyle="1" w:styleId="T2">
    <w:name w:val="T2"/>
    <w:basedOn w:val="Text"/>
    <w:uiPriority w:val="99"/>
    <w:rsid w:val="00BA343A"/>
    <w:pPr>
      <w:numPr>
        <w:numId w:val="27"/>
      </w:numPr>
      <w:tabs>
        <w:tab w:val="left" w:pos="720"/>
      </w:tabs>
    </w:pPr>
    <w:rPr>
      <w:rFonts w:eastAsia="Arial Unicode MS" w:hAnsi="Arial Unicode MS" w:cs="Arial Unicode MS"/>
      <w:color w:val="000000"/>
      <w:szCs w:val="24"/>
      <w:u w:color="000000"/>
      <w:lang w:val="en-US"/>
    </w:rPr>
  </w:style>
  <w:style w:type="paragraph" w:customStyle="1" w:styleId="Normalnumbered">
    <w:name w:val="Normal numbered"/>
    <w:basedOn w:val="Normal"/>
    <w:rsid w:val="005B7BB9"/>
    <w:pPr>
      <w:tabs>
        <w:tab w:val="num" w:pos="540"/>
      </w:tabs>
      <w:ind w:left="540" w:hanging="360"/>
      <w:jc w:val="left"/>
    </w:pPr>
    <w:rPr>
      <w:rFonts w:ascii="EDFE Meta-Normal Roman" w:hAnsi="EDFE Meta-Normal Roman"/>
      <w:kern w:val="0"/>
      <w:sz w:val="22"/>
    </w:rPr>
  </w:style>
  <w:style w:type="paragraph" w:styleId="TOC4">
    <w:name w:val="toc 4"/>
    <w:basedOn w:val="Normal"/>
    <w:next w:val="Normal"/>
    <w:autoRedefine/>
    <w:locked/>
    <w:rsid w:val="006E546A"/>
    <w:pPr>
      <w:ind w:left="720"/>
    </w:pPr>
  </w:style>
  <w:style w:type="paragraph" w:styleId="TOC5">
    <w:name w:val="toc 5"/>
    <w:basedOn w:val="Normal"/>
    <w:next w:val="Normal"/>
    <w:autoRedefine/>
    <w:locked/>
    <w:rsid w:val="006E546A"/>
    <w:pPr>
      <w:ind w:left="960"/>
    </w:pPr>
  </w:style>
  <w:style w:type="paragraph" w:styleId="TOC6">
    <w:name w:val="toc 6"/>
    <w:basedOn w:val="Normal"/>
    <w:next w:val="Normal"/>
    <w:autoRedefine/>
    <w:locked/>
    <w:rsid w:val="006E546A"/>
    <w:pPr>
      <w:ind w:left="1200"/>
    </w:pPr>
  </w:style>
  <w:style w:type="paragraph" w:styleId="TOC7">
    <w:name w:val="toc 7"/>
    <w:basedOn w:val="Normal"/>
    <w:next w:val="Normal"/>
    <w:autoRedefine/>
    <w:locked/>
    <w:rsid w:val="006E546A"/>
    <w:pPr>
      <w:ind w:left="1440"/>
    </w:pPr>
  </w:style>
  <w:style w:type="paragraph" w:styleId="TOC8">
    <w:name w:val="toc 8"/>
    <w:basedOn w:val="Normal"/>
    <w:next w:val="Normal"/>
    <w:autoRedefine/>
    <w:locked/>
    <w:rsid w:val="006E546A"/>
    <w:pPr>
      <w:ind w:left="1680"/>
    </w:pPr>
  </w:style>
  <w:style w:type="paragraph" w:styleId="TOC9">
    <w:name w:val="toc 9"/>
    <w:basedOn w:val="Normal"/>
    <w:next w:val="Normal"/>
    <w:autoRedefine/>
    <w:locked/>
    <w:rsid w:val="006E546A"/>
    <w:pPr>
      <w:ind w:left="1920"/>
    </w:pPr>
  </w:style>
  <w:style w:type="paragraph" w:styleId="ListParagraph">
    <w:name w:val="List Paragraph"/>
    <w:basedOn w:val="Normal"/>
    <w:uiPriority w:val="34"/>
    <w:qFormat/>
    <w:rsid w:val="00C90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5920">
      <w:bodyDiv w:val="1"/>
      <w:marLeft w:val="0"/>
      <w:marRight w:val="0"/>
      <w:marTop w:val="0"/>
      <w:marBottom w:val="0"/>
      <w:divBdr>
        <w:top w:val="none" w:sz="0" w:space="0" w:color="auto"/>
        <w:left w:val="none" w:sz="0" w:space="0" w:color="auto"/>
        <w:bottom w:val="none" w:sz="0" w:space="0" w:color="auto"/>
        <w:right w:val="none" w:sz="0" w:space="0" w:color="auto"/>
      </w:divBdr>
    </w:div>
    <w:div w:id="134180338">
      <w:bodyDiv w:val="1"/>
      <w:marLeft w:val="0"/>
      <w:marRight w:val="0"/>
      <w:marTop w:val="0"/>
      <w:marBottom w:val="0"/>
      <w:divBdr>
        <w:top w:val="none" w:sz="0" w:space="0" w:color="auto"/>
        <w:left w:val="none" w:sz="0" w:space="0" w:color="auto"/>
        <w:bottom w:val="none" w:sz="0" w:space="0" w:color="auto"/>
        <w:right w:val="none" w:sz="0" w:space="0" w:color="auto"/>
      </w:divBdr>
    </w:div>
    <w:div w:id="474185264">
      <w:bodyDiv w:val="1"/>
      <w:marLeft w:val="0"/>
      <w:marRight w:val="0"/>
      <w:marTop w:val="0"/>
      <w:marBottom w:val="0"/>
      <w:divBdr>
        <w:top w:val="none" w:sz="0" w:space="0" w:color="auto"/>
        <w:left w:val="none" w:sz="0" w:space="0" w:color="auto"/>
        <w:bottom w:val="none" w:sz="0" w:space="0" w:color="auto"/>
        <w:right w:val="none" w:sz="0" w:space="0" w:color="auto"/>
      </w:divBdr>
    </w:div>
    <w:div w:id="601183036">
      <w:marLeft w:val="0"/>
      <w:marRight w:val="0"/>
      <w:marTop w:val="0"/>
      <w:marBottom w:val="0"/>
      <w:divBdr>
        <w:top w:val="none" w:sz="0" w:space="0" w:color="auto"/>
        <w:left w:val="none" w:sz="0" w:space="0" w:color="auto"/>
        <w:bottom w:val="none" w:sz="0" w:space="0" w:color="auto"/>
        <w:right w:val="none" w:sz="0" w:space="0" w:color="auto"/>
      </w:divBdr>
    </w:div>
    <w:div w:id="601183037">
      <w:marLeft w:val="0"/>
      <w:marRight w:val="0"/>
      <w:marTop w:val="0"/>
      <w:marBottom w:val="0"/>
      <w:divBdr>
        <w:top w:val="none" w:sz="0" w:space="0" w:color="auto"/>
        <w:left w:val="none" w:sz="0" w:space="0" w:color="auto"/>
        <w:bottom w:val="none" w:sz="0" w:space="0" w:color="auto"/>
        <w:right w:val="none" w:sz="0" w:space="0" w:color="auto"/>
      </w:divBdr>
    </w:div>
    <w:div w:id="601183038">
      <w:marLeft w:val="0"/>
      <w:marRight w:val="0"/>
      <w:marTop w:val="0"/>
      <w:marBottom w:val="0"/>
      <w:divBdr>
        <w:top w:val="none" w:sz="0" w:space="0" w:color="auto"/>
        <w:left w:val="none" w:sz="0" w:space="0" w:color="auto"/>
        <w:bottom w:val="none" w:sz="0" w:space="0" w:color="auto"/>
        <w:right w:val="none" w:sz="0" w:space="0" w:color="auto"/>
      </w:divBdr>
    </w:div>
    <w:div w:id="601183039">
      <w:marLeft w:val="0"/>
      <w:marRight w:val="0"/>
      <w:marTop w:val="0"/>
      <w:marBottom w:val="0"/>
      <w:divBdr>
        <w:top w:val="none" w:sz="0" w:space="0" w:color="auto"/>
        <w:left w:val="none" w:sz="0" w:space="0" w:color="auto"/>
        <w:bottom w:val="none" w:sz="0" w:space="0" w:color="auto"/>
        <w:right w:val="none" w:sz="0" w:space="0" w:color="auto"/>
      </w:divBdr>
    </w:div>
    <w:div w:id="601183040">
      <w:marLeft w:val="0"/>
      <w:marRight w:val="0"/>
      <w:marTop w:val="0"/>
      <w:marBottom w:val="0"/>
      <w:divBdr>
        <w:top w:val="none" w:sz="0" w:space="0" w:color="auto"/>
        <w:left w:val="none" w:sz="0" w:space="0" w:color="auto"/>
        <w:bottom w:val="none" w:sz="0" w:space="0" w:color="auto"/>
        <w:right w:val="none" w:sz="0" w:space="0" w:color="auto"/>
      </w:divBdr>
    </w:div>
    <w:div w:id="601183041">
      <w:marLeft w:val="0"/>
      <w:marRight w:val="0"/>
      <w:marTop w:val="0"/>
      <w:marBottom w:val="0"/>
      <w:divBdr>
        <w:top w:val="none" w:sz="0" w:space="0" w:color="auto"/>
        <w:left w:val="none" w:sz="0" w:space="0" w:color="auto"/>
        <w:bottom w:val="none" w:sz="0" w:space="0" w:color="auto"/>
        <w:right w:val="none" w:sz="0" w:space="0" w:color="auto"/>
      </w:divBdr>
    </w:div>
    <w:div w:id="601183042">
      <w:marLeft w:val="0"/>
      <w:marRight w:val="0"/>
      <w:marTop w:val="0"/>
      <w:marBottom w:val="0"/>
      <w:divBdr>
        <w:top w:val="none" w:sz="0" w:space="0" w:color="auto"/>
        <w:left w:val="none" w:sz="0" w:space="0" w:color="auto"/>
        <w:bottom w:val="none" w:sz="0" w:space="0" w:color="auto"/>
        <w:right w:val="none" w:sz="0" w:space="0" w:color="auto"/>
      </w:divBdr>
    </w:div>
    <w:div w:id="601183043">
      <w:marLeft w:val="0"/>
      <w:marRight w:val="0"/>
      <w:marTop w:val="0"/>
      <w:marBottom w:val="0"/>
      <w:divBdr>
        <w:top w:val="none" w:sz="0" w:space="0" w:color="auto"/>
        <w:left w:val="none" w:sz="0" w:space="0" w:color="auto"/>
        <w:bottom w:val="none" w:sz="0" w:space="0" w:color="auto"/>
        <w:right w:val="none" w:sz="0" w:space="0" w:color="auto"/>
      </w:divBdr>
    </w:div>
    <w:div w:id="601183044">
      <w:marLeft w:val="0"/>
      <w:marRight w:val="0"/>
      <w:marTop w:val="0"/>
      <w:marBottom w:val="0"/>
      <w:divBdr>
        <w:top w:val="none" w:sz="0" w:space="0" w:color="auto"/>
        <w:left w:val="none" w:sz="0" w:space="0" w:color="auto"/>
        <w:bottom w:val="none" w:sz="0" w:space="0" w:color="auto"/>
        <w:right w:val="none" w:sz="0" w:space="0" w:color="auto"/>
      </w:divBdr>
    </w:div>
    <w:div w:id="751971981">
      <w:bodyDiv w:val="1"/>
      <w:marLeft w:val="0"/>
      <w:marRight w:val="0"/>
      <w:marTop w:val="0"/>
      <w:marBottom w:val="0"/>
      <w:divBdr>
        <w:top w:val="none" w:sz="0" w:space="0" w:color="auto"/>
        <w:left w:val="none" w:sz="0" w:space="0" w:color="auto"/>
        <w:bottom w:val="none" w:sz="0" w:space="0" w:color="auto"/>
        <w:right w:val="none" w:sz="0" w:space="0" w:color="auto"/>
      </w:divBdr>
    </w:div>
    <w:div w:id="758407021">
      <w:bodyDiv w:val="1"/>
      <w:marLeft w:val="0"/>
      <w:marRight w:val="0"/>
      <w:marTop w:val="0"/>
      <w:marBottom w:val="0"/>
      <w:divBdr>
        <w:top w:val="none" w:sz="0" w:space="0" w:color="auto"/>
        <w:left w:val="none" w:sz="0" w:space="0" w:color="auto"/>
        <w:bottom w:val="none" w:sz="0" w:space="0" w:color="auto"/>
        <w:right w:val="none" w:sz="0" w:space="0" w:color="auto"/>
      </w:divBdr>
    </w:div>
    <w:div w:id="1491865618">
      <w:bodyDiv w:val="1"/>
      <w:marLeft w:val="0"/>
      <w:marRight w:val="0"/>
      <w:marTop w:val="0"/>
      <w:marBottom w:val="0"/>
      <w:divBdr>
        <w:top w:val="none" w:sz="0" w:space="0" w:color="auto"/>
        <w:left w:val="none" w:sz="0" w:space="0" w:color="auto"/>
        <w:bottom w:val="none" w:sz="0" w:space="0" w:color="auto"/>
        <w:right w:val="none" w:sz="0" w:space="0" w:color="auto"/>
      </w:divBdr>
    </w:div>
    <w:div w:id="1603609659">
      <w:bodyDiv w:val="1"/>
      <w:marLeft w:val="0"/>
      <w:marRight w:val="0"/>
      <w:marTop w:val="0"/>
      <w:marBottom w:val="0"/>
      <w:divBdr>
        <w:top w:val="none" w:sz="0" w:space="0" w:color="auto"/>
        <w:left w:val="none" w:sz="0" w:space="0" w:color="auto"/>
        <w:bottom w:val="none" w:sz="0" w:space="0" w:color="auto"/>
        <w:right w:val="none" w:sz="0" w:space="0" w:color="auto"/>
      </w:divBdr>
    </w:div>
    <w:div w:id="1617440348">
      <w:bodyDiv w:val="1"/>
      <w:marLeft w:val="0"/>
      <w:marRight w:val="0"/>
      <w:marTop w:val="0"/>
      <w:marBottom w:val="0"/>
      <w:divBdr>
        <w:top w:val="none" w:sz="0" w:space="0" w:color="auto"/>
        <w:left w:val="none" w:sz="0" w:space="0" w:color="auto"/>
        <w:bottom w:val="none" w:sz="0" w:space="0" w:color="auto"/>
        <w:right w:val="none" w:sz="0" w:space="0" w:color="auto"/>
      </w:divBdr>
    </w:div>
    <w:div w:id="20117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Shankar</cp:lastModifiedBy>
  <cp:revision>8</cp:revision>
  <cp:lastPrinted>2014-06-23T04:29:00Z</cp:lastPrinted>
  <dcterms:created xsi:type="dcterms:W3CDTF">2016-01-12T18:39:00Z</dcterms:created>
  <dcterms:modified xsi:type="dcterms:W3CDTF">2016-01-19T16:40:00Z</dcterms:modified>
  <cp:category/>
</cp:coreProperties>
</file>