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0B7626">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AE02B4">
            <w:pPr>
              <w:pStyle w:val="Heading2"/>
              <w:keepNext w:val="0"/>
              <w:widowControl w:val="0"/>
              <w:numPr>
                <w:ilvl w:val="0"/>
                <w:numId w:val="37"/>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4868E6" w:rsidRDefault="004868E6" w:rsidP="00AE02B4">
            <w:pPr>
              <w:spacing w:before="240" w:afterLines="60" w:line="360" w:lineRule="auto"/>
              <w:jc w:val="both"/>
              <w:rPr>
                <w:rFonts w:ascii="Verdana" w:hAnsi="Verdana" w:cs="Arial"/>
                <w:sz w:val="20"/>
                <w:szCs w:val="20"/>
              </w:rPr>
            </w:pPr>
          </w:p>
          <w:p w:rsidR="00883258" w:rsidRPr="0037273A" w:rsidRDefault="00883258" w:rsidP="00AE02B4">
            <w:pPr>
              <w:spacing w:before="240" w:afterLines="60" w:line="360" w:lineRule="auto"/>
              <w:jc w:val="both"/>
              <w:rPr>
                <w:rFonts w:ascii="Verdana" w:hAnsi="Verdana" w:cs="Arial"/>
                <w:sz w:val="20"/>
                <w:szCs w:val="20"/>
              </w:rPr>
            </w:pPr>
          </w:p>
          <w:p w:rsidR="004868E6" w:rsidRPr="0037273A" w:rsidRDefault="004868E6" w:rsidP="00AE02B4">
            <w:pPr>
              <w:spacing w:before="240" w:afterLines="60" w:line="360" w:lineRule="auto"/>
              <w:jc w:val="both"/>
              <w:rPr>
                <w:rFonts w:ascii="Verdana" w:hAnsi="Verdana" w:cs="Arial"/>
                <w:sz w:val="20"/>
                <w:szCs w:val="20"/>
              </w:rPr>
            </w:pPr>
          </w:p>
        </w:tc>
      </w:tr>
    </w:tbl>
    <w:p w:rsidR="00B60837" w:rsidRPr="0037273A" w:rsidRDefault="00B60837" w:rsidP="00AE02B4">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AE02B4">
            <w:pPr>
              <w:pStyle w:val="Heading2"/>
              <w:keepNext w:val="0"/>
              <w:widowControl w:val="0"/>
              <w:numPr>
                <w:ilvl w:val="0"/>
                <w:numId w:val="37"/>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AE02B4">
            <w:pPr>
              <w:pStyle w:val="Heading2"/>
              <w:keepNext w:val="0"/>
              <w:widowControl w:val="0"/>
              <w:numPr>
                <w:ilvl w:val="0"/>
                <w:numId w:val="37"/>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BA0488" w:rsidRDefault="00BA0488" w:rsidP="00BA0488">
            <w:pPr>
              <w:pStyle w:val="Heading2"/>
              <w:numPr>
                <w:ilvl w:val="0"/>
                <w:numId w:val="37"/>
              </w:numPr>
              <w:spacing w:after="120" w:line="360" w:lineRule="auto"/>
              <w:rPr>
                <w:b/>
                <w:sz w:val="20"/>
                <w:szCs w:val="20"/>
              </w:rPr>
            </w:pPr>
            <w:r w:rsidRPr="00BA0488">
              <w:rPr>
                <w:b/>
                <w:sz w:val="20"/>
              </w:rPr>
              <w:lastRenderedPageBreak/>
              <w:t>Where there is a Change of Measurement Class (</w:t>
            </w:r>
            <w:proofErr w:type="spellStart"/>
            <w:r w:rsidRPr="00BA0488">
              <w:rPr>
                <w:b/>
                <w:sz w:val="20"/>
              </w:rPr>
              <w:t>CoMC</w:t>
            </w:r>
            <w:proofErr w:type="spellEnd"/>
            <w:r w:rsidRPr="00BA0488">
              <w:rPr>
                <w:b/>
                <w:sz w:val="20"/>
              </w:rPr>
              <w:t xml:space="preserve">) currently the proposal is for DCUSA to state that the Supplier should provide the DNO with notification of the proposed tariff associated with the Change of Measurement Class within 5 working days of the </w:t>
            </w:r>
            <w:proofErr w:type="spellStart"/>
            <w:r w:rsidRPr="00BA0488">
              <w:rPr>
                <w:b/>
                <w:sz w:val="20"/>
              </w:rPr>
              <w:t>CoMC</w:t>
            </w:r>
            <w:proofErr w:type="spellEnd"/>
            <w:r w:rsidRPr="00BA0488">
              <w:rPr>
                <w:b/>
                <w:sz w:val="20"/>
              </w:rPr>
              <w:t>. Do you agree with the proposer that tariff information should be provided within 5 working days?</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BA0488" w:rsidRDefault="00BA0488" w:rsidP="00BA0488">
            <w:pPr>
              <w:pStyle w:val="Heading2"/>
              <w:numPr>
                <w:ilvl w:val="0"/>
                <w:numId w:val="37"/>
              </w:numPr>
              <w:spacing w:after="120" w:line="360" w:lineRule="auto"/>
              <w:rPr>
                <w:b/>
                <w:sz w:val="20"/>
                <w:szCs w:val="20"/>
              </w:rPr>
            </w:pPr>
            <w:r w:rsidRPr="00BA0488">
              <w:rPr>
                <w:b/>
                <w:sz w:val="20"/>
              </w:rPr>
              <w:t xml:space="preserve">Should a process be defined in DCUSA for the provision of notification of the proposed tariff associated with a Change of Measurement Class to DNOs? </w:t>
            </w:r>
            <w:proofErr w:type="gramStart"/>
            <w:r w:rsidRPr="00BA0488">
              <w:rPr>
                <w:b/>
                <w:sz w:val="20"/>
              </w:rPr>
              <w:t>For instance, via spreadsheet?</w:t>
            </w:r>
            <w:proofErr w:type="gramEnd"/>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BA0488" w:rsidRDefault="00BA0488" w:rsidP="00BA0488">
            <w:pPr>
              <w:pStyle w:val="ListParagraph"/>
              <w:numPr>
                <w:ilvl w:val="0"/>
                <w:numId w:val="37"/>
              </w:numPr>
              <w:spacing w:before="120" w:after="120" w:line="360" w:lineRule="auto"/>
              <w:rPr>
                <w:b/>
                <w:sz w:val="20"/>
                <w:szCs w:val="20"/>
              </w:rPr>
            </w:pPr>
            <w:r w:rsidRPr="00BA0488">
              <w:rPr>
                <w:rFonts w:ascii="Verdana" w:hAnsi="Verdana" w:cs="Arial"/>
                <w:b/>
                <w:bCs/>
                <w:iCs/>
                <w:sz w:val="20"/>
                <w:szCs w:val="28"/>
              </w:rPr>
              <w:t>Suppliers: The Working Group would like to gain an understanding of the volumes of notifications expected. Do you foresee making notifications on a daily basis (high volume), weekly basis (medium volume) or an as and when basis (low volume)?</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CB11AD" w:rsidRPr="004868E6" w:rsidRDefault="00CB11AD" w:rsidP="00CB11AD">
      <w:pPr>
        <w:spacing w:before="240"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BA0488" w:rsidRDefault="00BA0488" w:rsidP="00BA0488">
            <w:pPr>
              <w:pStyle w:val="ListParagraph"/>
              <w:numPr>
                <w:ilvl w:val="0"/>
                <w:numId w:val="37"/>
              </w:numPr>
              <w:spacing w:before="240" w:after="120" w:line="360" w:lineRule="auto"/>
              <w:rPr>
                <w:rFonts w:ascii="Verdana" w:hAnsi="Verdana"/>
                <w:b/>
                <w:sz w:val="20"/>
                <w:szCs w:val="20"/>
              </w:rPr>
            </w:pPr>
            <w:r w:rsidRPr="00BA0488">
              <w:rPr>
                <w:rFonts w:ascii="Verdana" w:hAnsi="Verdana" w:cs="Arial"/>
                <w:b/>
                <w:bCs/>
                <w:iCs/>
                <w:sz w:val="20"/>
                <w:szCs w:val="28"/>
              </w:rPr>
              <w:t xml:space="preserve">The draft legal text proposes to remove the CDCM model number from the DCUSA and state that the latest version of the model should be </w:t>
            </w:r>
            <w:r w:rsidRPr="00BA0488">
              <w:rPr>
                <w:rFonts w:ascii="Verdana" w:hAnsi="Verdana" w:cs="Arial"/>
                <w:b/>
                <w:bCs/>
                <w:iCs/>
                <w:sz w:val="20"/>
                <w:szCs w:val="28"/>
              </w:rPr>
              <w:lastRenderedPageBreak/>
              <w:t>used. Do you agree with this proposal? If not, should the existing wording be retained and the model number incremented each time there is a model change or do you have an alternative method for maintaining the version number?</w:t>
            </w:r>
          </w:p>
        </w:tc>
      </w:tr>
      <w:tr w:rsidR="00B60837" w:rsidRPr="004868E6" w:rsidTr="00C529E4">
        <w:trPr>
          <w:trHeight w:val="1611"/>
        </w:trPr>
        <w:tc>
          <w:tcPr>
            <w:tcW w:w="8528" w:type="dxa"/>
          </w:tcPr>
          <w:p w:rsidR="00B60837" w:rsidRDefault="00B60837" w:rsidP="009C54DE">
            <w:pPr>
              <w:spacing w:after="120"/>
              <w:jc w:val="both"/>
              <w:rPr>
                <w:rFonts w:ascii="Verdana" w:hAnsi="Verdana" w:cs="Arial"/>
                <w:b/>
                <w:sz w:val="20"/>
                <w:szCs w:val="20"/>
              </w:rPr>
            </w:pPr>
          </w:p>
          <w:p w:rsidR="00CB11AD" w:rsidRPr="004868E6" w:rsidRDefault="00CB11AD" w:rsidP="009C54DE">
            <w:pPr>
              <w:spacing w:after="120"/>
              <w:jc w:val="both"/>
              <w:rPr>
                <w:rFonts w:ascii="Verdana" w:hAnsi="Verdana" w:cs="Arial"/>
                <w:b/>
                <w:sz w:val="20"/>
                <w:szCs w:val="20"/>
              </w:rPr>
            </w:pPr>
          </w:p>
        </w:tc>
      </w:tr>
    </w:tbl>
    <w:p w:rsidR="00CB11AD" w:rsidRDefault="00CB11AD"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C278FA" w:rsidRPr="00BA0488" w:rsidRDefault="00BA0488" w:rsidP="00BA0488">
            <w:pPr>
              <w:pStyle w:val="ListParagraph"/>
              <w:numPr>
                <w:ilvl w:val="0"/>
                <w:numId w:val="37"/>
              </w:numPr>
              <w:spacing w:before="240" w:after="120" w:line="360" w:lineRule="auto"/>
              <w:rPr>
                <w:rFonts w:ascii="Verdana" w:hAnsi="Verdana"/>
                <w:sz w:val="20"/>
                <w:szCs w:val="20"/>
              </w:rPr>
            </w:pPr>
            <w:r w:rsidRPr="00BA0488">
              <w:rPr>
                <w:rFonts w:ascii="Verdana" w:hAnsi="Verdana" w:cs="Arial"/>
                <w:b/>
                <w:bCs/>
                <w:iCs/>
                <w:sz w:val="20"/>
                <w:szCs w:val="28"/>
              </w:rPr>
              <w:t>Should ‘HH site specific’ and ‘HH aggregated’ be defined within DCUSA or is this covered off within the BSC by the definition for each Measurement Class?</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BA0488" w:rsidRDefault="00BA0488" w:rsidP="00BA0488">
            <w:pPr>
              <w:pStyle w:val="ListParagraph"/>
              <w:numPr>
                <w:ilvl w:val="0"/>
                <w:numId w:val="37"/>
              </w:numPr>
              <w:tabs>
                <w:tab w:val="num" w:pos="1134"/>
              </w:tabs>
              <w:spacing w:before="240" w:after="120" w:line="360" w:lineRule="auto"/>
              <w:rPr>
                <w:rFonts w:ascii="Verdana" w:hAnsi="Verdana"/>
                <w:sz w:val="20"/>
                <w:szCs w:val="20"/>
              </w:rPr>
            </w:pPr>
            <w:r w:rsidRPr="00BA0488">
              <w:rPr>
                <w:rFonts w:ascii="Verdana" w:hAnsi="Verdana" w:cs="Arial"/>
                <w:b/>
                <w:bCs/>
                <w:iCs/>
                <w:sz w:val="20"/>
                <w:szCs w:val="28"/>
              </w:rPr>
              <w:t>DCP 151 is an interim solution that will allow for the new Measurement Classes introduced by P280 to be used. Would you prefer to wait for the conclusions of the MIG NHH/HH (MIG 22) subgroup before establishing an enduring solution or proceed with implementing DCP 151? Please provide your rationale.</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BA0488" w:rsidRDefault="00BA0488" w:rsidP="00BA0488">
            <w:pPr>
              <w:pStyle w:val="ListParagraph"/>
              <w:numPr>
                <w:ilvl w:val="0"/>
                <w:numId w:val="37"/>
              </w:numPr>
              <w:spacing w:before="240" w:after="120" w:line="360" w:lineRule="auto"/>
              <w:rPr>
                <w:rFonts w:ascii="Verdana" w:hAnsi="Verdana"/>
                <w:b/>
                <w:sz w:val="20"/>
                <w:szCs w:val="20"/>
              </w:rPr>
            </w:pPr>
            <w:r>
              <w:rPr>
                <w:rFonts w:ascii="Verdana" w:hAnsi="Verdana" w:cs="Arial"/>
                <w:b/>
                <w:bCs/>
                <w:iCs/>
                <w:sz w:val="20"/>
                <w:szCs w:val="28"/>
              </w:rPr>
              <w:t xml:space="preserve"> </w:t>
            </w:r>
            <w:r w:rsidRPr="00BA0488">
              <w:rPr>
                <w:rFonts w:ascii="Verdana" w:hAnsi="Verdana" w:cs="Arial"/>
                <w:b/>
                <w:bCs/>
                <w:iCs/>
                <w:sz w:val="20"/>
                <w:szCs w:val="28"/>
              </w:rPr>
              <w:t xml:space="preserve">In addition to the work of the MIG NHH/HH subgroup, are you aware of any other wider industry developments that may impact upon or be impacted by this CP?  If so, please give details, and comment on </w:t>
            </w:r>
            <w:r w:rsidRPr="00BA0488">
              <w:rPr>
                <w:rFonts w:ascii="Verdana" w:hAnsi="Verdana" w:cs="Arial"/>
                <w:b/>
                <w:bCs/>
                <w:iCs/>
                <w:sz w:val="20"/>
                <w:szCs w:val="28"/>
              </w:rPr>
              <w:lastRenderedPageBreak/>
              <w:t>whether the benefit of the change may outweigh the potential impact and whether the duration of the change is likely to be limited.</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BA0488" w:rsidRPr="00BA0488" w:rsidRDefault="00BA0488" w:rsidP="00BA0488">
            <w:pPr>
              <w:pStyle w:val="ListParagraph"/>
              <w:numPr>
                <w:ilvl w:val="0"/>
                <w:numId w:val="37"/>
              </w:numPr>
              <w:spacing w:before="240" w:after="120" w:line="360" w:lineRule="auto"/>
              <w:rPr>
                <w:rFonts w:ascii="Verdana" w:hAnsi="Verdana" w:cs="Arial"/>
                <w:b/>
                <w:bCs/>
                <w:iCs/>
                <w:sz w:val="20"/>
                <w:szCs w:val="28"/>
              </w:rPr>
            </w:pPr>
            <w:r w:rsidRPr="00BA0488">
              <w:rPr>
                <w:rFonts w:ascii="Verdana" w:hAnsi="Verdana" w:cs="Arial"/>
                <w:b/>
                <w:bCs/>
                <w:iCs/>
                <w:sz w:val="20"/>
                <w:szCs w:val="28"/>
              </w:rPr>
              <w:t xml:space="preserve">   Assuming that P280 is accepted and implemented, the options are:</w:t>
            </w:r>
          </w:p>
          <w:p w:rsidR="00BA0488" w:rsidRPr="00BA0488" w:rsidRDefault="00BA0488" w:rsidP="00BA0488">
            <w:pPr>
              <w:pStyle w:val="Heading2"/>
              <w:keepNext w:val="0"/>
              <w:widowControl w:val="0"/>
              <w:numPr>
                <w:ilvl w:val="0"/>
                <w:numId w:val="38"/>
              </w:numPr>
              <w:spacing w:before="60" w:line="360" w:lineRule="auto"/>
              <w:rPr>
                <w:b/>
                <w:sz w:val="20"/>
              </w:rPr>
            </w:pPr>
            <w:r w:rsidRPr="00BA0488">
              <w:rPr>
                <w:b/>
                <w:sz w:val="20"/>
              </w:rPr>
              <w:t>The use of the DCP 151 solution</w:t>
            </w:r>
          </w:p>
          <w:p w:rsidR="00BA0488" w:rsidRPr="00BA0488" w:rsidRDefault="00BA0488" w:rsidP="00BA0488">
            <w:pPr>
              <w:pStyle w:val="Heading2"/>
              <w:keepNext w:val="0"/>
              <w:widowControl w:val="0"/>
              <w:numPr>
                <w:ilvl w:val="0"/>
                <w:numId w:val="38"/>
              </w:numPr>
              <w:spacing w:before="60" w:line="360" w:lineRule="auto"/>
              <w:rPr>
                <w:b/>
                <w:sz w:val="20"/>
              </w:rPr>
            </w:pPr>
            <w:r w:rsidRPr="00BA0488">
              <w:rPr>
                <w:b/>
                <w:sz w:val="20"/>
              </w:rPr>
              <w:t>Not using the new Measurement Classes introduced by P280 as there would be no tariffs associated with them</w:t>
            </w:r>
          </w:p>
          <w:p w:rsidR="00BA0488" w:rsidRPr="00BA0488" w:rsidRDefault="00BA0488" w:rsidP="00BA0488">
            <w:pPr>
              <w:pStyle w:val="Heading2"/>
              <w:keepNext w:val="0"/>
              <w:widowControl w:val="0"/>
              <w:numPr>
                <w:ilvl w:val="0"/>
                <w:numId w:val="38"/>
              </w:numPr>
              <w:spacing w:before="60" w:line="360" w:lineRule="auto"/>
              <w:rPr>
                <w:b/>
                <w:sz w:val="20"/>
              </w:rPr>
            </w:pPr>
            <w:r w:rsidRPr="00BA0488">
              <w:rPr>
                <w:b/>
                <w:sz w:val="20"/>
              </w:rPr>
              <w:t>An alternative option (please define how this alternative would work)</w:t>
            </w:r>
          </w:p>
          <w:p w:rsidR="00BA0488" w:rsidRPr="00BA0488" w:rsidRDefault="00BA0488" w:rsidP="00BA0488">
            <w:pPr>
              <w:pStyle w:val="ListParagraph"/>
              <w:spacing w:before="240" w:after="120" w:line="360" w:lineRule="auto"/>
              <w:ind w:left="360"/>
              <w:rPr>
                <w:rFonts w:ascii="Verdana" w:hAnsi="Verdana"/>
                <w:b/>
                <w:sz w:val="20"/>
                <w:szCs w:val="20"/>
              </w:rPr>
            </w:pPr>
            <w:r w:rsidRPr="00BA0488">
              <w:rPr>
                <w:rFonts w:ascii="Verdana" w:hAnsi="Verdana" w:cs="Arial"/>
                <w:b/>
                <w:bCs/>
                <w:iCs/>
                <w:sz w:val="20"/>
                <w:szCs w:val="28"/>
              </w:rPr>
              <w:t>To support the working group in performing a cost benefit analysis, can you please list the pros and cons that you believe are associated with the above options.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94DE2" w:rsidRDefault="00C94DE2" w:rsidP="00C94DE2">
            <w:pPr>
              <w:pStyle w:val="ListParagraph"/>
              <w:numPr>
                <w:ilvl w:val="0"/>
                <w:numId w:val="37"/>
              </w:numPr>
              <w:spacing w:before="240" w:after="120" w:line="360" w:lineRule="auto"/>
              <w:rPr>
                <w:rFonts w:ascii="Verdana" w:hAnsi="Verdana"/>
                <w:b/>
                <w:sz w:val="20"/>
                <w:szCs w:val="20"/>
              </w:rPr>
            </w:pPr>
            <w:r>
              <w:rPr>
                <w:rFonts w:ascii="Verdana" w:hAnsi="Verdana" w:cs="Arial"/>
                <w:b/>
                <w:bCs/>
                <w:iCs/>
                <w:sz w:val="20"/>
                <w:szCs w:val="28"/>
              </w:rPr>
              <w:t xml:space="preserve"> </w:t>
            </w:r>
            <w:r w:rsidRPr="00C94DE2">
              <w:rPr>
                <w:rFonts w:ascii="Verdana" w:hAnsi="Verdana" w:cs="Arial"/>
                <w:b/>
                <w:bCs/>
                <w:iCs/>
                <w:sz w:val="20"/>
                <w:szCs w:val="28"/>
              </w:rPr>
              <w:t>Do you have any comments on the proposed legal text?</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BA0488" w:rsidRDefault="00BA048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A0488" w:rsidRPr="004868E6" w:rsidTr="00FF1CE3">
        <w:tc>
          <w:tcPr>
            <w:tcW w:w="8528" w:type="dxa"/>
            <w:shd w:val="clear" w:color="auto" w:fill="D9D9D9" w:themeFill="background1" w:themeFillShade="D9"/>
          </w:tcPr>
          <w:p w:rsidR="00BA0488" w:rsidRPr="00C94DE2" w:rsidRDefault="00C94DE2" w:rsidP="00C94DE2">
            <w:pPr>
              <w:pStyle w:val="ListParagraph"/>
              <w:numPr>
                <w:ilvl w:val="0"/>
                <w:numId w:val="37"/>
              </w:numPr>
              <w:spacing w:before="240" w:after="120" w:line="360" w:lineRule="auto"/>
              <w:rPr>
                <w:rFonts w:ascii="Verdana" w:hAnsi="Verdana"/>
                <w:b/>
                <w:sz w:val="20"/>
                <w:szCs w:val="20"/>
              </w:rPr>
            </w:pPr>
            <w:r>
              <w:rPr>
                <w:rFonts w:ascii="Verdana" w:hAnsi="Verdana" w:cs="Arial"/>
                <w:b/>
                <w:bCs/>
                <w:iCs/>
                <w:sz w:val="20"/>
                <w:szCs w:val="28"/>
              </w:rPr>
              <w:t xml:space="preserve"> </w:t>
            </w:r>
            <w:r w:rsidRPr="00C94DE2">
              <w:rPr>
                <w:rFonts w:ascii="Verdana" w:hAnsi="Verdana" w:cs="Arial"/>
                <w:b/>
                <w:bCs/>
                <w:iCs/>
                <w:sz w:val="20"/>
                <w:szCs w:val="28"/>
              </w:rPr>
              <w:t>Are there any alternative solutions or matters that should be considered by the Working Group?</w:t>
            </w:r>
          </w:p>
        </w:tc>
      </w:tr>
      <w:tr w:rsidR="00BA0488" w:rsidRPr="004868E6" w:rsidTr="00FF1CE3">
        <w:trPr>
          <w:trHeight w:val="1611"/>
        </w:trPr>
        <w:tc>
          <w:tcPr>
            <w:tcW w:w="8528" w:type="dxa"/>
          </w:tcPr>
          <w:p w:rsidR="00BA0488" w:rsidRPr="004868E6" w:rsidRDefault="00BA0488" w:rsidP="00FF1CE3">
            <w:pPr>
              <w:spacing w:after="120"/>
              <w:jc w:val="both"/>
              <w:rPr>
                <w:rFonts w:ascii="Verdana" w:hAnsi="Verdana" w:cs="Arial"/>
                <w:b/>
                <w:sz w:val="20"/>
                <w:szCs w:val="20"/>
              </w:rPr>
            </w:pPr>
          </w:p>
        </w:tc>
      </w:tr>
    </w:tbl>
    <w:p w:rsidR="00BA0488" w:rsidRDefault="00BA0488" w:rsidP="00F535B6">
      <w:pPr>
        <w:spacing w:after="120"/>
        <w:jc w:val="both"/>
        <w:rPr>
          <w:rFonts w:ascii="Verdana" w:hAnsi="Verdana" w:cs="Arial"/>
          <w:b/>
          <w:sz w:val="20"/>
          <w:szCs w:val="20"/>
        </w:rPr>
      </w:pPr>
    </w:p>
    <w:p w:rsidR="00BA0488" w:rsidRDefault="00BA048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A0488" w:rsidRPr="004868E6" w:rsidTr="00FF1CE3">
        <w:tc>
          <w:tcPr>
            <w:tcW w:w="8528" w:type="dxa"/>
            <w:shd w:val="clear" w:color="auto" w:fill="D9D9D9" w:themeFill="background1" w:themeFillShade="D9"/>
          </w:tcPr>
          <w:p w:rsidR="00BA0488" w:rsidRPr="00C94DE2" w:rsidRDefault="00C94DE2" w:rsidP="00C94DE2">
            <w:pPr>
              <w:pStyle w:val="ListParagraph"/>
              <w:numPr>
                <w:ilvl w:val="0"/>
                <w:numId w:val="37"/>
              </w:numPr>
              <w:spacing w:before="240" w:after="120" w:line="360" w:lineRule="auto"/>
              <w:rPr>
                <w:rFonts w:ascii="Verdana" w:hAnsi="Verdana"/>
                <w:b/>
                <w:sz w:val="20"/>
                <w:szCs w:val="20"/>
              </w:rPr>
            </w:pPr>
            <w:r w:rsidRPr="00C94DE2">
              <w:rPr>
                <w:rFonts w:ascii="Verdana" w:hAnsi="Verdana"/>
                <w:b/>
                <w:sz w:val="20"/>
                <w:szCs w:val="20"/>
              </w:rPr>
              <w:t xml:space="preserve"> Are you supportive of the proposed implementation date of 1 October 2013?</w:t>
            </w:r>
          </w:p>
        </w:tc>
      </w:tr>
      <w:tr w:rsidR="00BA0488" w:rsidRPr="004868E6" w:rsidTr="00FF1CE3">
        <w:trPr>
          <w:trHeight w:val="1611"/>
        </w:trPr>
        <w:tc>
          <w:tcPr>
            <w:tcW w:w="8528" w:type="dxa"/>
          </w:tcPr>
          <w:p w:rsidR="00BA0488" w:rsidRPr="004868E6" w:rsidRDefault="00BA0488" w:rsidP="00FF1CE3">
            <w:pPr>
              <w:spacing w:after="120"/>
              <w:jc w:val="both"/>
              <w:rPr>
                <w:rFonts w:ascii="Verdana" w:hAnsi="Verdana" w:cs="Arial"/>
                <w:b/>
                <w:sz w:val="20"/>
                <w:szCs w:val="20"/>
              </w:rPr>
            </w:pPr>
          </w:p>
        </w:tc>
      </w:tr>
    </w:tbl>
    <w:p w:rsidR="00BA0488" w:rsidRDefault="00BA0488" w:rsidP="00F535B6">
      <w:pPr>
        <w:spacing w:after="120"/>
        <w:jc w:val="both"/>
        <w:rPr>
          <w:rFonts w:ascii="Verdana" w:hAnsi="Verdana" w:cs="Arial"/>
          <w:b/>
          <w:sz w:val="20"/>
          <w:szCs w:val="20"/>
        </w:rPr>
      </w:pPr>
    </w:p>
    <w:p w:rsidR="00BA0488" w:rsidRDefault="00BA048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A0488" w:rsidRPr="004868E6" w:rsidTr="00FF1CE3">
        <w:tc>
          <w:tcPr>
            <w:tcW w:w="8528" w:type="dxa"/>
            <w:shd w:val="clear" w:color="auto" w:fill="D9D9D9" w:themeFill="background1" w:themeFillShade="D9"/>
          </w:tcPr>
          <w:p w:rsidR="00BA0488" w:rsidRPr="00C94DE2" w:rsidRDefault="00C94DE2" w:rsidP="00C94DE2">
            <w:pPr>
              <w:pStyle w:val="ListParagraph"/>
              <w:numPr>
                <w:ilvl w:val="0"/>
                <w:numId w:val="37"/>
              </w:numPr>
              <w:spacing w:before="240" w:after="120" w:line="360" w:lineRule="auto"/>
              <w:rPr>
                <w:rFonts w:ascii="Verdana" w:hAnsi="Verdana"/>
                <w:b/>
                <w:sz w:val="20"/>
                <w:szCs w:val="20"/>
              </w:rPr>
            </w:pPr>
            <w:r>
              <w:rPr>
                <w:rFonts w:ascii="Verdana" w:hAnsi="Verdana"/>
                <w:b/>
                <w:sz w:val="20"/>
                <w:szCs w:val="20"/>
              </w:rPr>
              <w:t xml:space="preserve"> </w:t>
            </w:r>
            <w:r w:rsidRPr="00C94DE2">
              <w:rPr>
                <w:rFonts w:ascii="Verdana" w:hAnsi="Verdana"/>
                <w:b/>
                <w:sz w:val="20"/>
                <w:szCs w:val="20"/>
              </w:rPr>
              <w:t>Do you have any further comments?</w:t>
            </w:r>
          </w:p>
        </w:tc>
      </w:tr>
      <w:tr w:rsidR="00BA0488" w:rsidRPr="004868E6" w:rsidTr="00FF1CE3">
        <w:trPr>
          <w:trHeight w:val="1611"/>
        </w:trPr>
        <w:tc>
          <w:tcPr>
            <w:tcW w:w="8528" w:type="dxa"/>
          </w:tcPr>
          <w:p w:rsidR="00BA0488" w:rsidRPr="004868E6" w:rsidRDefault="00BA0488" w:rsidP="00FF1CE3">
            <w:pPr>
              <w:spacing w:after="120"/>
              <w:jc w:val="both"/>
              <w:rPr>
                <w:rFonts w:ascii="Verdana" w:hAnsi="Verdana" w:cs="Arial"/>
                <w:b/>
                <w:sz w:val="20"/>
                <w:szCs w:val="20"/>
              </w:rPr>
            </w:pPr>
          </w:p>
        </w:tc>
      </w:tr>
    </w:tbl>
    <w:p w:rsidR="00BA0488" w:rsidRDefault="00BA0488" w:rsidP="00F535B6">
      <w:pPr>
        <w:spacing w:after="120"/>
        <w:jc w:val="both"/>
        <w:rPr>
          <w:rFonts w:ascii="Verdana" w:hAnsi="Verdana" w:cs="Arial"/>
          <w:b/>
          <w:sz w:val="20"/>
          <w:szCs w:val="20"/>
        </w:rPr>
      </w:pPr>
    </w:p>
    <w:p w:rsidR="00BA0488" w:rsidRDefault="00BA0488"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F339E1" w:rsidRPr="00D6632A">
        <w:rPr>
          <w:rFonts w:ascii="Verdana" w:hAnsi="Verdana" w:cs="Arial"/>
          <w:b/>
          <w:sz w:val="20"/>
          <w:szCs w:val="20"/>
        </w:rPr>
        <w:t xml:space="preserve">Friday </w:t>
      </w:r>
      <w:r w:rsidR="00D6632A" w:rsidRPr="00D6632A">
        <w:rPr>
          <w:rFonts w:ascii="Verdana" w:hAnsi="Verdana" w:cs="Arial"/>
          <w:b/>
          <w:sz w:val="20"/>
          <w:szCs w:val="20"/>
        </w:rPr>
        <w:t xml:space="preserve">21 September </w:t>
      </w:r>
      <w:r w:rsidR="008D3849" w:rsidRPr="00D6632A">
        <w:rPr>
          <w:rFonts w:ascii="Verdana" w:hAnsi="Verdana" w:cs="Arial"/>
          <w:b/>
          <w:sz w:val="20"/>
          <w:szCs w:val="20"/>
        </w:rPr>
        <w:t>2012.</w:t>
      </w:r>
      <w:r w:rsidR="008D3849">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C94DE2">
    <w:pPr>
      <w:pStyle w:val="Footer"/>
      <w:rPr>
        <w:rFonts w:ascii="Verdana" w:hAnsi="Verdana"/>
        <w:sz w:val="16"/>
        <w:szCs w:val="16"/>
      </w:rPr>
    </w:pPr>
    <w:r>
      <w:rPr>
        <w:rFonts w:ascii="Verdana" w:hAnsi="Verdana"/>
        <w:sz w:val="16"/>
        <w:szCs w:val="16"/>
      </w:rPr>
      <w:t xml:space="preserve">3 September </w:t>
    </w:r>
    <w:r w:rsidR="00813CAC">
      <w:rPr>
        <w:rFonts w:ascii="Verdana" w:hAnsi="Verdana"/>
        <w:sz w:val="16"/>
        <w:szCs w:val="16"/>
      </w:rPr>
      <w:t>2012</w:t>
    </w:r>
    <w:r w:rsidR="00DF6C61" w:rsidRPr="001D2E58">
      <w:rPr>
        <w:rFonts w:ascii="Verdana" w:hAnsi="Verdana"/>
        <w:sz w:val="16"/>
        <w:szCs w:val="16"/>
      </w:rPr>
      <w:tab/>
      <w:t xml:space="preserve">Page </w:t>
    </w:r>
    <w:r w:rsidR="00AD408A"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AD408A" w:rsidRPr="001D2E58">
      <w:rPr>
        <w:rFonts w:ascii="Verdana" w:hAnsi="Verdana"/>
        <w:sz w:val="16"/>
        <w:szCs w:val="16"/>
      </w:rPr>
      <w:fldChar w:fldCharType="separate"/>
    </w:r>
    <w:r w:rsidR="00A74392">
      <w:rPr>
        <w:rFonts w:ascii="Verdana" w:hAnsi="Verdana"/>
        <w:noProof/>
        <w:sz w:val="16"/>
        <w:szCs w:val="16"/>
      </w:rPr>
      <w:t>6</w:t>
    </w:r>
    <w:r w:rsidR="00AD408A" w:rsidRPr="001D2E58">
      <w:rPr>
        <w:rFonts w:ascii="Verdana" w:hAnsi="Verdana"/>
        <w:sz w:val="16"/>
        <w:szCs w:val="16"/>
      </w:rPr>
      <w:fldChar w:fldCharType="end"/>
    </w:r>
    <w:r w:rsidR="00DF6C61" w:rsidRPr="001D2E58">
      <w:rPr>
        <w:rFonts w:ascii="Verdana" w:hAnsi="Verdana"/>
        <w:sz w:val="16"/>
        <w:szCs w:val="16"/>
      </w:rPr>
      <w:t xml:space="preserve"> of </w:t>
    </w:r>
    <w:r w:rsidR="00AD408A"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AD408A" w:rsidRPr="001D2E58">
      <w:rPr>
        <w:rFonts w:ascii="Verdana" w:hAnsi="Verdana"/>
        <w:sz w:val="16"/>
        <w:szCs w:val="16"/>
      </w:rPr>
      <w:fldChar w:fldCharType="separate"/>
    </w:r>
    <w:r w:rsidR="00A74392">
      <w:rPr>
        <w:rFonts w:ascii="Verdana" w:hAnsi="Verdana"/>
        <w:noProof/>
        <w:sz w:val="16"/>
        <w:szCs w:val="16"/>
      </w:rPr>
      <w:t>6</w:t>
    </w:r>
    <w:r w:rsidR="00AD408A"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BA0488">
      <w:rPr>
        <w:rFonts w:ascii="Verdana" w:hAnsi="Verdana"/>
        <w:sz w:val="16"/>
        <w:szCs w:val="16"/>
      </w:rPr>
      <w:t>151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A4664B"/>
    <w:multiLevelType w:val="hybridMultilevel"/>
    <w:tmpl w:val="207A422C"/>
    <w:lvl w:ilvl="0" w:tplc="075A7A06">
      <w:start w:val="1"/>
      <w:numFmt w:val="decimal"/>
      <w:lvlText w:val="%1"/>
      <w:lvlJc w:val="left"/>
      <w:pPr>
        <w:ind w:left="1296" w:hanging="360"/>
      </w:pPr>
      <w:rPr>
        <w:rFonts w:ascii="Verdana" w:eastAsia="Times New Roman" w:hAnsi="Verdana" w:cs="Arial"/>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0">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203697"/>
    <w:multiLevelType w:val="hybridMultilevel"/>
    <w:tmpl w:val="ABA2EFAC"/>
    <w:lvl w:ilvl="0" w:tplc="45AA12A0">
      <w:start w:val="1"/>
      <w:numFmt w:val="decimal"/>
      <w:lvlText w:val="%1."/>
      <w:lvlJc w:val="left"/>
      <w:pPr>
        <w:ind w:left="360" w:hanging="360"/>
      </w:pPr>
      <w:rPr>
        <w:rFonts w:ascii="Verdana" w:hAnsi="Verdana"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7"/>
  </w:num>
  <w:num w:numId="4">
    <w:abstractNumId w:val="3"/>
  </w:num>
  <w:num w:numId="5">
    <w:abstractNumId w:val="6"/>
  </w:num>
  <w:num w:numId="6">
    <w:abstractNumId w:val="10"/>
  </w:num>
  <w:num w:numId="7">
    <w:abstractNumId w:val="0"/>
  </w:num>
  <w:num w:numId="8">
    <w:abstractNumId w:val="2"/>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
  </w:num>
  <w:num w:numId="25">
    <w:abstractNumId w:val="10"/>
  </w:num>
  <w:num w:numId="26">
    <w:abstractNumId w:val="11"/>
  </w:num>
  <w:num w:numId="27">
    <w:abstractNumId w:val="10"/>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2"/>
  </w:num>
  <w:num w:numId="33">
    <w:abstractNumId w:val="4"/>
  </w:num>
  <w:num w:numId="34">
    <w:abstractNumId w:val="10"/>
  </w:num>
  <w:num w:numId="35">
    <w:abstractNumId w:val="10"/>
  </w:num>
  <w:num w:numId="36">
    <w:abstractNumId w:val="10"/>
  </w:num>
  <w:num w:numId="37">
    <w:abstractNumId w:val="14"/>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26"/>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404B"/>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0FE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E621C"/>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849"/>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4392"/>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D408A"/>
    <w:rsid w:val="00AE02B4"/>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6E75"/>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488"/>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9F6"/>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DE2"/>
    <w:rsid w:val="00C94E5D"/>
    <w:rsid w:val="00CB0430"/>
    <w:rsid w:val="00CB11AD"/>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632A"/>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 w:type="paragraph" w:styleId="CommentText">
    <w:name w:val="annotation text"/>
    <w:basedOn w:val="Normal"/>
    <w:link w:val="CommentTextChar"/>
    <w:semiHidden/>
    <w:rsid w:val="00BA0488"/>
    <w:rPr>
      <w:sz w:val="20"/>
      <w:szCs w:val="20"/>
    </w:rPr>
  </w:style>
  <w:style w:type="character" w:customStyle="1" w:styleId="CommentTextChar">
    <w:name w:val="Comment Text Char"/>
    <w:basedOn w:val="DefaultParagraphFont"/>
    <w:link w:val="CommentText"/>
    <w:semiHidden/>
    <w:rsid w:val="00BA0488"/>
    <w:rPr>
      <w:sz w:val="20"/>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844</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hartleyr</cp:lastModifiedBy>
  <cp:revision>33</cp:revision>
  <cp:lastPrinted>2011-09-01T16:02:00Z</cp:lastPrinted>
  <dcterms:created xsi:type="dcterms:W3CDTF">2011-09-20T14:27:00Z</dcterms:created>
  <dcterms:modified xsi:type="dcterms:W3CDTF">2012-09-03T14:40:00Z</dcterms:modified>
</cp:coreProperties>
</file>