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7DB" w:rsidRPr="000F3D30" w:rsidRDefault="00851224">
      <w:pPr>
        <w:rPr>
          <w:rFonts w:ascii="Verdana" w:hAnsi="Verdana"/>
          <w:b/>
          <w:sz w:val="22"/>
          <w:szCs w:val="20"/>
        </w:rPr>
      </w:pPr>
      <w:r w:rsidRPr="000F3D30">
        <w:rPr>
          <w:rFonts w:ascii="Verdana" w:hAnsi="Verdana"/>
          <w:b/>
          <w:sz w:val="22"/>
          <w:szCs w:val="20"/>
        </w:rPr>
        <w:t xml:space="preserve">DCP 135 – Proposed Legal Text </w:t>
      </w:r>
    </w:p>
    <w:p w:rsidR="00851224" w:rsidRPr="000F3D30" w:rsidRDefault="00851224" w:rsidP="00851224">
      <w:pPr>
        <w:pStyle w:val="Default"/>
        <w:rPr>
          <w:sz w:val="22"/>
          <w:szCs w:val="20"/>
        </w:rPr>
      </w:pPr>
    </w:p>
    <w:p w:rsidR="000F3D30" w:rsidRPr="000F3D30" w:rsidRDefault="000F3D30" w:rsidP="00851224">
      <w:pPr>
        <w:pStyle w:val="Default"/>
        <w:rPr>
          <w:i/>
          <w:sz w:val="20"/>
          <w:szCs w:val="20"/>
        </w:rPr>
      </w:pPr>
      <w:r w:rsidRPr="000F3D30">
        <w:rPr>
          <w:i/>
          <w:sz w:val="20"/>
          <w:szCs w:val="20"/>
        </w:rPr>
        <w:t>It is suggested that the following text</w:t>
      </w:r>
      <w:r w:rsidRPr="000F3D30">
        <w:rPr>
          <w:sz w:val="20"/>
          <w:szCs w:val="20"/>
        </w:rPr>
        <w:t xml:space="preserve"> </w:t>
      </w:r>
      <w:r w:rsidRPr="000F3D30">
        <w:rPr>
          <w:i/>
          <w:sz w:val="20"/>
          <w:szCs w:val="20"/>
        </w:rPr>
        <w:t>be added to DCUSA Clause 19:</w:t>
      </w:r>
    </w:p>
    <w:p w:rsidR="000F3D30" w:rsidRDefault="000F3D30" w:rsidP="00851224">
      <w:pPr>
        <w:pStyle w:val="Default"/>
        <w:rPr>
          <w:sz w:val="20"/>
          <w:szCs w:val="20"/>
        </w:rPr>
      </w:pPr>
    </w:p>
    <w:p w:rsidR="000F3D30" w:rsidRDefault="000F3D30" w:rsidP="00851224">
      <w:pPr>
        <w:pStyle w:val="Default"/>
        <w:rPr>
          <w:sz w:val="20"/>
          <w:szCs w:val="20"/>
        </w:rPr>
      </w:pPr>
    </w:p>
    <w:p w:rsidR="00851224" w:rsidRPr="000F3D30" w:rsidRDefault="00851224" w:rsidP="00851224">
      <w:pPr>
        <w:pStyle w:val="Default"/>
        <w:rPr>
          <w:b/>
          <w:sz w:val="20"/>
          <w:szCs w:val="20"/>
        </w:rPr>
      </w:pPr>
      <w:r w:rsidRPr="000F3D30">
        <w:rPr>
          <w:b/>
          <w:sz w:val="20"/>
          <w:szCs w:val="20"/>
        </w:rPr>
        <w:t xml:space="preserve">Clause 19 </w:t>
      </w:r>
    </w:p>
    <w:p w:rsidR="00851224" w:rsidRPr="000F3D30" w:rsidRDefault="00851224" w:rsidP="00851224">
      <w:pPr>
        <w:pStyle w:val="Default"/>
        <w:rPr>
          <w:sz w:val="20"/>
          <w:szCs w:val="20"/>
        </w:rPr>
      </w:pPr>
    </w:p>
    <w:p w:rsidR="00851224" w:rsidRDefault="000F3D30" w:rsidP="00851224">
      <w:pPr>
        <w:pStyle w:val="Default"/>
        <w:rPr>
          <w:sz w:val="20"/>
          <w:szCs w:val="20"/>
        </w:rPr>
      </w:pPr>
      <w:r>
        <w:rPr>
          <w:sz w:val="20"/>
          <w:szCs w:val="20"/>
        </w:rPr>
        <w:t>19.8.1</w:t>
      </w:r>
      <w:r>
        <w:rPr>
          <w:sz w:val="20"/>
          <w:szCs w:val="20"/>
        </w:rPr>
        <w:tab/>
      </w:r>
      <w:r w:rsidR="00851224" w:rsidRPr="000F3D30">
        <w:rPr>
          <w:sz w:val="20"/>
          <w:szCs w:val="20"/>
        </w:rPr>
        <w:t xml:space="preserve">This Clause 19.8.1 shall only apply where the Company is a DNO Party. </w:t>
      </w:r>
    </w:p>
    <w:p w:rsidR="000F3D30" w:rsidRPr="000F3D30" w:rsidRDefault="000F3D30" w:rsidP="00851224">
      <w:pPr>
        <w:pStyle w:val="Default"/>
        <w:rPr>
          <w:sz w:val="20"/>
          <w:szCs w:val="20"/>
        </w:rPr>
      </w:pPr>
    </w:p>
    <w:p w:rsidR="00851224" w:rsidRPr="000F3D30" w:rsidRDefault="00851224" w:rsidP="000F3D30">
      <w:pPr>
        <w:pStyle w:val="Default"/>
        <w:rPr>
          <w:sz w:val="20"/>
          <w:szCs w:val="20"/>
        </w:rPr>
      </w:pPr>
      <w:r w:rsidRPr="000F3D30">
        <w:rPr>
          <w:sz w:val="20"/>
          <w:szCs w:val="20"/>
        </w:rPr>
        <w:t xml:space="preserve">19.8.1a The Tariff Movement Explanation (or TME) is to be published on behalf of each DNO Party, and refreshed where necessary, in accordance with this Clause 19.8.1, and schedule xx. </w:t>
      </w:r>
    </w:p>
    <w:p w:rsidR="000F3D30" w:rsidRDefault="000F3D30" w:rsidP="00851224">
      <w:pPr>
        <w:pStyle w:val="Default"/>
        <w:rPr>
          <w:sz w:val="20"/>
          <w:szCs w:val="20"/>
        </w:rPr>
      </w:pPr>
    </w:p>
    <w:p w:rsidR="00851224" w:rsidRDefault="00851224" w:rsidP="00851224">
      <w:pPr>
        <w:pStyle w:val="Default"/>
        <w:rPr>
          <w:sz w:val="20"/>
          <w:szCs w:val="20"/>
        </w:rPr>
      </w:pPr>
      <w:r w:rsidRPr="000F3D30">
        <w:rPr>
          <w:sz w:val="20"/>
          <w:szCs w:val="20"/>
        </w:rPr>
        <w:t xml:space="preserve">19.8.1b </w:t>
      </w:r>
      <w:proofErr w:type="gramStart"/>
      <w:r w:rsidRPr="000F3D30">
        <w:rPr>
          <w:sz w:val="20"/>
          <w:szCs w:val="20"/>
        </w:rPr>
        <w:t>By</w:t>
      </w:r>
      <w:proofErr w:type="gramEnd"/>
      <w:r w:rsidRPr="000F3D30">
        <w:rPr>
          <w:sz w:val="20"/>
          <w:szCs w:val="20"/>
        </w:rPr>
        <w:t xml:space="preserve"> 31 December of each year, the Company shall complete the TME and send the completed template to the Secretariat. </w:t>
      </w:r>
    </w:p>
    <w:p w:rsidR="000F3D30" w:rsidRPr="000F3D30" w:rsidRDefault="000F3D30" w:rsidP="00851224">
      <w:pPr>
        <w:pStyle w:val="Default"/>
        <w:rPr>
          <w:sz w:val="20"/>
          <w:szCs w:val="20"/>
        </w:rPr>
      </w:pPr>
    </w:p>
    <w:p w:rsidR="00851224" w:rsidRDefault="00851224" w:rsidP="00851224">
      <w:pPr>
        <w:pStyle w:val="Default"/>
        <w:rPr>
          <w:sz w:val="20"/>
          <w:szCs w:val="20"/>
        </w:rPr>
      </w:pPr>
      <w:r w:rsidRPr="000F3D30">
        <w:rPr>
          <w:sz w:val="20"/>
          <w:szCs w:val="20"/>
        </w:rPr>
        <w:t xml:space="preserve">19.8.1c </w:t>
      </w:r>
      <w:proofErr w:type="gramStart"/>
      <w:r w:rsidRPr="000F3D30">
        <w:rPr>
          <w:sz w:val="20"/>
          <w:szCs w:val="20"/>
        </w:rPr>
        <w:t>By</w:t>
      </w:r>
      <w:proofErr w:type="gramEnd"/>
      <w:r w:rsidRPr="000F3D30">
        <w:rPr>
          <w:sz w:val="20"/>
          <w:szCs w:val="20"/>
        </w:rPr>
        <w:t xml:space="preserve"> the third Working Day of January in each year, the Secretariat shall publish on the Website, and will notify all interested parties by email that the completed TME most recently received from each DNO Party is available on the DCUSA website. </w:t>
      </w:r>
    </w:p>
    <w:p w:rsidR="000F3D30" w:rsidRPr="000F3D30" w:rsidRDefault="000F3D30" w:rsidP="00851224">
      <w:pPr>
        <w:pStyle w:val="Default"/>
        <w:rPr>
          <w:sz w:val="20"/>
          <w:szCs w:val="20"/>
        </w:rPr>
      </w:pPr>
    </w:p>
    <w:p w:rsidR="00851224" w:rsidRDefault="00851224" w:rsidP="00851224">
      <w:pPr>
        <w:pStyle w:val="Default"/>
        <w:rPr>
          <w:sz w:val="20"/>
          <w:szCs w:val="20"/>
        </w:rPr>
      </w:pPr>
      <w:r w:rsidRPr="000F3D30">
        <w:rPr>
          <w:sz w:val="20"/>
          <w:szCs w:val="20"/>
        </w:rPr>
        <w:t xml:space="preserve">19.8.1d Where the Use of System Charges to be charged by the Company from April in any year differ from the indicative charges set out in the Companies TME published pursuant to Clause 19.8.1 in January of that year, then the Company shall (at least 40 days prior to the date from which such charges are to have effect) resubmit an updated TME to the Secretariat. </w:t>
      </w:r>
    </w:p>
    <w:p w:rsidR="000F3D30" w:rsidRPr="000F3D30" w:rsidRDefault="000F3D30" w:rsidP="00851224">
      <w:pPr>
        <w:pStyle w:val="Default"/>
        <w:rPr>
          <w:sz w:val="20"/>
          <w:szCs w:val="20"/>
        </w:rPr>
      </w:pPr>
    </w:p>
    <w:p w:rsidR="00851224" w:rsidRPr="000F3D30" w:rsidRDefault="00851224" w:rsidP="00851224">
      <w:pPr>
        <w:pStyle w:val="Default"/>
        <w:rPr>
          <w:sz w:val="20"/>
          <w:szCs w:val="20"/>
        </w:rPr>
      </w:pPr>
      <w:r w:rsidRPr="000F3D30">
        <w:rPr>
          <w:sz w:val="20"/>
          <w:szCs w:val="20"/>
        </w:rPr>
        <w:t xml:space="preserve">19.8.1e The Secretariat shall, within three working days of receiving any updated TME pursuant to Clause 19.8.1d, publish the updated TME on the Website, and notify all interested parties by email. </w:t>
      </w:r>
    </w:p>
    <w:p w:rsidR="00851224" w:rsidRPr="000F3D30" w:rsidRDefault="00851224" w:rsidP="00851224">
      <w:pPr>
        <w:pStyle w:val="Default"/>
        <w:rPr>
          <w:sz w:val="20"/>
          <w:szCs w:val="20"/>
        </w:rPr>
      </w:pPr>
    </w:p>
    <w:p w:rsidR="00851224" w:rsidRPr="000F3D30" w:rsidRDefault="00851224" w:rsidP="00851224">
      <w:pPr>
        <w:pStyle w:val="Default"/>
        <w:rPr>
          <w:b/>
          <w:bCs/>
          <w:sz w:val="20"/>
          <w:szCs w:val="20"/>
        </w:rPr>
      </w:pPr>
    </w:p>
    <w:p w:rsidR="000F3D30" w:rsidRDefault="000F3D30" w:rsidP="00851224">
      <w:pPr>
        <w:pStyle w:val="Default"/>
        <w:rPr>
          <w:bCs/>
          <w:i/>
          <w:sz w:val="20"/>
          <w:szCs w:val="20"/>
        </w:rPr>
      </w:pPr>
    </w:p>
    <w:p w:rsidR="00851224" w:rsidRDefault="000F3D30" w:rsidP="00851224">
      <w:pPr>
        <w:pStyle w:val="Default"/>
        <w:rPr>
          <w:bCs/>
          <w:i/>
          <w:sz w:val="20"/>
          <w:szCs w:val="20"/>
        </w:rPr>
      </w:pPr>
      <w:r>
        <w:rPr>
          <w:bCs/>
          <w:i/>
          <w:sz w:val="20"/>
          <w:szCs w:val="20"/>
        </w:rPr>
        <w:t>In addition, i</w:t>
      </w:r>
      <w:r w:rsidRPr="000F3D30">
        <w:rPr>
          <w:bCs/>
          <w:i/>
          <w:sz w:val="20"/>
          <w:szCs w:val="20"/>
        </w:rPr>
        <w:t xml:space="preserve">t is suggested that a new Schedule be added to DCUSA as follows: </w:t>
      </w:r>
    </w:p>
    <w:p w:rsidR="000D71CC" w:rsidRPr="000F3D30" w:rsidRDefault="000D71CC" w:rsidP="00851224">
      <w:pPr>
        <w:pStyle w:val="Default"/>
        <w:rPr>
          <w:bCs/>
          <w:i/>
          <w:sz w:val="20"/>
          <w:szCs w:val="20"/>
        </w:rPr>
      </w:pPr>
    </w:p>
    <w:p w:rsidR="00851224" w:rsidRPr="000F3D30" w:rsidRDefault="00851224" w:rsidP="00851224">
      <w:pPr>
        <w:pStyle w:val="Default"/>
        <w:rPr>
          <w:b/>
          <w:bCs/>
          <w:sz w:val="20"/>
          <w:szCs w:val="20"/>
        </w:rPr>
      </w:pPr>
    </w:p>
    <w:p w:rsidR="00851224" w:rsidRPr="000F3D30" w:rsidRDefault="00851224" w:rsidP="00851224">
      <w:pPr>
        <w:pStyle w:val="Default"/>
        <w:rPr>
          <w:sz w:val="20"/>
          <w:szCs w:val="20"/>
        </w:rPr>
      </w:pPr>
      <w:r w:rsidRPr="000F3D30">
        <w:rPr>
          <w:b/>
          <w:bCs/>
          <w:sz w:val="20"/>
          <w:szCs w:val="20"/>
        </w:rPr>
        <w:t xml:space="preserve">SCHEDULE xx – PRODUCTION OF THE TARIFF MOVEMENT EXPLANATION (TME) </w:t>
      </w:r>
    </w:p>
    <w:p w:rsidR="005B1080" w:rsidRPr="000F3D30" w:rsidRDefault="005B1080" w:rsidP="00851224">
      <w:pPr>
        <w:pStyle w:val="Default"/>
        <w:rPr>
          <w:b/>
          <w:bCs/>
          <w:sz w:val="20"/>
          <w:szCs w:val="20"/>
        </w:rPr>
      </w:pPr>
    </w:p>
    <w:p w:rsidR="00851224" w:rsidRDefault="00851224" w:rsidP="00851224">
      <w:pPr>
        <w:pStyle w:val="Default"/>
        <w:rPr>
          <w:b/>
          <w:bCs/>
          <w:sz w:val="20"/>
          <w:szCs w:val="20"/>
        </w:rPr>
      </w:pPr>
      <w:r w:rsidRPr="000F3D30">
        <w:rPr>
          <w:b/>
          <w:bCs/>
          <w:sz w:val="20"/>
          <w:szCs w:val="20"/>
        </w:rPr>
        <w:t xml:space="preserve">1. INTRODUCTION </w:t>
      </w:r>
    </w:p>
    <w:p w:rsidR="000F3D30" w:rsidRPr="000F3D30" w:rsidRDefault="000F3D30" w:rsidP="00851224">
      <w:pPr>
        <w:pStyle w:val="Default"/>
        <w:rPr>
          <w:sz w:val="20"/>
          <w:szCs w:val="20"/>
        </w:rPr>
      </w:pPr>
    </w:p>
    <w:p w:rsidR="00851224" w:rsidRPr="000F3D30" w:rsidRDefault="00851224" w:rsidP="00851224">
      <w:pPr>
        <w:pStyle w:val="Default"/>
        <w:rPr>
          <w:sz w:val="20"/>
          <w:szCs w:val="20"/>
        </w:rPr>
      </w:pPr>
      <w:r w:rsidRPr="000F3D30">
        <w:rPr>
          <w:sz w:val="20"/>
          <w:szCs w:val="20"/>
        </w:rPr>
        <w:t>1.1 The “</w:t>
      </w:r>
      <w:r w:rsidRPr="000F3D30">
        <w:rPr>
          <w:b/>
          <w:bCs/>
          <w:sz w:val="20"/>
          <w:szCs w:val="20"/>
        </w:rPr>
        <w:t>Tariff Movement Explanation</w:t>
      </w:r>
      <w:r w:rsidRPr="000F3D30">
        <w:rPr>
          <w:sz w:val="20"/>
          <w:szCs w:val="20"/>
        </w:rPr>
        <w:t>” or “</w:t>
      </w:r>
      <w:r w:rsidRPr="000F3D30">
        <w:rPr>
          <w:b/>
          <w:bCs/>
          <w:sz w:val="20"/>
          <w:szCs w:val="20"/>
        </w:rPr>
        <w:t>TME</w:t>
      </w:r>
      <w:r w:rsidRPr="000F3D30">
        <w:rPr>
          <w:sz w:val="20"/>
          <w:szCs w:val="20"/>
        </w:rPr>
        <w:t xml:space="preserve">” is a document to be completed by each DNO Party which explains movements between current tariffs and indicative (when first published in accordance with their licence obligations) and final (when updated in accordance with their clause 19.1) Use of System Charges where updated. The template shall contain detail of the reasons behind the movement in each tariff following the revision of the CDCM inputs. </w:t>
      </w:r>
    </w:p>
    <w:p w:rsidR="005B1080" w:rsidRPr="000F3D30" w:rsidRDefault="005B1080" w:rsidP="00851224">
      <w:pPr>
        <w:pStyle w:val="Default"/>
        <w:rPr>
          <w:b/>
          <w:bCs/>
          <w:sz w:val="20"/>
          <w:szCs w:val="20"/>
        </w:rPr>
      </w:pPr>
    </w:p>
    <w:p w:rsidR="00851224" w:rsidRDefault="00851224" w:rsidP="00851224">
      <w:pPr>
        <w:pStyle w:val="Default"/>
        <w:rPr>
          <w:b/>
          <w:bCs/>
          <w:sz w:val="20"/>
          <w:szCs w:val="20"/>
        </w:rPr>
      </w:pPr>
      <w:r w:rsidRPr="000F3D30">
        <w:rPr>
          <w:b/>
          <w:bCs/>
          <w:sz w:val="20"/>
          <w:szCs w:val="20"/>
        </w:rPr>
        <w:t xml:space="preserve">2 GENERAL </w:t>
      </w:r>
    </w:p>
    <w:p w:rsidR="000F3D30" w:rsidRPr="000F3D30" w:rsidRDefault="000F3D30" w:rsidP="00851224">
      <w:pPr>
        <w:pStyle w:val="Default"/>
        <w:rPr>
          <w:sz w:val="20"/>
          <w:szCs w:val="20"/>
        </w:rPr>
      </w:pPr>
    </w:p>
    <w:p w:rsidR="00851224" w:rsidRPr="000F3D30" w:rsidRDefault="00851224" w:rsidP="00851224">
      <w:pPr>
        <w:pStyle w:val="Default"/>
        <w:rPr>
          <w:sz w:val="20"/>
          <w:szCs w:val="20"/>
        </w:rPr>
      </w:pPr>
      <w:r w:rsidRPr="000F3D30">
        <w:rPr>
          <w:sz w:val="20"/>
          <w:szCs w:val="20"/>
        </w:rPr>
        <w:t xml:space="preserve">2.1 The format of the TME will be common, but the actual explanation will be specific to each DNO Party to allow that DNO Party flexibility to express its own views and to provide a realistic explanation of the tariff movement. </w:t>
      </w:r>
    </w:p>
    <w:p w:rsidR="002C67DB" w:rsidRDefault="002C67DB" w:rsidP="00851224">
      <w:pPr>
        <w:pStyle w:val="Default"/>
        <w:rPr>
          <w:sz w:val="20"/>
          <w:szCs w:val="20"/>
        </w:rPr>
      </w:pPr>
    </w:p>
    <w:p w:rsidR="00851224" w:rsidRPr="000F3D30" w:rsidRDefault="00851224" w:rsidP="00851224">
      <w:pPr>
        <w:pStyle w:val="Default"/>
        <w:rPr>
          <w:sz w:val="20"/>
          <w:szCs w:val="20"/>
        </w:rPr>
      </w:pPr>
      <w:r w:rsidRPr="000F3D30">
        <w:rPr>
          <w:sz w:val="20"/>
          <w:szCs w:val="20"/>
        </w:rPr>
        <w:t xml:space="preserve">2.2 It is acknowledged that: </w:t>
      </w:r>
    </w:p>
    <w:p w:rsidR="00851224" w:rsidRPr="000F3D30" w:rsidRDefault="00851224" w:rsidP="00851224">
      <w:pPr>
        <w:pStyle w:val="Default"/>
        <w:rPr>
          <w:sz w:val="20"/>
          <w:szCs w:val="20"/>
        </w:rPr>
      </w:pPr>
      <w:r w:rsidRPr="000F3D30">
        <w:rPr>
          <w:sz w:val="20"/>
          <w:szCs w:val="20"/>
        </w:rPr>
        <w:lastRenderedPageBreak/>
        <w:t xml:space="preserve">(a) </w:t>
      </w:r>
      <w:proofErr w:type="gramStart"/>
      <w:r w:rsidRPr="000F3D30">
        <w:rPr>
          <w:sz w:val="20"/>
          <w:szCs w:val="20"/>
        </w:rPr>
        <w:t>in</w:t>
      </w:r>
      <w:proofErr w:type="gramEnd"/>
      <w:r w:rsidRPr="000F3D30">
        <w:rPr>
          <w:sz w:val="20"/>
          <w:szCs w:val="20"/>
        </w:rPr>
        <w:t xml:space="preserve"> populating the TME, each DNO Party will make a number of assumptions; </w:t>
      </w:r>
      <w:r w:rsidR="00CF6861">
        <w:rPr>
          <w:sz w:val="20"/>
          <w:szCs w:val="20"/>
        </w:rPr>
        <w:t>and</w:t>
      </w:r>
    </w:p>
    <w:p w:rsidR="00CF6861" w:rsidRDefault="00CF6861" w:rsidP="00851224">
      <w:pPr>
        <w:rPr>
          <w:rFonts w:ascii="Verdana" w:hAnsi="Verdana"/>
          <w:sz w:val="20"/>
          <w:szCs w:val="20"/>
        </w:rPr>
      </w:pPr>
    </w:p>
    <w:p w:rsidR="00851224" w:rsidRPr="000F3D30" w:rsidRDefault="00851224" w:rsidP="00851224">
      <w:pPr>
        <w:rPr>
          <w:rFonts w:ascii="Verdana" w:hAnsi="Verdana"/>
          <w:sz w:val="20"/>
          <w:szCs w:val="20"/>
        </w:rPr>
      </w:pPr>
      <w:r w:rsidRPr="000F3D30">
        <w:rPr>
          <w:rFonts w:ascii="Verdana" w:hAnsi="Verdana"/>
          <w:sz w:val="20"/>
          <w:szCs w:val="20"/>
        </w:rPr>
        <w:t xml:space="preserve">(b) </w:t>
      </w:r>
      <w:proofErr w:type="gramStart"/>
      <w:r w:rsidRPr="000F3D30">
        <w:rPr>
          <w:rFonts w:ascii="Verdana" w:hAnsi="Verdana"/>
          <w:sz w:val="20"/>
          <w:szCs w:val="20"/>
        </w:rPr>
        <w:t>the</w:t>
      </w:r>
      <w:proofErr w:type="gramEnd"/>
      <w:r w:rsidRPr="000F3D30">
        <w:rPr>
          <w:rFonts w:ascii="Verdana" w:hAnsi="Verdana"/>
          <w:sz w:val="20"/>
          <w:szCs w:val="20"/>
        </w:rPr>
        <w:t xml:space="preserve"> information set out in each TME is a high level view, and is only intended as an indication of an understanding at a point in time; and other revised inputs could have also impacted upon the movement in tariffs, of the specific elements of a tariff. </w:t>
      </w:r>
    </w:p>
    <w:sectPr w:rsidR="00851224" w:rsidRPr="000F3D30" w:rsidSect="00391B0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333AC0"/>
    <w:multiLevelType w:val="multilevel"/>
    <w:tmpl w:val="AE6A97E2"/>
    <w:lvl w:ilvl="0">
      <w:start w:val="1"/>
      <w:numFmt w:val="decimal"/>
      <w:pStyle w:val="Heading1"/>
      <w:lvlText w:val="%1"/>
      <w:lvlJc w:val="left"/>
      <w:pPr>
        <w:tabs>
          <w:tab w:val="num" w:pos="432"/>
        </w:tabs>
        <w:ind w:left="432" w:hanging="432"/>
      </w:pPr>
      <w:rPr>
        <w:rFonts w:cs="Times New Roman"/>
        <w:b/>
        <w:sz w:val="20"/>
        <w:szCs w:val="20"/>
      </w:rPr>
    </w:lvl>
    <w:lvl w:ilvl="1">
      <w:start w:val="1"/>
      <w:numFmt w:val="decimal"/>
      <w:pStyle w:val="Heading2"/>
      <w:lvlText w:val="%1.%2"/>
      <w:lvlJc w:val="left"/>
      <w:pPr>
        <w:tabs>
          <w:tab w:val="num" w:pos="576"/>
        </w:tabs>
        <w:ind w:left="576" w:hanging="576"/>
      </w:pPr>
      <w:rPr>
        <w:rFonts w:ascii="Verdana" w:hAnsi="Verdana" w:cs="Times New Roman"/>
        <w:b w:val="0"/>
        <w:bCs w:val="0"/>
        <w:i w:val="0"/>
        <w:iCs w:val="0"/>
        <w:caps w:val="0"/>
        <w:smallCaps w:val="0"/>
        <w:strike w:val="0"/>
        <w:dstrike w:val="0"/>
        <w:outline w:val="0"/>
        <w:shadow w:val="0"/>
        <w:emboss w:val="0"/>
        <w:imprint w:val="0"/>
        <w:color w:val="auto"/>
        <w:spacing w:val="0"/>
        <w:w w:val="100"/>
        <w:kern w:val="0"/>
        <w:position w:val="0"/>
        <w:sz w:val="20"/>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851224"/>
    <w:rsid w:val="000D71CC"/>
    <w:rsid w:val="000F3D30"/>
    <w:rsid w:val="001C6A01"/>
    <w:rsid w:val="002736AA"/>
    <w:rsid w:val="002C67DB"/>
    <w:rsid w:val="00391B04"/>
    <w:rsid w:val="004315A1"/>
    <w:rsid w:val="004D5AC2"/>
    <w:rsid w:val="005B1080"/>
    <w:rsid w:val="00851224"/>
    <w:rsid w:val="009B4892"/>
    <w:rsid w:val="00AA1229"/>
    <w:rsid w:val="00BA5AC0"/>
    <w:rsid w:val="00C15C2A"/>
    <w:rsid w:val="00CF6861"/>
    <w:rsid w:val="00D60AC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229"/>
    <w:rPr>
      <w:sz w:val="24"/>
      <w:szCs w:val="24"/>
    </w:rPr>
  </w:style>
  <w:style w:type="paragraph" w:styleId="Heading1">
    <w:name w:val="heading 1"/>
    <w:aliases w:val="JPW-num-section,level 1,level1,Nadpis 1,Char Char,Char, Char Char, Char"/>
    <w:basedOn w:val="Normal"/>
    <w:next w:val="Normal"/>
    <w:link w:val="Heading1Char"/>
    <w:qFormat/>
    <w:rsid w:val="00AA1229"/>
    <w:pPr>
      <w:keepNext/>
      <w:numPr>
        <w:numId w:val="2"/>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AA1229"/>
    <w:pPr>
      <w:keepNext/>
      <w:numPr>
        <w:ilvl w:val="1"/>
        <w:numId w:val="2"/>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JPW-num-section Char,level 1 Char,level1 Char,Nadpis 1 Char,Char Char Char,Char Char1, Char Char Char, Char Char1"/>
    <w:basedOn w:val="DefaultParagraphFont"/>
    <w:link w:val="Heading1"/>
    <w:rsid w:val="00AA1229"/>
    <w:rPr>
      <w:rFonts w:ascii="Verdana" w:hAnsi="Verdana" w:cs="Arial"/>
      <w:bCs/>
      <w:kern w:val="32"/>
      <w:sz w:val="28"/>
      <w:szCs w:val="32"/>
    </w:rPr>
  </w:style>
  <w:style w:type="character" w:customStyle="1" w:styleId="Heading2Char">
    <w:name w:val="Heading 2 Char"/>
    <w:aliases w:val="level 2 Char,level2 Char"/>
    <w:basedOn w:val="DefaultParagraphFont"/>
    <w:link w:val="Heading2"/>
    <w:rsid w:val="00AA1229"/>
    <w:rPr>
      <w:rFonts w:ascii="Verdana" w:hAnsi="Verdana" w:cs="Arial"/>
      <w:bCs/>
      <w:iCs/>
      <w:sz w:val="24"/>
      <w:szCs w:val="28"/>
    </w:rPr>
  </w:style>
  <w:style w:type="paragraph" w:styleId="TOC1">
    <w:name w:val="toc 1"/>
    <w:basedOn w:val="Normal"/>
    <w:next w:val="Normal"/>
    <w:autoRedefine/>
    <w:uiPriority w:val="39"/>
    <w:qFormat/>
    <w:rsid w:val="00AA1229"/>
    <w:pPr>
      <w:spacing w:after="100"/>
    </w:pPr>
  </w:style>
  <w:style w:type="paragraph" w:styleId="TOC2">
    <w:name w:val="toc 2"/>
    <w:basedOn w:val="Normal"/>
    <w:next w:val="Normal"/>
    <w:autoRedefine/>
    <w:uiPriority w:val="39"/>
    <w:qFormat/>
    <w:rsid w:val="00AA1229"/>
    <w:pPr>
      <w:spacing w:after="100"/>
      <w:ind w:left="240"/>
    </w:pPr>
  </w:style>
  <w:style w:type="paragraph" w:styleId="TOC3">
    <w:name w:val="toc 3"/>
    <w:basedOn w:val="Normal"/>
    <w:next w:val="Normal"/>
    <w:autoRedefine/>
    <w:uiPriority w:val="39"/>
    <w:unhideWhenUsed/>
    <w:qFormat/>
    <w:rsid w:val="00AA1229"/>
    <w:pPr>
      <w:spacing w:after="100" w:line="276" w:lineRule="auto"/>
      <w:ind w:left="440"/>
    </w:pPr>
    <w:rPr>
      <w:rFonts w:asciiTheme="minorHAnsi" w:eastAsiaTheme="minorEastAsia" w:hAnsiTheme="minorHAnsi" w:cstheme="minorBidi"/>
      <w:sz w:val="22"/>
      <w:szCs w:val="22"/>
      <w:lang w:val="en-US" w:eastAsia="en-US"/>
    </w:rPr>
  </w:style>
  <w:style w:type="paragraph" w:styleId="ListParagraph">
    <w:name w:val="List Paragraph"/>
    <w:basedOn w:val="Normal"/>
    <w:uiPriority w:val="34"/>
    <w:qFormat/>
    <w:rsid w:val="00AA1229"/>
    <w:pPr>
      <w:ind w:left="720"/>
    </w:pPr>
  </w:style>
  <w:style w:type="paragraph" w:styleId="TOCHeading">
    <w:name w:val="TOC Heading"/>
    <w:basedOn w:val="Heading1"/>
    <w:next w:val="Normal"/>
    <w:uiPriority w:val="39"/>
    <w:semiHidden/>
    <w:unhideWhenUsed/>
    <w:qFormat/>
    <w:rsid w:val="00AA1229"/>
    <w:pPr>
      <w:keepLines/>
      <w:numPr>
        <w:numId w:val="0"/>
      </w:numPr>
      <w:spacing w:before="480" w:after="0" w:line="276" w:lineRule="auto"/>
      <w:outlineLvl w:val="9"/>
    </w:pPr>
    <w:rPr>
      <w:rFonts w:asciiTheme="majorHAnsi" w:eastAsiaTheme="majorEastAsia" w:hAnsiTheme="majorHAnsi" w:cstheme="majorBidi"/>
      <w:b/>
      <w:color w:val="365F91" w:themeColor="accent1" w:themeShade="BF"/>
      <w:kern w:val="0"/>
      <w:szCs w:val="28"/>
      <w:lang w:val="en-US" w:eastAsia="en-US"/>
    </w:rPr>
  </w:style>
  <w:style w:type="paragraph" w:customStyle="1" w:styleId="Default">
    <w:name w:val="Default"/>
    <w:rsid w:val="00851224"/>
    <w:pPr>
      <w:autoSpaceDE w:val="0"/>
      <w:autoSpaceDN w:val="0"/>
      <w:adjustRightInd w:val="0"/>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hartleyr</dc:creator>
  <cp:keywords/>
  <dc:description/>
  <cp:lastModifiedBy>hartleyr</cp:lastModifiedBy>
  <cp:revision>7</cp:revision>
  <dcterms:created xsi:type="dcterms:W3CDTF">2012-07-17T10:37:00Z</dcterms:created>
  <dcterms:modified xsi:type="dcterms:W3CDTF">2012-07-18T15:43:00Z</dcterms:modified>
</cp:coreProperties>
</file>