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72DD" w:rsidRPr="005A3C3E" w:rsidRDefault="00E51FB3" w:rsidP="00BC72DD">
      <w:pPr>
        <w:rPr>
          <w:rFonts w:ascii="Times New Roman" w:hAnsi="Times New Roman"/>
          <w:b/>
          <w:sz w:val="24"/>
          <w:szCs w:val="24"/>
          <w:u w:val="single"/>
        </w:rPr>
      </w:pPr>
      <w:r w:rsidRPr="005A3C3E">
        <w:rPr>
          <w:rFonts w:ascii="Times New Roman" w:hAnsi="Times New Roman"/>
          <w:b/>
          <w:sz w:val="24"/>
          <w:szCs w:val="24"/>
          <w:u w:val="single"/>
        </w:rPr>
        <w:t>Western Power Distribution (South Wales)</w:t>
      </w:r>
      <w:r w:rsidR="00BC72DD" w:rsidRPr="005A3C3E">
        <w:rPr>
          <w:rFonts w:ascii="Times New Roman" w:hAnsi="Times New Roman"/>
          <w:b/>
          <w:sz w:val="24"/>
          <w:szCs w:val="24"/>
          <w:u w:val="single"/>
        </w:rPr>
        <w:t xml:space="preserve"> - HIDAM</w:t>
      </w:r>
    </w:p>
    <w:p w:rsidR="00BC72DD" w:rsidRPr="005A3C3E" w:rsidRDefault="00BC72DD" w:rsidP="00BC72DD">
      <w:pPr>
        <w:spacing w:before="100" w:beforeAutospacing="1" w:after="100" w:afterAutospacing="1" w:line="240" w:lineRule="auto"/>
        <w:jc w:val="both"/>
        <w:rPr>
          <w:rFonts w:ascii="Times New Roman" w:hAnsi="Times New Roman"/>
          <w:b/>
          <w:sz w:val="24"/>
          <w:szCs w:val="24"/>
          <w:u w:val="single"/>
        </w:rPr>
      </w:pPr>
      <w:r w:rsidRPr="005A3C3E">
        <w:rPr>
          <w:rFonts w:ascii="Times New Roman" w:hAnsi="Times New Roman"/>
          <w:b/>
          <w:sz w:val="24"/>
          <w:szCs w:val="24"/>
          <w:u w:val="single"/>
        </w:rPr>
        <w:t>Asset Value Impacts - High Level</w:t>
      </w:r>
    </w:p>
    <w:p w:rsidR="002C653C" w:rsidRPr="005A3C3E" w:rsidRDefault="00BC72DD" w:rsidP="008C3A9A">
      <w:pPr>
        <w:spacing w:before="100" w:beforeAutospacing="1" w:after="100" w:afterAutospacing="1" w:line="240" w:lineRule="auto"/>
        <w:jc w:val="both"/>
        <w:rPr>
          <w:rFonts w:ascii="Times New Roman" w:hAnsi="Times New Roman"/>
          <w:sz w:val="24"/>
          <w:szCs w:val="24"/>
        </w:rPr>
      </w:pPr>
      <w:r w:rsidRPr="005A3C3E">
        <w:rPr>
          <w:rFonts w:ascii="Times New Roman" w:hAnsi="Times New Roman"/>
          <w:sz w:val="24"/>
          <w:szCs w:val="24"/>
        </w:rPr>
        <w:t xml:space="preserve">The total asset cost of the HIDAM that was modelled to represent </w:t>
      </w:r>
      <w:r w:rsidR="00E51FB3" w:rsidRPr="005A3C3E">
        <w:rPr>
          <w:rFonts w:ascii="Times New Roman" w:hAnsi="Times New Roman"/>
          <w:sz w:val="24"/>
          <w:szCs w:val="24"/>
        </w:rPr>
        <w:t xml:space="preserve">Western Power Distribution (South Wales) </w:t>
      </w:r>
      <w:r w:rsidR="002C653C" w:rsidRPr="005A3C3E">
        <w:rPr>
          <w:rFonts w:ascii="Times New Roman" w:hAnsi="Times New Roman"/>
          <w:sz w:val="24"/>
          <w:szCs w:val="24"/>
        </w:rPr>
        <w:t xml:space="preserve">network </w:t>
      </w:r>
      <w:r w:rsidRPr="005A3C3E">
        <w:rPr>
          <w:rFonts w:ascii="Times New Roman" w:hAnsi="Times New Roman"/>
          <w:sz w:val="24"/>
          <w:szCs w:val="24"/>
        </w:rPr>
        <w:t xml:space="preserve">has </w:t>
      </w:r>
      <w:r w:rsidR="00E51FB3" w:rsidRPr="005A3C3E">
        <w:rPr>
          <w:rFonts w:ascii="Times New Roman" w:hAnsi="Times New Roman"/>
          <w:sz w:val="24"/>
          <w:szCs w:val="24"/>
        </w:rPr>
        <w:t>de</w:t>
      </w:r>
      <w:r w:rsidRPr="005A3C3E">
        <w:rPr>
          <w:rFonts w:ascii="Times New Roman" w:hAnsi="Times New Roman"/>
          <w:sz w:val="24"/>
          <w:szCs w:val="24"/>
        </w:rPr>
        <w:t xml:space="preserve">creased by </w:t>
      </w:r>
      <w:r w:rsidR="00E51FB3" w:rsidRPr="005A3C3E">
        <w:rPr>
          <w:rFonts w:ascii="Times New Roman" w:hAnsi="Times New Roman"/>
          <w:sz w:val="24"/>
          <w:szCs w:val="24"/>
        </w:rPr>
        <w:t>25</w:t>
      </w:r>
      <w:r w:rsidRPr="005A3C3E">
        <w:rPr>
          <w:rFonts w:ascii="Times New Roman" w:hAnsi="Times New Roman"/>
          <w:sz w:val="24"/>
          <w:szCs w:val="24"/>
        </w:rPr>
        <w:t>% from £</w:t>
      </w:r>
      <w:r w:rsidR="00E51FB3" w:rsidRPr="005A3C3E">
        <w:rPr>
          <w:rFonts w:ascii="Times New Roman" w:hAnsi="Times New Roman"/>
          <w:sz w:val="24"/>
          <w:szCs w:val="24"/>
        </w:rPr>
        <w:t>527</w:t>
      </w:r>
      <w:r w:rsidRPr="005A3C3E">
        <w:rPr>
          <w:rFonts w:ascii="Times New Roman" w:hAnsi="Times New Roman"/>
          <w:sz w:val="24"/>
          <w:szCs w:val="24"/>
        </w:rPr>
        <w:t>m to £</w:t>
      </w:r>
      <w:r w:rsidR="00E51FB3" w:rsidRPr="005A3C3E">
        <w:rPr>
          <w:rFonts w:ascii="Times New Roman" w:hAnsi="Times New Roman"/>
          <w:sz w:val="24"/>
          <w:szCs w:val="24"/>
        </w:rPr>
        <w:t>397</w:t>
      </w:r>
      <w:r w:rsidRPr="005A3C3E">
        <w:rPr>
          <w:rFonts w:ascii="Times New Roman" w:hAnsi="Times New Roman"/>
          <w:sz w:val="24"/>
          <w:szCs w:val="24"/>
        </w:rPr>
        <w:t xml:space="preserve">m when compared to the previous 500 MW model that was </w:t>
      </w:r>
      <w:r w:rsidR="002C653C" w:rsidRPr="005A3C3E">
        <w:rPr>
          <w:rFonts w:ascii="Times New Roman" w:hAnsi="Times New Roman"/>
          <w:sz w:val="24"/>
          <w:szCs w:val="24"/>
        </w:rPr>
        <w:t xml:space="preserve">used. </w:t>
      </w:r>
    </w:p>
    <w:p w:rsidR="00BC72DD" w:rsidRPr="005A3C3E" w:rsidRDefault="002C653C" w:rsidP="008C3A9A">
      <w:pPr>
        <w:spacing w:before="100" w:beforeAutospacing="1" w:after="100" w:afterAutospacing="1" w:line="240" w:lineRule="auto"/>
        <w:jc w:val="both"/>
        <w:rPr>
          <w:rFonts w:ascii="Times New Roman" w:hAnsi="Times New Roman"/>
          <w:sz w:val="24"/>
          <w:szCs w:val="24"/>
        </w:rPr>
      </w:pPr>
      <w:r w:rsidRPr="005A3C3E">
        <w:rPr>
          <w:rFonts w:ascii="Times New Roman" w:hAnsi="Times New Roman"/>
          <w:sz w:val="24"/>
          <w:szCs w:val="24"/>
        </w:rPr>
        <w:t xml:space="preserve">The greatest value </w:t>
      </w:r>
      <w:r w:rsidR="00BC72DD" w:rsidRPr="005A3C3E">
        <w:rPr>
          <w:rFonts w:ascii="Times New Roman" w:hAnsi="Times New Roman"/>
          <w:sz w:val="24"/>
          <w:szCs w:val="24"/>
        </w:rPr>
        <w:t xml:space="preserve">changes </w:t>
      </w:r>
      <w:r w:rsidR="008C3A9A" w:rsidRPr="005A3C3E">
        <w:rPr>
          <w:rFonts w:ascii="Times New Roman" w:hAnsi="Times New Roman"/>
          <w:sz w:val="24"/>
          <w:szCs w:val="24"/>
        </w:rPr>
        <w:t>range</w:t>
      </w:r>
      <w:r w:rsidR="00BC72DD" w:rsidRPr="005A3C3E">
        <w:rPr>
          <w:rFonts w:ascii="Times New Roman" w:hAnsi="Times New Roman"/>
          <w:sz w:val="24"/>
          <w:szCs w:val="24"/>
        </w:rPr>
        <w:t xml:space="preserve"> from -£</w:t>
      </w:r>
      <w:r w:rsidR="008C3A9A" w:rsidRPr="005A3C3E">
        <w:rPr>
          <w:rFonts w:ascii="Times New Roman" w:hAnsi="Times New Roman"/>
          <w:sz w:val="24"/>
          <w:szCs w:val="24"/>
        </w:rPr>
        <w:t>40</w:t>
      </w:r>
      <w:r w:rsidR="00BC72DD" w:rsidRPr="005A3C3E">
        <w:rPr>
          <w:rFonts w:ascii="Times New Roman" w:hAnsi="Times New Roman"/>
          <w:sz w:val="24"/>
          <w:szCs w:val="24"/>
        </w:rPr>
        <w:t>m to £</w:t>
      </w:r>
      <w:r w:rsidR="008C3A9A" w:rsidRPr="005A3C3E">
        <w:rPr>
          <w:rFonts w:ascii="Times New Roman" w:hAnsi="Times New Roman"/>
          <w:sz w:val="24"/>
          <w:szCs w:val="24"/>
        </w:rPr>
        <w:t>1</w:t>
      </w:r>
      <w:r w:rsidR="00BC72DD" w:rsidRPr="005A3C3E">
        <w:rPr>
          <w:rFonts w:ascii="Times New Roman" w:hAnsi="Times New Roman"/>
          <w:sz w:val="24"/>
          <w:szCs w:val="24"/>
        </w:rPr>
        <w:t xml:space="preserve">m at </w:t>
      </w:r>
      <w:r w:rsidR="005A3C3E" w:rsidRPr="005A3C3E">
        <w:rPr>
          <w:rFonts w:ascii="Times New Roman" w:hAnsi="Times New Roman"/>
          <w:sz w:val="24"/>
          <w:szCs w:val="24"/>
        </w:rPr>
        <w:t xml:space="preserve">across the </w:t>
      </w:r>
      <w:r w:rsidR="00BC72DD" w:rsidRPr="005A3C3E">
        <w:rPr>
          <w:rFonts w:ascii="Times New Roman" w:hAnsi="Times New Roman"/>
          <w:sz w:val="24"/>
          <w:szCs w:val="24"/>
        </w:rPr>
        <w:t>various voltage levels.  The maximum change is at</w:t>
      </w:r>
      <w:r w:rsidR="008C3A9A" w:rsidRPr="005A3C3E">
        <w:rPr>
          <w:rFonts w:ascii="Times New Roman" w:hAnsi="Times New Roman"/>
          <w:sz w:val="24"/>
          <w:szCs w:val="24"/>
        </w:rPr>
        <w:t xml:space="preserve"> the 132kV and </w:t>
      </w:r>
      <w:r w:rsidR="005A3C3E" w:rsidRPr="005A3C3E">
        <w:rPr>
          <w:rFonts w:ascii="Times New Roman" w:hAnsi="Times New Roman"/>
          <w:sz w:val="24"/>
          <w:szCs w:val="24"/>
        </w:rPr>
        <w:t xml:space="preserve">the </w:t>
      </w:r>
      <w:r w:rsidR="00BC72DD" w:rsidRPr="005A3C3E">
        <w:rPr>
          <w:rFonts w:ascii="Times New Roman" w:hAnsi="Times New Roman"/>
          <w:sz w:val="24"/>
          <w:szCs w:val="24"/>
        </w:rPr>
        <w:t xml:space="preserve">HV network level with </w:t>
      </w:r>
      <w:r w:rsidR="004A6727" w:rsidRPr="005A3C3E">
        <w:rPr>
          <w:rFonts w:ascii="Times New Roman" w:hAnsi="Times New Roman"/>
          <w:sz w:val="24"/>
          <w:szCs w:val="24"/>
        </w:rPr>
        <w:t xml:space="preserve">a </w:t>
      </w:r>
      <w:r w:rsidR="00BC72DD" w:rsidRPr="005A3C3E">
        <w:rPr>
          <w:rFonts w:ascii="Times New Roman" w:hAnsi="Times New Roman"/>
          <w:sz w:val="24"/>
          <w:szCs w:val="24"/>
        </w:rPr>
        <w:t>£</w:t>
      </w:r>
      <w:r w:rsidR="008C3A9A" w:rsidRPr="005A3C3E">
        <w:rPr>
          <w:rFonts w:ascii="Times New Roman" w:hAnsi="Times New Roman"/>
          <w:sz w:val="24"/>
          <w:szCs w:val="24"/>
        </w:rPr>
        <w:t>40</w:t>
      </w:r>
      <w:r w:rsidR="00BC72DD" w:rsidRPr="005A3C3E">
        <w:rPr>
          <w:rFonts w:ascii="Times New Roman" w:hAnsi="Times New Roman"/>
          <w:sz w:val="24"/>
          <w:szCs w:val="24"/>
        </w:rPr>
        <w:t>m reduction. The smallest change is at 132</w:t>
      </w:r>
      <w:r w:rsidR="004A6727" w:rsidRPr="005A3C3E">
        <w:rPr>
          <w:rFonts w:ascii="Times New Roman" w:hAnsi="Times New Roman"/>
          <w:sz w:val="24"/>
          <w:szCs w:val="24"/>
        </w:rPr>
        <w:t xml:space="preserve">kV/HV </w:t>
      </w:r>
      <w:r w:rsidR="00BC72DD" w:rsidRPr="005A3C3E">
        <w:rPr>
          <w:rFonts w:ascii="Times New Roman" w:hAnsi="Times New Roman"/>
          <w:sz w:val="24"/>
          <w:szCs w:val="24"/>
        </w:rPr>
        <w:t>network level with an increase of £</w:t>
      </w:r>
      <w:r w:rsidR="004A6727" w:rsidRPr="005A3C3E">
        <w:rPr>
          <w:rFonts w:ascii="Times New Roman" w:hAnsi="Times New Roman"/>
          <w:sz w:val="24"/>
          <w:szCs w:val="24"/>
        </w:rPr>
        <w:t>0.8m</w:t>
      </w:r>
      <w:r w:rsidR="00BC72DD" w:rsidRPr="005A3C3E">
        <w:rPr>
          <w:rFonts w:ascii="Times New Roman" w:hAnsi="Times New Roman"/>
          <w:sz w:val="24"/>
          <w:szCs w:val="24"/>
        </w:rPr>
        <w:t xml:space="preserve">.  </w:t>
      </w:r>
    </w:p>
    <w:p w:rsidR="008C3A9A" w:rsidRPr="005A3C3E" w:rsidRDefault="008C3A9A" w:rsidP="008C3A9A">
      <w:pPr>
        <w:spacing w:before="100" w:beforeAutospacing="1" w:after="100" w:afterAutospacing="1" w:line="240" w:lineRule="auto"/>
        <w:jc w:val="both"/>
        <w:rPr>
          <w:rFonts w:ascii="Times New Roman" w:hAnsi="Times New Roman"/>
          <w:sz w:val="24"/>
          <w:szCs w:val="24"/>
        </w:rPr>
      </w:pPr>
      <w:r w:rsidRPr="005A3C3E">
        <w:rPr>
          <w:rFonts w:ascii="Times New Roman" w:hAnsi="Times New Roman"/>
          <w:noProof/>
          <w:sz w:val="24"/>
          <w:szCs w:val="24"/>
          <w:lang w:eastAsia="en-GB"/>
        </w:rPr>
        <w:drawing>
          <wp:inline distT="0" distB="0" distL="0" distR="0" wp14:anchorId="037C1543" wp14:editId="4A485BAB">
            <wp:extent cx="5731510" cy="2021519"/>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1510" cy="2021519"/>
                    </a:xfrm>
                    <a:prstGeom prst="rect">
                      <a:avLst/>
                    </a:prstGeom>
                    <a:noFill/>
                    <a:ln>
                      <a:noFill/>
                    </a:ln>
                  </pic:spPr>
                </pic:pic>
              </a:graphicData>
            </a:graphic>
          </wp:inline>
        </w:drawing>
      </w:r>
      <w:bookmarkStart w:id="0" w:name="_GoBack"/>
      <w:bookmarkEnd w:id="0"/>
    </w:p>
    <w:p w:rsidR="004A6727" w:rsidRPr="005A3C3E" w:rsidRDefault="004A6727" w:rsidP="008C3A9A">
      <w:pPr>
        <w:spacing w:before="100" w:beforeAutospacing="1" w:after="100" w:afterAutospacing="1" w:line="240" w:lineRule="auto"/>
        <w:jc w:val="both"/>
        <w:rPr>
          <w:rFonts w:ascii="Times New Roman" w:hAnsi="Times New Roman"/>
          <w:sz w:val="24"/>
          <w:szCs w:val="24"/>
        </w:rPr>
      </w:pPr>
      <w:r w:rsidRPr="005A3C3E">
        <w:rPr>
          <w:rFonts w:ascii="Times New Roman" w:hAnsi="Times New Roman"/>
          <w:sz w:val="24"/>
          <w:szCs w:val="24"/>
        </w:rPr>
        <w:t xml:space="preserve">Despite the overall reduction in model costs, generally the </w:t>
      </w:r>
      <w:r w:rsidR="005A3C3E" w:rsidRPr="005A3C3E">
        <w:rPr>
          <w:rFonts w:ascii="Times New Roman" w:hAnsi="Times New Roman"/>
          <w:sz w:val="24"/>
          <w:szCs w:val="24"/>
        </w:rPr>
        <w:t xml:space="preserve">percentage </w:t>
      </w:r>
      <w:r w:rsidRPr="005A3C3E">
        <w:rPr>
          <w:rFonts w:ascii="Times New Roman" w:hAnsi="Times New Roman"/>
          <w:sz w:val="24"/>
          <w:szCs w:val="24"/>
        </w:rPr>
        <w:t xml:space="preserve">split of assets across the model has not changed significantly. Asset costs from </w:t>
      </w:r>
      <w:r w:rsidR="005A3C3E" w:rsidRPr="005A3C3E">
        <w:rPr>
          <w:rFonts w:ascii="Times New Roman" w:hAnsi="Times New Roman"/>
          <w:sz w:val="24"/>
          <w:szCs w:val="24"/>
        </w:rPr>
        <w:t xml:space="preserve">the </w:t>
      </w:r>
      <w:r w:rsidRPr="005A3C3E">
        <w:rPr>
          <w:rFonts w:ascii="Times New Roman" w:hAnsi="Times New Roman"/>
          <w:sz w:val="24"/>
          <w:szCs w:val="24"/>
        </w:rPr>
        <w:t>HV network level downwards accounted for 60.9% of costs in the present 500MW model and in HIDAM 61.6%.</w:t>
      </w:r>
    </w:p>
    <w:p w:rsidR="00BC72DD" w:rsidRPr="005A3C3E" w:rsidRDefault="00AD4A3B" w:rsidP="00BC72DD">
      <w:pPr>
        <w:rPr>
          <w:rFonts w:ascii="Times New Roman" w:hAnsi="Times New Roman"/>
          <w:b/>
          <w:sz w:val="24"/>
          <w:szCs w:val="24"/>
          <w:u w:val="single"/>
        </w:rPr>
      </w:pPr>
      <w:r>
        <w:rPr>
          <w:rFonts w:ascii="Times New Roman" w:hAnsi="Times New Roman"/>
          <w:b/>
          <w:sz w:val="24"/>
          <w:szCs w:val="24"/>
          <w:u w:val="single"/>
        </w:rPr>
        <w:t xml:space="preserve">Brief </w:t>
      </w:r>
      <w:r w:rsidR="00BC72DD" w:rsidRPr="005A3C3E">
        <w:rPr>
          <w:rFonts w:ascii="Times New Roman" w:hAnsi="Times New Roman"/>
          <w:b/>
          <w:sz w:val="24"/>
          <w:szCs w:val="24"/>
          <w:u w:val="single"/>
        </w:rPr>
        <w:t>Commentary on asset value changes</w:t>
      </w:r>
    </w:p>
    <w:p w:rsidR="00E06A35" w:rsidRPr="005A3C3E" w:rsidRDefault="00BC72DD" w:rsidP="00BC72DD">
      <w:pPr>
        <w:pStyle w:val="ListParagraph"/>
        <w:numPr>
          <w:ilvl w:val="0"/>
          <w:numId w:val="2"/>
        </w:numPr>
        <w:jc w:val="both"/>
        <w:rPr>
          <w:rFonts w:ascii="Times New Roman" w:hAnsi="Times New Roman" w:cs="Times New Roman"/>
          <w:sz w:val="24"/>
        </w:rPr>
      </w:pPr>
      <w:r w:rsidRPr="005A3C3E">
        <w:rPr>
          <w:rFonts w:ascii="Times New Roman" w:hAnsi="Times New Roman" w:cs="Times New Roman"/>
          <w:sz w:val="24"/>
        </w:rPr>
        <w:t xml:space="preserve">132kV – Total length of underground cable and overhead line </w:t>
      </w:r>
      <w:r w:rsidR="00E06A35" w:rsidRPr="005A3C3E">
        <w:rPr>
          <w:rFonts w:ascii="Times New Roman" w:hAnsi="Times New Roman" w:cs="Times New Roman"/>
          <w:sz w:val="24"/>
        </w:rPr>
        <w:t>calculated in HIDAM is significantly less than that in the present model and consequently costs are reduced.</w:t>
      </w:r>
    </w:p>
    <w:p w:rsidR="00BC72DD" w:rsidRPr="005A3C3E" w:rsidRDefault="00BC72DD" w:rsidP="00BC72DD">
      <w:pPr>
        <w:pStyle w:val="ListParagraph"/>
        <w:numPr>
          <w:ilvl w:val="0"/>
          <w:numId w:val="1"/>
        </w:numPr>
        <w:spacing w:before="100" w:beforeAutospacing="1" w:after="100" w:afterAutospacing="1"/>
        <w:jc w:val="both"/>
        <w:rPr>
          <w:rFonts w:ascii="Times New Roman" w:hAnsi="Times New Roman" w:cs="Times New Roman"/>
          <w:sz w:val="24"/>
        </w:rPr>
      </w:pPr>
      <w:r w:rsidRPr="005A3C3E">
        <w:rPr>
          <w:rFonts w:ascii="Times New Roman" w:hAnsi="Times New Roman" w:cs="Times New Roman"/>
          <w:sz w:val="24"/>
        </w:rPr>
        <w:t xml:space="preserve">132kV/EHV –The </w:t>
      </w:r>
      <w:r w:rsidR="00E06A35" w:rsidRPr="005A3C3E">
        <w:rPr>
          <w:rFonts w:ascii="Times New Roman" w:hAnsi="Times New Roman" w:cs="Times New Roman"/>
          <w:sz w:val="24"/>
        </w:rPr>
        <w:t xml:space="preserve">total </w:t>
      </w:r>
      <w:r w:rsidR="00EA6DE7" w:rsidRPr="005A3C3E">
        <w:rPr>
          <w:rFonts w:ascii="Times New Roman" w:hAnsi="Times New Roman" w:cs="Times New Roman"/>
          <w:sz w:val="24"/>
        </w:rPr>
        <w:t>cost has</w:t>
      </w:r>
      <w:r w:rsidR="00E06A35" w:rsidRPr="005A3C3E">
        <w:rPr>
          <w:rFonts w:ascii="Times New Roman" w:hAnsi="Times New Roman" w:cs="Times New Roman"/>
          <w:sz w:val="24"/>
        </w:rPr>
        <w:t xml:space="preserve"> increase</w:t>
      </w:r>
      <w:r w:rsidR="00EA6DE7" w:rsidRPr="005A3C3E">
        <w:rPr>
          <w:rFonts w:ascii="Times New Roman" w:hAnsi="Times New Roman" w:cs="Times New Roman"/>
          <w:sz w:val="24"/>
        </w:rPr>
        <w:t>d</w:t>
      </w:r>
      <w:r w:rsidR="00E06A35" w:rsidRPr="005A3C3E">
        <w:rPr>
          <w:rFonts w:ascii="Times New Roman" w:hAnsi="Times New Roman" w:cs="Times New Roman"/>
          <w:sz w:val="24"/>
        </w:rPr>
        <w:t xml:space="preserve"> due to re-allocation of some </w:t>
      </w:r>
      <w:r w:rsidR="00EA6DE7" w:rsidRPr="005A3C3E">
        <w:rPr>
          <w:rFonts w:ascii="Times New Roman" w:hAnsi="Times New Roman" w:cs="Times New Roman"/>
          <w:sz w:val="24"/>
        </w:rPr>
        <w:t xml:space="preserve">other costs from network levels above and below in line with HIDAM guidance notes and </w:t>
      </w:r>
      <w:r w:rsidRPr="005A3C3E">
        <w:rPr>
          <w:rFonts w:ascii="Times New Roman" w:hAnsi="Times New Roman" w:cs="Times New Roman"/>
          <w:sz w:val="24"/>
        </w:rPr>
        <w:t>new methodology.</w:t>
      </w:r>
    </w:p>
    <w:p w:rsidR="00EA6DE7" w:rsidRPr="005A3C3E" w:rsidRDefault="00BC72DD" w:rsidP="00EA6DE7">
      <w:pPr>
        <w:pStyle w:val="ListParagraph"/>
        <w:numPr>
          <w:ilvl w:val="0"/>
          <w:numId w:val="2"/>
        </w:numPr>
        <w:jc w:val="both"/>
        <w:rPr>
          <w:rFonts w:ascii="Times New Roman" w:hAnsi="Times New Roman" w:cs="Times New Roman"/>
          <w:sz w:val="24"/>
        </w:rPr>
      </w:pPr>
      <w:r w:rsidRPr="005A3C3E">
        <w:rPr>
          <w:rFonts w:ascii="Times New Roman" w:hAnsi="Times New Roman" w:cs="Times New Roman"/>
          <w:sz w:val="24"/>
        </w:rPr>
        <w:t xml:space="preserve">EHV – </w:t>
      </w:r>
      <w:r w:rsidR="00EA6DE7" w:rsidRPr="005A3C3E">
        <w:rPr>
          <w:rFonts w:ascii="Times New Roman" w:hAnsi="Times New Roman" w:cs="Times New Roman"/>
          <w:sz w:val="24"/>
        </w:rPr>
        <w:t>Total length of underground cable and overhead line calculated in HIDAM is significantly less than that in the present model and consequently costs are reduced.</w:t>
      </w:r>
    </w:p>
    <w:p w:rsidR="00BC72DD" w:rsidRPr="005A3C3E" w:rsidRDefault="00BC72DD" w:rsidP="00BC72DD">
      <w:pPr>
        <w:pStyle w:val="ListParagraph"/>
        <w:numPr>
          <w:ilvl w:val="0"/>
          <w:numId w:val="1"/>
        </w:numPr>
        <w:spacing w:before="100" w:beforeAutospacing="1" w:after="100" w:afterAutospacing="1"/>
        <w:jc w:val="both"/>
        <w:rPr>
          <w:rFonts w:ascii="Times New Roman" w:hAnsi="Times New Roman" w:cs="Times New Roman"/>
          <w:sz w:val="24"/>
        </w:rPr>
      </w:pPr>
      <w:r w:rsidRPr="005A3C3E">
        <w:rPr>
          <w:rFonts w:ascii="Times New Roman" w:hAnsi="Times New Roman" w:cs="Times New Roman"/>
          <w:sz w:val="24"/>
        </w:rPr>
        <w:t>EHV/HV – The total cost has</w:t>
      </w:r>
      <w:r w:rsidR="00EA6DE7" w:rsidRPr="005A3C3E">
        <w:rPr>
          <w:rFonts w:ascii="Times New Roman" w:hAnsi="Times New Roman" w:cs="Times New Roman"/>
          <w:sz w:val="24"/>
        </w:rPr>
        <w:t xml:space="preserve"> decreased as some costs have been moved into the HV network level again in line </w:t>
      </w:r>
      <w:r w:rsidR="00465BF9" w:rsidRPr="005A3C3E">
        <w:rPr>
          <w:rFonts w:ascii="Times New Roman" w:hAnsi="Times New Roman" w:cs="Times New Roman"/>
          <w:sz w:val="24"/>
        </w:rPr>
        <w:t>with HIDAM</w:t>
      </w:r>
      <w:r w:rsidR="00EA6DE7" w:rsidRPr="005A3C3E">
        <w:rPr>
          <w:rFonts w:ascii="Times New Roman" w:hAnsi="Times New Roman" w:cs="Times New Roman"/>
          <w:sz w:val="24"/>
        </w:rPr>
        <w:t xml:space="preserve"> guidance notes and new methodology.</w:t>
      </w:r>
    </w:p>
    <w:p w:rsidR="00EA6DE7" w:rsidRPr="005A3C3E" w:rsidRDefault="00EA6DE7" w:rsidP="00EA6DE7">
      <w:pPr>
        <w:pStyle w:val="ListParagraph"/>
        <w:numPr>
          <w:ilvl w:val="0"/>
          <w:numId w:val="1"/>
        </w:numPr>
        <w:spacing w:before="100" w:beforeAutospacing="1" w:after="100" w:afterAutospacing="1"/>
        <w:jc w:val="both"/>
        <w:rPr>
          <w:rFonts w:ascii="Times New Roman" w:hAnsi="Times New Roman" w:cs="Times New Roman"/>
          <w:sz w:val="24"/>
        </w:rPr>
      </w:pPr>
      <w:r w:rsidRPr="005A3C3E">
        <w:rPr>
          <w:rFonts w:ascii="Times New Roman" w:hAnsi="Times New Roman" w:cs="Times New Roman"/>
          <w:sz w:val="24"/>
        </w:rPr>
        <w:t>132kV/HV - The total cost has increased due to re-allocation of some other costs from network levels above and below in line with HIDAM guidance notes and new methodology.</w:t>
      </w:r>
    </w:p>
    <w:p w:rsidR="00BC72DD" w:rsidRPr="005A3C3E" w:rsidRDefault="00BC72DD" w:rsidP="00BC72DD">
      <w:pPr>
        <w:pStyle w:val="ListParagraph"/>
        <w:numPr>
          <w:ilvl w:val="0"/>
          <w:numId w:val="1"/>
        </w:numPr>
        <w:spacing w:before="100" w:beforeAutospacing="1" w:after="100" w:afterAutospacing="1"/>
        <w:jc w:val="both"/>
        <w:rPr>
          <w:rFonts w:ascii="Times New Roman" w:hAnsi="Times New Roman" w:cs="Times New Roman"/>
          <w:sz w:val="24"/>
        </w:rPr>
      </w:pPr>
      <w:r w:rsidRPr="005A3C3E">
        <w:rPr>
          <w:rFonts w:ascii="Times New Roman" w:hAnsi="Times New Roman" w:cs="Times New Roman"/>
          <w:sz w:val="24"/>
        </w:rPr>
        <w:t>HV – The cost has reduced because the modelled length of HV</w:t>
      </w:r>
      <w:r w:rsidR="00EA6DE7" w:rsidRPr="005A3C3E">
        <w:rPr>
          <w:rFonts w:ascii="Times New Roman" w:hAnsi="Times New Roman" w:cs="Times New Roman"/>
          <w:sz w:val="24"/>
        </w:rPr>
        <w:t xml:space="preserve"> circuit has reduced by 8%, however switchgear costs have increased to </w:t>
      </w:r>
      <w:r w:rsidR="00366440" w:rsidRPr="005A3C3E">
        <w:rPr>
          <w:rFonts w:ascii="Times New Roman" w:hAnsi="Times New Roman" w:cs="Times New Roman"/>
          <w:sz w:val="24"/>
        </w:rPr>
        <w:t>reflect</w:t>
      </w:r>
      <w:r w:rsidR="00EA6DE7" w:rsidRPr="005A3C3E">
        <w:rPr>
          <w:rFonts w:ascii="Times New Roman" w:hAnsi="Times New Roman" w:cs="Times New Roman"/>
          <w:sz w:val="24"/>
        </w:rPr>
        <w:t xml:space="preserve"> change in methodology. Also </w:t>
      </w:r>
      <w:r w:rsidR="005A3C3E" w:rsidRPr="005A3C3E">
        <w:rPr>
          <w:rFonts w:ascii="Times New Roman" w:hAnsi="Times New Roman" w:cs="Times New Roman"/>
          <w:sz w:val="24"/>
        </w:rPr>
        <w:t xml:space="preserve">some </w:t>
      </w:r>
      <w:r w:rsidR="00EA6DE7" w:rsidRPr="005A3C3E">
        <w:rPr>
          <w:rFonts w:ascii="Times New Roman" w:hAnsi="Times New Roman" w:cs="Times New Roman"/>
          <w:sz w:val="24"/>
        </w:rPr>
        <w:t xml:space="preserve">costs have been moved from the 132kV/HV and EHV/HV levels to </w:t>
      </w:r>
      <w:r w:rsidR="00366440" w:rsidRPr="005A3C3E">
        <w:rPr>
          <w:rFonts w:ascii="Times New Roman" w:hAnsi="Times New Roman" w:cs="Times New Roman"/>
          <w:sz w:val="24"/>
        </w:rPr>
        <w:t>this level.</w:t>
      </w:r>
    </w:p>
    <w:p w:rsidR="00BC72DD" w:rsidRPr="005A3C3E" w:rsidRDefault="00BC72DD" w:rsidP="005A3C3E">
      <w:pPr>
        <w:pStyle w:val="ListParagraph"/>
        <w:numPr>
          <w:ilvl w:val="0"/>
          <w:numId w:val="1"/>
        </w:numPr>
        <w:spacing w:before="100" w:beforeAutospacing="1" w:after="100" w:afterAutospacing="1"/>
        <w:jc w:val="both"/>
        <w:rPr>
          <w:rFonts w:ascii="Times New Roman" w:hAnsi="Times New Roman" w:cs="Times New Roman"/>
          <w:sz w:val="24"/>
        </w:rPr>
      </w:pPr>
      <w:r w:rsidRPr="005A3C3E">
        <w:rPr>
          <w:rFonts w:ascii="Times New Roman" w:hAnsi="Times New Roman" w:cs="Times New Roman"/>
          <w:sz w:val="24"/>
        </w:rPr>
        <w:t xml:space="preserve">HV/LV – Total number of HV/LV substations is </w:t>
      </w:r>
      <w:r w:rsidR="00366440" w:rsidRPr="005A3C3E">
        <w:rPr>
          <w:rFonts w:ascii="Times New Roman" w:hAnsi="Times New Roman" w:cs="Times New Roman"/>
          <w:sz w:val="24"/>
        </w:rPr>
        <w:t>much lower than that in</w:t>
      </w:r>
      <w:r w:rsidRPr="005A3C3E">
        <w:rPr>
          <w:rFonts w:ascii="Times New Roman" w:hAnsi="Times New Roman" w:cs="Times New Roman"/>
          <w:sz w:val="24"/>
        </w:rPr>
        <w:t xml:space="preserve"> </w:t>
      </w:r>
      <w:r w:rsidR="00366440" w:rsidRPr="005A3C3E">
        <w:rPr>
          <w:rFonts w:ascii="Times New Roman" w:hAnsi="Times New Roman" w:cs="Times New Roman"/>
          <w:sz w:val="24"/>
        </w:rPr>
        <w:t>the existing</w:t>
      </w:r>
      <w:r w:rsidRPr="005A3C3E">
        <w:rPr>
          <w:rFonts w:ascii="Times New Roman" w:hAnsi="Times New Roman" w:cs="Times New Roman"/>
          <w:sz w:val="24"/>
        </w:rPr>
        <w:t xml:space="preserve"> model</w:t>
      </w:r>
      <w:r w:rsidR="00366440" w:rsidRPr="005A3C3E">
        <w:rPr>
          <w:rFonts w:ascii="Times New Roman" w:hAnsi="Times New Roman" w:cs="Times New Roman"/>
          <w:sz w:val="24"/>
        </w:rPr>
        <w:t xml:space="preserve"> and is biased towards larger rated transformers in HIDAM</w:t>
      </w:r>
      <w:r w:rsidR="005A3C3E">
        <w:rPr>
          <w:rFonts w:ascii="Times New Roman" w:hAnsi="Times New Roman" w:cs="Times New Roman"/>
          <w:sz w:val="24"/>
        </w:rPr>
        <w:t>. This is</w:t>
      </w:r>
      <w:r w:rsidR="00366440" w:rsidRPr="005A3C3E">
        <w:rPr>
          <w:rFonts w:ascii="Times New Roman" w:hAnsi="Times New Roman" w:cs="Times New Roman"/>
          <w:sz w:val="24"/>
        </w:rPr>
        <w:t xml:space="preserve"> due to relying on recent network extensions rather than reference to </w:t>
      </w:r>
      <w:r w:rsidR="005A3C3E">
        <w:rPr>
          <w:rFonts w:ascii="Times New Roman" w:hAnsi="Times New Roman" w:cs="Times New Roman"/>
          <w:sz w:val="24"/>
        </w:rPr>
        <w:t xml:space="preserve">the </w:t>
      </w:r>
      <w:r w:rsidR="00366440" w:rsidRPr="005A3C3E">
        <w:rPr>
          <w:rFonts w:ascii="Times New Roman" w:hAnsi="Times New Roman" w:cs="Times New Roman"/>
          <w:sz w:val="24"/>
        </w:rPr>
        <w:t>existing transformer population profile.</w:t>
      </w:r>
    </w:p>
    <w:p w:rsidR="00BC72DD" w:rsidRPr="005A3C3E" w:rsidRDefault="00BC72DD" w:rsidP="00BC72DD">
      <w:pPr>
        <w:pStyle w:val="ListParagraph"/>
        <w:numPr>
          <w:ilvl w:val="0"/>
          <w:numId w:val="1"/>
        </w:numPr>
        <w:spacing w:before="100" w:beforeAutospacing="1" w:after="100" w:afterAutospacing="1"/>
        <w:jc w:val="both"/>
        <w:rPr>
          <w:rFonts w:ascii="Times New Roman" w:hAnsi="Times New Roman" w:cs="Times New Roman"/>
          <w:sz w:val="24"/>
        </w:rPr>
      </w:pPr>
      <w:r w:rsidRPr="005A3C3E">
        <w:rPr>
          <w:rFonts w:ascii="Times New Roman" w:hAnsi="Times New Roman" w:cs="Times New Roman"/>
          <w:sz w:val="24"/>
        </w:rPr>
        <w:t>LV – Total modelled LV cable length has</w:t>
      </w:r>
      <w:r w:rsidR="00366440" w:rsidRPr="005A3C3E">
        <w:rPr>
          <w:rFonts w:ascii="Times New Roman" w:hAnsi="Times New Roman" w:cs="Times New Roman"/>
          <w:sz w:val="24"/>
        </w:rPr>
        <w:t xml:space="preserve"> decreased </w:t>
      </w:r>
      <w:r w:rsidR="00465BF9" w:rsidRPr="005A3C3E">
        <w:rPr>
          <w:rFonts w:ascii="Times New Roman" w:hAnsi="Times New Roman" w:cs="Times New Roman"/>
          <w:sz w:val="24"/>
        </w:rPr>
        <w:t>and resulted in a reduction in costs.</w:t>
      </w:r>
    </w:p>
    <w:p w:rsidR="00BC72DD" w:rsidRPr="005A3C3E" w:rsidRDefault="00BC72DD" w:rsidP="00BC72DD">
      <w:pPr>
        <w:pStyle w:val="ListParagraph"/>
        <w:rPr>
          <w:rFonts w:ascii="Times New Roman" w:hAnsi="Times New Roman" w:cs="Times New Roman"/>
          <w:b/>
          <w:sz w:val="24"/>
          <w:u w:val="single"/>
        </w:rPr>
      </w:pPr>
    </w:p>
    <w:p w:rsidR="00080243" w:rsidRPr="00C61020" w:rsidRDefault="00080243" w:rsidP="00080243">
      <w:pPr>
        <w:rPr>
          <w:rFonts w:ascii="Times New Roman" w:hAnsi="Times New Roman"/>
          <w:sz w:val="24"/>
        </w:rPr>
      </w:pPr>
      <w:r w:rsidRPr="00C61020">
        <w:rPr>
          <w:rFonts w:ascii="Times New Roman" w:hAnsi="Times New Roman"/>
          <w:sz w:val="24"/>
        </w:rPr>
        <w:t xml:space="preserve">In populating </w:t>
      </w:r>
      <w:r>
        <w:rPr>
          <w:rFonts w:ascii="Times New Roman" w:hAnsi="Times New Roman"/>
          <w:sz w:val="24"/>
        </w:rPr>
        <w:t xml:space="preserve">the </w:t>
      </w:r>
      <w:r w:rsidRPr="00C61020">
        <w:rPr>
          <w:rFonts w:ascii="Times New Roman" w:hAnsi="Times New Roman"/>
          <w:sz w:val="24"/>
        </w:rPr>
        <w:t xml:space="preserve">HIDAM for the DCUSA working </w:t>
      </w:r>
      <w:r>
        <w:rPr>
          <w:rFonts w:ascii="Times New Roman" w:hAnsi="Times New Roman"/>
          <w:sz w:val="24"/>
        </w:rPr>
        <w:t xml:space="preserve">group it was not possible in all cases to apply costs retrospectively to all assets and present day values have been used. Also where reference has been made to relying on data for network extensions over the past 5 years in some cases assumptions have had to be made. </w:t>
      </w:r>
    </w:p>
    <w:p w:rsidR="00CE6DDF" w:rsidRPr="005A3C3E" w:rsidRDefault="00B924C7">
      <w:pPr>
        <w:rPr>
          <w:rFonts w:ascii="Times New Roman" w:hAnsi="Times New Roman"/>
        </w:rPr>
      </w:pPr>
      <w:r>
        <w:rPr>
          <w:rFonts w:ascii="Times New Roman" w:hAnsi="Times New Roman"/>
        </w:rPr>
        <w:t>Note: Commentary is based on April 13. The Impact assessment has been uplifted by 2.17% for RPI for April 14.</w:t>
      </w:r>
    </w:p>
    <w:sectPr w:rsidR="00CE6DDF" w:rsidRPr="005A3C3E" w:rsidSect="005A3C3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307931"/>
    <w:multiLevelType w:val="hybridMultilevel"/>
    <w:tmpl w:val="361C32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0883DBD"/>
    <w:multiLevelType w:val="hybridMultilevel"/>
    <w:tmpl w:val="5DB69B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7AD040B0"/>
    <w:multiLevelType w:val="hybridMultilevel"/>
    <w:tmpl w:val="B69862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72DD"/>
    <w:rsid w:val="00080243"/>
    <w:rsid w:val="002C653C"/>
    <w:rsid w:val="00366440"/>
    <w:rsid w:val="00465BF9"/>
    <w:rsid w:val="004A6727"/>
    <w:rsid w:val="005A3C3E"/>
    <w:rsid w:val="008C3A9A"/>
    <w:rsid w:val="00AC4B75"/>
    <w:rsid w:val="00AD4A3B"/>
    <w:rsid w:val="00B924C7"/>
    <w:rsid w:val="00BC72DD"/>
    <w:rsid w:val="00CE6DDF"/>
    <w:rsid w:val="00E06A35"/>
    <w:rsid w:val="00E51FB3"/>
    <w:rsid w:val="00EA6D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2DD"/>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72DD"/>
    <w:pPr>
      <w:spacing w:after="0" w:line="240" w:lineRule="auto"/>
      <w:ind w:left="720"/>
      <w:contextualSpacing/>
    </w:pPr>
    <w:rPr>
      <w:rFonts w:ascii="Arial" w:eastAsia="Times New Roman" w:hAnsi="Arial" w:cs="Arial"/>
      <w:szCs w:val="24"/>
      <w:lang w:eastAsia="en-GB"/>
    </w:rPr>
  </w:style>
  <w:style w:type="paragraph" w:styleId="BalloonText">
    <w:name w:val="Balloon Text"/>
    <w:basedOn w:val="Normal"/>
    <w:link w:val="BalloonTextChar"/>
    <w:uiPriority w:val="99"/>
    <w:semiHidden/>
    <w:unhideWhenUsed/>
    <w:rsid w:val="00BC72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72DD"/>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2DD"/>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72DD"/>
    <w:pPr>
      <w:spacing w:after="0" w:line="240" w:lineRule="auto"/>
      <w:ind w:left="720"/>
      <w:contextualSpacing/>
    </w:pPr>
    <w:rPr>
      <w:rFonts w:ascii="Arial" w:eastAsia="Times New Roman" w:hAnsi="Arial" w:cs="Arial"/>
      <w:szCs w:val="24"/>
      <w:lang w:eastAsia="en-GB"/>
    </w:rPr>
  </w:style>
  <w:style w:type="paragraph" w:styleId="BalloonText">
    <w:name w:val="Balloon Text"/>
    <w:basedOn w:val="Normal"/>
    <w:link w:val="BalloonTextChar"/>
    <w:uiPriority w:val="99"/>
    <w:semiHidden/>
    <w:unhideWhenUsed/>
    <w:rsid w:val="00BC72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72DD"/>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404</Words>
  <Characters>2306</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Western Power Distribution</Company>
  <LinksUpToDate>false</LinksUpToDate>
  <CharactersWithSpaces>2705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Roderick, Andrew W.</dc:creator>
  <cp:lastModifiedBy>Wornell, Dave I.</cp:lastModifiedBy>
  <cp:revision>2</cp:revision>
  <cp:lastPrinted>2013-08-15T18:06:00Z</cp:lastPrinted>
  <dcterms:created xsi:type="dcterms:W3CDTF">2014-02-07T09:16:00Z</dcterms:created>
  <dcterms:modified xsi:type="dcterms:W3CDTF">2014-02-07T09:16:00Z</dcterms:modified>
</cp:coreProperties>
</file>