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71" w:rsidRPr="002342DB" w:rsidRDefault="00904753">
      <w:pPr>
        <w:rPr>
          <w:sz w:val="28"/>
          <w:szCs w:val="28"/>
        </w:rPr>
      </w:pPr>
      <w:bookmarkStart w:id="0" w:name="_GoBack"/>
      <w:bookmarkEnd w:id="0"/>
      <w:r w:rsidRPr="002342DB">
        <w:rPr>
          <w:b/>
          <w:sz w:val="28"/>
          <w:szCs w:val="28"/>
        </w:rPr>
        <w:t>SP Distribution &amp; SP Manweb:  Impact of H</w:t>
      </w:r>
      <w:r w:rsidR="002342DB">
        <w:rPr>
          <w:b/>
          <w:sz w:val="28"/>
          <w:szCs w:val="28"/>
        </w:rPr>
        <w:t>IDAM</w:t>
      </w:r>
    </w:p>
    <w:p w:rsidR="00904753" w:rsidRPr="002342DB" w:rsidRDefault="00904753">
      <w:pPr>
        <w:rPr>
          <w:b/>
          <w:i/>
        </w:rPr>
      </w:pPr>
      <w:r w:rsidRPr="002342DB">
        <w:rPr>
          <w:b/>
          <w:i/>
          <w:u w:val="single"/>
        </w:rPr>
        <w:t>Asset Values</w:t>
      </w:r>
    </w:p>
    <w:p w:rsidR="00904753" w:rsidRDefault="00904753">
      <w:r w:rsidRPr="002342DB">
        <w:rPr>
          <w:b/>
        </w:rPr>
        <w:t>SP Distribution</w:t>
      </w:r>
      <w:r>
        <w:t>:  The total asset values increase by 35% from £2</w:t>
      </w:r>
      <w:r w:rsidR="008C0FF3">
        <w:t>9</w:t>
      </w:r>
      <w:r>
        <w:t>3m to £396m, this is due largely to the increase in assets included in the EHV network level and modelling requirements within the HIDAM result</w:t>
      </w:r>
      <w:r w:rsidR="00C84CB8">
        <w:t>ing</w:t>
      </w:r>
      <w:r>
        <w:t xml:space="preserve"> in an increase in the LV assets</w:t>
      </w:r>
      <w:r w:rsidR="002C3CAD">
        <w:t xml:space="preserve"> (£55m)</w:t>
      </w:r>
      <w:r>
        <w:t xml:space="preserve">. </w:t>
      </w:r>
    </w:p>
    <w:p w:rsidR="00904753" w:rsidRDefault="00904753">
      <w:r w:rsidRPr="002342DB">
        <w:rPr>
          <w:b/>
        </w:rPr>
        <w:t>SP Manweb</w:t>
      </w:r>
      <w:r>
        <w:t xml:space="preserve">:  The total asset values increase by 5.9% from £575m to </w:t>
      </w:r>
      <w:r w:rsidR="00C84CB8">
        <w:t>£</w:t>
      </w:r>
      <w:r>
        <w:t xml:space="preserve">609m.  There are some significant changes within the voltage levels, </w:t>
      </w:r>
      <w:r w:rsidR="008C0FF3">
        <w:t xml:space="preserve">including </w:t>
      </w:r>
      <w:r>
        <w:t>+153% (£18m) at 132/EHV and +2</w:t>
      </w:r>
      <w:r w:rsidR="008C0FF3">
        <w:t>2</w:t>
      </w:r>
      <w:r>
        <w:t>4% (£90m) in LV circuits.  These increase</w:t>
      </w:r>
      <w:r w:rsidR="002342DB">
        <w:t>s</w:t>
      </w:r>
      <w:r>
        <w:t xml:space="preserve"> are largely as a result of the reallocation of assets between the voltage levels and the modelling requirements of the HID</w:t>
      </w:r>
      <w:r w:rsidR="002C3CAD">
        <w:t>A</w:t>
      </w:r>
      <w:r>
        <w:t>M.</w:t>
      </w:r>
    </w:p>
    <w:p w:rsidR="008C0FF3" w:rsidRDefault="008C0FF3">
      <w:pPr>
        <w:rPr>
          <w:b/>
          <w:i/>
          <w:u w:val="single"/>
        </w:rPr>
      </w:pPr>
    </w:p>
    <w:p w:rsidR="00904753" w:rsidRPr="002342DB" w:rsidRDefault="00904753">
      <w:pPr>
        <w:rPr>
          <w:b/>
          <w:i/>
        </w:rPr>
      </w:pPr>
      <w:r w:rsidRPr="002342DB">
        <w:rPr>
          <w:b/>
          <w:i/>
          <w:u w:val="single"/>
        </w:rPr>
        <w:t>Impact on Revenues</w:t>
      </w:r>
    </w:p>
    <w:p w:rsidR="00904753" w:rsidRDefault="00904753">
      <w:r w:rsidRPr="002342DB">
        <w:rPr>
          <w:b/>
        </w:rPr>
        <w:t>SP Distribution:</w:t>
      </w:r>
      <w:r>
        <w:t xml:space="preserve">  There is a very small increase in the total </w:t>
      </w:r>
      <w:r w:rsidR="002342DB">
        <w:t xml:space="preserve">CDCM </w:t>
      </w:r>
      <w:r>
        <w:t xml:space="preserve">revenue </w:t>
      </w:r>
      <w:r w:rsidR="002342DB">
        <w:t>by using the HIDAM data.  Domestic Unrestricted and LV HH Metered both increase slightly by 0.4% and 3.3% respectively, and decreases are seen in HV HH metered tariffs.  Domestic Unrestricted would have seen a 0.42p/ MPAN increase using HIDAM data.</w:t>
      </w:r>
    </w:p>
    <w:p w:rsidR="002342DB" w:rsidRDefault="002342DB">
      <w:r w:rsidRPr="002342DB">
        <w:rPr>
          <w:b/>
        </w:rPr>
        <w:t>SP Manweb:</w:t>
      </w:r>
      <w:r>
        <w:t xml:space="preserve">  Again a very small increase in overall CDCM revenue. Domestic Unrestricted tariffs increase by 1.9% (£3.02/MPAN), LV HH metered </w:t>
      </w:r>
      <w:r w:rsidR="008C0FF3">
        <w:t>sees the highest increase at 4.4%</w:t>
      </w:r>
      <w:r>
        <w:t>.  The biggest decrease in demand tariffs is LV Sub HH Metered which reduces by 2.5%.</w:t>
      </w:r>
    </w:p>
    <w:p w:rsidR="002342DB" w:rsidRDefault="002342DB"/>
    <w:p w:rsidR="002342DB" w:rsidRPr="002342DB" w:rsidRDefault="002342DB">
      <w:pPr>
        <w:rPr>
          <w:i/>
        </w:rPr>
      </w:pPr>
      <w:r w:rsidRPr="002342DB">
        <w:rPr>
          <w:b/>
          <w:i/>
          <w:u w:val="single"/>
        </w:rPr>
        <w:t>Impact on CDCM Tariffs</w:t>
      </w:r>
    </w:p>
    <w:p w:rsidR="002342DB" w:rsidRDefault="002342DB">
      <w:r w:rsidRPr="00C022CE">
        <w:rPr>
          <w:b/>
        </w:rPr>
        <w:t>SP Distribution:</w:t>
      </w:r>
      <w:r w:rsidR="00990B5F">
        <w:t xml:space="preserve">  Whilst the majority of demand tariffs see a decrease, the fixed charge for Domestic Unrestricted increases by 4.2%</w:t>
      </w:r>
      <w:r w:rsidR="008C0FF3">
        <w:t xml:space="preserve"> (</w:t>
      </w:r>
      <w:r w:rsidR="00990B5F">
        <w:t>the unit rate decreases by 0.5%</w:t>
      </w:r>
      <w:r w:rsidR="008C0FF3">
        <w:t>)</w:t>
      </w:r>
      <w:r w:rsidR="00990B5F">
        <w:t>. The biggest increase is the fixed charge for LV Medium Non-domestic tariff which increase</w:t>
      </w:r>
      <w:r w:rsidR="008C0FF3">
        <w:t>s</w:t>
      </w:r>
      <w:r w:rsidR="00990B5F">
        <w:t xml:space="preserve"> by 46.2%,</w:t>
      </w:r>
    </w:p>
    <w:p w:rsidR="002342DB" w:rsidRDefault="002342DB">
      <w:r w:rsidRPr="00C022CE">
        <w:rPr>
          <w:b/>
        </w:rPr>
        <w:t>SP Manweb:</w:t>
      </w:r>
      <w:r w:rsidR="00990B5F">
        <w:t xml:space="preserve">  For demand tariffs, the unit rates all reduce with the exception of Unmetered Supplies. </w:t>
      </w:r>
      <w:r w:rsidR="00C022CE">
        <w:t xml:space="preserve">The biggest decrease is 4.9% for LV Sub HH metered Amber Rate. </w:t>
      </w:r>
      <w:r w:rsidR="00990B5F">
        <w:t xml:space="preserve"> The fixed rates however see more significant increases, with Domestic Unrest</w:t>
      </w:r>
      <w:r w:rsidR="00C022CE">
        <w:t>r</w:t>
      </w:r>
      <w:r w:rsidR="00990B5F">
        <w:t xml:space="preserve">icted fixed rate increasing by 45% and the LV Medium </w:t>
      </w:r>
      <w:r w:rsidR="00C022CE">
        <w:t>Non-domestic fixed rate seeing a 123% increase.</w:t>
      </w:r>
    </w:p>
    <w:p w:rsidR="008C0FF3" w:rsidRDefault="008C0FF3">
      <w:pPr>
        <w:rPr>
          <w:b/>
          <w:i/>
          <w:u w:val="single"/>
        </w:rPr>
      </w:pPr>
    </w:p>
    <w:p w:rsidR="002342DB" w:rsidRPr="002342DB" w:rsidRDefault="002342DB">
      <w:pPr>
        <w:rPr>
          <w:i/>
          <w:u w:val="single"/>
        </w:rPr>
      </w:pPr>
      <w:r w:rsidRPr="002342DB">
        <w:rPr>
          <w:b/>
          <w:i/>
          <w:u w:val="single"/>
        </w:rPr>
        <w:t>Impact on EDCM Tariffs</w:t>
      </w:r>
    </w:p>
    <w:p w:rsidR="002342DB" w:rsidRDefault="002342DB">
      <w:r w:rsidRPr="005A0754">
        <w:rPr>
          <w:b/>
        </w:rPr>
        <w:t>SP Distribution</w:t>
      </w:r>
      <w:r>
        <w:t>:</w:t>
      </w:r>
      <w:r w:rsidR="005A0754">
        <w:t xml:space="preserve">  The majority of EDCM demand customers see a</w:t>
      </w:r>
      <w:r w:rsidR="00E0213D">
        <w:t xml:space="preserve"> decrease </w:t>
      </w:r>
      <w:r w:rsidR="005A0754">
        <w:t xml:space="preserve">in their annual charge, the average increase is 7.8% and the maximum </w:t>
      </w:r>
      <w:r w:rsidR="00C84CB8">
        <w:t xml:space="preserve">is </w:t>
      </w:r>
      <w:r w:rsidR="005A0754">
        <w:t xml:space="preserve">20.8%.  </w:t>
      </w:r>
      <w:r w:rsidR="0077528C">
        <w:t>The majority of g</w:t>
      </w:r>
      <w:r w:rsidR="005A0754">
        <w:t xml:space="preserve">eneration customers see </w:t>
      </w:r>
      <w:r w:rsidR="00724BF4">
        <w:t xml:space="preserve">decreases in their charges of an average </w:t>
      </w:r>
      <w:r w:rsidR="005A0754">
        <w:t>10.2%.</w:t>
      </w:r>
      <w:r w:rsidR="00990B5F">
        <w:t xml:space="preserve">  </w:t>
      </w:r>
    </w:p>
    <w:p w:rsidR="00904753" w:rsidRPr="00904753" w:rsidRDefault="002342DB">
      <w:r w:rsidRPr="005A0754">
        <w:rPr>
          <w:b/>
        </w:rPr>
        <w:t>SP Manweb</w:t>
      </w:r>
      <w:r>
        <w:t>:</w:t>
      </w:r>
      <w:r w:rsidR="005A0754">
        <w:t xml:space="preserve">  The majority of EDCM demand customers see a</w:t>
      </w:r>
      <w:r w:rsidR="00E0213D">
        <w:t xml:space="preserve"> decrease </w:t>
      </w:r>
      <w:r w:rsidR="005A0754">
        <w:t xml:space="preserve">in their annual charge, the average </w:t>
      </w:r>
      <w:r w:rsidR="00E0213D">
        <w:t>decrease i</w:t>
      </w:r>
      <w:r w:rsidR="005A0754">
        <w:t xml:space="preserve">s 7.1% and the maximum </w:t>
      </w:r>
      <w:r w:rsidR="00C84CB8">
        <w:t xml:space="preserve">is </w:t>
      </w:r>
      <w:r w:rsidR="005A0754">
        <w:t xml:space="preserve">30%.  </w:t>
      </w:r>
      <w:r w:rsidR="0077528C">
        <w:t xml:space="preserve">The majority of </w:t>
      </w:r>
      <w:r w:rsidR="00E0213D">
        <w:t xml:space="preserve">generation customers’ charges decrease slightly, </w:t>
      </w:r>
      <w:r w:rsidR="0077528C">
        <w:t xml:space="preserve">with an </w:t>
      </w:r>
      <w:r w:rsidR="00E0213D">
        <w:t xml:space="preserve">average </w:t>
      </w:r>
      <w:r w:rsidR="0077528C">
        <w:t xml:space="preserve">decrease of </w:t>
      </w:r>
      <w:r w:rsidR="00E0213D">
        <w:t>0.6%.</w:t>
      </w:r>
    </w:p>
    <w:sectPr w:rsidR="00904753" w:rsidRPr="009047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53"/>
    <w:rsid w:val="002342DB"/>
    <w:rsid w:val="002C3CAD"/>
    <w:rsid w:val="005A0754"/>
    <w:rsid w:val="00724BF4"/>
    <w:rsid w:val="0077528C"/>
    <w:rsid w:val="008C0FF3"/>
    <w:rsid w:val="00904753"/>
    <w:rsid w:val="00990B5F"/>
    <w:rsid w:val="00A62971"/>
    <w:rsid w:val="00C022CE"/>
    <w:rsid w:val="00C84CB8"/>
    <w:rsid w:val="00E0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IBERDROLA S.A.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jo064355</dc:creator>
  <cp:lastModifiedBy>jo064355</cp:lastModifiedBy>
  <cp:revision>4</cp:revision>
  <cp:lastPrinted>2014-01-22T09:22:00Z</cp:lastPrinted>
  <dcterms:created xsi:type="dcterms:W3CDTF">2014-01-21T15:27:00Z</dcterms:created>
  <dcterms:modified xsi:type="dcterms:W3CDTF">2014-01-22T13:45:00Z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-1694530432</vt:i4>
  </property>
  <property fmtid="{D5CDD505-2E9C-101B-9397-08002B2CF9AE}" pid="3" name="_NewReviewCycle">
    <vt:lpwstr/>
  </property>
  <property fmtid="{D5CDD505-2E9C-101B-9397-08002B2CF9AE}" pid="4" name="_EmailSubject">
    <vt:lpwstr>DCP 133 Consultation</vt:lpwstr>
  </property>
  <property fmtid="{D5CDD505-2E9C-101B-9397-08002B2CF9AE}" pid="5" name="_AuthorEmail">
    <vt:lpwstr>Wendy.Mantle@SPPowerSystems.com</vt:lpwstr>
  </property>
  <property fmtid="{D5CDD505-2E9C-101B-9397-08002B2CF9AE}" pid="6" name="_AuthorEmailDisplayName">
    <vt:lpwstr>Mantle, Wendy</vt:lpwstr>
  </property>
</Properties>
</file>