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147FC9" w:rsidP="00F24FAB">
      <w:pPr>
        <w:pStyle w:val="Heading1"/>
        <w:numPr>
          <w:ilvl w:val="0"/>
          <w:numId w:val="0"/>
        </w:numPr>
        <w:rPr>
          <w:b/>
          <w:sz w:val="20"/>
          <w:szCs w:val="20"/>
        </w:rPr>
      </w:pPr>
      <w:r>
        <w:rPr>
          <w:b/>
          <w:sz w:val="20"/>
          <w:szCs w:val="20"/>
        </w:rPr>
        <w:t>APPENDIX A</w:t>
      </w:r>
      <w:r w:rsidR="00B60837" w:rsidRPr="006B3C4A">
        <w:rPr>
          <w:b/>
          <w:sz w:val="20"/>
          <w:szCs w:val="20"/>
        </w:rPr>
        <w:t xml:space="preserve"> -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4868E6">
        <w:rPr>
          <w:rFonts w:ascii="Verdana" w:hAnsi="Verdana"/>
          <w:sz w:val="20"/>
          <w:szCs w:val="20"/>
        </w:rPr>
        <w:t>Alex Burford</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r w:rsidRPr="006B3C4A">
        <w:rPr>
          <w:rFonts w:ascii="Verdana" w:hAnsi="Verdana"/>
          <w:sz w:val="20"/>
          <w:szCs w:val="20"/>
        </w:rPr>
        <w:t xml:space="preserve">Fax: 020 </w:t>
      </w:r>
      <w:r w:rsidR="004868E6">
        <w:rPr>
          <w:rFonts w:ascii="Verdana" w:hAnsi="Verdana"/>
          <w:sz w:val="20"/>
          <w:szCs w:val="20"/>
        </w:rPr>
        <w:t>7432 3011</w:t>
      </w:r>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522866">
        <w:rPr>
          <w:rFonts w:ascii="Verdana" w:hAnsi="Verdana"/>
          <w:sz w:val="20"/>
          <w:szCs w:val="20"/>
        </w:rPr>
        <w:t xml:space="preserve"> Supplier/DNO/IDNO/DG/OTSO</w:t>
      </w:r>
      <w:r w:rsidR="004868E6">
        <w:rPr>
          <w:rFonts w:ascii="Verdana" w:hAnsi="Verdana"/>
          <w:sz w:val="20"/>
          <w:szCs w:val="20"/>
        </w:rPr>
        <w:t>/</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B60837" w:rsidRDefault="00B60837" w:rsidP="00F24FAB">
      <w:pPr>
        <w:rPr>
          <w:rFonts w:ascii="Verdana" w:hAnsi="Verdana" w:cs="Arial"/>
          <w:b/>
          <w:sz w:val="20"/>
          <w:szCs w:val="20"/>
        </w:rPr>
      </w:pPr>
    </w:p>
    <w:p w:rsidR="004868E6" w:rsidRPr="00FF12A2" w:rsidRDefault="004868E6" w:rsidP="00F24FAB">
      <w:pPr>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rPr>
          <w:trHeight w:val="589"/>
        </w:trPr>
        <w:tc>
          <w:tcPr>
            <w:tcW w:w="8528" w:type="dxa"/>
            <w:shd w:val="clear" w:color="auto" w:fill="BFBFBF" w:themeFill="background1" w:themeFillShade="BF"/>
          </w:tcPr>
          <w:p w:rsidR="00B60837" w:rsidRPr="00FF12A2" w:rsidRDefault="00BE10BB" w:rsidP="00B86D6B">
            <w:pPr>
              <w:pStyle w:val="Heading2"/>
              <w:keepNext w:val="0"/>
              <w:widowControl w:val="0"/>
              <w:numPr>
                <w:ilvl w:val="0"/>
                <w:numId w:val="0"/>
              </w:numPr>
              <w:spacing w:line="360" w:lineRule="auto"/>
              <w:jc w:val="both"/>
              <w:rPr>
                <w:b/>
                <w:sz w:val="20"/>
                <w:szCs w:val="20"/>
              </w:rPr>
            </w:pPr>
            <w:r w:rsidRPr="00FF12A2">
              <w:rPr>
                <w:b/>
                <w:sz w:val="20"/>
                <w:szCs w:val="20"/>
              </w:rPr>
              <w:t>Do you understand the intent of the CP?</w:t>
            </w:r>
          </w:p>
        </w:tc>
      </w:tr>
      <w:tr w:rsidR="00B60837" w:rsidRPr="00FF12A2" w:rsidTr="00DF62D5">
        <w:tc>
          <w:tcPr>
            <w:tcW w:w="8528" w:type="dxa"/>
          </w:tcPr>
          <w:p w:rsidR="00B60837" w:rsidRPr="00FF12A2" w:rsidRDefault="00B60837" w:rsidP="009C54DE">
            <w:pPr>
              <w:spacing w:after="120"/>
              <w:jc w:val="both"/>
              <w:rPr>
                <w:rFonts w:ascii="Verdana" w:hAnsi="Verdana" w:cs="Arial"/>
                <w:b/>
                <w:sz w:val="20"/>
                <w:szCs w:val="20"/>
              </w:rPr>
            </w:pPr>
          </w:p>
          <w:p w:rsidR="004868E6" w:rsidRPr="00FF12A2" w:rsidRDefault="004868E6" w:rsidP="009C54DE">
            <w:pPr>
              <w:spacing w:after="120"/>
              <w:jc w:val="both"/>
              <w:rPr>
                <w:rFonts w:ascii="Verdana" w:hAnsi="Verdana" w:cs="Arial"/>
                <w:b/>
                <w:sz w:val="20"/>
                <w:szCs w:val="20"/>
              </w:rPr>
            </w:pPr>
          </w:p>
          <w:p w:rsidR="004868E6" w:rsidRPr="00FF12A2" w:rsidRDefault="004868E6" w:rsidP="009C54DE">
            <w:pPr>
              <w:spacing w:after="120"/>
              <w:jc w:val="both"/>
              <w:rPr>
                <w:rFonts w:ascii="Verdana" w:hAnsi="Verdana" w:cs="Arial"/>
                <w:b/>
                <w:sz w:val="20"/>
                <w:szCs w:val="20"/>
              </w:rPr>
            </w:pPr>
          </w:p>
          <w:p w:rsidR="004868E6" w:rsidRPr="00FF12A2" w:rsidRDefault="004868E6" w:rsidP="009C54DE">
            <w:pPr>
              <w:spacing w:after="120"/>
              <w:jc w:val="both"/>
              <w:rPr>
                <w:rFonts w:ascii="Verdana" w:hAnsi="Verdana" w:cs="Arial"/>
                <w:b/>
                <w:sz w:val="20"/>
                <w:szCs w:val="20"/>
              </w:rPr>
            </w:pPr>
          </w:p>
        </w:tc>
      </w:tr>
    </w:tbl>
    <w:p w:rsidR="00B60837" w:rsidRPr="00FF12A2"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B60837" w:rsidRPr="00FF12A2" w:rsidRDefault="00BE10BB" w:rsidP="00B86D6B">
            <w:pPr>
              <w:pStyle w:val="Heading2"/>
              <w:keepNext w:val="0"/>
              <w:widowControl w:val="0"/>
              <w:numPr>
                <w:ilvl w:val="0"/>
                <w:numId w:val="0"/>
              </w:numPr>
              <w:spacing w:line="360" w:lineRule="auto"/>
              <w:ind w:left="576" w:hanging="576"/>
              <w:jc w:val="both"/>
              <w:rPr>
                <w:b/>
                <w:sz w:val="20"/>
                <w:szCs w:val="20"/>
              </w:rPr>
            </w:pPr>
            <w:r w:rsidRPr="00FF12A2">
              <w:rPr>
                <w:b/>
                <w:sz w:val="20"/>
                <w:szCs w:val="20"/>
              </w:rPr>
              <w:t>Are you supportive of its principles?</w:t>
            </w:r>
          </w:p>
        </w:tc>
      </w:tr>
      <w:tr w:rsidR="00B60837" w:rsidRPr="00FF12A2" w:rsidTr="00964E7F">
        <w:trPr>
          <w:trHeight w:val="1611"/>
        </w:trPr>
        <w:tc>
          <w:tcPr>
            <w:tcW w:w="8528" w:type="dxa"/>
          </w:tcPr>
          <w:p w:rsidR="00B60837" w:rsidRPr="00FF12A2" w:rsidRDefault="00B60837" w:rsidP="009C54DE">
            <w:pPr>
              <w:spacing w:after="120"/>
              <w:jc w:val="both"/>
              <w:rPr>
                <w:rFonts w:ascii="Verdana" w:hAnsi="Verdana" w:cs="Arial"/>
                <w:b/>
                <w:sz w:val="20"/>
                <w:szCs w:val="20"/>
              </w:rPr>
            </w:pPr>
          </w:p>
        </w:tc>
      </w:tr>
    </w:tbl>
    <w:p w:rsidR="00B60837" w:rsidRPr="00FF12A2"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B60837" w:rsidRPr="00FF12A2" w:rsidRDefault="00BE10BB" w:rsidP="00FF12A2">
            <w:pPr>
              <w:pStyle w:val="Heading2"/>
              <w:keepNext w:val="0"/>
              <w:widowControl w:val="0"/>
              <w:numPr>
                <w:ilvl w:val="0"/>
                <w:numId w:val="0"/>
              </w:numPr>
              <w:spacing w:line="360" w:lineRule="auto"/>
              <w:rPr>
                <w:b/>
                <w:sz w:val="20"/>
                <w:szCs w:val="20"/>
              </w:rPr>
            </w:pPr>
            <w:r w:rsidRPr="00FF12A2">
              <w:rPr>
                <w:b/>
                <w:sz w:val="20"/>
                <w:szCs w:val="20"/>
              </w:rPr>
              <w:t>Does the CP facilitate DCUSA General Objectives?</w:t>
            </w:r>
            <w:r w:rsidR="00FF12A2" w:rsidRPr="00FF12A2">
              <w:rPr>
                <w:b/>
                <w:sz w:val="20"/>
                <w:szCs w:val="20"/>
              </w:rPr>
              <w:t xml:space="preserve"> Please give supporting comments.</w:t>
            </w:r>
          </w:p>
          <w:p w:rsidR="00FF12A2" w:rsidRPr="00FF12A2" w:rsidRDefault="00FF12A2" w:rsidP="00FF12A2">
            <w:pPr>
              <w:numPr>
                <w:ilvl w:val="0"/>
                <w:numId w:val="31"/>
              </w:numPr>
              <w:rPr>
                <w:rFonts w:ascii="Verdana" w:hAnsi="Verdana" w:cs="Arial"/>
                <w:sz w:val="20"/>
                <w:szCs w:val="20"/>
              </w:rPr>
            </w:pPr>
            <w:r w:rsidRPr="00FF12A2">
              <w:rPr>
                <w:rFonts w:ascii="Verdana" w:hAnsi="Verdana" w:cs="Arial"/>
                <w:sz w:val="20"/>
                <w:szCs w:val="20"/>
              </w:rPr>
              <w:t>The development, maintenance and operation by each of the DNO Parties and IDNO Parties of an efficient, co-ordinated, and economical Distribution System.</w:t>
            </w:r>
          </w:p>
          <w:p w:rsidR="00FF12A2" w:rsidRPr="00FF12A2" w:rsidRDefault="00FF12A2" w:rsidP="00FF12A2">
            <w:pPr>
              <w:ind w:left="720"/>
              <w:rPr>
                <w:rFonts w:ascii="Verdana" w:hAnsi="Verdana" w:cs="Arial"/>
                <w:sz w:val="20"/>
                <w:szCs w:val="20"/>
              </w:rPr>
            </w:pPr>
          </w:p>
          <w:p w:rsidR="00FF12A2" w:rsidRPr="00FF12A2" w:rsidRDefault="00FF12A2" w:rsidP="00FF12A2">
            <w:pPr>
              <w:numPr>
                <w:ilvl w:val="0"/>
                <w:numId w:val="31"/>
              </w:numPr>
              <w:rPr>
                <w:rFonts w:ascii="Verdana" w:hAnsi="Verdana" w:cs="Arial"/>
                <w:sz w:val="20"/>
                <w:szCs w:val="20"/>
              </w:rPr>
            </w:pPr>
            <w:r w:rsidRPr="00FF12A2">
              <w:rPr>
                <w:rFonts w:ascii="Verdana" w:hAnsi="Verdana" w:cs="Arial"/>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FF12A2" w:rsidRPr="00FF12A2" w:rsidRDefault="00FF12A2" w:rsidP="00FF12A2">
            <w:pPr>
              <w:ind w:left="720"/>
              <w:rPr>
                <w:rFonts w:ascii="Verdana" w:hAnsi="Verdana" w:cs="Arial"/>
                <w:sz w:val="20"/>
                <w:szCs w:val="20"/>
              </w:rPr>
            </w:pPr>
          </w:p>
          <w:p w:rsidR="00FF12A2" w:rsidRPr="00FF12A2" w:rsidRDefault="00FF12A2" w:rsidP="00FF12A2">
            <w:pPr>
              <w:numPr>
                <w:ilvl w:val="0"/>
                <w:numId w:val="31"/>
              </w:numPr>
              <w:rPr>
                <w:rFonts w:ascii="Verdana" w:hAnsi="Verdana" w:cs="Arial"/>
                <w:sz w:val="20"/>
                <w:szCs w:val="20"/>
              </w:rPr>
            </w:pPr>
            <w:r w:rsidRPr="00FF12A2">
              <w:rPr>
                <w:rFonts w:ascii="Verdana" w:hAnsi="Verdana" w:cs="Arial"/>
                <w:sz w:val="20"/>
                <w:szCs w:val="20"/>
              </w:rPr>
              <w:t>The efficient discharge by each of the DNO Parties and IDNO Parties of the obligations imposed upon them by their Distribution Licences.</w:t>
            </w:r>
          </w:p>
          <w:p w:rsidR="00FF12A2" w:rsidRPr="00FF12A2" w:rsidRDefault="00FF12A2" w:rsidP="00FF12A2">
            <w:pPr>
              <w:ind w:left="720"/>
              <w:rPr>
                <w:rFonts w:ascii="Verdana" w:hAnsi="Verdana" w:cs="Arial"/>
                <w:sz w:val="20"/>
                <w:szCs w:val="20"/>
              </w:rPr>
            </w:pPr>
          </w:p>
          <w:p w:rsidR="00FF12A2" w:rsidRPr="00FF12A2" w:rsidRDefault="00FF12A2" w:rsidP="00FF12A2">
            <w:pPr>
              <w:numPr>
                <w:ilvl w:val="0"/>
                <w:numId w:val="31"/>
              </w:numPr>
              <w:rPr>
                <w:rFonts w:ascii="Verdana" w:hAnsi="Verdana" w:cs="Arial"/>
                <w:sz w:val="20"/>
                <w:szCs w:val="20"/>
              </w:rPr>
            </w:pPr>
            <w:r w:rsidRPr="00FF12A2">
              <w:rPr>
                <w:rFonts w:ascii="Verdana" w:hAnsi="Verdana" w:cs="Arial"/>
                <w:sz w:val="20"/>
                <w:szCs w:val="20"/>
              </w:rPr>
              <w:lastRenderedPageBreak/>
              <w:t>The promotion of efficiency in the implementation and administration of this Agreement and the arrangements under it.</w:t>
            </w:r>
            <w:r w:rsidRPr="00FF12A2">
              <w:rPr>
                <w:rFonts w:ascii="Verdana" w:hAnsi="Verdana" w:cs="Arial"/>
                <w:sz w:val="20"/>
                <w:szCs w:val="20"/>
              </w:rPr>
              <w:br/>
            </w:r>
          </w:p>
          <w:p w:rsidR="00FF12A2" w:rsidRPr="00FF12A2" w:rsidRDefault="00FF12A2" w:rsidP="00FF12A2">
            <w:pPr>
              <w:numPr>
                <w:ilvl w:val="0"/>
                <w:numId w:val="31"/>
              </w:numPr>
              <w:rPr>
                <w:rFonts w:ascii="Verdana" w:hAnsi="Verdana" w:cs="Arial"/>
                <w:sz w:val="20"/>
                <w:szCs w:val="20"/>
              </w:rPr>
            </w:pPr>
            <w:r w:rsidRPr="00FF12A2">
              <w:rPr>
                <w:rFonts w:ascii="Verdana" w:hAnsi="Verdana" w:cs="Arial"/>
                <w:sz w:val="20"/>
                <w:szCs w:val="20"/>
              </w:rPr>
              <w:t>compliance with the Regulation on Cross-Border Exchange in Electricity and any relevant legally binding decisions of the European Commission and/or the Agency for the Co-operation of Energy Regulators.</w:t>
            </w:r>
          </w:p>
          <w:p w:rsidR="00FF12A2" w:rsidRPr="00FF12A2" w:rsidRDefault="00FF12A2" w:rsidP="00FF12A2">
            <w:pPr>
              <w:rPr>
                <w:b/>
              </w:rPr>
            </w:pPr>
          </w:p>
        </w:tc>
      </w:tr>
      <w:tr w:rsidR="00B60837" w:rsidRPr="00FF12A2" w:rsidTr="00D41899">
        <w:trPr>
          <w:trHeight w:val="1611"/>
        </w:trPr>
        <w:tc>
          <w:tcPr>
            <w:tcW w:w="8528" w:type="dxa"/>
          </w:tcPr>
          <w:p w:rsidR="00B60837" w:rsidRPr="00FF12A2" w:rsidRDefault="00B60837" w:rsidP="00522866">
            <w:pPr>
              <w:pStyle w:val="Heading2"/>
              <w:keepNext w:val="0"/>
              <w:widowControl w:val="0"/>
              <w:numPr>
                <w:ilvl w:val="0"/>
                <w:numId w:val="0"/>
              </w:numPr>
              <w:spacing w:line="360" w:lineRule="auto"/>
              <w:rPr>
                <w:b/>
                <w:sz w:val="20"/>
              </w:rPr>
            </w:pPr>
          </w:p>
        </w:tc>
      </w:tr>
    </w:tbl>
    <w:p w:rsidR="00B60837" w:rsidRPr="00FF12A2" w:rsidRDefault="00B60837"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3D3263" w:rsidRPr="00FF12A2" w:rsidRDefault="00BE10BB" w:rsidP="00B86D6B">
            <w:pPr>
              <w:pStyle w:val="Heading2"/>
              <w:keepNext w:val="0"/>
              <w:widowControl w:val="0"/>
              <w:numPr>
                <w:ilvl w:val="0"/>
                <w:numId w:val="0"/>
              </w:numPr>
              <w:spacing w:line="360" w:lineRule="auto"/>
              <w:rPr>
                <w:b/>
                <w:sz w:val="20"/>
                <w:szCs w:val="20"/>
              </w:rPr>
            </w:pPr>
            <w:r w:rsidRPr="00FF12A2">
              <w:rPr>
                <w:b/>
                <w:sz w:val="20"/>
                <w:szCs w:val="20"/>
              </w:rPr>
              <w:t xml:space="preserve">As discussed in </w:t>
            </w:r>
            <w:proofErr w:type="spellStart"/>
            <w:r w:rsidRPr="00FF12A2">
              <w:rPr>
                <w:b/>
                <w:sz w:val="20"/>
                <w:szCs w:val="20"/>
              </w:rPr>
              <w:t>para</w:t>
            </w:r>
            <w:proofErr w:type="spellEnd"/>
            <w:r w:rsidRPr="00FF12A2">
              <w:rPr>
                <w:b/>
                <w:sz w:val="20"/>
                <w:szCs w:val="20"/>
              </w:rPr>
              <w:t xml:space="preserve"> 3.5 of this consultation are the limitations of liability proposed in section 5 of Appendix B appropriate when considering for example a large single domestic residence compared to a similar residence converted into multiple domestic usage and now classed as a commercial private network</w:t>
            </w:r>
            <w:r w:rsidR="00B86D6B" w:rsidRPr="00FF12A2">
              <w:rPr>
                <w:b/>
                <w:sz w:val="20"/>
                <w:szCs w:val="20"/>
              </w:rPr>
              <w:t>?</w:t>
            </w:r>
          </w:p>
        </w:tc>
      </w:tr>
      <w:tr w:rsidR="00B60837" w:rsidRPr="00FF12A2" w:rsidTr="00C529E4">
        <w:trPr>
          <w:trHeight w:val="1611"/>
        </w:trPr>
        <w:tc>
          <w:tcPr>
            <w:tcW w:w="8528" w:type="dxa"/>
          </w:tcPr>
          <w:p w:rsidR="00B60837" w:rsidRPr="00FF12A2" w:rsidRDefault="00B60837" w:rsidP="00522866">
            <w:pPr>
              <w:pStyle w:val="Heading2"/>
              <w:keepNext w:val="0"/>
              <w:widowControl w:val="0"/>
              <w:numPr>
                <w:ilvl w:val="0"/>
                <w:numId w:val="0"/>
              </w:numPr>
              <w:spacing w:line="360" w:lineRule="auto"/>
              <w:rPr>
                <w:b/>
                <w:sz w:val="20"/>
              </w:rPr>
            </w:pPr>
          </w:p>
        </w:tc>
      </w:tr>
    </w:tbl>
    <w:p w:rsidR="004868E6" w:rsidRPr="00FF12A2" w:rsidRDefault="004868E6"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BE10BB" w:rsidRPr="00FF12A2" w:rsidRDefault="00BE10BB" w:rsidP="00B86D6B">
            <w:pPr>
              <w:pStyle w:val="Heading2"/>
              <w:keepNext w:val="0"/>
              <w:widowControl w:val="0"/>
              <w:numPr>
                <w:ilvl w:val="0"/>
                <w:numId w:val="0"/>
              </w:numPr>
              <w:spacing w:line="360" w:lineRule="auto"/>
              <w:rPr>
                <w:b/>
                <w:sz w:val="20"/>
                <w:szCs w:val="20"/>
              </w:rPr>
            </w:pPr>
            <w:r w:rsidRPr="00FF12A2">
              <w:rPr>
                <w:b/>
                <w:sz w:val="20"/>
                <w:szCs w:val="20"/>
              </w:rPr>
              <w:t xml:space="preserve">Because the National Terms of Connection are only intended at this time to apply to direct connections to a </w:t>
            </w:r>
            <w:proofErr w:type="spellStart"/>
            <w:r w:rsidRPr="00FF12A2">
              <w:rPr>
                <w:b/>
                <w:sz w:val="20"/>
                <w:szCs w:val="20"/>
              </w:rPr>
              <w:t>licenced</w:t>
            </w:r>
            <w:proofErr w:type="spellEnd"/>
            <w:r w:rsidRPr="00FF12A2">
              <w:rPr>
                <w:b/>
                <w:sz w:val="20"/>
                <w:szCs w:val="20"/>
              </w:rPr>
              <w:t xml:space="preserve"> distributor’s system;</w:t>
            </w:r>
          </w:p>
          <w:p w:rsidR="00BE10BB" w:rsidRPr="00FF12A2" w:rsidRDefault="00BE10BB" w:rsidP="00BE10BB">
            <w:pPr>
              <w:pStyle w:val="Heading2"/>
              <w:keepNext w:val="0"/>
              <w:widowControl w:val="0"/>
              <w:numPr>
                <w:ilvl w:val="0"/>
                <w:numId w:val="36"/>
              </w:numPr>
              <w:spacing w:line="360" w:lineRule="auto"/>
              <w:rPr>
                <w:sz w:val="20"/>
                <w:szCs w:val="20"/>
              </w:rPr>
            </w:pPr>
            <w:r w:rsidRPr="00FF12A2">
              <w:rPr>
                <w:sz w:val="20"/>
                <w:szCs w:val="20"/>
              </w:rPr>
              <w:t>Do Suppliers need to offer different contractual terms where they engage in supply provision to customers embedded within private networks, and</w:t>
            </w:r>
          </w:p>
          <w:p w:rsidR="003D3263" w:rsidRPr="00FF12A2" w:rsidRDefault="00BE10BB" w:rsidP="00B86D6B">
            <w:pPr>
              <w:pStyle w:val="Heading2"/>
              <w:keepNext w:val="0"/>
              <w:widowControl w:val="0"/>
              <w:numPr>
                <w:ilvl w:val="0"/>
                <w:numId w:val="36"/>
              </w:numPr>
              <w:spacing w:line="360" w:lineRule="auto"/>
              <w:rPr>
                <w:b/>
                <w:sz w:val="20"/>
                <w:szCs w:val="20"/>
              </w:rPr>
            </w:pPr>
            <w:r w:rsidRPr="00FF12A2">
              <w:rPr>
                <w:sz w:val="20"/>
                <w:szCs w:val="20"/>
              </w:rPr>
              <w:t xml:space="preserve">The current requirement of DCUSA (Clause 17 and related Schedule 2A) is that the relevant electricity supplier procures the commercial application of the NTC in its contracts with Customers or Generators and DCUSA does not specify if this obligation relates only to Customers or Generators connected directly to the </w:t>
            </w:r>
            <w:proofErr w:type="spellStart"/>
            <w:r w:rsidRPr="00FF12A2">
              <w:rPr>
                <w:sz w:val="20"/>
                <w:szCs w:val="20"/>
              </w:rPr>
              <w:t>licenced</w:t>
            </w:r>
            <w:proofErr w:type="spellEnd"/>
            <w:r w:rsidRPr="00FF12A2">
              <w:rPr>
                <w:sz w:val="20"/>
                <w:szCs w:val="20"/>
              </w:rPr>
              <w:t xml:space="preserve"> distributor’s system.  Does DCSUA need to be changed to expressly limit the commercial application of the NTC through electricity supplier contracts to only those customers directly connected to a licensed Distribution system (a </w:t>
            </w:r>
            <w:r w:rsidRPr="00FF12A2">
              <w:rPr>
                <w:sz w:val="20"/>
                <w:szCs w:val="20"/>
              </w:rPr>
              <w:lastRenderedPageBreak/>
              <w:t>proposal to do so is set out in Appendix C)?</w:t>
            </w:r>
          </w:p>
        </w:tc>
      </w:tr>
      <w:tr w:rsidR="00B60837" w:rsidRPr="00FF12A2" w:rsidTr="00C529E4">
        <w:trPr>
          <w:trHeight w:val="1611"/>
        </w:trPr>
        <w:tc>
          <w:tcPr>
            <w:tcW w:w="8528" w:type="dxa"/>
          </w:tcPr>
          <w:p w:rsidR="00B60837" w:rsidRPr="00FF12A2" w:rsidRDefault="00B60837" w:rsidP="00522866">
            <w:pPr>
              <w:pStyle w:val="Heading2"/>
              <w:keepNext w:val="0"/>
              <w:widowControl w:val="0"/>
              <w:numPr>
                <w:ilvl w:val="0"/>
                <w:numId w:val="0"/>
              </w:numPr>
              <w:spacing w:line="360" w:lineRule="auto"/>
              <w:rPr>
                <w:b/>
                <w:sz w:val="20"/>
              </w:rPr>
            </w:pPr>
          </w:p>
        </w:tc>
      </w:tr>
    </w:tbl>
    <w:p w:rsidR="00B60837" w:rsidRPr="00FF12A2" w:rsidRDefault="00B60837"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3D3263" w:rsidRPr="00FF12A2" w:rsidRDefault="00BE10BB" w:rsidP="00BE10BB">
            <w:pPr>
              <w:pStyle w:val="Heading2"/>
              <w:keepNext w:val="0"/>
              <w:widowControl w:val="0"/>
              <w:numPr>
                <w:ilvl w:val="0"/>
                <w:numId w:val="0"/>
              </w:numPr>
              <w:spacing w:line="360" w:lineRule="auto"/>
              <w:jc w:val="both"/>
              <w:rPr>
                <w:b/>
                <w:sz w:val="20"/>
                <w:szCs w:val="20"/>
              </w:rPr>
            </w:pPr>
            <w:r w:rsidRPr="00FF12A2">
              <w:rPr>
                <w:b/>
                <w:sz w:val="20"/>
                <w:szCs w:val="20"/>
              </w:rPr>
              <w:t xml:space="preserve">As discussed in paragraphs 3.8 and 3.9 </w:t>
            </w:r>
            <w:r w:rsidR="00FF12A2" w:rsidRPr="00FF12A2">
              <w:rPr>
                <w:b/>
                <w:sz w:val="20"/>
                <w:szCs w:val="20"/>
              </w:rPr>
              <w:t xml:space="preserve">of the consultation document, </w:t>
            </w:r>
            <w:r w:rsidRPr="00FF12A2">
              <w:rPr>
                <w:b/>
                <w:sz w:val="20"/>
                <w:szCs w:val="20"/>
              </w:rPr>
              <w:t>there are impacts on the ability of licence holders to discharge their obligations where the settlements boundary does not fully align with the connection to the licence distributor’s system. What modifications to the NTC might be necessary to create obligations directly between the private networks’ embedded customers and the upstream licensed distributor?</w:t>
            </w:r>
          </w:p>
        </w:tc>
      </w:tr>
      <w:tr w:rsidR="00B60837" w:rsidRPr="00FF12A2" w:rsidTr="00C529E4">
        <w:trPr>
          <w:trHeight w:val="1611"/>
        </w:trPr>
        <w:tc>
          <w:tcPr>
            <w:tcW w:w="8528" w:type="dxa"/>
          </w:tcPr>
          <w:p w:rsidR="00B60837" w:rsidRPr="00FF12A2" w:rsidRDefault="00B60837" w:rsidP="00522866">
            <w:pPr>
              <w:pStyle w:val="Heading2"/>
              <w:keepNext w:val="0"/>
              <w:widowControl w:val="0"/>
              <w:numPr>
                <w:ilvl w:val="0"/>
                <w:numId w:val="0"/>
              </w:numPr>
              <w:spacing w:line="360" w:lineRule="auto"/>
              <w:rPr>
                <w:b/>
                <w:sz w:val="20"/>
              </w:rPr>
            </w:pPr>
          </w:p>
        </w:tc>
      </w:tr>
    </w:tbl>
    <w:p w:rsidR="00B60837" w:rsidRPr="00FF12A2" w:rsidRDefault="00B60837"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3D3263" w:rsidRPr="00FF12A2" w:rsidRDefault="00BE10BB" w:rsidP="00BE10BB">
            <w:pPr>
              <w:pStyle w:val="Heading2"/>
              <w:keepNext w:val="0"/>
              <w:widowControl w:val="0"/>
              <w:numPr>
                <w:ilvl w:val="0"/>
                <w:numId w:val="0"/>
              </w:numPr>
              <w:spacing w:line="360" w:lineRule="auto"/>
              <w:jc w:val="both"/>
              <w:rPr>
                <w:b/>
                <w:sz w:val="20"/>
                <w:szCs w:val="20"/>
              </w:rPr>
            </w:pPr>
            <w:r w:rsidRPr="00FF12A2">
              <w:rPr>
                <w:b/>
                <w:sz w:val="20"/>
                <w:szCs w:val="20"/>
              </w:rPr>
              <w:t>Do you have any other comments or observations around the arrangements for connection, metering and settlement for private networks and embedded customers that may impact on the pre-requisite terms of connection?</w:t>
            </w:r>
          </w:p>
        </w:tc>
      </w:tr>
      <w:tr w:rsidR="00B60837" w:rsidRPr="00FF12A2" w:rsidTr="00C529E4">
        <w:trPr>
          <w:trHeight w:val="1611"/>
        </w:trPr>
        <w:tc>
          <w:tcPr>
            <w:tcW w:w="8528" w:type="dxa"/>
          </w:tcPr>
          <w:p w:rsidR="00B60837" w:rsidRPr="00FF12A2" w:rsidRDefault="00B60837" w:rsidP="00522866">
            <w:pPr>
              <w:pStyle w:val="Heading2"/>
              <w:keepNext w:val="0"/>
              <w:widowControl w:val="0"/>
              <w:numPr>
                <w:ilvl w:val="0"/>
                <w:numId w:val="0"/>
              </w:numPr>
              <w:spacing w:line="360" w:lineRule="auto"/>
              <w:rPr>
                <w:b/>
                <w:sz w:val="20"/>
              </w:rPr>
            </w:pPr>
          </w:p>
        </w:tc>
      </w:tr>
    </w:tbl>
    <w:p w:rsidR="004868E6" w:rsidRPr="00FF12A2" w:rsidRDefault="004868E6"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47FC9" w:rsidRPr="00FF12A2" w:rsidTr="00522866">
        <w:tc>
          <w:tcPr>
            <w:tcW w:w="8528" w:type="dxa"/>
            <w:shd w:val="clear" w:color="auto" w:fill="BFBFBF" w:themeFill="background1" w:themeFillShade="BF"/>
          </w:tcPr>
          <w:p w:rsidR="00147FC9" w:rsidRPr="00FF12A2" w:rsidRDefault="00BE10BB" w:rsidP="00B86D6B">
            <w:pPr>
              <w:pStyle w:val="Heading2"/>
              <w:keepNext w:val="0"/>
              <w:widowControl w:val="0"/>
              <w:numPr>
                <w:ilvl w:val="0"/>
                <w:numId w:val="0"/>
              </w:numPr>
              <w:spacing w:line="360" w:lineRule="auto"/>
              <w:jc w:val="both"/>
              <w:rPr>
                <w:b/>
                <w:sz w:val="20"/>
                <w:szCs w:val="20"/>
              </w:rPr>
            </w:pPr>
            <w:r w:rsidRPr="00FF12A2">
              <w:rPr>
                <w:b/>
                <w:sz w:val="20"/>
                <w:szCs w:val="20"/>
              </w:rPr>
              <w:t>Do you have any comments on the proposed legal text?</w:t>
            </w:r>
          </w:p>
        </w:tc>
      </w:tr>
      <w:tr w:rsidR="00147FC9" w:rsidRPr="00FF12A2" w:rsidTr="00147FC9">
        <w:trPr>
          <w:trHeight w:val="1611"/>
        </w:trPr>
        <w:tc>
          <w:tcPr>
            <w:tcW w:w="8528" w:type="dxa"/>
          </w:tcPr>
          <w:p w:rsidR="00147FC9" w:rsidRPr="00FF12A2" w:rsidRDefault="00147FC9" w:rsidP="00522866">
            <w:pPr>
              <w:pStyle w:val="Heading2"/>
              <w:keepNext w:val="0"/>
              <w:widowControl w:val="0"/>
              <w:numPr>
                <w:ilvl w:val="0"/>
                <w:numId w:val="0"/>
              </w:numPr>
              <w:spacing w:line="360" w:lineRule="auto"/>
              <w:rPr>
                <w:b/>
                <w:sz w:val="20"/>
              </w:rPr>
            </w:pPr>
          </w:p>
        </w:tc>
      </w:tr>
    </w:tbl>
    <w:p w:rsidR="00147FC9" w:rsidRPr="00FF12A2" w:rsidRDefault="00147FC9"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47FC9" w:rsidRPr="00FF12A2" w:rsidTr="00522866">
        <w:tc>
          <w:tcPr>
            <w:tcW w:w="8528" w:type="dxa"/>
            <w:shd w:val="clear" w:color="auto" w:fill="BFBFBF" w:themeFill="background1" w:themeFillShade="BF"/>
          </w:tcPr>
          <w:p w:rsidR="00147FC9" w:rsidRPr="00FF12A2" w:rsidRDefault="00BE10BB" w:rsidP="00BE10BB">
            <w:pPr>
              <w:pStyle w:val="Heading2"/>
              <w:keepNext w:val="0"/>
              <w:widowControl w:val="0"/>
              <w:numPr>
                <w:ilvl w:val="0"/>
                <w:numId w:val="0"/>
              </w:numPr>
              <w:spacing w:line="360" w:lineRule="auto"/>
              <w:jc w:val="both"/>
              <w:rPr>
                <w:b/>
                <w:sz w:val="20"/>
                <w:szCs w:val="20"/>
              </w:rPr>
            </w:pPr>
            <w:r w:rsidRPr="00FF12A2">
              <w:rPr>
                <w:b/>
                <w:sz w:val="20"/>
                <w:szCs w:val="20"/>
              </w:rPr>
              <w:t>Are there any wider industry developments that could impact this CP?</w:t>
            </w:r>
          </w:p>
        </w:tc>
      </w:tr>
      <w:tr w:rsidR="00147FC9" w:rsidRPr="00FF12A2" w:rsidTr="00147FC9">
        <w:trPr>
          <w:trHeight w:val="1611"/>
        </w:trPr>
        <w:tc>
          <w:tcPr>
            <w:tcW w:w="8528" w:type="dxa"/>
          </w:tcPr>
          <w:p w:rsidR="00147FC9" w:rsidRPr="00FF12A2" w:rsidRDefault="00147FC9" w:rsidP="00522866">
            <w:pPr>
              <w:pStyle w:val="Heading2"/>
              <w:keepNext w:val="0"/>
              <w:widowControl w:val="0"/>
              <w:numPr>
                <w:ilvl w:val="0"/>
                <w:numId w:val="0"/>
              </w:numPr>
              <w:spacing w:line="360" w:lineRule="auto"/>
              <w:rPr>
                <w:b/>
                <w:sz w:val="20"/>
              </w:rPr>
            </w:pPr>
          </w:p>
        </w:tc>
      </w:tr>
    </w:tbl>
    <w:p w:rsidR="00147FC9" w:rsidRPr="00FF12A2" w:rsidRDefault="00147FC9"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47FC9" w:rsidRPr="00FF12A2" w:rsidTr="00BB54B8">
        <w:trPr>
          <w:trHeight w:val="782"/>
        </w:trPr>
        <w:tc>
          <w:tcPr>
            <w:tcW w:w="8528" w:type="dxa"/>
            <w:shd w:val="clear" w:color="auto" w:fill="BFBFBF" w:themeFill="background1" w:themeFillShade="BF"/>
          </w:tcPr>
          <w:p w:rsidR="00147FC9" w:rsidRPr="00FF12A2" w:rsidRDefault="00BE10BB" w:rsidP="007B218F">
            <w:pPr>
              <w:pStyle w:val="Heading2"/>
              <w:keepNext w:val="0"/>
              <w:widowControl w:val="0"/>
              <w:numPr>
                <w:ilvl w:val="0"/>
                <w:numId w:val="0"/>
              </w:numPr>
              <w:spacing w:line="360" w:lineRule="auto"/>
              <w:rPr>
                <w:b/>
                <w:sz w:val="20"/>
                <w:szCs w:val="20"/>
              </w:rPr>
            </w:pPr>
            <w:r w:rsidRPr="00FF12A2">
              <w:rPr>
                <w:b/>
                <w:sz w:val="20"/>
                <w:szCs w:val="20"/>
              </w:rPr>
              <w:t>Are there any other matters that should be considered by the Working Group</w:t>
            </w:r>
            <w:r w:rsidR="00B86D6B" w:rsidRPr="00FF12A2">
              <w:rPr>
                <w:b/>
                <w:sz w:val="20"/>
                <w:szCs w:val="20"/>
              </w:rPr>
              <w:t>?</w:t>
            </w:r>
          </w:p>
        </w:tc>
      </w:tr>
      <w:tr w:rsidR="00147FC9" w:rsidRPr="00FF12A2" w:rsidTr="00147FC9">
        <w:trPr>
          <w:trHeight w:val="1611"/>
        </w:trPr>
        <w:tc>
          <w:tcPr>
            <w:tcW w:w="8528" w:type="dxa"/>
          </w:tcPr>
          <w:p w:rsidR="00147FC9" w:rsidRPr="00FF12A2" w:rsidRDefault="00147FC9" w:rsidP="00522866">
            <w:pPr>
              <w:pStyle w:val="Heading2"/>
              <w:keepNext w:val="0"/>
              <w:widowControl w:val="0"/>
              <w:numPr>
                <w:ilvl w:val="0"/>
                <w:numId w:val="0"/>
              </w:numPr>
              <w:spacing w:line="360" w:lineRule="auto"/>
              <w:rPr>
                <w:b/>
                <w:sz w:val="20"/>
              </w:rPr>
            </w:pPr>
          </w:p>
        </w:tc>
      </w:tr>
    </w:tbl>
    <w:p w:rsidR="00147FC9" w:rsidRPr="004868E6" w:rsidRDefault="00147FC9" w:rsidP="00F535B6">
      <w:pPr>
        <w:spacing w:after="120"/>
        <w:jc w:val="both"/>
        <w:rPr>
          <w:rFonts w:ascii="Verdana" w:hAnsi="Verdana" w:cs="Arial"/>
          <w:b/>
          <w:sz w:val="20"/>
          <w:szCs w:val="20"/>
        </w:rPr>
      </w:pPr>
    </w:p>
    <w:p w:rsidR="00B60837" w:rsidRDefault="00B60837"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BB54B8">
        <w:rPr>
          <w:rFonts w:ascii="Verdana" w:hAnsi="Verdana" w:cs="Arial"/>
          <w:b/>
          <w:sz w:val="20"/>
          <w:szCs w:val="20"/>
        </w:rPr>
        <w:t>17 July</w:t>
      </w:r>
      <w:r w:rsidR="00147FC9">
        <w:rPr>
          <w:rFonts w:ascii="Verdana" w:hAnsi="Verdana" w:cs="Arial"/>
          <w:b/>
          <w:sz w:val="20"/>
          <w:szCs w:val="20"/>
        </w:rPr>
        <w:t xml:space="preserve"> 2012</w:t>
      </w:r>
      <w:r>
        <w:rPr>
          <w:rFonts w:ascii="Verdana" w:hAnsi="Verdana" w:cs="Arial"/>
          <w:b/>
          <w:sz w:val="20"/>
          <w:szCs w:val="20"/>
        </w:rPr>
        <w:t xml:space="preserve">.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2A2" w:rsidRDefault="00FF12A2">
      <w:r>
        <w:separator/>
      </w:r>
    </w:p>
  </w:endnote>
  <w:endnote w:type="continuationSeparator" w:id="0">
    <w:p w:rsidR="00FF12A2" w:rsidRDefault="00FF1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2A2" w:rsidRPr="001D2E58" w:rsidRDefault="00FF12A2">
    <w:pPr>
      <w:pStyle w:val="Footer"/>
      <w:rPr>
        <w:rFonts w:ascii="Verdana" w:hAnsi="Verdana"/>
        <w:sz w:val="16"/>
        <w:szCs w:val="16"/>
      </w:rPr>
    </w:pPr>
    <w:r>
      <w:rPr>
        <w:rFonts w:ascii="Verdana" w:hAnsi="Verdana"/>
        <w:sz w:val="16"/>
        <w:szCs w:val="16"/>
      </w:rPr>
      <w:t>19 June 2012</w:t>
    </w:r>
    <w:r w:rsidRPr="001D2E58">
      <w:rPr>
        <w:rFonts w:ascii="Verdana" w:hAnsi="Verdana"/>
        <w:sz w:val="16"/>
        <w:szCs w:val="16"/>
      </w:rPr>
      <w:tab/>
      <w:t xml:space="preserve">Page </w:t>
    </w:r>
    <w:r w:rsidRPr="001D2E58">
      <w:rPr>
        <w:rFonts w:ascii="Verdana" w:hAnsi="Verdana"/>
        <w:sz w:val="16"/>
        <w:szCs w:val="16"/>
      </w:rPr>
      <w:fldChar w:fldCharType="begin"/>
    </w:r>
    <w:r w:rsidRPr="001D2E58">
      <w:rPr>
        <w:rFonts w:ascii="Verdana" w:hAnsi="Verdana"/>
        <w:sz w:val="16"/>
        <w:szCs w:val="16"/>
      </w:rPr>
      <w:instrText xml:space="preserve"> PAGE </w:instrText>
    </w:r>
    <w:r w:rsidRPr="001D2E58">
      <w:rPr>
        <w:rFonts w:ascii="Verdana" w:hAnsi="Verdana"/>
        <w:sz w:val="16"/>
        <w:szCs w:val="16"/>
      </w:rPr>
      <w:fldChar w:fldCharType="separate"/>
    </w:r>
    <w:r w:rsidR="00B23555">
      <w:rPr>
        <w:rFonts w:ascii="Verdana" w:hAnsi="Verdana"/>
        <w:noProof/>
        <w:sz w:val="16"/>
        <w:szCs w:val="16"/>
      </w:rPr>
      <w:t>1</w:t>
    </w:r>
    <w:r w:rsidRPr="001D2E58">
      <w:rPr>
        <w:rFonts w:ascii="Verdana" w:hAnsi="Verdana"/>
        <w:sz w:val="16"/>
        <w:szCs w:val="16"/>
      </w:rPr>
      <w:fldChar w:fldCharType="end"/>
    </w:r>
    <w:r w:rsidRPr="001D2E58">
      <w:rPr>
        <w:rFonts w:ascii="Verdana" w:hAnsi="Verdana"/>
        <w:sz w:val="16"/>
        <w:szCs w:val="16"/>
      </w:rPr>
      <w:t xml:space="preserve"> of </w:t>
    </w:r>
    <w:r w:rsidRPr="001D2E58">
      <w:rPr>
        <w:rFonts w:ascii="Verdana" w:hAnsi="Verdana"/>
        <w:sz w:val="16"/>
        <w:szCs w:val="16"/>
      </w:rPr>
      <w:fldChar w:fldCharType="begin"/>
    </w:r>
    <w:r w:rsidRPr="001D2E58">
      <w:rPr>
        <w:rFonts w:ascii="Verdana" w:hAnsi="Verdana"/>
        <w:sz w:val="16"/>
        <w:szCs w:val="16"/>
      </w:rPr>
      <w:instrText xml:space="preserve"> NUMPAGES </w:instrText>
    </w:r>
    <w:r w:rsidRPr="001D2E58">
      <w:rPr>
        <w:rFonts w:ascii="Verdana" w:hAnsi="Verdana"/>
        <w:sz w:val="16"/>
        <w:szCs w:val="16"/>
      </w:rPr>
      <w:fldChar w:fldCharType="separate"/>
    </w:r>
    <w:r w:rsidR="00B23555">
      <w:rPr>
        <w:rFonts w:ascii="Verdana" w:hAnsi="Verdana"/>
        <w:noProof/>
        <w:sz w:val="16"/>
        <w:szCs w:val="16"/>
      </w:rPr>
      <w:t>4</w:t>
    </w:r>
    <w:r w:rsidRPr="001D2E58">
      <w:rPr>
        <w:rFonts w:ascii="Verdana" w:hAnsi="Verdana"/>
        <w:sz w:val="16"/>
        <w:szCs w:val="16"/>
      </w:rPr>
      <w:fldChar w:fldCharType="end"/>
    </w:r>
    <w:r w:rsidRPr="001D2E58">
      <w:rPr>
        <w:rFonts w:ascii="Verdana" w:hAnsi="Verdana"/>
        <w:sz w:val="16"/>
        <w:szCs w:val="16"/>
      </w:rPr>
      <w:tab/>
    </w:r>
    <w:r>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2A2" w:rsidRDefault="00FF12A2">
      <w:r>
        <w:separator/>
      </w:r>
    </w:p>
  </w:footnote>
  <w:footnote w:type="continuationSeparator" w:id="0">
    <w:p w:rsidR="00FF12A2" w:rsidRDefault="00FF12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2A2" w:rsidRPr="001D2E58" w:rsidRDefault="00FF12A2">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Pr>
        <w:rFonts w:ascii="Verdana" w:hAnsi="Verdana"/>
        <w:sz w:val="16"/>
        <w:szCs w:val="16"/>
      </w:rPr>
      <w:t>124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A83E68"/>
    <w:multiLevelType w:val="multilevel"/>
    <w:tmpl w:val="D774336E"/>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outline w:val="0"/>
        <w:shadow w:val="0"/>
        <w:emboss w:val="0"/>
        <w:imprint w:val="0"/>
        <w:color w:val="auto"/>
        <w:spacing w:val="0"/>
        <w:w w:val="100"/>
        <w:kern w:val="0"/>
        <w:position w:val="0"/>
        <w:sz w:val="20"/>
        <w:szCs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5A57D4"/>
    <w:multiLevelType w:val="hybridMultilevel"/>
    <w:tmpl w:val="2A2E7D0A"/>
    <w:lvl w:ilvl="0" w:tplc="5CF6C13C">
      <w:start w:val="1"/>
      <w:numFmt w:val="decimal"/>
      <w:lvlText w:val="%1."/>
      <w:lvlJc w:val="left"/>
      <w:pPr>
        <w:ind w:left="1086" w:hanging="360"/>
      </w:pPr>
      <w:rPr>
        <w:rFonts w:hint="default"/>
        <w:b w:val="0"/>
      </w:rPr>
    </w:lvl>
    <w:lvl w:ilvl="1" w:tplc="08090019" w:tentative="1">
      <w:start w:val="1"/>
      <w:numFmt w:val="lowerLetter"/>
      <w:lvlText w:val="%2."/>
      <w:lvlJc w:val="left"/>
      <w:pPr>
        <w:ind w:left="1806" w:hanging="360"/>
      </w:pPr>
    </w:lvl>
    <w:lvl w:ilvl="2" w:tplc="0809001B" w:tentative="1">
      <w:start w:val="1"/>
      <w:numFmt w:val="lowerRoman"/>
      <w:lvlText w:val="%3."/>
      <w:lvlJc w:val="right"/>
      <w:pPr>
        <w:ind w:left="2526" w:hanging="180"/>
      </w:pPr>
    </w:lvl>
    <w:lvl w:ilvl="3" w:tplc="0809000F" w:tentative="1">
      <w:start w:val="1"/>
      <w:numFmt w:val="decimal"/>
      <w:lvlText w:val="%4."/>
      <w:lvlJc w:val="left"/>
      <w:pPr>
        <w:ind w:left="3246" w:hanging="360"/>
      </w:pPr>
    </w:lvl>
    <w:lvl w:ilvl="4" w:tplc="08090019" w:tentative="1">
      <w:start w:val="1"/>
      <w:numFmt w:val="lowerLetter"/>
      <w:lvlText w:val="%5."/>
      <w:lvlJc w:val="left"/>
      <w:pPr>
        <w:ind w:left="3966" w:hanging="360"/>
      </w:pPr>
    </w:lvl>
    <w:lvl w:ilvl="5" w:tplc="0809001B" w:tentative="1">
      <w:start w:val="1"/>
      <w:numFmt w:val="lowerRoman"/>
      <w:lvlText w:val="%6."/>
      <w:lvlJc w:val="right"/>
      <w:pPr>
        <w:ind w:left="4686" w:hanging="180"/>
      </w:pPr>
    </w:lvl>
    <w:lvl w:ilvl="6" w:tplc="0809000F" w:tentative="1">
      <w:start w:val="1"/>
      <w:numFmt w:val="decimal"/>
      <w:lvlText w:val="%7."/>
      <w:lvlJc w:val="left"/>
      <w:pPr>
        <w:ind w:left="5406" w:hanging="360"/>
      </w:pPr>
    </w:lvl>
    <w:lvl w:ilvl="7" w:tplc="08090019" w:tentative="1">
      <w:start w:val="1"/>
      <w:numFmt w:val="lowerLetter"/>
      <w:lvlText w:val="%8."/>
      <w:lvlJc w:val="left"/>
      <w:pPr>
        <w:ind w:left="6126" w:hanging="360"/>
      </w:pPr>
    </w:lvl>
    <w:lvl w:ilvl="8" w:tplc="0809001B" w:tentative="1">
      <w:start w:val="1"/>
      <w:numFmt w:val="lowerRoman"/>
      <w:lvlText w:val="%9."/>
      <w:lvlJc w:val="right"/>
      <w:pPr>
        <w:ind w:left="6846" w:hanging="180"/>
      </w:pPr>
    </w:lvl>
  </w:abstractNum>
  <w:abstractNum w:abstractNumId="13">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8543ABB"/>
    <w:multiLevelType w:val="hybridMultilevel"/>
    <w:tmpl w:val="C868B4AC"/>
    <w:lvl w:ilvl="0" w:tplc="0809000F">
      <w:start w:val="1"/>
      <w:numFmt w:val="decimal"/>
      <w:lvlText w:val="%1."/>
      <w:lvlJc w:val="left"/>
      <w:pPr>
        <w:tabs>
          <w:tab w:val="num" w:pos="1260"/>
        </w:tabs>
        <w:ind w:left="1260" w:hanging="360"/>
      </w:pPr>
      <w:rPr>
        <w:rFonts w:hint="default"/>
      </w:rPr>
    </w:lvl>
    <w:lvl w:ilvl="1" w:tplc="08090003" w:tentative="1">
      <w:start w:val="1"/>
      <w:numFmt w:val="bullet"/>
      <w:lvlText w:val="o"/>
      <w:lvlJc w:val="left"/>
      <w:pPr>
        <w:tabs>
          <w:tab w:val="num" w:pos="1980"/>
        </w:tabs>
        <w:ind w:left="1980" w:hanging="360"/>
      </w:pPr>
      <w:rPr>
        <w:rFonts w:ascii="Courier New" w:hAnsi="Courier New" w:cs="Courier New" w:hint="default"/>
      </w:rPr>
    </w:lvl>
    <w:lvl w:ilvl="2" w:tplc="08090005" w:tentative="1">
      <w:start w:val="1"/>
      <w:numFmt w:val="bullet"/>
      <w:lvlText w:val=""/>
      <w:lvlJc w:val="left"/>
      <w:pPr>
        <w:tabs>
          <w:tab w:val="num" w:pos="2700"/>
        </w:tabs>
        <w:ind w:left="2700" w:hanging="360"/>
      </w:pPr>
      <w:rPr>
        <w:rFonts w:ascii="Wingdings" w:hAnsi="Wingdings" w:hint="default"/>
      </w:rPr>
    </w:lvl>
    <w:lvl w:ilvl="3" w:tplc="08090001" w:tentative="1">
      <w:start w:val="1"/>
      <w:numFmt w:val="bullet"/>
      <w:lvlText w:val=""/>
      <w:lvlJc w:val="left"/>
      <w:pPr>
        <w:tabs>
          <w:tab w:val="num" w:pos="3420"/>
        </w:tabs>
        <w:ind w:left="3420" w:hanging="360"/>
      </w:pPr>
      <w:rPr>
        <w:rFonts w:ascii="Symbol" w:hAnsi="Symbol" w:hint="default"/>
      </w:rPr>
    </w:lvl>
    <w:lvl w:ilvl="4" w:tplc="08090003" w:tentative="1">
      <w:start w:val="1"/>
      <w:numFmt w:val="bullet"/>
      <w:lvlText w:val="o"/>
      <w:lvlJc w:val="left"/>
      <w:pPr>
        <w:tabs>
          <w:tab w:val="num" w:pos="4140"/>
        </w:tabs>
        <w:ind w:left="4140" w:hanging="360"/>
      </w:pPr>
      <w:rPr>
        <w:rFonts w:ascii="Courier New" w:hAnsi="Courier New" w:cs="Courier New" w:hint="default"/>
      </w:rPr>
    </w:lvl>
    <w:lvl w:ilvl="5" w:tplc="08090005" w:tentative="1">
      <w:start w:val="1"/>
      <w:numFmt w:val="bullet"/>
      <w:lvlText w:val=""/>
      <w:lvlJc w:val="left"/>
      <w:pPr>
        <w:tabs>
          <w:tab w:val="num" w:pos="4860"/>
        </w:tabs>
        <w:ind w:left="4860" w:hanging="360"/>
      </w:pPr>
      <w:rPr>
        <w:rFonts w:ascii="Wingdings" w:hAnsi="Wingdings" w:hint="default"/>
      </w:rPr>
    </w:lvl>
    <w:lvl w:ilvl="6" w:tplc="08090001" w:tentative="1">
      <w:start w:val="1"/>
      <w:numFmt w:val="bullet"/>
      <w:lvlText w:val=""/>
      <w:lvlJc w:val="left"/>
      <w:pPr>
        <w:tabs>
          <w:tab w:val="num" w:pos="5580"/>
        </w:tabs>
        <w:ind w:left="5580" w:hanging="360"/>
      </w:pPr>
      <w:rPr>
        <w:rFonts w:ascii="Symbol" w:hAnsi="Symbol" w:hint="default"/>
      </w:rPr>
    </w:lvl>
    <w:lvl w:ilvl="7" w:tplc="08090003" w:tentative="1">
      <w:start w:val="1"/>
      <w:numFmt w:val="bullet"/>
      <w:lvlText w:val="o"/>
      <w:lvlJc w:val="left"/>
      <w:pPr>
        <w:tabs>
          <w:tab w:val="num" w:pos="6300"/>
        </w:tabs>
        <w:ind w:left="6300" w:hanging="360"/>
      </w:pPr>
      <w:rPr>
        <w:rFonts w:ascii="Courier New" w:hAnsi="Courier New" w:cs="Courier New" w:hint="default"/>
      </w:rPr>
    </w:lvl>
    <w:lvl w:ilvl="8" w:tplc="08090005" w:tentative="1">
      <w:start w:val="1"/>
      <w:numFmt w:val="bullet"/>
      <w:lvlText w:val=""/>
      <w:lvlJc w:val="left"/>
      <w:pPr>
        <w:tabs>
          <w:tab w:val="num" w:pos="7020"/>
        </w:tabs>
        <w:ind w:left="7020" w:hanging="360"/>
      </w:pPr>
      <w:rPr>
        <w:rFonts w:ascii="Wingdings" w:hAnsi="Wingdings" w:hint="default"/>
      </w:rPr>
    </w:lvl>
  </w:abstractNum>
  <w:num w:numId="1">
    <w:abstractNumId w:val="9"/>
  </w:num>
  <w:num w:numId="2">
    <w:abstractNumId w:val="13"/>
  </w:num>
  <w:num w:numId="3">
    <w:abstractNumId w:val="7"/>
  </w:num>
  <w:num w:numId="4">
    <w:abstractNumId w:val="3"/>
  </w:num>
  <w:num w:numId="5">
    <w:abstractNumId w:val="5"/>
  </w:num>
  <w:num w:numId="6">
    <w:abstractNumId w:val="9"/>
  </w:num>
  <w:num w:numId="7">
    <w:abstractNumId w:val="0"/>
  </w:num>
  <w:num w:numId="8">
    <w:abstractNumId w:val="2"/>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
  </w:num>
  <w:num w:numId="25">
    <w:abstractNumId w:val="9"/>
  </w:num>
  <w:num w:numId="26">
    <w:abstractNumId w:val="10"/>
  </w:num>
  <w:num w:numId="27">
    <w:abstractNumId w:val="9"/>
  </w:num>
  <w:num w:numId="28">
    <w:abstractNumId w:val="8"/>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1"/>
  </w:num>
  <w:num w:numId="32">
    <w:abstractNumId w:val="6"/>
  </w:num>
  <w:num w:numId="33">
    <w:abstractNumId w:val="9"/>
  </w:num>
  <w:num w:numId="34">
    <w:abstractNumId w:val="9"/>
  </w:num>
  <w:num w:numId="35">
    <w:abstractNumId w:val="9"/>
  </w:num>
  <w:num w:numId="36">
    <w:abstractNumId w:val="12"/>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67E92"/>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47FC9"/>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518A"/>
    <w:rsid w:val="00197A9A"/>
    <w:rsid w:val="001A290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2B1"/>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D2102"/>
    <w:rsid w:val="003D3263"/>
    <w:rsid w:val="003D377A"/>
    <w:rsid w:val="003D4C93"/>
    <w:rsid w:val="003D5367"/>
    <w:rsid w:val="003D629C"/>
    <w:rsid w:val="003D63B7"/>
    <w:rsid w:val="003D6A14"/>
    <w:rsid w:val="003F082D"/>
    <w:rsid w:val="003F0B81"/>
    <w:rsid w:val="003F30D0"/>
    <w:rsid w:val="003F3FDA"/>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C41"/>
    <w:rsid w:val="00431AFB"/>
    <w:rsid w:val="0043243B"/>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D1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2866"/>
    <w:rsid w:val="0052416A"/>
    <w:rsid w:val="00525EE4"/>
    <w:rsid w:val="00525F78"/>
    <w:rsid w:val="00527C75"/>
    <w:rsid w:val="005300C6"/>
    <w:rsid w:val="0053130D"/>
    <w:rsid w:val="00532E8A"/>
    <w:rsid w:val="00533214"/>
    <w:rsid w:val="0053766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2301"/>
    <w:rsid w:val="00793DF8"/>
    <w:rsid w:val="007972D2"/>
    <w:rsid w:val="007A7741"/>
    <w:rsid w:val="007B0F49"/>
    <w:rsid w:val="007B218F"/>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FE3"/>
    <w:rsid w:val="00864A71"/>
    <w:rsid w:val="0087315B"/>
    <w:rsid w:val="00873F72"/>
    <w:rsid w:val="00874323"/>
    <w:rsid w:val="008755A7"/>
    <w:rsid w:val="00875B3C"/>
    <w:rsid w:val="00876B5F"/>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902A7B"/>
    <w:rsid w:val="009062DC"/>
    <w:rsid w:val="00912551"/>
    <w:rsid w:val="00912734"/>
    <w:rsid w:val="00912CFE"/>
    <w:rsid w:val="00913276"/>
    <w:rsid w:val="00914585"/>
    <w:rsid w:val="00914965"/>
    <w:rsid w:val="00917A00"/>
    <w:rsid w:val="00920034"/>
    <w:rsid w:val="009207FD"/>
    <w:rsid w:val="00924A9C"/>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153B"/>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3555"/>
    <w:rsid w:val="00B24B17"/>
    <w:rsid w:val="00B26850"/>
    <w:rsid w:val="00B27C6D"/>
    <w:rsid w:val="00B309F4"/>
    <w:rsid w:val="00B30CF0"/>
    <w:rsid w:val="00B332DA"/>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6D6B"/>
    <w:rsid w:val="00B87FB0"/>
    <w:rsid w:val="00B91C2C"/>
    <w:rsid w:val="00B91ED7"/>
    <w:rsid w:val="00B96783"/>
    <w:rsid w:val="00B97980"/>
    <w:rsid w:val="00BA002C"/>
    <w:rsid w:val="00BA0969"/>
    <w:rsid w:val="00BA1BAF"/>
    <w:rsid w:val="00BA2655"/>
    <w:rsid w:val="00BA47EB"/>
    <w:rsid w:val="00BA4D67"/>
    <w:rsid w:val="00BA50AE"/>
    <w:rsid w:val="00BA5B95"/>
    <w:rsid w:val="00BB1BC2"/>
    <w:rsid w:val="00BB2601"/>
    <w:rsid w:val="00BB54B8"/>
    <w:rsid w:val="00BC207B"/>
    <w:rsid w:val="00BC42E6"/>
    <w:rsid w:val="00BC4E0F"/>
    <w:rsid w:val="00BC5684"/>
    <w:rsid w:val="00BC5CF4"/>
    <w:rsid w:val="00BD0E61"/>
    <w:rsid w:val="00BD4936"/>
    <w:rsid w:val="00BD4DB5"/>
    <w:rsid w:val="00BD56E6"/>
    <w:rsid w:val="00BD77D9"/>
    <w:rsid w:val="00BE0BDB"/>
    <w:rsid w:val="00BE10B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429D"/>
    <w:rsid w:val="00CC20A8"/>
    <w:rsid w:val="00CC21F4"/>
    <w:rsid w:val="00CC2443"/>
    <w:rsid w:val="00CC4837"/>
    <w:rsid w:val="00CC5435"/>
    <w:rsid w:val="00CD26C8"/>
    <w:rsid w:val="00CD6084"/>
    <w:rsid w:val="00CD641E"/>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F43"/>
    <w:rsid w:val="00E014D6"/>
    <w:rsid w:val="00E03B2D"/>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5CBF"/>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C7C"/>
    <w:rsid w:val="00F33F2B"/>
    <w:rsid w:val="00F3676A"/>
    <w:rsid w:val="00F36CC1"/>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D62E0"/>
    <w:rsid w:val="00FE3525"/>
    <w:rsid w:val="00FE5F2A"/>
    <w:rsid w:val="00FE64A6"/>
    <w:rsid w:val="00FE6B4A"/>
    <w:rsid w:val="00FF07B6"/>
    <w:rsid w:val="00FF12A2"/>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 w:type="paragraph" w:styleId="FootnoteText">
    <w:name w:val="footnote text"/>
    <w:basedOn w:val="Normal"/>
    <w:link w:val="FootnoteTextChar"/>
    <w:semiHidden/>
    <w:rsid w:val="00147FC9"/>
    <w:rPr>
      <w:sz w:val="20"/>
      <w:szCs w:val="20"/>
    </w:rPr>
  </w:style>
  <w:style w:type="character" w:customStyle="1" w:styleId="FootnoteTextChar">
    <w:name w:val="Footnote Text Char"/>
    <w:basedOn w:val="DefaultParagraphFont"/>
    <w:link w:val="FootnoteText"/>
    <w:semiHidden/>
    <w:rsid w:val="00147FC9"/>
    <w:rPr>
      <w:sz w:val="20"/>
      <w:szCs w:val="20"/>
    </w:rPr>
  </w:style>
  <w:style w:type="character" w:styleId="FootnoteReference">
    <w:name w:val="footnote reference"/>
    <w:basedOn w:val="DefaultParagraphFont"/>
    <w:semiHidden/>
    <w:rsid w:val="00147FC9"/>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4</Pages>
  <Words>503</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burforda</cp:lastModifiedBy>
  <cp:revision>11</cp:revision>
  <cp:lastPrinted>2011-09-01T16:02:00Z</cp:lastPrinted>
  <dcterms:created xsi:type="dcterms:W3CDTF">2011-09-20T14:27:00Z</dcterms:created>
  <dcterms:modified xsi:type="dcterms:W3CDTF">2012-06-19T12:53:00Z</dcterms:modified>
</cp:coreProperties>
</file>