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F15295">
        <w:rPr>
          <w:b/>
          <w:sz w:val="44"/>
          <w:szCs w:val="44"/>
        </w:rPr>
        <w:t>117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157BD0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361B23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 April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F1529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F1529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15295">
              <w:t>0</w:t>
            </w:r>
            <w:r>
              <w:t>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95754B">
              <w:t>/Webinar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95754B" w:rsidP="007B7D91">
            <w:pPr>
              <w:pStyle w:val="GSTblText1"/>
            </w:pP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</w:p>
          <w:p w:rsidR="006F784F" w:rsidRDefault="00AF78B7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A934E2" w:rsidRPr="000A09A5" w:rsidRDefault="00F15295" w:rsidP="0095754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DCP 117 Webinar Link</w:t>
              </w:r>
            </w:hyperlink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61B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754B">
              <w:rPr>
                <w:rFonts w:ascii="Tahoma" w:hAnsi="Tahoma" w:cs="Tahoma"/>
                <w:sz w:val="20"/>
                <w:szCs w:val="20"/>
              </w:rPr>
              <w:t xml:space="preserve">- Password: </w:t>
            </w:r>
            <w:proofErr w:type="spellStart"/>
            <w:r w:rsidR="0095754B"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95754B" w:rsidRPr="0064407A" w:rsidRDefault="0064407A" w:rsidP="00F15295">
            <w:pPr>
              <w:pStyle w:val="GSTblText2bullet"/>
            </w:pPr>
            <w:r>
              <w:t>Apologies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361B23">
            <w:pPr>
              <w:pStyle w:val="GSTblText2bullet"/>
              <w:numPr>
                <w:ilvl w:val="0"/>
                <w:numId w:val="0"/>
              </w:numPr>
            </w:pPr>
            <w:r>
              <w:t>Review of the Change Report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  <w:r w:rsidR="00F15295">
              <w:t>/Chair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6935CF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BB70CD" w:rsidRDefault="0064407A" w:rsidP="001B10ED">
            <w:pPr>
              <w:pStyle w:val="GSTblText1"/>
              <w:rPr>
                <w:i/>
              </w:rPr>
            </w:pPr>
            <w:r>
              <w:t>Work Plan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523C55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361B23" w:rsidP="00523C55">
    <w:pPr>
      <w:pStyle w:val="GSHeaderFooter"/>
      <w:jc w:val="center"/>
    </w:pPr>
    <w:r>
      <w:t>26</w:t>
    </w:r>
    <w:r w:rsidR="0095754B">
      <w:t xml:space="preserve"> March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1DF213E5" wp14:editId="6AF1FA93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5703C"/>
    <w:rsid w:val="00361B23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E4285B"/>
    <w:rsid w:val="00E61B89"/>
    <w:rsid w:val="00E74B1F"/>
    <w:rsid w:val="00E91621"/>
    <w:rsid w:val="00EA28BF"/>
    <w:rsid w:val="00EA4D63"/>
    <w:rsid w:val="00F15295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0189d7debd5a4198f96bcea47da752f0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2015-03-26T14:43:30+00:00</DateLastActivated1>
    <Commitees xmlns="c7312139-f4c2-453d-a4c8-c631b6303d87">
      <Value>73</Value>
    </Commitees>
    <DocNotes xmlns="c7312139-f4c2-453d-a4c8-c631b6303d87" xsi:nil="true"/>
    <Activities xmlns="c7312139-f4c2-453d-a4c8-c631b6303d87">
      <Value>1964</Value>
    </Activities>
    <Issues xmlns="c7312139-f4c2-453d-a4c8-c631b6303d87"/>
    <PublishDate xmlns="c7312139-f4c2-453d-a4c8-c631b6303d87">2015-03-26T00:00:00+00:00</PublishDate>
    <ChangeProposal1 xmlns="c7312139-f4c2-453d-a4c8-c631b6303d87">
      <Value>93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C4D35761-BAE7-49AA-BE4A-429639D44559}"/>
</file>

<file path=customXml/itemProps2.xml><?xml version="1.0" encoding="utf-8"?>
<ds:datastoreItem xmlns:ds="http://schemas.openxmlformats.org/officeDocument/2006/customXml" ds:itemID="{982A5E52-C4BA-469A-A460-2777DF568F43}"/>
</file>

<file path=customXml/itemProps3.xml><?xml version="1.0" encoding="utf-8"?>
<ds:datastoreItem xmlns:ds="http://schemas.openxmlformats.org/officeDocument/2006/customXml" ds:itemID="{C7251C72-04BB-4901-ADF0-3D6488A32E51}"/>
</file>

<file path=customXml/itemProps4.xml><?xml version="1.0" encoding="utf-8"?>
<ds:datastoreItem xmlns:ds="http://schemas.openxmlformats.org/officeDocument/2006/customXml" ds:itemID="{3B32D6CF-2790-4557-95D5-6F04033612B5}"/>
</file>

<file path=customXml/itemProps5.xml><?xml version="1.0" encoding="utf-8"?>
<ds:datastoreItem xmlns:ds="http://schemas.openxmlformats.org/officeDocument/2006/customXml" ds:itemID="{C8DDF729-74BA-4594-9245-727287B866B3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117 Working Group_Agenda_Meeting 17</dc:title>
  <dc:creator>hynesc</dc:creator>
  <cp:lastModifiedBy>Michael Walls</cp:lastModifiedBy>
  <cp:revision>10</cp:revision>
  <cp:lastPrinted>2015-03-23T09:59:00Z</cp:lastPrinted>
  <dcterms:created xsi:type="dcterms:W3CDTF">2015-02-09T10:31:00Z</dcterms:created>
  <dcterms:modified xsi:type="dcterms:W3CDTF">2015-03-26T14:37:00Z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