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838" w:rsidRPr="001D7EBD" w:rsidRDefault="00C12838" w:rsidP="0065223E">
      <w:pPr>
        <w:rPr>
          <w:rFonts w:ascii="Verdana" w:hAnsi="Verdana"/>
          <w:sz w:val="20"/>
          <w:szCs w:val="20"/>
        </w:rPr>
      </w:pPr>
    </w:p>
    <w:p w:rsidR="00C12838" w:rsidRDefault="00C12838" w:rsidP="00A1447E">
      <w:pPr>
        <w:ind w:hanging="851"/>
        <w:rPr>
          <w:noProof/>
          <w:lang w:val="en-US"/>
        </w:rPr>
      </w:pPr>
      <w:r w:rsidRPr="007A63B4">
        <w:rPr>
          <w:sz w:val="20"/>
          <w:szCs w:val="20"/>
        </w:rPr>
        <w:t xml:space="preserve"> </w:t>
      </w:r>
      <w:r w:rsidR="00897E8D">
        <w:rPr>
          <w:noProof/>
          <w:lang w:val="en-US" w:eastAsia="en-US"/>
        </w:rPr>
        <w:drawing>
          <wp:inline distT="0" distB="0" distL="0" distR="0">
            <wp:extent cx="2570480" cy="819785"/>
            <wp:effectExtent l="19050" t="0" r="127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2570480" cy="819785"/>
                    </a:xfrm>
                    <a:prstGeom prst="rect">
                      <a:avLst/>
                    </a:prstGeom>
                    <a:noFill/>
                    <a:ln w="9525">
                      <a:noFill/>
                      <a:miter lim="800000"/>
                      <a:headEnd/>
                      <a:tailEnd/>
                    </a:ln>
                  </pic:spPr>
                </pic:pic>
              </a:graphicData>
            </a:graphic>
          </wp:inline>
        </w:drawing>
      </w:r>
    </w:p>
    <w:p w:rsidR="00C12838" w:rsidRDefault="00C12838" w:rsidP="00A1447E">
      <w:pPr>
        <w:rPr>
          <w:noProof/>
          <w:lang w:val="en-US"/>
        </w:rPr>
      </w:pPr>
    </w:p>
    <w:p w:rsidR="00C12838" w:rsidRDefault="00C12838" w:rsidP="00A1447E">
      <w:pPr>
        <w:rPr>
          <w:noProof/>
          <w:lang w:val="en-US"/>
        </w:rPr>
      </w:pPr>
    </w:p>
    <w:p w:rsidR="00C12838" w:rsidRPr="00B239C0" w:rsidRDefault="00805A35" w:rsidP="00B239C0">
      <w:r w:rsidRPr="00805A35">
        <w:rPr>
          <w:noProof/>
        </w:rPr>
        <w:pict>
          <v:group id="_x0000_s1026" style="position:absolute;margin-left:-30.9pt;margin-top:8.95pt;width:522.5pt;height:227.1pt;z-index:-251657216" coordorigin="1678,11011" coordsize="9619,2647" wrapcoords="217 6202 217 6202 21631 6202 21631 6202 217 6202">
            <v:shapetype id="_x0000_t202" coordsize="21600,21600" o:spt="202" path="m,l,21600r21600,l21600,xe">
              <v:stroke joinstyle="miter"/>
              <v:path gradientshapeok="t" o:connecttype="rect"/>
            </v:shapetype>
            <v:shape id="_x0000_s1027" type="#_x0000_t202" style="position:absolute;left:1678;top:11011;width:9000;height:655;mso-wrap-edited:f;mso-position-vertical-relative:page" filled="f" stroked="f">
              <v:fill o:detectmouseclick="t"/>
              <v:textbox style="mso-next-textbox:#_x0000_s1027" inset=",7.2pt,,7.2pt">
                <w:txbxContent>
                  <w:p w:rsidR="00C12838" w:rsidRPr="00767B37" w:rsidRDefault="00C12838" w:rsidP="00A1447E">
                    <w:pPr>
                      <w:rPr>
                        <w:rFonts w:ascii="Verdana" w:hAnsi="Verdana"/>
                        <w:b/>
                        <w:sz w:val="32"/>
                        <w:szCs w:val="32"/>
                      </w:rPr>
                    </w:pPr>
                    <w:r w:rsidRPr="00767B37">
                      <w:rPr>
                        <w:rFonts w:ascii="Verdana" w:hAnsi="Verdana"/>
                        <w:b/>
                        <w:sz w:val="32"/>
                        <w:szCs w:val="32"/>
                      </w:rPr>
                      <w:t>DCUSA Change Report</w:t>
                    </w:r>
                  </w:p>
                </w:txbxContent>
              </v:textbox>
            </v:shape>
            <v:shape id="_x0000_s1028" type="#_x0000_t202" style="position:absolute;left:1678;top:11918;width:8603;height:1740;mso-wrap-edited:f;mso-position-vertical-relative:page" filled="f" stroked="f">
              <v:fill o:detectmouseclick="t"/>
              <v:textbox style="mso-next-textbox:#_x0000_s1028" inset=",7.2pt,,7.2pt">
                <w:txbxContent>
                  <w:p w:rsidR="00C12838" w:rsidRPr="004C092D" w:rsidRDefault="00C12838" w:rsidP="00A1447E">
                    <w:pPr>
                      <w:rPr>
                        <w:rFonts w:ascii="Verdana" w:hAnsi="Verdana"/>
                        <w:b/>
                        <w:sz w:val="32"/>
                        <w:szCs w:val="32"/>
                      </w:rPr>
                    </w:pPr>
                    <w:r w:rsidRPr="004C092D">
                      <w:rPr>
                        <w:rFonts w:ascii="Verdana" w:hAnsi="Verdana"/>
                        <w:b/>
                        <w:sz w:val="32"/>
                        <w:szCs w:val="32"/>
                      </w:rPr>
                      <w:t xml:space="preserve">DCP 097 </w:t>
                    </w:r>
                    <w:r>
                      <w:rPr>
                        <w:rFonts w:ascii="Verdana" w:hAnsi="Verdana"/>
                        <w:b/>
                        <w:sz w:val="32"/>
                        <w:szCs w:val="32"/>
                      </w:rPr>
                      <w:t xml:space="preserve">and DCP 097A </w:t>
                    </w:r>
                    <w:r w:rsidRPr="004C092D">
                      <w:rPr>
                        <w:rFonts w:ascii="Verdana" w:hAnsi="Verdana"/>
                        <w:b/>
                        <w:sz w:val="32"/>
                        <w:szCs w:val="32"/>
                      </w:rPr>
                      <w:t>– Changes to the method of cost allocation employed in the Price Control Disaggregation Model for DNO indirect cost categories specifically associated with the volume of customers using the DNO network</w:t>
                    </w:r>
                  </w:p>
                </w:txbxContent>
              </v:textbox>
            </v:shape>
            <v:line id="_x0000_s1029" style="position:absolute;mso-wrap-edited:f;mso-position-vertical-relative:page" from="1803,11782" to="11297,11782" strokecolor="#4e6128" strokeweight="1pt">
              <v:fill o:detectmouseclick="t"/>
              <v:shadow opacity="22938f" offset="0"/>
            </v:line>
            <w10:wrap type="tight"/>
          </v:group>
        </w:pict>
      </w:r>
      <w:r w:rsidR="00C12838">
        <w:br w:type="page"/>
      </w:r>
    </w:p>
    <w:p w:rsidR="00C12838" w:rsidRPr="006666F9" w:rsidRDefault="00C12838" w:rsidP="00660AF0">
      <w:pPr>
        <w:pStyle w:val="Heading1"/>
        <w:numPr>
          <w:ilvl w:val="0"/>
          <w:numId w:val="2"/>
        </w:numPr>
        <w:spacing w:line="360" w:lineRule="auto"/>
      </w:pPr>
      <w:r w:rsidRPr="006666F9">
        <w:lastRenderedPageBreak/>
        <w:t>PURPOSE</w:t>
      </w:r>
    </w:p>
    <w:p w:rsidR="00C12838" w:rsidRDefault="00C12838" w:rsidP="00660AF0">
      <w:pPr>
        <w:pStyle w:val="Heading2"/>
        <w:keepNext w:val="0"/>
        <w:widowControl w:val="0"/>
        <w:numPr>
          <w:ilvl w:val="1"/>
          <w:numId w:val="2"/>
        </w:numPr>
        <w:tabs>
          <w:tab w:val="clear" w:pos="718"/>
          <w:tab w:val="num" w:pos="576"/>
        </w:tabs>
        <w:spacing w:line="360" w:lineRule="auto"/>
        <w:ind w:left="576"/>
      </w:pPr>
      <w:r w:rsidRPr="006666F9">
        <w:t>This document is issued in accordance with Clause 11.20 of the DCUSA</w:t>
      </w:r>
      <w:r>
        <w:t xml:space="preserve">, and </w:t>
      </w:r>
      <w:r w:rsidRPr="006666F9">
        <w:t xml:space="preserve">details DCP </w:t>
      </w:r>
      <w:r>
        <w:t xml:space="preserve">097 and 097 A </w:t>
      </w:r>
      <w:r w:rsidRPr="006666F9">
        <w:t>–</w:t>
      </w:r>
      <w:r>
        <w:t xml:space="preserve"> </w:t>
      </w:r>
      <w:r w:rsidRPr="00790C83">
        <w:t>Changes to the method of cost allocation employed in the Price Control Disaggregation Model for DNO indirect cost categories specifically associated with the volume of customers using the DNO network.</w:t>
      </w:r>
      <w:r>
        <w:t xml:space="preserve"> </w:t>
      </w:r>
      <w:r w:rsidRPr="006666F9">
        <w:t xml:space="preserve"> The voting process for the proposed variation and the timetable of the progression of the C</w:t>
      </w:r>
      <w:r>
        <w:t xml:space="preserve">hange </w:t>
      </w:r>
      <w:r w:rsidRPr="006666F9">
        <w:t>P</w:t>
      </w:r>
      <w:r>
        <w:t>roposal (CP)</w:t>
      </w:r>
      <w:r w:rsidRPr="006666F9">
        <w:t xml:space="preserve"> through the DCUSA Change Control Process is set out in this document. </w:t>
      </w:r>
    </w:p>
    <w:p w:rsidR="00C12838" w:rsidRPr="006666F9" w:rsidRDefault="00C12838" w:rsidP="00660AF0">
      <w:pPr>
        <w:pStyle w:val="Heading2"/>
        <w:keepNext w:val="0"/>
        <w:widowControl w:val="0"/>
        <w:numPr>
          <w:ilvl w:val="1"/>
          <w:numId w:val="2"/>
        </w:numPr>
        <w:tabs>
          <w:tab w:val="clear" w:pos="718"/>
          <w:tab w:val="num" w:pos="576"/>
        </w:tabs>
        <w:spacing w:line="360" w:lineRule="auto"/>
        <w:ind w:left="576"/>
      </w:pPr>
      <w:r w:rsidRPr="006666F9">
        <w:t>Parties are invited to consider the proposed amendment</w:t>
      </w:r>
      <w:r>
        <w:t>s</w:t>
      </w:r>
      <w:r w:rsidRPr="006666F9">
        <w:t xml:space="preserve"> </w:t>
      </w:r>
      <w:r>
        <w:t>(</w:t>
      </w:r>
      <w:r w:rsidRPr="006666F9">
        <w:t>Appendi</w:t>
      </w:r>
      <w:r>
        <w:t xml:space="preserve">x </w:t>
      </w:r>
      <w:r w:rsidRPr="006666F9">
        <w:t>A</w:t>
      </w:r>
      <w:r>
        <w:t xml:space="preserve"> and B), together with the Consultation documentation (Appendix C)</w:t>
      </w:r>
      <w:r w:rsidR="00077CAC">
        <w:t>, the reconfigured analysis (Appendix D)</w:t>
      </w:r>
      <w:r>
        <w:t xml:space="preserve"> </w:t>
      </w:r>
      <w:r w:rsidRPr="006666F9">
        <w:t xml:space="preserve">and submit </w:t>
      </w:r>
      <w:r>
        <w:t xml:space="preserve">their </w:t>
      </w:r>
      <w:r w:rsidRPr="006666F9">
        <w:t xml:space="preserve">votes using the form attached as Appendix </w:t>
      </w:r>
      <w:r w:rsidR="00077CAC">
        <w:t>E</w:t>
      </w:r>
      <w:r>
        <w:t xml:space="preserve"> </w:t>
      </w:r>
      <w:r w:rsidRPr="006666F9">
        <w:t xml:space="preserve">to </w:t>
      </w:r>
      <w:r w:rsidRPr="006666F9">
        <w:rPr>
          <w:color w:val="0000FF"/>
          <w:u w:val="single"/>
        </w:rPr>
        <w:t>dcusa@electralink.co.uk</w:t>
      </w:r>
      <w:r w:rsidRPr="006666F9">
        <w:t xml:space="preserve"> by </w:t>
      </w:r>
      <w:r>
        <w:t>28 October 2011</w:t>
      </w:r>
      <w:r w:rsidRPr="006666F9">
        <w:t>.</w:t>
      </w:r>
    </w:p>
    <w:p w:rsidR="00C12838" w:rsidRPr="006666F9" w:rsidRDefault="00C12838" w:rsidP="00660AF0">
      <w:pPr>
        <w:pStyle w:val="Heading1"/>
        <w:numPr>
          <w:ilvl w:val="0"/>
          <w:numId w:val="2"/>
        </w:numPr>
        <w:spacing w:line="360" w:lineRule="auto"/>
      </w:pPr>
      <w:r w:rsidRPr="006666F9">
        <w:t>SUMMARY</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DCP 097 was raised by the Electricity Network Company and </w:t>
      </w:r>
      <w:r>
        <w:rPr>
          <w:rFonts w:cs="Verdana"/>
        </w:rPr>
        <w:t>seeks to change</w:t>
      </w:r>
      <w:r w:rsidRPr="005D370A">
        <w:rPr>
          <w:rFonts w:cs="Verdana"/>
        </w:rPr>
        <w:t xml:space="preserve"> </w:t>
      </w:r>
      <w:r>
        <w:rPr>
          <w:rFonts w:cs="Verdana"/>
        </w:rPr>
        <w:t xml:space="preserve">the CDCM methodology for the calculation of the LDNO discounts, </w:t>
      </w:r>
      <w:r w:rsidRPr="00B4663C">
        <w:t xml:space="preserve">which are used </w:t>
      </w:r>
      <w:r w:rsidRPr="001A1107">
        <w:t xml:space="preserve">to determine </w:t>
      </w:r>
      <w:r>
        <w:t>portfolio</w:t>
      </w:r>
      <w:r w:rsidRPr="001A1107">
        <w:t xml:space="preserve"> tariffs </w:t>
      </w:r>
      <w:r>
        <w:t>applied in respect of</w:t>
      </w:r>
      <w:r w:rsidRPr="001A1107">
        <w:t xml:space="preserve"> LDNO networks connecting to a DNO’s distribution system</w:t>
      </w:r>
      <w:r>
        <w:t>, by using</w:t>
      </w:r>
      <w:r w:rsidRPr="00B4663C">
        <w:t xml:space="preserve"> </w:t>
      </w:r>
      <w:r>
        <w:t>customer Numbers</w:t>
      </w:r>
      <w:r w:rsidRPr="00B4663C">
        <w:t xml:space="preserve"> for </w:t>
      </w:r>
      <w:r>
        <w:t xml:space="preserve">various costs and Customer Numbers or MEAV for </w:t>
      </w:r>
      <w:r w:rsidRPr="00B4663C">
        <w:t xml:space="preserve">IT </w:t>
      </w:r>
      <w:r>
        <w:t xml:space="preserve">&amp; Telecoms </w:t>
      </w:r>
      <w:r w:rsidRPr="00B4663C">
        <w:t xml:space="preserve">and </w:t>
      </w:r>
      <w:r>
        <w:t>P</w:t>
      </w:r>
      <w:r w:rsidRPr="00B4663C">
        <w:t>roperty</w:t>
      </w:r>
      <w:r>
        <w:t xml:space="preserve"> Management </w:t>
      </w:r>
      <w:r w:rsidRPr="00B4663C">
        <w:t xml:space="preserve">cost allocation. </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 final drafting of DCP 097 that was developed by the Working Group settled on using MEAV for allocating costs to IT &amp; Telecoms and Property Management. DCP 097A was raised by Independent Power Networks and has broadly the same intent as DCP 097, but it differs from the final draft of DCP 097 in that instead of using MEAV as the driver for IT &amp; Telecoms and Property Management, it uses C</w:t>
      </w:r>
      <w:r w:rsidRPr="00B4663C">
        <w:t xml:space="preserve">ustomer </w:t>
      </w:r>
      <w:r>
        <w:t>N</w:t>
      </w:r>
      <w:r w:rsidRPr="00B4663C">
        <w:t>umbers</w:t>
      </w:r>
      <w:r>
        <w:t>.</w:t>
      </w:r>
      <w:r w:rsidRPr="00B4663C">
        <w:t xml:space="preserve"> </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The proposer of DCP 097felt that the case for allocating a cost driver for these two costs types was less </w:t>
      </w:r>
      <w:proofErr w:type="gramStart"/>
      <w:r>
        <w:t>clear,</w:t>
      </w:r>
      <w:proofErr w:type="gramEnd"/>
      <w:r>
        <w:t xml:space="preserve"> and that a case for using MEAV or Customer Numbers to allocate such costs could be made. Therefore an alternative was raised to give Parties the choice of drivers for these particular two cost types. </w:t>
      </w:r>
    </w:p>
    <w:p w:rsidR="00C12838" w:rsidRDefault="00C12838" w:rsidP="00660AF0">
      <w:pPr>
        <w:pStyle w:val="Heading2"/>
        <w:keepNext w:val="0"/>
        <w:widowControl w:val="0"/>
        <w:numPr>
          <w:ilvl w:val="1"/>
          <w:numId w:val="2"/>
        </w:numPr>
        <w:tabs>
          <w:tab w:val="clear" w:pos="718"/>
          <w:tab w:val="num" w:pos="576"/>
        </w:tabs>
        <w:spacing w:line="360" w:lineRule="auto"/>
        <w:ind w:left="576"/>
      </w:pPr>
      <w:r w:rsidRPr="001A1107">
        <w:t xml:space="preserve">The CDCM calculates </w:t>
      </w:r>
      <w:r>
        <w:t>portfolio</w:t>
      </w:r>
      <w:r w:rsidRPr="001A1107">
        <w:t xml:space="preserve"> tariffs for LDNO networks </w:t>
      </w:r>
      <w:r>
        <w:t xml:space="preserve">that </w:t>
      </w:r>
      <w:r w:rsidRPr="001A1107">
        <w:t>connect to a DNO’s distribution system</w:t>
      </w:r>
      <w:r>
        <w:t xml:space="preserve"> by applying LDNO discounts to final tariffs (final tariffs are those calculated in respect of end consumers on the DNO Party’s network).</w:t>
      </w:r>
      <w:r w:rsidRPr="001A1107">
        <w:t xml:space="preserve"> </w:t>
      </w:r>
      <w:r>
        <w:t xml:space="preserve">Within </w:t>
      </w:r>
      <w:r>
        <w:rPr>
          <w:rFonts w:cs="Verdana"/>
        </w:rPr>
        <w:t xml:space="preserve">Step 4 of Schedule 16 in the DCUSA it describes the rules </w:t>
      </w:r>
      <w:r>
        <w:rPr>
          <w:rFonts w:cs="Verdana"/>
        </w:rPr>
        <w:lastRenderedPageBreak/>
        <w:t>that the CDCM employs to calculate LDNO discounts</w:t>
      </w:r>
      <w:r w:rsidRPr="001A1107">
        <w:t xml:space="preserve">.  </w:t>
      </w:r>
      <w:r>
        <w:rPr>
          <w:rFonts w:cs="Verdana"/>
        </w:rPr>
        <w:t xml:space="preserve">In practice these rules are embedded in an Excel workbook entitled “Method M”.  </w:t>
      </w:r>
      <w:r w:rsidRPr="001A1107">
        <w:t xml:space="preserve">In </w:t>
      </w:r>
      <w:r>
        <w:t>calculating the LDNO discounts</w:t>
      </w:r>
      <w:r w:rsidRPr="001A1107">
        <w:t xml:space="preserve"> </w:t>
      </w:r>
      <w:r>
        <w:t>the methodology</w:t>
      </w:r>
      <w:r w:rsidRPr="001A1107">
        <w:t xml:space="preserve"> allocates certain </w:t>
      </w:r>
      <w:r>
        <w:t xml:space="preserve">DNO </w:t>
      </w:r>
      <w:r w:rsidRPr="001A1107">
        <w:t xml:space="preserve">indirect opex costs to different </w:t>
      </w:r>
      <w:r>
        <w:t>network</w:t>
      </w:r>
      <w:r w:rsidRPr="001A1107">
        <w:t xml:space="preserve"> </w:t>
      </w:r>
      <w:r>
        <w:t>level</w:t>
      </w:r>
      <w:r w:rsidRPr="001A1107">
        <w:t>s using different cost drivers</w:t>
      </w:r>
      <w:r>
        <w:t xml:space="preserve">. </w:t>
      </w:r>
      <w:r w:rsidRPr="001A1107">
        <w:t xml:space="preserve"> </w:t>
      </w:r>
    </w:p>
    <w:p w:rsidR="00C12838" w:rsidRDefault="00660AF0" w:rsidP="00660AF0">
      <w:pPr>
        <w:pStyle w:val="Heading2"/>
        <w:keepNext w:val="0"/>
        <w:widowControl w:val="0"/>
        <w:numPr>
          <w:ilvl w:val="1"/>
          <w:numId w:val="2"/>
        </w:numPr>
        <w:tabs>
          <w:tab w:val="clear" w:pos="718"/>
          <w:tab w:val="num" w:pos="576"/>
        </w:tabs>
        <w:spacing w:line="360" w:lineRule="auto"/>
        <w:ind w:left="576"/>
      </w:pPr>
      <w:r>
        <w:t xml:space="preserve"> </w:t>
      </w:r>
      <w:r w:rsidR="00C12838" w:rsidRPr="001A1107">
        <w:t xml:space="preserve">It then calculates weighted average percentages for allocating the </w:t>
      </w:r>
      <w:r w:rsidR="00C12838">
        <w:t xml:space="preserve">DNO </w:t>
      </w:r>
      <w:r w:rsidR="00C12838" w:rsidRPr="001A1107">
        <w:t>opex costs</w:t>
      </w:r>
      <w:r w:rsidR="00C12838">
        <w:t>.  In practice the weighted average percentages are calculated in the Method M ‘</w:t>
      </w:r>
      <w:r w:rsidR="00C12838" w:rsidRPr="00055803">
        <w:rPr>
          <w:i/>
        </w:rPr>
        <w:t xml:space="preserve">WPD – Opex </w:t>
      </w:r>
      <w:r w:rsidR="00C12838">
        <w:rPr>
          <w:i/>
        </w:rPr>
        <w:t>A</w:t>
      </w:r>
      <w:r w:rsidR="00C12838" w:rsidRPr="00055803">
        <w:rPr>
          <w:i/>
        </w:rPr>
        <w:t>llocation</w:t>
      </w:r>
      <w:r w:rsidR="00C12838">
        <w:t>’ worksheet and used to allocate opex costs in the</w:t>
      </w:r>
      <w:r w:rsidR="00C12838" w:rsidRPr="00722197">
        <w:t xml:space="preserve"> </w:t>
      </w:r>
      <w:r w:rsidR="00C12838">
        <w:t xml:space="preserve">Method M </w:t>
      </w:r>
      <w:r w:rsidR="00C12838" w:rsidRPr="001A1107">
        <w:t>‘</w:t>
      </w:r>
      <w:r w:rsidR="00C12838" w:rsidRPr="001A1107">
        <w:rPr>
          <w:i/>
        </w:rPr>
        <w:t>WPD- Final Allocation’</w:t>
      </w:r>
      <w:r w:rsidR="00C12838">
        <w:rPr>
          <w:i/>
        </w:rPr>
        <w:t xml:space="preserve"> </w:t>
      </w:r>
      <w:r w:rsidR="00C12838" w:rsidRPr="00055803">
        <w:t>worksheet</w:t>
      </w:r>
      <w:r w:rsidR="00C12838">
        <w:t>.</w:t>
      </w:r>
      <w:r w:rsidR="00C12838" w:rsidRPr="001A1107">
        <w:t xml:space="preserve">  </w:t>
      </w:r>
      <w:r w:rsidR="00C12838">
        <w:t>In addition,</w:t>
      </w:r>
      <w:r w:rsidR="00C12838" w:rsidRPr="001A1107">
        <w:t xml:space="preserve"> the </w:t>
      </w:r>
      <w:r w:rsidR="00C12838">
        <w:t>proportion</w:t>
      </w:r>
      <w:r w:rsidR="00C12838" w:rsidRPr="001A1107">
        <w:t xml:space="preserve"> of direct</w:t>
      </w:r>
      <w:r w:rsidR="00C12838">
        <w:t xml:space="preserve"> costs to </w:t>
      </w:r>
      <w:r w:rsidR="00C12838" w:rsidRPr="001A1107">
        <w:t xml:space="preserve">indirect costs </w:t>
      </w:r>
      <w:r w:rsidR="00C12838">
        <w:t>is used in the calculation of LDNO discounts</w:t>
      </w:r>
      <w:r w:rsidR="00C12838" w:rsidRPr="001A1107">
        <w:t xml:space="preserve"> where the LDNO connects to the DNO within a </w:t>
      </w:r>
      <w:r w:rsidR="00C12838">
        <w:t>network</w:t>
      </w:r>
      <w:r w:rsidR="00C12838" w:rsidRPr="001A1107">
        <w:t xml:space="preserve"> </w:t>
      </w:r>
      <w:r w:rsidR="00C12838">
        <w:t xml:space="preserve">level </w:t>
      </w:r>
      <w:r w:rsidR="00C12838" w:rsidRPr="001A1107">
        <w:t xml:space="preserve">where an LDNO connects to the upstream distributor at </w:t>
      </w:r>
      <w:smartTag w:uri="urn:schemas-microsoft-com:office:smarttags" w:element="City">
        <w:r w:rsidR="00C12838" w:rsidRPr="001A1107">
          <w:t>LV</w:t>
        </w:r>
      </w:smartTag>
      <w:r w:rsidR="00C12838" w:rsidRPr="001A1107">
        <w:t xml:space="preserve"> and </w:t>
      </w:r>
      <w:r w:rsidR="00C12838">
        <w:t xml:space="preserve">where </w:t>
      </w:r>
      <w:r w:rsidR="00C12838" w:rsidRPr="001A1107">
        <w:t xml:space="preserve">the downstream customer </w:t>
      </w:r>
      <w:r w:rsidR="00C12838">
        <w:t xml:space="preserve">is connected </w:t>
      </w:r>
      <w:r w:rsidR="00C12838" w:rsidRPr="001A1107">
        <w:t xml:space="preserve">at </w:t>
      </w:r>
      <w:smartTag w:uri="urn:schemas-microsoft-com:office:smarttags" w:element="City">
        <w:smartTag w:uri="urn:schemas-microsoft-com:office:smarttags" w:element="place">
          <w:r w:rsidR="00C12838" w:rsidRPr="001A1107">
            <w:t>LV.</w:t>
          </w:r>
        </w:smartTag>
      </w:smartTag>
      <w:r w:rsidR="00C12838" w:rsidRPr="001A1107">
        <w:t xml:space="preserve">  </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Currently some of the indirect operating costs are allocated to each network level using an estimate of the percentage of the total Modern Equivalent Asset Value (MEAV) provided at each network level of the DNO’s distribution system as a cost driver. Not all indirect costs are allocated to network levels; where they are not allocated they do not play a part in determining the weighted average percentage used to allocate operating costs.  </w:t>
      </w:r>
    </w:p>
    <w:p w:rsidR="00C12838" w:rsidRDefault="00C12838" w:rsidP="00660AF0">
      <w:pPr>
        <w:pStyle w:val="Heading2"/>
        <w:keepNext w:val="0"/>
        <w:widowControl w:val="0"/>
        <w:numPr>
          <w:ilvl w:val="1"/>
          <w:numId w:val="2"/>
        </w:numPr>
        <w:tabs>
          <w:tab w:val="clear" w:pos="718"/>
          <w:tab w:val="num" w:pos="576"/>
        </w:tabs>
        <w:spacing w:line="360" w:lineRule="auto"/>
        <w:ind w:left="576"/>
      </w:pPr>
      <w:r>
        <w:t>DCP 097 and DCP 097A each propose</w:t>
      </w:r>
      <w:r w:rsidRPr="001A1107">
        <w:t xml:space="preserve"> to change the </w:t>
      </w:r>
      <w:r>
        <w:t xml:space="preserve">cost drivers used to allocate some of the indirect costs. The proposed changes to the cost drivers are shown below: </w:t>
      </w:r>
    </w:p>
    <w:tbl>
      <w:tblPr>
        <w:tblW w:w="8528" w:type="dxa"/>
        <w:tblLook w:val="00A0"/>
      </w:tblPr>
      <w:tblGrid>
        <w:gridCol w:w="2141"/>
        <w:gridCol w:w="1892"/>
        <w:gridCol w:w="1178"/>
        <w:gridCol w:w="3317"/>
      </w:tblGrid>
      <w:tr w:rsidR="00C12838" w:rsidRPr="00181B7D" w:rsidTr="00077CAC">
        <w:trPr>
          <w:trHeight w:val="550"/>
        </w:trPr>
        <w:tc>
          <w:tcPr>
            <w:tcW w:w="2152" w:type="dxa"/>
            <w:vMerge w:val="restart"/>
            <w:noWrap/>
          </w:tcPr>
          <w:p w:rsidR="00077CAC" w:rsidRDefault="00077CAC" w:rsidP="0016428C">
            <w:pPr>
              <w:jc w:val="center"/>
              <w:rPr>
                <w:rFonts w:ascii="Verdana" w:hAnsi="Verdana" w:cs="Tahoma"/>
                <w:b/>
                <w:color w:val="000000"/>
                <w:sz w:val="18"/>
                <w:szCs w:val="18"/>
              </w:rPr>
            </w:pPr>
          </w:p>
          <w:p w:rsidR="00077CAC" w:rsidRDefault="00077CAC" w:rsidP="0016428C">
            <w:pPr>
              <w:jc w:val="center"/>
              <w:rPr>
                <w:rFonts w:ascii="Verdana" w:hAnsi="Verdana" w:cs="Tahoma"/>
                <w:b/>
                <w:color w:val="000000"/>
                <w:sz w:val="18"/>
                <w:szCs w:val="18"/>
              </w:rPr>
            </w:pPr>
          </w:p>
          <w:p w:rsidR="00C12838" w:rsidRPr="00181B7D" w:rsidRDefault="00C12838" w:rsidP="0016428C">
            <w:pPr>
              <w:jc w:val="center"/>
              <w:rPr>
                <w:rFonts w:ascii="Verdana" w:hAnsi="Verdana" w:cs="Tahoma"/>
                <w:b/>
                <w:color w:val="000000"/>
                <w:sz w:val="18"/>
                <w:szCs w:val="18"/>
              </w:rPr>
            </w:pPr>
            <w:r w:rsidRPr="00181B7D">
              <w:rPr>
                <w:rFonts w:ascii="Verdana" w:hAnsi="Verdana" w:cs="Tahoma"/>
                <w:b/>
                <w:color w:val="000000"/>
                <w:sz w:val="18"/>
                <w:szCs w:val="18"/>
              </w:rPr>
              <w:t>Cost Category</w:t>
            </w:r>
          </w:p>
        </w:tc>
        <w:tc>
          <w:tcPr>
            <w:tcW w:w="1901" w:type="dxa"/>
            <w:noWrap/>
          </w:tcPr>
          <w:p w:rsidR="00C12838" w:rsidRPr="00181B7D" w:rsidRDefault="00C12838" w:rsidP="0016428C">
            <w:pPr>
              <w:jc w:val="center"/>
              <w:rPr>
                <w:rFonts w:ascii="Verdana" w:hAnsi="Verdana" w:cs="Tahoma"/>
                <w:b/>
                <w:color w:val="000000"/>
                <w:sz w:val="18"/>
                <w:szCs w:val="18"/>
              </w:rPr>
            </w:pPr>
            <w:r w:rsidRPr="00181B7D">
              <w:rPr>
                <w:rFonts w:ascii="Verdana" w:hAnsi="Verdana" w:cs="Tahoma"/>
                <w:b/>
                <w:color w:val="000000"/>
                <w:sz w:val="18"/>
                <w:szCs w:val="18"/>
              </w:rPr>
              <w:t>Cost Allocation Driver</w:t>
            </w:r>
          </w:p>
        </w:tc>
        <w:tc>
          <w:tcPr>
            <w:tcW w:w="4475" w:type="dxa"/>
            <w:gridSpan w:val="2"/>
          </w:tcPr>
          <w:p w:rsidR="00C12838" w:rsidRPr="00181B7D" w:rsidRDefault="00C12838" w:rsidP="0016428C">
            <w:pPr>
              <w:jc w:val="center"/>
              <w:rPr>
                <w:rFonts w:ascii="Verdana" w:hAnsi="Verdana" w:cs="Tahoma"/>
                <w:b/>
                <w:color w:val="000000"/>
                <w:sz w:val="18"/>
                <w:szCs w:val="18"/>
              </w:rPr>
            </w:pPr>
          </w:p>
        </w:tc>
      </w:tr>
      <w:tr w:rsidR="00C12838" w:rsidRPr="00181B7D" w:rsidTr="00077CAC">
        <w:trPr>
          <w:trHeight w:val="289"/>
        </w:trPr>
        <w:tc>
          <w:tcPr>
            <w:tcW w:w="2152" w:type="dxa"/>
            <w:vMerge/>
            <w:noWrap/>
          </w:tcPr>
          <w:p w:rsidR="00C12838" w:rsidRPr="00181B7D" w:rsidRDefault="00C12838" w:rsidP="0016428C">
            <w:pPr>
              <w:rPr>
                <w:rFonts w:ascii="Verdana" w:hAnsi="Verdana" w:cs="Tahoma"/>
                <w:b/>
                <w:color w:val="000000"/>
                <w:sz w:val="18"/>
                <w:szCs w:val="18"/>
              </w:rPr>
            </w:pPr>
          </w:p>
        </w:tc>
        <w:tc>
          <w:tcPr>
            <w:tcW w:w="1901" w:type="dxa"/>
            <w:noWrap/>
          </w:tcPr>
          <w:p w:rsidR="00C12838" w:rsidRPr="00181B7D" w:rsidRDefault="00C12838" w:rsidP="0016428C">
            <w:pPr>
              <w:jc w:val="center"/>
              <w:rPr>
                <w:rFonts w:ascii="Verdana" w:hAnsi="Verdana" w:cs="Tahoma"/>
                <w:b/>
                <w:color w:val="000000"/>
                <w:sz w:val="18"/>
                <w:szCs w:val="18"/>
              </w:rPr>
            </w:pPr>
            <w:r w:rsidRPr="00181B7D">
              <w:rPr>
                <w:rFonts w:ascii="Verdana" w:hAnsi="Verdana" w:cs="Tahoma"/>
                <w:b/>
                <w:color w:val="000000"/>
                <w:sz w:val="18"/>
                <w:szCs w:val="18"/>
              </w:rPr>
              <w:t>Current</w:t>
            </w:r>
          </w:p>
        </w:tc>
        <w:tc>
          <w:tcPr>
            <w:tcW w:w="1141" w:type="dxa"/>
            <w:vAlign w:val="bottom"/>
          </w:tcPr>
          <w:p w:rsidR="00C12838" w:rsidRPr="00181B7D" w:rsidRDefault="00C12838" w:rsidP="00077CAC">
            <w:pPr>
              <w:jc w:val="center"/>
              <w:rPr>
                <w:rFonts w:ascii="Verdana" w:hAnsi="Verdana" w:cs="Tahoma"/>
                <w:b/>
                <w:color w:val="000000"/>
                <w:sz w:val="18"/>
                <w:szCs w:val="18"/>
              </w:rPr>
            </w:pPr>
            <w:r w:rsidRPr="00181B7D">
              <w:rPr>
                <w:rFonts w:ascii="Verdana" w:hAnsi="Verdana" w:cs="Tahoma"/>
                <w:b/>
                <w:color w:val="000000"/>
                <w:sz w:val="18"/>
                <w:szCs w:val="18"/>
              </w:rPr>
              <w:t>Proposed</w:t>
            </w:r>
            <w:r>
              <w:rPr>
                <w:rFonts w:ascii="Verdana" w:hAnsi="Verdana" w:cs="Tahoma"/>
                <w:b/>
                <w:color w:val="000000"/>
                <w:sz w:val="18"/>
                <w:szCs w:val="18"/>
              </w:rPr>
              <w:t xml:space="preserve"> DCP 09</w:t>
            </w:r>
            <w:r w:rsidR="00077CAC">
              <w:rPr>
                <w:rFonts w:ascii="Verdana" w:hAnsi="Verdana" w:cs="Tahoma"/>
                <w:b/>
                <w:color w:val="000000"/>
                <w:sz w:val="18"/>
                <w:szCs w:val="18"/>
              </w:rPr>
              <w:t>7</w:t>
            </w:r>
          </w:p>
        </w:tc>
        <w:tc>
          <w:tcPr>
            <w:tcW w:w="3334" w:type="dxa"/>
            <w:noWrap/>
          </w:tcPr>
          <w:p w:rsidR="00C12838" w:rsidRPr="00181B7D" w:rsidRDefault="00C12838" w:rsidP="00077CAC">
            <w:pPr>
              <w:jc w:val="center"/>
              <w:rPr>
                <w:rFonts w:ascii="Verdana" w:hAnsi="Verdana" w:cs="Tahoma"/>
                <w:b/>
                <w:color w:val="000000"/>
                <w:sz w:val="18"/>
                <w:szCs w:val="18"/>
              </w:rPr>
            </w:pPr>
            <w:r w:rsidRPr="00181B7D">
              <w:rPr>
                <w:rFonts w:ascii="Verdana" w:hAnsi="Verdana" w:cs="Tahoma"/>
                <w:b/>
                <w:color w:val="000000"/>
                <w:sz w:val="18"/>
                <w:szCs w:val="18"/>
              </w:rPr>
              <w:t>Proposed</w:t>
            </w:r>
            <w:r>
              <w:rPr>
                <w:rFonts w:ascii="Verdana" w:hAnsi="Verdana" w:cs="Tahoma"/>
                <w:b/>
                <w:color w:val="000000"/>
                <w:sz w:val="18"/>
                <w:szCs w:val="18"/>
              </w:rPr>
              <w:t xml:space="preserve"> DCP 09</w:t>
            </w:r>
            <w:r w:rsidR="00077CAC">
              <w:rPr>
                <w:rFonts w:ascii="Verdana" w:hAnsi="Verdana" w:cs="Tahoma"/>
                <w:b/>
                <w:color w:val="000000"/>
                <w:sz w:val="18"/>
                <w:szCs w:val="18"/>
              </w:rPr>
              <w:t>7</w:t>
            </w:r>
            <w:r>
              <w:rPr>
                <w:rFonts w:ascii="Verdana" w:hAnsi="Verdana" w:cs="Tahoma"/>
                <w:b/>
                <w:color w:val="000000"/>
                <w:sz w:val="18"/>
                <w:szCs w:val="18"/>
              </w:rPr>
              <w:t xml:space="preserve"> A</w:t>
            </w:r>
          </w:p>
        </w:tc>
      </w:tr>
      <w:tr w:rsidR="00C12838" w:rsidRPr="00181B7D" w:rsidTr="00077CAC">
        <w:trPr>
          <w:trHeight w:val="293"/>
        </w:trPr>
        <w:tc>
          <w:tcPr>
            <w:tcW w:w="2152"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Customer Call Centre</w:t>
            </w:r>
          </w:p>
        </w:tc>
        <w:tc>
          <w:tcPr>
            <w:tcW w:w="1901" w:type="dxa"/>
            <w:noWrap/>
          </w:tcPr>
          <w:p w:rsidR="00C12838" w:rsidRPr="00181B7D" w:rsidRDefault="00C12838" w:rsidP="0016428C">
            <w:pPr>
              <w:rPr>
                <w:rFonts w:ascii="Verdana" w:hAnsi="Verdana" w:cs="Tahoma"/>
                <w:color w:val="000000"/>
                <w:sz w:val="18"/>
                <w:szCs w:val="18"/>
              </w:rPr>
            </w:pPr>
            <w:r>
              <w:rPr>
                <w:rFonts w:ascii="Verdana" w:hAnsi="Verdana" w:cs="Tahoma"/>
                <w:color w:val="000000"/>
                <w:sz w:val="18"/>
                <w:szCs w:val="18"/>
              </w:rPr>
              <w:t>MEAV</w:t>
            </w:r>
          </w:p>
        </w:tc>
        <w:tc>
          <w:tcPr>
            <w:tcW w:w="1141" w:type="dxa"/>
            <w:vAlign w:val="bottom"/>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c>
          <w:tcPr>
            <w:tcW w:w="3334" w:type="dxa"/>
            <w:noWrap/>
          </w:tcPr>
          <w:p w:rsidR="00C12838" w:rsidRPr="00181B7D" w:rsidRDefault="00C12838" w:rsidP="0016428C">
            <w:pPr>
              <w:rPr>
                <w:rFonts w:ascii="Verdana" w:hAnsi="Verdana" w:cs="Tahoma"/>
                <w:color w:val="000000"/>
                <w:sz w:val="18"/>
                <w:szCs w:val="18"/>
              </w:rPr>
            </w:pPr>
            <w:bookmarkStart w:id="0" w:name="OLE_LINK1"/>
            <w:bookmarkStart w:id="1" w:name="OLE_LINK2"/>
            <w:r w:rsidRPr="00181B7D">
              <w:rPr>
                <w:rFonts w:ascii="Verdana" w:hAnsi="Verdana" w:cs="Tahoma"/>
                <w:color w:val="000000"/>
                <w:sz w:val="18"/>
                <w:szCs w:val="18"/>
              </w:rPr>
              <w:t>No Customers</w:t>
            </w:r>
            <w:bookmarkEnd w:id="0"/>
            <w:bookmarkEnd w:id="1"/>
          </w:p>
        </w:tc>
      </w:tr>
      <w:tr w:rsidR="00C12838" w:rsidRPr="00181B7D" w:rsidTr="00077CAC">
        <w:trPr>
          <w:trHeight w:val="293"/>
        </w:trPr>
        <w:tc>
          <w:tcPr>
            <w:tcW w:w="2152"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IT &amp; Telecoms</w:t>
            </w:r>
          </w:p>
        </w:tc>
        <w:tc>
          <w:tcPr>
            <w:tcW w:w="1901" w:type="dxa"/>
            <w:noWrap/>
          </w:tcPr>
          <w:p w:rsidR="00C12838" w:rsidRPr="00181B7D" w:rsidRDefault="00C12838" w:rsidP="0016428C">
            <w:pPr>
              <w:rPr>
                <w:rFonts w:ascii="Verdana" w:hAnsi="Verdana" w:cs="Tahoma"/>
                <w:color w:val="000000"/>
                <w:sz w:val="18"/>
                <w:szCs w:val="18"/>
              </w:rPr>
            </w:pPr>
            <w:r>
              <w:rPr>
                <w:rFonts w:ascii="Verdana" w:hAnsi="Verdana" w:cs="Tahoma"/>
                <w:color w:val="000000"/>
                <w:sz w:val="18"/>
                <w:szCs w:val="18"/>
              </w:rPr>
              <w:t>Do Not Allocate</w:t>
            </w:r>
          </w:p>
        </w:tc>
        <w:tc>
          <w:tcPr>
            <w:tcW w:w="1141" w:type="dxa"/>
            <w:vAlign w:val="bottom"/>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MEAV</w:t>
            </w:r>
          </w:p>
        </w:tc>
        <w:tc>
          <w:tcPr>
            <w:tcW w:w="3334"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r>
      <w:tr w:rsidR="00C12838" w:rsidRPr="00181B7D" w:rsidTr="00077CAC">
        <w:trPr>
          <w:trHeight w:val="293"/>
        </w:trPr>
        <w:tc>
          <w:tcPr>
            <w:tcW w:w="2152"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Property Mgt</w:t>
            </w:r>
          </w:p>
        </w:tc>
        <w:tc>
          <w:tcPr>
            <w:tcW w:w="1901" w:type="dxa"/>
            <w:noWrap/>
          </w:tcPr>
          <w:p w:rsidR="00C12838" w:rsidRPr="00181B7D" w:rsidRDefault="00C12838" w:rsidP="0016428C">
            <w:pPr>
              <w:rPr>
                <w:rFonts w:ascii="Verdana" w:hAnsi="Verdana" w:cs="Tahoma"/>
                <w:color w:val="000000"/>
                <w:sz w:val="18"/>
                <w:szCs w:val="18"/>
              </w:rPr>
            </w:pPr>
            <w:r>
              <w:rPr>
                <w:rFonts w:ascii="Verdana" w:hAnsi="Verdana" w:cs="Tahoma"/>
                <w:color w:val="000000"/>
                <w:sz w:val="18"/>
                <w:szCs w:val="18"/>
              </w:rPr>
              <w:t>Do Not Allocate</w:t>
            </w:r>
          </w:p>
        </w:tc>
        <w:tc>
          <w:tcPr>
            <w:tcW w:w="1141" w:type="dxa"/>
            <w:vAlign w:val="bottom"/>
          </w:tcPr>
          <w:p w:rsidR="00C12838" w:rsidRPr="00181B7D" w:rsidRDefault="00C12838" w:rsidP="00025A17">
            <w:pPr>
              <w:rPr>
                <w:rFonts w:ascii="Verdana" w:hAnsi="Verdana" w:cs="Tahoma"/>
                <w:color w:val="000000"/>
                <w:sz w:val="18"/>
                <w:szCs w:val="18"/>
              </w:rPr>
            </w:pPr>
            <w:r w:rsidRPr="00181B7D">
              <w:rPr>
                <w:rFonts w:ascii="Verdana" w:hAnsi="Verdana" w:cs="Tahoma"/>
                <w:color w:val="000000"/>
                <w:sz w:val="18"/>
                <w:szCs w:val="18"/>
              </w:rPr>
              <w:t>MEAV</w:t>
            </w:r>
          </w:p>
        </w:tc>
        <w:tc>
          <w:tcPr>
            <w:tcW w:w="3334" w:type="dxa"/>
            <w:noWrap/>
          </w:tcPr>
          <w:p w:rsidR="00C12838" w:rsidRPr="00181B7D" w:rsidRDefault="00C12838" w:rsidP="00025A17">
            <w:pPr>
              <w:rPr>
                <w:rFonts w:ascii="Verdana" w:hAnsi="Verdana" w:cs="Tahoma"/>
                <w:color w:val="000000"/>
                <w:sz w:val="18"/>
                <w:szCs w:val="18"/>
              </w:rPr>
            </w:pPr>
            <w:r w:rsidRPr="00181B7D">
              <w:rPr>
                <w:rFonts w:ascii="Verdana" w:hAnsi="Verdana" w:cs="Tahoma"/>
                <w:color w:val="000000"/>
                <w:sz w:val="18"/>
                <w:szCs w:val="18"/>
              </w:rPr>
              <w:t>No Customers</w:t>
            </w:r>
          </w:p>
        </w:tc>
      </w:tr>
      <w:tr w:rsidR="00C12838" w:rsidRPr="00181B7D" w:rsidTr="00077CAC">
        <w:trPr>
          <w:trHeight w:val="454"/>
        </w:trPr>
        <w:tc>
          <w:tcPr>
            <w:tcW w:w="2152"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HR &amp; Non-operational Training</w:t>
            </w:r>
          </w:p>
        </w:tc>
        <w:tc>
          <w:tcPr>
            <w:tcW w:w="1901" w:type="dxa"/>
            <w:noWrap/>
          </w:tcPr>
          <w:p w:rsidR="00C12838" w:rsidRPr="00181B7D" w:rsidRDefault="00C12838" w:rsidP="0016428C">
            <w:pPr>
              <w:rPr>
                <w:rFonts w:ascii="Verdana" w:hAnsi="Verdana" w:cs="Tahoma"/>
                <w:color w:val="000000"/>
                <w:sz w:val="18"/>
                <w:szCs w:val="18"/>
              </w:rPr>
            </w:pPr>
            <w:r>
              <w:rPr>
                <w:rFonts w:ascii="Verdana" w:hAnsi="Verdana" w:cs="Tahoma"/>
                <w:color w:val="000000"/>
                <w:sz w:val="18"/>
                <w:szCs w:val="18"/>
              </w:rPr>
              <w:t>MEAV</w:t>
            </w:r>
          </w:p>
        </w:tc>
        <w:tc>
          <w:tcPr>
            <w:tcW w:w="1141" w:type="dxa"/>
            <w:vAlign w:val="bottom"/>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c>
          <w:tcPr>
            <w:tcW w:w="3334"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r>
      <w:tr w:rsidR="00C12838" w:rsidRPr="00181B7D" w:rsidTr="00077CAC">
        <w:trPr>
          <w:trHeight w:val="293"/>
        </w:trPr>
        <w:tc>
          <w:tcPr>
            <w:tcW w:w="2152"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Finance &amp; Regulation</w:t>
            </w:r>
          </w:p>
        </w:tc>
        <w:tc>
          <w:tcPr>
            <w:tcW w:w="1901" w:type="dxa"/>
            <w:noWrap/>
          </w:tcPr>
          <w:p w:rsidR="00C12838" w:rsidRPr="00181B7D" w:rsidRDefault="00C12838" w:rsidP="0016428C">
            <w:pPr>
              <w:rPr>
                <w:rFonts w:ascii="Verdana" w:hAnsi="Verdana" w:cs="Tahoma"/>
                <w:color w:val="000000"/>
                <w:sz w:val="18"/>
                <w:szCs w:val="18"/>
              </w:rPr>
            </w:pPr>
            <w:r>
              <w:rPr>
                <w:rFonts w:ascii="Verdana" w:hAnsi="Verdana" w:cs="Tahoma"/>
                <w:color w:val="000000"/>
                <w:sz w:val="18"/>
                <w:szCs w:val="18"/>
              </w:rPr>
              <w:t>MEAV</w:t>
            </w:r>
          </w:p>
        </w:tc>
        <w:tc>
          <w:tcPr>
            <w:tcW w:w="1141" w:type="dxa"/>
            <w:vAlign w:val="bottom"/>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c>
          <w:tcPr>
            <w:tcW w:w="3334"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r>
      <w:tr w:rsidR="00C12838" w:rsidRPr="00181B7D" w:rsidTr="00077CAC">
        <w:trPr>
          <w:trHeight w:val="293"/>
        </w:trPr>
        <w:tc>
          <w:tcPr>
            <w:tcW w:w="2152"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CEO etc</w:t>
            </w:r>
          </w:p>
        </w:tc>
        <w:tc>
          <w:tcPr>
            <w:tcW w:w="1901" w:type="dxa"/>
            <w:noWrap/>
          </w:tcPr>
          <w:p w:rsidR="00C12838" w:rsidRPr="00181B7D" w:rsidRDefault="00C12838" w:rsidP="0016428C">
            <w:pPr>
              <w:rPr>
                <w:rFonts w:ascii="Verdana" w:hAnsi="Verdana" w:cs="Tahoma"/>
                <w:color w:val="000000"/>
                <w:sz w:val="18"/>
                <w:szCs w:val="18"/>
              </w:rPr>
            </w:pPr>
            <w:r>
              <w:rPr>
                <w:rFonts w:ascii="Verdana" w:hAnsi="Verdana" w:cs="Tahoma"/>
                <w:color w:val="000000"/>
                <w:sz w:val="18"/>
                <w:szCs w:val="18"/>
              </w:rPr>
              <w:t>MEAV</w:t>
            </w:r>
          </w:p>
        </w:tc>
        <w:tc>
          <w:tcPr>
            <w:tcW w:w="1141" w:type="dxa"/>
            <w:vAlign w:val="bottom"/>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c>
          <w:tcPr>
            <w:tcW w:w="3334" w:type="dxa"/>
            <w:noWrap/>
          </w:tcPr>
          <w:p w:rsidR="00C12838" w:rsidRPr="00181B7D" w:rsidRDefault="00C12838" w:rsidP="0016428C">
            <w:pPr>
              <w:rPr>
                <w:rFonts w:ascii="Verdana" w:hAnsi="Verdana" w:cs="Tahoma"/>
                <w:color w:val="000000"/>
                <w:sz w:val="18"/>
                <w:szCs w:val="18"/>
              </w:rPr>
            </w:pPr>
            <w:r w:rsidRPr="00181B7D">
              <w:rPr>
                <w:rFonts w:ascii="Verdana" w:hAnsi="Verdana" w:cs="Tahoma"/>
                <w:color w:val="000000"/>
                <w:sz w:val="18"/>
                <w:szCs w:val="18"/>
              </w:rPr>
              <w:t>No Customers</w:t>
            </w:r>
          </w:p>
        </w:tc>
      </w:tr>
    </w:tbl>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The change proposal notes that the </w:t>
      </w:r>
      <w:r w:rsidRPr="00025A17">
        <w:t>IT/Telecoms</w:t>
      </w:r>
      <w:r>
        <w:t xml:space="preserve"> and </w:t>
      </w:r>
      <w:r w:rsidRPr="00025A17">
        <w:t xml:space="preserve">Property Management </w:t>
      </w:r>
      <w:r w:rsidRPr="0094354F">
        <w:t>cost</w:t>
      </w:r>
      <w:r>
        <w:t xml:space="preserve">s should be allocated, and by doing so the direct costs do not have an undue bearing on the weighted average percentage of costs used to allocate </w:t>
      </w:r>
      <w:r>
        <w:lastRenderedPageBreak/>
        <w:t xml:space="preserve">opex.  </w:t>
      </w:r>
    </w:p>
    <w:p w:rsidR="00C12838" w:rsidRPr="00025A17" w:rsidRDefault="00C12838" w:rsidP="00660AF0">
      <w:pPr>
        <w:pStyle w:val="Heading2"/>
        <w:keepNext w:val="0"/>
        <w:widowControl w:val="0"/>
        <w:numPr>
          <w:ilvl w:val="1"/>
          <w:numId w:val="2"/>
        </w:numPr>
        <w:tabs>
          <w:tab w:val="clear" w:pos="718"/>
          <w:tab w:val="num" w:pos="576"/>
        </w:tabs>
        <w:spacing w:line="360" w:lineRule="auto"/>
        <w:ind w:left="576"/>
        <w:rPr>
          <w:b/>
        </w:rPr>
      </w:pPr>
      <w:r w:rsidRPr="00912000">
        <w:t>The justification for the change of cost drivers</w:t>
      </w:r>
      <w:r>
        <w:t xml:space="preserve"> that DCP 097 examined</w:t>
      </w:r>
      <w:r w:rsidRPr="00912000">
        <w:t xml:space="preserve"> for: </w:t>
      </w:r>
      <w:r w:rsidRPr="00025A17">
        <w:rPr>
          <w:i/>
        </w:rPr>
        <w:t>Customer Call Centre, HR and Non-Operational Training, Finance and Regulation, and CEO etc</w:t>
      </w:r>
      <w:r w:rsidRPr="00912000">
        <w:t>, was that use of MEAV was an inappropriate cost driver for these indirect costs and that using ‘</w:t>
      </w:r>
      <w:r w:rsidRPr="00025A17">
        <w:rPr>
          <w:i/>
        </w:rPr>
        <w:t>No of customers</w:t>
      </w:r>
      <w:r w:rsidRPr="00912000">
        <w:t>’ as a cost driver better reflect</w:t>
      </w:r>
      <w:r>
        <w:t>s</w:t>
      </w:r>
      <w:r w:rsidRPr="00912000">
        <w:t xml:space="preserve"> the way these indirect costs </w:t>
      </w:r>
      <w:r>
        <w:t>are</w:t>
      </w:r>
      <w:r w:rsidRPr="00912000">
        <w:t xml:space="preserve"> incurred.</w:t>
      </w:r>
    </w:p>
    <w:p w:rsidR="00C12838" w:rsidRPr="006666F9" w:rsidRDefault="00C12838" w:rsidP="00660AF0">
      <w:pPr>
        <w:pStyle w:val="Heading1"/>
        <w:numPr>
          <w:ilvl w:val="0"/>
          <w:numId w:val="2"/>
        </w:numPr>
        <w:spacing w:line="360" w:lineRule="auto"/>
      </w:pPr>
      <w:r w:rsidRPr="006666F9">
        <w:t xml:space="preserve">DCP </w:t>
      </w:r>
      <w:r>
        <w:t>097</w:t>
      </w:r>
      <w:r w:rsidRPr="006666F9">
        <w:t xml:space="preserve"> – WORKING GROUP </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The DCUSA Panel established a Working Group to assess and refine DCP 097. </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 DCP 097 Working Group met on 6 occasions and consisted of representatives from DNOs, IDNOs and Ofgem.</w:t>
      </w:r>
    </w:p>
    <w:p w:rsidR="00C12838" w:rsidRDefault="00C12838" w:rsidP="00660AF0">
      <w:pPr>
        <w:pStyle w:val="Heading1"/>
        <w:numPr>
          <w:ilvl w:val="0"/>
          <w:numId w:val="2"/>
        </w:numPr>
        <w:spacing w:line="360" w:lineRule="auto"/>
      </w:pPr>
      <w:r>
        <w:t>CONSULTATION</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 Working Group carried out a Consultation to give Parties an opportunity to review and comment on the CP, and there was seven responses received.</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There was general agreement for the following questions which were posed in the Consultation:</w:t>
      </w:r>
    </w:p>
    <w:p w:rsidR="00C12838" w:rsidRPr="00CB3161" w:rsidRDefault="00C12838" w:rsidP="00660AF0">
      <w:pPr>
        <w:pStyle w:val="Heading2"/>
        <w:numPr>
          <w:ilvl w:val="0"/>
          <w:numId w:val="4"/>
        </w:numPr>
        <w:tabs>
          <w:tab w:val="left" w:pos="720"/>
        </w:tabs>
        <w:jc w:val="both"/>
        <w:rPr>
          <w:bCs w:val="0"/>
          <w:iCs w:val="0"/>
        </w:rPr>
      </w:pPr>
      <w:r w:rsidRPr="00CB3161">
        <w:rPr>
          <w:bCs w:val="0"/>
          <w:iCs w:val="0"/>
        </w:rPr>
        <w:t xml:space="preserve">Do you understand the intent of the CP and are you supportive of its principles? </w:t>
      </w:r>
    </w:p>
    <w:p w:rsidR="00C12838" w:rsidRPr="00CB3161" w:rsidRDefault="00C12838" w:rsidP="00660AF0">
      <w:pPr>
        <w:pStyle w:val="Heading2"/>
        <w:numPr>
          <w:ilvl w:val="0"/>
          <w:numId w:val="4"/>
        </w:numPr>
        <w:tabs>
          <w:tab w:val="left" w:pos="720"/>
        </w:tabs>
        <w:jc w:val="both"/>
        <w:rPr>
          <w:bCs w:val="0"/>
          <w:iCs w:val="0"/>
        </w:rPr>
      </w:pPr>
      <w:r w:rsidRPr="00CB3161">
        <w:rPr>
          <w:bCs w:val="0"/>
          <w:iCs w:val="0"/>
        </w:rPr>
        <w:t>Do Supplier Parties consider themselves materially impacted by the CP and eligible to vote?</w:t>
      </w:r>
    </w:p>
    <w:p w:rsidR="00C12838" w:rsidRPr="00CB3161" w:rsidRDefault="00C12838" w:rsidP="00660AF0">
      <w:pPr>
        <w:pStyle w:val="Heading2"/>
        <w:numPr>
          <w:ilvl w:val="0"/>
          <w:numId w:val="4"/>
        </w:numPr>
        <w:tabs>
          <w:tab w:val="left" w:pos="720"/>
        </w:tabs>
        <w:jc w:val="both"/>
        <w:rPr>
          <w:bCs w:val="0"/>
          <w:iCs w:val="0"/>
        </w:rPr>
      </w:pPr>
      <w:r w:rsidRPr="00CB3161">
        <w:rPr>
          <w:bCs w:val="0"/>
          <w:iCs w:val="0"/>
        </w:rPr>
        <w:t xml:space="preserve">Do you agree with the level of data used in the Impact Analysis undertaken by DNOs on behalf of the Working Group? Provide supporting comments  </w:t>
      </w:r>
    </w:p>
    <w:p w:rsidR="00C12838" w:rsidRPr="00CB3161" w:rsidRDefault="00C12838" w:rsidP="00660AF0">
      <w:pPr>
        <w:pStyle w:val="Heading2"/>
        <w:numPr>
          <w:ilvl w:val="0"/>
          <w:numId w:val="4"/>
        </w:numPr>
        <w:tabs>
          <w:tab w:val="left" w:pos="720"/>
        </w:tabs>
        <w:jc w:val="both"/>
        <w:rPr>
          <w:bCs w:val="0"/>
          <w:iCs w:val="0"/>
        </w:rPr>
      </w:pPr>
      <w:r w:rsidRPr="00CB3161">
        <w:rPr>
          <w:bCs w:val="0"/>
          <w:iCs w:val="0"/>
        </w:rPr>
        <w:t xml:space="preserve">Do you agree with the associated impact assessment completed by the Working Group? </w:t>
      </w:r>
    </w:p>
    <w:p w:rsidR="00C12838" w:rsidRPr="00CB3161" w:rsidRDefault="00C12838" w:rsidP="00660AF0">
      <w:pPr>
        <w:pStyle w:val="Heading2"/>
        <w:numPr>
          <w:ilvl w:val="0"/>
          <w:numId w:val="4"/>
        </w:numPr>
        <w:tabs>
          <w:tab w:val="left" w:pos="720"/>
        </w:tabs>
        <w:jc w:val="both"/>
        <w:rPr>
          <w:bCs w:val="0"/>
          <w:iCs w:val="0"/>
        </w:rPr>
      </w:pPr>
      <w:r w:rsidRPr="00CB3161">
        <w:rPr>
          <w:bCs w:val="0"/>
          <w:iCs w:val="0"/>
        </w:rPr>
        <w:t xml:space="preserve">Do you agree that the legal drafting </w:t>
      </w:r>
      <w:r>
        <w:rPr>
          <w:bCs w:val="0"/>
          <w:iCs w:val="0"/>
        </w:rPr>
        <w:t>and is it</w:t>
      </w:r>
      <w:r w:rsidRPr="00CB3161">
        <w:rPr>
          <w:bCs w:val="0"/>
          <w:iCs w:val="0"/>
        </w:rPr>
        <w:t xml:space="preserve"> appropriate to meet the Intent of DCP 097?</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 Consultation asked</w:t>
      </w:r>
      <w:r w:rsidRPr="00A53F88">
        <w:t xml:space="preserve"> whether DCP</w:t>
      </w:r>
      <w:r>
        <w:t>097</w:t>
      </w:r>
      <w:r w:rsidRPr="00A53F88">
        <w:t xml:space="preserve"> better </w:t>
      </w:r>
      <w:r>
        <w:t>facilitates</w:t>
      </w:r>
      <w:r w:rsidRPr="00A53F88">
        <w:t xml:space="preserve"> the DCUSA General and Charging objectives</w:t>
      </w:r>
      <w:r>
        <w:t>.</w:t>
      </w:r>
      <w:r w:rsidRPr="00A53F88">
        <w:t xml:space="preserve"> </w:t>
      </w:r>
      <w:r>
        <w:t>There were seven responses in total, and four agreed that this CP better meets the objectives, and three</w:t>
      </w:r>
      <w:r w:rsidRPr="00A53F88">
        <w:t xml:space="preserve"> respondents felt that this CP does not </w:t>
      </w:r>
      <w:r>
        <w:t>better facilitate the relevant</w:t>
      </w:r>
      <w:r w:rsidRPr="00A53F88">
        <w:t xml:space="preserve"> objectives</w:t>
      </w:r>
      <w:r>
        <w:t xml:space="preserve"> as it is currently written</w:t>
      </w:r>
      <w:r w:rsidRPr="00A53F88">
        <w:t xml:space="preserve">. </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One the respondents noted that although they can agree with some of the </w:t>
      </w:r>
      <w:r>
        <w:lastRenderedPageBreak/>
        <w:t>cost drivers that are proposed, they do not feel that all of them offer the best solution. Therefore, they stated that they do not agree that changing the remaining categories as per the proposal is more cost reflective and therefore do not accept that overall the change proposal better meets the DCUSA general and charging obligations.</w:t>
      </w:r>
    </w:p>
    <w:p w:rsidR="00C12838" w:rsidRDefault="00C12838" w:rsidP="00660AF0">
      <w:pPr>
        <w:pStyle w:val="Heading2"/>
        <w:keepNext w:val="0"/>
        <w:widowControl w:val="0"/>
        <w:numPr>
          <w:ilvl w:val="1"/>
          <w:numId w:val="2"/>
        </w:numPr>
        <w:tabs>
          <w:tab w:val="clear" w:pos="718"/>
          <w:tab w:val="num" w:pos="576"/>
        </w:tabs>
        <w:spacing w:line="360" w:lineRule="auto"/>
        <w:ind w:left="576"/>
      </w:pPr>
      <w:r>
        <w:t>A second</w:t>
      </w:r>
      <w:r w:rsidRPr="00A53F88">
        <w:t xml:space="preserve"> respondent </w:t>
      </w:r>
      <w:r>
        <w:t xml:space="preserve">considered the proposed changes to the cost drivers as shown in the table shown in paragraph 2.4, and although they agreed that some of the proposed changes better </w:t>
      </w:r>
      <w:proofErr w:type="gramStart"/>
      <w:r>
        <w:t>facilitates</w:t>
      </w:r>
      <w:proofErr w:type="gramEnd"/>
      <w:r>
        <w:t xml:space="preserve"> the Charging Objectives, they were not convinced that the totality of the proposed change would necessarily better facilitate the Charging Objectives.</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The same respondent explained further that this CP proposes to change the cost drivers used to allocate some of the indirect costs. The manner in which Method M manages the assignment of indirect cost is through a cost driver matrix factoring a portion of these costs to each network level, where the declared cost drivers are used as a proxy for indirect costs.  The use of a proxy is necessary because the costs must be scaled down from the overall DNO business to a proportion of the individual tariffs.  The principle of the cost allocation driver is to determine firstly whether a cost type should be allocated to a network level and if so to identify the most appropriate proxy for the differences in size of DNOs businesses. </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They further noted that they considered that it is not possible to assess all six changes collectively, and each should have been assessed individually. However, they considered that t</w:t>
      </w:r>
      <w:r w:rsidRPr="00507D9E">
        <w:t xml:space="preserve">he very </w:t>
      </w:r>
      <w:r>
        <w:t>tightly worded intent of the CP in practice precluded the Working Group from considering any alternatives.</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 third respondent does not believe that the change proposal better meets the DCUSA general and charging obligations because they feel it would be more appropriate to individually assess the categories.</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There were four respondents who all agreed that this CP would better facilitate the DCUSA General and Charging Objectives, and when considered in their entirety, the change of all the cost drivers within this CP represents an improvement in the cost allocation methodology currently in place.  </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 Working Group discussed these comments during the meeting. The proposer noted that:</w:t>
      </w:r>
    </w:p>
    <w:p w:rsidR="00C12838" w:rsidRDefault="00C12838" w:rsidP="00660AF0">
      <w:pPr>
        <w:pStyle w:val="Heading2"/>
        <w:keepNext w:val="0"/>
        <w:widowControl w:val="0"/>
        <w:numPr>
          <w:ilvl w:val="2"/>
          <w:numId w:val="2"/>
        </w:numPr>
        <w:tabs>
          <w:tab w:val="clear" w:pos="720"/>
          <w:tab w:val="num" w:pos="1276"/>
        </w:tabs>
        <w:spacing w:line="360" w:lineRule="auto"/>
        <w:ind w:left="1276" w:hanging="567"/>
      </w:pPr>
      <w:r>
        <w:t xml:space="preserve">The choice of costs drivers was subjective and that under the initial </w:t>
      </w:r>
      <w:r>
        <w:lastRenderedPageBreak/>
        <w:t xml:space="preserve">development of the CDCM and in prior submissions by DNOs this had been an area of significant debate with differing views.  </w:t>
      </w:r>
    </w:p>
    <w:p w:rsidR="00C12838" w:rsidRDefault="00C12838" w:rsidP="00660AF0">
      <w:pPr>
        <w:pStyle w:val="Heading2"/>
        <w:keepNext w:val="0"/>
        <w:widowControl w:val="0"/>
        <w:numPr>
          <w:ilvl w:val="2"/>
          <w:numId w:val="2"/>
        </w:numPr>
        <w:tabs>
          <w:tab w:val="clear" w:pos="720"/>
          <w:tab w:val="num" w:pos="1276"/>
        </w:tabs>
        <w:spacing w:line="360" w:lineRule="auto"/>
        <w:ind w:left="1276" w:hanging="567"/>
      </w:pPr>
      <w:r>
        <w:t>DNOs had had the full scope available to them in the initial development of the CDCM to consider all options on costs drivers and had decided on MEAV.</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It was confirmed by the proposer of DCP 097 that the intent was intentionally written to have a narrow scope. The proposer felt that to allow a broader scope would have a significant risk of derailing the intent, and delaying an April 20102 implementation.  This would ensure that the option that is set out in the CP itself is the one which the Working Group evaluates, and that the scope could not be broadened to consider other alternatives.  The proposer felt that the preliminary analysis sufficiently demonstrated the best option to take forward. </w:t>
      </w:r>
    </w:p>
    <w:p w:rsidR="00C12838" w:rsidRPr="0002570D" w:rsidRDefault="00C12838" w:rsidP="00660AF0">
      <w:pPr>
        <w:pStyle w:val="Heading2"/>
        <w:keepNext w:val="0"/>
        <w:widowControl w:val="0"/>
        <w:numPr>
          <w:ilvl w:val="1"/>
          <w:numId w:val="2"/>
        </w:numPr>
        <w:tabs>
          <w:tab w:val="clear" w:pos="718"/>
          <w:tab w:val="num" w:pos="576"/>
        </w:tabs>
        <w:spacing w:line="360" w:lineRule="auto"/>
        <w:ind w:left="576"/>
      </w:pPr>
      <w:r>
        <w:t>The Working Group was not able to reach a consensus in agreeing that the DCUSA General or CDCM Objectives were better facilitated by this Change Proposal.</w:t>
      </w:r>
    </w:p>
    <w:p w:rsidR="00C12838" w:rsidRDefault="00C12838" w:rsidP="00660AF0">
      <w:pPr>
        <w:pStyle w:val="Heading2"/>
        <w:keepNext w:val="0"/>
        <w:widowControl w:val="0"/>
        <w:numPr>
          <w:ilvl w:val="1"/>
          <w:numId w:val="2"/>
        </w:numPr>
        <w:tabs>
          <w:tab w:val="clear" w:pos="718"/>
          <w:tab w:val="num" w:pos="576"/>
        </w:tabs>
        <w:spacing w:line="360" w:lineRule="auto"/>
        <w:ind w:left="576"/>
      </w:pPr>
      <w:r w:rsidRPr="002E21B3">
        <w:t xml:space="preserve">The other area in which there were contrary comments to the agreement of the majority of the group was in regard to whether they believe that the intent of DCP </w:t>
      </w:r>
      <w:r>
        <w:t>097</w:t>
      </w:r>
      <w:r w:rsidRPr="002E21B3">
        <w:t xml:space="preserve"> is adequately met, or </w:t>
      </w:r>
      <w:r>
        <w:t xml:space="preserve">whether </w:t>
      </w:r>
      <w:r w:rsidRPr="002E21B3">
        <w:t xml:space="preserve">there are alternative ways of meeting the intent of DCP </w:t>
      </w:r>
      <w:r>
        <w:t>097.</w:t>
      </w:r>
      <w:r w:rsidRPr="002E21B3">
        <w:t xml:space="preserve">  </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One respondent noted that an alternative approach to the identified defect would be to examine ways of improving the values underlying the weighing/split values and to model this case within Method M accordingly. However, they felt they were not able to suggest this during the RFI as the very tightly worded intent of the CP does in practice preclude any alternative from being considered by the Working Group. </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The Consultation then asked whether </w:t>
      </w:r>
      <w:r w:rsidRPr="00B16640">
        <w:t>it was believed that the intent of DCP 097 is adequately met, or that there are alternative ways of meeting the intent of DCP 097</w:t>
      </w:r>
      <w:r>
        <w:t>. There were seven responses to the Consultation and three did not believe that the intent was adequately met, while there was a general agreement by the other four that it was.</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Of the respondents that agreed that this CP adequately meets the intent, one respondent noted that the intent of DCP 097 was intentionally narrowly drafted and the proposed solution is the optimum way of meeting this </w:t>
      </w:r>
      <w:r>
        <w:lastRenderedPageBreak/>
        <w:t>intent. A second respondent felt that as the intent was quite tightly defined, therefore they did not believe there are any alternatives.</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There were three respondents which did not feel that the intent of the CP was adequately met. Two of the respondents do not agree with the overall intent of DCP 097 as they believe it is less cost reflective than the existing methodology. </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 third respondent noted that an alternative approach to the identified defects from this CP being raised would be to examine ways of improving the underlying values and to model those.  When considering these changes they considered that many of costs would be better represented though a value derived from more than one cost allocation driver, i.e. a composite value or factor. They go on to note that they did not suggest this during the RFI or working group as the very tightly worded intent of the CP in practice precluded proposing any alternatives.</w:t>
      </w:r>
    </w:p>
    <w:p w:rsidR="00C12838" w:rsidRDefault="00C12838" w:rsidP="00660AF0">
      <w:pPr>
        <w:pStyle w:val="Heading2"/>
        <w:keepNext w:val="0"/>
        <w:widowControl w:val="0"/>
        <w:numPr>
          <w:ilvl w:val="1"/>
          <w:numId w:val="2"/>
        </w:numPr>
        <w:tabs>
          <w:tab w:val="clear" w:pos="718"/>
          <w:tab w:val="num" w:pos="576"/>
        </w:tabs>
        <w:spacing w:line="360" w:lineRule="auto"/>
        <w:ind w:left="576"/>
      </w:pPr>
      <w:r>
        <w:t xml:space="preserve">As with the other items that were raised on the Consultation responses, the Working Group reviewed the comments during their meeting. All the alternative opinions and viewpoints were discussed and analysed, however, it was confirmed by the proposer of DCP 097 that the intent was intentionally written to have a narrow scope. This would ensure that the option that is set out in the CP itself is the one which the Working Group evaluates, and the scope could not be broadened to consider other alternatives. The proposer felt that the preliminary analysis sufficiently demonstrated the best option to take forward. </w:t>
      </w:r>
    </w:p>
    <w:p w:rsidR="00C12838" w:rsidRPr="0002570D" w:rsidRDefault="00C12838" w:rsidP="00660AF0">
      <w:pPr>
        <w:pStyle w:val="Heading2"/>
        <w:keepNext w:val="0"/>
        <w:widowControl w:val="0"/>
        <w:numPr>
          <w:ilvl w:val="1"/>
          <w:numId w:val="2"/>
        </w:numPr>
        <w:tabs>
          <w:tab w:val="clear" w:pos="718"/>
          <w:tab w:val="num" w:pos="576"/>
        </w:tabs>
        <w:spacing w:line="360" w:lineRule="auto"/>
        <w:ind w:left="576"/>
      </w:pPr>
      <w:r>
        <w:t>The Working Group did not reach a consensus in agreeing that the intent of DCP 097 has been adequately met.</w:t>
      </w:r>
    </w:p>
    <w:p w:rsidR="00C12838" w:rsidRPr="0003456C" w:rsidRDefault="00C12838" w:rsidP="00660AF0">
      <w:pPr>
        <w:pStyle w:val="Heading2"/>
        <w:keepNext w:val="0"/>
        <w:widowControl w:val="0"/>
        <w:numPr>
          <w:ilvl w:val="1"/>
          <w:numId w:val="2"/>
        </w:numPr>
        <w:tabs>
          <w:tab w:val="clear" w:pos="718"/>
          <w:tab w:val="num" w:pos="576"/>
        </w:tabs>
        <w:spacing w:line="360" w:lineRule="auto"/>
        <w:ind w:left="576"/>
      </w:pPr>
      <w:r>
        <w:t xml:space="preserve">The Consultation also asked if there were any additional comments from respondents, and two provided further details to strengthen their views. The first stated that they would be able to support a CP that proposed to revise the cost allocation driver of Customer Call Centre costs from “MEAV” to “No. of Customers” and IT &amp; Telecoms and Property Management costs from “Do Not Allocate” to “MEAV”.  </w:t>
      </w:r>
      <w:r w:rsidR="00C95C07">
        <w:t xml:space="preserve">The Party noted that they would have recommended to the Working Group an alternative version of the CP which included drivers that were not available as options in the original DCP097. However, the tightly worded intent precluded this from happening, except with the two original options that were originally proposed, MEAV or </w:t>
      </w:r>
      <w:r w:rsidR="00C95C07">
        <w:lastRenderedPageBreak/>
        <w:t xml:space="preserve">Customer Numbers which was later split into DCP 097 and DCP 097A. </w:t>
      </w:r>
    </w:p>
    <w:p w:rsidR="00C12838" w:rsidRDefault="00C12838" w:rsidP="00660AF0">
      <w:pPr>
        <w:pStyle w:val="Heading2"/>
        <w:keepNext w:val="0"/>
        <w:widowControl w:val="0"/>
        <w:numPr>
          <w:ilvl w:val="1"/>
          <w:numId w:val="2"/>
        </w:numPr>
        <w:tabs>
          <w:tab w:val="clear" w:pos="718"/>
          <w:tab w:val="num" w:pos="576"/>
        </w:tabs>
        <w:spacing w:line="360" w:lineRule="auto"/>
        <w:ind w:left="576"/>
      </w:pPr>
      <w:r>
        <w:t>There were also various comments that addressed the governance of the Method M spreadsheet, as well as the cumulative effects of implementing the four CPs (DCP 094 – 097) which this working group reviewed. These comments were discussed and deemed to be outside the scope of the Working Group.</w:t>
      </w:r>
    </w:p>
    <w:p w:rsidR="00C12838" w:rsidRPr="00F37142" w:rsidRDefault="00C12838" w:rsidP="00660AF0">
      <w:pPr>
        <w:pStyle w:val="Heading2"/>
        <w:keepNext w:val="0"/>
        <w:widowControl w:val="0"/>
        <w:numPr>
          <w:ilvl w:val="1"/>
          <w:numId w:val="2"/>
        </w:numPr>
        <w:tabs>
          <w:tab w:val="clear" w:pos="718"/>
          <w:tab w:val="num" w:pos="576"/>
        </w:tabs>
        <w:spacing w:line="360" w:lineRule="auto"/>
        <w:ind w:left="576"/>
      </w:pPr>
      <w:r>
        <w:t>One respondent felt that there was a possibility that there could be material impacts on Suppliers in the future, and therefore they should be given the opportunity to vote and comment on the Change Proposal.  The proposer did not feel that there was an immediate impact on Suppliers, however to address this point, it was agreed to give Suppliers the opportunity to vote on DCP 094.</w:t>
      </w:r>
    </w:p>
    <w:p w:rsidR="00C12838" w:rsidRDefault="00C12838" w:rsidP="00660AF0">
      <w:pPr>
        <w:pStyle w:val="Heading2"/>
        <w:keepNext w:val="0"/>
        <w:widowControl w:val="0"/>
        <w:numPr>
          <w:ilvl w:val="1"/>
          <w:numId w:val="2"/>
        </w:numPr>
        <w:spacing w:line="360" w:lineRule="auto"/>
      </w:pPr>
      <w:r>
        <w:t xml:space="preserve">A complete and detailed summary of all Party responses are set out in Appendix C. </w:t>
      </w:r>
    </w:p>
    <w:p w:rsidR="00C95C07" w:rsidRDefault="00C95C07" w:rsidP="00660AF0">
      <w:pPr>
        <w:pStyle w:val="Heading2"/>
        <w:keepNext w:val="0"/>
        <w:widowControl w:val="0"/>
        <w:numPr>
          <w:ilvl w:val="1"/>
          <w:numId w:val="2"/>
        </w:numPr>
        <w:tabs>
          <w:tab w:val="clear" w:pos="718"/>
          <w:tab w:val="num" w:pos="576"/>
        </w:tabs>
        <w:spacing w:line="360" w:lineRule="auto"/>
        <w:ind w:left="576"/>
      </w:pPr>
      <w:r>
        <w:t xml:space="preserve">Whilst reviewing the Consultation responses, it was brought to the Working Group’s attention by Ofgem that it would like to see the impacts and materiality of DCP 097 and DCP097A expressed in monetary values. The analysis has been reconfigured to show both the percentage and monetary value changes. </w:t>
      </w:r>
    </w:p>
    <w:p w:rsidR="00C95C07" w:rsidRPr="00F9058D" w:rsidRDefault="00C95C07" w:rsidP="00660AF0">
      <w:pPr>
        <w:pStyle w:val="Heading2"/>
        <w:keepNext w:val="0"/>
        <w:widowControl w:val="0"/>
        <w:numPr>
          <w:ilvl w:val="1"/>
          <w:numId w:val="2"/>
        </w:numPr>
        <w:tabs>
          <w:tab w:val="clear" w:pos="718"/>
          <w:tab w:val="num" w:pos="576"/>
        </w:tabs>
        <w:spacing w:line="360" w:lineRule="auto"/>
        <w:ind w:left="576"/>
      </w:pPr>
      <w:r>
        <w:t>The additional analysis was circulated to the Working Group, and it was concluded that these changes will have a minimal impact upon tariffs. The additional analysis details the changes in tariffs in both percentage and monetary value changes and is attached as Appendix D.</w:t>
      </w:r>
    </w:p>
    <w:p w:rsidR="00C95C07" w:rsidRPr="00C95C07" w:rsidRDefault="00C95C07" w:rsidP="00C95C07"/>
    <w:p w:rsidR="00C12838" w:rsidRPr="006666F9" w:rsidRDefault="00C12838" w:rsidP="00660AF0">
      <w:pPr>
        <w:pStyle w:val="Heading1"/>
        <w:numPr>
          <w:ilvl w:val="0"/>
          <w:numId w:val="2"/>
        </w:numPr>
        <w:spacing w:line="360" w:lineRule="auto"/>
      </w:pPr>
      <w:r w:rsidRPr="006666F9">
        <w:t xml:space="preserve">PROPOSED LEGAL DRAFTING </w:t>
      </w:r>
    </w:p>
    <w:p w:rsidR="00C12838" w:rsidRDefault="00C12838" w:rsidP="00660AF0">
      <w:pPr>
        <w:pStyle w:val="Heading2"/>
        <w:numPr>
          <w:ilvl w:val="1"/>
          <w:numId w:val="2"/>
        </w:numPr>
        <w:spacing w:line="360" w:lineRule="auto"/>
      </w:pPr>
      <w:r w:rsidRPr="006666F9">
        <w:t>The proposed legal draft</w:t>
      </w:r>
      <w:r>
        <w:t>s</w:t>
      </w:r>
      <w:r w:rsidRPr="006666F9">
        <w:t xml:space="preserve"> of </w:t>
      </w:r>
      <w:r>
        <w:t>DCP 097</w:t>
      </w:r>
      <w:r w:rsidRPr="006666F9">
        <w:t xml:space="preserve"> </w:t>
      </w:r>
      <w:r>
        <w:t xml:space="preserve">and DCP 097 A </w:t>
      </w:r>
      <w:r w:rsidRPr="006666F9">
        <w:t>ha</w:t>
      </w:r>
      <w:r>
        <w:t>ve</w:t>
      </w:r>
      <w:r w:rsidRPr="006666F9">
        <w:t xml:space="preserve"> been drafted</w:t>
      </w:r>
      <w:r>
        <w:t xml:space="preserve"> by the Working Group, and reviewed </w:t>
      </w:r>
      <w:r w:rsidRPr="006666F9">
        <w:t>by Wragge and Co</w:t>
      </w:r>
      <w:r>
        <w:t>,</w:t>
      </w:r>
      <w:r w:rsidRPr="006666F9">
        <w:t xml:space="preserve"> and </w:t>
      </w:r>
      <w:r>
        <w:t>are</w:t>
      </w:r>
      <w:r w:rsidRPr="006666F9">
        <w:t xml:space="preserve"> </w:t>
      </w:r>
      <w:r>
        <w:t>attached as</w:t>
      </w:r>
      <w:r w:rsidRPr="006666F9">
        <w:t xml:space="preserve"> Appendix A</w:t>
      </w:r>
      <w:r>
        <w:t xml:space="preserve"> and B</w:t>
      </w:r>
    </w:p>
    <w:p w:rsidR="00C12838" w:rsidRPr="006666F9" w:rsidRDefault="00C12838" w:rsidP="00660AF0">
      <w:pPr>
        <w:pStyle w:val="Heading1"/>
        <w:numPr>
          <w:ilvl w:val="0"/>
          <w:numId w:val="2"/>
        </w:numPr>
        <w:spacing w:line="360" w:lineRule="auto"/>
      </w:pPr>
      <w:r w:rsidRPr="006666F9">
        <w:t xml:space="preserve">EVALUATION AGAINST THE DCUSA </w:t>
      </w:r>
      <w:r>
        <w:t xml:space="preserve">AND CHARGING </w:t>
      </w:r>
      <w:r w:rsidRPr="006666F9">
        <w:t>OBJECTIVES</w:t>
      </w:r>
    </w:p>
    <w:p w:rsidR="00C12838" w:rsidRDefault="00C12838" w:rsidP="00660AF0">
      <w:pPr>
        <w:pStyle w:val="Heading2"/>
        <w:keepNext w:val="0"/>
        <w:widowControl w:val="0"/>
        <w:numPr>
          <w:ilvl w:val="1"/>
          <w:numId w:val="2"/>
        </w:numPr>
        <w:spacing w:line="360" w:lineRule="auto"/>
      </w:pPr>
      <w:r>
        <w:t xml:space="preserve">The Working Group considered the consultation responses regarding whether DCP 097and DCP 097A better facilitated each DCUSA General and CDCM Objectives. There were seven responses to the Consultation and 4 </w:t>
      </w:r>
      <w:r>
        <w:lastRenderedPageBreak/>
        <w:t>agreed with the CP better facilitating the relevant objectives and 3 did not. The full set of Consultation responses is attached as Appendix C.</w:t>
      </w:r>
    </w:p>
    <w:p w:rsidR="00C12838" w:rsidRPr="00CB292F" w:rsidRDefault="00C12838" w:rsidP="00660AF0">
      <w:pPr>
        <w:pStyle w:val="Heading2"/>
        <w:keepNext w:val="0"/>
        <w:widowControl w:val="0"/>
        <w:numPr>
          <w:ilvl w:val="1"/>
          <w:numId w:val="2"/>
        </w:numPr>
        <w:spacing w:line="360" w:lineRule="auto"/>
      </w:pPr>
      <w:r>
        <w:t>All DCUSA General Objectives were evaluated in respect of this CP, and there was no impact identified by it being implemented on any of them except for General Objective 2.</w:t>
      </w:r>
    </w:p>
    <w:p w:rsidR="00C12838" w:rsidRDefault="00C12838" w:rsidP="00660AF0">
      <w:pPr>
        <w:pStyle w:val="Heading2"/>
        <w:keepNext w:val="0"/>
        <w:widowControl w:val="0"/>
        <w:numPr>
          <w:ilvl w:val="1"/>
          <w:numId w:val="2"/>
        </w:numPr>
        <w:spacing w:line="360" w:lineRule="auto"/>
      </w:pPr>
      <w:r>
        <w:t>Following the Consultation responses, the Working Group was not able to reach a consensus in agreeing that the DCUSA General Objectives were better facilitated by each of these Change Proposals. Whilst there was a slight majority of the Working Group which felt that the following DCUSA General Objectives was better facilitated, there were members who did not agree:</w:t>
      </w:r>
    </w:p>
    <w:p w:rsidR="00C12838" w:rsidRDefault="00C12838" w:rsidP="00660AF0">
      <w:pPr>
        <w:pStyle w:val="Heading2"/>
        <w:keepNext w:val="0"/>
        <w:widowControl w:val="0"/>
        <w:numPr>
          <w:ilvl w:val="2"/>
          <w:numId w:val="2"/>
        </w:numPr>
        <w:tabs>
          <w:tab w:val="clear" w:pos="720"/>
          <w:tab w:val="num" w:pos="567"/>
        </w:tabs>
        <w:spacing w:line="360" w:lineRule="auto"/>
        <w:ind w:left="1276" w:hanging="709"/>
        <w:rPr>
          <w:rFonts w:cs="Verdana"/>
        </w:rPr>
      </w:pPr>
      <w:r w:rsidRPr="00281B9B">
        <w:rPr>
          <w:rFonts w:cs="Verdana"/>
        </w:rPr>
        <w:t>Objective 2</w:t>
      </w:r>
      <w:r w:rsidRPr="003B60D1">
        <w:rPr>
          <w:rStyle w:val="FootnoteReference"/>
        </w:rPr>
        <w:footnoteReference w:id="1"/>
      </w:r>
      <w:r w:rsidRPr="003B60D1">
        <w:rPr>
          <w:rStyle w:val="FootnoteReference"/>
        </w:rPr>
        <w:t xml:space="preserve"> </w:t>
      </w:r>
      <w:r w:rsidRPr="00281B9B">
        <w:rPr>
          <w:rFonts w:cs="Verdana"/>
        </w:rPr>
        <w:t>– Better Facilitated - The facilitation of effective competition in the generation and supply of electricity and (so far as is consistent with that) the promotion of such competition in the sale, distribution and purchase of electricity.</w:t>
      </w:r>
    </w:p>
    <w:p w:rsidR="00C12838" w:rsidRPr="00C375D8" w:rsidRDefault="00C12838" w:rsidP="00660AF0">
      <w:pPr>
        <w:pStyle w:val="Heading2"/>
        <w:keepNext w:val="0"/>
        <w:widowControl w:val="0"/>
        <w:numPr>
          <w:ilvl w:val="1"/>
          <w:numId w:val="2"/>
        </w:numPr>
        <w:spacing w:line="360" w:lineRule="auto"/>
      </w:pPr>
      <w:r w:rsidRPr="001A1107">
        <w:t>The Working Gro</w:t>
      </w:r>
      <w:r>
        <w:t xml:space="preserve">up considers that Objective </w:t>
      </w:r>
      <w:r w:rsidRPr="001A1107">
        <w:t xml:space="preserve">2 </w:t>
      </w:r>
      <w:r>
        <w:t>is</w:t>
      </w:r>
      <w:r w:rsidRPr="001A1107">
        <w:t xml:space="preserve"> better facilitated </w:t>
      </w:r>
      <w:r w:rsidRPr="00FF2AC5">
        <w:t xml:space="preserve">since it considers that the </w:t>
      </w:r>
      <w:r>
        <w:t xml:space="preserve">proposed </w:t>
      </w:r>
      <w:r w:rsidRPr="00FF2AC5">
        <w:t xml:space="preserve">cost drivers </w:t>
      </w:r>
      <w:r>
        <w:t xml:space="preserve">offer a better proxy than modern equivalent asset values for allocating the indirect costs </w:t>
      </w:r>
      <w:r w:rsidRPr="00FF2AC5">
        <w:t xml:space="preserve">and thus </w:t>
      </w:r>
      <w:r>
        <w:t>better promote</w:t>
      </w:r>
      <w:r w:rsidRPr="00FF2AC5">
        <w:t xml:space="preserve"> competition in distribution. </w:t>
      </w:r>
      <w:r>
        <w:t xml:space="preserve">The allocation of operational costs plays a significant component in the determination of tariffs for LDNOs and the margins that LDNOs are entitled to make under the current regulatory regime.  The effect of the CP needs to be considered in respect of the overall impact on the weighted average percentages.  The effect of the CP is to modify the weighted average percentage that is applied to all costs toward the customer end.  This is believed to be reasonable since many of the price control costs are driven by customers, not by the MEAV.  </w:t>
      </w:r>
    </w:p>
    <w:p w:rsidR="00C12838" w:rsidRPr="00CB292F" w:rsidRDefault="00C12838" w:rsidP="00660AF0">
      <w:pPr>
        <w:pStyle w:val="Heading2"/>
        <w:keepNext w:val="0"/>
        <w:widowControl w:val="0"/>
        <w:numPr>
          <w:ilvl w:val="1"/>
          <w:numId w:val="2"/>
        </w:numPr>
        <w:spacing w:line="360" w:lineRule="auto"/>
      </w:pPr>
      <w:r>
        <w:t>All DCUSA CDCM Objectives were evaluated in respect to this CP, and there was only an impact identified by it being implemented on two of them, CDCM Objectives 2 and 3.</w:t>
      </w:r>
    </w:p>
    <w:p w:rsidR="00C12838" w:rsidRDefault="00C12838" w:rsidP="00660AF0">
      <w:pPr>
        <w:pStyle w:val="Heading2"/>
        <w:keepNext w:val="0"/>
        <w:widowControl w:val="0"/>
        <w:numPr>
          <w:ilvl w:val="1"/>
          <w:numId w:val="2"/>
        </w:numPr>
        <w:spacing w:line="360" w:lineRule="auto"/>
      </w:pPr>
      <w:r>
        <w:t xml:space="preserve">Following the Consultation responses, the Working Group was not able to reach a consensus in agreeing that the DCUSA CDCM Objectives were better facilitated by this Change Proposal. A slight majority of the Working </w:t>
      </w:r>
      <w:r>
        <w:lastRenderedPageBreak/>
        <w:t xml:space="preserve">Group felt that following DCUSA CDCM Objectives were better facilitated, while others on the Working Group disagreed: </w:t>
      </w:r>
    </w:p>
    <w:p w:rsidR="00C12838" w:rsidRDefault="00C12838" w:rsidP="00660AF0">
      <w:pPr>
        <w:pStyle w:val="Heading2"/>
        <w:keepNext w:val="0"/>
        <w:widowControl w:val="0"/>
        <w:numPr>
          <w:ilvl w:val="2"/>
          <w:numId w:val="2"/>
        </w:numPr>
        <w:tabs>
          <w:tab w:val="clear" w:pos="720"/>
          <w:tab w:val="num" w:pos="567"/>
        </w:tabs>
        <w:spacing w:line="360" w:lineRule="auto"/>
        <w:ind w:left="1276" w:hanging="709"/>
      </w:pPr>
      <w:r w:rsidRPr="00A500F3">
        <w:t>Objective 2</w:t>
      </w:r>
      <w:r>
        <w:rPr>
          <w:rStyle w:val="FootnoteReference"/>
        </w:rPr>
        <w:footnoteReference w:id="2"/>
      </w:r>
      <w:r w:rsidRPr="00A500F3">
        <w:t xml:space="preserve"> – </w:t>
      </w:r>
      <w:r>
        <w:t xml:space="preserve">Better Facilitated – Will result in </w:t>
      </w:r>
      <w:r w:rsidRPr="003B60D1">
        <w:t xml:space="preserve">improved cost reflectivity </w:t>
      </w:r>
      <w:r>
        <w:t>and will aid</w:t>
      </w:r>
      <w:r w:rsidRPr="003B60D1">
        <w:t xml:space="preserve"> the facilitation of competition.</w:t>
      </w:r>
    </w:p>
    <w:p w:rsidR="00C12838" w:rsidRDefault="00C12838" w:rsidP="00660AF0">
      <w:pPr>
        <w:pStyle w:val="Heading2"/>
        <w:keepNext w:val="0"/>
        <w:widowControl w:val="0"/>
        <w:numPr>
          <w:ilvl w:val="2"/>
          <w:numId w:val="2"/>
        </w:numPr>
        <w:tabs>
          <w:tab w:val="clear" w:pos="720"/>
          <w:tab w:val="num" w:pos="567"/>
        </w:tabs>
        <w:spacing w:line="360" w:lineRule="auto"/>
        <w:ind w:left="1276" w:hanging="709"/>
      </w:pPr>
      <w:r>
        <w:t>Objective 3</w:t>
      </w:r>
      <w:r>
        <w:rPr>
          <w:rStyle w:val="FootnoteReference"/>
        </w:rPr>
        <w:footnoteReference w:id="3"/>
      </w:r>
      <w:r>
        <w:t xml:space="preserve"> – Better facilitated - The</w:t>
      </w:r>
      <w:r w:rsidRPr="003B60D1">
        <w:t xml:space="preserve"> CP will improve cost reflectivity</w:t>
      </w:r>
      <w:r>
        <w:t>.</w:t>
      </w:r>
    </w:p>
    <w:p w:rsidR="00C12838" w:rsidRPr="001A1107" w:rsidRDefault="00C12838" w:rsidP="00660AF0">
      <w:pPr>
        <w:pStyle w:val="Heading2"/>
        <w:keepNext w:val="0"/>
        <w:widowControl w:val="0"/>
        <w:numPr>
          <w:ilvl w:val="1"/>
          <w:numId w:val="2"/>
        </w:numPr>
        <w:spacing w:line="360" w:lineRule="auto"/>
      </w:pPr>
      <w:r>
        <w:t>It is considered</w:t>
      </w:r>
      <w:r w:rsidRPr="001A1107">
        <w:t xml:space="preserve"> that under </w:t>
      </w:r>
      <w:r>
        <w:t xml:space="preserve">each of </w:t>
      </w:r>
      <w:r w:rsidRPr="001A1107">
        <w:t xml:space="preserve">DCP </w:t>
      </w:r>
      <w:r>
        <w:t>097</w:t>
      </w:r>
      <w:r w:rsidRPr="001A1107">
        <w:t xml:space="preserve"> </w:t>
      </w:r>
      <w:r>
        <w:t xml:space="preserve">and DCP 097A DCUSA CDCM </w:t>
      </w:r>
      <w:r w:rsidRPr="001A1107">
        <w:t xml:space="preserve">Objective 2 will be better facilitated as the CP will </w:t>
      </w:r>
      <w:r>
        <w:t>enhance</w:t>
      </w:r>
      <w:r w:rsidRPr="001A1107">
        <w:t xml:space="preserve"> cost reflectivity</w:t>
      </w:r>
      <w:r w:rsidR="00C95C07">
        <w:t>.</w:t>
      </w:r>
    </w:p>
    <w:p w:rsidR="00C12838" w:rsidRPr="001A1107" w:rsidRDefault="00C12838" w:rsidP="00660AF0">
      <w:pPr>
        <w:pStyle w:val="Heading2"/>
        <w:keepNext w:val="0"/>
        <w:widowControl w:val="0"/>
        <w:numPr>
          <w:ilvl w:val="1"/>
          <w:numId w:val="2"/>
        </w:numPr>
        <w:spacing w:line="360" w:lineRule="auto"/>
      </w:pPr>
      <w:r w:rsidRPr="001A1107">
        <w:t xml:space="preserve">The Working Group considers that under </w:t>
      </w:r>
      <w:r>
        <w:t xml:space="preserve">each of </w:t>
      </w:r>
      <w:r w:rsidRPr="001A1107">
        <w:t xml:space="preserve">DCP </w:t>
      </w:r>
      <w:r>
        <w:t>097</w:t>
      </w:r>
      <w:r w:rsidRPr="001A1107">
        <w:t xml:space="preserve"> </w:t>
      </w:r>
      <w:r>
        <w:t xml:space="preserve">and DCP 097A DCUSA CDCM Objective </w:t>
      </w:r>
      <w:r w:rsidRPr="001A1107">
        <w:t xml:space="preserve">3 will be better facilitated as the CP will improve cost reflectivity, as detailed </w:t>
      </w:r>
      <w:r>
        <w:t>above.</w:t>
      </w:r>
    </w:p>
    <w:p w:rsidR="00C12838" w:rsidRDefault="00C12838" w:rsidP="00660AF0">
      <w:pPr>
        <w:pStyle w:val="Heading1"/>
        <w:numPr>
          <w:ilvl w:val="0"/>
          <w:numId w:val="2"/>
        </w:numPr>
        <w:spacing w:line="360" w:lineRule="auto"/>
      </w:pPr>
      <w:r>
        <w:t>IMPLEMENTATION</w:t>
      </w:r>
    </w:p>
    <w:p w:rsidR="00C12838" w:rsidRPr="00AB4059" w:rsidRDefault="00C12838" w:rsidP="00660AF0">
      <w:pPr>
        <w:pStyle w:val="Heading2"/>
        <w:keepNext w:val="0"/>
        <w:widowControl w:val="0"/>
        <w:numPr>
          <w:ilvl w:val="1"/>
          <w:numId w:val="2"/>
        </w:numPr>
        <w:spacing w:line="360" w:lineRule="auto"/>
        <w:rPr>
          <w:lang w:val="en-US" w:eastAsia="en-US"/>
        </w:rPr>
      </w:pPr>
      <w:r>
        <w:rPr>
          <w:lang w:val="en-US" w:eastAsia="en-US"/>
        </w:rPr>
        <w:t>DCP 097</w:t>
      </w:r>
      <w:r w:rsidRPr="00AB4059">
        <w:rPr>
          <w:lang w:val="en-US" w:eastAsia="en-US"/>
        </w:rPr>
        <w:t xml:space="preserve"> </w:t>
      </w:r>
      <w:r>
        <w:rPr>
          <w:lang w:val="en-US" w:eastAsia="en-US"/>
        </w:rPr>
        <w:t>and 097A are</w:t>
      </w:r>
      <w:r w:rsidRPr="00AB4059">
        <w:rPr>
          <w:lang w:val="en-US" w:eastAsia="en-US"/>
        </w:rPr>
        <w:t xml:space="preserve"> classified as a Part 1 matter </w:t>
      </w:r>
      <w:r w:rsidRPr="00313B2C">
        <w:t xml:space="preserve">in accordance </w:t>
      </w:r>
      <w:r>
        <w:t xml:space="preserve">with </w:t>
      </w:r>
      <w:r w:rsidRPr="00313B2C">
        <w:t>Clause 9.4.2 (B)</w:t>
      </w:r>
      <w:r>
        <w:t xml:space="preserve"> </w:t>
      </w:r>
      <w:r w:rsidRPr="00313B2C">
        <w:t>of the Agreement</w:t>
      </w:r>
      <w:r>
        <w:t>, and therefore will go to the Authority for determination after the voting process has completed.</w:t>
      </w:r>
    </w:p>
    <w:p w:rsidR="00C12838" w:rsidRDefault="00C12838" w:rsidP="00660AF0">
      <w:pPr>
        <w:pStyle w:val="Heading2"/>
        <w:keepNext w:val="0"/>
        <w:widowControl w:val="0"/>
        <w:numPr>
          <w:ilvl w:val="1"/>
          <w:numId w:val="2"/>
        </w:numPr>
        <w:spacing w:line="360" w:lineRule="auto"/>
        <w:rPr>
          <w:lang w:val="en-US" w:eastAsia="en-US"/>
        </w:rPr>
      </w:pPr>
      <w:r>
        <w:rPr>
          <w:lang w:val="en-US" w:eastAsia="en-US"/>
        </w:rPr>
        <w:t>The implementation date</w:t>
      </w:r>
      <w:r w:rsidRPr="009269D6">
        <w:rPr>
          <w:lang w:val="en-US" w:eastAsia="en-US"/>
        </w:rPr>
        <w:t xml:space="preserve">, subject to Authority approval, </w:t>
      </w:r>
      <w:r>
        <w:rPr>
          <w:lang w:val="en-US" w:eastAsia="en-US"/>
        </w:rPr>
        <w:t>would be 0</w:t>
      </w:r>
      <w:r w:rsidRPr="009269D6">
        <w:rPr>
          <w:lang w:val="en-US" w:eastAsia="en-US"/>
        </w:rPr>
        <w:t xml:space="preserve">1 </w:t>
      </w:r>
      <w:r>
        <w:rPr>
          <w:lang w:val="en-US" w:eastAsia="en-US"/>
        </w:rPr>
        <w:t>April 2012.</w:t>
      </w:r>
      <w:r w:rsidRPr="009269D6" w:rsidDel="002D2D69">
        <w:rPr>
          <w:lang w:val="en-US" w:eastAsia="en-US"/>
        </w:rPr>
        <w:t xml:space="preserve"> </w:t>
      </w:r>
    </w:p>
    <w:p w:rsidR="00C12838" w:rsidRDefault="00C12838" w:rsidP="00660AF0">
      <w:pPr>
        <w:pStyle w:val="Heading2"/>
        <w:keepNext w:val="0"/>
        <w:widowControl w:val="0"/>
        <w:numPr>
          <w:ilvl w:val="1"/>
          <w:numId w:val="2"/>
        </w:numPr>
        <w:spacing w:line="360" w:lineRule="auto"/>
        <w:rPr>
          <w:rFonts w:cs="Verdana"/>
        </w:rPr>
      </w:pPr>
      <w:r>
        <w:rPr>
          <w:lang w:val="en-US" w:eastAsia="en-US"/>
        </w:rPr>
        <w:t>T</w:t>
      </w:r>
      <w:r w:rsidRPr="009269D6">
        <w:rPr>
          <w:lang w:val="en-US" w:eastAsia="en-US"/>
        </w:rPr>
        <w:t>he outcome of DCP</w:t>
      </w:r>
      <w:r>
        <w:rPr>
          <w:lang w:val="en-US" w:eastAsia="en-US"/>
        </w:rPr>
        <w:t>097 and DCP 097A</w:t>
      </w:r>
      <w:r w:rsidRPr="009269D6">
        <w:rPr>
          <w:lang w:val="en-US" w:eastAsia="en-US"/>
        </w:rPr>
        <w:t xml:space="preserve"> will be known by November 2011, allowing Distributors to take the proposal into account when publishing their indicative charges in December 2011 and final prices in February 2012 for </w:t>
      </w:r>
      <w:r w:rsidRPr="009269D6">
        <w:rPr>
          <w:rFonts w:cs="Verdana"/>
        </w:rPr>
        <w:t xml:space="preserve">implementation from </w:t>
      </w:r>
      <w:r>
        <w:rPr>
          <w:rFonts w:cs="Verdana"/>
        </w:rPr>
        <w:t>0</w:t>
      </w:r>
      <w:r w:rsidRPr="009269D6">
        <w:rPr>
          <w:rFonts w:cs="Verdana"/>
        </w:rPr>
        <w:t>1 April 2012.</w:t>
      </w:r>
      <w:r>
        <w:rPr>
          <w:rFonts w:cs="Verdana"/>
        </w:rPr>
        <w:t xml:space="preserve"> </w:t>
      </w:r>
    </w:p>
    <w:p w:rsidR="00C12838" w:rsidRPr="006666F9" w:rsidRDefault="00C12838" w:rsidP="00660AF0">
      <w:pPr>
        <w:pStyle w:val="Heading1"/>
        <w:numPr>
          <w:ilvl w:val="0"/>
          <w:numId w:val="2"/>
        </w:numPr>
        <w:spacing w:line="360" w:lineRule="auto"/>
      </w:pPr>
      <w:r w:rsidRPr="006666F9">
        <w:lastRenderedPageBreak/>
        <w:t>ENGAGEMENT WITH THE AUTHORITY</w:t>
      </w:r>
    </w:p>
    <w:p w:rsidR="00C12838" w:rsidRPr="001A4C57" w:rsidRDefault="00C12838" w:rsidP="00660AF0">
      <w:pPr>
        <w:pStyle w:val="Heading2"/>
        <w:numPr>
          <w:ilvl w:val="1"/>
          <w:numId w:val="2"/>
        </w:numPr>
        <w:spacing w:line="360" w:lineRule="auto"/>
      </w:pPr>
      <w:r w:rsidRPr="006666F9">
        <w:t xml:space="preserve">Ofgem has been fully engaged throughout the development of DCP </w:t>
      </w:r>
      <w:r>
        <w:t xml:space="preserve">097 and DCP 097A </w:t>
      </w:r>
      <w:r w:rsidRPr="006666F9">
        <w:t xml:space="preserve">as </w:t>
      </w:r>
      <w:r>
        <w:t xml:space="preserve">a </w:t>
      </w:r>
      <w:r w:rsidRPr="006666F9">
        <w:t>member of the Working Group</w:t>
      </w:r>
      <w:r>
        <w:t>.</w:t>
      </w:r>
    </w:p>
    <w:p w:rsidR="00C12838" w:rsidRPr="00846FBE" w:rsidRDefault="00C12838" w:rsidP="00660AF0">
      <w:pPr>
        <w:pStyle w:val="Heading1"/>
        <w:numPr>
          <w:ilvl w:val="0"/>
          <w:numId w:val="2"/>
        </w:numPr>
        <w:spacing w:line="360" w:lineRule="auto"/>
      </w:pPr>
      <w:r w:rsidRPr="00846FBE">
        <w:t xml:space="preserve">PANEL </w:t>
      </w:r>
      <w:r w:rsidRPr="00542FEC">
        <w:t>RECOMMENDATION</w:t>
      </w:r>
      <w:r w:rsidRPr="00846FBE">
        <w:t xml:space="preserve">  </w:t>
      </w:r>
    </w:p>
    <w:p w:rsidR="00C12838" w:rsidRDefault="00C12838" w:rsidP="00660AF0">
      <w:pPr>
        <w:pStyle w:val="Heading2"/>
        <w:numPr>
          <w:ilvl w:val="1"/>
          <w:numId w:val="2"/>
        </w:numPr>
        <w:spacing w:line="360" w:lineRule="auto"/>
      </w:pPr>
      <w:r>
        <w:t>The Panel approved this Change Report at its meeting on 21 September 2011. The Panel considered that the Working Group had carried out the level of analysis required to enable Parties to understand the impact of the proposed amendment and to vote on DCP 097 and DCP 097A.</w:t>
      </w:r>
    </w:p>
    <w:p w:rsidR="00C12838" w:rsidRPr="00846FBE" w:rsidRDefault="00C12838" w:rsidP="00660AF0">
      <w:pPr>
        <w:pStyle w:val="Heading2"/>
        <w:numPr>
          <w:ilvl w:val="1"/>
          <w:numId w:val="2"/>
        </w:numPr>
        <w:spacing w:line="360" w:lineRule="auto"/>
      </w:pPr>
      <w:r w:rsidRPr="00846FBE">
        <w:t>The timetable for the progression of the Change Proposal</w:t>
      </w:r>
      <w:r>
        <w:t>s</w:t>
      </w:r>
      <w:r w:rsidRPr="00846FBE">
        <w:t xml:space="preserve"> is set out below:</w:t>
      </w:r>
    </w:p>
    <w:p w:rsidR="00C12838" w:rsidRPr="00846FBE" w:rsidRDefault="00C12838" w:rsidP="0065223E">
      <w:pPr>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3480"/>
      </w:tblGrid>
      <w:tr w:rsidR="00C12838" w:rsidRPr="0037687A">
        <w:trPr>
          <w:trHeight w:val="257"/>
          <w:jc w:val="center"/>
        </w:trPr>
        <w:tc>
          <w:tcPr>
            <w:tcW w:w="3480" w:type="dxa"/>
          </w:tcPr>
          <w:p w:rsidR="00C12838" w:rsidRPr="0037687A" w:rsidRDefault="00C12838" w:rsidP="00AE64AE">
            <w:pPr>
              <w:rPr>
                <w:rFonts w:ascii="Verdana" w:hAnsi="Verdana"/>
                <w:b/>
                <w:sz w:val="20"/>
                <w:szCs w:val="20"/>
              </w:rPr>
            </w:pPr>
            <w:r w:rsidRPr="0037687A">
              <w:rPr>
                <w:rFonts w:ascii="Verdana" w:hAnsi="Verdana"/>
                <w:b/>
                <w:sz w:val="20"/>
                <w:szCs w:val="20"/>
              </w:rPr>
              <w:t>Activity</w:t>
            </w:r>
          </w:p>
        </w:tc>
        <w:tc>
          <w:tcPr>
            <w:tcW w:w="3480" w:type="dxa"/>
          </w:tcPr>
          <w:p w:rsidR="00C12838" w:rsidRPr="0037687A" w:rsidRDefault="00C12838" w:rsidP="00AE64AE">
            <w:pPr>
              <w:rPr>
                <w:rFonts w:ascii="Verdana" w:hAnsi="Verdana"/>
                <w:b/>
                <w:sz w:val="20"/>
                <w:szCs w:val="20"/>
              </w:rPr>
            </w:pPr>
            <w:r w:rsidRPr="0037687A">
              <w:rPr>
                <w:rFonts w:ascii="Verdana" w:hAnsi="Verdana"/>
                <w:b/>
                <w:sz w:val="20"/>
                <w:szCs w:val="20"/>
              </w:rPr>
              <w:t>Date</w:t>
            </w:r>
          </w:p>
        </w:tc>
      </w:tr>
      <w:tr w:rsidR="00897E8D" w:rsidRPr="0037687A">
        <w:trPr>
          <w:trHeight w:val="257"/>
          <w:jc w:val="center"/>
        </w:trPr>
        <w:tc>
          <w:tcPr>
            <w:tcW w:w="3480" w:type="dxa"/>
          </w:tcPr>
          <w:p w:rsidR="00897E8D" w:rsidRPr="0037687A" w:rsidRDefault="00897E8D" w:rsidP="00542FEC">
            <w:pPr>
              <w:rPr>
                <w:rFonts w:ascii="Verdana" w:hAnsi="Verdana"/>
                <w:sz w:val="20"/>
                <w:szCs w:val="20"/>
              </w:rPr>
            </w:pPr>
            <w:r w:rsidRPr="0037687A">
              <w:rPr>
                <w:rFonts w:ascii="Verdana" w:hAnsi="Verdana"/>
                <w:sz w:val="20"/>
                <w:szCs w:val="20"/>
              </w:rPr>
              <w:t>Change Report issued for voting</w:t>
            </w:r>
          </w:p>
        </w:tc>
        <w:tc>
          <w:tcPr>
            <w:tcW w:w="3480" w:type="dxa"/>
          </w:tcPr>
          <w:p w:rsidR="00897E8D" w:rsidRPr="0037687A" w:rsidRDefault="00897E8D" w:rsidP="00DD623F">
            <w:pPr>
              <w:rPr>
                <w:rFonts w:ascii="Verdana" w:hAnsi="Verdana"/>
                <w:sz w:val="20"/>
                <w:szCs w:val="20"/>
              </w:rPr>
            </w:pPr>
            <w:r>
              <w:rPr>
                <w:rFonts w:ascii="Verdana" w:hAnsi="Verdana"/>
                <w:sz w:val="20"/>
                <w:szCs w:val="20"/>
              </w:rPr>
              <w:t xml:space="preserve">14 October </w:t>
            </w:r>
            <w:r w:rsidRPr="0037687A">
              <w:rPr>
                <w:rFonts w:ascii="Verdana" w:hAnsi="Verdana"/>
                <w:sz w:val="20"/>
                <w:szCs w:val="20"/>
              </w:rPr>
              <w:t>2011</w:t>
            </w:r>
          </w:p>
        </w:tc>
      </w:tr>
      <w:tr w:rsidR="00897E8D" w:rsidRPr="0037687A">
        <w:trPr>
          <w:trHeight w:val="241"/>
          <w:jc w:val="center"/>
        </w:trPr>
        <w:tc>
          <w:tcPr>
            <w:tcW w:w="3480" w:type="dxa"/>
          </w:tcPr>
          <w:p w:rsidR="00897E8D" w:rsidRPr="0037687A" w:rsidRDefault="00897E8D" w:rsidP="00542FEC">
            <w:pPr>
              <w:rPr>
                <w:rFonts w:ascii="Verdana" w:hAnsi="Verdana"/>
                <w:sz w:val="20"/>
                <w:szCs w:val="20"/>
              </w:rPr>
            </w:pPr>
            <w:r w:rsidRPr="0037687A">
              <w:rPr>
                <w:rFonts w:ascii="Verdana" w:hAnsi="Verdana"/>
                <w:sz w:val="20"/>
                <w:szCs w:val="20"/>
              </w:rPr>
              <w:t>Voting closes</w:t>
            </w:r>
          </w:p>
        </w:tc>
        <w:tc>
          <w:tcPr>
            <w:tcW w:w="3480" w:type="dxa"/>
          </w:tcPr>
          <w:p w:rsidR="00897E8D" w:rsidRPr="0037687A" w:rsidRDefault="00897E8D" w:rsidP="00C47CE3">
            <w:pPr>
              <w:rPr>
                <w:rFonts w:ascii="Verdana" w:hAnsi="Verdana"/>
                <w:sz w:val="20"/>
                <w:szCs w:val="20"/>
              </w:rPr>
            </w:pPr>
            <w:r>
              <w:rPr>
                <w:rFonts w:ascii="Verdana" w:hAnsi="Verdana"/>
                <w:sz w:val="20"/>
                <w:szCs w:val="20"/>
              </w:rPr>
              <w:t>28 October</w:t>
            </w:r>
            <w:r w:rsidRPr="0037687A">
              <w:rPr>
                <w:rFonts w:ascii="Verdana" w:hAnsi="Verdana"/>
                <w:sz w:val="20"/>
                <w:szCs w:val="20"/>
              </w:rPr>
              <w:t xml:space="preserve"> 2011</w:t>
            </w:r>
          </w:p>
        </w:tc>
      </w:tr>
      <w:tr w:rsidR="00897E8D" w:rsidRPr="0037687A">
        <w:trPr>
          <w:trHeight w:val="257"/>
          <w:jc w:val="center"/>
        </w:trPr>
        <w:tc>
          <w:tcPr>
            <w:tcW w:w="3480" w:type="dxa"/>
          </w:tcPr>
          <w:p w:rsidR="00897E8D" w:rsidRPr="0037687A" w:rsidRDefault="00897E8D" w:rsidP="00542FEC">
            <w:pPr>
              <w:rPr>
                <w:rFonts w:ascii="Verdana" w:hAnsi="Verdana"/>
                <w:sz w:val="20"/>
                <w:szCs w:val="20"/>
              </w:rPr>
            </w:pPr>
            <w:r w:rsidRPr="0037687A">
              <w:rPr>
                <w:rFonts w:ascii="Verdana" w:hAnsi="Verdana"/>
                <w:sz w:val="20"/>
                <w:szCs w:val="20"/>
              </w:rPr>
              <w:t>Change Declaration</w:t>
            </w:r>
          </w:p>
        </w:tc>
        <w:tc>
          <w:tcPr>
            <w:tcW w:w="3480" w:type="dxa"/>
          </w:tcPr>
          <w:p w:rsidR="00897E8D" w:rsidRPr="0037687A" w:rsidRDefault="00897E8D" w:rsidP="00B34D16">
            <w:pPr>
              <w:rPr>
                <w:rFonts w:ascii="Verdana" w:hAnsi="Verdana"/>
                <w:sz w:val="20"/>
                <w:szCs w:val="20"/>
              </w:rPr>
            </w:pPr>
            <w:r>
              <w:rPr>
                <w:rFonts w:ascii="Verdana" w:hAnsi="Verdana"/>
                <w:sz w:val="20"/>
                <w:szCs w:val="20"/>
              </w:rPr>
              <w:t>01 November</w:t>
            </w:r>
            <w:r w:rsidRPr="0037687A">
              <w:rPr>
                <w:rFonts w:ascii="Verdana" w:hAnsi="Verdana"/>
                <w:sz w:val="20"/>
                <w:szCs w:val="20"/>
              </w:rPr>
              <w:t xml:space="preserve"> 2011 </w:t>
            </w:r>
          </w:p>
        </w:tc>
      </w:tr>
      <w:tr w:rsidR="00897E8D" w:rsidRPr="0037687A">
        <w:trPr>
          <w:trHeight w:val="257"/>
          <w:jc w:val="center"/>
        </w:trPr>
        <w:tc>
          <w:tcPr>
            <w:tcW w:w="3480" w:type="dxa"/>
          </w:tcPr>
          <w:p w:rsidR="00897E8D" w:rsidRPr="0037687A" w:rsidRDefault="00897E8D" w:rsidP="00542FEC">
            <w:pPr>
              <w:rPr>
                <w:rFonts w:ascii="Verdana" w:hAnsi="Verdana"/>
                <w:sz w:val="20"/>
                <w:szCs w:val="20"/>
              </w:rPr>
            </w:pPr>
            <w:r>
              <w:rPr>
                <w:rFonts w:ascii="Verdana" w:hAnsi="Verdana"/>
                <w:sz w:val="20"/>
                <w:szCs w:val="20"/>
              </w:rPr>
              <w:t>Authority Determination</w:t>
            </w:r>
          </w:p>
        </w:tc>
        <w:tc>
          <w:tcPr>
            <w:tcW w:w="3480" w:type="dxa"/>
          </w:tcPr>
          <w:p w:rsidR="00897E8D" w:rsidRDefault="00897E8D" w:rsidP="00B34D16">
            <w:pPr>
              <w:rPr>
                <w:rFonts w:ascii="Verdana" w:hAnsi="Verdana"/>
                <w:sz w:val="20"/>
                <w:szCs w:val="20"/>
              </w:rPr>
            </w:pPr>
            <w:r>
              <w:rPr>
                <w:rFonts w:ascii="Verdana" w:hAnsi="Verdana"/>
                <w:sz w:val="20"/>
                <w:szCs w:val="20"/>
              </w:rPr>
              <w:t>06 December 2011</w:t>
            </w:r>
          </w:p>
        </w:tc>
      </w:tr>
      <w:tr w:rsidR="00897E8D" w:rsidRPr="0037687A">
        <w:trPr>
          <w:trHeight w:val="273"/>
          <w:jc w:val="center"/>
        </w:trPr>
        <w:tc>
          <w:tcPr>
            <w:tcW w:w="3480" w:type="dxa"/>
          </w:tcPr>
          <w:p w:rsidR="00897E8D" w:rsidRPr="0037687A" w:rsidRDefault="00897E8D" w:rsidP="00542FEC">
            <w:pPr>
              <w:rPr>
                <w:rFonts w:ascii="Verdana" w:hAnsi="Verdana"/>
                <w:sz w:val="20"/>
                <w:szCs w:val="20"/>
              </w:rPr>
            </w:pPr>
            <w:r w:rsidRPr="0037687A">
              <w:rPr>
                <w:rFonts w:ascii="Verdana" w:hAnsi="Verdana"/>
                <w:sz w:val="20"/>
                <w:szCs w:val="20"/>
              </w:rPr>
              <w:t>CP Implemented</w:t>
            </w:r>
          </w:p>
        </w:tc>
        <w:tc>
          <w:tcPr>
            <w:tcW w:w="3480" w:type="dxa"/>
          </w:tcPr>
          <w:p w:rsidR="00897E8D" w:rsidRPr="0037687A" w:rsidRDefault="00897E8D" w:rsidP="00503F73">
            <w:pPr>
              <w:rPr>
                <w:rFonts w:ascii="Verdana" w:hAnsi="Verdana"/>
                <w:sz w:val="20"/>
                <w:szCs w:val="20"/>
              </w:rPr>
            </w:pPr>
            <w:r>
              <w:rPr>
                <w:rFonts w:ascii="Verdana" w:hAnsi="Verdana"/>
                <w:sz w:val="20"/>
                <w:szCs w:val="20"/>
              </w:rPr>
              <w:t>01 April 2012</w:t>
            </w:r>
          </w:p>
        </w:tc>
      </w:tr>
    </w:tbl>
    <w:p w:rsidR="00C12838" w:rsidRPr="00846FBE" w:rsidRDefault="00C12838" w:rsidP="00660AF0">
      <w:pPr>
        <w:pStyle w:val="Heading1"/>
        <w:numPr>
          <w:ilvl w:val="0"/>
          <w:numId w:val="2"/>
        </w:numPr>
      </w:pPr>
      <w:r>
        <w:t>APPENDICES</w:t>
      </w:r>
      <w:r w:rsidRPr="00846FBE">
        <w:t xml:space="preserve">: </w:t>
      </w:r>
      <w:r>
        <w:br/>
      </w:r>
    </w:p>
    <w:p w:rsidR="00C12838" w:rsidRPr="00846FBE" w:rsidRDefault="00C12838" w:rsidP="00542FEC">
      <w:r>
        <w:rPr>
          <w:rFonts w:ascii="Verdana" w:hAnsi="Verdana"/>
          <w:sz w:val="20"/>
          <w:szCs w:val="20"/>
        </w:rPr>
        <w:t xml:space="preserve">Appendix </w:t>
      </w:r>
      <w:r w:rsidRPr="00FE7AA4">
        <w:rPr>
          <w:rFonts w:ascii="Verdana" w:hAnsi="Verdana"/>
          <w:sz w:val="20"/>
          <w:szCs w:val="20"/>
        </w:rPr>
        <w:t>A</w:t>
      </w:r>
      <w:r>
        <w:rPr>
          <w:rFonts w:ascii="Verdana" w:hAnsi="Verdana"/>
          <w:sz w:val="20"/>
          <w:szCs w:val="20"/>
        </w:rPr>
        <w:t xml:space="preserve"> -</w:t>
      </w:r>
      <w:r w:rsidRPr="00846FBE">
        <w:t xml:space="preserve"> </w:t>
      </w:r>
      <w:r w:rsidRPr="00715282">
        <w:rPr>
          <w:rFonts w:ascii="Verdana" w:hAnsi="Verdana"/>
          <w:sz w:val="20"/>
          <w:szCs w:val="20"/>
        </w:rPr>
        <w:t xml:space="preserve">DCP </w:t>
      </w:r>
      <w:r>
        <w:rPr>
          <w:rFonts w:ascii="Verdana" w:hAnsi="Verdana"/>
          <w:sz w:val="20"/>
          <w:szCs w:val="20"/>
        </w:rPr>
        <w:t xml:space="preserve">097 </w:t>
      </w:r>
      <w:r w:rsidRPr="00715282">
        <w:rPr>
          <w:rFonts w:ascii="Verdana" w:hAnsi="Verdana"/>
          <w:sz w:val="20"/>
          <w:szCs w:val="20"/>
        </w:rPr>
        <w:t>- Legal Drafting</w:t>
      </w:r>
      <w:r>
        <w:br/>
      </w:r>
    </w:p>
    <w:p w:rsidR="00C12838" w:rsidRDefault="00C12838" w:rsidP="007345B8">
      <w:pPr>
        <w:rPr>
          <w:rFonts w:ascii="Verdana" w:hAnsi="Verdana" w:cs="Arial"/>
          <w:sz w:val="20"/>
          <w:szCs w:val="20"/>
        </w:rPr>
      </w:pPr>
      <w:r>
        <w:rPr>
          <w:rFonts w:ascii="Verdana" w:hAnsi="Verdana" w:cs="Arial"/>
          <w:sz w:val="20"/>
          <w:szCs w:val="20"/>
        </w:rPr>
        <w:t xml:space="preserve">Appendix </w:t>
      </w:r>
      <w:r w:rsidRPr="006443B1">
        <w:rPr>
          <w:rFonts w:ascii="Verdana" w:hAnsi="Verdana" w:cs="Arial"/>
          <w:sz w:val="20"/>
          <w:szCs w:val="20"/>
        </w:rPr>
        <w:t>B</w:t>
      </w:r>
      <w:r>
        <w:rPr>
          <w:rFonts w:ascii="Verdana" w:hAnsi="Verdana" w:cs="Arial"/>
          <w:sz w:val="20"/>
          <w:szCs w:val="20"/>
        </w:rPr>
        <w:t xml:space="preserve"> –DCP 097A – Legal Drafting</w:t>
      </w:r>
    </w:p>
    <w:p w:rsidR="00C12838" w:rsidRDefault="00C12838" w:rsidP="007345B8">
      <w:pPr>
        <w:rPr>
          <w:rFonts w:ascii="Verdana" w:hAnsi="Verdana" w:cs="Arial"/>
          <w:sz w:val="20"/>
          <w:szCs w:val="20"/>
        </w:rPr>
      </w:pPr>
    </w:p>
    <w:p w:rsidR="00C12838" w:rsidRDefault="00C12838" w:rsidP="007345B8">
      <w:pPr>
        <w:rPr>
          <w:rFonts w:ascii="Verdana" w:hAnsi="Verdana" w:cs="Arial"/>
          <w:sz w:val="20"/>
          <w:szCs w:val="20"/>
        </w:rPr>
      </w:pPr>
      <w:r>
        <w:rPr>
          <w:rFonts w:ascii="Verdana" w:hAnsi="Verdana" w:cs="Arial"/>
          <w:sz w:val="20"/>
          <w:szCs w:val="20"/>
        </w:rPr>
        <w:t>Appendix C - DCP 097 – Consultation Documents</w:t>
      </w:r>
      <w:r w:rsidRPr="006443B1">
        <w:rPr>
          <w:rFonts w:ascii="Verdana" w:hAnsi="Verdana" w:cs="Arial"/>
          <w:sz w:val="20"/>
          <w:szCs w:val="20"/>
        </w:rPr>
        <w:t xml:space="preserve"> </w:t>
      </w:r>
    </w:p>
    <w:p w:rsidR="00C95C07" w:rsidRDefault="00C95C07" w:rsidP="007345B8">
      <w:pPr>
        <w:rPr>
          <w:rFonts w:ascii="Verdana" w:hAnsi="Verdana" w:cs="Arial"/>
          <w:sz w:val="20"/>
          <w:szCs w:val="20"/>
        </w:rPr>
      </w:pPr>
    </w:p>
    <w:p w:rsidR="00C95C07" w:rsidRDefault="00C95C07" w:rsidP="007345B8">
      <w:pPr>
        <w:rPr>
          <w:rFonts w:ascii="Verdana" w:hAnsi="Verdana" w:cs="Arial"/>
          <w:sz w:val="20"/>
          <w:szCs w:val="20"/>
        </w:rPr>
      </w:pPr>
      <w:r>
        <w:rPr>
          <w:rFonts w:ascii="Verdana" w:hAnsi="Verdana" w:cs="Arial"/>
          <w:sz w:val="20"/>
          <w:szCs w:val="20"/>
        </w:rPr>
        <w:t>Appendix D – DCP 097 and DCP097A – Reconfigured Analysis</w:t>
      </w:r>
    </w:p>
    <w:p w:rsidR="00C12838" w:rsidRDefault="00C12838" w:rsidP="007345B8">
      <w:pPr>
        <w:rPr>
          <w:rFonts w:ascii="Verdana" w:hAnsi="Verdana" w:cs="Arial"/>
          <w:sz w:val="20"/>
          <w:szCs w:val="20"/>
        </w:rPr>
      </w:pPr>
    </w:p>
    <w:p w:rsidR="00C12838" w:rsidRPr="00B239C0" w:rsidRDefault="00C12838">
      <w:pPr>
        <w:rPr>
          <w:rFonts w:ascii="Verdana" w:hAnsi="Verdana" w:cs="Arial"/>
          <w:sz w:val="20"/>
          <w:szCs w:val="20"/>
        </w:rPr>
      </w:pPr>
      <w:r>
        <w:rPr>
          <w:rFonts w:ascii="Verdana" w:hAnsi="Verdana" w:cs="Arial"/>
          <w:sz w:val="20"/>
          <w:szCs w:val="20"/>
        </w:rPr>
        <w:t xml:space="preserve">Appendix </w:t>
      </w:r>
      <w:r w:rsidR="00077CAC">
        <w:rPr>
          <w:rFonts w:ascii="Verdana" w:hAnsi="Verdana" w:cs="Arial"/>
          <w:sz w:val="20"/>
          <w:szCs w:val="20"/>
        </w:rPr>
        <w:t xml:space="preserve">E </w:t>
      </w:r>
      <w:r>
        <w:rPr>
          <w:rFonts w:ascii="Verdana" w:hAnsi="Verdana" w:cs="Arial"/>
          <w:sz w:val="20"/>
          <w:szCs w:val="20"/>
        </w:rPr>
        <w:t xml:space="preserve">- </w:t>
      </w:r>
      <w:r w:rsidRPr="006443B1">
        <w:rPr>
          <w:rFonts w:ascii="Verdana" w:hAnsi="Verdana" w:cs="Arial"/>
          <w:sz w:val="20"/>
          <w:szCs w:val="20"/>
        </w:rPr>
        <w:t xml:space="preserve">DCP </w:t>
      </w:r>
      <w:r>
        <w:rPr>
          <w:rFonts w:ascii="Verdana" w:hAnsi="Verdana" w:cs="Arial"/>
          <w:sz w:val="20"/>
          <w:szCs w:val="20"/>
        </w:rPr>
        <w:t xml:space="preserve">097 </w:t>
      </w:r>
      <w:r w:rsidRPr="006443B1">
        <w:rPr>
          <w:rFonts w:ascii="Verdana" w:hAnsi="Verdana" w:cs="Arial"/>
          <w:sz w:val="20"/>
          <w:szCs w:val="20"/>
        </w:rPr>
        <w:t>- Voting Form</w:t>
      </w:r>
    </w:p>
    <w:sectPr w:rsidR="00C12838" w:rsidRPr="00B239C0" w:rsidSect="00C022DA">
      <w:headerReference w:type="default" r:id="rId8"/>
      <w:footerReference w:type="default" r:id="rId9"/>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7F3" w:rsidRDefault="00D747F3">
      <w:r>
        <w:separator/>
      </w:r>
    </w:p>
  </w:endnote>
  <w:endnote w:type="continuationSeparator" w:id="0">
    <w:p w:rsidR="00D747F3" w:rsidRDefault="00D747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838" w:rsidRPr="003D26C2" w:rsidRDefault="00C12838">
    <w:pPr>
      <w:pStyle w:val="Footer"/>
      <w:rPr>
        <w:rFonts w:ascii="Verdana" w:hAnsi="Verdana"/>
        <w:sz w:val="16"/>
        <w:szCs w:val="16"/>
      </w:rPr>
    </w:pPr>
    <w:r>
      <w:rPr>
        <w:rFonts w:ascii="Verdana" w:hAnsi="Verdana"/>
        <w:sz w:val="16"/>
        <w:szCs w:val="16"/>
      </w:rPr>
      <w:t xml:space="preserve">14 October 2011  </w:t>
    </w:r>
    <w:r w:rsidRPr="003D26C2">
      <w:rPr>
        <w:rFonts w:ascii="Verdana" w:hAnsi="Verdana"/>
        <w:sz w:val="16"/>
        <w:szCs w:val="16"/>
      </w:rPr>
      <w:t xml:space="preserve"> </w:t>
    </w:r>
    <w:r>
      <w:rPr>
        <w:rFonts w:ascii="Verdana" w:hAnsi="Verdana"/>
        <w:sz w:val="16"/>
        <w:szCs w:val="16"/>
      </w:rPr>
      <w:tab/>
    </w:r>
    <w:r w:rsidRPr="002B045C">
      <w:rPr>
        <w:rFonts w:ascii="Verdana" w:hAnsi="Verdana"/>
        <w:sz w:val="16"/>
        <w:szCs w:val="16"/>
      </w:rPr>
      <w:t xml:space="preserve">Page </w:t>
    </w:r>
    <w:r w:rsidR="00805A35" w:rsidRPr="002B045C">
      <w:rPr>
        <w:rFonts w:ascii="Verdana" w:hAnsi="Verdana"/>
        <w:sz w:val="16"/>
        <w:szCs w:val="16"/>
      </w:rPr>
      <w:fldChar w:fldCharType="begin"/>
    </w:r>
    <w:r w:rsidRPr="002B045C">
      <w:rPr>
        <w:rFonts w:ascii="Verdana" w:hAnsi="Verdana"/>
        <w:sz w:val="16"/>
        <w:szCs w:val="16"/>
      </w:rPr>
      <w:instrText xml:space="preserve"> PAGE </w:instrText>
    </w:r>
    <w:r w:rsidR="00805A35" w:rsidRPr="002B045C">
      <w:rPr>
        <w:rFonts w:ascii="Verdana" w:hAnsi="Verdana"/>
        <w:sz w:val="16"/>
        <w:szCs w:val="16"/>
      </w:rPr>
      <w:fldChar w:fldCharType="separate"/>
    </w:r>
    <w:r w:rsidR="00660AF0">
      <w:rPr>
        <w:rFonts w:ascii="Verdana" w:hAnsi="Verdana"/>
        <w:noProof/>
        <w:sz w:val="16"/>
        <w:szCs w:val="16"/>
      </w:rPr>
      <w:t>11</w:t>
    </w:r>
    <w:r w:rsidR="00805A35" w:rsidRPr="002B045C">
      <w:rPr>
        <w:rFonts w:ascii="Verdana" w:hAnsi="Verdana"/>
        <w:sz w:val="16"/>
        <w:szCs w:val="16"/>
      </w:rPr>
      <w:fldChar w:fldCharType="end"/>
    </w:r>
    <w:r w:rsidRPr="002B045C">
      <w:rPr>
        <w:rFonts w:ascii="Verdana" w:hAnsi="Verdana"/>
        <w:sz w:val="16"/>
        <w:szCs w:val="16"/>
      </w:rPr>
      <w:t xml:space="preserve"> of </w:t>
    </w:r>
    <w:r w:rsidR="00805A35" w:rsidRPr="002B045C">
      <w:rPr>
        <w:rFonts w:ascii="Verdana" w:hAnsi="Verdana"/>
        <w:sz w:val="16"/>
        <w:szCs w:val="16"/>
      </w:rPr>
      <w:fldChar w:fldCharType="begin"/>
    </w:r>
    <w:r w:rsidRPr="002B045C">
      <w:rPr>
        <w:rFonts w:ascii="Verdana" w:hAnsi="Verdana"/>
        <w:sz w:val="16"/>
        <w:szCs w:val="16"/>
      </w:rPr>
      <w:instrText xml:space="preserve"> NUMPAGES </w:instrText>
    </w:r>
    <w:r w:rsidR="00805A35" w:rsidRPr="002B045C">
      <w:rPr>
        <w:rFonts w:ascii="Verdana" w:hAnsi="Verdana"/>
        <w:sz w:val="16"/>
        <w:szCs w:val="16"/>
      </w:rPr>
      <w:fldChar w:fldCharType="separate"/>
    </w:r>
    <w:r w:rsidR="00660AF0">
      <w:rPr>
        <w:rFonts w:ascii="Verdana" w:hAnsi="Verdana"/>
        <w:noProof/>
        <w:sz w:val="16"/>
        <w:szCs w:val="16"/>
      </w:rPr>
      <w:t>11</w:t>
    </w:r>
    <w:r w:rsidR="00805A35" w:rsidRPr="002B045C">
      <w:rPr>
        <w:rFonts w:ascii="Verdana" w:hAnsi="Verdana"/>
        <w:sz w:val="16"/>
        <w:szCs w:val="16"/>
      </w:rPr>
      <w:fldChar w:fldCharType="end"/>
    </w:r>
    <w:r>
      <w:rPr>
        <w:rFonts w:ascii="Verdana" w:hAnsi="Verdana"/>
        <w:sz w:val="16"/>
        <w:szCs w:val="16"/>
      </w:rPr>
      <w:tab/>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7F3" w:rsidRDefault="00D747F3">
      <w:r>
        <w:separator/>
      </w:r>
    </w:p>
  </w:footnote>
  <w:footnote w:type="continuationSeparator" w:id="0">
    <w:p w:rsidR="00D747F3" w:rsidRDefault="00D747F3">
      <w:r>
        <w:continuationSeparator/>
      </w:r>
    </w:p>
  </w:footnote>
  <w:footnote w:id="1">
    <w:p w:rsidR="00C12838" w:rsidRDefault="00C12838" w:rsidP="00281B9B">
      <w:pPr>
        <w:pStyle w:val="FootnoteText"/>
      </w:pPr>
      <w:r>
        <w:rPr>
          <w:rStyle w:val="FootnoteReference"/>
        </w:rPr>
        <w:footnoteRef/>
      </w:r>
      <w:r>
        <w:t xml:space="preserve"> </w:t>
      </w:r>
      <w:r w:rsidRPr="00812C25">
        <w:rPr>
          <w:rFonts w:ascii="Calibri" w:hAnsi="Calibri"/>
          <w:sz w:val="16"/>
          <w:szCs w:val="16"/>
        </w:rPr>
        <w:t>The facilitation of effective competition in the generation and supply of electricity and (so far as is consistent therewith) the promotion of such competition in the sale, distribution and purchase of electricity</w:t>
      </w:r>
    </w:p>
  </w:footnote>
  <w:footnote w:id="2">
    <w:p w:rsidR="00C12838" w:rsidRDefault="00C12838" w:rsidP="00281B9B">
      <w:pPr>
        <w:pStyle w:val="FootnoteText"/>
      </w:pPr>
      <w:r w:rsidRPr="00281B9B">
        <w:rPr>
          <w:rFonts w:ascii="Calibri" w:hAnsi="Calibri"/>
          <w:sz w:val="16"/>
          <w:szCs w:val="16"/>
        </w:rPr>
        <w:footnoteRef/>
      </w:r>
      <w:r w:rsidRPr="00281B9B">
        <w:rPr>
          <w:rFonts w:ascii="Calibri" w:hAnsi="Calibri"/>
          <w:sz w:val="16"/>
          <w:szCs w:val="16"/>
        </w:rPr>
        <w:t xml:space="preserve"> </w:t>
      </w:r>
      <w:r>
        <w:rPr>
          <w:rFonts w:ascii="Calibri" w:hAnsi="Calibri"/>
          <w:sz w:val="16"/>
          <w:szCs w:val="16"/>
        </w:rPr>
        <w:t>T</w:t>
      </w:r>
      <w:r w:rsidRPr="00281B9B">
        <w:rPr>
          <w:rFonts w:ascii="Calibri" w:hAnsi="Calibri"/>
          <w:sz w:val="16"/>
          <w:szCs w:val="16"/>
        </w:rPr>
        <w: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footnote>
  <w:footnote w:id="3">
    <w:p w:rsidR="00C12838" w:rsidRDefault="00C12838" w:rsidP="00281B9B">
      <w:pPr>
        <w:pStyle w:val="FootnoteText"/>
      </w:pPr>
      <w:r w:rsidRPr="00281B9B">
        <w:rPr>
          <w:rFonts w:ascii="Calibri" w:hAnsi="Calibri"/>
          <w:sz w:val="16"/>
          <w:szCs w:val="16"/>
        </w:rPr>
        <w:footnoteRef/>
      </w:r>
      <w:r w:rsidRPr="00281B9B">
        <w:rPr>
          <w:rFonts w:ascii="Calibri" w:hAnsi="Calibri"/>
          <w:sz w:val="16"/>
          <w:szCs w:val="16"/>
        </w:rPr>
        <w:t xml:space="preserve"> </w:t>
      </w:r>
      <w:r>
        <w:rPr>
          <w:rFonts w:ascii="Calibri" w:hAnsi="Calibri"/>
          <w:sz w:val="16"/>
          <w:szCs w:val="16"/>
        </w:rPr>
        <w:t>T</w:t>
      </w:r>
      <w:r w:rsidRPr="00281B9B">
        <w:rPr>
          <w:rFonts w:ascii="Calibri" w:hAnsi="Calibri"/>
          <w:sz w:val="16"/>
          <w:szCs w:val="16"/>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838" w:rsidRPr="003D26C2" w:rsidRDefault="00C12838">
    <w:pPr>
      <w:pStyle w:val="Header"/>
      <w:rPr>
        <w:rFonts w:ascii="Verdana" w:hAnsi="Verdana"/>
        <w:sz w:val="16"/>
        <w:szCs w:val="16"/>
      </w:rPr>
    </w:pPr>
    <w:r w:rsidRPr="003D26C2">
      <w:rPr>
        <w:rFonts w:ascii="Verdana" w:hAnsi="Verdana"/>
        <w:sz w:val="16"/>
        <w:szCs w:val="16"/>
      </w:rPr>
      <w:t xml:space="preserve">DCP </w:t>
    </w:r>
    <w:r>
      <w:rPr>
        <w:rFonts w:ascii="Verdana" w:hAnsi="Verdana"/>
        <w:sz w:val="16"/>
        <w:szCs w:val="16"/>
      </w:rPr>
      <w:t>097 and DCP 097A</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028BEF6"/>
    <w:lvl w:ilvl="0">
      <w:start w:val="1"/>
      <w:numFmt w:val="decimal"/>
      <w:pStyle w:val="Heading2"/>
      <w:lvlText w:val="%1."/>
      <w:lvlJc w:val="left"/>
      <w:pPr>
        <w:tabs>
          <w:tab w:val="num" w:pos="360"/>
        </w:tabs>
        <w:ind w:left="360" w:hanging="360"/>
      </w:pPr>
      <w:rPr>
        <w:rFonts w:cs="Times New Roman"/>
      </w:rPr>
    </w:lvl>
  </w:abstractNum>
  <w:abstractNum w:abstractNumId="1">
    <w:nsid w:val="0DDE423C"/>
    <w:multiLevelType w:val="hybridMultilevel"/>
    <w:tmpl w:val="849E2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7333AC0"/>
    <w:multiLevelType w:val="multilevel"/>
    <w:tmpl w:val="C4D00574"/>
    <w:lvl w:ilvl="0">
      <w:start w:val="1"/>
      <w:numFmt w:val="decimal"/>
      <w:pStyle w:val="ListNumber"/>
      <w:lvlText w:val="%1"/>
      <w:lvlJc w:val="left"/>
      <w:pPr>
        <w:tabs>
          <w:tab w:val="num" w:pos="432"/>
        </w:tabs>
        <w:ind w:left="432" w:hanging="432"/>
      </w:pPr>
      <w:rPr>
        <w:rFonts w:cs="Times New Roman"/>
        <w:b/>
        <w:sz w:val="20"/>
        <w:szCs w:val="20"/>
      </w:rPr>
    </w:lvl>
    <w:lvl w:ilvl="1">
      <w:start w:val="1"/>
      <w:numFmt w:val="decimal"/>
      <w:lvlText w:val="%1.%2"/>
      <w:lvlJc w:val="left"/>
      <w:pPr>
        <w:tabs>
          <w:tab w:val="num" w:pos="718"/>
        </w:tabs>
        <w:ind w:left="718" w:hanging="576"/>
      </w:pPr>
      <w:rPr>
        <w:rFonts w:ascii="Verdana" w:hAnsi="Verdana" w:cs="Times New Roman"/>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footnotePr>
    <w:footnote w:id="-1"/>
    <w:footnote w:id="0"/>
  </w:footnotePr>
  <w:endnotePr>
    <w:endnote w:id="-1"/>
    <w:endnote w:id="0"/>
  </w:endnotePr>
  <w:compat/>
  <w:rsids>
    <w:rsidRoot w:val="0065223E"/>
    <w:rsid w:val="00000212"/>
    <w:rsid w:val="0000122A"/>
    <w:rsid w:val="0000238B"/>
    <w:rsid w:val="00002B06"/>
    <w:rsid w:val="00002D4B"/>
    <w:rsid w:val="00003806"/>
    <w:rsid w:val="00003D34"/>
    <w:rsid w:val="0000421C"/>
    <w:rsid w:val="000046FB"/>
    <w:rsid w:val="0000606B"/>
    <w:rsid w:val="00006113"/>
    <w:rsid w:val="00006E06"/>
    <w:rsid w:val="00010A51"/>
    <w:rsid w:val="000114A5"/>
    <w:rsid w:val="00015E2C"/>
    <w:rsid w:val="00016E5C"/>
    <w:rsid w:val="00016ECB"/>
    <w:rsid w:val="0002057D"/>
    <w:rsid w:val="00021E03"/>
    <w:rsid w:val="000226BD"/>
    <w:rsid w:val="000244AC"/>
    <w:rsid w:val="0002570D"/>
    <w:rsid w:val="00025A17"/>
    <w:rsid w:val="00025B24"/>
    <w:rsid w:val="00030B15"/>
    <w:rsid w:val="00030C70"/>
    <w:rsid w:val="000325CB"/>
    <w:rsid w:val="00032705"/>
    <w:rsid w:val="00033919"/>
    <w:rsid w:val="00033AB7"/>
    <w:rsid w:val="0003441E"/>
    <w:rsid w:val="0003456C"/>
    <w:rsid w:val="00034F0C"/>
    <w:rsid w:val="00034F41"/>
    <w:rsid w:val="00035797"/>
    <w:rsid w:val="00035A07"/>
    <w:rsid w:val="0003615B"/>
    <w:rsid w:val="00037720"/>
    <w:rsid w:val="0003774D"/>
    <w:rsid w:val="000402DF"/>
    <w:rsid w:val="00043256"/>
    <w:rsid w:val="000434ED"/>
    <w:rsid w:val="000452CD"/>
    <w:rsid w:val="000458B8"/>
    <w:rsid w:val="00045F1C"/>
    <w:rsid w:val="000463C4"/>
    <w:rsid w:val="0004654A"/>
    <w:rsid w:val="00046E76"/>
    <w:rsid w:val="0004751E"/>
    <w:rsid w:val="00047A50"/>
    <w:rsid w:val="00047BF5"/>
    <w:rsid w:val="00050019"/>
    <w:rsid w:val="000512B2"/>
    <w:rsid w:val="00051BF9"/>
    <w:rsid w:val="00051C9B"/>
    <w:rsid w:val="00052461"/>
    <w:rsid w:val="00052ABA"/>
    <w:rsid w:val="00052FE1"/>
    <w:rsid w:val="00055803"/>
    <w:rsid w:val="00055A21"/>
    <w:rsid w:val="00057986"/>
    <w:rsid w:val="00057AA3"/>
    <w:rsid w:val="00060D57"/>
    <w:rsid w:val="00062E05"/>
    <w:rsid w:val="000631AB"/>
    <w:rsid w:val="00064070"/>
    <w:rsid w:val="00065571"/>
    <w:rsid w:val="00066BED"/>
    <w:rsid w:val="0006721C"/>
    <w:rsid w:val="00067E59"/>
    <w:rsid w:val="00070763"/>
    <w:rsid w:val="00070CC8"/>
    <w:rsid w:val="00074D6B"/>
    <w:rsid w:val="00075AFF"/>
    <w:rsid w:val="00075B03"/>
    <w:rsid w:val="000766C9"/>
    <w:rsid w:val="000769B2"/>
    <w:rsid w:val="00077325"/>
    <w:rsid w:val="00077503"/>
    <w:rsid w:val="00077657"/>
    <w:rsid w:val="00077CAC"/>
    <w:rsid w:val="00085602"/>
    <w:rsid w:val="00085643"/>
    <w:rsid w:val="00087BB7"/>
    <w:rsid w:val="00090753"/>
    <w:rsid w:val="00090CD7"/>
    <w:rsid w:val="00090F88"/>
    <w:rsid w:val="00090FE5"/>
    <w:rsid w:val="00091A6E"/>
    <w:rsid w:val="00092C25"/>
    <w:rsid w:val="000931CB"/>
    <w:rsid w:val="0009364B"/>
    <w:rsid w:val="00094523"/>
    <w:rsid w:val="000946A4"/>
    <w:rsid w:val="0009498F"/>
    <w:rsid w:val="00095A2E"/>
    <w:rsid w:val="00095B4D"/>
    <w:rsid w:val="00096059"/>
    <w:rsid w:val="00096987"/>
    <w:rsid w:val="000A424F"/>
    <w:rsid w:val="000A4465"/>
    <w:rsid w:val="000A4DA6"/>
    <w:rsid w:val="000A5340"/>
    <w:rsid w:val="000A680E"/>
    <w:rsid w:val="000A6CD4"/>
    <w:rsid w:val="000A763A"/>
    <w:rsid w:val="000B1307"/>
    <w:rsid w:val="000B1872"/>
    <w:rsid w:val="000B1ED1"/>
    <w:rsid w:val="000B215E"/>
    <w:rsid w:val="000B2BEC"/>
    <w:rsid w:val="000B3029"/>
    <w:rsid w:val="000B3041"/>
    <w:rsid w:val="000B36F0"/>
    <w:rsid w:val="000B55A7"/>
    <w:rsid w:val="000B5EC7"/>
    <w:rsid w:val="000B62C2"/>
    <w:rsid w:val="000B6478"/>
    <w:rsid w:val="000C0176"/>
    <w:rsid w:val="000C0CB2"/>
    <w:rsid w:val="000C1A46"/>
    <w:rsid w:val="000C1F3F"/>
    <w:rsid w:val="000C29F8"/>
    <w:rsid w:val="000C4A56"/>
    <w:rsid w:val="000C617B"/>
    <w:rsid w:val="000C64A7"/>
    <w:rsid w:val="000C71F1"/>
    <w:rsid w:val="000C7616"/>
    <w:rsid w:val="000C777D"/>
    <w:rsid w:val="000C7DE7"/>
    <w:rsid w:val="000D1051"/>
    <w:rsid w:val="000D259C"/>
    <w:rsid w:val="000D2F06"/>
    <w:rsid w:val="000D4F84"/>
    <w:rsid w:val="000E1065"/>
    <w:rsid w:val="000E16C4"/>
    <w:rsid w:val="000E1AB1"/>
    <w:rsid w:val="000E1ED0"/>
    <w:rsid w:val="000E1FE9"/>
    <w:rsid w:val="000E2169"/>
    <w:rsid w:val="000E4441"/>
    <w:rsid w:val="000E4A5D"/>
    <w:rsid w:val="000E6582"/>
    <w:rsid w:val="000F0403"/>
    <w:rsid w:val="000F3F2F"/>
    <w:rsid w:val="000F465A"/>
    <w:rsid w:val="000F4B6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12F"/>
    <w:rsid w:val="00106555"/>
    <w:rsid w:val="00106663"/>
    <w:rsid w:val="00106A4D"/>
    <w:rsid w:val="0010745E"/>
    <w:rsid w:val="0011015C"/>
    <w:rsid w:val="001121E7"/>
    <w:rsid w:val="001122EE"/>
    <w:rsid w:val="001142E1"/>
    <w:rsid w:val="00114EDD"/>
    <w:rsid w:val="00115BFB"/>
    <w:rsid w:val="001173C3"/>
    <w:rsid w:val="00120408"/>
    <w:rsid w:val="00120B60"/>
    <w:rsid w:val="00120DB4"/>
    <w:rsid w:val="001210EC"/>
    <w:rsid w:val="00121111"/>
    <w:rsid w:val="00121582"/>
    <w:rsid w:val="00123AB8"/>
    <w:rsid w:val="00126360"/>
    <w:rsid w:val="001278AC"/>
    <w:rsid w:val="001302D8"/>
    <w:rsid w:val="0013198C"/>
    <w:rsid w:val="00133025"/>
    <w:rsid w:val="001331A5"/>
    <w:rsid w:val="00134FE5"/>
    <w:rsid w:val="0014182E"/>
    <w:rsid w:val="00143794"/>
    <w:rsid w:val="001448C0"/>
    <w:rsid w:val="00150B07"/>
    <w:rsid w:val="00153D42"/>
    <w:rsid w:val="001562F2"/>
    <w:rsid w:val="0015687E"/>
    <w:rsid w:val="00160541"/>
    <w:rsid w:val="00162540"/>
    <w:rsid w:val="00162573"/>
    <w:rsid w:val="001628BB"/>
    <w:rsid w:val="0016428C"/>
    <w:rsid w:val="0016469C"/>
    <w:rsid w:val="00165484"/>
    <w:rsid w:val="00165C23"/>
    <w:rsid w:val="00165D44"/>
    <w:rsid w:val="00165EDE"/>
    <w:rsid w:val="00167B25"/>
    <w:rsid w:val="00170F5B"/>
    <w:rsid w:val="001710FE"/>
    <w:rsid w:val="0017122A"/>
    <w:rsid w:val="0017193F"/>
    <w:rsid w:val="00171DB4"/>
    <w:rsid w:val="00174757"/>
    <w:rsid w:val="00175C50"/>
    <w:rsid w:val="00176273"/>
    <w:rsid w:val="00177C08"/>
    <w:rsid w:val="00180BDD"/>
    <w:rsid w:val="00181353"/>
    <w:rsid w:val="00181B7D"/>
    <w:rsid w:val="00185503"/>
    <w:rsid w:val="00186A02"/>
    <w:rsid w:val="001904D5"/>
    <w:rsid w:val="00190F09"/>
    <w:rsid w:val="001924CB"/>
    <w:rsid w:val="00192A90"/>
    <w:rsid w:val="0019619B"/>
    <w:rsid w:val="0019772B"/>
    <w:rsid w:val="001A0132"/>
    <w:rsid w:val="001A052C"/>
    <w:rsid w:val="001A1107"/>
    <w:rsid w:val="001A1377"/>
    <w:rsid w:val="001A140F"/>
    <w:rsid w:val="001A1DC1"/>
    <w:rsid w:val="001A271E"/>
    <w:rsid w:val="001A4116"/>
    <w:rsid w:val="001A4582"/>
    <w:rsid w:val="001A4C25"/>
    <w:rsid w:val="001A4C57"/>
    <w:rsid w:val="001B0469"/>
    <w:rsid w:val="001B1008"/>
    <w:rsid w:val="001B19B9"/>
    <w:rsid w:val="001B1CE7"/>
    <w:rsid w:val="001B2C55"/>
    <w:rsid w:val="001B37C9"/>
    <w:rsid w:val="001B4ECB"/>
    <w:rsid w:val="001B55AA"/>
    <w:rsid w:val="001B5C80"/>
    <w:rsid w:val="001B6D00"/>
    <w:rsid w:val="001B6E10"/>
    <w:rsid w:val="001B7665"/>
    <w:rsid w:val="001B7821"/>
    <w:rsid w:val="001C0A82"/>
    <w:rsid w:val="001C2C0D"/>
    <w:rsid w:val="001C39C7"/>
    <w:rsid w:val="001C48F1"/>
    <w:rsid w:val="001C7F91"/>
    <w:rsid w:val="001D07F2"/>
    <w:rsid w:val="001D1E76"/>
    <w:rsid w:val="001D2398"/>
    <w:rsid w:val="001D2D17"/>
    <w:rsid w:val="001D5A4A"/>
    <w:rsid w:val="001D7BAA"/>
    <w:rsid w:val="001D7EBD"/>
    <w:rsid w:val="001E00CF"/>
    <w:rsid w:val="001E08C3"/>
    <w:rsid w:val="001E0A86"/>
    <w:rsid w:val="001E0B25"/>
    <w:rsid w:val="001E0C9E"/>
    <w:rsid w:val="001E33D7"/>
    <w:rsid w:val="001E47D4"/>
    <w:rsid w:val="001E71F8"/>
    <w:rsid w:val="001F231D"/>
    <w:rsid w:val="001F3F67"/>
    <w:rsid w:val="001F59FD"/>
    <w:rsid w:val="001F73B3"/>
    <w:rsid w:val="00200109"/>
    <w:rsid w:val="002004A1"/>
    <w:rsid w:val="00201097"/>
    <w:rsid w:val="002012FA"/>
    <w:rsid w:val="00201EEF"/>
    <w:rsid w:val="00204AA8"/>
    <w:rsid w:val="00205B6A"/>
    <w:rsid w:val="00206480"/>
    <w:rsid w:val="00207E04"/>
    <w:rsid w:val="00207F0A"/>
    <w:rsid w:val="00212514"/>
    <w:rsid w:val="00212800"/>
    <w:rsid w:val="00213F81"/>
    <w:rsid w:val="00214286"/>
    <w:rsid w:val="002157DB"/>
    <w:rsid w:val="0021586E"/>
    <w:rsid w:val="002216D2"/>
    <w:rsid w:val="00221EC8"/>
    <w:rsid w:val="0022255B"/>
    <w:rsid w:val="00224C39"/>
    <w:rsid w:val="00225BED"/>
    <w:rsid w:val="00225D05"/>
    <w:rsid w:val="0022732D"/>
    <w:rsid w:val="00230FE6"/>
    <w:rsid w:val="00231774"/>
    <w:rsid w:val="00233483"/>
    <w:rsid w:val="002336C4"/>
    <w:rsid w:val="00234AD0"/>
    <w:rsid w:val="00236F6A"/>
    <w:rsid w:val="00237994"/>
    <w:rsid w:val="002437E5"/>
    <w:rsid w:val="002451F3"/>
    <w:rsid w:val="0024591A"/>
    <w:rsid w:val="002467AF"/>
    <w:rsid w:val="00246E33"/>
    <w:rsid w:val="0025074F"/>
    <w:rsid w:val="002512FA"/>
    <w:rsid w:val="0025467E"/>
    <w:rsid w:val="00255709"/>
    <w:rsid w:val="00255899"/>
    <w:rsid w:val="0025600F"/>
    <w:rsid w:val="002562FD"/>
    <w:rsid w:val="0025659D"/>
    <w:rsid w:val="002632E0"/>
    <w:rsid w:val="002633A7"/>
    <w:rsid w:val="0026515D"/>
    <w:rsid w:val="002670A8"/>
    <w:rsid w:val="00270591"/>
    <w:rsid w:val="0027142C"/>
    <w:rsid w:val="0027167B"/>
    <w:rsid w:val="0027199C"/>
    <w:rsid w:val="0027219A"/>
    <w:rsid w:val="00272AE0"/>
    <w:rsid w:val="00274377"/>
    <w:rsid w:val="00274F52"/>
    <w:rsid w:val="00281B9B"/>
    <w:rsid w:val="00283BD7"/>
    <w:rsid w:val="002843BE"/>
    <w:rsid w:val="00285648"/>
    <w:rsid w:val="00285FB5"/>
    <w:rsid w:val="00286AE9"/>
    <w:rsid w:val="00287652"/>
    <w:rsid w:val="0029156C"/>
    <w:rsid w:val="00291DAE"/>
    <w:rsid w:val="00292ADF"/>
    <w:rsid w:val="0029319D"/>
    <w:rsid w:val="0029559B"/>
    <w:rsid w:val="00295B64"/>
    <w:rsid w:val="00295CC9"/>
    <w:rsid w:val="0029715F"/>
    <w:rsid w:val="002A13AC"/>
    <w:rsid w:val="002A6C4A"/>
    <w:rsid w:val="002A7478"/>
    <w:rsid w:val="002B045C"/>
    <w:rsid w:val="002B0A1D"/>
    <w:rsid w:val="002B119D"/>
    <w:rsid w:val="002B19E1"/>
    <w:rsid w:val="002B22C1"/>
    <w:rsid w:val="002B32B5"/>
    <w:rsid w:val="002B54EE"/>
    <w:rsid w:val="002B63B8"/>
    <w:rsid w:val="002B6961"/>
    <w:rsid w:val="002C134C"/>
    <w:rsid w:val="002C21AA"/>
    <w:rsid w:val="002C3088"/>
    <w:rsid w:val="002C3728"/>
    <w:rsid w:val="002C38F5"/>
    <w:rsid w:val="002C4241"/>
    <w:rsid w:val="002C4976"/>
    <w:rsid w:val="002C5E92"/>
    <w:rsid w:val="002C65D3"/>
    <w:rsid w:val="002C691B"/>
    <w:rsid w:val="002C6CA3"/>
    <w:rsid w:val="002C7EB1"/>
    <w:rsid w:val="002D0A4E"/>
    <w:rsid w:val="002D0D4E"/>
    <w:rsid w:val="002D171A"/>
    <w:rsid w:val="002D184C"/>
    <w:rsid w:val="002D2644"/>
    <w:rsid w:val="002D2B90"/>
    <w:rsid w:val="002D2D69"/>
    <w:rsid w:val="002D2FFA"/>
    <w:rsid w:val="002D38FE"/>
    <w:rsid w:val="002D45B3"/>
    <w:rsid w:val="002D7546"/>
    <w:rsid w:val="002E1A32"/>
    <w:rsid w:val="002E20C1"/>
    <w:rsid w:val="002E21B3"/>
    <w:rsid w:val="002E2C99"/>
    <w:rsid w:val="002E38A8"/>
    <w:rsid w:val="002E5EC3"/>
    <w:rsid w:val="002F00FB"/>
    <w:rsid w:val="002F1386"/>
    <w:rsid w:val="002F1A25"/>
    <w:rsid w:val="002F201D"/>
    <w:rsid w:val="002F30E6"/>
    <w:rsid w:val="002F4756"/>
    <w:rsid w:val="002F4FD9"/>
    <w:rsid w:val="002F5310"/>
    <w:rsid w:val="002F709C"/>
    <w:rsid w:val="002F70E1"/>
    <w:rsid w:val="002F7164"/>
    <w:rsid w:val="002F78B1"/>
    <w:rsid w:val="003012A0"/>
    <w:rsid w:val="00301958"/>
    <w:rsid w:val="00301D83"/>
    <w:rsid w:val="00302D84"/>
    <w:rsid w:val="00305283"/>
    <w:rsid w:val="003058A9"/>
    <w:rsid w:val="00305D45"/>
    <w:rsid w:val="003064B8"/>
    <w:rsid w:val="0031055F"/>
    <w:rsid w:val="003118E9"/>
    <w:rsid w:val="00312123"/>
    <w:rsid w:val="0031292F"/>
    <w:rsid w:val="003131CE"/>
    <w:rsid w:val="00313B2C"/>
    <w:rsid w:val="003140D7"/>
    <w:rsid w:val="00316C1B"/>
    <w:rsid w:val="00317079"/>
    <w:rsid w:val="00317E91"/>
    <w:rsid w:val="0032205E"/>
    <w:rsid w:val="00322159"/>
    <w:rsid w:val="00323688"/>
    <w:rsid w:val="00323F3B"/>
    <w:rsid w:val="00323FAD"/>
    <w:rsid w:val="0032408B"/>
    <w:rsid w:val="0032499F"/>
    <w:rsid w:val="0032547B"/>
    <w:rsid w:val="003257DB"/>
    <w:rsid w:val="00325A3E"/>
    <w:rsid w:val="00325B52"/>
    <w:rsid w:val="0032670F"/>
    <w:rsid w:val="00326C53"/>
    <w:rsid w:val="00331420"/>
    <w:rsid w:val="003320A9"/>
    <w:rsid w:val="0033234D"/>
    <w:rsid w:val="00333FE9"/>
    <w:rsid w:val="0033786C"/>
    <w:rsid w:val="00341A0E"/>
    <w:rsid w:val="003432B5"/>
    <w:rsid w:val="00343394"/>
    <w:rsid w:val="00343FC6"/>
    <w:rsid w:val="00345937"/>
    <w:rsid w:val="00345C72"/>
    <w:rsid w:val="003469A9"/>
    <w:rsid w:val="00350418"/>
    <w:rsid w:val="00350EB8"/>
    <w:rsid w:val="00353B27"/>
    <w:rsid w:val="00355B69"/>
    <w:rsid w:val="00355D8A"/>
    <w:rsid w:val="003564F4"/>
    <w:rsid w:val="0035672E"/>
    <w:rsid w:val="00356ECD"/>
    <w:rsid w:val="003576B8"/>
    <w:rsid w:val="00360572"/>
    <w:rsid w:val="00360840"/>
    <w:rsid w:val="00360EE8"/>
    <w:rsid w:val="00361F13"/>
    <w:rsid w:val="00363CAB"/>
    <w:rsid w:val="003641A5"/>
    <w:rsid w:val="00365800"/>
    <w:rsid w:val="00365E8D"/>
    <w:rsid w:val="003675AD"/>
    <w:rsid w:val="0037007D"/>
    <w:rsid w:val="00370A61"/>
    <w:rsid w:val="00370C37"/>
    <w:rsid w:val="00370C5C"/>
    <w:rsid w:val="00370E6D"/>
    <w:rsid w:val="0037117E"/>
    <w:rsid w:val="00372019"/>
    <w:rsid w:val="00372864"/>
    <w:rsid w:val="00372AB3"/>
    <w:rsid w:val="003738B6"/>
    <w:rsid w:val="00373C7A"/>
    <w:rsid w:val="00374A63"/>
    <w:rsid w:val="0037634E"/>
    <w:rsid w:val="0037687A"/>
    <w:rsid w:val="0037705F"/>
    <w:rsid w:val="00380078"/>
    <w:rsid w:val="0038037E"/>
    <w:rsid w:val="00380C1F"/>
    <w:rsid w:val="003835E0"/>
    <w:rsid w:val="00384A47"/>
    <w:rsid w:val="00384B6E"/>
    <w:rsid w:val="00385CAE"/>
    <w:rsid w:val="00387252"/>
    <w:rsid w:val="00387690"/>
    <w:rsid w:val="003900EC"/>
    <w:rsid w:val="00390D1B"/>
    <w:rsid w:val="00391546"/>
    <w:rsid w:val="00391654"/>
    <w:rsid w:val="003921B3"/>
    <w:rsid w:val="00392330"/>
    <w:rsid w:val="00392741"/>
    <w:rsid w:val="003952AA"/>
    <w:rsid w:val="0039708C"/>
    <w:rsid w:val="003A2686"/>
    <w:rsid w:val="003A2F73"/>
    <w:rsid w:val="003A522C"/>
    <w:rsid w:val="003A6180"/>
    <w:rsid w:val="003A72F6"/>
    <w:rsid w:val="003B0A5A"/>
    <w:rsid w:val="003B144B"/>
    <w:rsid w:val="003B1B6E"/>
    <w:rsid w:val="003B1E53"/>
    <w:rsid w:val="003B3593"/>
    <w:rsid w:val="003B3A44"/>
    <w:rsid w:val="003B4E5E"/>
    <w:rsid w:val="003B60D1"/>
    <w:rsid w:val="003B6561"/>
    <w:rsid w:val="003B6C48"/>
    <w:rsid w:val="003B7F69"/>
    <w:rsid w:val="003C0607"/>
    <w:rsid w:val="003C09F3"/>
    <w:rsid w:val="003C478F"/>
    <w:rsid w:val="003C4AC7"/>
    <w:rsid w:val="003C4C68"/>
    <w:rsid w:val="003C4D4B"/>
    <w:rsid w:val="003C516A"/>
    <w:rsid w:val="003C541C"/>
    <w:rsid w:val="003C6C67"/>
    <w:rsid w:val="003C6F3F"/>
    <w:rsid w:val="003D083A"/>
    <w:rsid w:val="003D0E83"/>
    <w:rsid w:val="003D23DE"/>
    <w:rsid w:val="003D26C2"/>
    <w:rsid w:val="003D3444"/>
    <w:rsid w:val="003D499B"/>
    <w:rsid w:val="003D5B4B"/>
    <w:rsid w:val="003D5EE9"/>
    <w:rsid w:val="003D5EF9"/>
    <w:rsid w:val="003D77EB"/>
    <w:rsid w:val="003E0677"/>
    <w:rsid w:val="003E0883"/>
    <w:rsid w:val="003E128F"/>
    <w:rsid w:val="003E1A93"/>
    <w:rsid w:val="003E1D7E"/>
    <w:rsid w:val="003E1E16"/>
    <w:rsid w:val="003E2214"/>
    <w:rsid w:val="003E3048"/>
    <w:rsid w:val="003E363E"/>
    <w:rsid w:val="003E3A4A"/>
    <w:rsid w:val="003E437E"/>
    <w:rsid w:val="003E51D6"/>
    <w:rsid w:val="003E63EA"/>
    <w:rsid w:val="003E69EE"/>
    <w:rsid w:val="003E6C2B"/>
    <w:rsid w:val="003E72E4"/>
    <w:rsid w:val="003E76D9"/>
    <w:rsid w:val="003E7805"/>
    <w:rsid w:val="003F040B"/>
    <w:rsid w:val="003F0DDA"/>
    <w:rsid w:val="003F12D6"/>
    <w:rsid w:val="003F49DC"/>
    <w:rsid w:val="003F54E4"/>
    <w:rsid w:val="003F6190"/>
    <w:rsid w:val="003F6D8A"/>
    <w:rsid w:val="003F6E51"/>
    <w:rsid w:val="004025BC"/>
    <w:rsid w:val="004037E6"/>
    <w:rsid w:val="004040A8"/>
    <w:rsid w:val="0040429F"/>
    <w:rsid w:val="00405491"/>
    <w:rsid w:val="00405686"/>
    <w:rsid w:val="00405EC1"/>
    <w:rsid w:val="00406E4A"/>
    <w:rsid w:val="00410349"/>
    <w:rsid w:val="00410908"/>
    <w:rsid w:val="00410BFC"/>
    <w:rsid w:val="00411E6B"/>
    <w:rsid w:val="00411E8C"/>
    <w:rsid w:val="004168D5"/>
    <w:rsid w:val="00417797"/>
    <w:rsid w:val="0042170A"/>
    <w:rsid w:val="0042229D"/>
    <w:rsid w:val="0042312B"/>
    <w:rsid w:val="00424AC0"/>
    <w:rsid w:val="00425091"/>
    <w:rsid w:val="0042511A"/>
    <w:rsid w:val="00425AD8"/>
    <w:rsid w:val="00425BC4"/>
    <w:rsid w:val="0042675A"/>
    <w:rsid w:val="00426CA1"/>
    <w:rsid w:val="00427BF9"/>
    <w:rsid w:val="004315FB"/>
    <w:rsid w:val="00431AB0"/>
    <w:rsid w:val="0043290A"/>
    <w:rsid w:val="00432AF1"/>
    <w:rsid w:val="00432E57"/>
    <w:rsid w:val="004334BA"/>
    <w:rsid w:val="00433536"/>
    <w:rsid w:val="00435032"/>
    <w:rsid w:val="00435098"/>
    <w:rsid w:val="004354F8"/>
    <w:rsid w:val="0043744D"/>
    <w:rsid w:val="004374F2"/>
    <w:rsid w:val="004403AC"/>
    <w:rsid w:val="00440534"/>
    <w:rsid w:val="00440BB7"/>
    <w:rsid w:val="00441AD2"/>
    <w:rsid w:val="00441F49"/>
    <w:rsid w:val="00442117"/>
    <w:rsid w:val="00442F49"/>
    <w:rsid w:val="00443D95"/>
    <w:rsid w:val="00444424"/>
    <w:rsid w:val="00444962"/>
    <w:rsid w:val="004451A1"/>
    <w:rsid w:val="004460DB"/>
    <w:rsid w:val="00446BAA"/>
    <w:rsid w:val="0044730E"/>
    <w:rsid w:val="0044742D"/>
    <w:rsid w:val="0045078B"/>
    <w:rsid w:val="00451C04"/>
    <w:rsid w:val="00452FCD"/>
    <w:rsid w:val="004530DA"/>
    <w:rsid w:val="00455208"/>
    <w:rsid w:val="00456250"/>
    <w:rsid w:val="004565E9"/>
    <w:rsid w:val="0045770E"/>
    <w:rsid w:val="0046029E"/>
    <w:rsid w:val="00460507"/>
    <w:rsid w:val="004631DE"/>
    <w:rsid w:val="0046503C"/>
    <w:rsid w:val="00465AE1"/>
    <w:rsid w:val="004667EC"/>
    <w:rsid w:val="00467565"/>
    <w:rsid w:val="0047005D"/>
    <w:rsid w:val="004709C2"/>
    <w:rsid w:val="00471248"/>
    <w:rsid w:val="00471A78"/>
    <w:rsid w:val="004729E1"/>
    <w:rsid w:val="00473A37"/>
    <w:rsid w:val="004741A9"/>
    <w:rsid w:val="004753C8"/>
    <w:rsid w:val="004758BC"/>
    <w:rsid w:val="00477599"/>
    <w:rsid w:val="004779F0"/>
    <w:rsid w:val="00484DA2"/>
    <w:rsid w:val="00485438"/>
    <w:rsid w:val="00485A13"/>
    <w:rsid w:val="00485ECD"/>
    <w:rsid w:val="00492583"/>
    <w:rsid w:val="004972C4"/>
    <w:rsid w:val="00497307"/>
    <w:rsid w:val="00497695"/>
    <w:rsid w:val="00497B17"/>
    <w:rsid w:val="004A000A"/>
    <w:rsid w:val="004A0355"/>
    <w:rsid w:val="004A08AB"/>
    <w:rsid w:val="004A0A25"/>
    <w:rsid w:val="004A14F7"/>
    <w:rsid w:val="004A29D6"/>
    <w:rsid w:val="004A3515"/>
    <w:rsid w:val="004A4894"/>
    <w:rsid w:val="004A59FE"/>
    <w:rsid w:val="004A6B86"/>
    <w:rsid w:val="004B33C3"/>
    <w:rsid w:val="004B35AE"/>
    <w:rsid w:val="004B3A28"/>
    <w:rsid w:val="004B50AC"/>
    <w:rsid w:val="004B6B9A"/>
    <w:rsid w:val="004B788C"/>
    <w:rsid w:val="004B7B67"/>
    <w:rsid w:val="004C092D"/>
    <w:rsid w:val="004C0C70"/>
    <w:rsid w:val="004C140B"/>
    <w:rsid w:val="004C2163"/>
    <w:rsid w:val="004C27D7"/>
    <w:rsid w:val="004C300C"/>
    <w:rsid w:val="004C3688"/>
    <w:rsid w:val="004C6AFA"/>
    <w:rsid w:val="004D0FC6"/>
    <w:rsid w:val="004D1487"/>
    <w:rsid w:val="004D20BC"/>
    <w:rsid w:val="004D3126"/>
    <w:rsid w:val="004D322C"/>
    <w:rsid w:val="004D32C6"/>
    <w:rsid w:val="004D3739"/>
    <w:rsid w:val="004D42F5"/>
    <w:rsid w:val="004D67F9"/>
    <w:rsid w:val="004D7021"/>
    <w:rsid w:val="004E409D"/>
    <w:rsid w:val="004E44D3"/>
    <w:rsid w:val="004E4AF7"/>
    <w:rsid w:val="004E4BE4"/>
    <w:rsid w:val="004E575B"/>
    <w:rsid w:val="004E5E1D"/>
    <w:rsid w:val="004E6498"/>
    <w:rsid w:val="004E6E04"/>
    <w:rsid w:val="004F077A"/>
    <w:rsid w:val="004F1668"/>
    <w:rsid w:val="004F1B51"/>
    <w:rsid w:val="004F34FE"/>
    <w:rsid w:val="004F5074"/>
    <w:rsid w:val="004F529B"/>
    <w:rsid w:val="004F56E8"/>
    <w:rsid w:val="004F5BD3"/>
    <w:rsid w:val="004F5C9B"/>
    <w:rsid w:val="004F738A"/>
    <w:rsid w:val="005003B3"/>
    <w:rsid w:val="00501368"/>
    <w:rsid w:val="00502679"/>
    <w:rsid w:val="00502C0A"/>
    <w:rsid w:val="00503F73"/>
    <w:rsid w:val="005042DE"/>
    <w:rsid w:val="005045E9"/>
    <w:rsid w:val="00504771"/>
    <w:rsid w:val="005047FB"/>
    <w:rsid w:val="00504E2D"/>
    <w:rsid w:val="005050BA"/>
    <w:rsid w:val="00505C9D"/>
    <w:rsid w:val="00506096"/>
    <w:rsid w:val="00507D9E"/>
    <w:rsid w:val="00511408"/>
    <w:rsid w:val="00511A85"/>
    <w:rsid w:val="00511B91"/>
    <w:rsid w:val="00512B07"/>
    <w:rsid w:val="0051340F"/>
    <w:rsid w:val="005144F4"/>
    <w:rsid w:val="00514620"/>
    <w:rsid w:val="0051514A"/>
    <w:rsid w:val="00515C62"/>
    <w:rsid w:val="00515CF2"/>
    <w:rsid w:val="00515DC7"/>
    <w:rsid w:val="00516F88"/>
    <w:rsid w:val="0052016A"/>
    <w:rsid w:val="00520ECC"/>
    <w:rsid w:val="005213E9"/>
    <w:rsid w:val="005215CD"/>
    <w:rsid w:val="00521716"/>
    <w:rsid w:val="00521786"/>
    <w:rsid w:val="005218B9"/>
    <w:rsid w:val="00521AC0"/>
    <w:rsid w:val="00522754"/>
    <w:rsid w:val="005228D4"/>
    <w:rsid w:val="0052458A"/>
    <w:rsid w:val="00524DDA"/>
    <w:rsid w:val="00525037"/>
    <w:rsid w:val="00525945"/>
    <w:rsid w:val="00531205"/>
    <w:rsid w:val="00531D86"/>
    <w:rsid w:val="00532B75"/>
    <w:rsid w:val="00533C00"/>
    <w:rsid w:val="00535905"/>
    <w:rsid w:val="00535ABA"/>
    <w:rsid w:val="00536657"/>
    <w:rsid w:val="005366A4"/>
    <w:rsid w:val="00536FAA"/>
    <w:rsid w:val="005405D0"/>
    <w:rsid w:val="00540DEF"/>
    <w:rsid w:val="00542FEC"/>
    <w:rsid w:val="0054364B"/>
    <w:rsid w:val="00544415"/>
    <w:rsid w:val="005452D7"/>
    <w:rsid w:val="005456D9"/>
    <w:rsid w:val="00546F85"/>
    <w:rsid w:val="00547027"/>
    <w:rsid w:val="00547C1E"/>
    <w:rsid w:val="00547C7D"/>
    <w:rsid w:val="00547CB4"/>
    <w:rsid w:val="00550EF9"/>
    <w:rsid w:val="00552B3D"/>
    <w:rsid w:val="005530A6"/>
    <w:rsid w:val="00553319"/>
    <w:rsid w:val="005537AD"/>
    <w:rsid w:val="00554CEB"/>
    <w:rsid w:val="00554DB9"/>
    <w:rsid w:val="00555066"/>
    <w:rsid w:val="00556876"/>
    <w:rsid w:val="0055708E"/>
    <w:rsid w:val="0055789A"/>
    <w:rsid w:val="00560F1E"/>
    <w:rsid w:val="005615C4"/>
    <w:rsid w:val="00561DA4"/>
    <w:rsid w:val="0056530A"/>
    <w:rsid w:val="005673B6"/>
    <w:rsid w:val="0057062D"/>
    <w:rsid w:val="00570E6C"/>
    <w:rsid w:val="00574C6A"/>
    <w:rsid w:val="00574CF2"/>
    <w:rsid w:val="00575171"/>
    <w:rsid w:val="005755FA"/>
    <w:rsid w:val="005755FC"/>
    <w:rsid w:val="005801BE"/>
    <w:rsid w:val="00580B2E"/>
    <w:rsid w:val="00580C17"/>
    <w:rsid w:val="0058180A"/>
    <w:rsid w:val="005820D4"/>
    <w:rsid w:val="0058300A"/>
    <w:rsid w:val="005831B3"/>
    <w:rsid w:val="005833F6"/>
    <w:rsid w:val="005837CF"/>
    <w:rsid w:val="005853A0"/>
    <w:rsid w:val="005869C4"/>
    <w:rsid w:val="005905C7"/>
    <w:rsid w:val="005909E8"/>
    <w:rsid w:val="005915A3"/>
    <w:rsid w:val="00591828"/>
    <w:rsid w:val="005931BD"/>
    <w:rsid w:val="00594EE4"/>
    <w:rsid w:val="00595D3D"/>
    <w:rsid w:val="00596272"/>
    <w:rsid w:val="005A00CB"/>
    <w:rsid w:val="005A0759"/>
    <w:rsid w:val="005A0A9E"/>
    <w:rsid w:val="005A2720"/>
    <w:rsid w:val="005A2AC4"/>
    <w:rsid w:val="005A3E08"/>
    <w:rsid w:val="005A42AA"/>
    <w:rsid w:val="005A4756"/>
    <w:rsid w:val="005A6709"/>
    <w:rsid w:val="005A734B"/>
    <w:rsid w:val="005B078C"/>
    <w:rsid w:val="005B0C36"/>
    <w:rsid w:val="005B1E2F"/>
    <w:rsid w:val="005B210F"/>
    <w:rsid w:val="005B22DE"/>
    <w:rsid w:val="005B28AC"/>
    <w:rsid w:val="005B2EA2"/>
    <w:rsid w:val="005B6333"/>
    <w:rsid w:val="005B64B5"/>
    <w:rsid w:val="005B6777"/>
    <w:rsid w:val="005B67B3"/>
    <w:rsid w:val="005B7C10"/>
    <w:rsid w:val="005B7EF4"/>
    <w:rsid w:val="005C14E9"/>
    <w:rsid w:val="005C1DF8"/>
    <w:rsid w:val="005C1F67"/>
    <w:rsid w:val="005C1F8F"/>
    <w:rsid w:val="005C3AD7"/>
    <w:rsid w:val="005C515D"/>
    <w:rsid w:val="005C51BF"/>
    <w:rsid w:val="005C5E4E"/>
    <w:rsid w:val="005D01A4"/>
    <w:rsid w:val="005D0520"/>
    <w:rsid w:val="005D0D12"/>
    <w:rsid w:val="005D10AD"/>
    <w:rsid w:val="005D1581"/>
    <w:rsid w:val="005D28DF"/>
    <w:rsid w:val="005D2C42"/>
    <w:rsid w:val="005D370A"/>
    <w:rsid w:val="005D3ED8"/>
    <w:rsid w:val="005D446B"/>
    <w:rsid w:val="005D5447"/>
    <w:rsid w:val="005D5610"/>
    <w:rsid w:val="005D5930"/>
    <w:rsid w:val="005D59ED"/>
    <w:rsid w:val="005D5CAF"/>
    <w:rsid w:val="005D61A7"/>
    <w:rsid w:val="005E0152"/>
    <w:rsid w:val="005E1F2A"/>
    <w:rsid w:val="005E231F"/>
    <w:rsid w:val="005E2EED"/>
    <w:rsid w:val="005E51CC"/>
    <w:rsid w:val="005E7005"/>
    <w:rsid w:val="005E7D27"/>
    <w:rsid w:val="005F1518"/>
    <w:rsid w:val="005F164D"/>
    <w:rsid w:val="005F1C3D"/>
    <w:rsid w:val="005F1D81"/>
    <w:rsid w:val="005F1E4B"/>
    <w:rsid w:val="005F2066"/>
    <w:rsid w:val="005F22A7"/>
    <w:rsid w:val="005F26B8"/>
    <w:rsid w:val="005F32AF"/>
    <w:rsid w:val="005F41BD"/>
    <w:rsid w:val="005F5058"/>
    <w:rsid w:val="005F5087"/>
    <w:rsid w:val="005F5ADB"/>
    <w:rsid w:val="005F6DFA"/>
    <w:rsid w:val="005F6FEB"/>
    <w:rsid w:val="005F7261"/>
    <w:rsid w:val="005F7C61"/>
    <w:rsid w:val="00601508"/>
    <w:rsid w:val="006019B1"/>
    <w:rsid w:val="00601C79"/>
    <w:rsid w:val="00601EB3"/>
    <w:rsid w:val="00602CD5"/>
    <w:rsid w:val="006049F8"/>
    <w:rsid w:val="00605E98"/>
    <w:rsid w:val="0060778B"/>
    <w:rsid w:val="0060789A"/>
    <w:rsid w:val="00610AC6"/>
    <w:rsid w:val="00610D45"/>
    <w:rsid w:val="00611619"/>
    <w:rsid w:val="006133B8"/>
    <w:rsid w:val="00614BE3"/>
    <w:rsid w:val="0061626F"/>
    <w:rsid w:val="00620261"/>
    <w:rsid w:val="00620D05"/>
    <w:rsid w:val="0062200B"/>
    <w:rsid w:val="00625A43"/>
    <w:rsid w:val="00626641"/>
    <w:rsid w:val="00626873"/>
    <w:rsid w:val="00626B25"/>
    <w:rsid w:val="006301B6"/>
    <w:rsid w:val="00630398"/>
    <w:rsid w:val="00630E65"/>
    <w:rsid w:val="006351D8"/>
    <w:rsid w:val="0063578E"/>
    <w:rsid w:val="00636DCD"/>
    <w:rsid w:val="0063769D"/>
    <w:rsid w:val="00640112"/>
    <w:rsid w:val="006402CE"/>
    <w:rsid w:val="00642458"/>
    <w:rsid w:val="00642466"/>
    <w:rsid w:val="006429FF"/>
    <w:rsid w:val="006443B1"/>
    <w:rsid w:val="006447D1"/>
    <w:rsid w:val="00645422"/>
    <w:rsid w:val="00645509"/>
    <w:rsid w:val="006459DA"/>
    <w:rsid w:val="006459F3"/>
    <w:rsid w:val="00650731"/>
    <w:rsid w:val="006519A2"/>
    <w:rsid w:val="006521FB"/>
    <w:rsid w:val="0065223E"/>
    <w:rsid w:val="00652BA7"/>
    <w:rsid w:val="00652E00"/>
    <w:rsid w:val="00654895"/>
    <w:rsid w:val="00654E6A"/>
    <w:rsid w:val="00656843"/>
    <w:rsid w:val="00656E73"/>
    <w:rsid w:val="0065722E"/>
    <w:rsid w:val="00657FF4"/>
    <w:rsid w:val="00660A9F"/>
    <w:rsid w:val="00660AF0"/>
    <w:rsid w:val="006610DA"/>
    <w:rsid w:val="00662D45"/>
    <w:rsid w:val="00664C04"/>
    <w:rsid w:val="00665200"/>
    <w:rsid w:val="00665AA7"/>
    <w:rsid w:val="006666F9"/>
    <w:rsid w:val="006667C3"/>
    <w:rsid w:val="006671D5"/>
    <w:rsid w:val="0067006F"/>
    <w:rsid w:val="00670AEC"/>
    <w:rsid w:val="006721AD"/>
    <w:rsid w:val="00674D1C"/>
    <w:rsid w:val="00676A5E"/>
    <w:rsid w:val="006772F0"/>
    <w:rsid w:val="00677FD9"/>
    <w:rsid w:val="006808A7"/>
    <w:rsid w:val="0068203D"/>
    <w:rsid w:val="00682605"/>
    <w:rsid w:val="006826C9"/>
    <w:rsid w:val="00682AC6"/>
    <w:rsid w:val="00683B83"/>
    <w:rsid w:val="006841F4"/>
    <w:rsid w:val="006866E1"/>
    <w:rsid w:val="00686B0E"/>
    <w:rsid w:val="00691A65"/>
    <w:rsid w:val="006922CD"/>
    <w:rsid w:val="00694C65"/>
    <w:rsid w:val="006960D6"/>
    <w:rsid w:val="006971EB"/>
    <w:rsid w:val="0069766B"/>
    <w:rsid w:val="00697748"/>
    <w:rsid w:val="006A0FDB"/>
    <w:rsid w:val="006A28A2"/>
    <w:rsid w:val="006A2BE8"/>
    <w:rsid w:val="006A3B33"/>
    <w:rsid w:val="006A4032"/>
    <w:rsid w:val="006A6547"/>
    <w:rsid w:val="006A7C6F"/>
    <w:rsid w:val="006B1860"/>
    <w:rsid w:val="006B2BCE"/>
    <w:rsid w:val="006B2E22"/>
    <w:rsid w:val="006B34A4"/>
    <w:rsid w:val="006B4974"/>
    <w:rsid w:val="006B6492"/>
    <w:rsid w:val="006B65C2"/>
    <w:rsid w:val="006B7470"/>
    <w:rsid w:val="006B77D9"/>
    <w:rsid w:val="006C0EF5"/>
    <w:rsid w:val="006C1BF3"/>
    <w:rsid w:val="006C2927"/>
    <w:rsid w:val="006C2F8B"/>
    <w:rsid w:val="006C39E7"/>
    <w:rsid w:val="006C49A6"/>
    <w:rsid w:val="006C4B9C"/>
    <w:rsid w:val="006C4BCE"/>
    <w:rsid w:val="006C5E2C"/>
    <w:rsid w:val="006C5F31"/>
    <w:rsid w:val="006C6026"/>
    <w:rsid w:val="006C658F"/>
    <w:rsid w:val="006D020F"/>
    <w:rsid w:val="006D148F"/>
    <w:rsid w:val="006D1DF5"/>
    <w:rsid w:val="006D2F67"/>
    <w:rsid w:val="006D3061"/>
    <w:rsid w:val="006D3474"/>
    <w:rsid w:val="006D3962"/>
    <w:rsid w:val="006D4A6C"/>
    <w:rsid w:val="006D4C40"/>
    <w:rsid w:val="006D4ECF"/>
    <w:rsid w:val="006D4FE2"/>
    <w:rsid w:val="006D59EE"/>
    <w:rsid w:val="006D6AD0"/>
    <w:rsid w:val="006D6E9E"/>
    <w:rsid w:val="006E0DAE"/>
    <w:rsid w:val="006E2378"/>
    <w:rsid w:val="006E28D7"/>
    <w:rsid w:val="006E3906"/>
    <w:rsid w:val="006E4E37"/>
    <w:rsid w:val="006E550E"/>
    <w:rsid w:val="006E5829"/>
    <w:rsid w:val="006E625B"/>
    <w:rsid w:val="006E66C5"/>
    <w:rsid w:val="006F1272"/>
    <w:rsid w:val="006F12C5"/>
    <w:rsid w:val="006F1DFD"/>
    <w:rsid w:val="006F2841"/>
    <w:rsid w:val="006F528F"/>
    <w:rsid w:val="006F5A42"/>
    <w:rsid w:val="006F5E5E"/>
    <w:rsid w:val="006F6BB5"/>
    <w:rsid w:val="007009D1"/>
    <w:rsid w:val="0070203D"/>
    <w:rsid w:val="00702688"/>
    <w:rsid w:val="00702E13"/>
    <w:rsid w:val="00702FF3"/>
    <w:rsid w:val="00703ED1"/>
    <w:rsid w:val="00706755"/>
    <w:rsid w:val="00706C16"/>
    <w:rsid w:val="00707DA0"/>
    <w:rsid w:val="00707F3C"/>
    <w:rsid w:val="007114F9"/>
    <w:rsid w:val="00711B05"/>
    <w:rsid w:val="00711C77"/>
    <w:rsid w:val="00711CEA"/>
    <w:rsid w:val="007128CD"/>
    <w:rsid w:val="007129AF"/>
    <w:rsid w:val="007145F4"/>
    <w:rsid w:val="00714BA4"/>
    <w:rsid w:val="00715282"/>
    <w:rsid w:val="007154A7"/>
    <w:rsid w:val="00715BDD"/>
    <w:rsid w:val="00716307"/>
    <w:rsid w:val="007170A7"/>
    <w:rsid w:val="007173A8"/>
    <w:rsid w:val="00720734"/>
    <w:rsid w:val="00721721"/>
    <w:rsid w:val="00722197"/>
    <w:rsid w:val="0072263E"/>
    <w:rsid w:val="007227E8"/>
    <w:rsid w:val="00724DDA"/>
    <w:rsid w:val="00724F82"/>
    <w:rsid w:val="00725372"/>
    <w:rsid w:val="00725496"/>
    <w:rsid w:val="007256B1"/>
    <w:rsid w:val="00725B82"/>
    <w:rsid w:val="0073282F"/>
    <w:rsid w:val="007336F3"/>
    <w:rsid w:val="00733D71"/>
    <w:rsid w:val="007345B8"/>
    <w:rsid w:val="00734860"/>
    <w:rsid w:val="0073528D"/>
    <w:rsid w:val="00736262"/>
    <w:rsid w:val="00740943"/>
    <w:rsid w:val="00741509"/>
    <w:rsid w:val="007418DF"/>
    <w:rsid w:val="00741A6F"/>
    <w:rsid w:val="00741B1F"/>
    <w:rsid w:val="00742DE9"/>
    <w:rsid w:val="00742EFD"/>
    <w:rsid w:val="00743A66"/>
    <w:rsid w:val="007446E9"/>
    <w:rsid w:val="007463E9"/>
    <w:rsid w:val="007463FF"/>
    <w:rsid w:val="00750898"/>
    <w:rsid w:val="007555A1"/>
    <w:rsid w:val="00756E4B"/>
    <w:rsid w:val="00757272"/>
    <w:rsid w:val="00760DC9"/>
    <w:rsid w:val="00760FB5"/>
    <w:rsid w:val="00762063"/>
    <w:rsid w:val="00762B68"/>
    <w:rsid w:val="007639E9"/>
    <w:rsid w:val="00763ABE"/>
    <w:rsid w:val="007648BF"/>
    <w:rsid w:val="007665E2"/>
    <w:rsid w:val="00766B7D"/>
    <w:rsid w:val="00767A47"/>
    <w:rsid w:val="00767B37"/>
    <w:rsid w:val="00770490"/>
    <w:rsid w:val="00771DB1"/>
    <w:rsid w:val="0077219C"/>
    <w:rsid w:val="00772F70"/>
    <w:rsid w:val="00773DC1"/>
    <w:rsid w:val="00774D50"/>
    <w:rsid w:val="00775373"/>
    <w:rsid w:val="00775D2D"/>
    <w:rsid w:val="0077692B"/>
    <w:rsid w:val="007775D9"/>
    <w:rsid w:val="007778D6"/>
    <w:rsid w:val="007802BD"/>
    <w:rsid w:val="007805D0"/>
    <w:rsid w:val="00784530"/>
    <w:rsid w:val="007847A4"/>
    <w:rsid w:val="007850F7"/>
    <w:rsid w:val="00790C83"/>
    <w:rsid w:val="00790DCA"/>
    <w:rsid w:val="00791029"/>
    <w:rsid w:val="007931D4"/>
    <w:rsid w:val="00793478"/>
    <w:rsid w:val="007940F8"/>
    <w:rsid w:val="00794846"/>
    <w:rsid w:val="007948CC"/>
    <w:rsid w:val="00794C55"/>
    <w:rsid w:val="00794CEA"/>
    <w:rsid w:val="00795643"/>
    <w:rsid w:val="007973DB"/>
    <w:rsid w:val="007A0505"/>
    <w:rsid w:val="007A2258"/>
    <w:rsid w:val="007A304D"/>
    <w:rsid w:val="007A3625"/>
    <w:rsid w:val="007A41B5"/>
    <w:rsid w:val="007A4DF3"/>
    <w:rsid w:val="007A61BC"/>
    <w:rsid w:val="007A63B4"/>
    <w:rsid w:val="007A63CE"/>
    <w:rsid w:val="007A6644"/>
    <w:rsid w:val="007A69C3"/>
    <w:rsid w:val="007A6BC6"/>
    <w:rsid w:val="007A7B86"/>
    <w:rsid w:val="007B04B2"/>
    <w:rsid w:val="007B3451"/>
    <w:rsid w:val="007B3B76"/>
    <w:rsid w:val="007B4AAF"/>
    <w:rsid w:val="007B5EF4"/>
    <w:rsid w:val="007B7460"/>
    <w:rsid w:val="007C06E8"/>
    <w:rsid w:val="007C155B"/>
    <w:rsid w:val="007C2453"/>
    <w:rsid w:val="007C46DE"/>
    <w:rsid w:val="007C5250"/>
    <w:rsid w:val="007C52EA"/>
    <w:rsid w:val="007C53DC"/>
    <w:rsid w:val="007C5789"/>
    <w:rsid w:val="007C649D"/>
    <w:rsid w:val="007C6BA5"/>
    <w:rsid w:val="007C6FA9"/>
    <w:rsid w:val="007D0039"/>
    <w:rsid w:val="007D052E"/>
    <w:rsid w:val="007D142A"/>
    <w:rsid w:val="007D1606"/>
    <w:rsid w:val="007D2FDF"/>
    <w:rsid w:val="007D39AA"/>
    <w:rsid w:val="007D43E2"/>
    <w:rsid w:val="007D5A2F"/>
    <w:rsid w:val="007D5E39"/>
    <w:rsid w:val="007D6E1F"/>
    <w:rsid w:val="007E03B0"/>
    <w:rsid w:val="007E0654"/>
    <w:rsid w:val="007E0954"/>
    <w:rsid w:val="007E0A74"/>
    <w:rsid w:val="007E0E21"/>
    <w:rsid w:val="007E1402"/>
    <w:rsid w:val="007E1E0C"/>
    <w:rsid w:val="007E3C2F"/>
    <w:rsid w:val="007E6987"/>
    <w:rsid w:val="007E74F8"/>
    <w:rsid w:val="007F14AF"/>
    <w:rsid w:val="007F20AE"/>
    <w:rsid w:val="007F28C8"/>
    <w:rsid w:val="007F4487"/>
    <w:rsid w:val="007F572E"/>
    <w:rsid w:val="007F5EA3"/>
    <w:rsid w:val="007F5F15"/>
    <w:rsid w:val="007F60C2"/>
    <w:rsid w:val="007F732F"/>
    <w:rsid w:val="007F74C7"/>
    <w:rsid w:val="007F7FDC"/>
    <w:rsid w:val="00801AA2"/>
    <w:rsid w:val="008027A0"/>
    <w:rsid w:val="00802AFA"/>
    <w:rsid w:val="0080450F"/>
    <w:rsid w:val="00805A35"/>
    <w:rsid w:val="00806249"/>
    <w:rsid w:val="00806623"/>
    <w:rsid w:val="00807138"/>
    <w:rsid w:val="00807BE8"/>
    <w:rsid w:val="0081078F"/>
    <w:rsid w:val="00810E46"/>
    <w:rsid w:val="00811054"/>
    <w:rsid w:val="00812C25"/>
    <w:rsid w:val="00813B61"/>
    <w:rsid w:val="00813C8A"/>
    <w:rsid w:val="0081451B"/>
    <w:rsid w:val="00814ACD"/>
    <w:rsid w:val="008158D3"/>
    <w:rsid w:val="00816C9D"/>
    <w:rsid w:val="00817000"/>
    <w:rsid w:val="00817E6F"/>
    <w:rsid w:val="00817ECB"/>
    <w:rsid w:val="00821D12"/>
    <w:rsid w:val="00822AD9"/>
    <w:rsid w:val="00823B2B"/>
    <w:rsid w:val="00823C90"/>
    <w:rsid w:val="00824844"/>
    <w:rsid w:val="00825849"/>
    <w:rsid w:val="00825B41"/>
    <w:rsid w:val="008260A8"/>
    <w:rsid w:val="008269FB"/>
    <w:rsid w:val="008305AC"/>
    <w:rsid w:val="00830DA6"/>
    <w:rsid w:val="0083179E"/>
    <w:rsid w:val="008325F0"/>
    <w:rsid w:val="008339EA"/>
    <w:rsid w:val="00833B2D"/>
    <w:rsid w:val="00833EFB"/>
    <w:rsid w:val="00834746"/>
    <w:rsid w:val="00835B27"/>
    <w:rsid w:val="00837708"/>
    <w:rsid w:val="00841ED4"/>
    <w:rsid w:val="00842EE6"/>
    <w:rsid w:val="00843EAC"/>
    <w:rsid w:val="00844DBC"/>
    <w:rsid w:val="00845AAB"/>
    <w:rsid w:val="00846029"/>
    <w:rsid w:val="00846118"/>
    <w:rsid w:val="00846FBE"/>
    <w:rsid w:val="008507AC"/>
    <w:rsid w:val="008510E8"/>
    <w:rsid w:val="00852386"/>
    <w:rsid w:val="00852CB7"/>
    <w:rsid w:val="00852F05"/>
    <w:rsid w:val="008546BE"/>
    <w:rsid w:val="008577F9"/>
    <w:rsid w:val="0086009D"/>
    <w:rsid w:val="00860118"/>
    <w:rsid w:val="00860D65"/>
    <w:rsid w:val="0086117C"/>
    <w:rsid w:val="0086120A"/>
    <w:rsid w:val="008612EE"/>
    <w:rsid w:val="008614F5"/>
    <w:rsid w:val="00861B8E"/>
    <w:rsid w:val="00863A38"/>
    <w:rsid w:val="00870D17"/>
    <w:rsid w:val="00872C42"/>
    <w:rsid w:val="0087321C"/>
    <w:rsid w:val="0087333E"/>
    <w:rsid w:val="00873DEC"/>
    <w:rsid w:val="008740BC"/>
    <w:rsid w:val="008756F2"/>
    <w:rsid w:val="00875A5B"/>
    <w:rsid w:val="0087695A"/>
    <w:rsid w:val="00876B33"/>
    <w:rsid w:val="00876FD4"/>
    <w:rsid w:val="0087772E"/>
    <w:rsid w:val="00880E98"/>
    <w:rsid w:val="00881197"/>
    <w:rsid w:val="008832B3"/>
    <w:rsid w:val="0088414E"/>
    <w:rsid w:val="00884607"/>
    <w:rsid w:val="00884EAA"/>
    <w:rsid w:val="0088777E"/>
    <w:rsid w:val="00887947"/>
    <w:rsid w:val="0089128D"/>
    <w:rsid w:val="00891C50"/>
    <w:rsid w:val="00892A25"/>
    <w:rsid w:val="00893C5F"/>
    <w:rsid w:val="00893EBC"/>
    <w:rsid w:val="00894171"/>
    <w:rsid w:val="0089509C"/>
    <w:rsid w:val="0089598E"/>
    <w:rsid w:val="00897E5A"/>
    <w:rsid w:val="00897E8D"/>
    <w:rsid w:val="008A0FEA"/>
    <w:rsid w:val="008A40A3"/>
    <w:rsid w:val="008A4BE7"/>
    <w:rsid w:val="008A4DFF"/>
    <w:rsid w:val="008A4EB1"/>
    <w:rsid w:val="008A4F7C"/>
    <w:rsid w:val="008A533C"/>
    <w:rsid w:val="008A6512"/>
    <w:rsid w:val="008A6914"/>
    <w:rsid w:val="008B052E"/>
    <w:rsid w:val="008B38A9"/>
    <w:rsid w:val="008B4729"/>
    <w:rsid w:val="008B5229"/>
    <w:rsid w:val="008B6690"/>
    <w:rsid w:val="008B6896"/>
    <w:rsid w:val="008B6C3F"/>
    <w:rsid w:val="008C03D0"/>
    <w:rsid w:val="008C29F9"/>
    <w:rsid w:val="008C6735"/>
    <w:rsid w:val="008C6B62"/>
    <w:rsid w:val="008D015C"/>
    <w:rsid w:val="008D0572"/>
    <w:rsid w:val="008D0860"/>
    <w:rsid w:val="008D18F2"/>
    <w:rsid w:val="008D3D5D"/>
    <w:rsid w:val="008D4E02"/>
    <w:rsid w:val="008D5905"/>
    <w:rsid w:val="008D6B8E"/>
    <w:rsid w:val="008E028E"/>
    <w:rsid w:val="008E04D3"/>
    <w:rsid w:val="008E0831"/>
    <w:rsid w:val="008E0919"/>
    <w:rsid w:val="008E17DD"/>
    <w:rsid w:val="008E2D4D"/>
    <w:rsid w:val="008E545B"/>
    <w:rsid w:val="008E775A"/>
    <w:rsid w:val="008F05EA"/>
    <w:rsid w:val="008F1628"/>
    <w:rsid w:val="008F237C"/>
    <w:rsid w:val="008F265D"/>
    <w:rsid w:val="008F7A95"/>
    <w:rsid w:val="009004E9"/>
    <w:rsid w:val="0090158F"/>
    <w:rsid w:val="00901ECC"/>
    <w:rsid w:val="00902246"/>
    <w:rsid w:val="00904117"/>
    <w:rsid w:val="00904888"/>
    <w:rsid w:val="009048EA"/>
    <w:rsid w:val="0090629F"/>
    <w:rsid w:val="00906967"/>
    <w:rsid w:val="0090700A"/>
    <w:rsid w:val="009075A1"/>
    <w:rsid w:val="00907843"/>
    <w:rsid w:val="00910EC5"/>
    <w:rsid w:val="00911DB3"/>
    <w:rsid w:val="00912000"/>
    <w:rsid w:val="00912442"/>
    <w:rsid w:val="00912859"/>
    <w:rsid w:val="009128D2"/>
    <w:rsid w:val="00913E0D"/>
    <w:rsid w:val="00915713"/>
    <w:rsid w:val="009158D9"/>
    <w:rsid w:val="00915F87"/>
    <w:rsid w:val="00916571"/>
    <w:rsid w:val="0091798A"/>
    <w:rsid w:val="00917CF8"/>
    <w:rsid w:val="009219C9"/>
    <w:rsid w:val="00923520"/>
    <w:rsid w:val="00923EA5"/>
    <w:rsid w:val="0092474C"/>
    <w:rsid w:val="009269C6"/>
    <w:rsid w:val="009269D6"/>
    <w:rsid w:val="0092768E"/>
    <w:rsid w:val="009305D9"/>
    <w:rsid w:val="00930674"/>
    <w:rsid w:val="009318A8"/>
    <w:rsid w:val="00936AF1"/>
    <w:rsid w:val="00936D96"/>
    <w:rsid w:val="0094081A"/>
    <w:rsid w:val="009420CE"/>
    <w:rsid w:val="0094354F"/>
    <w:rsid w:val="009439F6"/>
    <w:rsid w:val="00943D26"/>
    <w:rsid w:val="0094560E"/>
    <w:rsid w:val="00946341"/>
    <w:rsid w:val="00946700"/>
    <w:rsid w:val="00950120"/>
    <w:rsid w:val="00951CF4"/>
    <w:rsid w:val="00953EA2"/>
    <w:rsid w:val="009547ED"/>
    <w:rsid w:val="009569FB"/>
    <w:rsid w:val="00960919"/>
    <w:rsid w:val="00961348"/>
    <w:rsid w:val="00961871"/>
    <w:rsid w:val="00964010"/>
    <w:rsid w:val="00965FD5"/>
    <w:rsid w:val="009661C5"/>
    <w:rsid w:val="009701DF"/>
    <w:rsid w:val="0097153F"/>
    <w:rsid w:val="009721B3"/>
    <w:rsid w:val="00973300"/>
    <w:rsid w:val="00973750"/>
    <w:rsid w:val="00974AA2"/>
    <w:rsid w:val="00975D7B"/>
    <w:rsid w:val="00975F9B"/>
    <w:rsid w:val="00976694"/>
    <w:rsid w:val="00976DCD"/>
    <w:rsid w:val="00977FC7"/>
    <w:rsid w:val="0098027C"/>
    <w:rsid w:val="009809EB"/>
    <w:rsid w:val="00980B17"/>
    <w:rsid w:val="00980FD4"/>
    <w:rsid w:val="009815C6"/>
    <w:rsid w:val="00981E93"/>
    <w:rsid w:val="0098228D"/>
    <w:rsid w:val="00982787"/>
    <w:rsid w:val="00982F27"/>
    <w:rsid w:val="00987869"/>
    <w:rsid w:val="009879C8"/>
    <w:rsid w:val="00990DEF"/>
    <w:rsid w:val="00991F4C"/>
    <w:rsid w:val="009938BA"/>
    <w:rsid w:val="009941A7"/>
    <w:rsid w:val="00994323"/>
    <w:rsid w:val="00994471"/>
    <w:rsid w:val="009955B2"/>
    <w:rsid w:val="009956F8"/>
    <w:rsid w:val="009975EE"/>
    <w:rsid w:val="009A0261"/>
    <w:rsid w:val="009A126C"/>
    <w:rsid w:val="009A1F1C"/>
    <w:rsid w:val="009A2DE7"/>
    <w:rsid w:val="009A357E"/>
    <w:rsid w:val="009A3752"/>
    <w:rsid w:val="009A38A2"/>
    <w:rsid w:val="009A390C"/>
    <w:rsid w:val="009A3FD1"/>
    <w:rsid w:val="009A54F7"/>
    <w:rsid w:val="009A5908"/>
    <w:rsid w:val="009A601E"/>
    <w:rsid w:val="009A75B3"/>
    <w:rsid w:val="009A7BB4"/>
    <w:rsid w:val="009B2723"/>
    <w:rsid w:val="009B6F95"/>
    <w:rsid w:val="009B7306"/>
    <w:rsid w:val="009B7310"/>
    <w:rsid w:val="009C0301"/>
    <w:rsid w:val="009C0874"/>
    <w:rsid w:val="009C1105"/>
    <w:rsid w:val="009C2FC2"/>
    <w:rsid w:val="009C3264"/>
    <w:rsid w:val="009C4369"/>
    <w:rsid w:val="009C497B"/>
    <w:rsid w:val="009C4EDE"/>
    <w:rsid w:val="009C5776"/>
    <w:rsid w:val="009C5E81"/>
    <w:rsid w:val="009C5FC1"/>
    <w:rsid w:val="009C6051"/>
    <w:rsid w:val="009C60E3"/>
    <w:rsid w:val="009D01B7"/>
    <w:rsid w:val="009D4650"/>
    <w:rsid w:val="009D46F5"/>
    <w:rsid w:val="009D4F58"/>
    <w:rsid w:val="009D5D38"/>
    <w:rsid w:val="009D6362"/>
    <w:rsid w:val="009D7F19"/>
    <w:rsid w:val="009E15F9"/>
    <w:rsid w:val="009E15FC"/>
    <w:rsid w:val="009E233E"/>
    <w:rsid w:val="009E2BCE"/>
    <w:rsid w:val="009E5A87"/>
    <w:rsid w:val="009E6018"/>
    <w:rsid w:val="009E60CE"/>
    <w:rsid w:val="009E610A"/>
    <w:rsid w:val="009E6554"/>
    <w:rsid w:val="009E6E4C"/>
    <w:rsid w:val="009E702E"/>
    <w:rsid w:val="009E7354"/>
    <w:rsid w:val="009F1320"/>
    <w:rsid w:val="009F1548"/>
    <w:rsid w:val="009F2B13"/>
    <w:rsid w:val="009F2C1E"/>
    <w:rsid w:val="009F70E4"/>
    <w:rsid w:val="009F7D89"/>
    <w:rsid w:val="00A003A3"/>
    <w:rsid w:val="00A009D6"/>
    <w:rsid w:val="00A00B5F"/>
    <w:rsid w:val="00A0347B"/>
    <w:rsid w:val="00A03875"/>
    <w:rsid w:val="00A04478"/>
    <w:rsid w:val="00A0472F"/>
    <w:rsid w:val="00A04929"/>
    <w:rsid w:val="00A05B7F"/>
    <w:rsid w:val="00A063B2"/>
    <w:rsid w:val="00A1166A"/>
    <w:rsid w:val="00A11F2A"/>
    <w:rsid w:val="00A12107"/>
    <w:rsid w:val="00A12545"/>
    <w:rsid w:val="00A1356A"/>
    <w:rsid w:val="00A140E0"/>
    <w:rsid w:val="00A1447E"/>
    <w:rsid w:val="00A14C15"/>
    <w:rsid w:val="00A14DEF"/>
    <w:rsid w:val="00A164CD"/>
    <w:rsid w:val="00A16892"/>
    <w:rsid w:val="00A20CD6"/>
    <w:rsid w:val="00A21337"/>
    <w:rsid w:val="00A217AC"/>
    <w:rsid w:val="00A224B1"/>
    <w:rsid w:val="00A227B3"/>
    <w:rsid w:val="00A242F4"/>
    <w:rsid w:val="00A25A9C"/>
    <w:rsid w:val="00A26BA6"/>
    <w:rsid w:val="00A27534"/>
    <w:rsid w:val="00A27AC6"/>
    <w:rsid w:val="00A30137"/>
    <w:rsid w:val="00A3023D"/>
    <w:rsid w:val="00A30E59"/>
    <w:rsid w:val="00A31A43"/>
    <w:rsid w:val="00A331C7"/>
    <w:rsid w:val="00A33A2C"/>
    <w:rsid w:val="00A371BB"/>
    <w:rsid w:val="00A4131D"/>
    <w:rsid w:val="00A419A4"/>
    <w:rsid w:val="00A42001"/>
    <w:rsid w:val="00A42577"/>
    <w:rsid w:val="00A44BC9"/>
    <w:rsid w:val="00A44F56"/>
    <w:rsid w:val="00A456C4"/>
    <w:rsid w:val="00A45B40"/>
    <w:rsid w:val="00A46B8E"/>
    <w:rsid w:val="00A46BE3"/>
    <w:rsid w:val="00A46ECA"/>
    <w:rsid w:val="00A47703"/>
    <w:rsid w:val="00A500F3"/>
    <w:rsid w:val="00A504C8"/>
    <w:rsid w:val="00A50A24"/>
    <w:rsid w:val="00A50B38"/>
    <w:rsid w:val="00A51D5A"/>
    <w:rsid w:val="00A51D90"/>
    <w:rsid w:val="00A52A7D"/>
    <w:rsid w:val="00A53F88"/>
    <w:rsid w:val="00A54009"/>
    <w:rsid w:val="00A54046"/>
    <w:rsid w:val="00A540AF"/>
    <w:rsid w:val="00A56AFA"/>
    <w:rsid w:val="00A56EDE"/>
    <w:rsid w:val="00A5737D"/>
    <w:rsid w:val="00A577C5"/>
    <w:rsid w:val="00A6093C"/>
    <w:rsid w:val="00A61E99"/>
    <w:rsid w:val="00A62192"/>
    <w:rsid w:val="00A64E7F"/>
    <w:rsid w:val="00A65EF5"/>
    <w:rsid w:val="00A66E60"/>
    <w:rsid w:val="00A672B7"/>
    <w:rsid w:val="00A67458"/>
    <w:rsid w:val="00A67908"/>
    <w:rsid w:val="00A679D0"/>
    <w:rsid w:val="00A7279E"/>
    <w:rsid w:val="00A72C9E"/>
    <w:rsid w:val="00A7301F"/>
    <w:rsid w:val="00A74363"/>
    <w:rsid w:val="00A76094"/>
    <w:rsid w:val="00A76881"/>
    <w:rsid w:val="00A77035"/>
    <w:rsid w:val="00A80BA5"/>
    <w:rsid w:val="00A81991"/>
    <w:rsid w:val="00A826B8"/>
    <w:rsid w:val="00A82F39"/>
    <w:rsid w:val="00A83940"/>
    <w:rsid w:val="00A83B50"/>
    <w:rsid w:val="00A86BD3"/>
    <w:rsid w:val="00A9057F"/>
    <w:rsid w:val="00A91A6C"/>
    <w:rsid w:val="00A957C8"/>
    <w:rsid w:val="00A9726E"/>
    <w:rsid w:val="00A979C4"/>
    <w:rsid w:val="00A97FF1"/>
    <w:rsid w:val="00AA0F21"/>
    <w:rsid w:val="00AA0F5D"/>
    <w:rsid w:val="00AA2644"/>
    <w:rsid w:val="00AA2D93"/>
    <w:rsid w:val="00AA3977"/>
    <w:rsid w:val="00AA39F6"/>
    <w:rsid w:val="00AA470F"/>
    <w:rsid w:val="00AA4990"/>
    <w:rsid w:val="00AA4D23"/>
    <w:rsid w:val="00AA51A6"/>
    <w:rsid w:val="00AA6197"/>
    <w:rsid w:val="00AA6987"/>
    <w:rsid w:val="00AA73FE"/>
    <w:rsid w:val="00AB19DB"/>
    <w:rsid w:val="00AB37FD"/>
    <w:rsid w:val="00AB4059"/>
    <w:rsid w:val="00AB4D19"/>
    <w:rsid w:val="00AB4DCE"/>
    <w:rsid w:val="00AB50F2"/>
    <w:rsid w:val="00AB5347"/>
    <w:rsid w:val="00AB5C09"/>
    <w:rsid w:val="00AB6E36"/>
    <w:rsid w:val="00AB6ED7"/>
    <w:rsid w:val="00AB7E89"/>
    <w:rsid w:val="00AC0CFF"/>
    <w:rsid w:val="00AC180E"/>
    <w:rsid w:val="00AC1D61"/>
    <w:rsid w:val="00AC26DD"/>
    <w:rsid w:val="00AC3B1B"/>
    <w:rsid w:val="00AC4D5A"/>
    <w:rsid w:val="00AC5F27"/>
    <w:rsid w:val="00AC5F32"/>
    <w:rsid w:val="00AC684D"/>
    <w:rsid w:val="00AD0C79"/>
    <w:rsid w:val="00AD0CF3"/>
    <w:rsid w:val="00AD1208"/>
    <w:rsid w:val="00AD16B8"/>
    <w:rsid w:val="00AD1FD7"/>
    <w:rsid w:val="00AD2345"/>
    <w:rsid w:val="00AD2492"/>
    <w:rsid w:val="00AD36C8"/>
    <w:rsid w:val="00AD4ADF"/>
    <w:rsid w:val="00AD605E"/>
    <w:rsid w:val="00AD6AEF"/>
    <w:rsid w:val="00AD6E15"/>
    <w:rsid w:val="00AD6F74"/>
    <w:rsid w:val="00AD74BA"/>
    <w:rsid w:val="00AD7F3C"/>
    <w:rsid w:val="00AE1410"/>
    <w:rsid w:val="00AE1B78"/>
    <w:rsid w:val="00AE1DEE"/>
    <w:rsid w:val="00AE2060"/>
    <w:rsid w:val="00AE2192"/>
    <w:rsid w:val="00AE2ECE"/>
    <w:rsid w:val="00AE4848"/>
    <w:rsid w:val="00AE61D4"/>
    <w:rsid w:val="00AE6354"/>
    <w:rsid w:val="00AE64AE"/>
    <w:rsid w:val="00AE6A6E"/>
    <w:rsid w:val="00AE7BE5"/>
    <w:rsid w:val="00AF1ECD"/>
    <w:rsid w:val="00AF217B"/>
    <w:rsid w:val="00AF2434"/>
    <w:rsid w:val="00AF44A8"/>
    <w:rsid w:val="00AF5479"/>
    <w:rsid w:val="00AF610F"/>
    <w:rsid w:val="00B00C20"/>
    <w:rsid w:val="00B016EC"/>
    <w:rsid w:val="00B01D66"/>
    <w:rsid w:val="00B028DC"/>
    <w:rsid w:val="00B02B81"/>
    <w:rsid w:val="00B04D3D"/>
    <w:rsid w:val="00B05ACD"/>
    <w:rsid w:val="00B07A0C"/>
    <w:rsid w:val="00B101A5"/>
    <w:rsid w:val="00B10CC6"/>
    <w:rsid w:val="00B1107D"/>
    <w:rsid w:val="00B11512"/>
    <w:rsid w:val="00B1266C"/>
    <w:rsid w:val="00B137B6"/>
    <w:rsid w:val="00B14CF4"/>
    <w:rsid w:val="00B14DEC"/>
    <w:rsid w:val="00B150C7"/>
    <w:rsid w:val="00B15763"/>
    <w:rsid w:val="00B16262"/>
    <w:rsid w:val="00B16640"/>
    <w:rsid w:val="00B17E27"/>
    <w:rsid w:val="00B17FEA"/>
    <w:rsid w:val="00B203A0"/>
    <w:rsid w:val="00B205A0"/>
    <w:rsid w:val="00B20EA1"/>
    <w:rsid w:val="00B239C0"/>
    <w:rsid w:val="00B243DB"/>
    <w:rsid w:val="00B248E4"/>
    <w:rsid w:val="00B25770"/>
    <w:rsid w:val="00B263A3"/>
    <w:rsid w:val="00B30848"/>
    <w:rsid w:val="00B31E93"/>
    <w:rsid w:val="00B34A62"/>
    <w:rsid w:val="00B34D16"/>
    <w:rsid w:val="00B34E97"/>
    <w:rsid w:val="00B3537D"/>
    <w:rsid w:val="00B35908"/>
    <w:rsid w:val="00B36FFA"/>
    <w:rsid w:val="00B40929"/>
    <w:rsid w:val="00B43846"/>
    <w:rsid w:val="00B45626"/>
    <w:rsid w:val="00B463F2"/>
    <w:rsid w:val="00B4663C"/>
    <w:rsid w:val="00B50E8E"/>
    <w:rsid w:val="00B5156A"/>
    <w:rsid w:val="00B51BC1"/>
    <w:rsid w:val="00B52D1D"/>
    <w:rsid w:val="00B53E96"/>
    <w:rsid w:val="00B55BA7"/>
    <w:rsid w:val="00B561CD"/>
    <w:rsid w:val="00B60853"/>
    <w:rsid w:val="00B620E3"/>
    <w:rsid w:val="00B629B1"/>
    <w:rsid w:val="00B63868"/>
    <w:rsid w:val="00B660B2"/>
    <w:rsid w:val="00B660F9"/>
    <w:rsid w:val="00B665EB"/>
    <w:rsid w:val="00B66D09"/>
    <w:rsid w:val="00B675D5"/>
    <w:rsid w:val="00B703C0"/>
    <w:rsid w:val="00B70D4C"/>
    <w:rsid w:val="00B72136"/>
    <w:rsid w:val="00B74691"/>
    <w:rsid w:val="00B75B79"/>
    <w:rsid w:val="00B76F23"/>
    <w:rsid w:val="00B80381"/>
    <w:rsid w:val="00B8081B"/>
    <w:rsid w:val="00B81371"/>
    <w:rsid w:val="00B81BB9"/>
    <w:rsid w:val="00B8532F"/>
    <w:rsid w:val="00B8766A"/>
    <w:rsid w:val="00B8787C"/>
    <w:rsid w:val="00B87CF7"/>
    <w:rsid w:val="00B90A7E"/>
    <w:rsid w:val="00B934AC"/>
    <w:rsid w:val="00B95C58"/>
    <w:rsid w:val="00B9695D"/>
    <w:rsid w:val="00B96C8A"/>
    <w:rsid w:val="00BA0C97"/>
    <w:rsid w:val="00BA1588"/>
    <w:rsid w:val="00BA1AB6"/>
    <w:rsid w:val="00BA1DA5"/>
    <w:rsid w:val="00BA20E4"/>
    <w:rsid w:val="00BA3C7C"/>
    <w:rsid w:val="00BA4410"/>
    <w:rsid w:val="00BA6750"/>
    <w:rsid w:val="00BA72F5"/>
    <w:rsid w:val="00BA7F89"/>
    <w:rsid w:val="00BB09E3"/>
    <w:rsid w:val="00BB1028"/>
    <w:rsid w:val="00BB1E7B"/>
    <w:rsid w:val="00BB33D1"/>
    <w:rsid w:val="00BB357D"/>
    <w:rsid w:val="00BB7988"/>
    <w:rsid w:val="00BB7999"/>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497"/>
    <w:rsid w:val="00BC7512"/>
    <w:rsid w:val="00BC75BC"/>
    <w:rsid w:val="00BC7FF2"/>
    <w:rsid w:val="00BD345A"/>
    <w:rsid w:val="00BD42CA"/>
    <w:rsid w:val="00BD5FCF"/>
    <w:rsid w:val="00BD66B4"/>
    <w:rsid w:val="00BD6DAE"/>
    <w:rsid w:val="00BD6EFE"/>
    <w:rsid w:val="00BD7EB9"/>
    <w:rsid w:val="00BE1FC1"/>
    <w:rsid w:val="00BE2798"/>
    <w:rsid w:val="00BE36DB"/>
    <w:rsid w:val="00BE39FE"/>
    <w:rsid w:val="00BE42B7"/>
    <w:rsid w:val="00BE4B55"/>
    <w:rsid w:val="00BE592F"/>
    <w:rsid w:val="00BE7FA0"/>
    <w:rsid w:val="00BF07F9"/>
    <w:rsid w:val="00BF1389"/>
    <w:rsid w:val="00BF1937"/>
    <w:rsid w:val="00BF19BB"/>
    <w:rsid w:val="00BF36F3"/>
    <w:rsid w:val="00BF641F"/>
    <w:rsid w:val="00BF7971"/>
    <w:rsid w:val="00C01B29"/>
    <w:rsid w:val="00C022DA"/>
    <w:rsid w:val="00C045FD"/>
    <w:rsid w:val="00C048C1"/>
    <w:rsid w:val="00C052C1"/>
    <w:rsid w:val="00C057C2"/>
    <w:rsid w:val="00C06277"/>
    <w:rsid w:val="00C07840"/>
    <w:rsid w:val="00C10B98"/>
    <w:rsid w:val="00C12838"/>
    <w:rsid w:val="00C12E1C"/>
    <w:rsid w:val="00C15F37"/>
    <w:rsid w:val="00C17315"/>
    <w:rsid w:val="00C179B9"/>
    <w:rsid w:val="00C17EA7"/>
    <w:rsid w:val="00C20321"/>
    <w:rsid w:val="00C21064"/>
    <w:rsid w:val="00C22B71"/>
    <w:rsid w:val="00C24B1D"/>
    <w:rsid w:val="00C26623"/>
    <w:rsid w:val="00C26745"/>
    <w:rsid w:val="00C274D3"/>
    <w:rsid w:val="00C30801"/>
    <w:rsid w:val="00C32F45"/>
    <w:rsid w:val="00C333CE"/>
    <w:rsid w:val="00C34363"/>
    <w:rsid w:val="00C34E59"/>
    <w:rsid w:val="00C34E97"/>
    <w:rsid w:val="00C34FEF"/>
    <w:rsid w:val="00C35176"/>
    <w:rsid w:val="00C35A29"/>
    <w:rsid w:val="00C3677D"/>
    <w:rsid w:val="00C373F9"/>
    <w:rsid w:val="00C375D8"/>
    <w:rsid w:val="00C4048F"/>
    <w:rsid w:val="00C40EB4"/>
    <w:rsid w:val="00C41F62"/>
    <w:rsid w:val="00C42E5F"/>
    <w:rsid w:val="00C43E5C"/>
    <w:rsid w:val="00C45F31"/>
    <w:rsid w:val="00C46262"/>
    <w:rsid w:val="00C468C0"/>
    <w:rsid w:val="00C46DFA"/>
    <w:rsid w:val="00C4719D"/>
    <w:rsid w:val="00C4775D"/>
    <w:rsid w:val="00C47850"/>
    <w:rsid w:val="00C47CE3"/>
    <w:rsid w:val="00C47DE8"/>
    <w:rsid w:val="00C513B6"/>
    <w:rsid w:val="00C51754"/>
    <w:rsid w:val="00C52D1D"/>
    <w:rsid w:val="00C533C0"/>
    <w:rsid w:val="00C54437"/>
    <w:rsid w:val="00C55342"/>
    <w:rsid w:val="00C55B70"/>
    <w:rsid w:val="00C55C6D"/>
    <w:rsid w:val="00C563C5"/>
    <w:rsid w:val="00C60127"/>
    <w:rsid w:val="00C61148"/>
    <w:rsid w:val="00C62B03"/>
    <w:rsid w:val="00C63FD3"/>
    <w:rsid w:val="00C64170"/>
    <w:rsid w:val="00C646D8"/>
    <w:rsid w:val="00C647A4"/>
    <w:rsid w:val="00C65C8A"/>
    <w:rsid w:val="00C65EEC"/>
    <w:rsid w:val="00C67A63"/>
    <w:rsid w:val="00C70838"/>
    <w:rsid w:val="00C7244F"/>
    <w:rsid w:val="00C72552"/>
    <w:rsid w:val="00C729BA"/>
    <w:rsid w:val="00C7317B"/>
    <w:rsid w:val="00C73AD8"/>
    <w:rsid w:val="00C7409B"/>
    <w:rsid w:val="00C7418A"/>
    <w:rsid w:val="00C743A4"/>
    <w:rsid w:val="00C74BCD"/>
    <w:rsid w:val="00C74E0B"/>
    <w:rsid w:val="00C755FD"/>
    <w:rsid w:val="00C76E61"/>
    <w:rsid w:val="00C77A08"/>
    <w:rsid w:val="00C804D2"/>
    <w:rsid w:val="00C80C74"/>
    <w:rsid w:val="00C8193A"/>
    <w:rsid w:val="00C8533C"/>
    <w:rsid w:val="00C858DD"/>
    <w:rsid w:val="00C86801"/>
    <w:rsid w:val="00C86F33"/>
    <w:rsid w:val="00C92162"/>
    <w:rsid w:val="00C937D7"/>
    <w:rsid w:val="00C94339"/>
    <w:rsid w:val="00C94473"/>
    <w:rsid w:val="00C94F4A"/>
    <w:rsid w:val="00C95A22"/>
    <w:rsid w:val="00C95C07"/>
    <w:rsid w:val="00C97829"/>
    <w:rsid w:val="00C97EC8"/>
    <w:rsid w:val="00CA022E"/>
    <w:rsid w:val="00CA0531"/>
    <w:rsid w:val="00CA0B5B"/>
    <w:rsid w:val="00CA3150"/>
    <w:rsid w:val="00CA67E7"/>
    <w:rsid w:val="00CA7A5E"/>
    <w:rsid w:val="00CB005A"/>
    <w:rsid w:val="00CB283A"/>
    <w:rsid w:val="00CB292F"/>
    <w:rsid w:val="00CB2A75"/>
    <w:rsid w:val="00CB2CE4"/>
    <w:rsid w:val="00CB3161"/>
    <w:rsid w:val="00CB33E2"/>
    <w:rsid w:val="00CB3492"/>
    <w:rsid w:val="00CB40C7"/>
    <w:rsid w:val="00CB46A6"/>
    <w:rsid w:val="00CB4B1B"/>
    <w:rsid w:val="00CC0182"/>
    <w:rsid w:val="00CC3085"/>
    <w:rsid w:val="00CC3D4E"/>
    <w:rsid w:val="00CC4C93"/>
    <w:rsid w:val="00CC55C8"/>
    <w:rsid w:val="00CC5E6A"/>
    <w:rsid w:val="00CC6B8C"/>
    <w:rsid w:val="00CD2904"/>
    <w:rsid w:val="00CD3A2B"/>
    <w:rsid w:val="00CD3BC2"/>
    <w:rsid w:val="00CD4678"/>
    <w:rsid w:val="00CE1629"/>
    <w:rsid w:val="00CE1BE7"/>
    <w:rsid w:val="00CE280C"/>
    <w:rsid w:val="00CE2CF8"/>
    <w:rsid w:val="00CE520C"/>
    <w:rsid w:val="00CE5DD8"/>
    <w:rsid w:val="00CE6017"/>
    <w:rsid w:val="00CE6541"/>
    <w:rsid w:val="00CF028E"/>
    <w:rsid w:val="00CF07FF"/>
    <w:rsid w:val="00CF0CEA"/>
    <w:rsid w:val="00CF13C0"/>
    <w:rsid w:val="00CF23B8"/>
    <w:rsid w:val="00CF243F"/>
    <w:rsid w:val="00CF268B"/>
    <w:rsid w:val="00CF2F81"/>
    <w:rsid w:val="00CF2FF2"/>
    <w:rsid w:val="00CF4AB9"/>
    <w:rsid w:val="00CF4FD4"/>
    <w:rsid w:val="00CF5575"/>
    <w:rsid w:val="00CF7B4B"/>
    <w:rsid w:val="00D0042F"/>
    <w:rsid w:val="00D01C20"/>
    <w:rsid w:val="00D0213D"/>
    <w:rsid w:val="00D03610"/>
    <w:rsid w:val="00D03784"/>
    <w:rsid w:val="00D0528C"/>
    <w:rsid w:val="00D05790"/>
    <w:rsid w:val="00D057E2"/>
    <w:rsid w:val="00D07392"/>
    <w:rsid w:val="00D0757D"/>
    <w:rsid w:val="00D07D07"/>
    <w:rsid w:val="00D12355"/>
    <w:rsid w:val="00D1252E"/>
    <w:rsid w:val="00D13900"/>
    <w:rsid w:val="00D1470D"/>
    <w:rsid w:val="00D14F9D"/>
    <w:rsid w:val="00D15051"/>
    <w:rsid w:val="00D15423"/>
    <w:rsid w:val="00D154E0"/>
    <w:rsid w:val="00D20BA6"/>
    <w:rsid w:val="00D22205"/>
    <w:rsid w:val="00D2438C"/>
    <w:rsid w:val="00D27AD9"/>
    <w:rsid w:val="00D27B33"/>
    <w:rsid w:val="00D27EC2"/>
    <w:rsid w:val="00D3074A"/>
    <w:rsid w:val="00D30BBF"/>
    <w:rsid w:val="00D3202D"/>
    <w:rsid w:val="00D33E0F"/>
    <w:rsid w:val="00D34B92"/>
    <w:rsid w:val="00D34F51"/>
    <w:rsid w:val="00D35035"/>
    <w:rsid w:val="00D356C7"/>
    <w:rsid w:val="00D35896"/>
    <w:rsid w:val="00D359CF"/>
    <w:rsid w:val="00D40491"/>
    <w:rsid w:val="00D408BA"/>
    <w:rsid w:val="00D41C3F"/>
    <w:rsid w:val="00D42555"/>
    <w:rsid w:val="00D428FE"/>
    <w:rsid w:val="00D43DF5"/>
    <w:rsid w:val="00D44C29"/>
    <w:rsid w:val="00D44DF5"/>
    <w:rsid w:val="00D45FEC"/>
    <w:rsid w:val="00D46D03"/>
    <w:rsid w:val="00D5005A"/>
    <w:rsid w:val="00D52E36"/>
    <w:rsid w:val="00D537DD"/>
    <w:rsid w:val="00D54C26"/>
    <w:rsid w:val="00D563EF"/>
    <w:rsid w:val="00D563F8"/>
    <w:rsid w:val="00D567F8"/>
    <w:rsid w:val="00D61303"/>
    <w:rsid w:val="00D6158D"/>
    <w:rsid w:val="00D621F5"/>
    <w:rsid w:val="00D62400"/>
    <w:rsid w:val="00D635A7"/>
    <w:rsid w:val="00D63738"/>
    <w:rsid w:val="00D65BA8"/>
    <w:rsid w:val="00D661DD"/>
    <w:rsid w:val="00D66D49"/>
    <w:rsid w:val="00D67B4F"/>
    <w:rsid w:val="00D70067"/>
    <w:rsid w:val="00D701F7"/>
    <w:rsid w:val="00D71A69"/>
    <w:rsid w:val="00D728D9"/>
    <w:rsid w:val="00D7348B"/>
    <w:rsid w:val="00D7452F"/>
    <w:rsid w:val="00D747F3"/>
    <w:rsid w:val="00D74FA2"/>
    <w:rsid w:val="00D751F1"/>
    <w:rsid w:val="00D77437"/>
    <w:rsid w:val="00D80112"/>
    <w:rsid w:val="00D823FD"/>
    <w:rsid w:val="00D83740"/>
    <w:rsid w:val="00D83C2D"/>
    <w:rsid w:val="00D84F75"/>
    <w:rsid w:val="00D86012"/>
    <w:rsid w:val="00D86AC2"/>
    <w:rsid w:val="00D8783E"/>
    <w:rsid w:val="00D90A75"/>
    <w:rsid w:val="00D91267"/>
    <w:rsid w:val="00D91CA1"/>
    <w:rsid w:val="00D94450"/>
    <w:rsid w:val="00D94746"/>
    <w:rsid w:val="00D95961"/>
    <w:rsid w:val="00D966D8"/>
    <w:rsid w:val="00DA0F84"/>
    <w:rsid w:val="00DA131D"/>
    <w:rsid w:val="00DA14DC"/>
    <w:rsid w:val="00DA1EBD"/>
    <w:rsid w:val="00DA22B2"/>
    <w:rsid w:val="00DA39FF"/>
    <w:rsid w:val="00DA41B6"/>
    <w:rsid w:val="00DA4B3B"/>
    <w:rsid w:val="00DA6BAA"/>
    <w:rsid w:val="00DA7BB9"/>
    <w:rsid w:val="00DA7EE8"/>
    <w:rsid w:val="00DB076D"/>
    <w:rsid w:val="00DB08BD"/>
    <w:rsid w:val="00DB1826"/>
    <w:rsid w:val="00DB2562"/>
    <w:rsid w:val="00DB2771"/>
    <w:rsid w:val="00DB291C"/>
    <w:rsid w:val="00DB2DE4"/>
    <w:rsid w:val="00DB2F38"/>
    <w:rsid w:val="00DB452B"/>
    <w:rsid w:val="00DB4752"/>
    <w:rsid w:val="00DB58DA"/>
    <w:rsid w:val="00DB5FE8"/>
    <w:rsid w:val="00DB7BF7"/>
    <w:rsid w:val="00DB7D57"/>
    <w:rsid w:val="00DC0983"/>
    <w:rsid w:val="00DC13A0"/>
    <w:rsid w:val="00DC25DA"/>
    <w:rsid w:val="00DC2FD6"/>
    <w:rsid w:val="00DC3155"/>
    <w:rsid w:val="00DC3B97"/>
    <w:rsid w:val="00DC5B08"/>
    <w:rsid w:val="00DD03B3"/>
    <w:rsid w:val="00DD0B24"/>
    <w:rsid w:val="00DD1291"/>
    <w:rsid w:val="00DD196E"/>
    <w:rsid w:val="00DD2EEA"/>
    <w:rsid w:val="00DD3015"/>
    <w:rsid w:val="00DD3B7D"/>
    <w:rsid w:val="00DD3E4B"/>
    <w:rsid w:val="00DD41E3"/>
    <w:rsid w:val="00DD623F"/>
    <w:rsid w:val="00DD67DF"/>
    <w:rsid w:val="00DE0452"/>
    <w:rsid w:val="00DE0B57"/>
    <w:rsid w:val="00DE5D2D"/>
    <w:rsid w:val="00DE6116"/>
    <w:rsid w:val="00DE62A3"/>
    <w:rsid w:val="00DE69C0"/>
    <w:rsid w:val="00DE7749"/>
    <w:rsid w:val="00DF10A5"/>
    <w:rsid w:val="00DF1587"/>
    <w:rsid w:val="00DF2B32"/>
    <w:rsid w:val="00DF2D94"/>
    <w:rsid w:val="00DF3298"/>
    <w:rsid w:val="00DF3AB1"/>
    <w:rsid w:val="00DF74C7"/>
    <w:rsid w:val="00DF76AC"/>
    <w:rsid w:val="00DF7EA6"/>
    <w:rsid w:val="00E000DA"/>
    <w:rsid w:val="00E0119C"/>
    <w:rsid w:val="00E027F9"/>
    <w:rsid w:val="00E02ADF"/>
    <w:rsid w:val="00E03A22"/>
    <w:rsid w:val="00E04007"/>
    <w:rsid w:val="00E0463D"/>
    <w:rsid w:val="00E06B81"/>
    <w:rsid w:val="00E07B03"/>
    <w:rsid w:val="00E100ED"/>
    <w:rsid w:val="00E10C7E"/>
    <w:rsid w:val="00E111E6"/>
    <w:rsid w:val="00E11CA8"/>
    <w:rsid w:val="00E11CDC"/>
    <w:rsid w:val="00E12E1D"/>
    <w:rsid w:val="00E13391"/>
    <w:rsid w:val="00E13A4D"/>
    <w:rsid w:val="00E13EEE"/>
    <w:rsid w:val="00E14522"/>
    <w:rsid w:val="00E153F5"/>
    <w:rsid w:val="00E16316"/>
    <w:rsid w:val="00E16C84"/>
    <w:rsid w:val="00E178CC"/>
    <w:rsid w:val="00E17F96"/>
    <w:rsid w:val="00E207DB"/>
    <w:rsid w:val="00E20C05"/>
    <w:rsid w:val="00E21A11"/>
    <w:rsid w:val="00E2243A"/>
    <w:rsid w:val="00E2274B"/>
    <w:rsid w:val="00E22BD1"/>
    <w:rsid w:val="00E2350E"/>
    <w:rsid w:val="00E23CFB"/>
    <w:rsid w:val="00E2463E"/>
    <w:rsid w:val="00E24919"/>
    <w:rsid w:val="00E26306"/>
    <w:rsid w:val="00E26689"/>
    <w:rsid w:val="00E27244"/>
    <w:rsid w:val="00E276DD"/>
    <w:rsid w:val="00E30672"/>
    <w:rsid w:val="00E30A77"/>
    <w:rsid w:val="00E32864"/>
    <w:rsid w:val="00E32AA1"/>
    <w:rsid w:val="00E3402D"/>
    <w:rsid w:val="00E342FC"/>
    <w:rsid w:val="00E37E18"/>
    <w:rsid w:val="00E403E9"/>
    <w:rsid w:val="00E410F3"/>
    <w:rsid w:val="00E42A1C"/>
    <w:rsid w:val="00E42B0D"/>
    <w:rsid w:val="00E43B89"/>
    <w:rsid w:val="00E43E95"/>
    <w:rsid w:val="00E44C19"/>
    <w:rsid w:val="00E45A29"/>
    <w:rsid w:val="00E4609B"/>
    <w:rsid w:val="00E46814"/>
    <w:rsid w:val="00E47CA6"/>
    <w:rsid w:val="00E50EB0"/>
    <w:rsid w:val="00E5139F"/>
    <w:rsid w:val="00E513EF"/>
    <w:rsid w:val="00E51D05"/>
    <w:rsid w:val="00E5231C"/>
    <w:rsid w:val="00E52802"/>
    <w:rsid w:val="00E53D89"/>
    <w:rsid w:val="00E5402B"/>
    <w:rsid w:val="00E5605B"/>
    <w:rsid w:val="00E56EFD"/>
    <w:rsid w:val="00E61E12"/>
    <w:rsid w:val="00E63102"/>
    <w:rsid w:val="00E639AF"/>
    <w:rsid w:val="00E63ACD"/>
    <w:rsid w:val="00E63B26"/>
    <w:rsid w:val="00E64815"/>
    <w:rsid w:val="00E64D67"/>
    <w:rsid w:val="00E65460"/>
    <w:rsid w:val="00E65E9F"/>
    <w:rsid w:val="00E709AB"/>
    <w:rsid w:val="00E76E4E"/>
    <w:rsid w:val="00E80B0D"/>
    <w:rsid w:val="00E82BB0"/>
    <w:rsid w:val="00E839CE"/>
    <w:rsid w:val="00E83F20"/>
    <w:rsid w:val="00E84951"/>
    <w:rsid w:val="00E856F3"/>
    <w:rsid w:val="00E875A5"/>
    <w:rsid w:val="00E87A8B"/>
    <w:rsid w:val="00E87BF6"/>
    <w:rsid w:val="00E904FD"/>
    <w:rsid w:val="00E90839"/>
    <w:rsid w:val="00E90EE0"/>
    <w:rsid w:val="00E90F0B"/>
    <w:rsid w:val="00E910E0"/>
    <w:rsid w:val="00E911B7"/>
    <w:rsid w:val="00E91B90"/>
    <w:rsid w:val="00E94919"/>
    <w:rsid w:val="00E94D61"/>
    <w:rsid w:val="00E9570A"/>
    <w:rsid w:val="00E967CB"/>
    <w:rsid w:val="00EA06E6"/>
    <w:rsid w:val="00EA1883"/>
    <w:rsid w:val="00EA1B0C"/>
    <w:rsid w:val="00EA2168"/>
    <w:rsid w:val="00EA247C"/>
    <w:rsid w:val="00EA3D64"/>
    <w:rsid w:val="00EA3E4C"/>
    <w:rsid w:val="00EA40D0"/>
    <w:rsid w:val="00EA421A"/>
    <w:rsid w:val="00EA499D"/>
    <w:rsid w:val="00EA4CAA"/>
    <w:rsid w:val="00EA5B4D"/>
    <w:rsid w:val="00EA5D0F"/>
    <w:rsid w:val="00EA5FE5"/>
    <w:rsid w:val="00EA7106"/>
    <w:rsid w:val="00EB02A6"/>
    <w:rsid w:val="00EB0404"/>
    <w:rsid w:val="00EB4441"/>
    <w:rsid w:val="00EB44CD"/>
    <w:rsid w:val="00EB4EEC"/>
    <w:rsid w:val="00EB5495"/>
    <w:rsid w:val="00EB56C4"/>
    <w:rsid w:val="00EB59CC"/>
    <w:rsid w:val="00EB63C4"/>
    <w:rsid w:val="00EB6CF2"/>
    <w:rsid w:val="00EB7964"/>
    <w:rsid w:val="00EB7C31"/>
    <w:rsid w:val="00EC28E2"/>
    <w:rsid w:val="00EC2A96"/>
    <w:rsid w:val="00EC511D"/>
    <w:rsid w:val="00EC54AE"/>
    <w:rsid w:val="00EC54D0"/>
    <w:rsid w:val="00EC619D"/>
    <w:rsid w:val="00EC70B3"/>
    <w:rsid w:val="00ED0273"/>
    <w:rsid w:val="00ED123D"/>
    <w:rsid w:val="00ED4411"/>
    <w:rsid w:val="00ED4733"/>
    <w:rsid w:val="00ED58B2"/>
    <w:rsid w:val="00EE2ABB"/>
    <w:rsid w:val="00EE4E1B"/>
    <w:rsid w:val="00EE60B6"/>
    <w:rsid w:val="00EE7289"/>
    <w:rsid w:val="00EF0FD7"/>
    <w:rsid w:val="00EF12BB"/>
    <w:rsid w:val="00EF143E"/>
    <w:rsid w:val="00EF18EF"/>
    <w:rsid w:val="00EF21BC"/>
    <w:rsid w:val="00EF5507"/>
    <w:rsid w:val="00EF6748"/>
    <w:rsid w:val="00EF7B77"/>
    <w:rsid w:val="00EF7CA2"/>
    <w:rsid w:val="00F00A20"/>
    <w:rsid w:val="00F027AE"/>
    <w:rsid w:val="00F02922"/>
    <w:rsid w:val="00F02B75"/>
    <w:rsid w:val="00F05AEA"/>
    <w:rsid w:val="00F05BBF"/>
    <w:rsid w:val="00F06A15"/>
    <w:rsid w:val="00F1004C"/>
    <w:rsid w:val="00F11E6A"/>
    <w:rsid w:val="00F14958"/>
    <w:rsid w:val="00F16E13"/>
    <w:rsid w:val="00F20801"/>
    <w:rsid w:val="00F20852"/>
    <w:rsid w:val="00F22FFB"/>
    <w:rsid w:val="00F24558"/>
    <w:rsid w:val="00F249ED"/>
    <w:rsid w:val="00F271BA"/>
    <w:rsid w:val="00F3087E"/>
    <w:rsid w:val="00F32714"/>
    <w:rsid w:val="00F33475"/>
    <w:rsid w:val="00F37142"/>
    <w:rsid w:val="00F410B2"/>
    <w:rsid w:val="00F4306B"/>
    <w:rsid w:val="00F43080"/>
    <w:rsid w:val="00F44C77"/>
    <w:rsid w:val="00F459B8"/>
    <w:rsid w:val="00F45BD7"/>
    <w:rsid w:val="00F47023"/>
    <w:rsid w:val="00F47BB3"/>
    <w:rsid w:val="00F536C8"/>
    <w:rsid w:val="00F54995"/>
    <w:rsid w:val="00F54F00"/>
    <w:rsid w:val="00F5573F"/>
    <w:rsid w:val="00F56DDE"/>
    <w:rsid w:val="00F6089E"/>
    <w:rsid w:val="00F6238E"/>
    <w:rsid w:val="00F62A84"/>
    <w:rsid w:val="00F63487"/>
    <w:rsid w:val="00F640A3"/>
    <w:rsid w:val="00F66BC1"/>
    <w:rsid w:val="00F66C21"/>
    <w:rsid w:val="00F67DAD"/>
    <w:rsid w:val="00F67E04"/>
    <w:rsid w:val="00F70F69"/>
    <w:rsid w:val="00F72091"/>
    <w:rsid w:val="00F73DF1"/>
    <w:rsid w:val="00F753ED"/>
    <w:rsid w:val="00F8106C"/>
    <w:rsid w:val="00F811E4"/>
    <w:rsid w:val="00F82FAE"/>
    <w:rsid w:val="00F83D17"/>
    <w:rsid w:val="00F84730"/>
    <w:rsid w:val="00F85CC5"/>
    <w:rsid w:val="00F90035"/>
    <w:rsid w:val="00F90540"/>
    <w:rsid w:val="00F90BDC"/>
    <w:rsid w:val="00F9237D"/>
    <w:rsid w:val="00F932B7"/>
    <w:rsid w:val="00F947B7"/>
    <w:rsid w:val="00F94D0B"/>
    <w:rsid w:val="00F95003"/>
    <w:rsid w:val="00F95632"/>
    <w:rsid w:val="00F966BD"/>
    <w:rsid w:val="00F96B69"/>
    <w:rsid w:val="00F97844"/>
    <w:rsid w:val="00F97D8B"/>
    <w:rsid w:val="00FA17F2"/>
    <w:rsid w:val="00FA27B1"/>
    <w:rsid w:val="00FA33C5"/>
    <w:rsid w:val="00FA3AB3"/>
    <w:rsid w:val="00FA3C69"/>
    <w:rsid w:val="00FA69DA"/>
    <w:rsid w:val="00FA720A"/>
    <w:rsid w:val="00FB0A71"/>
    <w:rsid w:val="00FB0B8B"/>
    <w:rsid w:val="00FB0C70"/>
    <w:rsid w:val="00FB1051"/>
    <w:rsid w:val="00FB1745"/>
    <w:rsid w:val="00FB1C8B"/>
    <w:rsid w:val="00FB2DE3"/>
    <w:rsid w:val="00FB356A"/>
    <w:rsid w:val="00FB3E2A"/>
    <w:rsid w:val="00FB440D"/>
    <w:rsid w:val="00FC076B"/>
    <w:rsid w:val="00FC0C73"/>
    <w:rsid w:val="00FC0EE2"/>
    <w:rsid w:val="00FC126C"/>
    <w:rsid w:val="00FC1484"/>
    <w:rsid w:val="00FC3DA9"/>
    <w:rsid w:val="00FC55C0"/>
    <w:rsid w:val="00FC5BF2"/>
    <w:rsid w:val="00FC5DA4"/>
    <w:rsid w:val="00FC6E47"/>
    <w:rsid w:val="00FC745E"/>
    <w:rsid w:val="00FC7500"/>
    <w:rsid w:val="00FC7F34"/>
    <w:rsid w:val="00FD0355"/>
    <w:rsid w:val="00FD0947"/>
    <w:rsid w:val="00FD0A3E"/>
    <w:rsid w:val="00FD0B23"/>
    <w:rsid w:val="00FD16F6"/>
    <w:rsid w:val="00FD195E"/>
    <w:rsid w:val="00FD1B31"/>
    <w:rsid w:val="00FD3C38"/>
    <w:rsid w:val="00FD56D1"/>
    <w:rsid w:val="00FD5FBA"/>
    <w:rsid w:val="00FD7281"/>
    <w:rsid w:val="00FD7777"/>
    <w:rsid w:val="00FE284A"/>
    <w:rsid w:val="00FE303C"/>
    <w:rsid w:val="00FE462D"/>
    <w:rsid w:val="00FE4AED"/>
    <w:rsid w:val="00FE5904"/>
    <w:rsid w:val="00FE621D"/>
    <w:rsid w:val="00FE67CC"/>
    <w:rsid w:val="00FE7AA4"/>
    <w:rsid w:val="00FF0290"/>
    <w:rsid w:val="00FF0E86"/>
    <w:rsid w:val="00FF173F"/>
    <w:rsid w:val="00FF1965"/>
    <w:rsid w:val="00FF2AC5"/>
    <w:rsid w:val="00FF3233"/>
    <w:rsid w:val="00FF338D"/>
    <w:rsid w:val="00FF4653"/>
    <w:rsid w:val="00FF50BC"/>
    <w:rsid w:val="00FF54A4"/>
    <w:rsid w:val="00FF5D7A"/>
    <w:rsid w:val="00FF6931"/>
    <w:rsid w:val="00FF6FD1"/>
    <w:rsid w:val="00FF70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Number"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numPr>
        <w:ilvl w:val="1"/>
        <w:numId w:val="1"/>
      </w:numPr>
      <w:spacing w:before="240" w:after="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740943"/>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740943"/>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740943"/>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740943"/>
    <w:rPr>
      <w:rFonts w:cs="Times New Roman"/>
      <w:sz w:val="24"/>
      <w:szCs w:val="24"/>
    </w:rPr>
  </w:style>
  <w:style w:type="paragraph" w:customStyle="1" w:styleId="Default">
    <w:name w:val="Default"/>
    <w:uiPriority w:val="99"/>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0943"/>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tabs>
        <w:tab w:val="clear" w:pos="432"/>
        <w:tab w:val="num" w:pos="360"/>
      </w:tabs>
      <w:ind w:left="360" w:hanging="360"/>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740943"/>
    <w:rPr>
      <w:rFonts w:ascii="Courier New" w:hAnsi="Courier New" w:cs="Courier New"/>
      <w:sz w:val="20"/>
      <w:szCs w:val="20"/>
    </w:rPr>
  </w:style>
  <w:style w:type="paragraph" w:styleId="ListParagraph">
    <w:name w:val="List Paragraph"/>
    <w:basedOn w:val="Normal"/>
    <w:uiPriority w:val="99"/>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b/>
      <w:bCs/>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740943"/>
    <w:rPr>
      <w:rFonts w:cs="Times New Roman"/>
      <w:sz w:val="2"/>
    </w:rPr>
  </w:style>
  <w:style w:type="paragraph" w:styleId="EndnoteText">
    <w:name w:val="endnote text"/>
    <w:basedOn w:val="Normal"/>
    <w:link w:val="EndnoteTextChar"/>
    <w:uiPriority w:val="99"/>
    <w:semiHidden/>
    <w:rsid w:val="00281B9B"/>
    <w:rPr>
      <w:sz w:val="20"/>
      <w:szCs w:val="20"/>
    </w:rPr>
  </w:style>
  <w:style w:type="character" w:customStyle="1" w:styleId="EndnoteTextChar">
    <w:name w:val="Endnote Text Char"/>
    <w:basedOn w:val="DefaultParagraphFont"/>
    <w:link w:val="EndnoteText"/>
    <w:uiPriority w:val="99"/>
    <w:semiHidden/>
    <w:locked/>
    <w:rsid w:val="00281B9B"/>
    <w:rPr>
      <w:rFonts w:cs="Times New Roman"/>
      <w:sz w:val="20"/>
      <w:szCs w:val="20"/>
    </w:rPr>
  </w:style>
  <w:style w:type="character" w:styleId="EndnoteReference">
    <w:name w:val="endnote reference"/>
    <w:basedOn w:val="DefaultParagraphFont"/>
    <w:uiPriority w:val="99"/>
    <w:semiHidden/>
    <w:rsid w:val="00281B9B"/>
    <w:rPr>
      <w:rFonts w:cs="Times New Roman"/>
      <w:vertAlign w:val="superscript"/>
    </w:rPr>
  </w:style>
  <w:style w:type="numbering" w:customStyle="1" w:styleId="Style2">
    <w:name w:val="Style2"/>
    <w:rsid w:val="00D75024"/>
    <w:pPr>
      <w:numPr>
        <w:numId w:val="3"/>
      </w:numPr>
    </w:pPr>
  </w:style>
</w:styles>
</file>

<file path=word/webSettings.xml><?xml version="1.0" encoding="utf-8"?>
<w:webSettings xmlns:r="http://schemas.openxmlformats.org/officeDocument/2006/relationships" xmlns:w="http://schemas.openxmlformats.org/wordprocessingml/2006/main">
  <w:divs>
    <w:div w:id="1664115238">
      <w:marLeft w:val="0"/>
      <w:marRight w:val="0"/>
      <w:marTop w:val="0"/>
      <w:marBottom w:val="0"/>
      <w:divBdr>
        <w:top w:val="none" w:sz="0" w:space="0" w:color="auto"/>
        <w:left w:val="none" w:sz="0" w:space="0" w:color="auto"/>
        <w:bottom w:val="none" w:sz="0" w:space="0" w:color="auto"/>
        <w:right w:val="none" w:sz="0" w:space="0" w:color="auto"/>
      </w:divBdr>
    </w:div>
    <w:div w:id="1664115239">
      <w:marLeft w:val="0"/>
      <w:marRight w:val="0"/>
      <w:marTop w:val="0"/>
      <w:marBottom w:val="0"/>
      <w:divBdr>
        <w:top w:val="none" w:sz="0" w:space="0" w:color="auto"/>
        <w:left w:val="none" w:sz="0" w:space="0" w:color="auto"/>
        <w:bottom w:val="none" w:sz="0" w:space="0" w:color="auto"/>
        <w:right w:val="none" w:sz="0" w:space="0" w:color="auto"/>
      </w:divBdr>
    </w:div>
    <w:div w:id="1664115240">
      <w:marLeft w:val="0"/>
      <w:marRight w:val="0"/>
      <w:marTop w:val="0"/>
      <w:marBottom w:val="0"/>
      <w:divBdr>
        <w:top w:val="none" w:sz="0" w:space="0" w:color="auto"/>
        <w:left w:val="none" w:sz="0" w:space="0" w:color="auto"/>
        <w:bottom w:val="none" w:sz="0" w:space="0" w:color="auto"/>
        <w:right w:val="none" w:sz="0" w:space="0" w:color="auto"/>
      </w:divBdr>
    </w:div>
    <w:div w:id="1664115241">
      <w:marLeft w:val="0"/>
      <w:marRight w:val="0"/>
      <w:marTop w:val="0"/>
      <w:marBottom w:val="0"/>
      <w:divBdr>
        <w:top w:val="none" w:sz="0" w:space="0" w:color="auto"/>
        <w:left w:val="none" w:sz="0" w:space="0" w:color="auto"/>
        <w:bottom w:val="none" w:sz="0" w:space="0" w:color="auto"/>
        <w:right w:val="none" w:sz="0" w:space="0" w:color="auto"/>
      </w:divBdr>
    </w:div>
    <w:div w:id="1664115242">
      <w:marLeft w:val="0"/>
      <w:marRight w:val="0"/>
      <w:marTop w:val="0"/>
      <w:marBottom w:val="0"/>
      <w:divBdr>
        <w:top w:val="none" w:sz="0" w:space="0" w:color="auto"/>
        <w:left w:val="none" w:sz="0" w:space="0" w:color="auto"/>
        <w:bottom w:val="none" w:sz="0" w:space="0" w:color="auto"/>
        <w:right w:val="none" w:sz="0" w:space="0" w:color="auto"/>
      </w:divBdr>
    </w:div>
    <w:div w:id="1664115243">
      <w:marLeft w:val="0"/>
      <w:marRight w:val="0"/>
      <w:marTop w:val="0"/>
      <w:marBottom w:val="0"/>
      <w:divBdr>
        <w:top w:val="none" w:sz="0" w:space="0" w:color="auto"/>
        <w:left w:val="none" w:sz="0" w:space="0" w:color="auto"/>
        <w:bottom w:val="none" w:sz="0" w:space="0" w:color="auto"/>
        <w:right w:val="none" w:sz="0" w:space="0" w:color="auto"/>
      </w:divBdr>
    </w:div>
    <w:div w:id="1664115244">
      <w:marLeft w:val="0"/>
      <w:marRight w:val="0"/>
      <w:marTop w:val="0"/>
      <w:marBottom w:val="0"/>
      <w:divBdr>
        <w:top w:val="none" w:sz="0" w:space="0" w:color="auto"/>
        <w:left w:val="none" w:sz="0" w:space="0" w:color="auto"/>
        <w:bottom w:val="none" w:sz="0" w:space="0" w:color="auto"/>
        <w:right w:val="none" w:sz="0" w:space="0" w:color="auto"/>
      </w:divBdr>
    </w:div>
    <w:div w:id="1664115245">
      <w:marLeft w:val="0"/>
      <w:marRight w:val="0"/>
      <w:marTop w:val="0"/>
      <w:marBottom w:val="0"/>
      <w:divBdr>
        <w:top w:val="none" w:sz="0" w:space="0" w:color="auto"/>
        <w:left w:val="none" w:sz="0" w:space="0" w:color="auto"/>
        <w:bottom w:val="none" w:sz="0" w:space="0" w:color="auto"/>
        <w:right w:val="none" w:sz="0" w:space="0" w:color="auto"/>
      </w:divBdr>
    </w:div>
    <w:div w:id="1664115246">
      <w:marLeft w:val="0"/>
      <w:marRight w:val="0"/>
      <w:marTop w:val="0"/>
      <w:marBottom w:val="0"/>
      <w:divBdr>
        <w:top w:val="none" w:sz="0" w:space="0" w:color="auto"/>
        <w:left w:val="none" w:sz="0" w:space="0" w:color="auto"/>
        <w:bottom w:val="none" w:sz="0" w:space="0" w:color="auto"/>
        <w:right w:val="none" w:sz="0" w:space="0" w:color="auto"/>
      </w:divBdr>
    </w:div>
    <w:div w:id="1664115247">
      <w:marLeft w:val="0"/>
      <w:marRight w:val="0"/>
      <w:marTop w:val="0"/>
      <w:marBottom w:val="0"/>
      <w:divBdr>
        <w:top w:val="none" w:sz="0" w:space="0" w:color="auto"/>
        <w:left w:val="none" w:sz="0" w:space="0" w:color="auto"/>
        <w:bottom w:val="none" w:sz="0" w:space="0" w:color="auto"/>
        <w:right w:val="none" w:sz="0" w:space="0" w:color="auto"/>
      </w:divBdr>
    </w:div>
    <w:div w:id="1664115248">
      <w:marLeft w:val="0"/>
      <w:marRight w:val="0"/>
      <w:marTop w:val="0"/>
      <w:marBottom w:val="0"/>
      <w:divBdr>
        <w:top w:val="none" w:sz="0" w:space="0" w:color="auto"/>
        <w:left w:val="none" w:sz="0" w:space="0" w:color="auto"/>
        <w:bottom w:val="none" w:sz="0" w:space="0" w:color="auto"/>
        <w:right w:val="none" w:sz="0" w:space="0" w:color="auto"/>
      </w:divBdr>
    </w:div>
    <w:div w:id="1664115249">
      <w:marLeft w:val="0"/>
      <w:marRight w:val="0"/>
      <w:marTop w:val="0"/>
      <w:marBottom w:val="0"/>
      <w:divBdr>
        <w:top w:val="none" w:sz="0" w:space="0" w:color="auto"/>
        <w:left w:val="none" w:sz="0" w:space="0" w:color="auto"/>
        <w:bottom w:val="none" w:sz="0" w:space="0" w:color="auto"/>
        <w:right w:val="none" w:sz="0" w:space="0" w:color="auto"/>
      </w:divBdr>
    </w:div>
    <w:div w:id="1664115250">
      <w:marLeft w:val="0"/>
      <w:marRight w:val="0"/>
      <w:marTop w:val="0"/>
      <w:marBottom w:val="0"/>
      <w:divBdr>
        <w:top w:val="none" w:sz="0" w:space="0" w:color="auto"/>
        <w:left w:val="none" w:sz="0" w:space="0" w:color="auto"/>
        <w:bottom w:val="none" w:sz="0" w:space="0" w:color="auto"/>
        <w:right w:val="none" w:sz="0" w:space="0" w:color="auto"/>
      </w:divBdr>
    </w:div>
    <w:div w:id="187487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3216</Words>
  <Characters>15870</Characters>
  <Application>Microsoft Office Word</Application>
  <DocSecurity>0</DocSecurity>
  <Lines>132</Lines>
  <Paragraphs>38</Paragraphs>
  <ScaleCrop>false</ScaleCrop>
  <Company/>
  <LinksUpToDate>false</LinksUpToDate>
  <CharactersWithSpaces>19048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subject/>
  <dc:creator>lawlore</dc:creator>
  <cp:keywords/>
  <dc:description/>
  <cp:lastModifiedBy>burforda</cp:lastModifiedBy>
  <cp:revision>4</cp:revision>
  <cp:lastPrinted>2011-10-07T08:26:00Z</cp:lastPrinted>
  <dcterms:created xsi:type="dcterms:W3CDTF">2011-10-14T08:06:00Z</dcterms:created>
  <dcterms:modified xsi:type="dcterms:W3CDTF">2011-10-14T08:32:00Z</dcterms:modified>
</cp:coreProperties>
</file>