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vertAnchor="page" w:horzAnchor="page" w:tblpX="775" w:tblpY="1474"/>
        <w:tblW w:w="10134" w:type="dxa"/>
        <w:shd w:val="clear" w:color="auto" w:fill="CCE0DA"/>
        <w:tblLayout w:type="fixed"/>
        <w:tblCellMar>
          <w:left w:w="0" w:type="dxa"/>
          <w:right w:w="0" w:type="dxa"/>
        </w:tblCellMar>
        <w:tblLook w:val="01E0" w:firstRow="1" w:lastRow="1" w:firstColumn="1" w:lastColumn="1" w:noHBand="0" w:noVBand="0"/>
      </w:tblPr>
      <w:tblGrid>
        <w:gridCol w:w="913"/>
        <w:gridCol w:w="7060"/>
        <w:gridCol w:w="2161"/>
      </w:tblGrid>
      <w:tr w:rsidR="006F19E3" w:rsidRPr="00EB32BB" w14:paraId="1F25EBC1" w14:textId="77777777" w:rsidTr="00AF7744">
        <w:trPr>
          <w:trHeight w:val="826"/>
        </w:trPr>
        <w:tc>
          <w:tcPr>
            <w:tcW w:w="7973" w:type="dxa"/>
            <w:gridSpan w:val="2"/>
            <w:tcBorders>
              <w:top w:val="single" w:sz="4" w:space="0" w:color="4A8958"/>
              <w:left w:val="single" w:sz="4" w:space="0" w:color="4A8958"/>
              <w:bottom w:val="single" w:sz="4" w:space="0" w:color="4A8958"/>
              <w:right w:val="single" w:sz="4" w:space="0" w:color="4A8958"/>
            </w:tcBorders>
            <w:shd w:val="clear" w:color="auto" w:fill="0096D7"/>
          </w:tcPr>
          <w:p w14:paraId="50EC4D17" w14:textId="77777777" w:rsidR="005079E0" w:rsidRPr="00EB32BB" w:rsidRDefault="00407BD8" w:rsidP="00327CE7">
            <w:pPr>
              <w:pStyle w:val="Header"/>
              <w:spacing w:before="0" w:after="0"/>
              <w:ind w:left="-284"/>
              <w:rPr>
                <w:rFonts w:cs="Arial"/>
              </w:rPr>
            </w:pPr>
            <w:r>
              <w:rPr>
                <w:rFonts w:cs="Arial"/>
              </w:rPr>
              <w:t xml:space="preserve">  </w:t>
            </w:r>
            <w:r w:rsidR="00CA136E">
              <w:rPr>
                <w:rFonts w:cs="Arial"/>
              </w:rPr>
              <w:tab/>
            </w:r>
          </w:p>
          <w:p w14:paraId="145639CF" w14:textId="77777777" w:rsidR="006F19E3" w:rsidRPr="00F20FAB" w:rsidRDefault="00ED0E84" w:rsidP="00327CE7">
            <w:pPr>
              <w:tabs>
                <w:tab w:val="left" w:pos="2901"/>
              </w:tabs>
              <w:spacing w:before="240" w:after="240"/>
              <w:ind w:left="113"/>
              <w:rPr>
                <w:rFonts w:cs="Arial"/>
                <w:b/>
                <w:color w:val="FFFFFF"/>
                <w:sz w:val="28"/>
                <w:szCs w:val="28"/>
              </w:rPr>
            </w:pPr>
            <w:r>
              <w:rPr>
                <w:rFonts w:cs="Arial"/>
                <w:b/>
                <w:color w:val="FFFFFF"/>
                <w:sz w:val="28"/>
                <w:szCs w:val="28"/>
              </w:rPr>
              <w:t xml:space="preserve">DCUSA </w:t>
            </w:r>
            <w:r w:rsidR="00CA136E">
              <w:rPr>
                <w:rFonts w:cs="Arial"/>
                <w:b/>
                <w:color w:val="FFFFFF"/>
                <w:sz w:val="28"/>
                <w:szCs w:val="28"/>
              </w:rPr>
              <w:t>Consultation</w:t>
            </w:r>
          </w:p>
        </w:tc>
        <w:tc>
          <w:tcPr>
            <w:tcW w:w="2161" w:type="dxa"/>
            <w:tcBorders>
              <w:top w:val="single" w:sz="4" w:space="0" w:color="4A8958"/>
              <w:left w:val="single" w:sz="4" w:space="0" w:color="4A8958"/>
              <w:bottom w:val="single" w:sz="4" w:space="0" w:color="4A8958"/>
              <w:right w:val="single" w:sz="4" w:space="0" w:color="4A8958"/>
            </w:tcBorders>
            <w:shd w:val="clear" w:color="auto" w:fill="0096D7"/>
          </w:tcPr>
          <w:p w14:paraId="4AF4747E" w14:textId="77777777" w:rsidR="006F19E3" w:rsidRPr="00EB32BB" w:rsidRDefault="006F19E3" w:rsidP="00327CE7">
            <w:pPr>
              <w:pStyle w:val="BlockText"/>
              <w:spacing w:line="240" w:lineRule="auto"/>
              <w:ind w:left="57" w:right="-57"/>
              <w:rPr>
                <w:rFonts w:cs="Arial"/>
                <w:sz w:val="20"/>
                <w:szCs w:val="20"/>
              </w:rPr>
            </w:pPr>
            <w:r w:rsidRPr="00EB32BB">
              <w:rPr>
                <w:rFonts w:cs="Arial"/>
                <w:sz w:val="20"/>
                <w:szCs w:val="20"/>
              </w:rPr>
              <w:t>At what stage is this document in the process?</w:t>
            </w:r>
          </w:p>
        </w:tc>
      </w:tr>
      <w:tr w:rsidR="006F19E3" w:rsidRPr="00EB32BB" w14:paraId="41C2997C" w14:textId="77777777" w:rsidTr="006F19E3">
        <w:trPr>
          <w:trHeight w:val="2725"/>
        </w:trPr>
        <w:tc>
          <w:tcPr>
            <w:tcW w:w="7973" w:type="dxa"/>
            <w:gridSpan w:val="2"/>
            <w:tcBorders>
              <w:top w:val="single" w:sz="4" w:space="0" w:color="4A8958"/>
              <w:left w:val="single" w:sz="4" w:space="0" w:color="4A8958"/>
              <w:bottom w:val="single" w:sz="4" w:space="0" w:color="4A8958"/>
              <w:right w:val="single" w:sz="4" w:space="0" w:color="4A8958"/>
            </w:tcBorders>
            <w:shd w:val="clear" w:color="auto" w:fill="auto"/>
          </w:tcPr>
          <w:p w14:paraId="0CD206C2" w14:textId="7ED010B1" w:rsidR="006F19E3" w:rsidRPr="00EB32BB" w:rsidRDefault="00245D7E" w:rsidP="00327CE7">
            <w:pPr>
              <w:ind w:left="113" w:right="113"/>
              <w:rPr>
                <w:rFonts w:cs="Arial"/>
                <w:i/>
                <w:color w:val="00B274"/>
                <w:sz w:val="24"/>
              </w:rPr>
            </w:pPr>
            <w:r>
              <w:rPr>
                <w:rFonts w:cs="Arial"/>
                <w:color w:val="008576"/>
                <w:sz w:val="80"/>
                <w:szCs w:val="80"/>
              </w:rPr>
              <w:t>DCP 3</w:t>
            </w:r>
            <w:r w:rsidR="00E1232A">
              <w:rPr>
                <w:rFonts w:cs="Arial"/>
                <w:color w:val="008576"/>
                <w:sz w:val="80"/>
                <w:szCs w:val="80"/>
              </w:rPr>
              <w:t>48</w:t>
            </w:r>
          </w:p>
          <w:p w14:paraId="705A0A6E" w14:textId="64A22669" w:rsidR="00A340FA" w:rsidRDefault="00E1232A" w:rsidP="00327CE7">
            <w:pPr>
              <w:ind w:left="113" w:right="113"/>
              <w:rPr>
                <w:rFonts w:cs="Arial"/>
                <w:color w:val="008000"/>
                <w:sz w:val="48"/>
                <w:szCs w:val="48"/>
              </w:rPr>
            </w:pPr>
            <w:r>
              <w:rPr>
                <w:rFonts w:cs="Arial"/>
                <w:color w:val="008000"/>
                <w:sz w:val="48"/>
                <w:szCs w:val="48"/>
              </w:rPr>
              <w:t>DNO charging for installing capacity management and communications equipment to enable Flexibility in Connections</w:t>
            </w:r>
          </w:p>
          <w:p w14:paraId="494F0284" w14:textId="5A6D1AA1" w:rsidR="00D93A95" w:rsidRPr="00EB32BB" w:rsidRDefault="00857BF6" w:rsidP="00327CE7">
            <w:pPr>
              <w:ind w:left="113" w:right="113"/>
              <w:rPr>
                <w:rFonts w:cs="Arial"/>
                <w:i/>
                <w:color w:val="00B274"/>
                <w:sz w:val="24"/>
              </w:rPr>
            </w:pPr>
            <w:r>
              <w:rPr>
                <w:rFonts w:cs="Arial"/>
                <w:i/>
                <w:color w:val="00B274"/>
                <w:sz w:val="24"/>
              </w:rPr>
              <w:t>R</w:t>
            </w:r>
            <w:r w:rsidR="00370895">
              <w:rPr>
                <w:rFonts w:cs="Arial"/>
                <w:i/>
                <w:color w:val="00B274"/>
                <w:sz w:val="24"/>
              </w:rPr>
              <w:t>aised</w:t>
            </w:r>
            <w:r w:rsidR="00A340FA">
              <w:rPr>
                <w:rFonts w:cs="Arial"/>
                <w:i/>
                <w:color w:val="00B274"/>
                <w:sz w:val="24"/>
              </w:rPr>
              <w:t xml:space="preserve"> on the </w:t>
            </w:r>
            <w:r w:rsidR="00E1232A">
              <w:rPr>
                <w:rFonts w:cs="Arial"/>
                <w:i/>
                <w:color w:val="00B274"/>
                <w:sz w:val="24"/>
              </w:rPr>
              <w:t>28 June</w:t>
            </w:r>
            <w:r w:rsidR="00AE39CB">
              <w:rPr>
                <w:rFonts w:cs="Arial"/>
                <w:i/>
                <w:color w:val="00B274"/>
                <w:sz w:val="24"/>
              </w:rPr>
              <w:t xml:space="preserve"> 2019</w:t>
            </w:r>
            <w:r w:rsidR="00A340FA">
              <w:rPr>
                <w:rFonts w:cs="Arial"/>
                <w:i/>
                <w:color w:val="00B274"/>
                <w:sz w:val="24"/>
              </w:rPr>
              <w:t xml:space="preserve"> as a Standard</w:t>
            </w:r>
            <w:r w:rsidR="00D519F7">
              <w:rPr>
                <w:rFonts w:cs="Arial"/>
                <w:i/>
                <w:color w:val="00B274"/>
                <w:sz w:val="24"/>
              </w:rPr>
              <w:t xml:space="preserve"> Change</w:t>
            </w:r>
          </w:p>
        </w:tc>
        <w:tc>
          <w:tcPr>
            <w:tcW w:w="2161" w:type="dxa"/>
            <w:tcBorders>
              <w:top w:val="single" w:sz="4" w:space="0" w:color="4A8958"/>
              <w:left w:val="single" w:sz="4" w:space="0" w:color="FFFFFF"/>
              <w:bottom w:val="single" w:sz="4" w:space="0" w:color="4A8958"/>
              <w:right w:val="single" w:sz="4" w:space="0" w:color="4A8958"/>
            </w:tcBorders>
            <w:shd w:val="clear" w:color="auto" w:fill="auto"/>
          </w:tcPr>
          <w:tbl>
            <w:tblPr>
              <w:tblW w:w="207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5"/>
            </w:tblGrid>
            <w:tr w:rsidR="00F770DC" w:rsidRPr="00881D23" w14:paraId="2E155BF0" w14:textId="77777777" w:rsidTr="00C4569B">
              <w:trPr>
                <w:trHeight w:val="820"/>
              </w:trPr>
              <w:tc>
                <w:tcPr>
                  <w:tcW w:w="2075" w:type="dxa"/>
                  <w:shd w:val="clear" w:color="auto" w:fill="auto"/>
                  <w:vAlign w:val="center"/>
                </w:tcPr>
                <w:p w14:paraId="772052CC" w14:textId="77777777" w:rsidR="00F770DC" w:rsidRPr="000E1892" w:rsidRDefault="00F770DC" w:rsidP="00E646AD">
                  <w:pPr>
                    <w:framePr w:hSpace="180" w:wrap="around" w:vAnchor="page" w:hAnchor="page" w:x="775" w:y="1474"/>
                    <w:spacing w:line="240" w:lineRule="auto"/>
                    <w:ind w:right="28"/>
                    <w:rPr>
                      <w:rFonts w:cs="Arial"/>
                      <w:b/>
                      <w:color w:val="00CC66"/>
                      <w:szCs w:val="20"/>
                    </w:rPr>
                  </w:pPr>
                  <w:r w:rsidRPr="000E1892">
                    <w:rPr>
                      <w:rFonts w:cs="Arial"/>
                      <w:b/>
                      <w:color w:val="00B274"/>
                      <w:szCs w:val="20"/>
                    </w:rPr>
                    <w:t>01 – Change Proposal</w:t>
                  </w:r>
                </w:p>
              </w:tc>
            </w:tr>
            <w:tr w:rsidR="00F770DC" w:rsidRPr="00881D23" w14:paraId="1216C5FA" w14:textId="77777777" w:rsidTr="00F770DC">
              <w:trPr>
                <w:trHeight w:val="802"/>
              </w:trPr>
              <w:tc>
                <w:tcPr>
                  <w:tcW w:w="2075" w:type="dxa"/>
                  <w:shd w:val="clear" w:color="auto" w:fill="0096D7"/>
                  <w:vAlign w:val="center"/>
                </w:tcPr>
                <w:p w14:paraId="0474DB89" w14:textId="77777777" w:rsidR="00F770DC" w:rsidRPr="00C4569B" w:rsidRDefault="00F770DC" w:rsidP="00E646AD">
                  <w:pPr>
                    <w:framePr w:hSpace="180" w:wrap="around" w:vAnchor="page" w:hAnchor="page" w:x="775" w:y="1474"/>
                    <w:spacing w:line="240" w:lineRule="auto"/>
                    <w:ind w:right="28"/>
                    <w:rPr>
                      <w:rFonts w:cs="Arial"/>
                      <w:b/>
                      <w:color w:val="FFFFFF"/>
                      <w:szCs w:val="20"/>
                    </w:rPr>
                  </w:pPr>
                  <w:r w:rsidRPr="00C4569B">
                    <w:rPr>
                      <w:rFonts w:cs="Arial"/>
                      <w:b/>
                      <w:color w:val="FFFFFF"/>
                      <w:szCs w:val="20"/>
                    </w:rPr>
                    <w:t xml:space="preserve">02 – Consultation </w:t>
                  </w:r>
                </w:p>
              </w:tc>
            </w:tr>
            <w:tr w:rsidR="00F770DC" w:rsidRPr="00881D23" w14:paraId="6F5D4791" w14:textId="77777777" w:rsidTr="00F770DC">
              <w:trPr>
                <w:trHeight w:val="800"/>
              </w:trPr>
              <w:tc>
                <w:tcPr>
                  <w:tcW w:w="2075" w:type="dxa"/>
                  <w:shd w:val="clear" w:color="auto" w:fill="auto"/>
                  <w:vAlign w:val="center"/>
                </w:tcPr>
                <w:p w14:paraId="0EB5CBEF" w14:textId="77777777" w:rsidR="00F770DC" w:rsidRPr="00F770DC" w:rsidRDefault="0007537E" w:rsidP="00E646AD">
                  <w:pPr>
                    <w:framePr w:hSpace="180" w:wrap="around" w:vAnchor="page" w:hAnchor="page" w:x="775" w:y="1474"/>
                    <w:spacing w:line="240" w:lineRule="auto"/>
                    <w:ind w:right="28"/>
                    <w:rPr>
                      <w:rFonts w:cs="Arial"/>
                      <w:b/>
                      <w:color w:val="9A4D9E"/>
                      <w:szCs w:val="20"/>
                    </w:rPr>
                  </w:pPr>
                  <w:r>
                    <w:rPr>
                      <w:rFonts w:cs="Arial"/>
                      <w:b/>
                      <w:color w:val="9A4D9E"/>
                      <w:szCs w:val="20"/>
                    </w:rPr>
                    <w:t xml:space="preserve">03 – </w:t>
                  </w:r>
                  <w:r w:rsidR="00F770DC" w:rsidRPr="00F770DC">
                    <w:rPr>
                      <w:rFonts w:cs="Arial"/>
                      <w:b/>
                      <w:color w:val="9A4D9E"/>
                      <w:szCs w:val="20"/>
                    </w:rPr>
                    <w:t>Change Report</w:t>
                  </w:r>
                </w:p>
              </w:tc>
            </w:tr>
            <w:tr w:rsidR="00F770DC" w:rsidRPr="00881D23" w14:paraId="65DED12C" w14:textId="77777777" w:rsidTr="00C4569B">
              <w:trPr>
                <w:trHeight w:val="795"/>
              </w:trPr>
              <w:tc>
                <w:tcPr>
                  <w:tcW w:w="2075" w:type="dxa"/>
                  <w:shd w:val="clear" w:color="auto" w:fill="FFFFFF"/>
                  <w:vAlign w:val="center"/>
                </w:tcPr>
                <w:p w14:paraId="688F8B45" w14:textId="77777777" w:rsidR="00F770DC" w:rsidRPr="00881D23" w:rsidRDefault="00F770DC" w:rsidP="00E646AD">
                  <w:pPr>
                    <w:framePr w:hSpace="180" w:wrap="around" w:vAnchor="page" w:hAnchor="page" w:x="775" w:y="1474"/>
                    <w:spacing w:line="240" w:lineRule="auto"/>
                    <w:ind w:right="28"/>
                    <w:rPr>
                      <w:rFonts w:cs="Arial"/>
                      <w:b/>
                      <w:color w:val="F59114"/>
                      <w:szCs w:val="20"/>
                    </w:rPr>
                  </w:pPr>
                  <w:r w:rsidRPr="00881D23">
                    <w:rPr>
                      <w:rFonts w:cs="Arial"/>
                      <w:b/>
                      <w:color w:val="F59114"/>
                      <w:szCs w:val="20"/>
                    </w:rPr>
                    <w:t xml:space="preserve">04 – </w:t>
                  </w:r>
                  <w:r w:rsidR="00E20E29">
                    <w:rPr>
                      <w:rFonts w:cs="Arial"/>
                      <w:b/>
                      <w:color w:val="F59114"/>
                      <w:szCs w:val="20"/>
                    </w:rPr>
                    <w:t>Change Declaration</w:t>
                  </w:r>
                </w:p>
              </w:tc>
            </w:tr>
          </w:tbl>
          <w:p w14:paraId="300B6F89" w14:textId="77777777" w:rsidR="006F19E3" w:rsidRPr="00EB32BB" w:rsidRDefault="006F19E3" w:rsidP="00327CE7">
            <w:pPr>
              <w:spacing w:line="240" w:lineRule="auto"/>
              <w:ind w:left="28" w:right="28"/>
              <w:rPr>
                <w:rFonts w:cs="Arial"/>
                <w:color w:val="008576"/>
                <w:szCs w:val="20"/>
              </w:rPr>
            </w:pPr>
          </w:p>
        </w:tc>
      </w:tr>
      <w:tr w:rsidR="006F19E3" w:rsidRPr="00EB32BB" w14:paraId="3EBF393F" w14:textId="77777777" w:rsidTr="006F19E3">
        <w:trPr>
          <w:trHeight w:val="862"/>
        </w:trPr>
        <w:tc>
          <w:tcPr>
            <w:tcW w:w="10134" w:type="dxa"/>
            <w:gridSpan w:val="3"/>
            <w:tcBorders>
              <w:top w:val="single" w:sz="4" w:space="0" w:color="4A8958"/>
              <w:left w:val="single" w:sz="4" w:space="0" w:color="4A8958"/>
              <w:bottom w:val="single" w:sz="4" w:space="0" w:color="4A8958"/>
              <w:right w:val="single" w:sz="4" w:space="0" w:color="4A8958"/>
            </w:tcBorders>
            <w:shd w:val="clear" w:color="auto" w:fill="auto"/>
          </w:tcPr>
          <w:p w14:paraId="61870528" w14:textId="77777777" w:rsidR="006F19E3" w:rsidRPr="00351B9D" w:rsidRDefault="006F19E3" w:rsidP="00327CE7">
            <w:pPr>
              <w:pStyle w:val="BodyText2"/>
              <w:ind w:left="113" w:right="113"/>
              <w:rPr>
                <w:rFonts w:cs="Arial"/>
                <w:b/>
                <w:i/>
                <w:color w:val="00B274"/>
                <w:sz w:val="24"/>
              </w:rPr>
            </w:pPr>
            <w:r w:rsidRPr="00351B9D">
              <w:rPr>
                <w:rFonts w:cs="Arial"/>
                <w:b/>
                <w:sz w:val="24"/>
              </w:rPr>
              <w:t xml:space="preserve">Purpose of </w:t>
            </w:r>
            <w:r w:rsidR="00231812">
              <w:rPr>
                <w:rFonts w:cs="Arial"/>
                <w:b/>
                <w:sz w:val="24"/>
              </w:rPr>
              <w:t>Change Proposal</w:t>
            </w:r>
            <w:r w:rsidRPr="00351B9D">
              <w:rPr>
                <w:rFonts w:cs="Arial"/>
                <w:b/>
                <w:sz w:val="24"/>
              </w:rPr>
              <w:t>:</w:t>
            </w:r>
            <w:r w:rsidRPr="00351B9D">
              <w:rPr>
                <w:rFonts w:cs="Arial"/>
                <w:b/>
                <w:i/>
                <w:color w:val="00B274"/>
                <w:sz w:val="24"/>
              </w:rPr>
              <w:t xml:space="preserve"> </w:t>
            </w:r>
            <w:r w:rsidR="00370895">
              <w:rPr>
                <w:rFonts w:cs="Arial"/>
                <w:i/>
                <w:color w:val="00B274"/>
                <w:sz w:val="24"/>
              </w:rPr>
              <w:t xml:space="preserve"> </w:t>
            </w:r>
          </w:p>
          <w:p w14:paraId="13DDCAF1" w14:textId="40AC6D83" w:rsidR="006F19E3" w:rsidRPr="00EB32BB" w:rsidRDefault="00A340FA" w:rsidP="00327CE7">
            <w:pPr>
              <w:ind w:left="113" w:right="113"/>
              <w:rPr>
                <w:rFonts w:cs="Arial"/>
              </w:rPr>
            </w:pPr>
            <w:r w:rsidRPr="00A340FA">
              <w:rPr>
                <w:sz w:val="24"/>
              </w:rPr>
              <w:t xml:space="preserve">The intent of this Change Proposal </w:t>
            </w:r>
            <w:r w:rsidR="00AE39CB">
              <w:rPr>
                <w:sz w:val="24"/>
              </w:rPr>
              <w:t xml:space="preserve">is to </w:t>
            </w:r>
            <w:r w:rsidR="00E1232A">
              <w:rPr>
                <w:sz w:val="24"/>
              </w:rPr>
              <w:t xml:space="preserve">develop a transparent and consistent approach across all DNOs for charging for </w:t>
            </w:r>
            <w:r w:rsidR="00F24537">
              <w:rPr>
                <w:sz w:val="24"/>
              </w:rPr>
              <w:t>F</w:t>
            </w:r>
            <w:r w:rsidR="00E1232A">
              <w:rPr>
                <w:sz w:val="24"/>
              </w:rPr>
              <w:t xml:space="preserve">lexible </w:t>
            </w:r>
            <w:r w:rsidR="00F24537">
              <w:rPr>
                <w:sz w:val="24"/>
              </w:rPr>
              <w:t>C</w:t>
            </w:r>
            <w:r w:rsidR="00E1232A">
              <w:rPr>
                <w:sz w:val="24"/>
              </w:rPr>
              <w:t>onnections</w:t>
            </w:r>
            <w:commentRangeStart w:id="0"/>
            <w:r w:rsidR="00F24537">
              <w:rPr>
                <w:rStyle w:val="FootnoteReference"/>
                <w:sz w:val="24"/>
              </w:rPr>
              <w:footnoteReference w:id="1"/>
            </w:r>
            <w:commentRangeEnd w:id="0"/>
            <w:r w:rsidR="00423C33">
              <w:rPr>
                <w:rStyle w:val="CommentReference"/>
              </w:rPr>
              <w:commentReference w:id="0"/>
            </w:r>
            <w:r w:rsidR="00E1232A">
              <w:rPr>
                <w:sz w:val="24"/>
              </w:rPr>
              <w:t>.</w:t>
            </w:r>
          </w:p>
        </w:tc>
      </w:tr>
      <w:tr w:rsidR="006F19E3" w:rsidRPr="00EB32BB" w14:paraId="78F67677" w14:textId="77777777" w:rsidTr="006F19E3">
        <w:trPr>
          <w:trHeight w:val="899"/>
        </w:trPr>
        <w:tc>
          <w:tcPr>
            <w:tcW w:w="913" w:type="dxa"/>
            <w:tcBorders>
              <w:top w:val="single" w:sz="4" w:space="0" w:color="4A8958"/>
              <w:left w:val="single" w:sz="4" w:space="0" w:color="4A8958"/>
              <w:bottom w:val="single" w:sz="4" w:space="0" w:color="4A8958"/>
              <w:right w:val="single" w:sz="4" w:space="0" w:color="4A8958"/>
            </w:tcBorders>
            <w:shd w:val="clear" w:color="auto" w:fill="auto"/>
            <w:vAlign w:val="center"/>
          </w:tcPr>
          <w:p w14:paraId="4903FA7B" w14:textId="77777777" w:rsidR="006F19E3" w:rsidRPr="00EB32BB" w:rsidRDefault="00EB5FE7" w:rsidP="00327CE7">
            <w:pPr>
              <w:ind w:firstLine="9"/>
              <w:jc w:val="center"/>
              <w:rPr>
                <w:rFonts w:cs="Arial"/>
              </w:rPr>
            </w:pPr>
            <w:r>
              <w:rPr>
                <w:rFonts w:cs="Arial"/>
                <w:noProof/>
              </w:rPr>
              <w:drawing>
                <wp:inline distT="0" distB="0" distL="0" distR="0" wp14:anchorId="77EF833C" wp14:editId="3A8A7A53">
                  <wp:extent cx="476250" cy="476250"/>
                  <wp:effectExtent l="0" t="0" r="0" b="0"/>
                  <wp:docPr id="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76250" cy="476250"/>
                          </a:xfrm>
                          <a:prstGeom prst="rect">
                            <a:avLst/>
                          </a:prstGeom>
                          <a:noFill/>
                          <a:ln>
                            <a:noFill/>
                          </a:ln>
                        </pic:spPr>
                      </pic:pic>
                    </a:graphicData>
                  </a:graphic>
                </wp:inline>
              </w:drawing>
            </w:r>
            <w:r>
              <w:rPr>
                <w:rFonts w:cs="Arial"/>
                <w:noProof/>
              </w:rPr>
              <w:drawing>
                <wp:inline distT="0" distB="0" distL="0" distR="0" wp14:anchorId="6D83A0C9" wp14:editId="6DBC28AA">
                  <wp:extent cx="466725" cy="552450"/>
                  <wp:effectExtent l="0" t="0" r="9525" b="0"/>
                  <wp:docPr id="1" name="Picture 1" descr="Description: Description: YES_GRE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Description: YES_GREEN"/>
                          <pic:cNvPicPr>
                            <a:picLocks noChangeAspect="1" noChangeArrowheads="1"/>
                          </pic:cNvPicPr>
                        </pic:nvPicPr>
                        <pic:blipFill>
                          <a:blip r:embed="rId12">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6725" cy="552450"/>
                          </a:xfrm>
                          <a:prstGeom prst="rect">
                            <a:avLst/>
                          </a:prstGeom>
                          <a:noFill/>
                          <a:ln>
                            <a:noFill/>
                          </a:ln>
                        </pic:spPr>
                      </pic:pic>
                    </a:graphicData>
                  </a:graphic>
                </wp:inline>
              </w:drawing>
            </w:r>
          </w:p>
        </w:tc>
        <w:tc>
          <w:tcPr>
            <w:tcW w:w="9221" w:type="dxa"/>
            <w:gridSpan w:val="2"/>
            <w:tcBorders>
              <w:top w:val="single" w:sz="4" w:space="0" w:color="4A8958"/>
              <w:left w:val="single" w:sz="4" w:space="0" w:color="4A8958"/>
              <w:bottom w:val="single" w:sz="4" w:space="0" w:color="4A8958"/>
              <w:right w:val="single" w:sz="4" w:space="0" w:color="4A8958"/>
            </w:tcBorders>
            <w:shd w:val="clear" w:color="auto" w:fill="auto"/>
          </w:tcPr>
          <w:p w14:paraId="6449B391" w14:textId="1A96D3AD" w:rsidR="00F770DC" w:rsidRDefault="00F770DC" w:rsidP="00610F10">
            <w:pPr>
              <w:pStyle w:val="BodyText3"/>
              <w:rPr>
                <w:rFonts w:cs="Arial"/>
              </w:rPr>
            </w:pPr>
            <w:r w:rsidRPr="00EB32BB">
              <w:t xml:space="preserve">The </w:t>
            </w:r>
            <w:r>
              <w:t>Work</w:t>
            </w:r>
            <w:r w:rsidR="00954253">
              <w:t>ing G</w:t>
            </w:r>
            <w:r>
              <w:t>roup</w:t>
            </w:r>
            <w:r w:rsidRPr="00EB32BB">
              <w:t xml:space="preserve"> recommends that this </w:t>
            </w:r>
            <w:r w:rsidR="00944047">
              <w:t xml:space="preserve">Change Proposal </w:t>
            </w:r>
            <w:r w:rsidRPr="00EB32BB">
              <w:t>should:</w:t>
            </w:r>
            <w:r w:rsidRPr="00EB32BB">
              <w:rPr>
                <w:rFonts w:cs="Arial"/>
              </w:rPr>
              <w:t xml:space="preserve"> proceed to Consultation</w:t>
            </w:r>
          </w:p>
          <w:p w14:paraId="7A7A9C09" w14:textId="2EA2CAB8" w:rsidR="00231812" w:rsidRDefault="003328B8" w:rsidP="00610F10">
            <w:pPr>
              <w:pStyle w:val="BodyText3"/>
              <w:rPr>
                <w:b/>
                <w:bCs/>
                <w:iCs/>
              </w:rPr>
            </w:pPr>
            <w:r w:rsidRPr="003328B8">
              <w:t xml:space="preserve">Parties are invited to consider the questions set </w:t>
            </w:r>
            <w:r w:rsidR="00067E74">
              <w:t xml:space="preserve">in section </w:t>
            </w:r>
            <w:r w:rsidR="00AD0E5F">
              <w:t>9</w:t>
            </w:r>
            <w:r w:rsidR="00AD0E5F" w:rsidRPr="003328B8">
              <w:t xml:space="preserve"> </w:t>
            </w:r>
            <w:r w:rsidRPr="003328B8">
              <w:t xml:space="preserve">and submit comments using the form attached as </w:t>
            </w:r>
            <w:r w:rsidRPr="00270472">
              <w:t>Attachment 1 to</w:t>
            </w:r>
            <w:r w:rsidRPr="00270472">
              <w:rPr>
                <w:color w:val="000000"/>
              </w:rPr>
              <w:t xml:space="preserve"> </w:t>
            </w:r>
            <w:r w:rsidRPr="00270472">
              <w:rPr>
                <w:color w:val="0000FF"/>
                <w:u w:val="single"/>
              </w:rPr>
              <w:t>dcusa@electralink.co.uk</w:t>
            </w:r>
            <w:r w:rsidRPr="00270472">
              <w:rPr>
                <w:color w:val="000000"/>
              </w:rPr>
              <w:t xml:space="preserve"> </w:t>
            </w:r>
            <w:r w:rsidRPr="00BD500A">
              <w:t>by</w:t>
            </w:r>
            <w:r w:rsidRPr="00BD500A">
              <w:rPr>
                <w:rFonts w:ascii="Calibri" w:hAnsi="Calibri" w:cs="Verdana"/>
                <w:color w:val="000000"/>
                <w:sz w:val="22"/>
                <w:szCs w:val="22"/>
              </w:rPr>
              <w:t xml:space="preserve"> </w:t>
            </w:r>
            <w:commentRangeStart w:id="1"/>
            <w:r w:rsidR="00E1232A">
              <w:rPr>
                <w:b/>
              </w:rPr>
              <w:t>XX XXX XX</w:t>
            </w:r>
            <w:r w:rsidR="006248E3" w:rsidRPr="00BD500A">
              <w:rPr>
                <w:b/>
              </w:rPr>
              <w:t>.</w:t>
            </w:r>
            <w:commentRangeEnd w:id="1"/>
            <w:r w:rsidR="00954253">
              <w:rPr>
                <w:rStyle w:val="CommentReference"/>
              </w:rPr>
              <w:commentReference w:id="1"/>
            </w:r>
          </w:p>
          <w:p w14:paraId="4CC107B8" w14:textId="07E666E0" w:rsidR="00C35A97" w:rsidRPr="00C35A97" w:rsidRDefault="00E25A24" w:rsidP="00610F10">
            <w:pPr>
              <w:pStyle w:val="BodyText3"/>
            </w:pPr>
            <w:r>
              <w:t xml:space="preserve">DCP </w:t>
            </w:r>
            <w:r w:rsidR="00245D7E">
              <w:t>3</w:t>
            </w:r>
            <w:r w:rsidR="00E1232A">
              <w:t>48</w:t>
            </w:r>
            <w:r>
              <w:t xml:space="preserve"> has been designated as a Part </w:t>
            </w:r>
            <w:r w:rsidR="00E1232A">
              <w:t>1</w:t>
            </w:r>
            <w:r w:rsidR="00C35A97" w:rsidRPr="00C35A97">
              <w:t xml:space="preserve"> Matter</w:t>
            </w:r>
            <w:r>
              <w:t xml:space="preserve"> and a</w:t>
            </w:r>
            <w:r w:rsidR="00245D7E">
              <w:t xml:space="preserve"> </w:t>
            </w:r>
            <w:r w:rsidR="00E1232A">
              <w:t>S</w:t>
            </w:r>
            <w:r w:rsidR="00245D7E">
              <w:t>tandard</w:t>
            </w:r>
            <w:r>
              <w:t xml:space="preserve"> </w:t>
            </w:r>
            <w:r w:rsidR="00E1232A">
              <w:t>C</w:t>
            </w:r>
            <w:r>
              <w:t>hange</w:t>
            </w:r>
            <w:r w:rsidR="00C35A97" w:rsidRPr="00C35A97">
              <w:t>.</w:t>
            </w:r>
          </w:p>
          <w:p w14:paraId="245200D3" w14:textId="77777777" w:rsidR="006F19E3" w:rsidRPr="00EB32BB" w:rsidRDefault="00BB3DE9" w:rsidP="00610F10">
            <w:pPr>
              <w:pStyle w:val="BodyText3"/>
              <w:rPr>
                <w:rFonts w:cs="Arial"/>
              </w:rPr>
            </w:pPr>
            <w:r w:rsidRPr="005B0B30">
              <w:rPr>
                <w:rFonts w:cs="Arial"/>
              </w:rPr>
              <w:t xml:space="preserve">The </w:t>
            </w:r>
            <w:r w:rsidR="003328B8">
              <w:rPr>
                <w:rFonts w:cs="Arial"/>
              </w:rPr>
              <w:t xml:space="preserve">Working Group </w:t>
            </w:r>
            <w:r w:rsidRPr="005B0B30">
              <w:rPr>
                <w:rFonts w:cs="Arial"/>
              </w:rPr>
              <w:t xml:space="preserve">will consider </w:t>
            </w:r>
            <w:r w:rsidR="003328B8">
              <w:rPr>
                <w:rFonts w:cs="Arial"/>
              </w:rPr>
              <w:t xml:space="preserve">the consultation responses </w:t>
            </w:r>
            <w:r w:rsidR="006F19E3">
              <w:rPr>
                <w:rFonts w:cs="Arial"/>
              </w:rPr>
              <w:t xml:space="preserve">and determine the appropriate </w:t>
            </w:r>
            <w:r w:rsidR="00D36FC3">
              <w:rPr>
                <w:rFonts w:cs="Arial"/>
              </w:rPr>
              <w:t>next steps</w:t>
            </w:r>
            <w:r w:rsidR="003328B8">
              <w:rPr>
                <w:rFonts w:cs="Arial"/>
              </w:rPr>
              <w:t xml:space="preserve"> for the </w:t>
            </w:r>
            <w:r w:rsidR="00F770DC">
              <w:rPr>
                <w:rFonts w:cs="Arial"/>
              </w:rPr>
              <w:t>progression</w:t>
            </w:r>
            <w:r w:rsidR="00E20E29">
              <w:rPr>
                <w:rFonts w:cs="Arial"/>
              </w:rPr>
              <w:t xml:space="preserve"> of the Change Proposal (CP)</w:t>
            </w:r>
            <w:r w:rsidR="006F19E3">
              <w:rPr>
                <w:rFonts w:cs="Arial"/>
              </w:rPr>
              <w:t>.</w:t>
            </w:r>
          </w:p>
        </w:tc>
      </w:tr>
      <w:tr w:rsidR="006F19E3" w:rsidRPr="00EB32BB" w14:paraId="1FF07076" w14:textId="77777777" w:rsidTr="006F19E3">
        <w:trPr>
          <w:trHeight w:val="739"/>
        </w:trPr>
        <w:tc>
          <w:tcPr>
            <w:tcW w:w="913" w:type="dxa"/>
            <w:tcBorders>
              <w:top w:val="single" w:sz="4" w:space="0" w:color="4A8958"/>
              <w:left w:val="single" w:sz="4" w:space="0" w:color="4A8958"/>
              <w:bottom w:val="single" w:sz="4" w:space="0" w:color="4A8958"/>
              <w:right w:val="single" w:sz="4" w:space="0" w:color="4A8958"/>
            </w:tcBorders>
            <w:shd w:val="clear" w:color="auto" w:fill="auto"/>
            <w:vAlign w:val="center"/>
          </w:tcPr>
          <w:p w14:paraId="222BAEF0" w14:textId="77777777" w:rsidR="006F19E3" w:rsidRPr="00EB32BB" w:rsidRDefault="00EB5FE7" w:rsidP="00327CE7">
            <w:pPr>
              <w:spacing w:before="60" w:after="60"/>
              <w:ind w:firstLine="9"/>
              <w:jc w:val="center"/>
              <w:rPr>
                <w:rFonts w:cs="Arial"/>
              </w:rPr>
            </w:pPr>
            <w:r>
              <w:rPr>
                <w:rFonts w:cs="Arial"/>
                <w:noProof/>
              </w:rPr>
              <w:drawing>
                <wp:inline distT="0" distB="0" distL="0" distR="0" wp14:anchorId="66710674" wp14:editId="1911845B">
                  <wp:extent cx="466725" cy="466725"/>
                  <wp:effectExtent l="0" t="0" r="9525" b="9525"/>
                  <wp:docPr id="3" name="Picture 3" descr="Description: Description: High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Description: High_Impact"/>
                          <pic:cNvPicPr>
                            <a:picLocks noChangeAspect="1" noChangeArrowheads="1"/>
                          </pic:cNvPicPr>
                        </pic:nvPicPr>
                        <pic:blipFill>
                          <a:blip r:embed="rId13">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6725" cy="466725"/>
                          </a:xfrm>
                          <a:prstGeom prst="rect">
                            <a:avLst/>
                          </a:prstGeom>
                          <a:noFill/>
                          <a:ln>
                            <a:noFill/>
                          </a:ln>
                        </pic:spPr>
                      </pic:pic>
                    </a:graphicData>
                  </a:graphic>
                </wp:inline>
              </w:drawing>
            </w:r>
          </w:p>
        </w:tc>
        <w:tc>
          <w:tcPr>
            <w:tcW w:w="9221" w:type="dxa"/>
            <w:gridSpan w:val="2"/>
            <w:tcBorders>
              <w:top w:val="single" w:sz="4" w:space="0" w:color="4A8958"/>
              <w:left w:val="single" w:sz="4" w:space="0" w:color="4A8958"/>
              <w:bottom w:val="single" w:sz="4" w:space="0" w:color="4A8958"/>
              <w:right w:val="single" w:sz="4" w:space="0" w:color="4A8958"/>
            </w:tcBorders>
            <w:shd w:val="clear" w:color="auto" w:fill="auto"/>
          </w:tcPr>
          <w:p w14:paraId="00E302D6" w14:textId="30F7DB43" w:rsidR="006F19E3" w:rsidRPr="00EB32BB" w:rsidRDefault="00370895" w:rsidP="00327CE7">
            <w:pPr>
              <w:ind w:left="113" w:right="113"/>
              <w:rPr>
                <w:rFonts w:cs="Arial"/>
              </w:rPr>
            </w:pPr>
            <w:r>
              <w:rPr>
                <w:sz w:val="24"/>
              </w:rPr>
              <w:t>Impacted Parties</w:t>
            </w:r>
            <w:r w:rsidR="00231812">
              <w:rPr>
                <w:sz w:val="24"/>
              </w:rPr>
              <w:t xml:space="preserve">: </w:t>
            </w:r>
            <w:r w:rsidR="00A340FA">
              <w:rPr>
                <w:sz w:val="24"/>
              </w:rPr>
              <w:t xml:space="preserve"> </w:t>
            </w:r>
            <w:r w:rsidR="00245D7E">
              <w:rPr>
                <w:sz w:val="24"/>
              </w:rPr>
              <w:t>DNOs</w:t>
            </w:r>
            <w:r w:rsidR="00F14538">
              <w:rPr>
                <w:sz w:val="24"/>
              </w:rPr>
              <w:t xml:space="preserve">, </w:t>
            </w:r>
            <w:r w:rsidR="00AE39CB">
              <w:rPr>
                <w:sz w:val="24"/>
              </w:rPr>
              <w:t>IDNOs</w:t>
            </w:r>
            <w:r w:rsidR="00E1232A">
              <w:rPr>
                <w:sz w:val="24"/>
              </w:rPr>
              <w:t>, and CVA Registrants</w:t>
            </w:r>
          </w:p>
        </w:tc>
      </w:tr>
      <w:tr w:rsidR="005D1C6B" w:rsidRPr="00EB32BB" w14:paraId="4C6AFBDC" w14:textId="77777777" w:rsidTr="006F19E3">
        <w:trPr>
          <w:trHeight w:val="739"/>
        </w:trPr>
        <w:tc>
          <w:tcPr>
            <w:tcW w:w="913" w:type="dxa"/>
            <w:tcBorders>
              <w:top w:val="single" w:sz="4" w:space="0" w:color="4A8958"/>
              <w:left w:val="single" w:sz="4" w:space="0" w:color="4A8958"/>
              <w:bottom w:val="single" w:sz="4" w:space="0" w:color="4A8958"/>
              <w:right w:val="single" w:sz="4" w:space="0" w:color="4A8958"/>
            </w:tcBorders>
            <w:shd w:val="clear" w:color="auto" w:fill="auto"/>
            <w:vAlign w:val="center"/>
          </w:tcPr>
          <w:p w14:paraId="6617127E" w14:textId="77777777" w:rsidR="005D1C6B" w:rsidRPr="00EB32BB" w:rsidRDefault="00EB5FE7" w:rsidP="00327CE7">
            <w:pPr>
              <w:spacing w:before="60" w:after="60"/>
              <w:ind w:firstLine="9"/>
              <w:jc w:val="center"/>
              <w:rPr>
                <w:rFonts w:cs="Arial"/>
              </w:rPr>
            </w:pPr>
            <w:r>
              <w:rPr>
                <w:rFonts w:cs="Arial"/>
                <w:noProof/>
              </w:rPr>
              <w:drawing>
                <wp:inline distT="0" distB="0" distL="0" distR="0" wp14:anchorId="500F6655" wp14:editId="79D5AB75">
                  <wp:extent cx="466725" cy="466725"/>
                  <wp:effectExtent l="0" t="0" r="9525" b="9525"/>
                  <wp:docPr id="4" name="Picture 4" descr="Description: Description: High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escription: Description: High_Impact"/>
                          <pic:cNvPicPr>
                            <a:picLocks noChangeAspect="1" noChangeArrowheads="1"/>
                          </pic:cNvPicPr>
                        </pic:nvPicPr>
                        <pic:blipFill>
                          <a:blip r:embed="rId13">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6725" cy="466725"/>
                          </a:xfrm>
                          <a:prstGeom prst="rect">
                            <a:avLst/>
                          </a:prstGeom>
                          <a:noFill/>
                          <a:ln>
                            <a:noFill/>
                          </a:ln>
                        </pic:spPr>
                      </pic:pic>
                    </a:graphicData>
                  </a:graphic>
                </wp:inline>
              </w:drawing>
            </w:r>
          </w:p>
        </w:tc>
        <w:tc>
          <w:tcPr>
            <w:tcW w:w="9221" w:type="dxa"/>
            <w:gridSpan w:val="2"/>
            <w:tcBorders>
              <w:top w:val="single" w:sz="4" w:space="0" w:color="4A8958"/>
              <w:left w:val="single" w:sz="4" w:space="0" w:color="4A8958"/>
              <w:bottom w:val="single" w:sz="4" w:space="0" w:color="4A8958"/>
              <w:right w:val="single" w:sz="4" w:space="0" w:color="4A8958"/>
            </w:tcBorders>
            <w:shd w:val="clear" w:color="auto" w:fill="auto"/>
          </w:tcPr>
          <w:p w14:paraId="1E2D56E3" w14:textId="4829413A" w:rsidR="005D1C6B" w:rsidRPr="00EB32BB" w:rsidRDefault="005D1C6B" w:rsidP="00327CE7">
            <w:pPr>
              <w:ind w:left="113" w:right="113"/>
              <w:rPr>
                <w:rFonts w:cs="Arial"/>
              </w:rPr>
            </w:pPr>
            <w:r>
              <w:rPr>
                <w:sz w:val="24"/>
              </w:rPr>
              <w:t>Impacted Clauses:</w:t>
            </w:r>
            <w:r w:rsidR="00A340FA" w:rsidRPr="00D22205">
              <w:rPr>
                <w:sz w:val="24"/>
              </w:rPr>
              <w:t xml:space="preserve"> </w:t>
            </w:r>
            <w:r w:rsidR="00E1232A">
              <w:rPr>
                <w:sz w:val="24"/>
              </w:rPr>
              <w:t>Section 1 of Schedule 22 – The Common Connection Charging Methodology</w:t>
            </w:r>
          </w:p>
        </w:tc>
      </w:tr>
    </w:tbl>
    <w:p w14:paraId="3F4D0602" w14:textId="77777777" w:rsidR="00231812" w:rsidRDefault="00231812" w:rsidP="00327CE7">
      <w:pPr>
        <w:rPr>
          <w:rFonts w:cs="Arial"/>
        </w:rPr>
      </w:pPr>
    </w:p>
    <w:p w14:paraId="08EC4176" w14:textId="36D3774E" w:rsidR="00231812" w:rsidRDefault="00231812" w:rsidP="00327CE7">
      <w:pPr>
        <w:rPr>
          <w:rFonts w:cs="Arial"/>
        </w:rPr>
      </w:pPr>
    </w:p>
    <w:p w14:paraId="6994C89F" w14:textId="266B496E" w:rsidR="00327CE7" w:rsidRDefault="00327CE7" w:rsidP="00327CE7">
      <w:pPr>
        <w:rPr>
          <w:rFonts w:cs="Arial"/>
        </w:rPr>
      </w:pPr>
    </w:p>
    <w:p w14:paraId="7CECC2A2" w14:textId="234EFF37" w:rsidR="00327CE7" w:rsidRDefault="00327CE7" w:rsidP="00327CE7">
      <w:pPr>
        <w:rPr>
          <w:rFonts w:cs="Arial"/>
        </w:rPr>
      </w:pPr>
    </w:p>
    <w:p w14:paraId="28A1B294" w14:textId="1BECD0F1" w:rsidR="00327CE7" w:rsidRDefault="00327CE7" w:rsidP="00327CE7">
      <w:pPr>
        <w:rPr>
          <w:rFonts w:cs="Arial"/>
        </w:rPr>
      </w:pPr>
    </w:p>
    <w:p w14:paraId="67187F85" w14:textId="44E3A0BD" w:rsidR="00327CE7" w:rsidRDefault="00327CE7" w:rsidP="00327CE7">
      <w:pPr>
        <w:rPr>
          <w:rFonts w:cs="Arial"/>
        </w:rPr>
      </w:pPr>
    </w:p>
    <w:p w14:paraId="6B9A454E" w14:textId="3578F31F" w:rsidR="00327CE7" w:rsidRDefault="00327CE7" w:rsidP="00327CE7">
      <w:pPr>
        <w:rPr>
          <w:rFonts w:cs="Arial"/>
        </w:rPr>
      </w:pPr>
    </w:p>
    <w:p w14:paraId="7C13CAF8" w14:textId="77777777" w:rsidR="00327CE7" w:rsidRDefault="00327CE7" w:rsidP="00327CE7">
      <w:pPr>
        <w:rPr>
          <w:rFonts w:cs="Arial"/>
        </w:rPr>
      </w:pPr>
    </w:p>
    <w:tbl>
      <w:tblPr>
        <w:tblW w:w="10207" w:type="dxa"/>
        <w:tblInd w:w="-176" w:type="dxa"/>
        <w:tblLayout w:type="fixed"/>
        <w:tblLook w:val="04A0" w:firstRow="1" w:lastRow="0" w:firstColumn="1" w:lastColumn="0" w:noHBand="0" w:noVBand="1"/>
      </w:tblPr>
      <w:tblGrid>
        <w:gridCol w:w="7939"/>
        <w:gridCol w:w="2268"/>
      </w:tblGrid>
      <w:tr w:rsidR="00E54184" w:rsidRPr="00EB32BB" w14:paraId="143E93D2" w14:textId="77777777" w:rsidTr="004D430C">
        <w:trPr>
          <w:trHeight w:val="617"/>
        </w:trPr>
        <w:tc>
          <w:tcPr>
            <w:tcW w:w="7939" w:type="dxa"/>
            <w:vMerge w:val="restart"/>
            <w:tcBorders>
              <w:top w:val="single" w:sz="4" w:space="0" w:color="4A8958"/>
              <w:left w:val="single" w:sz="4" w:space="0" w:color="4A8958"/>
              <w:bottom w:val="single" w:sz="4" w:space="0" w:color="4A8958"/>
              <w:right w:val="single" w:sz="4" w:space="0" w:color="4A8958"/>
            </w:tcBorders>
            <w:shd w:val="clear" w:color="auto" w:fill="auto"/>
          </w:tcPr>
          <w:p w14:paraId="5B5B46BA" w14:textId="77777777" w:rsidR="00E54184" w:rsidRPr="00EB32BB" w:rsidRDefault="00E54184" w:rsidP="00327CE7">
            <w:pPr>
              <w:pStyle w:val="Contents02"/>
              <w:keepNext w:val="0"/>
              <w:rPr>
                <w:noProof/>
              </w:rPr>
            </w:pPr>
            <w:r w:rsidRPr="00EB32BB">
              <w:rPr>
                <w:noProof/>
              </w:rPr>
              <w:t>Contents</w:t>
            </w:r>
          </w:p>
          <w:p w14:paraId="7B52DD66" w14:textId="08FE64D0" w:rsidR="006C57B2" w:rsidRDefault="00E54184" w:rsidP="006C57B2">
            <w:pPr>
              <w:pStyle w:val="TOC1"/>
              <w:framePr w:wrap="around"/>
              <w:rPr>
                <w:rFonts w:asciiTheme="minorHAnsi" w:eastAsiaTheme="minorEastAsia" w:hAnsiTheme="minorHAnsi" w:cstheme="minorBidi"/>
                <w:b w:val="0"/>
                <w:bCs w:val="0"/>
                <w:color w:val="auto"/>
                <w:sz w:val="22"/>
                <w:szCs w:val="22"/>
              </w:rPr>
            </w:pPr>
            <w:r w:rsidRPr="00EB32BB">
              <w:fldChar w:fldCharType="begin"/>
            </w:r>
            <w:r w:rsidRPr="00EB32BB">
              <w:instrText xml:space="preserve"> TOC \o "1-1" </w:instrText>
            </w:r>
            <w:r w:rsidRPr="00EB32BB">
              <w:fldChar w:fldCharType="separate"/>
            </w:r>
            <w:r w:rsidR="006C57B2">
              <w:t>1</w:t>
            </w:r>
            <w:r w:rsidR="006C57B2">
              <w:rPr>
                <w:rFonts w:asciiTheme="minorHAnsi" w:eastAsiaTheme="minorEastAsia" w:hAnsiTheme="minorHAnsi" w:cstheme="minorBidi"/>
                <w:b w:val="0"/>
                <w:bCs w:val="0"/>
                <w:color w:val="auto"/>
                <w:sz w:val="22"/>
                <w:szCs w:val="22"/>
              </w:rPr>
              <w:tab/>
            </w:r>
            <w:r w:rsidR="006C57B2">
              <w:t>Summary</w:t>
            </w:r>
            <w:r w:rsidR="006C57B2">
              <w:tab/>
            </w:r>
            <w:r w:rsidR="006C57B2">
              <w:fldChar w:fldCharType="begin"/>
            </w:r>
            <w:r w:rsidR="006C57B2">
              <w:instrText xml:space="preserve"> PAGEREF _Toc4664536 \h </w:instrText>
            </w:r>
            <w:r w:rsidR="006C57B2">
              <w:fldChar w:fldCharType="separate"/>
            </w:r>
            <w:r w:rsidR="00564A43">
              <w:t>3</w:t>
            </w:r>
            <w:r w:rsidR="006C57B2">
              <w:fldChar w:fldCharType="end"/>
            </w:r>
          </w:p>
          <w:p w14:paraId="35049674" w14:textId="768990BF" w:rsidR="006C57B2" w:rsidRDefault="006C57B2" w:rsidP="006C57B2">
            <w:pPr>
              <w:pStyle w:val="TOC1"/>
              <w:framePr w:wrap="around"/>
              <w:rPr>
                <w:rFonts w:asciiTheme="minorHAnsi" w:eastAsiaTheme="minorEastAsia" w:hAnsiTheme="minorHAnsi" w:cstheme="minorBidi"/>
                <w:b w:val="0"/>
                <w:bCs w:val="0"/>
                <w:color w:val="auto"/>
                <w:sz w:val="22"/>
                <w:szCs w:val="22"/>
              </w:rPr>
            </w:pPr>
            <w:r>
              <w:t>2</w:t>
            </w:r>
            <w:r>
              <w:rPr>
                <w:rFonts w:asciiTheme="minorHAnsi" w:eastAsiaTheme="minorEastAsia" w:hAnsiTheme="minorHAnsi" w:cstheme="minorBidi"/>
                <w:b w:val="0"/>
                <w:bCs w:val="0"/>
                <w:color w:val="auto"/>
                <w:sz w:val="22"/>
                <w:szCs w:val="22"/>
              </w:rPr>
              <w:tab/>
            </w:r>
            <w:r>
              <w:t>Governance</w:t>
            </w:r>
            <w:r>
              <w:tab/>
            </w:r>
            <w:r>
              <w:fldChar w:fldCharType="begin"/>
            </w:r>
            <w:r>
              <w:instrText xml:space="preserve"> PAGEREF _Toc4664537 \h </w:instrText>
            </w:r>
            <w:r>
              <w:fldChar w:fldCharType="separate"/>
            </w:r>
            <w:r w:rsidR="00564A43">
              <w:t>3</w:t>
            </w:r>
            <w:r>
              <w:fldChar w:fldCharType="end"/>
            </w:r>
          </w:p>
          <w:p w14:paraId="0C0CB87C" w14:textId="341AD479" w:rsidR="006C57B2" w:rsidRDefault="006C57B2" w:rsidP="006C57B2">
            <w:pPr>
              <w:pStyle w:val="TOC1"/>
              <w:framePr w:wrap="around"/>
              <w:rPr>
                <w:rFonts w:asciiTheme="minorHAnsi" w:eastAsiaTheme="minorEastAsia" w:hAnsiTheme="minorHAnsi" w:cstheme="minorBidi"/>
                <w:b w:val="0"/>
                <w:bCs w:val="0"/>
                <w:color w:val="auto"/>
                <w:sz w:val="22"/>
                <w:szCs w:val="22"/>
              </w:rPr>
            </w:pPr>
            <w:r>
              <w:t>3</w:t>
            </w:r>
            <w:r>
              <w:rPr>
                <w:rFonts w:asciiTheme="minorHAnsi" w:eastAsiaTheme="minorEastAsia" w:hAnsiTheme="minorHAnsi" w:cstheme="minorBidi"/>
                <w:b w:val="0"/>
                <w:bCs w:val="0"/>
                <w:color w:val="auto"/>
                <w:sz w:val="22"/>
                <w:szCs w:val="22"/>
              </w:rPr>
              <w:tab/>
            </w:r>
            <w:r>
              <w:t>Why Change?</w:t>
            </w:r>
            <w:r>
              <w:tab/>
            </w:r>
            <w:r>
              <w:fldChar w:fldCharType="begin"/>
            </w:r>
            <w:r>
              <w:instrText xml:space="preserve"> PAGEREF _Toc4664538 \h </w:instrText>
            </w:r>
            <w:r>
              <w:fldChar w:fldCharType="separate"/>
            </w:r>
            <w:r w:rsidR="00564A43">
              <w:t>4</w:t>
            </w:r>
            <w:r>
              <w:fldChar w:fldCharType="end"/>
            </w:r>
          </w:p>
          <w:p w14:paraId="5F0E2671" w14:textId="722927F1" w:rsidR="006C57B2" w:rsidRDefault="006C57B2" w:rsidP="006C57B2">
            <w:pPr>
              <w:pStyle w:val="TOC1"/>
              <w:framePr w:wrap="around"/>
              <w:rPr>
                <w:rFonts w:asciiTheme="minorHAnsi" w:eastAsiaTheme="minorEastAsia" w:hAnsiTheme="minorHAnsi" w:cstheme="minorBidi"/>
                <w:b w:val="0"/>
                <w:bCs w:val="0"/>
                <w:color w:val="auto"/>
                <w:sz w:val="22"/>
                <w:szCs w:val="22"/>
              </w:rPr>
            </w:pPr>
            <w:r>
              <w:t>4</w:t>
            </w:r>
            <w:r>
              <w:rPr>
                <w:rFonts w:asciiTheme="minorHAnsi" w:eastAsiaTheme="minorEastAsia" w:hAnsiTheme="minorHAnsi" w:cstheme="minorBidi"/>
                <w:b w:val="0"/>
                <w:bCs w:val="0"/>
                <w:color w:val="auto"/>
                <w:sz w:val="22"/>
                <w:szCs w:val="22"/>
              </w:rPr>
              <w:tab/>
            </w:r>
            <w:r>
              <w:t>Working Group Assessment</w:t>
            </w:r>
            <w:r>
              <w:tab/>
            </w:r>
            <w:r>
              <w:fldChar w:fldCharType="begin"/>
            </w:r>
            <w:r>
              <w:instrText xml:space="preserve"> PAGEREF _Toc4664539 \h </w:instrText>
            </w:r>
            <w:r>
              <w:fldChar w:fldCharType="separate"/>
            </w:r>
            <w:r w:rsidR="00564A43">
              <w:t>4</w:t>
            </w:r>
            <w:r>
              <w:fldChar w:fldCharType="end"/>
            </w:r>
          </w:p>
          <w:p w14:paraId="3CE59C23" w14:textId="6327C8C2" w:rsidR="006C57B2" w:rsidRDefault="006C57B2" w:rsidP="006C57B2">
            <w:pPr>
              <w:pStyle w:val="TOC1"/>
              <w:framePr w:wrap="around"/>
              <w:rPr>
                <w:rFonts w:asciiTheme="minorHAnsi" w:eastAsiaTheme="minorEastAsia" w:hAnsiTheme="minorHAnsi" w:cstheme="minorBidi"/>
                <w:b w:val="0"/>
                <w:bCs w:val="0"/>
                <w:color w:val="auto"/>
                <w:sz w:val="22"/>
                <w:szCs w:val="22"/>
              </w:rPr>
            </w:pPr>
            <w:r>
              <w:t>5</w:t>
            </w:r>
            <w:r>
              <w:rPr>
                <w:rFonts w:asciiTheme="minorHAnsi" w:eastAsiaTheme="minorEastAsia" w:hAnsiTheme="minorHAnsi" w:cstheme="minorBidi"/>
                <w:b w:val="0"/>
                <w:bCs w:val="0"/>
                <w:color w:val="auto"/>
                <w:sz w:val="22"/>
                <w:szCs w:val="22"/>
              </w:rPr>
              <w:tab/>
            </w:r>
            <w:r>
              <w:t>Legal Text</w:t>
            </w:r>
            <w:r>
              <w:tab/>
            </w:r>
            <w:r>
              <w:fldChar w:fldCharType="begin"/>
            </w:r>
            <w:r>
              <w:instrText xml:space="preserve"> PAGEREF _Toc4664540 \h </w:instrText>
            </w:r>
            <w:r>
              <w:fldChar w:fldCharType="separate"/>
            </w:r>
            <w:r w:rsidR="00564A43">
              <w:t>5</w:t>
            </w:r>
            <w:r>
              <w:fldChar w:fldCharType="end"/>
            </w:r>
          </w:p>
          <w:p w14:paraId="4FA3B172" w14:textId="25E33AB5" w:rsidR="006C57B2" w:rsidRDefault="006C57B2" w:rsidP="006C57B2">
            <w:pPr>
              <w:pStyle w:val="TOC1"/>
              <w:framePr w:wrap="around"/>
              <w:rPr>
                <w:rFonts w:asciiTheme="minorHAnsi" w:eastAsiaTheme="minorEastAsia" w:hAnsiTheme="minorHAnsi" w:cstheme="minorBidi"/>
                <w:b w:val="0"/>
                <w:bCs w:val="0"/>
                <w:color w:val="auto"/>
                <w:sz w:val="22"/>
                <w:szCs w:val="22"/>
              </w:rPr>
            </w:pPr>
            <w:r>
              <w:t>6</w:t>
            </w:r>
            <w:r>
              <w:rPr>
                <w:rFonts w:asciiTheme="minorHAnsi" w:eastAsiaTheme="minorEastAsia" w:hAnsiTheme="minorHAnsi" w:cstheme="minorBidi"/>
                <w:b w:val="0"/>
                <w:bCs w:val="0"/>
                <w:color w:val="auto"/>
                <w:sz w:val="22"/>
                <w:szCs w:val="22"/>
              </w:rPr>
              <w:tab/>
            </w:r>
            <w:r>
              <w:t>Relevant Objectives</w:t>
            </w:r>
            <w:r>
              <w:tab/>
            </w:r>
            <w:r>
              <w:fldChar w:fldCharType="begin"/>
            </w:r>
            <w:r>
              <w:instrText xml:space="preserve"> PAGEREF _Toc4664541 \h </w:instrText>
            </w:r>
            <w:r>
              <w:fldChar w:fldCharType="separate"/>
            </w:r>
            <w:r w:rsidR="00564A43">
              <w:t>6</w:t>
            </w:r>
            <w:r>
              <w:fldChar w:fldCharType="end"/>
            </w:r>
          </w:p>
          <w:p w14:paraId="55DB4E3C" w14:textId="2D6108D5" w:rsidR="006C57B2" w:rsidRDefault="006C57B2" w:rsidP="006C57B2">
            <w:pPr>
              <w:pStyle w:val="TOC1"/>
              <w:framePr w:wrap="around"/>
              <w:rPr>
                <w:rFonts w:asciiTheme="minorHAnsi" w:eastAsiaTheme="minorEastAsia" w:hAnsiTheme="minorHAnsi" w:cstheme="minorBidi"/>
                <w:b w:val="0"/>
                <w:bCs w:val="0"/>
                <w:color w:val="auto"/>
                <w:sz w:val="22"/>
                <w:szCs w:val="22"/>
              </w:rPr>
            </w:pPr>
            <w:r>
              <w:t>7</w:t>
            </w:r>
            <w:r>
              <w:rPr>
                <w:rFonts w:asciiTheme="minorHAnsi" w:eastAsiaTheme="minorEastAsia" w:hAnsiTheme="minorHAnsi" w:cstheme="minorBidi"/>
                <w:b w:val="0"/>
                <w:bCs w:val="0"/>
                <w:color w:val="auto"/>
                <w:sz w:val="22"/>
                <w:szCs w:val="22"/>
              </w:rPr>
              <w:tab/>
            </w:r>
            <w:r>
              <w:t>Impacts &amp; Other Considerations</w:t>
            </w:r>
            <w:r>
              <w:tab/>
            </w:r>
            <w:r>
              <w:fldChar w:fldCharType="begin"/>
            </w:r>
            <w:r>
              <w:instrText xml:space="preserve"> PAGEREF _Toc4664542 \h </w:instrText>
            </w:r>
            <w:r>
              <w:fldChar w:fldCharType="separate"/>
            </w:r>
            <w:r w:rsidR="00564A43">
              <w:t>7</w:t>
            </w:r>
            <w:r>
              <w:fldChar w:fldCharType="end"/>
            </w:r>
          </w:p>
          <w:p w14:paraId="59553C3F" w14:textId="5C072B01" w:rsidR="006C57B2" w:rsidRDefault="006C57B2" w:rsidP="006C57B2">
            <w:pPr>
              <w:pStyle w:val="TOC1"/>
              <w:framePr w:wrap="around"/>
              <w:rPr>
                <w:rFonts w:asciiTheme="minorHAnsi" w:eastAsiaTheme="minorEastAsia" w:hAnsiTheme="minorHAnsi" w:cstheme="minorBidi"/>
                <w:b w:val="0"/>
                <w:bCs w:val="0"/>
                <w:color w:val="auto"/>
                <w:sz w:val="22"/>
                <w:szCs w:val="22"/>
              </w:rPr>
            </w:pPr>
            <w:r>
              <w:t>8</w:t>
            </w:r>
            <w:r>
              <w:rPr>
                <w:rFonts w:asciiTheme="minorHAnsi" w:eastAsiaTheme="minorEastAsia" w:hAnsiTheme="minorHAnsi" w:cstheme="minorBidi"/>
                <w:b w:val="0"/>
                <w:bCs w:val="0"/>
                <w:color w:val="auto"/>
                <w:sz w:val="22"/>
                <w:szCs w:val="22"/>
              </w:rPr>
              <w:tab/>
            </w:r>
            <w:r>
              <w:t>Implementation</w:t>
            </w:r>
            <w:r>
              <w:tab/>
            </w:r>
            <w:r>
              <w:fldChar w:fldCharType="begin"/>
            </w:r>
            <w:r>
              <w:instrText xml:space="preserve"> PAGEREF _Toc4664543 \h </w:instrText>
            </w:r>
            <w:r>
              <w:fldChar w:fldCharType="separate"/>
            </w:r>
            <w:r w:rsidR="00564A43">
              <w:t>8</w:t>
            </w:r>
            <w:r>
              <w:fldChar w:fldCharType="end"/>
            </w:r>
          </w:p>
          <w:p w14:paraId="35F51EAB" w14:textId="01F8F3DB" w:rsidR="006C57B2" w:rsidRDefault="006C57B2" w:rsidP="006C57B2">
            <w:pPr>
              <w:pStyle w:val="TOC1"/>
              <w:framePr w:wrap="around"/>
              <w:rPr>
                <w:rFonts w:asciiTheme="minorHAnsi" w:eastAsiaTheme="minorEastAsia" w:hAnsiTheme="minorHAnsi" w:cstheme="minorBidi"/>
                <w:b w:val="0"/>
                <w:bCs w:val="0"/>
                <w:color w:val="auto"/>
                <w:sz w:val="22"/>
                <w:szCs w:val="22"/>
              </w:rPr>
            </w:pPr>
            <w:r>
              <w:t>9</w:t>
            </w:r>
            <w:r>
              <w:rPr>
                <w:rFonts w:asciiTheme="minorHAnsi" w:eastAsiaTheme="minorEastAsia" w:hAnsiTheme="minorHAnsi" w:cstheme="minorBidi"/>
                <w:b w:val="0"/>
                <w:bCs w:val="0"/>
                <w:color w:val="auto"/>
                <w:sz w:val="22"/>
                <w:szCs w:val="22"/>
              </w:rPr>
              <w:tab/>
            </w:r>
            <w:r>
              <w:t>Consultation Questions</w:t>
            </w:r>
            <w:r>
              <w:tab/>
            </w:r>
            <w:r>
              <w:fldChar w:fldCharType="begin"/>
            </w:r>
            <w:r>
              <w:instrText xml:space="preserve"> PAGEREF _Toc4664544 \h </w:instrText>
            </w:r>
            <w:r>
              <w:fldChar w:fldCharType="separate"/>
            </w:r>
            <w:r w:rsidR="00564A43">
              <w:t>8</w:t>
            </w:r>
            <w:r>
              <w:fldChar w:fldCharType="end"/>
            </w:r>
          </w:p>
          <w:p w14:paraId="59F05DBA" w14:textId="6C8311E8" w:rsidR="00E54184" w:rsidRPr="00EB32BB" w:rsidRDefault="00E54184" w:rsidP="00327CE7">
            <w:pPr>
              <w:pStyle w:val="TOCMOD"/>
              <w:framePr w:wrap="around"/>
              <w:tabs>
                <w:tab w:val="clear" w:pos="382"/>
                <w:tab w:val="clear" w:pos="7655"/>
                <w:tab w:val="left" w:pos="5385"/>
              </w:tabs>
              <w:rPr>
                <w:rFonts w:cs="Arial"/>
              </w:rPr>
            </w:pPr>
            <w:r w:rsidRPr="00EB32BB">
              <w:rPr>
                <w:rFonts w:cs="Arial"/>
              </w:rPr>
              <w:fldChar w:fldCharType="end"/>
            </w:r>
          </w:p>
          <w:p w14:paraId="75487D63" w14:textId="77777777" w:rsidR="00E54184" w:rsidRPr="00EB32BB" w:rsidRDefault="00E54184" w:rsidP="00327CE7">
            <w:pPr>
              <w:pStyle w:val="Contents02"/>
              <w:keepNext w:val="0"/>
            </w:pPr>
            <w:r>
              <w:t>Timetable</w:t>
            </w:r>
          </w:p>
          <w:p w14:paraId="70F3BFB7" w14:textId="273CCE40" w:rsidR="00E54184" w:rsidRPr="005D1C6B" w:rsidRDefault="00E54184" w:rsidP="00610F10">
            <w:pPr>
              <w:rPr>
                <w:i/>
                <w:iCs/>
              </w:rPr>
            </w:pPr>
            <w:r w:rsidRPr="00FF0C32">
              <w:rPr>
                <w:szCs w:val="20"/>
                <w:lang w:val="en-US"/>
              </w:rPr>
              <w:t>The timetable for the progression of the CP is as follows:</w:t>
            </w:r>
          </w:p>
          <w:tbl>
            <w:tblPr>
              <w:tblpPr w:leftFromText="180" w:rightFromText="180" w:vertAnchor="text" w:tblpX="-103" w:tblpY="1"/>
              <w:tblOverlap w:val="never"/>
              <w:tblW w:w="7933" w:type="dxa"/>
              <w:tblBorders>
                <w:top w:val="single" w:sz="4" w:space="0" w:color="F2F2F2"/>
                <w:left w:val="single" w:sz="4" w:space="0" w:color="F2F2F2"/>
                <w:bottom w:val="single" w:sz="4" w:space="0" w:color="F2F2F2"/>
                <w:right w:val="single" w:sz="4" w:space="0" w:color="F2F2F2"/>
                <w:insideH w:val="single" w:sz="4" w:space="0" w:color="F2F2F2"/>
                <w:insideV w:val="single" w:sz="4" w:space="0" w:color="F2F2F2"/>
              </w:tblBorders>
              <w:tblLayout w:type="fixed"/>
              <w:tblLook w:val="04A0" w:firstRow="1" w:lastRow="0" w:firstColumn="1" w:lastColumn="0" w:noHBand="0" w:noVBand="1"/>
            </w:tblPr>
            <w:tblGrid>
              <w:gridCol w:w="5665"/>
              <w:gridCol w:w="2268"/>
            </w:tblGrid>
            <w:tr w:rsidR="00E54184" w:rsidRPr="00EB32BB" w14:paraId="18CFF189" w14:textId="77777777" w:rsidTr="00E81739">
              <w:tc>
                <w:tcPr>
                  <w:tcW w:w="7933" w:type="dxa"/>
                  <w:gridSpan w:val="2"/>
                  <w:shd w:val="clear" w:color="auto" w:fill="auto"/>
                </w:tcPr>
                <w:p w14:paraId="520EB203" w14:textId="77777777" w:rsidR="00E54184" w:rsidRPr="00EB32BB" w:rsidRDefault="00E54184" w:rsidP="00327CE7">
                  <w:pPr>
                    <w:spacing w:before="40" w:after="40"/>
                    <w:rPr>
                      <w:rFonts w:cs="Arial"/>
                      <w:szCs w:val="20"/>
                    </w:rPr>
                  </w:pPr>
                  <w:r>
                    <w:rPr>
                      <w:rFonts w:cs="Arial"/>
                      <w:b/>
                      <w:szCs w:val="20"/>
                    </w:rPr>
                    <w:t>Change Proposal</w:t>
                  </w:r>
                  <w:r w:rsidRPr="00D36FC3">
                    <w:rPr>
                      <w:rFonts w:cs="Arial"/>
                      <w:b/>
                      <w:szCs w:val="20"/>
                    </w:rPr>
                    <w:t xml:space="preserve"> timetable:</w:t>
                  </w:r>
                  <w:r w:rsidRPr="00EB32BB">
                    <w:rPr>
                      <w:rFonts w:cs="Arial"/>
                      <w:i/>
                      <w:szCs w:val="20"/>
                    </w:rPr>
                    <w:t xml:space="preserve"> </w:t>
                  </w:r>
                </w:p>
              </w:tc>
            </w:tr>
            <w:tr w:rsidR="00E54184" w:rsidRPr="00EB32BB" w14:paraId="0BDA6FBA" w14:textId="77777777" w:rsidTr="00F535CA">
              <w:tc>
                <w:tcPr>
                  <w:tcW w:w="5665" w:type="dxa"/>
                  <w:shd w:val="clear" w:color="auto" w:fill="BDD6EE"/>
                </w:tcPr>
                <w:p w14:paraId="7C71E371" w14:textId="77777777" w:rsidR="00E54184" w:rsidRPr="00FF0C32" w:rsidRDefault="00E54184" w:rsidP="00610F10">
                  <w:pPr>
                    <w:pStyle w:val="Heading4"/>
                  </w:pPr>
                  <w:r w:rsidRPr="00FF0C32">
                    <w:t>Activity</w:t>
                  </w:r>
                </w:p>
              </w:tc>
              <w:tc>
                <w:tcPr>
                  <w:tcW w:w="2268" w:type="dxa"/>
                  <w:shd w:val="clear" w:color="auto" w:fill="BDD6EE"/>
                  <w:vAlign w:val="center"/>
                </w:tcPr>
                <w:p w14:paraId="382F5B9D" w14:textId="77777777" w:rsidR="00E54184" w:rsidRPr="007F41DB" w:rsidRDefault="00E54184" w:rsidP="00610F10">
                  <w:pPr>
                    <w:pStyle w:val="Heading4"/>
                  </w:pPr>
                  <w:r w:rsidRPr="007F41DB">
                    <w:t>Date</w:t>
                  </w:r>
                </w:p>
              </w:tc>
            </w:tr>
            <w:tr w:rsidR="00E54184" w:rsidRPr="00EB32BB" w14:paraId="67DFCA91" w14:textId="77777777" w:rsidTr="005D1C6B">
              <w:tc>
                <w:tcPr>
                  <w:tcW w:w="5665" w:type="dxa"/>
                  <w:shd w:val="clear" w:color="auto" w:fill="auto"/>
                </w:tcPr>
                <w:p w14:paraId="55FCF64E" w14:textId="77777777" w:rsidR="00E54184" w:rsidRPr="00EB32BB" w:rsidRDefault="00E54184" w:rsidP="00327CE7">
                  <w:pPr>
                    <w:tabs>
                      <w:tab w:val="left" w:pos="171"/>
                    </w:tabs>
                    <w:spacing w:before="40" w:after="40"/>
                    <w:rPr>
                      <w:rFonts w:cs="Arial"/>
                      <w:szCs w:val="20"/>
                    </w:rPr>
                  </w:pPr>
                  <w:r w:rsidRPr="00EB32BB">
                    <w:rPr>
                      <w:rFonts w:cs="Arial"/>
                      <w:szCs w:val="20"/>
                    </w:rPr>
                    <w:t xml:space="preserve">Initial </w:t>
                  </w:r>
                  <w:r>
                    <w:rPr>
                      <w:rFonts w:cs="Arial"/>
                      <w:szCs w:val="20"/>
                    </w:rPr>
                    <w:t>Assessment Report Approved by Panel</w:t>
                  </w:r>
                </w:p>
              </w:tc>
              <w:tc>
                <w:tcPr>
                  <w:tcW w:w="2268" w:type="dxa"/>
                  <w:shd w:val="clear" w:color="auto" w:fill="auto"/>
                  <w:vAlign w:val="center"/>
                </w:tcPr>
                <w:p w14:paraId="6481EFF7" w14:textId="710643C7" w:rsidR="00E54184" w:rsidRPr="00EB32BB" w:rsidRDefault="00E1232A" w:rsidP="00327CE7">
                  <w:pPr>
                    <w:spacing w:before="40" w:after="40"/>
                    <w:rPr>
                      <w:rFonts w:cs="Arial"/>
                      <w:szCs w:val="20"/>
                    </w:rPr>
                  </w:pPr>
                  <w:r>
                    <w:rPr>
                      <w:rFonts w:cs="Arial"/>
                      <w:szCs w:val="20"/>
                    </w:rPr>
                    <w:t>17 July</w:t>
                  </w:r>
                  <w:r w:rsidR="00AE39CB">
                    <w:rPr>
                      <w:rFonts w:cs="Arial"/>
                      <w:szCs w:val="20"/>
                    </w:rPr>
                    <w:t xml:space="preserve"> 2019</w:t>
                  </w:r>
                </w:p>
              </w:tc>
            </w:tr>
            <w:tr w:rsidR="00E54184" w:rsidRPr="00EB32BB" w14:paraId="784474CF" w14:textId="77777777" w:rsidTr="005D1C6B">
              <w:tc>
                <w:tcPr>
                  <w:tcW w:w="5665" w:type="dxa"/>
                  <w:shd w:val="clear" w:color="auto" w:fill="auto"/>
                </w:tcPr>
                <w:p w14:paraId="0F6B15D7" w14:textId="77777777" w:rsidR="00E54184" w:rsidRPr="00580576" w:rsidRDefault="00E54184" w:rsidP="00327CE7">
                  <w:pPr>
                    <w:tabs>
                      <w:tab w:val="left" w:pos="171"/>
                    </w:tabs>
                    <w:spacing w:before="40" w:after="40"/>
                    <w:rPr>
                      <w:rFonts w:cs="Arial"/>
                      <w:szCs w:val="20"/>
                    </w:rPr>
                  </w:pPr>
                  <w:r w:rsidRPr="00580576">
                    <w:rPr>
                      <w:rFonts w:cs="Arial"/>
                      <w:szCs w:val="20"/>
                    </w:rPr>
                    <w:t>Consultation issued to Parties</w:t>
                  </w:r>
                </w:p>
              </w:tc>
              <w:tc>
                <w:tcPr>
                  <w:tcW w:w="2268" w:type="dxa"/>
                  <w:shd w:val="clear" w:color="auto" w:fill="auto"/>
                  <w:vAlign w:val="center"/>
                </w:tcPr>
                <w:p w14:paraId="1A318192" w14:textId="7E661E06" w:rsidR="00E54184" w:rsidRPr="00580576" w:rsidRDefault="00E1232A" w:rsidP="00327CE7">
                  <w:pPr>
                    <w:spacing w:before="40" w:after="40"/>
                    <w:rPr>
                      <w:rFonts w:cs="Arial"/>
                      <w:szCs w:val="20"/>
                    </w:rPr>
                  </w:pPr>
                  <w:commentRangeStart w:id="2"/>
                  <w:r>
                    <w:rPr>
                      <w:rFonts w:cs="Arial"/>
                      <w:szCs w:val="20"/>
                    </w:rPr>
                    <w:t>XX XXX XX</w:t>
                  </w:r>
                  <w:commentRangeEnd w:id="2"/>
                  <w:r w:rsidR="00954253">
                    <w:rPr>
                      <w:rStyle w:val="CommentReference"/>
                    </w:rPr>
                    <w:commentReference w:id="2"/>
                  </w:r>
                </w:p>
              </w:tc>
            </w:tr>
            <w:tr w:rsidR="00E54184" w:rsidRPr="00EB32BB" w14:paraId="79221BEA" w14:textId="77777777" w:rsidTr="005D1C6B">
              <w:tc>
                <w:tcPr>
                  <w:tcW w:w="5665" w:type="dxa"/>
                  <w:shd w:val="clear" w:color="auto" w:fill="auto"/>
                </w:tcPr>
                <w:p w14:paraId="754220EF" w14:textId="77777777" w:rsidR="00E54184" w:rsidRPr="00EB32BB" w:rsidRDefault="00E54184" w:rsidP="00327CE7">
                  <w:pPr>
                    <w:tabs>
                      <w:tab w:val="left" w:pos="171"/>
                    </w:tabs>
                    <w:spacing w:before="40" w:after="40"/>
                    <w:rPr>
                      <w:rFonts w:cs="Arial"/>
                      <w:szCs w:val="20"/>
                    </w:rPr>
                  </w:pPr>
                  <w:r>
                    <w:rPr>
                      <w:rFonts w:cs="Arial"/>
                      <w:szCs w:val="20"/>
                    </w:rPr>
                    <w:t>Change</w:t>
                  </w:r>
                  <w:r w:rsidRPr="00EB32BB">
                    <w:rPr>
                      <w:rFonts w:cs="Arial"/>
                      <w:szCs w:val="20"/>
                    </w:rPr>
                    <w:t xml:space="preserve"> Report issued </w:t>
                  </w:r>
                  <w:r>
                    <w:rPr>
                      <w:rFonts w:cs="Arial"/>
                      <w:szCs w:val="20"/>
                    </w:rPr>
                    <w:t>to Panel</w:t>
                  </w:r>
                </w:p>
              </w:tc>
              <w:tc>
                <w:tcPr>
                  <w:tcW w:w="2268" w:type="dxa"/>
                  <w:shd w:val="clear" w:color="auto" w:fill="auto"/>
                  <w:vAlign w:val="center"/>
                </w:tcPr>
                <w:p w14:paraId="04F654DC" w14:textId="379CA27E" w:rsidR="00E54184" w:rsidRPr="00EB32BB" w:rsidRDefault="00E1232A" w:rsidP="00327CE7">
                  <w:pPr>
                    <w:spacing w:before="40" w:after="40"/>
                    <w:rPr>
                      <w:rFonts w:cs="Arial"/>
                      <w:szCs w:val="20"/>
                    </w:rPr>
                  </w:pPr>
                  <w:r>
                    <w:t>11 December</w:t>
                  </w:r>
                  <w:r w:rsidR="00AE39CB">
                    <w:t xml:space="preserve"> 2019</w:t>
                  </w:r>
                </w:p>
              </w:tc>
            </w:tr>
            <w:tr w:rsidR="00E54184" w:rsidRPr="00EB32BB" w14:paraId="6876239D" w14:textId="77777777" w:rsidTr="005D1C6B">
              <w:tc>
                <w:tcPr>
                  <w:tcW w:w="5665" w:type="dxa"/>
                  <w:shd w:val="clear" w:color="auto" w:fill="auto"/>
                </w:tcPr>
                <w:p w14:paraId="2C95CF5A" w14:textId="77777777" w:rsidR="00E54184" w:rsidRPr="00EB32BB" w:rsidRDefault="00E54184" w:rsidP="00327CE7">
                  <w:pPr>
                    <w:tabs>
                      <w:tab w:val="left" w:pos="171"/>
                    </w:tabs>
                    <w:spacing w:before="40" w:after="40"/>
                    <w:rPr>
                      <w:rFonts w:cs="Arial"/>
                      <w:szCs w:val="20"/>
                    </w:rPr>
                  </w:pPr>
                  <w:r>
                    <w:rPr>
                      <w:rFonts w:cs="Arial"/>
                      <w:szCs w:val="20"/>
                    </w:rPr>
                    <w:t>Change</w:t>
                  </w:r>
                  <w:r w:rsidRPr="00EB32BB">
                    <w:rPr>
                      <w:rFonts w:cs="Arial"/>
                      <w:szCs w:val="20"/>
                    </w:rPr>
                    <w:t xml:space="preserve"> Report issued </w:t>
                  </w:r>
                  <w:r>
                    <w:rPr>
                      <w:rFonts w:cs="Arial"/>
                      <w:szCs w:val="20"/>
                    </w:rPr>
                    <w:t>for Voting</w:t>
                  </w:r>
                </w:p>
              </w:tc>
              <w:tc>
                <w:tcPr>
                  <w:tcW w:w="2268" w:type="dxa"/>
                  <w:shd w:val="clear" w:color="auto" w:fill="auto"/>
                  <w:vAlign w:val="center"/>
                </w:tcPr>
                <w:p w14:paraId="0A40868A" w14:textId="3663605D" w:rsidR="00E54184" w:rsidRPr="00EB32BB" w:rsidRDefault="00E1232A" w:rsidP="00327CE7">
                  <w:pPr>
                    <w:spacing w:before="40" w:after="40"/>
                    <w:rPr>
                      <w:rFonts w:cs="Arial"/>
                      <w:szCs w:val="20"/>
                    </w:rPr>
                  </w:pPr>
                  <w:r>
                    <w:rPr>
                      <w:rFonts w:cs="Arial"/>
                      <w:szCs w:val="20"/>
                    </w:rPr>
                    <w:t>20 December</w:t>
                  </w:r>
                  <w:r w:rsidR="00AE39CB">
                    <w:rPr>
                      <w:rFonts w:cs="Arial"/>
                      <w:szCs w:val="20"/>
                    </w:rPr>
                    <w:t xml:space="preserve"> 2019</w:t>
                  </w:r>
                </w:p>
              </w:tc>
            </w:tr>
            <w:tr w:rsidR="00E54184" w:rsidRPr="00EB32BB" w14:paraId="3AD90FC9" w14:textId="77777777" w:rsidTr="005D1C6B">
              <w:tc>
                <w:tcPr>
                  <w:tcW w:w="5665" w:type="dxa"/>
                  <w:shd w:val="clear" w:color="auto" w:fill="auto"/>
                </w:tcPr>
                <w:p w14:paraId="174122D1" w14:textId="77777777" w:rsidR="00E54184" w:rsidRPr="00EB32BB" w:rsidRDefault="00E54184" w:rsidP="00327CE7">
                  <w:pPr>
                    <w:tabs>
                      <w:tab w:val="left" w:pos="171"/>
                    </w:tabs>
                    <w:spacing w:before="40" w:after="40"/>
                    <w:rPr>
                      <w:rFonts w:cs="Arial"/>
                      <w:szCs w:val="20"/>
                    </w:rPr>
                  </w:pPr>
                  <w:r>
                    <w:rPr>
                      <w:rFonts w:cs="Arial"/>
                      <w:szCs w:val="20"/>
                    </w:rPr>
                    <w:t>Party Voting Ends</w:t>
                  </w:r>
                </w:p>
              </w:tc>
              <w:tc>
                <w:tcPr>
                  <w:tcW w:w="2268" w:type="dxa"/>
                  <w:shd w:val="clear" w:color="auto" w:fill="auto"/>
                  <w:vAlign w:val="center"/>
                </w:tcPr>
                <w:p w14:paraId="38E16B2B" w14:textId="04F32D17" w:rsidR="00E54184" w:rsidRPr="00EB32BB" w:rsidRDefault="00E1232A" w:rsidP="00327CE7">
                  <w:pPr>
                    <w:spacing w:before="40" w:after="40"/>
                    <w:rPr>
                      <w:rFonts w:cs="Arial"/>
                      <w:szCs w:val="20"/>
                    </w:rPr>
                  </w:pPr>
                  <w:r>
                    <w:rPr>
                      <w:rFonts w:cs="Arial"/>
                      <w:szCs w:val="20"/>
                    </w:rPr>
                    <w:t>15 January 2020</w:t>
                  </w:r>
                </w:p>
              </w:tc>
            </w:tr>
            <w:tr w:rsidR="00E54184" w:rsidRPr="00EB32BB" w14:paraId="16B9B7B9" w14:textId="77777777" w:rsidTr="005D1C6B">
              <w:tc>
                <w:tcPr>
                  <w:tcW w:w="5665" w:type="dxa"/>
                  <w:shd w:val="clear" w:color="auto" w:fill="auto"/>
                </w:tcPr>
                <w:p w14:paraId="343F7095" w14:textId="2696C2BD" w:rsidR="00E54184" w:rsidRPr="00B81F70" w:rsidRDefault="00E54184" w:rsidP="00327CE7">
                  <w:pPr>
                    <w:tabs>
                      <w:tab w:val="left" w:pos="171"/>
                    </w:tabs>
                    <w:spacing w:before="40" w:after="40"/>
                    <w:rPr>
                      <w:rFonts w:cs="Arial"/>
                      <w:szCs w:val="20"/>
                    </w:rPr>
                  </w:pPr>
                  <w:r>
                    <w:rPr>
                      <w:rFonts w:cs="Arial"/>
                      <w:szCs w:val="20"/>
                    </w:rPr>
                    <w:t>Change Declaration Issued to Parties</w:t>
                  </w:r>
                  <w:r w:rsidR="00E1232A">
                    <w:rPr>
                      <w:rFonts w:cs="Arial"/>
                      <w:szCs w:val="20"/>
                    </w:rPr>
                    <w:t xml:space="preserve"> and the Authority </w:t>
                  </w:r>
                </w:p>
              </w:tc>
              <w:tc>
                <w:tcPr>
                  <w:tcW w:w="2268" w:type="dxa"/>
                  <w:shd w:val="clear" w:color="auto" w:fill="auto"/>
                  <w:vAlign w:val="center"/>
                </w:tcPr>
                <w:p w14:paraId="00CEC073" w14:textId="060680B2" w:rsidR="00E54184" w:rsidRPr="00EB32BB" w:rsidRDefault="00AE39CB" w:rsidP="00327CE7">
                  <w:pPr>
                    <w:spacing w:before="40" w:after="40"/>
                    <w:rPr>
                      <w:rFonts w:cs="Arial"/>
                      <w:szCs w:val="20"/>
                    </w:rPr>
                  </w:pPr>
                  <w:r>
                    <w:rPr>
                      <w:rFonts w:cs="Arial"/>
                      <w:szCs w:val="20"/>
                    </w:rPr>
                    <w:t>1</w:t>
                  </w:r>
                  <w:r w:rsidR="00E1232A">
                    <w:rPr>
                      <w:rFonts w:cs="Arial"/>
                      <w:szCs w:val="20"/>
                    </w:rPr>
                    <w:t>7 January 2020</w:t>
                  </w:r>
                </w:p>
              </w:tc>
            </w:tr>
            <w:tr w:rsidR="00F65AAB" w:rsidRPr="00EB32BB" w14:paraId="147E6DD5" w14:textId="77777777" w:rsidTr="005D1C6B">
              <w:tc>
                <w:tcPr>
                  <w:tcW w:w="5665" w:type="dxa"/>
                  <w:shd w:val="clear" w:color="auto" w:fill="auto"/>
                </w:tcPr>
                <w:p w14:paraId="0FAC68CC" w14:textId="114D7B96" w:rsidR="00F65AAB" w:rsidRDefault="00F65AAB" w:rsidP="00327CE7">
                  <w:pPr>
                    <w:tabs>
                      <w:tab w:val="left" w:pos="171"/>
                    </w:tabs>
                    <w:spacing w:before="40" w:after="40"/>
                    <w:rPr>
                      <w:rFonts w:cs="Arial"/>
                      <w:szCs w:val="20"/>
                    </w:rPr>
                  </w:pPr>
                  <w:r>
                    <w:rPr>
                      <w:rFonts w:cs="Arial"/>
                      <w:szCs w:val="20"/>
                    </w:rPr>
                    <w:t>Authority Decision</w:t>
                  </w:r>
                </w:p>
              </w:tc>
              <w:tc>
                <w:tcPr>
                  <w:tcW w:w="2268" w:type="dxa"/>
                  <w:shd w:val="clear" w:color="auto" w:fill="auto"/>
                  <w:vAlign w:val="center"/>
                </w:tcPr>
                <w:p w14:paraId="643D0890" w14:textId="6B1E278F" w:rsidR="00F65AAB" w:rsidRDefault="00AB5F44" w:rsidP="00327CE7">
                  <w:pPr>
                    <w:spacing w:before="40" w:after="40"/>
                    <w:rPr>
                      <w:rFonts w:cs="Arial"/>
                      <w:szCs w:val="20"/>
                    </w:rPr>
                  </w:pPr>
                  <w:r>
                    <w:rPr>
                      <w:rFonts w:cs="Arial"/>
                      <w:szCs w:val="20"/>
                    </w:rPr>
                    <w:t>21 February 2020</w:t>
                  </w:r>
                </w:p>
              </w:tc>
            </w:tr>
            <w:tr w:rsidR="00E54184" w:rsidRPr="00EB32BB" w14:paraId="18A57C2F" w14:textId="77777777" w:rsidTr="005D1C6B">
              <w:trPr>
                <w:trHeight w:val="93"/>
              </w:trPr>
              <w:tc>
                <w:tcPr>
                  <w:tcW w:w="5665" w:type="dxa"/>
                  <w:shd w:val="clear" w:color="auto" w:fill="auto"/>
                </w:tcPr>
                <w:p w14:paraId="104888B1" w14:textId="77777777" w:rsidR="00E54184" w:rsidRDefault="00E54184" w:rsidP="00327CE7">
                  <w:pPr>
                    <w:tabs>
                      <w:tab w:val="left" w:pos="171"/>
                    </w:tabs>
                    <w:spacing w:before="40" w:after="40"/>
                    <w:rPr>
                      <w:rFonts w:cs="Arial"/>
                      <w:szCs w:val="20"/>
                    </w:rPr>
                  </w:pPr>
                  <w:r>
                    <w:rPr>
                      <w:rFonts w:cs="Arial"/>
                      <w:szCs w:val="20"/>
                    </w:rPr>
                    <w:t>Implementation</w:t>
                  </w:r>
                </w:p>
              </w:tc>
              <w:tc>
                <w:tcPr>
                  <w:tcW w:w="2268" w:type="dxa"/>
                  <w:shd w:val="clear" w:color="auto" w:fill="auto"/>
                  <w:vAlign w:val="center"/>
                </w:tcPr>
                <w:p w14:paraId="49B0A48C" w14:textId="55772341" w:rsidR="00E54184" w:rsidRPr="00EB32BB" w:rsidRDefault="00E641D1" w:rsidP="00327CE7">
                  <w:pPr>
                    <w:spacing w:before="40" w:after="40"/>
                    <w:rPr>
                      <w:rFonts w:cs="Arial"/>
                      <w:szCs w:val="20"/>
                    </w:rPr>
                  </w:pPr>
                  <w:r>
                    <w:t>5 Working Days following Authority Approval</w:t>
                  </w:r>
                </w:p>
              </w:tc>
            </w:tr>
          </w:tbl>
          <w:p w14:paraId="1F99CB14" w14:textId="77777777" w:rsidR="00E54184" w:rsidRPr="00EB32BB" w:rsidRDefault="00E54184" w:rsidP="00327CE7">
            <w:pPr>
              <w:pStyle w:val="BodyTextFirstIndent"/>
              <w:ind w:firstLine="0"/>
              <w:rPr>
                <w:rFonts w:cs="Arial"/>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6A1073FD" w14:textId="76D15657" w:rsidR="00E54184" w:rsidRPr="00EB32BB" w:rsidRDefault="000D1439" w:rsidP="00327CE7">
            <w:pPr>
              <w:pStyle w:val="BodyText"/>
              <w:spacing w:before="60" w:after="60" w:line="240" w:lineRule="auto"/>
              <w:rPr>
                <w:rFonts w:cs="Arial"/>
                <w:szCs w:val="20"/>
              </w:rPr>
            </w:pPr>
            <w:r>
              <w:rPr>
                <w:rFonts w:cs="Arial"/>
                <w:noProof/>
                <w:szCs w:val="20"/>
                <w:lang w:val="en-US" w:eastAsia="en-US"/>
              </w:rPr>
              <w:drawing>
                <wp:inline distT="0" distB="0" distL="0" distR="0" wp14:anchorId="2C856572" wp14:editId="4684FC56">
                  <wp:extent cx="282575" cy="290195"/>
                  <wp:effectExtent l="0" t="0" r="3175" b="0"/>
                  <wp:docPr id="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2575" cy="290195"/>
                          </a:xfrm>
                          <a:prstGeom prst="rect">
                            <a:avLst/>
                          </a:prstGeom>
                          <a:noFill/>
                          <a:ln>
                            <a:noFill/>
                          </a:ln>
                        </pic:spPr>
                      </pic:pic>
                    </a:graphicData>
                  </a:graphic>
                </wp:inline>
              </w:drawing>
            </w:r>
            <w:r w:rsidR="00E54184" w:rsidRPr="00EB32BB">
              <w:rPr>
                <w:rFonts w:cs="Arial"/>
                <w:b/>
                <w:color w:val="008576"/>
                <w:szCs w:val="20"/>
              </w:rPr>
              <w:t xml:space="preserve"> Any questions?</w:t>
            </w:r>
          </w:p>
        </w:tc>
      </w:tr>
      <w:tr w:rsidR="00E54184" w:rsidRPr="00EB32BB" w14:paraId="2B3CA119" w14:textId="77777777" w:rsidTr="004D430C">
        <w:trPr>
          <w:trHeight w:val="615"/>
        </w:trPr>
        <w:tc>
          <w:tcPr>
            <w:tcW w:w="7939" w:type="dxa"/>
            <w:vMerge/>
            <w:tcBorders>
              <w:left w:val="single" w:sz="4" w:space="0" w:color="4A8958"/>
              <w:bottom w:val="single" w:sz="4" w:space="0" w:color="4A8958"/>
              <w:right w:val="single" w:sz="4" w:space="0" w:color="4A8958"/>
            </w:tcBorders>
            <w:shd w:val="clear" w:color="auto" w:fill="auto"/>
          </w:tcPr>
          <w:p w14:paraId="3FB989C6" w14:textId="77777777" w:rsidR="00E54184" w:rsidRPr="00EB32BB" w:rsidRDefault="00E54184" w:rsidP="00327CE7">
            <w:pPr>
              <w:pStyle w:val="Contents01"/>
              <w:keepNext w:val="0"/>
              <w:rPr>
                <w:noProof/>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4BE74A65" w14:textId="77777777" w:rsidR="00E54184" w:rsidRPr="00EB32BB" w:rsidRDefault="00E54184" w:rsidP="00327CE7">
            <w:pPr>
              <w:spacing w:before="60" w:after="60" w:line="240" w:lineRule="auto"/>
              <w:rPr>
                <w:rFonts w:cs="Arial"/>
                <w:color w:val="008576"/>
                <w:szCs w:val="20"/>
              </w:rPr>
            </w:pPr>
            <w:r w:rsidRPr="00EB32BB">
              <w:rPr>
                <w:rFonts w:cs="Arial"/>
                <w:color w:val="008576"/>
                <w:szCs w:val="20"/>
              </w:rPr>
              <w:t>Contact:</w:t>
            </w:r>
          </w:p>
          <w:p w14:paraId="031DD9E4" w14:textId="77777777" w:rsidR="00E54184" w:rsidRPr="00EB32BB" w:rsidRDefault="00E54184" w:rsidP="00327CE7">
            <w:pPr>
              <w:pStyle w:val="BodyText"/>
              <w:spacing w:before="60" w:after="60" w:line="240" w:lineRule="auto"/>
              <w:rPr>
                <w:rFonts w:cs="Arial"/>
                <w:color w:val="008576"/>
                <w:szCs w:val="20"/>
              </w:rPr>
            </w:pPr>
            <w:r w:rsidRPr="00EB32BB">
              <w:rPr>
                <w:rFonts w:cs="Arial"/>
                <w:b/>
                <w:color w:val="008576"/>
                <w:szCs w:val="20"/>
              </w:rPr>
              <w:t>Code Administrator</w:t>
            </w:r>
          </w:p>
        </w:tc>
      </w:tr>
      <w:tr w:rsidR="00E54184" w:rsidRPr="00EB32BB" w14:paraId="6DBE0325" w14:textId="77777777" w:rsidTr="004D430C">
        <w:trPr>
          <w:trHeight w:val="615"/>
        </w:trPr>
        <w:tc>
          <w:tcPr>
            <w:tcW w:w="7939" w:type="dxa"/>
            <w:vMerge/>
            <w:tcBorders>
              <w:left w:val="single" w:sz="4" w:space="0" w:color="4A8958"/>
              <w:bottom w:val="single" w:sz="4" w:space="0" w:color="4A8958"/>
              <w:right w:val="single" w:sz="4" w:space="0" w:color="4A8958"/>
            </w:tcBorders>
            <w:shd w:val="clear" w:color="auto" w:fill="auto"/>
          </w:tcPr>
          <w:p w14:paraId="4FFD0870" w14:textId="77777777" w:rsidR="00E54184" w:rsidRPr="00EB32BB" w:rsidRDefault="00E54184" w:rsidP="00327CE7">
            <w:pPr>
              <w:pStyle w:val="Contents01"/>
              <w:keepNext w:val="0"/>
              <w:rPr>
                <w:noProof/>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39397EB0" w14:textId="51F406B8" w:rsidR="00E54184" w:rsidRPr="00EB32BB" w:rsidRDefault="000D1439" w:rsidP="00327CE7">
            <w:pPr>
              <w:pStyle w:val="BodyText"/>
              <w:spacing w:before="60" w:after="60" w:line="240" w:lineRule="auto"/>
              <w:rPr>
                <w:rFonts w:cs="Arial"/>
                <w:color w:val="008576"/>
                <w:szCs w:val="20"/>
              </w:rPr>
            </w:pPr>
            <w:r>
              <w:rPr>
                <w:rFonts w:cs="Arial"/>
                <w:b/>
                <w:noProof/>
                <w:color w:val="008576"/>
                <w:szCs w:val="20"/>
                <w:lang w:val="en-US" w:eastAsia="en-US"/>
              </w:rPr>
              <w:drawing>
                <wp:inline distT="0" distB="0" distL="0" distR="0" wp14:anchorId="14918847" wp14:editId="2D37D506">
                  <wp:extent cx="290195" cy="290195"/>
                  <wp:effectExtent l="0" t="0" r="0" b="0"/>
                  <wp:docPr id="11" name="Picture 2" descr="Description: 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Description: email_us_go_online"/>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90195" cy="290195"/>
                          </a:xfrm>
                          <a:prstGeom prst="rect">
                            <a:avLst/>
                          </a:prstGeom>
                          <a:noFill/>
                          <a:ln>
                            <a:noFill/>
                          </a:ln>
                        </pic:spPr>
                      </pic:pic>
                    </a:graphicData>
                  </a:graphic>
                </wp:inline>
              </w:drawing>
            </w:r>
            <w:r w:rsidR="00E54184">
              <w:t xml:space="preserve"> </w:t>
            </w:r>
            <w:r w:rsidR="00E54184" w:rsidRPr="00D62EB8">
              <w:rPr>
                <w:rFonts w:cs="Arial"/>
                <w:b/>
                <w:noProof/>
                <w:color w:val="008576"/>
                <w:szCs w:val="20"/>
                <w:lang w:val="en-US" w:eastAsia="en-US"/>
              </w:rPr>
              <w:t>DCUSA@electralink.co.uk</w:t>
            </w:r>
          </w:p>
        </w:tc>
      </w:tr>
      <w:tr w:rsidR="00E54184" w:rsidRPr="00EB32BB" w14:paraId="2428AB7C" w14:textId="77777777" w:rsidTr="004D430C">
        <w:trPr>
          <w:trHeight w:val="615"/>
        </w:trPr>
        <w:tc>
          <w:tcPr>
            <w:tcW w:w="7939" w:type="dxa"/>
            <w:vMerge/>
            <w:tcBorders>
              <w:left w:val="single" w:sz="4" w:space="0" w:color="4A8958"/>
              <w:bottom w:val="single" w:sz="4" w:space="0" w:color="4A8958"/>
              <w:right w:val="single" w:sz="4" w:space="0" w:color="4A8958"/>
            </w:tcBorders>
            <w:shd w:val="clear" w:color="auto" w:fill="auto"/>
          </w:tcPr>
          <w:p w14:paraId="2D8BA126" w14:textId="77777777" w:rsidR="00E54184" w:rsidRPr="00EB32BB" w:rsidRDefault="00E54184" w:rsidP="00327CE7">
            <w:pPr>
              <w:pStyle w:val="Contents01"/>
              <w:keepNext w:val="0"/>
              <w:rPr>
                <w:noProof/>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60B1E846" w14:textId="7FB1E58F" w:rsidR="00E54184" w:rsidRPr="00EB32BB" w:rsidRDefault="000D1439" w:rsidP="00327CE7">
            <w:pPr>
              <w:pStyle w:val="BodyText"/>
              <w:spacing w:before="60" w:after="60" w:line="240" w:lineRule="auto"/>
              <w:rPr>
                <w:rFonts w:cs="Arial"/>
                <w:color w:val="008576"/>
                <w:szCs w:val="20"/>
              </w:rPr>
            </w:pPr>
            <w:r>
              <w:rPr>
                <w:rFonts w:cs="Arial"/>
                <w:b/>
                <w:noProof/>
                <w:color w:val="008576"/>
                <w:szCs w:val="20"/>
                <w:lang w:val="en-US" w:eastAsia="en-US"/>
              </w:rPr>
              <w:drawing>
                <wp:inline distT="0" distB="0" distL="0" distR="0" wp14:anchorId="2E25D8AC" wp14:editId="0D2C8333">
                  <wp:extent cx="290195" cy="290195"/>
                  <wp:effectExtent l="0" t="0" r="0" b="0"/>
                  <wp:docPr id="9" name="Picture 3" descr="Description: Description: call_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Description: call_us"/>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90195" cy="290195"/>
                          </a:xfrm>
                          <a:prstGeom prst="rect">
                            <a:avLst/>
                          </a:prstGeom>
                          <a:noFill/>
                          <a:ln>
                            <a:noFill/>
                          </a:ln>
                        </pic:spPr>
                      </pic:pic>
                    </a:graphicData>
                  </a:graphic>
                </wp:inline>
              </w:drawing>
            </w:r>
            <w:r w:rsidR="00E54184" w:rsidRPr="00D62EB8">
              <w:rPr>
                <w:rFonts w:cs="Arial"/>
                <w:b/>
                <w:noProof/>
                <w:color w:val="008576"/>
                <w:szCs w:val="20"/>
                <w:lang w:val="en-US" w:eastAsia="en-US"/>
              </w:rPr>
              <w:t>02074323000</w:t>
            </w:r>
          </w:p>
        </w:tc>
      </w:tr>
      <w:tr w:rsidR="00E54184" w:rsidRPr="00EB32BB" w14:paraId="391C3A2D" w14:textId="77777777" w:rsidTr="004D430C">
        <w:trPr>
          <w:trHeight w:val="615"/>
        </w:trPr>
        <w:tc>
          <w:tcPr>
            <w:tcW w:w="7939" w:type="dxa"/>
            <w:vMerge/>
            <w:tcBorders>
              <w:left w:val="single" w:sz="4" w:space="0" w:color="4A8958"/>
              <w:bottom w:val="single" w:sz="4" w:space="0" w:color="4A8958"/>
              <w:right w:val="single" w:sz="4" w:space="0" w:color="4A8958"/>
            </w:tcBorders>
            <w:shd w:val="clear" w:color="auto" w:fill="auto"/>
          </w:tcPr>
          <w:p w14:paraId="474776A8" w14:textId="77777777" w:rsidR="00E54184" w:rsidRPr="00EB32BB" w:rsidRDefault="00E54184" w:rsidP="00327CE7">
            <w:pPr>
              <w:pStyle w:val="Contents01"/>
              <w:keepNext w:val="0"/>
              <w:rPr>
                <w:noProof/>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1B9FF73B" w14:textId="77777777" w:rsidR="00E54184" w:rsidRPr="00EB32BB" w:rsidRDefault="00E54184" w:rsidP="00327CE7">
            <w:pPr>
              <w:spacing w:before="60" w:after="60" w:line="240" w:lineRule="auto"/>
              <w:rPr>
                <w:rFonts w:cs="Arial"/>
                <w:color w:val="008576"/>
                <w:szCs w:val="20"/>
              </w:rPr>
            </w:pPr>
            <w:r w:rsidRPr="00EB32BB">
              <w:rPr>
                <w:rFonts w:cs="Arial"/>
                <w:color w:val="008576"/>
                <w:szCs w:val="20"/>
              </w:rPr>
              <w:t>Proposer:</w:t>
            </w:r>
          </w:p>
          <w:p w14:paraId="62DC50FF" w14:textId="596F9EDD" w:rsidR="00E54184" w:rsidRPr="00EB32BB" w:rsidRDefault="00E1232A" w:rsidP="00327CE7">
            <w:pPr>
              <w:spacing w:before="60" w:after="60" w:line="240" w:lineRule="auto"/>
              <w:rPr>
                <w:rFonts w:cs="Arial"/>
                <w:b/>
                <w:color w:val="008576"/>
                <w:szCs w:val="20"/>
              </w:rPr>
            </w:pPr>
            <w:r>
              <w:rPr>
                <w:rFonts w:cs="Arial"/>
                <w:b/>
                <w:color w:val="008576"/>
                <w:szCs w:val="20"/>
              </w:rPr>
              <w:t xml:space="preserve">Tim Hughes </w:t>
            </w:r>
          </w:p>
        </w:tc>
      </w:tr>
      <w:tr w:rsidR="00E54184" w:rsidRPr="00EB32BB" w14:paraId="54E6A388" w14:textId="77777777" w:rsidTr="00857BF6">
        <w:trPr>
          <w:trHeight w:val="615"/>
        </w:trPr>
        <w:tc>
          <w:tcPr>
            <w:tcW w:w="7939" w:type="dxa"/>
            <w:vMerge/>
            <w:tcBorders>
              <w:left w:val="single" w:sz="4" w:space="0" w:color="4A8958"/>
              <w:bottom w:val="single" w:sz="4" w:space="0" w:color="4A8958"/>
              <w:right w:val="single" w:sz="4" w:space="0" w:color="4A8958"/>
            </w:tcBorders>
            <w:shd w:val="clear" w:color="auto" w:fill="auto"/>
          </w:tcPr>
          <w:p w14:paraId="0AF0ADA3" w14:textId="77777777" w:rsidR="00E54184" w:rsidRPr="00EB32BB" w:rsidRDefault="00E54184" w:rsidP="00327CE7">
            <w:pPr>
              <w:pStyle w:val="Contents01"/>
              <w:keepNext w:val="0"/>
              <w:rPr>
                <w:noProof/>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4E41FF29" w14:textId="5C191D2A" w:rsidR="00E54184" w:rsidRPr="00EB32BB" w:rsidRDefault="000D1439" w:rsidP="00327CE7">
            <w:pPr>
              <w:pStyle w:val="BodyText"/>
              <w:spacing w:before="60" w:after="60" w:line="240" w:lineRule="auto"/>
              <w:rPr>
                <w:rFonts w:cs="Arial"/>
                <w:b/>
                <w:color w:val="008576"/>
                <w:szCs w:val="20"/>
              </w:rPr>
            </w:pPr>
            <w:r>
              <w:rPr>
                <w:rFonts w:cs="Arial"/>
                <w:b/>
                <w:noProof/>
                <w:color w:val="008576"/>
                <w:szCs w:val="20"/>
                <w:lang w:val="en-US" w:eastAsia="en-US"/>
              </w:rPr>
              <w:drawing>
                <wp:inline distT="0" distB="0" distL="0" distR="0" wp14:anchorId="7CF5FFE5" wp14:editId="3917AB73">
                  <wp:extent cx="290195" cy="290195"/>
                  <wp:effectExtent l="0" t="0" r="0" b="0"/>
                  <wp:docPr id="8" name="Picture 4" descr="Description: 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escription: Description: email_us_go_online"/>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90195" cy="290195"/>
                          </a:xfrm>
                          <a:prstGeom prst="rect">
                            <a:avLst/>
                          </a:prstGeom>
                          <a:noFill/>
                          <a:ln>
                            <a:noFill/>
                          </a:ln>
                        </pic:spPr>
                      </pic:pic>
                    </a:graphicData>
                  </a:graphic>
                </wp:inline>
              </w:drawing>
            </w:r>
            <w:r w:rsidR="00E54184" w:rsidRPr="00EB32BB">
              <w:rPr>
                <w:rFonts w:cs="Arial"/>
                <w:b/>
                <w:color w:val="008576"/>
                <w:szCs w:val="20"/>
              </w:rPr>
              <w:t xml:space="preserve"> </w:t>
            </w:r>
            <w:r w:rsidR="00E1232A">
              <w:rPr>
                <w:rFonts w:cs="Arial"/>
                <w:b/>
                <w:color w:val="008576"/>
                <w:szCs w:val="20"/>
              </w:rPr>
              <w:t>thughes@westernpower.co.uk</w:t>
            </w:r>
          </w:p>
        </w:tc>
      </w:tr>
      <w:tr w:rsidR="00E54184" w:rsidRPr="00EB32BB" w14:paraId="1A24C924" w14:textId="77777777" w:rsidTr="004D430C">
        <w:trPr>
          <w:trHeight w:val="615"/>
        </w:trPr>
        <w:tc>
          <w:tcPr>
            <w:tcW w:w="7939" w:type="dxa"/>
            <w:vMerge/>
            <w:tcBorders>
              <w:left w:val="single" w:sz="4" w:space="0" w:color="4A8958"/>
              <w:bottom w:val="single" w:sz="4" w:space="0" w:color="4A8958"/>
              <w:right w:val="single" w:sz="4" w:space="0" w:color="4A8958"/>
            </w:tcBorders>
            <w:shd w:val="clear" w:color="auto" w:fill="auto"/>
          </w:tcPr>
          <w:p w14:paraId="2F1C77DE" w14:textId="77777777" w:rsidR="00E54184" w:rsidRPr="00EB32BB" w:rsidRDefault="00E54184" w:rsidP="00327CE7">
            <w:pPr>
              <w:pStyle w:val="Contents01"/>
              <w:keepNext w:val="0"/>
              <w:rPr>
                <w:noProof/>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722F42DB" w14:textId="25CE8B92" w:rsidR="00E54184" w:rsidRPr="00EB32BB" w:rsidRDefault="000D1439" w:rsidP="00327CE7">
            <w:pPr>
              <w:pStyle w:val="BodyText"/>
              <w:spacing w:before="60" w:after="60" w:line="240" w:lineRule="auto"/>
              <w:rPr>
                <w:rFonts w:cs="Arial"/>
                <w:color w:val="008576"/>
                <w:szCs w:val="20"/>
              </w:rPr>
            </w:pPr>
            <w:r>
              <w:rPr>
                <w:rFonts w:cs="Arial"/>
                <w:b/>
                <w:noProof/>
                <w:color w:val="008576"/>
                <w:szCs w:val="20"/>
                <w:lang w:val="en-US" w:eastAsia="en-US"/>
              </w:rPr>
              <w:drawing>
                <wp:inline distT="0" distB="0" distL="0" distR="0" wp14:anchorId="0466E3FD" wp14:editId="1A9A201C">
                  <wp:extent cx="290195" cy="290195"/>
                  <wp:effectExtent l="0" t="0" r="0" b="0"/>
                  <wp:docPr id="7" name="Picture 5" descr="Description: Description: call_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escription: Description: call_us"/>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90195" cy="290195"/>
                          </a:xfrm>
                          <a:prstGeom prst="rect">
                            <a:avLst/>
                          </a:prstGeom>
                          <a:noFill/>
                          <a:ln>
                            <a:noFill/>
                          </a:ln>
                        </pic:spPr>
                      </pic:pic>
                    </a:graphicData>
                  </a:graphic>
                </wp:inline>
              </w:drawing>
            </w:r>
            <w:r w:rsidR="00E54184">
              <w:rPr>
                <w:rFonts w:cs="Arial"/>
                <w:b/>
                <w:color w:val="008576"/>
                <w:szCs w:val="20"/>
              </w:rPr>
              <w:t xml:space="preserve"> </w:t>
            </w:r>
            <w:r w:rsidR="00E1232A">
              <w:rPr>
                <w:rFonts w:cs="Arial"/>
                <w:b/>
                <w:color w:val="008576"/>
                <w:szCs w:val="20"/>
              </w:rPr>
              <w:t>0117 933 2148</w:t>
            </w:r>
          </w:p>
        </w:tc>
      </w:tr>
    </w:tbl>
    <w:p w14:paraId="329EA6CF" w14:textId="77777777" w:rsidR="00A968AB" w:rsidRDefault="00A968AB" w:rsidP="00327CE7">
      <w:pPr>
        <w:rPr>
          <w:rFonts w:cs="Arial"/>
        </w:rPr>
      </w:pPr>
    </w:p>
    <w:p w14:paraId="0B7218E3" w14:textId="002994AA" w:rsidR="00C976B9" w:rsidRDefault="00C976B9">
      <w:pPr>
        <w:spacing w:before="0" w:after="0" w:line="240" w:lineRule="auto"/>
        <w:rPr>
          <w:rFonts w:cs="Arial"/>
        </w:rPr>
      </w:pPr>
      <w:r>
        <w:rPr>
          <w:rFonts w:cs="Arial"/>
        </w:rPr>
        <w:br w:type="page"/>
      </w:r>
    </w:p>
    <w:p w14:paraId="33317B7B" w14:textId="77777777" w:rsidR="00143041" w:rsidRPr="00610F10" w:rsidRDefault="004C6117" w:rsidP="005F7E14">
      <w:pPr>
        <w:pStyle w:val="Heading02"/>
      </w:pPr>
      <w:bookmarkStart w:id="3" w:name="_Toc188527263"/>
      <w:bookmarkStart w:id="4" w:name="_Toc318962133"/>
      <w:bookmarkStart w:id="5" w:name="_Toc453107796"/>
      <w:bookmarkStart w:id="6" w:name="_Toc4664536"/>
      <w:r w:rsidRPr="00610F10">
        <w:lastRenderedPageBreak/>
        <w:t>Summary</w:t>
      </w:r>
      <w:bookmarkEnd w:id="3"/>
      <w:bookmarkEnd w:id="4"/>
      <w:bookmarkEnd w:id="5"/>
      <w:bookmarkEnd w:id="6"/>
    </w:p>
    <w:p w14:paraId="0C5AEE4F" w14:textId="54F22D9B" w:rsidR="0012717A" w:rsidRPr="00610F10" w:rsidRDefault="0012717A" w:rsidP="00610F10">
      <w:pPr>
        <w:pStyle w:val="Heading4"/>
      </w:pPr>
      <w:bookmarkStart w:id="7" w:name="_Toc318962134"/>
      <w:r w:rsidRPr="00610F10">
        <w:t>What</w:t>
      </w:r>
      <w:r w:rsidR="00E26B1D" w:rsidRPr="00610F10">
        <w:t>?</w:t>
      </w:r>
    </w:p>
    <w:p w14:paraId="7D0E29E6" w14:textId="4681DF54" w:rsidR="00A57AE7" w:rsidRPr="00A57AE7" w:rsidRDefault="00A57AE7" w:rsidP="00A57AE7">
      <w:pPr>
        <w:pStyle w:val="Heading2"/>
        <w:numPr>
          <w:ilvl w:val="0"/>
          <w:numId w:val="0"/>
        </w:numPr>
        <w:ind w:left="578" w:hanging="578"/>
        <w:rPr>
          <w:u w:val="single"/>
        </w:rPr>
      </w:pPr>
      <w:r>
        <w:rPr>
          <w:u w:val="single"/>
        </w:rPr>
        <w:t>Background</w:t>
      </w:r>
    </w:p>
    <w:p w14:paraId="0123F28A" w14:textId="04DF7A8E" w:rsidR="00E25A24" w:rsidRDefault="00A225FF" w:rsidP="002C274F">
      <w:pPr>
        <w:pStyle w:val="Heading2"/>
        <w:numPr>
          <w:ilvl w:val="1"/>
          <w:numId w:val="16"/>
        </w:numPr>
        <w:ind w:left="578" w:hanging="578"/>
      </w:pPr>
      <w:r>
        <w:t>In its launch of the Access and Forward-Looking Charging Significant Code Review (the “Access SCR”) and wider decision letter dated 18 December 2018, Ofgem outlined the following as part of the scope of the industry-led Access Rights Allocation Working Group (the “ARAWG”):</w:t>
      </w:r>
    </w:p>
    <w:p w14:paraId="0C6D4B0B" w14:textId="123793B7" w:rsidR="00A225FF" w:rsidRDefault="00A225FF" w:rsidP="002C274F">
      <w:pPr>
        <w:spacing w:before="0" w:after="200" w:line="360" w:lineRule="auto"/>
        <w:ind w:left="578"/>
        <w:jc w:val="both"/>
        <w:rPr>
          <w:i/>
          <w:iCs/>
        </w:rPr>
      </w:pPr>
      <w:r>
        <w:rPr>
          <w:i/>
          <w:iCs/>
        </w:rPr>
        <w:t>“As proposed in our consultation, we confirm that the review will not take forward consideration of the use of auctions at this stage for the allocation of access rights. Instead, we believe that the Electricity System Operator and network companies should lead on reviewing incremental improvements to the allocation of access rights (e.g. better management of connection queues, allowing generation who have non-firm connections to trade with others to reduce the extent they are curtailed, and enabling the exchange of access rights between users). We think this will have benefits in supporting more efficient allocation of access and in revealing the value of increased network capacity.”</w:t>
      </w:r>
    </w:p>
    <w:p w14:paraId="5E9B5776" w14:textId="7EE08837" w:rsidR="00A225FF" w:rsidRDefault="00A225FF" w:rsidP="00954253">
      <w:pPr>
        <w:pStyle w:val="Heading2"/>
        <w:numPr>
          <w:ilvl w:val="1"/>
          <w:numId w:val="16"/>
        </w:numPr>
      </w:pPr>
      <w:r>
        <w:t xml:space="preserve">The following </w:t>
      </w:r>
      <w:r w:rsidR="00BE109B">
        <w:t>p</w:t>
      </w:r>
      <w:r>
        <w:t>roducts have been identified for delivery by the ARAWG</w:t>
      </w:r>
      <w:r w:rsidR="006E3A0A">
        <w:rPr>
          <w:rStyle w:val="FootnoteReference"/>
        </w:rPr>
        <w:footnoteReference w:id="2"/>
      </w:r>
      <w:r>
        <w:t>:</w:t>
      </w:r>
    </w:p>
    <w:p w14:paraId="3E3CF37F" w14:textId="43773038" w:rsidR="00A225FF" w:rsidRDefault="00A225FF" w:rsidP="002C274F">
      <w:pPr>
        <w:pStyle w:val="ListParagraph"/>
        <w:numPr>
          <w:ilvl w:val="0"/>
          <w:numId w:val="23"/>
        </w:numPr>
        <w:spacing w:after="200"/>
      </w:pPr>
      <w:r>
        <w:t>Trading of non-firm distributed generation curtailment obligations;</w:t>
      </w:r>
    </w:p>
    <w:p w14:paraId="4E81BF44" w14:textId="2E60956E" w:rsidR="00A225FF" w:rsidRDefault="00A225FF" w:rsidP="002C274F">
      <w:pPr>
        <w:pStyle w:val="ListParagraph"/>
        <w:numPr>
          <w:ilvl w:val="0"/>
          <w:numId w:val="23"/>
        </w:numPr>
        <w:spacing w:after="200"/>
      </w:pPr>
      <w:r>
        <w:t>The exchange of access rights between users;</w:t>
      </w:r>
    </w:p>
    <w:p w14:paraId="4A515DC6" w14:textId="4ED6D749" w:rsidR="00A225FF" w:rsidRDefault="00A225FF" w:rsidP="002C274F">
      <w:pPr>
        <w:pStyle w:val="ListParagraph"/>
        <w:numPr>
          <w:ilvl w:val="0"/>
          <w:numId w:val="23"/>
        </w:numPr>
        <w:spacing w:after="200"/>
      </w:pPr>
      <w:r>
        <w:t>Queue Management; and</w:t>
      </w:r>
    </w:p>
    <w:p w14:paraId="230DE609" w14:textId="4C5B96F1" w:rsidR="00A225FF" w:rsidRDefault="00AB5F44" w:rsidP="00954253">
      <w:pPr>
        <w:pStyle w:val="ListParagraph"/>
        <w:numPr>
          <w:ilvl w:val="0"/>
          <w:numId w:val="23"/>
        </w:numPr>
        <w:spacing w:after="200"/>
      </w:pPr>
      <w:r>
        <w:t xml:space="preserve">Active Network Management </w:t>
      </w:r>
      <w:r w:rsidR="00960108">
        <w:t xml:space="preserve">(ANM) </w:t>
      </w:r>
      <w:r>
        <w:t>Charging.</w:t>
      </w:r>
    </w:p>
    <w:p w14:paraId="7F5C42A6" w14:textId="14E6EA61" w:rsidR="00A225FF" w:rsidRDefault="006E3A0A" w:rsidP="003D0565">
      <w:pPr>
        <w:spacing w:after="200"/>
        <w:ind w:left="576"/>
      </w:pPr>
      <w:r>
        <w:t xml:space="preserve">This </w:t>
      </w:r>
      <w:r w:rsidR="006F6AFA">
        <w:t>C</w:t>
      </w:r>
      <w:r>
        <w:t xml:space="preserve">hange </w:t>
      </w:r>
      <w:r w:rsidR="006F6AFA">
        <w:t>P</w:t>
      </w:r>
      <w:r>
        <w:t xml:space="preserve">roposal </w:t>
      </w:r>
      <w:r w:rsidR="006F6AFA">
        <w:t xml:space="preserve">(CP) </w:t>
      </w:r>
      <w:r>
        <w:t xml:space="preserve">relates to </w:t>
      </w:r>
      <w:r w:rsidR="00BE109B">
        <w:t>p</w:t>
      </w:r>
      <w:r>
        <w:t>roduct 4 only.</w:t>
      </w:r>
    </w:p>
    <w:p w14:paraId="24E5643A" w14:textId="55E7D427" w:rsidR="008A5214" w:rsidRDefault="00A225FF" w:rsidP="00954253">
      <w:pPr>
        <w:pStyle w:val="Heading2"/>
        <w:numPr>
          <w:ilvl w:val="1"/>
          <w:numId w:val="16"/>
        </w:numPr>
      </w:pPr>
      <w:r>
        <w:t xml:space="preserve">Product 4 </w:t>
      </w:r>
      <w:r w:rsidR="00423C33">
        <w:t>looks at how n</w:t>
      </w:r>
      <w:r w:rsidR="00423C33" w:rsidRPr="00423C33">
        <w:t>etwork companies are recovering network costs associated with flexible connections, including those associated with the range of ANM schemes, including approaches to schemes that have naturally had to evolve over time</w:t>
      </w:r>
      <w:proofErr w:type="gramStart"/>
      <w:r w:rsidR="00960108">
        <w:t xml:space="preserve">. </w:t>
      </w:r>
      <w:r>
        <w:t>.</w:t>
      </w:r>
      <w:proofErr w:type="gramEnd"/>
      <w:r>
        <w:t xml:space="preserve"> Ofgem ha</w:t>
      </w:r>
      <w:r w:rsidR="008A5214">
        <w:t xml:space="preserve">s stated that it views Flexible Connections as a key component to reducing barriers to market entry for new participants. The </w:t>
      </w:r>
      <w:r w:rsidR="00BE109B">
        <w:t>p</w:t>
      </w:r>
      <w:r w:rsidR="008A5214">
        <w:t>roduct 4 objective is to develop a consistent approach across all GB D</w:t>
      </w:r>
      <w:r w:rsidR="006E3A0A">
        <w:t xml:space="preserve">istribution </w:t>
      </w:r>
      <w:r w:rsidR="008A5214">
        <w:t>N</w:t>
      </w:r>
      <w:r w:rsidR="006E3A0A">
        <w:t xml:space="preserve">etwork </w:t>
      </w:r>
      <w:r w:rsidR="008A5214">
        <w:t>O</w:t>
      </w:r>
      <w:r w:rsidR="006E3A0A">
        <w:t>perator</w:t>
      </w:r>
      <w:r w:rsidR="006F6AFA">
        <w:t xml:space="preserve"> (DNO</w:t>
      </w:r>
      <w:r w:rsidR="00BE109B">
        <w:t>s</w:t>
      </w:r>
      <w:r w:rsidR="006F6AFA">
        <w:t>)</w:t>
      </w:r>
      <w:r w:rsidR="008A5214">
        <w:t xml:space="preserve"> for charging network users the costs associated with flexible schemes, which includes </w:t>
      </w:r>
      <w:r w:rsidR="00E15337">
        <w:t xml:space="preserve">connections provided via </w:t>
      </w:r>
      <w:r w:rsidR="008A5214">
        <w:t>ANM</w:t>
      </w:r>
      <w:r w:rsidR="00E15337">
        <w:t xml:space="preserve"> schemes</w:t>
      </w:r>
      <w:r w:rsidR="008A5214">
        <w:t>.</w:t>
      </w:r>
      <w:r w:rsidR="00960108">
        <w:t xml:space="preserve"> The outcome of this product is this change proposal.</w:t>
      </w:r>
    </w:p>
    <w:p w14:paraId="56522978" w14:textId="1D076931" w:rsidR="008A5214" w:rsidRDefault="008A5214" w:rsidP="00954253">
      <w:pPr>
        <w:pStyle w:val="Heading2"/>
        <w:numPr>
          <w:ilvl w:val="1"/>
          <w:numId w:val="16"/>
        </w:numPr>
      </w:pPr>
      <w:r>
        <w:lastRenderedPageBreak/>
        <w:t>ANM is a defined term within the E</w:t>
      </w:r>
      <w:r w:rsidR="006F6AFA">
        <w:t xml:space="preserve">nergy </w:t>
      </w:r>
      <w:r>
        <w:t>N</w:t>
      </w:r>
      <w:r w:rsidR="006F6AFA">
        <w:t xml:space="preserve">etwork </w:t>
      </w:r>
      <w:r>
        <w:t>A</w:t>
      </w:r>
      <w:r w:rsidR="006F6AFA">
        <w:t>ssociation (ENA)</w:t>
      </w:r>
      <w:r>
        <w:t>’s Open Networks Terms and Definitions Document</w:t>
      </w:r>
      <w:r>
        <w:rPr>
          <w:rStyle w:val="FootnoteReference"/>
        </w:rPr>
        <w:footnoteReference w:id="3"/>
      </w:r>
      <w:r>
        <w:t xml:space="preserve"> and is replicated below:</w:t>
      </w:r>
    </w:p>
    <w:p w14:paraId="09C69658" w14:textId="74179EF9" w:rsidR="008A5214" w:rsidRDefault="008A5214" w:rsidP="002C274F">
      <w:pPr>
        <w:spacing w:before="0" w:after="200" w:line="360" w:lineRule="auto"/>
        <w:ind w:left="576"/>
        <w:jc w:val="both"/>
        <w:rPr>
          <w:i/>
          <w:iCs/>
        </w:rPr>
      </w:pPr>
      <w:r>
        <w:rPr>
          <w:i/>
          <w:iCs/>
        </w:rPr>
        <w:t>“Active Network Management is the use of distributed control system to continually monitor network limits, along with systems that provide signals to DER (Distributed Energy Resources) to modify outputs in line with these limits.”</w:t>
      </w:r>
    </w:p>
    <w:p w14:paraId="7D8D22DC" w14:textId="53737D37" w:rsidR="008A5214" w:rsidRDefault="008A5214" w:rsidP="00954253">
      <w:pPr>
        <w:pStyle w:val="Heading2"/>
        <w:numPr>
          <w:ilvl w:val="1"/>
          <w:numId w:val="16"/>
        </w:numPr>
      </w:pPr>
      <w:r>
        <w:t xml:space="preserve">The ARAWG considered the principles for charging for system management equipment could apply across a broad spectrum of connection types and the use of the term ‘Flexible Connections’ was more appropriate than ‘ANM’. As a consequence, this </w:t>
      </w:r>
      <w:r w:rsidR="006F6AFA">
        <w:t>CP</w:t>
      </w:r>
      <w:r>
        <w:t xml:space="preserve"> and the associated proposed changes to the Common Connection Charging Methodology (CCCM) utilises these terms.</w:t>
      </w:r>
    </w:p>
    <w:p w14:paraId="732D6BBF" w14:textId="3ED624CF" w:rsidR="008A5214" w:rsidRDefault="008A5214" w:rsidP="006E3A0A">
      <w:pPr>
        <w:pStyle w:val="Heading2"/>
        <w:numPr>
          <w:ilvl w:val="1"/>
          <w:numId w:val="16"/>
        </w:numPr>
      </w:pPr>
      <w:r>
        <w:t xml:space="preserve">The term ‘Flexible Connections’ is defined within the ENA’s Open Networks Terms and Definitions Document and </w:t>
      </w:r>
      <w:r w:rsidR="008C6AA9">
        <w:t>this is</w:t>
      </w:r>
      <w:r>
        <w:t xml:space="preserve"> replicated below:</w:t>
      </w:r>
    </w:p>
    <w:p w14:paraId="20E1AD1B" w14:textId="38BC8300" w:rsidR="008A5214" w:rsidRDefault="008A5214" w:rsidP="002C274F">
      <w:pPr>
        <w:spacing w:before="0" w:after="200" w:line="360" w:lineRule="auto"/>
        <w:ind w:left="576"/>
        <w:jc w:val="both"/>
        <w:rPr>
          <w:i/>
          <w:iCs/>
        </w:rPr>
      </w:pPr>
      <w:r>
        <w:rPr>
          <w:i/>
          <w:iCs/>
        </w:rPr>
        <w:t>“Flexible Connections are connection arrangements whereby a customer’s export or import is managed (often through real-time control) based upon contracted and agreed principles of availability of capacity. Timed connections and connections utilising Active Network Management arrangements are examples of Flexible Connections.</w:t>
      </w:r>
    </w:p>
    <w:p w14:paraId="32FA6AFF" w14:textId="1A76EEBC" w:rsidR="008A5214" w:rsidRDefault="008A5214" w:rsidP="002C274F">
      <w:pPr>
        <w:spacing w:before="0" w:after="200" w:line="360" w:lineRule="auto"/>
        <w:ind w:left="576"/>
        <w:rPr>
          <w:i/>
          <w:iCs/>
        </w:rPr>
      </w:pPr>
      <w:r>
        <w:rPr>
          <w:i/>
          <w:iCs/>
        </w:rPr>
        <w:t>Occasionally, Flexible Connections are also referred to as Managed Connections.</w:t>
      </w:r>
    </w:p>
    <w:p w14:paraId="5FB158FE" w14:textId="701C92F5" w:rsidR="008A5214" w:rsidRDefault="008A5214" w:rsidP="002C274F">
      <w:pPr>
        <w:spacing w:before="0" w:after="200" w:line="360" w:lineRule="auto"/>
        <w:ind w:left="576"/>
        <w:jc w:val="both"/>
        <w:rPr>
          <w:i/>
          <w:iCs/>
        </w:rPr>
      </w:pPr>
      <w:r>
        <w:rPr>
          <w:i/>
          <w:iCs/>
        </w:rPr>
        <w:t>The need for network access to be managed, may arise through capacity limitations which are local or remote from the Connection Point. For example, a Flexible Connection might comprise a Firm local connection, but with a constraint being present deeper in the network. Flexible connections are offered to customers so that reinforcement can be avoided or deferred</w:t>
      </w:r>
      <w:r w:rsidR="00954253">
        <w:rPr>
          <w:i/>
          <w:iCs/>
        </w:rPr>
        <w:t>”</w:t>
      </w:r>
      <w:r>
        <w:rPr>
          <w:i/>
          <w:iCs/>
        </w:rPr>
        <w:t>.</w:t>
      </w:r>
    </w:p>
    <w:p w14:paraId="6780D6E1" w14:textId="24DEA5EA" w:rsidR="008A5214" w:rsidRPr="008A5214" w:rsidRDefault="008A5214" w:rsidP="00954253">
      <w:pPr>
        <w:pStyle w:val="Heading2"/>
        <w:numPr>
          <w:ilvl w:val="1"/>
          <w:numId w:val="16"/>
        </w:numPr>
      </w:pPr>
      <w:r>
        <w:t xml:space="preserve">The ARAWG considers that consistency of approach across all DNOs can </w:t>
      </w:r>
      <w:r w:rsidR="00AC690B">
        <w:t>best be provided through the publication of information within each DNOs CCCM showing how costs associated with Flexible Connections will be recovered.</w:t>
      </w:r>
    </w:p>
    <w:p w14:paraId="00560922" w14:textId="1B92BF03" w:rsidR="0012717A" w:rsidRPr="00610F10" w:rsidRDefault="0012717A" w:rsidP="002C274F">
      <w:pPr>
        <w:pStyle w:val="Heading4"/>
        <w:spacing w:before="0" w:after="200" w:line="360" w:lineRule="auto"/>
      </w:pPr>
      <w:r w:rsidRPr="00610F10">
        <w:t>Why</w:t>
      </w:r>
      <w:r w:rsidR="00E26B1D" w:rsidRPr="00610F10">
        <w:t>?</w:t>
      </w:r>
      <w:r w:rsidR="00CA136E" w:rsidRPr="00610F10">
        <w:t xml:space="preserve"> </w:t>
      </w:r>
    </w:p>
    <w:p w14:paraId="1698998D" w14:textId="5724BC21" w:rsidR="00FD7FFA" w:rsidRPr="00610F10" w:rsidRDefault="00AC690B" w:rsidP="00954253">
      <w:pPr>
        <w:pStyle w:val="Heading2"/>
      </w:pPr>
      <w:r>
        <w:t xml:space="preserve">This </w:t>
      </w:r>
      <w:r w:rsidR="008C6AA9">
        <w:t>CP</w:t>
      </w:r>
      <w:r>
        <w:t xml:space="preserve"> should be made to provide network users who require a </w:t>
      </w:r>
      <w:r w:rsidR="00E15337">
        <w:t xml:space="preserve">new or modified connection via a </w:t>
      </w:r>
      <w:r w:rsidR="008C6AA9">
        <w:t>F</w:t>
      </w:r>
      <w:r>
        <w:t xml:space="preserve">lexible </w:t>
      </w:r>
      <w:r w:rsidR="008C6AA9">
        <w:t>C</w:t>
      </w:r>
      <w:r>
        <w:t xml:space="preserve">onnection </w:t>
      </w:r>
      <w:r w:rsidR="00E15337">
        <w:t xml:space="preserve">option </w:t>
      </w:r>
      <w:r>
        <w:t xml:space="preserve">with greater certainty and understanding of the charges they may incur directly as part of the connection charge. In addition, this change seeks to develop a consistent methodology across all DNOs for charging network users the costs associated with </w:t>
      </w:r>
      <w:r w:rsidR="008C6AA9">
        <w:t>F</w:t>
      </w:r>
      <w:r>
        <w:t xml:space="preserve">lexible </w:t>
      </w:r>
      <w:r w:rsidR="008C6AA9">
        <w:t>C</w:t>
      </w:r>
      <w:r>
        <w:t>onnection schemes</w:t>
      </w:r>
      <w:r w:rsidR="00704BD0" w:rsidRPr="00610F10">
        <w:t>.</w:t>
      </w:r>
    </w:p>
    <w:p w14:paraId="12483A17" w14:textId="247C3603" w:rsidR="0012717A" w:rsidRPr="00610F10" w:rsidRDefault="0012717A" w:rsidP="00610F10">
      <w:pPr>
        <w:pStyle w:val="Heading4"/>
      </w:pPr>
      <w:r w:rsidRPr="00610F10">
        <w:t>How</w:t>
      </w:r>
      <w:r w:rsidR="00E26B1D" w:rsidRPr="00610F10">
        <w:t>?</w:t>
      </w:r>
    </w:p>
    <w:p w14:paraId="35D9A9A3" w14:textId="09D5ED07" w:rsidR="005A2D69" w:rsidRDefault="005A2D69" w:rsidP="006F6AFA">
      <w:pPr>
        <w:pStyle w:val="Heading2"/>
      </w:pPr>
      <w:r>
        <w:lastRenderedPageBreak/>
        <w:t>The type of charge applied, whether directly (via the connection charge) or indirectly (via D</w:t>
      </w:r>
      <w:r w:rsidR="00AB5F44">
        <w:t xml:space="preserve">istribution </w:t>
      </w:r>
      <w:r>
        <w:t>U</w:t>
      </w:r>
      <w:r w:rsidR="00AB5F44">
        <w:t xml:space="preserve">se </w:t>
      </w:r>
      <w:r>
        <w:t>o</w:t>
      </w:r>
      <w:r w:rsidR="00AB5F44">
        <w:t xml:space="preserve">f </w:t>
      </w:r>
      <w:r>
        <w:t>S</w:t>
      </w:r>
      <w:r w:rsidR="00AB5F44">
        <w:t>ystem (DUoS)</w:t>
      </w:r>
      <w:r>
        <w:t xml:space="preserve"> charges) is dictated according to the connection scheme to which it relates. The ARAWG determined that connection schemes would fall in to two main categories known as either Dedicated Schemes or Wide Area Schemes, defined as follows:</w:t>
      </w:r>
    </w:p>
    <w:p w14:paraId="3B9192E7" w14:textId="63857732" w:rsidR="005A2D69" w:rsidRDefault="005A2D69" w:rsidP="006F6AFA">
      <w:pPr>
        <w:pStyle w:val="Heading2"/>
      </w:pPr>
      <w:r>
        <w:t xml:space="preserve">A </w:t>
      </w:r>
      <w:r>
        <w:rPr>
          <w:b/>
        </w:rPr>
        <w:t>Dedicated Scheme</w:t>
      </w:r>
      <w:r>
        <w:t xml:space="preserve"> is a scheme managing constraint(s) where there are no customers downstream of the constrain(s) who could connect new or additional [generation] without being controlled by a Dedicated Scheme.</w:t>
      </w:r>
    </w:p>
    <w:p w14:paraId="2426A154" w14:textId="2FC244F4" w:rsidR="005A2D69" w:rsidRDefault="005A2D69" w:rsidP="006F6AFA">
      <w:pPr>
        <w:pStyle w:val="Heading2"/>
      </w:pPr>
      <w:r>
        <w:t>Dedicated Schemes can be sub-categorised in to two types:</w:t>
      </w:r>
    </w:p>
    <w:p w14:paraId="458BC531" w14:textId="1064D683" w:rsidR="005A2D69" w:rsidRDefault="005A2D69" w:rsidP="0082614E">
      <w:pPr>
        <w:pStyle w:val="ListParagraph"/>
        <w:numPr>
          <w:ilvl w:val="0"/>
          <w:numId w:val="25"/>
        </w:numPr>
        <w:spacing w:after="200"/>
        <w:ind w:left="1134" w:hanging="567"/>
      </w:pPr>
      <w:r>
        <w:t>Type A considers a scenario involving only one customer</w:t>
      </w:r>
    </w:p>
    <w:p w14:paraId="07861F5C" w14:textId="4D2159D5" w:rsidR="005A2D69" w:rsidRDefault="005A2D69" w:rsidP="0082614E">
      <w:pPr>
        <w:pStyle w:val="ListParagraph"/>
        <w:numPr>
          <w:ilvl w:val="0"/>
          <w:numId w:val="25"/>
        </w:numPr>
        <w:spacing w:after="200"/>
        <w:ind w:left="1134" w:hanging="567"/>
      </w:pPr>
      <w:r>
        <w:t>Type B considers a scenario involving multiple customers</w:t>
      </w:r>
    </w:p>
    <w:p w14:paraId="16B749FD" w14:textId="3BBCBEEA" w:rsidR="005A2D69" w:rsidRDefault="005A2D69" w:rsidP="006F6AFA">
      <w:pPr>
        <w:pStyle w:val="Heading2"/>
      </w:pPr>
      <w:r>
        <w:t xml:space="preserve">A </w:t>
      </w:r>
      <w:r>
        <w:rPr>
          <w:b/>
        </w:rPr>
        <w:t>Wide Area Scheme</w:t>
      </w:r>
      <w:r>
        <w:t xml:space="preserve"> is a scheme managing constraint(s) where there are customers downstream of the constrain(s) who could connect new or additional [generation] without being controlled by the Wide Area Scheme.</w:t>
      </w:r>
    </w:p>
    <w:p w14:paraId="2D7D950D" w14:textId="14367971" w:rsidR="005A2D69" w:rsidRDefault="005A2D69" w:rsidP="006F6AFA">
      <w:pPr>
        <w:pStyle w:val="Heading2"/>
      </w:pPr>
      <w:r>
        <w:t>An example of these schemes is shown below:</w:t>
      </w:r>
    </w:p>
    <w:p w14:paraId="1099279E" w14:textId="260D6D8D" w:rsidR="005A2D69" w:rsidRDefault="005A2D69" w:rsidP="005A2D69">
      <w:pPr>
        <w:rPr>
          <w:u w:val="single"/>
        </w:rPr>
      </w:pPr>
      <w:r>
        <w:rPr>
          <w:u w:val="single"/>
        </w:rPr>
        <w:t>Dedicated Scheme – Type B</w:t>
      </w:r>
    </w:p>
    <w:p w14:paraId="6C308F90" w14:textId="75159102" w:rsidR="005A2D69" w:rsidRDefault="005A2D69" w:rsidP="005A2D69">
      <w:pPr>
        <w:rPr>
          <w:u w:val="single"/>
        </w:rPr>
      </w:pPr>
      <w:r w:rsidRPr="00EF6929">
        <w:rPr>
          <w:noProof/>
        </w:rPr>
        <w:drawing>
          <wp:inline distT="0" distB="0" distL="0" distR="0" wp14:anchorId="2AB3316E" wp14:editId="007CE162">
            <wp:extent cx="5417820" cy="326644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417820" cy="3266440"/>
                    </a:xfrm>
                    <a:prstGeom prst="rect">
                      <a:avLst/>
                    </a:prstGeom>
                    <a:noFill/>
                    <a:ln>
                      <a:noFill/>
                    </a:ln>
                  </pic:spPr>
                </pic:pic>
              </a:graphicData>
            </a:graphic>
          </wp:inline>
        </w:drawing>
      </w:r>
    </w:p>
    <w:p w14:paraId="5768F728" w14:textId="2B88B56A" w:rsidR="005A2D69" w:rsidRDefault="005A2D69" w:rsidP="005A2D69">
      <w:pPr>
        <w:rPr>
          <w:u w:val="single"/>
        </w:rPr>
      </w:pPr>
    </w:p>
    <w:p w14:paraId="36A47C26" w14:textId="4853A2F1" w:rsidR="005A2D69" w:rsidRDefault="005A2D69" w:rsidP="005A2D69">
      <w:pPr>
        <w:rPr>
          <w:u w:val="single"/>
        </w:rPr>
      </w:pPr>
      <w:r>
        <w:rPr>
          <w:u w:val="single"/>
        </w:rPr>
        <w:t>Wide Area Scheme – Type B</w:t>
      </w:r>
    </w:p>
    <w:p w14:paraId="4B9ED895" w14:textId="3F25262E" w:rsidR="005A2D69" w:rsidRDefault="005A2D69" w:rsidP="005A2D69">
      <w:pPr>
        <w:rPr>
          <w:u w:val="single"/>
        </w:rPr>
      </w:pPr>
      <w:r w:rsidRPr="00EF6929">
        <w:rPr>
          <w:noProof/>
        </w:rPr>
        <w:lastRenderedPageBreak/>
        <w:drawing>
          <wp:inline distT="0" distB="0" distL="0" distR="0" wp14:anchorId="38939C44" wp14:editId="6E83B004">
            <wp:extent cx="5285740" cy="3229610"/>
            <wp:effectExtent l="0" t="0" r="0" b="889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285740" cy="3229610"/>
                    </a:xfrm>
                    <a:prstGeom prst="rect">
                      <a:avLst/>
                    </a:prstGeom>
                    <a:noFill/>
                    <a:ln>
                      <a:noFill/>
                    </a:ln>
                  </pic:spPr>
                </pic:pic>
              </a:graphicData>
            </a:graphic>
          </wp:inline>
        </w:drawing>
      </w:r>
    </w:p>
    <w:p w14:paraId="0F3682BD" w14:textId="41965BA6" w:rsidR="005A2D69" w:rsidRDefault="005A2D69" w:rsidP="005A2D69">
      <w:pPr>
        <w:rPr>
          <w:u w:val="single"/>
        </w:rPr>
      </w:pPr>
    </w:p>
    <w:p w14:paraId="0D41B8A3" w14:textId="5F08B4D5" w:rsidR="005A2D69" w:rsidRDefault="005A2D69" w:rsidP="005A2D69">
      <w:pPr>
        <w:pStyle w:val="Heading2"/>
      </w:pPr>
      <w:r>
        <w:t xml:space="preserve">According to how a connection is designated, i.e. </w:t>
      </w:r>
      <w:r w:rsidR="00B35F21">
        <w:t>a Dedicated or Wide Area Scheme, will determine the charging methodology applied. Some charges may be attributed directly to the network user within the connection charge, some charges may be shared, and some charges may be recovered through on-going DUoS.</w:t>
      </w:r>
    </w:p>
    <w:p w14:paraId="755873F3" w14:textId="08473A5D" w:rsidR="00B35F21" w:rsidRPr="00B35F21" w:rsidRDefault="00B35F21" w:rsidP="00B35F21">
      <w:pPr>
        <w:pStyle w:val="Heading2"/>
      </w:pPr>
      <w:r>
        <w:t>The rationale behind this methodology is given in section 3 below and the proposed charge allocation is shown in section 4 below.</w:t>
      </w:r>
    </w:p>
    <w:p w14:paraId="4BCD187F" w14:textId="7B194E1C" w:rsidR="00E6212D" w:rsidRPr="00610F10" w:rsidRDefault="00E6212D" w:rsidP="005F7E14">
      <w:pPr>
        <w:pStyle w:val="Heading02"/>
      </w:pPr>
      <w:bookmarkStart w:id="8" w:name="_Toc453107797"/>
      <w:bookmarkStart w:id="9" w:name="_Toc4664537"/>
      <w:r w:rsidRPr="00610F10">
        <w:t>Governance</w:t>
      </w:r>
      <w:bookmarkEnd w:id="7"/>
      <w:bookmarkEnd w:id="8"/>
      <w:bookmarkEnd w:id="9"/>
    </w:p>
    <w:p w14:paraId="16319196" w14:textId="06B434B0" w:rsidR="007C7FB5" w:rsidRPr="00610F10" w:rsidRDefault="002D7C43" w:rsidP="00610F10">
      <w:pPr>
        <w:pStyle w:val="Heading4"/>
      </w:pPr>
      <w:r w:rsidRPr="00610F10">
        <w:t>Justification for</w:t>
      </w:r>
      <w:r w:rsidR="00335479" w:rsidRPr="00610F10">
        <w:t xml:space="preserve"> Part </w:t>
      </w:r>
      <w:r w:rsidR="00304BDF">
        <w:t>1</w:t>
      </w:r>
      <w:r w:rsidR="00582E0D" w:rsidRPr="00610F10">
        <w:t xml:space="preserve"> Matter</w:t>
      </w:r>
      <w:r w:rsidR="00231812" w:rsidRPr="00610F10">
        <w:t xml:space="preserve"> </w:t>
      </w:r>
    </w:p>
    <w:p w14:paraId="10A52B74" w14:textId="77777777" w:rsidR="00B8377E" w:rsidRDefault="00455943" w:rsidP="006C57B2">
      <w:pPr>
        <w:pStyle w:val="Heading2"/>
        <w:numPr>
          <w:ilvl w:val="1"/>
          <w:numId w:val="17"/>
        </w:numPr>
      </w:pPr>
      <w:r w:rsidRPr="00610F10">
        <w:t xml:space="preserve">This CP is considered a Part </w:t>
      </w:r>
      <w:r w:rsidR="00304BDF">
        <w:t>1</w:t>
      </w:r>
      <w:r w:rsidRPr="00610F10">
        <w:t xml:space="preserve"> Matter as</w:t>
      </w:r>
      <w:r w:rsidR="00304BDF">
        <w:t xml:space="preserve"> it satisfies </w:t>
      </w:r>
      <w:r w:rsidR="00B8377E">
        <w:t>one or more of the following criteria:</w:t>
      </w:r>
    </w:p>
    <w:p w14:paraId="776BF8A3" w14:textId="4835BFC5" w:rsidR="00CA2364" w:rsidRDefault="00B8377E" w:rsidP="0082614E">
      <w:pPr>
        <w:pStyle w:val="Heading2"/>
        <w:numPr>
          <w:ilvl w:val="0"/>
          <w:numId w:val="26"/>
        </w:numPr>
        <w:ind w:left="1134" w:hanging="567"/>
      </w:pPr>
      <w:r>
        <w:t>It is likely to have a significant impact on the interests of electricity consumers;</w:t>
      </w:r>
    </w:p>
    <w:p w14:paraId="510ABA3D" w14:textId="72F9D674" w:rsidR="00B8377E" w:rsidRDefault="00B8377E" w:rsidP="0082614E">
      <w:pPr>
        <w:pStyle w:val="ListParagraph"/>
        <w:numPr>
          <w:ilvl w:val="0"/>
          <w:numId w:val="26"/>
        </w:numPr>
        <w:ind w:left="1134" w:hanging="567"/>
      </w:pPr>
      <w:r>
        <w:t>It is likely to have a significant impact on competition in one or more of:</w:t>
      </w:r>
    </w:p>
    <w:p w14:paraId="75A50DFC" w14:textId="0EA34B08" w:rsidR="00B8377E" w:rsidRDefault="00B8377E" w:rsidP="0082614E">
      <w:pPr>
        <w:pStyle w:val="ListParagraph"/>
        <w:numPr>
          <w:ilvl w:val="1"/>
          <w:numId w:val="26"/>
        </w:numPr>
        <w:ind w:left="1985" w:hanging="851"/>
      </w:pPr>
      <w:r>
        <w:t>The generation of electricity;</w:t>
      </w:r>
    </w:p>
    <w:p w14:paraId="29823DA9" w14:textId="5D5A573B" w:rsidR="00B8377E" w:rsidRDefault="00B8377E" w:rsidP="0082614E">
      <w:pPr>
        <w:pStyle w:val="ListParagraph"/>
        <w:numPr>
          <w:ilvl w:val="1"/>
          <w:numId w:val="26"/>
        </w:numPr>
        <w:ind w:left="1985" w:hanging="851"/>
      </w:pPr>
      <w:r>
        <w:t>The distribution of electricity;</w:t>
      </w:r>
    </w:p>
    <w:p w14:paraId="6DD163A6" w14:textId="437FC11D" w:rsidR="00B8377E" w:rsidRDefault="00B8377E" w:rsidP="0082614E">
      <w:pPr>
        <w:pStyle w:val="ListParagraph"/>
        <w:numPr>
          <w:ilvl w:val="1"/>
          <w:numId w:val="26"/>
        </w:numPr>
        <w:ind w:left="1985" w:hanging="851"/>
      </w:pPr>
      <w:r>
        <w:t>The supply of electricity; and</w:t>
      </w:r>
    </w:p>
    <w:p w14:paraId="172056DF" w14:textId="2743600D" w:rsidR="00B8377E" w:rsidRDefault="00B8377E" w:rsidP="0082614E">
      <w:pPr>
        <w:pStyle w:val="ListParagraph"/>
        <w:numPr>
          <w:ilvl w:val="1"/>
          <w:numId w:val="26"/>
        </w:numPr>
        <w:ind w:left="1985" w:hanging="851"/>
      </w:pPr>
      <w:r>
        <w:t>Any commercial activities connected with the generation, distribution or supply of electricity.</w:t>
      </w:r>
    </w:p>
    <w:p w14:paraId="5EC8A225" w14:textId="0C2C8CD8" w:rsidR="003D0565" w:rsidRDefault="003D0565" w:rsidP="003D0565">
      <w:pPr>
        <w:ind w:left="1713"/>
      </w:pPr>
    </w:p>
    <w:p w14:paraId="2423EF48" w14:textId="77777777" w:rsidR="003D0565" w:rsidRPr="00B8377E" w:rsidRDefault="003D0565" w:rsidP="003D0565">
      <w:pPr>
        <w:ind w:left="1713"/>
      </w:pPr>
    </w:p>
    <w:p w14:paraId="5906D612" w14:textId="16192C21" w:rsidR="00A835C8" w:rsidRDefault="00F0352A" w:rsidP="00610F10">
      <w:pPr>
        <w:pStyle w:val="Heading4"/>
        <w:rPr>
          <w:i/>
          <w:iCs/>
        </w:rPr>
      </w:pPr>
      <w:r>
        <w:lastRenderedPageBreak/>
        <w:t>Current</w:t>
      </w:r>
      <w:r w:rsidR="00E50A06">
        <w:t xml:space="preserve"> Next Steps</w:t>
      </w:r>
      <w:bookmarkStart w:id="10" w:name="_Toc318962135"/>
      <w:bookmarkStart w:id="11" w:name="_Toc453107798"/>
    </w:p>
    <w:p w14:paraId="13EDDA32" w14:textId="19D94287" w:rsidR="00727E45" w:rsidRDefault="00704BD0" w:rsidP="00704BD0">
      <w:pPr>
        <w:pStyle w:val="ListParagraph"/>
        <w:numPr>
          <w:ilvl w:val="1"/>
          <w:numId w:val="14"/>
        </w:numPr>
        <w:jc w:val="both"/>
      </w:pPr>
      <w:r>
        <w:t>The Working Group agree that the next steps are to issue this c</w:t>
      </w:r>
      <w:r w:rsidR="00A835C8">
        <w:t xml:space="preserve">onsultation </w:t>
      </w:r>
      <w:r>
        <w:t>d</w:t>
      </w:r>
      <w:r w:rsidR="00A835C8">
        <w:t>ocument</w:t>
      </w:r>
      <w:r>
        <w:t xml:space="preserve"> to Parties for a period of three weeks.</w:t>
      </w:r>
    </w:p>
    <w:p w14:paraId="3ED9FC73" w14:textId="1028E6D1" w:rsidR="00727E45" w:rsidRDefault="00727E45">
      <w:pPr>
        <w:spacing w:before="0" w:after="0" w:line="240" w:lineRule="auto"/>
      </w:pPr>
    </w:p>
    <w:p w14:paraId="2AB00D45" w14:textId="4DA5ED95" w:rsidR="004C6117" w:rsidRPr="00610F10" w:rsidRDefault="004C6117" w:rsidP="005F7E14">
      <w:pPr>
        <w:pStyle w:val="Heading02"/>
      </w:pPr>
      <w:bookmarkStart w:id="12" w:name="_Toc4664538"/>
      <w:r w:rsidRPr="00610F10">
        <w:t>Why Change?</w:t>
      </w:r>
      <w:bookmarkEnd w:id="10"/>
      <w:bookmarkEnd w:id="11"/>
      <w:bookmarkEnd w:id="12"/>
    </w:p>
    <w:p w14:paraId="3EF9D514" w14:textId="6F49240A" w:rsidR="00A13762" w:rsidRDefault="00E563EF" w:rsidP="00610F10">
      <w:pPr>
        <w:pStyle w:val="Heading4"/>
        <w:rPr>
          <w:i/>
          <w:iCs/>
        </w:rPr>
      </w:pPr>
      <w:r>
        <w:t>Background of DCP 3</w:t>
      </w:r>
      <w:r w:rsidR="00B8377E">
        <w:t>48</w:t>
      </w:r>
    </w:p>
    <w:p w14:paraId="1466C6F9" w14:textId="77777777" w:rsidR="00BA32E7" w:rsidRDefault="00BA32E7" w:rsidP="006F6AFA">
      <w:pPr>
        <w:pStyle w:val="Heading2"/>
        <w:ind w:left="578" w:hanging="578"/>
      </w:pPr>
      <w:r>
        <w:t>In December 2017, Scottish and Southern Electricity Networks (SSEN) submitted a Modification Proposal</w:t>
      </w:r>
      <w:r>
        <w:rPr>
          <w:rStyle w:val="FootnoteReference"/>
        </w:rPr>
        <w:footnoteReference w:id="4"/>
      </w:r>
      <w:r>
        <w:t xml:space="preserve"> to Ofgem requesting a change to their Statement of Methodology and Charges for Connection (the Methodology) in order to provide clarity surrounding charges for operation and maintenance citing the need for greater clarity and cost reflectivity in the way in which operation and maintenance costs were calculated and applied to Flexible Connections</w:t>
      </w:r>
      <w:r w:rsidR="00704BD0">
        <w:t>.</w:t>
      </w:r>
    </w:p>
    <w:p w14:paraId="699502A7" w14:textId="5B3C941D" w:rsidR="00086384" w:rsidRDefault="00BA32E7" w:rsidP="006F6AFA">
      <w:pPr>
        <w:pStyle w:val="Heading2"/>
        <w:ind w:left="578" w:hanging="578"/>
      </w:pPr>
      <w:r>
        <w:t>Following an industry wide consultation, Ofgem issued a Directive vetoing the Modification Proposal</w:t>
      </w:r>
      <w:r>
        <w:rPr>
          <w:rStyle w:val="FootnoteReference"/>
        </w:rPr>
        <w:footnoteReference w:id="5"/>
      </w:r>
      <w:r>
        <w:t xml:space="preserve"> on the basis that SSEN had failed to sufficiently demonstrate how the modification would better achieve the Relevant Objectives (as listed in Standard Licence Condition 13 (SLC13)). Within that Directive, Ofgem stated their expectation that DNOs should keep their methodologies under review as experience with Flexible Connections is acquired and they encouraged DNOs to consider the issue further to help provide clarity to consumers about how costs of providing Flexible Connections are treated. This </w:t>
      </w:r>
      <w:r w:rsidR="00844A5A">
        <w:t>CP</w:t>
      </w:r>
      <w:r>
        <w:t xml:space="preserve"> is the result of that work.</w:t>
      </w:r>
    </w:p>
    <w:p w14:paraId="31DED18C" w14:textId="5D195A5E" w:rsidR="00BA32E7" w:rsidRDefault="00BA32E7" w:rsidP="006F6AFA">
      <w:pPr>
        <w:pStyle w:val="Heading2"/>
        <w:ind w:left="578" w:hanging="578"/>
      </w:pPr>
      <w:r>
        <w:t>It is also recognised that central ANM schemes are now being designed to control much larger areas of network, with participation no longer restricted to just distributed generation. These evolving design</w:t>
      </w:r>
      <w:r w:rsidR="00B67466">
        <w:t xml:space="preserve">s can have the ability to manage technology agnostic flexibility services (demand-side response, energy storage and aggregators of multiple virtual power plants), provide capacity to accelerate the deployment of low carbon technologies (such as electric vehicles and heat pumps), and re-configure networks to </w:t>
      </w:r>
      <w:r w:rsidR="00AB52CE">
        <w:t>optimise the capacity within existing assets. The benefits therefore go beyond just the individual flexible/ANM connected customer.</w:t>
      </w:r>
    </w:p>
    <w:p w14:paraId="7896AB4A" w14:textId="636CFE15" w:rsidR="00AB52CE" w:rsidRDefault="00AB52CE" w:rsidP="006F6AFA">
      <w:pPr>
        <w:pStyle w:val="Heading2"/>
        <w:ind w:left="578" w:hanging="578"/>
      </w:pPr>
      <w:r>
        <w:t>The ARAWG agreed that any principles for cost recovery on Flexible Connections schemes should be developed and become part of the CCCM, thus ensuring:</w:t>
      </w:r>
    </w:p>
    <w:p w14:paraId="75AF1D25" w14:textId="6421FB64" w:rsidR="00AB52CE" w:rsidRDefault="00AB52CE" w:rsidP="0082614E">
      <w:pPr>
        <w:pStyle w:val="Heading2"/>
        <w:numPr>
          <w:ilvl w:val="0"/>
          <w:numId w:val="27"/>
        </w:numPr>
        <w:ind w:left="1134" w:hanging="567"/>
      </w:pPr>
      <w:r>
        <w:t>Transparency of charges;</w:t>
      </w:r>
    </w:p>
    <w:p w14:paraId="06B61761" w14:textId="039CAB8E" w:rsidR="00AB52CE" w:rsidRDefault="00AB52CE" w:rsidP="0082614E">
      <w:pPr>
        <w:pStyle w:val="ListParagraph"/>
        <w:numPr>
          <w:ilvl w:val="0"/>
          <w:numId w:val="27"/>
        </w:numPr>
        <w:ind w:left="1134" w:hanging="567"/>
      </w:pPr>
      <w:r>
        <w:t>Consistency of approach;</w:t>
      </w:r>
    </w:p>
    <w:p w14:paraId="2C6E17F7" w14:textId="2BFFCFCA" w:rsidR="00AB52CE" w:rsidRDefault="00AB52CE" w:rsidP="0082614E">
      <w:pPr>
        <w:pStyle w:val="ListParagraph"/>
        <w:numPr>
          <w:ilvl w:val="0"/>
          <w:numId w:val="27"/>
        </w:numPr>
        <w:ind w:left="1134" w:hanging="567"/>
      </w:pPr>
      <w:r>
        <w:lastRenderedPageBreak/>
        <w:t>Transparency of allocation;</w:t>
      </w:r>
    </w:p>
    <w:p w14:paraId="2530FDA0" w14:textId="7E3566EC" w:rsidR="00AB52CE" w:rsidRDefault="00AB52CE" w:rsidP="0082614E">
      <w:pPr>
        <w:pStyle w:val="ListParagraph"/>
        <w:numPr>
          <w:ilvl w:val="0"/>
          <w:numId w:val="27"/>
        </w:numPr>
        <w:ind w:left="1134" w:hanging="567"/>
      </w:pPr>
      <w:r>
        <w:t>Due consideration to application of ‘Minimum Scheme’ principles; and</w:t>
      </w:r>
    </w:p>
    <w:p w14:paraId="15963779" w14:textId="61BA7886" w:rsidR="00AB52CE" w:rsidRDefault="00AB52CE" w:rsidP="0082614E">
      <w:pPr>
        <w:pStyle w:val="ListParagraph"/>
        <w:numPr>
          <w:ilvl w:val="0"/>
          <w:numId w:val="27"/>
        </w:numPr>
        <w:spacing w:after="200"/>
        <w:ind w:left="1134" w:hanging="567"/>
      </w:pPr>
      <w:r>
        <w:t>Recognition of any wider and future beneficiaries of ANM schemes.</w:t>
      </w:r>
    </w:p>
    <w:p w14:paraId="48AD7F57" w14:textId="48FCBF9A" w:rsidR="00AB52CE" w:rsidRDefault="00AB52CE" w:rsidP="006F6AFA">
      <w:pPr>
        <w:pStyle w:val="Heading2"/>
      </w:pPr>
      <w:r>
        <w:rPr>
          <w:b/>
          <w:bCs w:val="0"/>
        </w:rPr>
        <w:t xml:space="preserve">Transparency of charges – </w:t>
      </w:r>
      <w:r>
        <w:t>market entrants understand the charging rules that will determine the connection charges they will incur and therefore level of finance exposure.</w:t>
      </w:r>
    </w:p>
    <w:p w14:paraId="3D43F36B" w14:textId="013628CF" w:rsidR="00F71296" w:rsidRDefault="00AB52CE" w:rsidP="006F6AFA">
      <w:pPr>
        <w:pStyle w:val="Heading2"/>
      </w:pPr>
      <w:r>
        <w:rPr>
          <w:b/>
          <w:bCs w:val="0"/>
        </w:rPr>
        <w:t xml:space="preserve">Consistency of approach </w:t>
      </w:r>
      <w:r w:rsidR="00F71296">
        <w:rPr>
          <w:b/>
          <w:bCs w:val="0"/>
        </w:rPr>
        <w:t>–</w:t>
      </w:r>
      <w:r>
        <w:rPr>
          <w:b/>
          <w:bCs w:val="0"/>
        </w:rPr>
        <w:t xml:space="preserve"> </w:t>
      </w:r>
      <w:r w:rsidR="00F71296">
        <w:t>development of a coordinated and consistent framework of charging principles for the main cost elements across DNOs.</w:t>
      </w:r>
    </w:p>
    <w:p w14:paraId="7891556B" w14:textId="4489BE64" w:rsidR="00F71296" w:rsidRDefault="00F71296" w:rsidP="006F6AFA">
      <w:pPr>
        <w:pStyle w:val="Heading2"/>
      </w:pPr>
      <w:r w:rsidRPr="00F71296">
        <w:rPr>
          <w:b/>
          <w:bCs w:val="0"/>
        </w:rPr>
        <w:t>Transparency of allocation –</w:t>
      </w:r>
      <w:r>
        <w:t xml:space="preserve"> development of arrangements that recognise Flexible Connection schemes may deliver benefits for:</w:t>
      </w:r>
    </w:p>
    <w:p w14:paraId="7359EB26" w14:textId="074E167C" w:rsidR="00F71296" w:rsidRDefault="00F71296" w:rsidP="0082614E">
      <w:pPr>
        <w:pStyle w:val="ListParagraph"/>
        <w:numPr>
          <w:ilvl w:val="0"/>
          <w:numId w:val="28"/>
        </w:numPr>
        <w:spacing w:after="200"/>
        <w:ind w:left="1134" w:hanging="567"/>
        <w:rPr>
          <w:bCs/>
        </w:rPr>
      </w:pPr>
      <w:r>
        <w:rPr>
          <w:bCs/>
        </w:rPr>
        <w:t>An individual connection or clearly defined set of customers;</w:t>
      </w:r>
    </w:p>
    <w:p w14:paraId="59C15356" w14:textId="65FECB47" w:rsidR="00F71296" w:rsidRDefault="00F71296" w:rsidP="0082614E">
      <w:pPr>
        <w:pStyle w:val="ListParagraph"/>
        <w:numPr>
          <w:ilvl w:val="0"/>
          <w:numId w:val="28"/>
        </w:numPr>
        <w:spacing w:after="200"/>
        <w:ind w:left="1134" w:hanging="567"/>
        <w:rPr>
          <w:bCs/>
        </w:rPr>
      </w:pPr>
      <w:r>
        <w:rPr>
          <w:bCs/>
        </w:rPr>
        <w:t>A wider group of customers (new and future) in the same defined scheme;</w:t>
      </w:r>
    </w:p>
    <w:p w14:paraId="7AC949BE" w14:textId="4BB030AF" w:rsidR="00F71296" w:rsidRDefault="00F71296" w:rsidP="0082614E">
      <w:pPr>
        <w:pStyle w:val="ListParagraph"/>
        <w:numPr>
          <w:ilvl w:val="0"/>
          <w:numId w:val="28"/>
        </w:numPr>
        <w:spacing w:after="200"/>
        <w:ind w:left="1134" w:hanging="567"/>
        <w:rPr>
          <w:bCs/>
        </w:rPr>
      </w:pPr>
      <w:r>
        <w:rPr>
          <w:bCs/>
        </w:rPr>
        <w:t>Wider network ANM schemes and/or where the network is of an undefined capacity; or</w:t>
      </w:r>
    </w:p>
    <w:p w14:paraId="41488343" w14:textId="32223A5F" w:rsidR="00F71296" w:rsidRDefault="00F71296" w:rsidP="0082614E">
      <w:pPr>
        <w:pStyle w:val="ListParagraph"/>
        <w:numPr>
          <w:ilvl w:val="0"/>
          <w:numId w:val="28"/>
        </w:numPr>
        <w:spacing w:after="200"/>
        <w:ind w:left="1134" w:hanging="567"/>
        <w:rPr>
          <w:bCs/>
        </w:rPr>
      </w:pPr>
      <w:r>
        <w:rPr>
          <w:bCs/>
        </w:rPr>
        <w:t>Different DER technology types, e.g. DG, DSR, storage, EVs.</w:t>
      </w:r>
    </w:p>
    <w:p w14:paraId="66260B94" w14:textId="793354FC" w:rsidR="00F71296" w:rsidRDefault="00F71296" w:rsidP="006F6AFA">
      <w:pPr>
        <w:spacing w:before="0" w:after="200" w:line="360" w:lineRule="auto"/>
        <w:rPr>
          <w:b/>
          <w:u w:val="single"/>
        </w:rPr>
      </w:pPr>
      <w:r>
        <w:rPr>
          <w:b/>
          <w:u w:val="single"/>
        </w:rPr>
        <w:t>Minimum Scheme</w:t>
      </w:r>
    </w:p>
    <w:p w14:paraId="2EDCE989" w14:textId="520DAD9C" w:rsidR="00F71296" w:rsidRDefault="00F71296" w:rsidP="006F6AFA">
      <w:pPr>
        <w:pStyle w:val="Heading2"/>
      </w:pPr>
      <w:r>
        <w:t>Due consideration was given by the ARAWG to the application of ‘Minimum Scheme’ principles and the potential impact of the proposed changes on the definition of ‘Minimum Scheme’, currently stated as:</w:t>
      </w:r>
    </w:p>
    <w:p w14:paraId="71CA2232" w14:textId="6279012A" w:rsidR="00F71296" w:rsidRDefault="00F71296" w:rsidP="002C274F">
      <w:pPr>
        <w:spacing w:before="0" w:after="200" w:line="360" w:lineRule="auto"/>
        <w:ind w:left="576"/>
        <w:jc w:val="both"/>
        <w:rPr>
          <w:i/>
          <w:iCs/>
        </w:rPr>
      </w:pPr>
      <w:r>
        <w:rPr>
          <w:i/>
          <w:iCs/>
        </w:rPr>
        <w:t>“The Minimum Scheme is the Scheme with the lowest overall capital cost (as estimated by us), solely to provide the Required Capacity.</w:t>
      </w:r>
    </w:p>
    <w:p w14:paraId="1D1EEFA9" w14:textId="2EC324F0" w:rsidR="00F71296" w:rsidRDefault="00F71296" w:rsidP="006F6AFA">
      <w:pPr>
        <w:pStyle w:val="Heading2"/>
      </w:pPr>
      <w:r>
        <w:t>The Required Capacity is defined as:</w:t>
      </w:r>
    </w:p>
    <w:p w14:paraId="0F6CC496" w14:textId="01C6D78C" w:rsidR="00F71296" w:rsidRDefault="00F71296" w:rsidP="002C274F">
      <w:pPr>
        <w:spacing w:before="0" w:after="200" w:line="360" w:lineRule="auto"/>
        <w:ind w:left="578"/>
        <w:jc w:val="both"/>
        <w:rPr>
          <w:i/>
          <w:iCs/>
        </w:rPr>
      </w:pPr>
      <w:r>
        <w:rPr>
          <w:i/>
          <w:iCs/>
        </w:rPr>
        <w:t xml:space="preserve">“is the Maximum Capacity agreed with the Customer. In the case of multiple connections (e.g. a housing development) it may be adjusted after consideration </w:t>
      </w:r>
      <w:r w:rsidR="005E3D7E">
        <w:rPr>
          <w:i/>
          <w:iCs/>
        </w:rPr>
        <w:t>of the effects of diversity. Where an existing Customer requests and increase in capacity then it is the increase above their Existing Capacity.”</w:t>
      </w:r>
    </w:p>
    <w:p w14:paraId="346A7619" w14:textId="37522A56" w:rsidR="00E6772B" w:rsidRDefault="005E3D7E" w:rsidP="006F6AFA">
      <w:pPr>
        <w:pStyle w:val="Heading2"/>
        <w:ind w:left="578"/>
      </w:pPr>
      <w:r>
        <w:t xml:space="preserve">Previous comments suggested that Flexible Connections did </w:t>
      </w:r>
      <w:r w:rsidR="00E6772B">
        <w:t>not meet the Required Capacity</w:t>
      </w:r>
      <w:r w:rsidR="008C6AA9">
        <w:rPr>
          <w:rStyle w:val="FootnoteReference"/>
        </w:rPr>
        <w:footnoteReference w:id="6"/>
      </w:r>
      <w:r w:rsidR="00E6772B">
        <w:t xml:space="preserve"> so could not be the Minimum Scheme (or could be above the Minimum Scheme and considered an enhanced Scheme).</w:t>
      </w:r>
    </w:p>
    <w:p w14:paraId="00024E9C" w14:textId="50B23353" w:rsidR="00E6772B" w:rsidRDefault="00E6772B" w:rsidP="006F6AFA">
      <w:pPr>
        <w:pStyle w:val="Heading2"/>
        <w:ind w:left="578"/>
      </w:pPr>
      <w:r>
        <w:lastRenderedPageBreak/>
        <w:t xml:space="preserve">The ARAWG considered this further and agreed that there is more nuance. Network users now have choices via discussions with the DNO e.g. to accept less than 24/7 capacity continuity via a Flexible Connection – in effect the network user then defines their Required Capacity both in </w:t>
      </w:r>
      <w:r w:rsidR="00813655">
        <w:t>Megawatts</w:t>
      </w:r>
      <w:r>
        <w:t xml:space="preserve"> and the extent to which they are prepared to be Flexible. If the network user chooses 24/7 continuity the Minimum Scheme will not be a Flexible Connection and will include reinforcement (i.e. the scheme with reinforcement becomes the minimum).</w:t>
      </w:r>
    </w:p>
    <w:p w14:paraId="37FD09A4" w14:textId="6EF39E98" w:rsidR="00E6772B" w:rsidRDefault="00E6772B" w:rsidP="006F6AFA">
      <w:pPr>
        <w:pStyle w:val="Heading2"/>
      </w:pPr>
      <w:r>
        <w:t>The ARAWG was also mindful of previous feedback to SSEN’s earlier Modification Proposal under which Ofgem expressed that it received extensive responses on whether a Flexible Connection could be a Minimum Scheme. While there was no straightforward consensus, the majority of the respondents agreed that a Flexible Connection can indeed qualify for this classification. They stated:</w:t>
      </w:r>
    </w:p>
    <w:p w14:paraId="6B093B78" w14:textId="465D769E" w:rsidR="00E6772B" w:rsidRDefault="00E6772B" w:rsidP="006F6AFA">
      <w:pPr>
        <w:spacing w:before="0" w:after="200" w:line="360" w:lineRule="auto"/>
        <w:ind w:left="576"/>
        <w:jc w:val="both"/>
        <w:rPr>
          <w:i/>
          <w:iCs/>
        </w:rPr>
      </w:pPr>
      <w:r>
        <w:rPr>
          <w:i/>
          <w:iCs/>
        </w:rPr>
        <w:t>“The applicant should be at liberty to determine the level of security that will meet their needs and whether or not a flexible connection is a viable alternative to conventional reinforcement. On this basis either solution may be construed as the Minimum Scheme, i.e. the solution must reflect the scheme with the lowest overall capital costs according to the connection type selected by the applicant.”</w:t>
      </w:r>
    </w:p>
    <w:p w14:paraId="6700D0F8" w14:textId="6E2D3C25" w:rsidR="00E6772B" w:rsidRDefault="00E6772B" w:rsidP="006F6AFA">
      <w:pPr>
        <w:pStyle w:val="Heading2"/>
      </w:pPr>
      <w:r>
        <w:t>The ARAWG therefore concluded that principles surrounding the Minimum Scheme remained fit for purpose across the range of Flexible Connection products.</w:t>
      </w:r>
    </w:p>
    <w:p w14:paraId="5869449C" w14:textId="7574FE8B" w:rsidR="00E6772B" w:rsidRDefault="00E6772B" w:rsidP="006F6AFA">
      <w:pPr>
        <w:spacing w:before="0" w:after="200" w:line="360" w:lineRule="auto"/>
        <w:rPr>
          <w:b/>
          <w:bCs/>
          <w:u w:val="single"/>
        </w:rPr>
      </w:pPr>
      <w:r>
        <w:rPr>
          <w:b/>
          <w:bCs/>
          <w:u w:val="single"/>
        </w:rPr>
        <w:t>Cost Recovery of (Shared Benefit) ANM Control and Communications Equipment</w:t>
      </w:r>
    </w:p>
    <w:p w14:paraId="55B8AFE6" w14:textId="6EF2CF6D" w:rsidR="00E6772B" w:rsidRDefault="00E6772B" w:rsidP="006F6AFA">
      <w:pPr>
        <w:pStyle w:val="Heading2"/>
      </w:pPr>
      <w:r>
        <w:t>The existing CCCM was developed against a backdrop of traditional engineering assets with rules for the apportionment of asset reinforcement costs. These rules for apportionment are applied in recognition of the wider benefits to network users of New Network Capacity</w:t>
      </w:r>
      <w:r w:rsidR="00AB5F44">
        <w:rPr>
          <w:rStyle w:val="FootnoteReference"/>
        </w:rPr>
        <w:footnoteReference w:id="7"/>
      </w:r>
      <w:r>
        <w:t xml:space="preserve"> created.</w:t>
      </w:r>
    </w:p>
    <w:p w14:paraId="491C9DA5" w14:textId="39055270" w:rsidR="00E6772B" w:rsidRDefault="00E6772B" w:rsidP="006F6AFA">
      <w:pPr>
        <w:pStyle w:val="Heading2"/>
      </w:pPr>
      <w:r>
        <w:t xml:space="preserve">In contrast to this, flexible connections avoid the need for reinforcement by sharing available headroom and </w:t>
      </w:r>
      <w:r w:rsidR="00B44D4B">
        <w:t xml:space="preserve">utilising existing assets closer to their maximum operating parameters. It was noted by the ARAWG that whilst no New Network Capacity is created, for example </w:t>
      </w:r>
      <w:r w:rsidR="00E15337">
        <w:t xml:space="preserve">by </w:t>
      </w:r>
      <w:r w:rsidR="00B44D4B">
        <w:t>ANM schemes, there remains wider benefits to network users, for example the connection of downstream micro-generation and other technologies.</w:t>
      </w:r>
    </w:p>
    <w:p w14:paraId="3ACB7D60" w14:textId="39C2C66B" w:rsidR="00F71296" w:rsidRPr="00F71296" w:rsidRDefault="00B44D4B" w:rsidP="00A67D17">
      <w:pPr>
        <w:pStyle w:val="Heading2"/>
      </w:pPr>
      <w:r>
        <w:t xml:space="preserve">The ARAWG concluded that it was inappropriate for the costs of those elements of the ANM/Flexible Connections equipment which provide wider network benefit, to be levied on those </w:t>
      </w:r>
      <w:r w:rsidR="00E653AE">
        <w:t xml:space="preserve">network </w:t>
      </w:r>
      <w:r>
        <w:t>users directly controlled by it.</w:t>
      </w:r>
      <w:r w:rsidR="00813655">
        <w:t xml:space="preserve"> This would mean that the DNOs would ensure that the costs will be specific in some areas to some </w:t>
      </w:r>
      <w:r w:rsidR="00E653AE">
        <w:t xml:space="preserve">network </w:t>
      </w:r>
      <w:r w:rsidR="00813655">
        <w:t xml:space="preserve">users for the Dedicated Scheme and </w:t>
      </w:r>
      <w:r w:rsidR="00960108">
        <w:t xml:space="preserve">socialised </w:t>
      </w:r>
      <w:r w:rsidR="00813655">
        <w:t>where a Wider Scheme is applied</w:t>
      </w:r>
      <w:r w:rsidR="00960108">
        <w:t xml:space="preserve"> i.e. recovered through Use of System Charges rather than directly from the </w:t>
      </w:r>
      <w:r w:rsidR="00E653AE">
        <w:t xml:space="preserve">network </w:t>
      </w:r>
      <w:r w:rsidR="00960108">
        <w:t>users</w:t>
      </w:r>
      <w:r w:rsidR="00E653AE">
        <w:t xml:space="preserve"> directly controlled by it</w:t>
      </w:r>
      <w:r w:rsidR="00813655">
        <w:t xml:space="preserve">. </w:t>
      </w:r>
    </w:p>
    <w:tbl>
      <w:tblPr>
        <w:tblStyle w:val="TableList2"/>
        <w:tblW w:w="0" w:type="auto"/>
        <w:tblBorders>
          <w:bottom w:val="single" w:sz="6" w:space="0" w:color="000000"/>
        </w:tblBorders>
        <w:shd w:val="pct75" w:color="008080" w:fill="008000"/>
        <w:tblLook w:val="04A0" w:firstRow="1" w:lastRow="0" w:firstColumn="1" w:lastColumn="0" w:noHBand="0" w:noVBand="1"/>
      </w:tblPr>
      <w:tblGrid>
        <w:gridCol w:w="9346"/>
      </w:tblGrid>
      <w:tr w:rsidR="00E563EF" w:rsidRPr="00B50322" w14:paraId="49C6B720" w14:textId="77777777" w:rsidTr="00057496">
        <w:trPr>
          <w:cnfStyle w:val="100000000000" w:firstRow="1" w:lastRow="0" w:firstColumn="0" w:lastColumn="0" w:oddVBand="0" w:evenVBand="0" w:oddHBand="0" w:evenHBand="0" w:firstRowFirstColumn="0" w:firstRowLastColumn="0" w:lastRowFirstColumn="0" w:lastRowLastColumn="0"/>
        </w:trPr>
        <w:tc>
          <w:tcPr>
            <w:tcW w:w="9346" w:type="dxa"/>
            <w:tcBorders>
              <w:bottom w:val="none" w:sz="0" w:space="0" w:color="auto"/>
            </w:tcBorders>
          </w:tcPr>
          <w:p w14:paraId="012D8151" w14:textId="0B47772D" w:rsidR="00E563EF" w:rsidRPr="00B50322" w:rsidRDefault="00E563EF" w:rsidP="00057496">
            <w:pPr>
              <w:jc w:val="both"/>
              <w:rPr>
                <w:szCs w:val="20"/>
              </w:rPr>
            </w:pPr>
            <w:r w:rsidRPr="00B50322">
              <w:rPr>
                <w:szCs w:val="20"/>
              </w:rPr>
              <w:lastRenderedPageBreak/>
              <w:t>Q1: Do you understand the intent of DCP 3</w:t>
            </w:r>
            <w:r w:rsidR="00B44D4B">
              <w:rPr>
                <w:szCs w:val="20"/>
              </w:rPr>
              <w:t>48</w:t>
            </w:r>
            <w:r w:rsidRPr="00B50322">
              <w:rPr>
                <w:szCs w:val="20"/>
              </w:rPr>
              <w:t>?</w:t>
            </w:r>
          </w:p>
        </w:tc>
      </w:tr>
    </w:tbl>
    <w:p w14:paraId="3770A38A" w14:textId="7ED4DEDA" w:rsidR="00E563EF" w:rsidRPr="00B50322" w:rsidRDefault="00E563EF" w:rsidP="00610F10">
      <w:pPr>
        <w:pStyle w:val="NoSpacing"/>
      </w:pPr>
    </w:p>
    <w:tbl>
      <w:tblPr>
        <w:tblStyle w:val="TableList2"/>
        <w:tblW w:w="0" w:type="auto"/>
        <w:tblLook w:val="04A0" w:firstRow="1" w:lastRow="0" w:firstColumn="1" w:lastColumn="0" w:noHBand="0" w:noVBand="1"/>
      </w:tblPr>
      <w:tblGrid>
        <w:gridCol w:w="9346"/>
      </w:tblGrid>
      <w:tr w:rsidR="00E563EF" w:rsidRPr="00B50322" w14:paraId="4BC51316" w14:textId="77777777" w:rsidTr="00E563EF">
        <w:trPr>
          <w:cnfStyle w:val="100000000000" w:firstRow="1" w:lastRow="0" w:firstColumn="0" w:lastColumn="0" w:oddVBand="0" w:evenVBand="0" w:oddHBand="0" w:evenHBand="0" w:firstRowFirstColumn="0" w:firstRowLastColumn="0" w:lastRowFirstColumn="0" w:lastRowLastColumn="0"/>
        </w:trPr>
        <w:tc>
          <w:tcPr>
            <w:tcW w:w="9346" w:type="dxa"/>
          </w:tcPr>
          <w:p w14:paraId="77BA93CD" w14:textId="0EC31977" w:rsidR="00E563EF" w:rsidRPr="00B50322" w:rsidRDefault="00E563EF" w:rsidP="00057496">
            <w:pPr>
              <w:jc w:val="both"/>
              <w:rPr>
                <w:szCs w:val="20"/>
              </w:rPr>
            </w:pPr>
            <w:r w:rsidRPr="00B50322">
              <w:rPr>
                <w:szCs w:val="20"/>
              </w:rPr>
              <w:t>Q2: Are you supportive of the principles of DCP 3</w:t>
            </w:r>
            <w:r w:rsidR="00B44D4B">
              <w:rPr>
                <w:szCs w:val="20"/>
              </w:rPr>
              <w:t>48?</w:t>
            </w:r>
          </w:p>
        </w:tc>
      </w:tr>
    </w:tbl>
    <w:p w14:paraId="1717BA8A" w14:textId="0F16DF53" w:rsidR="00B52063" w:rsidRPr="00610F10" w:rsidRDefault="0007537E" w:rsidP="005F7E14">
      <w:pPr>
        <w:pStyle w:val="Heading02"/>
      </w:pPr>
      <w:bookmarkStart w:id="13" w:name="_Toc4664539"/>
      <w:r w:rsidRPr="00610F10">
        <w:t>Working Group Assessment</w:t>
      </w:r>
      <w:bookmarkEnd w:id="13"/>
      <w:r w:rsidRPr="00610F10">
        <w:t xml:space="preserve"> </w:t>
      </w:r>
    </w:p>
    <w:p w14:paraId="045C030C" w14:textId="79624D15" w:rsidR="0012717A" w:rsidRDefault="00335479" w:rsidP="00610F10">
      <w:pPr>
        <w:pStyle w:val="Heading4"/>
        <w:rPr>
          <w:i/>
          <w:iCs/>
        </w:rPr>
      </w:pPr>
      <w:bookmarkStart w:id="14" w:name="_Toc318962139"/>
      <w:r>
        <w:t xml:space="preserve">DCP </w:t>
      </w:r>
      <w:r w:rsidR="00E96D40">
        <w:t>3</w:t>
      </w:r>
      <w:r w:rsidR="00B44D4B">
        <w:t>48</w:t>
      </w:r>
      <w:r w:rsidR="007A1926">
        <w:t xml:space="preserve"> </w:t>
      </w:r>
      <w:r w:rsidR="0012717A">
        <w:t>Working Group Assessment</w:t>
      </w:r>
    </w:p>
    <w:p w14:paraId="2EEE33D6" w14:textId="68248FAB" w:rsidR="0037500E" w:rsidRPr="00702777" w:rsidRDefault="0012717A" w:rsidP="00610F10">
      <w:pPr>
        <w:pStyle w:val="Heading2"/>
      </w:pPr>
      <w:r w:rsidRPr="00832598">
        <w:t>The DCUSA Panel established a</w:t>
      </w:r>
      <w:r w:rsidR="00455943">
        <w:t xml:space="preserve"> Working Group to assess DCP </w:t>
      </w:r>
      <w:r w:rsidR="00E563EF">
        <w:t>3</w:t>
      </w:r>
      <w:r w:rsidR="00B44D4B">
        <w:t>48</w:t>
      </w:r>
      <w:r w:rsidRPr="00832598">
        <w:t xml:space="preserve">. This Working Group consists </w:t>
      </w:r>
      <w:r w:rsidR="009B449F">
        <w:t>of DNO</w:t>
      </w:r>
      <w:r w:rsidR="008C6AA9">
        <w:t>,</w:t>
      </w:r>
      <w:r w:rsidR="00227DA3">
        <w:t xml:space="preserve"> </w:t>
      </w:r>
      <w:r w:rsidR="00B44D4B">
        <w:t>I</w:t>
      </w:r>
      <w:r w:rsidR="00844A5A">
        <w:t xml:space="preserve">ndependent </w:t>
      </w:r>
      <w:r w:rsidR="00B44D4B">
        <w:t>D</w:t>
      </w:r>
      <w:r w:rsidR="00844A5A">
        <w:t xml:space="preserve">istribution </w:t>
      </w:r>
      <w:r w:rsidR="00B44D4B">
        <w:t>N</w:t>
      </w:r>
      <w:r w:rsidR="00844A5A">
        <w:t xml:space="preserve">etwork </w:t>
      </w:r>
      <w:r w:rsidR="00B44D4B">
        <w:t>O</w:t>
      </w:r>
      <w:r w:rsidR="00844A5A">
        <w:t>perator (IDNO)</w:t>
      </w:r>
      <w:r w:rsidR="008C6AA9">
        <w:t xml:space="preserve"> and Supplier</w:t>
      </w:r>
      <w:r w:rsidR="009B449F">
        <w:t xml:space="preserve"> representatives</w:t>
      </w:r>
      <w:r w:rsidR="00E563EF">
        <w:t>.</w:t>
      </w:r>
      <w:r>
        <w:t xml:space="preserve"> </w:t>
      </w:r>
      <w:r w:rsidRPr="00832598">
        <w:t xml:space="preserve">Meetings were held in open session and the minutes and papers of each meeting are available on the DCUSA website – </w:t>
      </w:r>
      <w:hyperlink r:id="rId19" w:history="1">
        <w:r w:rsidRPr="00832598">
          <w:t>www.dcusa.co.uk</w:t>
        </w:r>
      </w:hyperlink>
      <w:r w:rsidRPr="00832598">
        <w:t>.</w:t>
      </w:r>
    </w:p>
    <w:p w14:paraId="036438C1" w14:textId="22B19592" w:rsidR="00B44D4B" w:rsidRDefault="00770866" w:rsidP="00B44D4B">
      <w:pPr>
        <w:pStyle w:val="Heading2"/>
      </w:pPr>
      <w:r w:rsidRPr="00610F10">
        <w:t>The</w:t>
      </w:r>
      <w:r w:rsidR="00227DA3" w:rsidRPr="00610F10">
        <w:t xml:space="preserve"> Proposer’s initial solution is to </w:t>
      </w:r>
      <w:r w:rsidR="00B44D4B">
        <w:t xml:space="preserve">create an additional section to the CCCM relating to cost recovery for Flexible Connections. </w:t>
      </w:r>
      <w:r w:rsidR="008C6AA9">
        <w:t xml:space="preserve">The aims </w:t>
      </w:r>
      <w:proofErr w:type="gramStart"/>
      <w:r w:rsidR="008C6AA9">
        <w:t>is</w:t>
      </w:r>
      <w:proofErr w:type="gramEnd"/>
      <w:r w:rsidR="008C6AA9">
        <w:t xml:space="preserve"> to provide clarity on charging arrangements. </w:t>
      </w:r>
      <w:r w:rsidR="00B44D4B">
        <w:t>The new section will include a table showing how charges will be allocated to network users.</w:t>
      </w:r>
      <w:r w:rsidR="008C6AA9">
        <w:t xml:space="preserve"> Specifically, it will show for each type of Flexible Connection, who will fund the costs of the communications equipment and when those costs may be shared.</w:t>
      </w:r>
    </w:p>
    <w:tbl>
      <w:tblPr>
        <w:tblStyle w:val="TableGrid10"/>
        <w:tblW w:w="0" w:type="auto"/>
        <w:tblLook w:val="04A0" w:firstRow="1" w:lastRow="0" w:firstColumn="1" w:lastColumn="0" w:noHBand="0" w:noVBand="1"/>
      </w:tblPr>
      <w:tblGrid>
        <w:gridCol w:w="2254"/>
        <w:gridCol w:w="2254"/>
        <w:gridCol w:w="2254"/>
        <w:gridCol w:w="2254"/>
      </w:tblGrid>
      <w:tr w:rsidR="00F44230" w:rsidRPr="00BD1025" w14:paraId="43B0354C" w14:textId="77777777" w:rsidTr="00F6599A">
        <w:tc>
          <w:tcPr>
            <w:tcW w:w="2254" w:type="dxa"/>
          </w:tcPr>
          <w:p w14:paraId="1E17039B" w14:textId="77777777" w:rsidR="00F44230" w:rsidRPr="00BD1025" w:rsidRDefault="00F44230" w:rsidP="00F6599A">
            <w:pPr>
              <w:rPr>
                <w:rFonts w:ascii="Times New Roman" w:hAnsi="Times New Roman" w:cs="Times New Roman"/>
                <w:b/>
                <w:bCs/>
                <w:sz w:val="24"/>
              </w:rPr>
            </w:pPr>
            <w:r w:rsidRPr="00BD1025">
              <w:rPr>
                <w:rFonts w:ascii="Times New Roman" w:hAnsi="Times New Roman" w:cs="Times New Roman"/>
                <w:b/>
                <w:bCs/>
                <w:sz w:val="24"/>
              </w:rPr>
              <w:t xml:space="preserve">Connection Component </w:t>
            </w:r>
          </w:p>
        </w:tc>
        <w:tc>
          <w:tcPr>
            <w:tcW w:w="2254" w:type="dxa"/>
          </w:tcPr>
          <w:p w14:paraId="73F2260D" w14:textId="77777777" w:rsidR="00F44230" w:rsidRPr="00BD1025" w:rsidRDefault="00F44230" w:rsidP="00F6599A">
            <w:pPr>
              <w:rPr>
                <w:rFonts w:ascii="Times New Roman" w:hAnsi="Times New Roman" w:cs="Times New Roman"/>
                <w:b/>
                <w:bCs/>
                <w:sz w:val="24"/>
              </w:rPr>
            </w:pPr>
            <w:r w:rsidRPr="00BD1025">
              <w:rPr>
                <w:rFonts w:ascii="Times New Roman" w:hAnsi="Times New Roman" w:cs="Times New Roman"/>
                <w:b/>
                <w:bCs/>
                <w:sz w:val="24"/>
              </w:rPr>
              <w:t xml:space="preserve">Type 1A </w:t>
            </w:r>
            <w:r>
              <w:rPr>
                <w:rFonts w:ascii="Times New Roman" w:hAnsi="Times New Roman" w:cs="Times New Roman"/>
                <w:b/>
                <w:bCs/>
                <w:sz w:val="24"/>
              </w:rPr>
              <w:t xml:space="preserve">- </w:t>
            </w:r>
            <w:r w:rsidRPr="00BD1025">
              <w:rPr>
                <w:rFonts w:ascii="Times New Roman" w:hAnsi="Times New Roman" w:cs="Times New Roman"/>
                <w:b/>
                <w:bCs/>
                <w:sz w:val="24"/>
              </w:rPr>
              <w:t>Single</w:t>
            </w:r>
          </w:p>
        </w:tc>
        <w:tc>
          <w:tcPr>
            <w:tcW w:w="2254" w:type="dxa"/>
          </w:tcPr>
          <w:p w14:paraId="2BAAAB46" w14:textId="77777777" w:rsidR="00F44230" w:rsidRPr="00BD1025" w:rsidRDefault="00F44230" w:rsidP="00F6599A">
            <w:pPr>
              <w:rPr>
                <w:rFonts w:ascii="Times New Roman" w:hAnsi="Times New Roman" w:cs="Times New Roman"/>
                <w:b/>
                <w:bCs/>
                <w:sz w:val="24"/>
              </w:rPr>
            </w:pPr>
            <w:r w:rsidRPr="00BD1025">
              <w:rPr>
                <w:rFonts w:ascii="Times New Roman" w:hAnsi="Times New Roman" w:cs="Times New Roman"/>
                <w:b/>
                <w:bCs/>
                <w:sz w:val="24"/>
              </w:rPr>
              <w:t xml:space="preserve">Type 1B </w:t>
            </w:r>
            <w:r>
              <w:rPr>
                <w:rFonts w:ascii="Times New Roman" w:hAnsi="Times New Roman" w:cs="Times New Roman"/>
                <w:b/>
                <w:bCs/>
                <w:sz w:val="24"/>
              </w:rPr>
              <w:t xml:space="preserve">- </w:t>
            </w:r>
            <w:r w:rsidRPr="00BD1025">
              <w:rPr>
                <w:rFonts w:ascii="Times New Roman" w:hAnsi="Times New Roman" w:cs="Times New Roman"/>
                <w:b/>
                <w:bCs/>
                <w:sz w:val="24"/>
              </w:rPr>
              <w:t>Multiple</w:t>
            </w:r>
          </w:p>
        </w:tc>
        <w:tc>
          <w:tcPr>
            <w:tcW w:w="2254" w:type="dxa"/>
          </w:tcPr>
          <w:p w14:paraId="4D795B4B" w14:textId="77777777" w:rsidR="00F44230" w:rsidRPr="00BD1025" w:rsidRDefault="00F44230" w:rsidP="00F6599A">
            <w:pPr>
              <w:rPr>
                <w:rFonts w:ascii="Times New Roman" w:hAnsi="Times New Roman" w:cs="Times New Roman"/>
                <w:b/>
                <w:bCs/>
                <w:sz w:val="24"/>
              </w:rPr>
            </w:pPr>
            <w:r w:rsidRPr="00BD1025">
              <w:rPr>
                <w:rFonts w:ascii="Times New Roman" w:hAnsi="Times New Roman" w:cs="Times New Roman"/>
                <w:b/>
                <w:bCs/>
                <w:sz w:val="24"/>
              </w:rPr>
              <w:t xml:space="preserve">Type 2 </w:t>
            </w:r>
            <w:r>
              <w:rPr>
                <w:rFonts w:ascii="Times New Roman" w:hAnsi="Times New Roman" w:cs="Times New Roman"/>
                <w:b/>
                <w:bCs/>
                <w:sz w:val="24"/>
              </w:rPr>
              <w:t xml:space="preserve">- </w:t>
            </w:r>
            <w:r w:rsidRPr="00BD1025">
              <w:rPr>
                <w:rFonts w:ascii="Times New Roman" w:hAnsi="Times New Roman" w:cs="Times New Roman"/>
                <w:b/>
                <w:bCs/>
                <w:sz w:val="24"/>
              </w:rPr>
              <w:t>Wide Area</w:t>
            </w:r>
          </w:p>
        </w:tc>
      </w:tr>
      <w:tr w:rsidR="00F44230" w:rsidRPr="00BD1025" w14:paraId="45726D61" w14:textId="77777777" w:rsidTr="00F6599A">
        <w:tc>
          <w:tcPr>
            <w:tcW w:w="2254" w:type="dxa"/>
          </w:tcPr>
          <w:p w14:paraId="59F97169" w14:textId="77777777" w:rsidR="00F44230" w:rsidRPr="00BD1025" w:rsidRDefault="00F44230" w:rsidP="00F6599A">
            <w:pPr>
              <w:rPr>
                <w:rFonts w:ascii="Times New Roman" w:hAnsi="Times New Roman" w:cs="Times New Roman"/>
                <w:b/>
                <w:bCs/>
                <w:sz w:val="24"/>
              </w:rPr>
            </w:pPr>
            <w:r w:rsidRPr="00BD1025">
              <w:rPr>
                <w:rFonts w:ascii="Times New Roman" w:hAnsi="Times New Roman" w:cs="Times New Roman"/>
                <w:b/>
                <w:bCs/>
                <w:sz w:val="24"/>
              </w:rPr>
              <w:t>Extension assets for customer</w:t>
            </w:r>
          </w:p>
        </w:tc>
        <w:tc>
          <w:tcPr>
            <w:tcW w:w="2254" w:type="dxa"/>
          </w:tcPr>
          <w:p w14:paraId="5180A9F3" w14:textId="77777777" w:rsidR="00F44230" w:rsidRPr="00BD1025" w:rsidRDefault="00F44230" w:rsidP="00F6599A">
            <w:pPr>
              <w:rPr>
                <w:rFonts w:ascii="Times New Roman" w:hAnsi="Times New Roman" w:cs="Times New Roman"/>
                <w:sz w:val="24"/>
              </w:rPr>
            </w:pPr>
            <w:r w:rsidRPr="00BD1025">
              <w:rPr>
                <w:rFonts w:ascii="Times New Roman" w:hAnsi="Times New Roman" w:cs="Times New Roman"/>
                <w:sz w:val="24"/>
              </w:rPr>
              <w:t>You fund</w:t>
            </w:r>
          </w:p>
        </w:tc>
        <w:tc>
          <w:tcPr>
            <w:tcW w:w="2254" w:type="dxa"/>
          </w:tcPr>
          <w:p w14:paraId="5004C331" w14:textId="77777777" w:rsidR="00F44230" w:rsidRPr="00BD1025" w:rsidRDefault="00F44230" w:rsidP="00F6599A">
            <w:pPr>
              <w:rPr>
                <w:rFonts w:ascii="Times New Roman" w:hAnsi="Times New Roman" w:cs="Times New Roman"/>
                <w:sz w:val="24"/>
              </w:rPr>
            </w:pPr>
            <w:r w:rsidRPr="00BD1025">
              <w:rPr>
                <w:rFonts w:ascii="Times New Roman" w:hAnsi="Times New Roman" w:cs="Times New Roman"/>
                <w:sz w:val="24"/>
              </w:rPr>
              <w:t>You fund</w:t>
            </w:r>
          </w:p>
        </w:tc>
        <w:tc>
          <w:tcPr>
            <w:tcW w:w="2254" w:type="dxa"/>
          </w:tcPr>
          <w:p w14:paraId="61C10890" w14:textId="77777777" w:rsidR="00F44230" w:rsidRPr="00BD1025" w:rsidRDefault="00F44230" w:rsidP="00F6599A">
            <w:pPr>
              <w:rPr>
                <w:rFonts w:ascii="Times New Roman" w:hAnsi="Times New Roman" w:cs="Times New Roman"/>
                <w:sz w:val="24"/>
              </w:rPr>
            </w:pPr>
            <w:r w:rsidRPr="00BD1025">
              <w:rPr>
                <w:rFonts w:ascii="Times New Roman" w:hAnsi="Times New Roman" w:cs="Times New Roman"/>
                <w:sz w:val="24"/>
              </w:rPr>
              <w:t>You fund</w:t>
            </w:r>
          </w:p>
        </w:tc>
      </w:tr>
      <w:tr w:rsidR="00F44230" w:rsidRPr="00BD1025" w14:paraId="40D1601B" w14:textId="77777777" w:rsidTr="00F6599A">
        <w:tc>
          <w:tcPr>
            <w:tcW w:w="2254" w:type="dxa"/>
          </w:tcPr>
          <w:p w14:paraId="51DAFFBF" w14:textId="77777777" w:rsidR="00F44230" w:rsidRPr="00BD1025" w:rsidRDefault="00F44230" w:rsidP="00F6599A">
            <w:pPr>
              <w:rPr>
                <w:rFonts w:ascii="Times New Roman" w:hAnsi="Times New Roman" w:cs="Times New Roman"/>
                <w:b/>
                <w:bCs/>
                <w:sz w:val="24"/>
              </w:rPr>
            </w:pPr>
            <w:r w:rsidRPr="00BD1025">
              <w:rPr>
                <w:rFonts w:ascii="Times New Roman" w:hAnsi="Times New Roman" w:cs="Times New Roman"/>
                <w:b/>
                <w:bCs/>
                <w:sz w:val="24"/>
              </w:rPr>
              <w:t>End user control unit for the customer</w:t>
            </w:r>
          </w:p>
        </w:tc>
        <w:tc>
          <w:tcPr>
            <w:tcW w:w="2254" w:type="dxa"/>
          </w:tcPr>
          <w:p w14:paraId="59923699" w14:textId="77777777" w:rsidR="00F44230" w:rsidRPr="00BD1025" w:rsidRDefault="00F44230" w:rsidP="00F6599A">
            <w:pPr>
              <w:rPr>
                <w:rFonts w:ascii="Times New Roman" w:hAnsi="Times New Roman" w:cs="Times New Roman"/>
                <w:sz w:val="24"/>
              </w:rPr>
            </w:pPr>
            <w:r w:rsidRPr="00BD1025">
              <w:rPr>
                <w:rFonts w:ascii="Times New Roman" w:hAnsi="Times New Roman" w:cs="Times New Roman"/>
                <w:sz w:val="24"/>
              </w:rPr>
              <w:t>You fund</w:t>
            </w:r>
          </w:p>
        </w:tc>
        <w:tc>
          <w:tcPr>
            <w:tcW w:w="2254" w:type="dxa"/>
          </w:tcPr>
          <w:p w14:paraId="59458138" w14:textId="77777777" w:rsidR="00F44230" w:rsidRPr="00BD1025" w:rsidRDefault="00F44230" w:rsidP="00F6599A">
            <w:pPr>
              <w:rPr>
                <w:rFonts w:ascii="Times New Roman" w:hAnsi="Times New Roman" w:cs="Times New Roman"/>
                <w:sz w:val="24"/>
              </w:rPr>
            </w:pPr>
            <w:r w:rsidRPr="00BD1025">
              <w:rPr>
                <w:rFonts w:ascii="Times New Roman" w:hAnsi="Times New Roman" w:cs="Times New Roman"/>
                <w:sz w:val="24"/>
              </w:rPr>
              <w:t>You fund</w:t>
            </w:r>
          </w:p>
        </w:tc>
        <w:tc>
          <w:tcPr>
            <w:tcW w:w="2254" w:type="dxa"/>
          </w:tcPr>
          <w:p w14:paraId="5A7B21ED" w14:textId="77777777" w:rsidR="00F44230" w:rsidRPr="00BD1025" w:rsidRDefault="00F44230" w:rsidP="00F6599A">
            <w:pPr>
              <w:rPr>
                <w:rFonts w:ascii="Times New Roman" w:hAnsi="Times New Roman" w:cs="Times New Roman"/>
                <w:sz w:val="24"/>
              </w:rPr>
            </w:pPr>
            <w:r w:rsidRPr="00BD1025">
              <w:rPr>
                <w:rFonts w:ascii="Times New Roman" w:hAnsi="Times New Roman" w:cs="Times New Roman"/>
                <w:sz w:val="24"/>
              </w:rPr>
              <w:t>You fund</w:t>
            </w:r>
          </w:p>
        </w:tc>
      </w:tr>
      <w:tr w:rsidR="00F44230" w:rsidRPr="00BD1025" w14:paraId="60A56DBC" w14:textId="77777777" w:rsidTr="00F6599A">
        <w:tc>
          <w:tcPr>
            <w:tcW w:w="2254" w:type="dxa"/>
          </w:tcPr>
          <w:p w14:paraId="3B60D1F0" w14:textId="77777777" w:rsidR="00F44230" w:rsidRPr="00BD1025" w:rsidRDefault="00F44230" w:rsidP="00F6599A">
            <w:pPr>
              <w:rPr>
                <w:rFonts w:ascii="Times New Roman" w:hAnsi="Times New Roman" w:cs="Times New Roman"/>
                <w:b/>
                <w:bCs/>
                <w:sz w:val="24"/>
              </w:rPr>
            </w:pPr>
            <w:r w:rsidRPr="00BD1025">
              <w:rPr>
                <w:rFonts w:ascii="Times New Roman" w:hAnsi="Times New Roman" w:cs="Times New Roman"/>
                <w:b/>
                <w:bCs/>
                <w:sz w:val="24"/>
              </w:rPr>
              <w:t>Local System management unit</w:t>
            </w:r>
          </w:p>
        </w:tc>
        <w:tc>
          <w:tcPr>
            <w:tcW w:w="2254" w:type="dxa"/>
          </w:tcPr>
          <w:p w14:paraId="0C62ADC5" w14:textId="77777777" w:rsidR="00F44230" w:rsidRPr="00BD1025" w:rsidRDefault="00F44230" w:rsidP="00F6599A">
            <w:pPr>
              <w:rPr>
                <w:rFonts w:ascii="Times New Roman" w:hAnsi="Times New Roman" w:cs="Times New Roman"/>
                <w:sz w:val="24"/>
              </w:rPr>
            </w:pPr>
            <w:r w:rsidRPr="00BD1025">
              <w:rPr>
                <w:rFonts w:ascii="Times New Roman" w:hAnsi="Times New Roman" w:cs="Times New Roman"/>
                <w:sz w:val="24"/>
              </w:rPr>
              <w:t>You fund</w:t>
            </w:r>
          </w:p>
        </w:tc>
        <w:tc>
          <w:tcPr>
            <w:tcW w:w="2254" w:type="dxa"/>
          </w:tcPr>
          <w:p w14:paraId="40B12047" w14:textId="0F944ED6" w:rsidR="00F44230" w:rsidRPr="00BD1025" w:rsidRDefault="00F44230" w:rsidP="00F6599A">
            <w:pPr>
              <w:rPr>
                <w:rFonts w:ascii="Times New Roman" w:hAnsi="Times New Roman" w:cs="Times New Roman"/>
                <w:sz w:val="24"/>
              </w:rPr>
            </w:pPr>
            <w:r w:rsidRPr="00BD1025">
              <w:rPr>
                <w:rFonts w:ascii="Times New Roman" w:hAnsi="Times New Roman" w:cs="Times New Roman"/>
                <w:sz w:val="24"/>
              </w:rPr>
              <w:t xml:space="preserve">Shared </w:t>
            </w:r>
            <w:r>
              <w:rPr>
                <w:rFonts w:ascii="Times New Roman" w:hAnsi="Times New Roman" w:cs="Times New Roman"/>
                <w:sz w:val="24"/>
              </w:rPr>
              <w:t>[equally between participants/based on capacity requirements of</w:t>
            </w:r>
            <w:r w:rsidRPr="00BD1025">
              <w:rPr>
                <w:rFonts w:ascii="Times New Roman" w:hAnsi="Times New Roman" w:cs="Times New Roman"/>
                <w:sz w:val="24"/>
              </w:rPr>
              <w:t xml:space="preserve"> participants</w:t>
            </w:r>
            <w:r>
              <w:rPr>
                <w:rFonts w:ascii="Times New Roman" w:hAnsi="Times New Roman" w:cs="Times New Roman"/>
                <w:sz w:val="24"/>
              </w:rPr>
              <w:t>]</w:t>
            </w:r>
          </w:p>
        </w:tc>
        <w:tc>
          <w:tcPr>
            <w:tcW w:w="2254" w:type="dxa"/>
          </w:tcPr>
          <w:p w14:paraId="66302918" w14:textId="77777777" w:rsidR="00F44230" w:rsidRPr="00BD1025" w:rsidRDefault="00F44230" w:rsidP="00F6599A">
            <w:pPr>
              <w:rPr>
                <w:rFonts w:ascii="Times New Roman" w:hAnsi="Times New Roman" w:cs="Times New Roman"/>
                <w:sz w:val="24"/>
              </w:rPr>
            </w:pPr>
            <w:r w:rsidRPr="00BD1025">
              <w:rPr>
                <w:rFonts w:ascii="Times New Roman" w:hAnsi="Times New Roman" w:cs="Times New Roman"/>
                <w:sz w:val="24"/>
              </w:rPr>
              <w:t>We fund</w:t>
            </w:r>
          </w:p>
        </w:tc>
      </w:tr>
      <w:tr w:rsidR="00F44230" w:rsidRPr="00BD1025" w14:paraId="4B2A64B3" w14:textId="77777777" w:rsidTr="00F6599A">
        <w:tc>
          <w:tcPr>
            <w:tcW w:w="2254" w:type="dxa"/>
          </w:tcPr>
          <w:p w14:paraId="456FB457" w14:textId="77777777" w:rsidR="00F44230" w:rsidRPr="00BD1025" w:rsidRDefault="00F44230" w:rsidP="00F6599A">
            <w:pPr>
              <w:rPr>
                <w:rFonts w:ascii="Times New Roman" w:hAnsi="Times New Roman" w:cs="Times New Roman"/>
                <w:b/>
                <w:bCs/>
                <w:sz w:val="24"/>
              </w:rPr>
            </w:pPr>
            <w:r w:rsidRPr="00BD1025">
              <w:rPr>
                <w:rFonts w:ascii="Times New Roman" w:hAnsi="Times New Roman" w:cs="Times New Roman"/>
                <w:b/>
                <w:bCs/>
                <w:sz w:val="24"/>
              </w:rPr>
              <w:t>Scheme management unit</w:t>
            </w:r>
          </w:p>
        </w:tc>
        <w:tc>
          <w:tcPr>
            <w:tcW w:w="2254" w:type="dxa"/>
          </w:tcPr>
          <w:p w14:paraId="69664EC9" w14:textId="77777777" w:rsidR="00F44230" w:rsidRPr="00BD1025" w:rsidRDefault="00F44230" w:rsidP="00F6599A">
            <w:pPr>
              <w:rPr>
                <w:rFonts w:ascii="Times New Roman" w:hAnsi="Times New Roman" w:cs="Times New Roman"/>
                <w:sz w:val="24"/>
              </w:rPr>
            </w:pPr>
            <w:r w:rsidRPr="00BD1025">
              <w:rPr>
                <w:rFonts w:ascii="Times New Roman" w:hAnsi="Times New Roman" w:cs="Times New Roman"/>
                <w:sz w:val="24"/>
              </w:rPr>
              <w:t>You fund</w:t>
            </w:r>
          </w:p>
        </w:tc>
        <w:tc>
          <w:tcPr>
            <w:tcW w:w="2254" w:type="dxa"/>
          </w:tcPr>
          <w:p w14:paraId="14E9656A" w14:textId="1EB89336" w:rsidR="00F44230" w:rsidRPr="00BD1025" w:rsidRDefault="00F44230" w:rsidP="00F6599A">
            <w:pPr>
              <w:rPr>
                <w:rFonts w:ascii="Times New Roman" w:hAnsi="Times New Roman" w:cs="Times New Roman"/>
                <w:sz w:val="24"/>
              </w:rPr>
            </w:pPr>
            <w:r w:rsidRPr="00BD1025">
              <w:rPr>
                <w:rFonts w:ascii="Times New Roman" w:hAnsi="Times New Roman" w:cs="Times New Roman"/>
                <w:sz w:val="24"/>
              </w:rPr>
              <w:t xml:space="preserve">Shared </w:t>
            </w:r>
            <w:r>
              <w:rPr>
                <w:rFonts w:ascii="Times New Roman" w:hAnsi="Times New Roman" w:cs="Times New Roman"/>
                <w:sz w:val="24"/>
              </w:rPr>
              <w:t>[equally between participants/based on capacity requirements of</w:t>
            </w:r>
            <w:r w:rsidRPr="00BD1025">
              <w:rPr>
                <w:rFonts w:ascii="Times New Roman" w:hAnsi="Times New Roman" w:cs="Times New Roman"/>
                <w:sz w:val="24"/>
              </w:rPr>
              <w:t xml:space="preserve"> participants</w:t>
            </w:r>
            <w:r>
              <w:rPr>
                <w:rFonts w:ascii="Times New Roman" w:hAnsi="Times New Roman" w:cs="Times New Roman"/>
                <w:sz w:val="24"/>
              </w:rPr>
              <w:t>]</w:t>
            </w:r>
          </w:p>
        </w:tc>
        <w:tc>
          <w:tcPr>
            <w:tcW w:w="2254" w:type="dxa"/>
          </w:tcPr>
          <w:p w14:paraId="58E458AA" w14:textId="77777777" w:rsidR="00F44230" w:rsidRPr="00BD1025" w:rsidRDefault="00F44230" w:rsidP="00F6599A">
            <w:pPr>
              <w:rPr>
                <w:rFonts w:ascii="Times New Roman" w:hAnsi="Times New Roman" w:cs="Times New Roman"/>
                <w:sz w:val="24"/>
              </w:rPr>
            </w:pPr>
            <w:r w:rsidRPr="00BD1025">
              <w:rPr>
                <w:rFonts w:ascii="Times New Roman" w:hAnsi="Times New Roman" w:cs="Times New Roman"/>
                <w:sz w:val="24"/>
              </w:rPr>
              <w:t>We fund</w:t>
            </w:r>
          </w:p>
        </w:tc>
      </w:tr>
      <w:tr w:rsidR="00F44230" w:rsidRPr="00BD1025" w14:paraId="7BD7DB4E" w14:textId="77777777" w:rsidTr="00F6599A">
        <w:tc>
          <w:tcPr>
            <w:tcW w:w="2254" w:type="dxa"/>
          </w:tcPr>
          <w:p w14:paraId="3465F2EE" w14:textId="77777777" w:rsidR="00F44230" w:rsidRPr="00BD1025" w:rsidRDefault="00F44230" w:rsidP="00F6599A">
            <w:pPr>
              <w:rPr>
                <w:rFonts w:ascii="Times New Roman" w:hAnsi="Times New Roman" w:cs="Times New Roman"/>
                <w:b/>
                <w:bCs/>
                <w:sz w:val="24"/>
              </w:rPr>
            </w:pPr>
            <w:r w:rsidRPr="00BD1025">
              <w:rPr>
                <w:rFonts w:ascii="Times New Roman" w:hAnsi="Times New Roman" w:cs="Times New Roman"/>
                <w:b/>
                <w:bCs/>
                <w:sz w:val="24"/>
              </w:rPr>
              <w:lastRenderedPageBreak/>
              <w:t>Central management unit</w:t>
            </w:r>
          </w:p>
        </w:tc>
        <w:tc>
          <w:tcPr>
            <w:tcW w:w="2254" w:type="dxa"/>
          </w:tcPr>
          <w:p w14:paraId="46256E60" w14:textId="77777777" w:rsidR="00F44230" w:rsidRPr="00BD1025" w:rsidRDefault="00F44230" w:rsidP="00F6599A">
            <w:pPr>
              <w:rPr>
                <w:rFonts w:ascii="Times New Roman" w:hAnsi="Times New Roman" w:cs="Times New Roman"/>
                <w:sz w:val="24"/>
              </w:rPr>
            </w:pPr>
            <w:r w:rsidRPr="00BD1025">
              <w:rPr>
                <w:rFonts w:ascii="Times New Roman" w:hAnsi="Times New Roman" w:cs="Times New Roman"/>
                <w:sz w:val="24"/>
              </w:rPr>
              <w:t>N/A</w:t>
            </w:r>
          </w:p>
        </w:tc>
        <w:tc>
          <w:tcPr>
            <w:tcW w:w="2254" w:type="dxa"/>
          </w:tcPr>
          <w:p w14:paraId="25083184" w14:textId="77777777" w:rsidR="00F44230" w:rsidRPr="00BD1025" w:rsidRDefault="00F44230" w:rsidP="00F6599A">
            <w:pPr>
              <w:rPr>
                <w:rFonts w:ascii="Times New Roman" w:hAnsi="Times New Roman" w:cs="Times New Roman"/>
                <w:sz w:val="24"/>
              </w:rPr>
            </w:pPr>
            <w:r w:rsidRPr="00BD1025">
              <w:rPr>
                <w:rFonts w:ascii="Times New Roman" w:hAnsi="Times New Roman" w:cs="Times New Roman"/>
                <w:sz w:val="24"/>
              </w:rPr>
              <w:t>N/A</w:t>
            </w:r>
          </w:p>
        </w:tc>
        <w:tc>
          <w:tcPr>
            <w:tcW w:w="2254" w:type="dxa"/>
          </w:tcPr>
          <w:p w14:paraId="46606A39" w14:textId="77777777" w:rsidR="00F44230" w:rsidRPr="00BD1025" w:rsidRDefault="00F44230" w:rsidP="00F6599A">
            <w:pPr>
              <w:rPr>
                <w:rFonts w:ascii="Times New Roman" w:hAnsi="Times New Roman" w:cs="Times New Roman"/>
                <w:sz w:val="24"/>
              </w:rPr>
            </w:pPr>
            <w:r w:rsidRPr="00BD1025">
              <w:rPr>
                <w:rFonts w:ascii="Times New Roman" w:hAnsi="Times New Roman" w:cs="Times New Roman"/>
                <w:sz w:val="24"/>
              </w:rPr>
              <w:t>We fund</w:t>
            </w:r>
          </w:p>
        </w:tc>
      </w:tr>
      <w:tr w:rsidR="00F44230" w:rsidRPr="00BD1025" w14:paraId="64C800A5" w14:textId="77777777" w:rsidTr="00F6599A">
        <w:tc>
          <w:tcPr>
            <w:tcW w:w="2254" w:type="dxa"/>
          </w:tcPr>
          <w:p w14:paraId="23052DEF" w14:textId="77777777" w:rsidR="00F44230" w:rsidRPr="00BD1025" w:rsidRDefault="00F44230" w:rsidP="00F6599A">
            <w:pPr>
              <w:rPr>
                <w:rFonts w:ascii="Times New Roman" w:hAnsi="Times New Roman" w:cs="Times New Roman"/>
                <w:b/>
                <w:bCs/>
                <w:sz w:val="24"/>
              </w:rPr>
            </w:pPr>
            <w:r w:rsidRPr="00BD1025">
              <w:rPr>
                <w:rFonts w:ascii="Times New Roman" w:hAnsi="Times New Roman" w:cs="Times New Roman"/>
                <w:b/>
                <w:bCs/>
                <w:sz w:val="24"/>
              </w:rPr>
              <w:t>Scheme specific ongoing costs e.g. communications</w:t>
            </w:r>
          </w:p>
        </w:tc>
        <w:tc>
          <w:tcPr>
            <w:tcW w:w="2254" w:type="dxa"/>
          </w:tcPr>
          <w:p w14:paraId="18BFE133" w14:textId="77777777" w:rsidR="00F44230" w:rsidRPr="00BD1025" w:rsidRDefault="00F44230" w:rsidP="00F6599A">
            <w:pPr>
              <w:rPr>
                <w:rFonts w:ascii="Times New Roman" w:hAnsi="Times New Roman" w:cs="Times New Roman"/>
                <w:sz w:val="24"/>
              </w:rPr>
            </w:pPr>
            <w:r w:rsidRPr="00BD1025">
              <w:rPr>
                <w:rFonts w:ascii="Times New Roman" w:hAnsi="Times New Roman" w:cs="Times New Roman"/>
                <w:sz w:val="24"/>
              </w:rPr>
              <w:t>We fund</w:t>
            </w:r>
          </w:p>
        </w:tc>
        <w:tc>
          <w:tcPr>
            <w:tcW w:w="2254" w:type="dxa"/>
          </w:tcPr>
          <w:p w14:paraId="142F1DEC" w14:textId="77777777" w:rsidR="00F44230" w:rsidRPr="00BD1025" w:rsidRDefault="00F44230" w:rsidP="00F6599A">
            <w:pPr>
              <w:rPr>
                <w:rFonts w:ascii="Times New Roman" w:hAnsi="Times New Roman" w:cs="Times New Roman"/>
                <w:sz w:val="24"/>
              </w:rPr>
            </w:pPr>
            <w:r w:rsidRPr="00BD1025">
              <w:rPr>
                <w:rFonts w:ascii="Times New Roman" w:hAnsi="Times New Roman" w:cs="Times New Roman"/>
                <w:sz w:val="24"/>
              </w:rPr>
              <w:t>We fund</w:t>
            </w:r>
          </w:p>
        </w:tc>
        <w:tc>
          <w:tcPr>
            <w:tcW w:w="2254" w:type="dxa"/>
          </w:tcPr>
          <w:p w14:paraId="6E9BA9A5" w14:textId="77777777" w:rsidR="00F44230" w:rsidRPr="00BD1025" w:rsidRDefault="00F44230" w:rsidP="00F6599A">
            <w:pPr>
              <w:rPr>
                <w:rFonts w:ascii="Times New Roman" w:hAnsi="Times New Roman" w:cs="Times New Roman"/>
                <w:sz w:val="24"/>
              </w:rPr>
            </w:pPr>
            <w:r w:rsidRPr="00BD1025">
              <w:rPr>
                <w:rFonts w:ascii="Times New Roman" w:hAnsi="Times New Roman" w:cs="Times New Roman"/>
                <w:sz w:val="24"/>
              </w:rPr>
              <w:t>We fund</w:t>
            </w:r>
          </w:p>
        </w:tc>
      </w:tr>
    </w:tbl>
    <w:p w14:paraId="3D422AD4" w14:textId="7472A4BB" w:rsidR="00F44230" w:rsidRDefault="00F44230" w:rsidP="00F44230"/>
    <w:tbl>
      <w:tblPr>
        <w:tblStyle w:val="TableList2"/>
        <w:tblW w:w="0" w:type="auto"/>
        <w:tblLook w:val="04A0" w:firstRow="1" w:lastRow="0" w:firstColumn="1" w:lastColumn="0" w:noHBand="0" w:noVBand="1"/>
      </w:tblPr>
      <w:tblGrid>
        <w:gridCol w:w="9346"/>
      </w:tblGrid>
      <w:tr w:rsidR="00F44230" w14:paraId="76CD029A" w14:textId="77777777" w:rsidTr="00E646AD">
        <w:trPr>
          <w:cnfStyle w:val="100000000000" w:firstRow="1" w:lastRow="0" w:firstColumn="0" w:lastColumn="0" w:oddVBand="0" w:evenVBand="0" w:oddHBand="0" w:evenHBand="0" w:firstRowFirstColumn="0" w:firstRowLastColumn="0" w:lastRowFirstColumn="0" w:lastRowLastColumn="0"/>
        </w:trPr>
        <w:tc>
          <w:tcPr>
            <w:tcW w:w="9346" w:type="dxa"/>
          </w:tcPr>
          <w:p w14:paraId="3F31DBE0" w14:textId="5E4C585A" w:rsidR="00F44230" w:rsidRDefault="00F44230" w:rsidP="00F44230">
            <w:r>
              <w:t>Q3: Do you have any comments on who should pay for the elements identified in the table?</w:t>
            </w:r>
          </w:p>
        </w:tc>
      </w:tr>
    </w:tbl>
    <w:p w14:paraId="22108E48" w14:textId="77777777" w:rsidR="00F44230" w:rsidRPr="00F44230" w:rsidRDefault="00F44230" w:rsidP="00F44230"/>
    <w:p w14:paraId="532854B1" w14:textId="626B6F5E" w:rsidR="00DB3E13" w:rsidRDefault="00B44D4B" w:rsidP="00610F10">
      <w:pPr>
        <w:pStyle w:val="Heading2"/>
      </w:pPr>
      <w:r>
        <w:t>It should be noted that some costs (those attributed to multiple users on a Dedicated Scheme) will be shared</w:t>
      </w:r>
      <w:r w:rsidR="000C4924">
        <w:t>.</w:t>
      </w:r>
      <w:r>
        <w:t xml:space="preserve"> The methodology for sharing costs has yet to be established but there were two alternatives tabled:</w:t>
      </w:r>
    </w:p>
    <w:p w14:paraId="2017C8F0" w14:textId="13B9CA37" w:rsidR="00E653AE" w:rsidRDefault="00E653AE" w:rsidP="0082614E">
      <w:pPr>
        <w:pStyle w:val="ListParagraph"/>
        <w:numPr>
          <w:ilvl w:val="0"/>
          <w:numId w:val="29"/>
        </w:numPr>
        <w:ind w:left="1134" w:hanging="567"/>
      </w:pPr>
      <w:r>
        <w:t xml:space="preserve">Equal split of costs between number of participants; and </w:t>
      </w:r>
    </w:p>
    <w:p w14:paraId="023001F7" w14:textId="7D471089" w:rsidR="00B44D4B" w:rsidRDefault="00B44D4B" w:rsidP="0082614E">
      <w:pPr>
        <w:pStyle w:val="ListParagraph"/>
        <w:numPr>
          <w:ilvl w:val="0"/>
          <w:numId w:val="29"/>
        </w:numPr>
        <w:ind w:left="1134" w:hanging="567"/>
      </w:pPr>
      <w:r>
        <w:t xml:space="preserve">Split of costs in proportion to </w:t>
      </w:r>
      <w:r w:rsidR="00E653AE">
        <w:t xml:space="preserve">the </w:t>
      </w:r>
      <w:r>
        <w:t>capacity</w:t>
      </w:r>
      <w:r w:rsidR="00E653AE">
        <w:t xml:space="preserve"> of each participant.</w:t>
      </w:r>
    </w:p>
    <w:p w14:paraId="66D7655B" w14:textId="77777777" w:rsidR="001E1EDC" w:rsidRDefault="00B44D4B" w:rsidP="00B44D4B">
      <w:pPr>
        <w:pStyle w:val="Heading2"/>
      </w:pPr>
      <w:r>
        <w:t xml:space="preserve">Either method could be adopted </w:t>
      </w:r>
      <w:r w:rsidR="008C6AA9">
        <w:t xml:space="preserve">and one advantage of splitting costs in proportion to capacity is that it would align with practices for calculating refunds under the Electricity (Connection Charges) Regulations 2017 that provides that where a person connects to, and benefits from, electricity infrastructure that was paid for by an earlier party, the earlier party can be reimbursed for a share of the costs by the subsequent connecting customer. </w:t>
      </w:r>
    </w:p>
    <w:p w14:paraId="071E4618" w14:textId="3C5E0087" w:rsidR="001E1EDC" w:rsidRDefault="008C6AA9" w:rsidP="00B44D4B">
      <w:pPr>
        <w:pStyle w:val="Heading2"/>
      </w:pPr>
      <w:r>
        <w:t>However, after considering the alternatives</w:t>
      </w:r>
      <w:r w:rsidR="001E1EDC">
        <w:t>,</w:t>
      </w:r>
      <w:r w:rsidR="00B44D4B">
        <w:t xml:space="preserve"> the ARAWG favoured the </w:t>
      </w:r>
      <w:r w:rsidR="00E653AE">
        <w:t xml:space="preserve">first </w:t>
      </w:r>
      <w:r w:rsidR="00B44D4B">
        <w:t xml:space="preserve">option </w:t>
      </w:r>
      <w:r w:rsidR="001E1EDC">
        <w:t xml:space="preserve">of equally splitting costs regardless of capacity </w:t>
      </w:r>
      <w:r w:rsidR="00B44D4B">
        <w:t>as it offered simplicity</w:t>
      </w:r>
      <w:r w:rsidR="001E1EDC">
        <w:t xml:space="preserve"> in approach</w:t>
      </w:r>
      <w:r w:rsidR="00B44D4B">
        <w:t xml:space="preserve">. It was argued that, unlike traditional reinforcement apportionment, </w:t>
      </w:r>
      <w:r w:rsidR="001E1EDC">
        <w:t>p</w:t>
      </w:r>
      <w:r w:rsidR="00B44D4B">
        <w:t>arties aren’t making use of a defined available capacity. The system is carrying out the same operations regardless of the size of a connection, albeit some connections will experience greater constraint th</w:t>
      </w:r>
      <w:r w:rsidR="001E1EDC">
        <w:t>a</w:t>
      </w:r>
      <w:r w:rsidR="00B44D4B">
        <w:t>n others.</w:t>
      </w:r>
      <w:r w:rsidR="001E1EDC">
        <w:t xml:space="preserve"> </w:t>
      </w:r>
    </w:p>
    <w:p w14:paraId="3718932D" w14:textId="1C5E250B" w:rsidR="00B44D4B" w:rsidRPr="00B44D4B" w:rsidRDefault="001E1EDC" w:rsidP="00B44D4B">
      <w:pPr>
        <w:pStyle w:val="Heading2"/>
      </w:pPr>
      <w:r>
        <w:t>Basing the apportionment on capacity could prove difficult as the DNO would have to define how the capacity is calculated. The assets being installed, usually field monitoring equipment, relays, R</w:t>
      </w:r>
      <w:r w:rsidR="00E646AD">
        <w:t xml:space="preserve">emote </w:t>
      </w:r>
      <w:r>
        <w:t>T</w:t>
      </w:r>
      <w:r w:rsidR="00E646AD">
        <w:t xml:space="preserve">erminal </w:t>
      </w:r>
      <w:r>
        <w:t>U</w:t>
      </w:r>
      <w:r w:rsidR="00E646AD">
        <w:t>nit</w:t>
      </w:r>
      <w:bookmarkStart w:id="15" w:name="_GoBack"/>
      <w:bookmarkEnd w:id="15"/>
      <w:r>
        <w:t>s etc. do not have a capacity rating in the same way as a transformer or cable doe</w:t>
      </w:r>
      <w:commentRangeStart w:id="16"/>
      <w:r>
        <w:t xml:space="preserve">s so a potentially more subjective alternative assessment method would need to be found. </w:t>
      </w:r>
      <w:commentRangeEnd w:id="16"/>
      <w:r w:rsidR="00E653AE">
        <w:rPr>
          <w:rStyle w:val="CommentReference"/>
          <w:rFonts w:cs="Times New Roman"/>
          <w:bCs w:val="0"/>
          <w:iCs w:val="0"/>
        </w:rPr>
        <w:commentReference w:id="16"/>
      </w:r>
      <w:r w:rsidR="004C359A">
        <w:t xml:space="preserve">The suggested approach be the Working Group is to use the agreed capacity of the </w:t>
      </w:r>
      <w:proofErr w:type="spellStart"/>
      <w:r w:rsidR="004C359A">
        <w:t>Connectee</w:t>
      </w:r>
      <w:proofErr w:type="spellEnd"/>
      <w:r w:rsidR="004C359A">
        <w:t xml:space="preserve">. For example, there are two </w:t>
      </w:r>
      <w:r w:rsidR="0082614E">
        <w:t>C</w:t>
      </w:r>
      <w:r w:rsidR="004C359A">
        <w:t>onnectees associated with the dedicated scheme, one requiring a capacity of 10 MVA the other 15MVA. The method to determine the proportion would be 10MVA (</w:t>
      </w:r>
      <w:proofErr w:type="spellStart"/>
      <w:r w:rsidR="004C359A">
        <w:t>Connectee</w:t>
      </w:r>
      <w:proofErr w:type="spellEnd"/>
      <w:r w:rsidR="004C359A">
        <w:t xml:space="preserve"> capacity)/25MVA (the sum of the two capacities) for one (40%) and 15/25 for the other (60%) of the costs of the elements associated with sharing.</w:t>
      </w:r>
    </w:p>
    <w:p w14:paraId="467C738B" w14:textId="7E447F4A" w:rsidR="00AC6105" w:rsidRDefault="00AC6105" w:rsidP="00610F10">
      <w:pPr>
        <w:pStyle w:val="NoSpacing"/>
      </w:pPr>
    </w:p>
    <w:tbl>
      <w:tblPr>
        <w:tblStyle w:val="TableList2"/>
        <w:tblW w:w="0" w:type="auto"/>
        <w:tblLook w:val="04A0" w:firstRow="1" w:lastRow="0" w:firstColumn="1" w:lastColumn="0" w:noHBand="0" w:noVBand="1"/>
      </w:tblPr>
      <w:tblGrid>
        <w:gridCol w:w="9346"/>
      </w:tblGrid>
      <w:tr w:rsidR="006D54BE" w14:paraId="6801A067" w14:textId="77777777" w:rsidTr="00E646AD">
        <w:trPr>
          <w:cnfStyle w:val="100000000000" w:firstRow="1" w:lastRow="0" w:firstColumn="0" w:lastColumn="0" w:oddVBand="0" w:evenVBand="0" w:oddHBand="0" w:evenHBand="0" w:firstRowFirstColumn="0" w:firstRowLastColumn="0" w:lastRowFirstColumn="0" w:lastRowLastColumn="0"/>
        </w:trPr>
        <w:tc>
          <w:tcPr>
            <w:tcW w:w="9346" w:type="dxa"/>
          </w:tcPr>
          <w:p w14:paraId="027545C1" w14:textId="77B563A3" w:rsidR="006D54BE" w:rsidRDefault="006D54BE" w:rsidP="006D54BE">
            <w:pPr>
              <w:spacing w:before="240" w:after="60" w:line="360" w:lineRule="auto"/>
              <w:outlineLvl w:val="1"/>
            </w:pPr>
            <w:r w:rsidRPr="00E646AD">
              <w:rPr>
                <w:szCs w:val="20"/>
              </w:rPr>
              <w:t>Q</w:t>
            </w:r>
            <w:r w:rsidR="00B672D3" w:rsidRPr="00E646AD">
              <w:rPr>
                <w:szCs w:val="20"/>
              </w:rPr>
              <w:t>4</w:t>
            </w:r>
            <w:r w:rsidRPr="00E646AD">
              <w:rPr>
                <w:szCs w:val="20"/>
              </w:rPr>
              <w:t xml:space="preserve">: </w:t>
            </w:r>
            <w:r w:rsidR="00B672D3" w:rsidRPr="00E646AD">
              <w:rPr>
                <w:szCs w:val="20"/>
              </w:rPr>
              <w:t>Which Option (A or B) do you believe is the most appropriate way of apportioning the costs associated with the Dedicated Scheme? Please provide your rationale.</w:t>
            </w:r>
          </w:p>
        </w:tc>
      </w:tr>
    </w:tbl>
    <w:p w14:paraId="102EA50C" w14:textId="77777777" w:rsidR="006D54BE" w:rsidRDefault="006D54BE" w:rsidP="00610F10">
      <w:pPr>
        <w:pStyle w:val="NoSpacing"/>
      </w:pPr>
    </w:p>
    <w:tbl>
      <w:tblPr>
        <w:tblStyle w:val="TableList2"/>
        <w:tblW w:w="0" w:type="auto"/>
        <w:tblLook w:val="04A0" w:firstRow="1" w:lastRow="0" w:firstColumn="1" w:lastColumn="0" w:noHBand="0" w:noVBand="1"/>
      </w:tblPr>
      <w:tblGrid>
        <w:gridCol w:w="9346"/>
      </w:tblGrid>
      <w:tr w:rsidR="00E40782" w14:paraId="4EA1C7E2" w14:textId="77777777" w:rsidTr="00E40782">
        <w:trPr>
          <w:cnfStyle w:val="100000000000" w:firstRow="1" w:lastRow="0" w:firstColumn="0" w:lastColumn="0" w:oddVBand="0" w:evenVBand="0" w:oddHBand="0" w:evenHBand="0" w:firstRowFirstColumn="0" w:firstRowLastColumn="0" w:lastRowFirstColumn="0" w:lastRowLastColumn="0"/>
        </w:trPr>
        <w:tc>
          <w:tcPr>
            <w:tcW w:w="9346" w:type="dxa"/>
          </w:tcPr>
          <w:p w14:paraId="47276D88" w14:textId="205D15F2" w:rsidR="00E40782" w:rsidRDefault="00E40782" w:rsidP="00AC6105">
            <w:pPr>
              <w:spacing w:before="240" w:after="60" w:line="360" w:lineRule="auto"/>
              <w:outlineLvl w:val="1"/>
              <w:rPr>
                <w:szCs w:val="20"/>
              </w:rPr>
            </w:pPr>
            <w:r>
              <w:rPr>
                <w:szCs w:val="20"/>
              </w:rPr>
              <w:t>Q</w:t>
            </w:r>
            <w:r w:rsidR="00B672D3">
              <w:rPr>
                <w:szCs w:val="20"/>
              </w:rPr>
              <w:t>5</w:t>
            </w:r>
            <w:r>
              <w:rPr>
                <w:szCs w:val="20"/>
              </w:rPr>
              <w:t>: Do you believe the Working Group should consider a different solution? If so, please provide your rationale.</w:t>
            </w:r>
          </w:p>
        </w:tc>
      </w:tr>
    </w:tbl>
    <w:p w14:paraId="4C7F6E9A" w14:textId="1C0B6C5A" w:rsidR="00134EB5" w:rsidRDefault="00134EB5" w:rsidP="00134EB5">
      <w:pPr>
        <w:pStyle w:val="Heading2"/>
        <w:numPr>
          <w:ilvl w:val="0"/>
          <w:numId w:val="0"/>
        </w:numPr>
        <w:ind w:left="576"/>
      </w:pPr>
      <w:bookmarkStart w:id="17" w:name="_Toc4664540"/>
    </w:p>
    <w:p w14:paraId="7D487875" w14:textId="46C08370" w:rsidR="00134EB5" w:rsidRDefault="00134EB5" w:rsidP="00134EB5">
      <w:pPr>
        <w:rPr>
          <w:u w:val="single"/>
        </w:rPr>
      </w:pPr>
      <w:r w:rsidRPr="00134EB5">
        <w:rPr>
          <w:u w:val="single"/>
        </w:rPr>
        <w:t xml:space="preserve">Engagement with Supplier Parties </w:t>
      </w:r>
    </w:p>
    <w:p w14:paraId="0014FE34" w14:textId="3C4539F0" w:rsidR="00134EB5" w:rsidRDefault="00134EB5" w:rsidP="00134EB5">
      <w:pPr>
        <w:pStyle w:val="Heading2"/>
      </w:pPr>
      <w:r>
        <w:t>When developing the solution for this CP, the Working Group discussed the Impacted Parties and agreed that they did not believe that Supplier Parties would be impacted by the solution of the change</w:t>
      </w:r>
      <w:r w:rsidR="006D54BE">
        <w:t xml:space="preserve"> since it is specific to the methodology to be applied to connection charges</w:t>
      </w:r>
      <w:r>
        <w:t xml:space="preserve">. The only anticipated </w:t>
      </w:r>
      <w:r w:rsidR="00813655">
        <w:t>effects</w:t>
      </w:r>
      <w:r>
        <w:t xml:space="preserve"> on Suppliers would be the consequential changes to DUoS Charges</w:t>
      </w:r>
      <w:r w:rsidR="006D54BE">
        <w:t xml:space="preserve"> for some </w:t>
      </w:r>
      <w:r w:rsidR="00F44230">
        <w:t>elements of the costs of each scheme.</w:t>
      </w:r>
    </w:p>
    <w:tbl>
      <w:tblPr>
        <w:tblStyle w:val="TableList2"/>
        <w:tblW w:w="0" w:type="auto"/>
        <w:tblLook w:val="04A0" w:firstRow="1" w:lastRow="0" w:firstColumn="1" w:lastColumn="0" w:noHBand="0" w:noVBand="1"/>
      </w:tblPr>
      <w:tblGrid>
        <w:gridCol w:w="9346"/>
      </w:tblGrid>
      <w:tr w:rsidR="00134EB5" w14:paraId="33A6B3AA" w14:textId="77777777" w:rsidTr="00134EB5">
        <w:trPr>
          <w:cnfStyle w:val="100000000000" w:firstRow="1" w:lastRow="0" w:firstColumn="0" w:lastColumn="0" w:oddVBand="0" w:evenVBand="0" w:oddHBand="0" w:evenHBand="0" w:firstRowFirstColumn="0" w:firstRowLastColumn="0" w:lastRowFirstColumn="0" w:lastRowLastColumn="0"/>
        </w:trPr>
        <w:tc>
          <w:tcPr>
            <w:tcW w:w="9346" w:type="dxa"/>
          </w:tcPr>
          <w:p w14:paraId="34BF8D91" w14:textId="4BC4A5D4" w:rsidR="00134EB5" w:rsidRDefault="00134EB5" w:rsidP="00134EB5">
            <w:r>
              <w:t>Q</w:t>
            </w:r>
            <w:r w:rsidR="00B672D3">
              <w:t>6</w:t>
            </w:r>
            <w:r>
              <w:t>: Do you believe that it is a fair assessment that Suppliers are not included as Impacted Parties for this CP? If not, why not?</w:t>
            </w:r>
          </w:p>
        </w:tc>
      </w:tr>
    </w:tbl>
    <w:p w14:paraId="1857423E" w14:textId="77777777" w:rsidR="00134EB5" w:rsidRPr="00134EB5" w:rsidRDefault="00134EB5" w:rsidP="00134EB5"/>
    <w:p w14:paraId="49B7EBA9" w14:textId="7FE888C4" w:rsidR="00F97791" w:rsidRPr="00610F10" w:rsidRDefault="00F97791" w:rsidP="005F7E14">
      <w:pPr>
        <w:pStyle w:val="Heading02"/>
      </w:pPr>
      <w:r w:rsidRPr="00610F10">
        <w:t>Legal Text</w:t>
      </w:r>
      <w:bookmarkEnd w:id="17"/>
      <w:r w:rsidR="005908D1" w:rsidRPr="00610F10">
        <w:t xml:space="preserve"> </w:t>
      </w:r>
    </w:p>
    <w:p w14:paraId="2FD88052" w14:textId="4E48119D" w:rsidR="00DC3EEC" w:rsidRDefault="00702777" w:rsidP="00610F10">
      <w:pPr>
        <w:pStyle w:val="Heading4"/>
      </w:pPr>
      <w:r>
        <w:t xml:space="preserve">DCP </w:t>
      </w:r>
      <w:r w:rsidR="00DB3E13">
        <w:t>3</w:t>
      </w:r>
      <w:r w:rsidR="00B44D4B">
        <w:t>48</w:t>
      </w:r>
      <w:r w:rsidR="00DB3E13">
        <w:t xml:space="preserve"> Proposed Legal Text</w:t>
      </w:r>
    </w:p>
    <w:p w14:paraId="78252C02" w14:textId="27AE881A" w:rsidR="00455943" w:rsidRDefault="00326AD5" w:rsidP="00B44D4B">
      <w:pPr>
        <w:pStyle w:val="Heading2"/>
        <w:rPr>
          <w:iCs w:val="0"/>
        </w:rPr>
      </w:pPr>
      <w:r>
        <w:t xml:space="preserve">The legal text </w:t>
      </w:r>
      <w:r w:rsidR="00B44D4B">
        <w:t>is intended to provide a concise and clear commentary on the methodology applied for Flexible Connection scheme cost recovery. It will allow network users to assess the potential level of charges that will be applied to their connection scheme</w:t>
      </w:r>
      <w:r w:rsidR="005809FC">
        <w:rPr>
          <w:i/>
        </w:rPr>
        <w:t>.</w:t>
      </w:r>
    </w:p>
    <w:p w14:paraId="4517E8CF" w14:textId="77777777" w:rsidR="00F63E12" w:rsidRDefault="00F63E12" w:rsidP="00F63E12">
      <w:pPr>
        <w:pStyle w:val="Heading2"/>
      </w:pPr>
      <w:r>
        <w:t xml:space="preserve">There are two sets of draft legal text that have been produced for the development of this change: </w:t>
      </w:r>
    </w:p>
    <w:p w14:paraId="6C4F8968" w14:textId="521AA44F" w:rsidR="00F63E12" w:rsidRDefault="00F63E12" w:rsidP="0082614E">
      <w:pPr>
        <w:pStyle w:val="Heading2"/>
        <w:numPr>
          <w:ilvl w:val="0"/>
          <w:numId w:val="31"/>
        </w:numPr>
        <w:ind w:left="1134" w:hanging="567"/>
      </w:pPr>
      <w:r>
        <w:t xml:space="preserve">Option A sets out the changes required to implement the scenario whereby costs for the Dedicated Scheme would be split </w:t>
      </w:r>
      <w:r w:rsidR="00F6599A">
        <w:t>equally regardless of</w:t>
      </w:r>
      <w:r>
        <w:t xml:space="preserve"> the capacity used; and </w:t>
      </w:r>
    </w:p>
    <w:p w14:paraId="67FEA3CC" w14:textId="631E52EC" w:rsidR="00F63E12" w:rsidRPr="00F63E12" w:rsidRDefault="00F63E12" w:rsidP="0082614E">
      <w:pPr>
        <w:pStyle w:val="Heading2"/>
        <w:numPr>
          <w:ilvl w:val="0"/>
          <w:numId w:val="31"/>
        </w:numPr>
        <w:ind w:left="1134" w:hanging="567"/>
      </w:pPr>
      <w:r>
        <w:t xml:space="preserve">Option B sets out the changes required to implement the scenario whereby costs for the Dedicated Scheme would be split </w:t>
      </w:r>
      <w:r w:rsidR="00F6599A">
        <w:t>in proportion to</w:t>
      </w:r>
      <w:r>
        <w:t xml:space="preserve"> the capacity used. </w:t>
      </w:r>
    </w:p>
    <w:p w14:paraId="0B3B65AD" w14:textId="037C71EB" w:rsidR="003F7DF8" w:rsidRDefault="003F7DF8" w:rsidP="003F7DF8">
      <w:pPr>
        <w:pStyle w:val="Heading2"/>
      </w:pPr>
      <w:r>
        <w:t>The proposed changes made the following amendments to the legal text:</w:t>
      </w:r>
    </w:p>
    <w:p w14:paraId="4AB100E7" w14:textId="2D8B4341" w:rsidR="003F7DF8" w:rsidRDefault="003F7DF8" w:rsidP="0082614E">
      <w:pPr>
        <w:pStyle w:val="Heading2"/>
        <w:numPr>
          <w:ilvl w:val="0"/>
          <w:numId w:val="31"/>
        </w:numPr>
        <w:ind w:left="1134" w:hanging="567"/>
      </w:pPr>
      <w:r>
        <w:t>Amend paragraph 1.7 of section 1 of Schedule 22 to include an additional bullet point to include the potential for costs associated with Flexible Connections to be included in the connection charge;</w:t>
      </w:r>
    </w:p>
    <w:p w14:paraId="529FF066" w14:textId="7CE29D25" w:rsidR="003F7DF8" w:rsidRDefault="003F7DF8" w:rsidP="0082614E">
      <w:pPr>
        <w:pStyle w:val="Heading2"/>
        <w:numPr>
          <w:ilvl w:val="0"/>
          <w:numId w:val="31"/>
        </w:numPr>
        <w:ind w:left="1134" w:hanging="567"/>
      </w:pPr>
      <w:r>
        <w:t>New paragraphs 1.3</w:t>
      </w:r>
      <w:r w:rsidR="00F63E12">
        <w:t>2a</w:t>
      </w:r>
      <w:r>
        <w:t xml:space="preserve"> – 1.3</w:t>
      </w:r>
      <w:r w:rsidR="00F63E12">
        <w:t>2</w:t>
      </w:r>
      <w:r w:rsidR="00FC1B7F">
        <w:t>c</w:t>
      </w:r>
      <w:r>
        <w:t xml:space="preserve"> to be inserted into Section 1 of Schedule 22 to detail the Flexible Connection Scheme for Cost Recovery; </w:t>
      </w:r>
      <w:r w:rsidR="00F63E12">
        <w:t>and</w:t>
      </w:r>
    </w:p>
    <w:p w14:paraId="3C397606" w14:textId="77777777" w:rsidR="003F7DF8" w:rsidRDefault="003F7DF8" w:rsidP="0082614E">
      <w:pPr>
        <w:pStyle w:val="Heading2"/>
        <w:numPr>
          <w:ilvl w:val="0"/>
          <w:numId w:val="31"/>
        </w:numPr>
        <w:ind w:left="1134" w:hanging="567"/>
      </w:pPr>
      <w:r>
        <w:t>Three new definitions to be included in the glossary table in Section 1 of Schedule 22 for the following terms:</w:t>
      </w:r>
    </w:p>
    <w:p w14:paraId="0631A597" w14:textId="77777777" w:rsidR="003F7DF8" w:rsidRDefault="003F7DF8" w:rsidP="0082614E">
      <w:pPr>
        <w:pStyle w:val="Heading2"/>
        <w:numPr>
          <w:ilvl w:val="1"/>
          <w:numId w:val="31"/>
        </w:numPr>
        <w:ind w:left="1985" w:hanging="851"/>
      </w:pPr>
      <w:r>
        <w:lastRenderedPageBreak/>
        <w:t>Flexible Connections;</w:t>
      </w:r>
    </w:p>
    <w:p w14:paraId="13EDA4C3" w14:textId="77777777" w:rsidR="003F7DF8" w:rsidRDefault="003F7DF8" w:rsidP="0082614E">
      <w:pPr>
        <w:pStyle w:val="Heading2"/>
        <w:numPr>
          <w:ilvl w:val="1"/>
          <w:numId w:val="31"/>
        </w:numPr>
        <w:ind w:left="1985" w:hanging="851"/>
      </w:pPr>
      <w:r>
        <w:t>Dedicated Scheme; and</w:t>
      </w:r>
    </w:p>
    <w:p w14:paraId="4ABE4E50" w14:textId="7AC39FCB" w:rsidR="00F63E12" w:rsidRPr="00F63E12" w:rsidRDefault="003F7DF8" w:rsidP="0082614E">
      <w:pPr>
        <w:pStyle w:val="Heading2"/>
        <w:numPr>
          <w:ilvl w:val="1"/>
          <w:numId w:val="31"/>
        </w:numPr>
        <w:ind w:left="1985" w:hanging="851"/>
      </w:pPr>
      <w:r>
        <w:t xml:space="preserve">Wide Area Scheme.  </w:t>
      </w:r>
    </w:p>
    <w:p w14:paraId="4A2D7973" w14:textId="4ED77F8E" w:rsidR="00134EB5" w:rsidRPr="00134EB5" w:rsidRDefault="003F7DF8" w:rsidP="00134EB5">
      <w:pPr>
        <w:pStyle w:val="Heading2"/>
      </w:pPr>
      <w:r>
        <w:t xml:space="preserve">A copy of the proposed legal text </w:t>
      </w:r>
      <w:r w:rsidR="00F63E12">
        <w:t xml:space="preserve">for both options </w:t>
      </w:r>
      <w:r>
        <w:t>can be found as Attachment 2.</w:t>
      </w:r>
    </w:p>
    <w:tbl>
      <w:tblPr>
        <w:tblStyle w:val="TableList2"/>
        <w:tblW w:w="0" w:type="auto"/>
        <w:tblLook w:val="04A0" w:firstRow="1" w:lastRow="0" w:firstColumn="1" w:lastColumn="0" w:noHBand="0" w:noVBand="1"/>
      </w:tblPr>
      <w:tblGrid>
        <w:gridCol w:w="9346"/>
      </w:tblGrid>
      <w:tr w:rsidR="000A40BF" w14:paraId="03E255F6" w14:textId="77777777" w:rsidTr="000A40BF">
        <w:trPr>
          <w:cnfStyle w:val="100000000000" w:firstRow="1" w:lastRow="0" w:firstColumn="0" w:lastColumn="0" w:oddVBand="0" w:evenVBand="0" w:oddHBand="0" w:evenHBand="0" w:firstRowFirstColumn="0" w:firstRowLastColumn="0" w:lastRowFirstColumn="0" w:lastRowLastColumn="0"/>
        </w:trPr>
        <w:tc>
          <w:tcPr>
            <w:tcW w:w="9346" w:type="dxa"/>
          </w:tcPr>
          <w:p w14:paraId="66B33417" w14:textId="0BF39541" w:rsidR="000A40BF" w:rsidRDefault="005809FC" w:rsidP="000A40BF">
            <w:r>
              <w:t>Q</w:t>
            </w:r>
            <w:r w:rsidR="00134EB5">
              <w:t>7</w:t>
            </w:r>
            <w:r w:rsidR="000A40BF">
              <w:t xml:space="preserve">: Do you have any comments on </w:t>
            </w:r>
            <w:r w:rsidR="00DB3E13">
              <w:t>the proposed legal text for DCP 3</w:t>
            </w:r>
            <w:r w:rsidR="00A80A9C">
              <w:t>48</w:t>
            </w:r>
            <w:r w:rsidR="000A40BF">
              <w:t>?</w:t>
            </w:r>
            <w:r w:rsidR="00DB3E13">
              <w:t xml:space="preserve"> Please provide your rationale.</w:t>
            </w:r>
          </w:p>
        </w:tc>
      </w:tr>
    </w:tbl>
    <w:p w14:paraId="365DCA11" w14:textId="65ACC54F" w:rsidR="00B52063" w:rsidRPr="00EB32BB" w:rsidRDefault="00B52063" w:rsidP="005F7E14">
      <w:pPr>
        <w:pStyle w:val="Heading02"/>
      </w:pPr>
      <w:bookmarkStart w:id="18" w:name="_Toc453107801"/>
      <w:bookmarkStart w:id="19" w:name="_Toc4664541"/>
      <w:r w:rsidRPr="00EB32BB">
        <w:t>Relevant Objectives</w:t>
      </w:r>
      <w:bookmarkEnd w:id="14"/>
      <w:bookmarkEnd w:id="18"/>
      <w:bookmarkEnd w:id="19"/>
    </w:p>
    <w:p w14:paraId="471DCB89" w14:textId="77777777" w:rsidR="002733C1" w:rsidRPr="002733C1" w:rsidRDefault="002733C1" w:rsidP="00610F10">
      <w:pPr>
        <w:pStyle w:val="Heading4"/>
        <w:rPr>
          <w:rFonts w:ascii="Calibri" w:hAnsi="Calibri"/>
          <w:sz w:val="22"/>
        </w:rPr>
      </w:pPr>
      <w:r w:rsidRPr="00F04DA2">
        <w:t>A</w:t>
      </w:r>
      <w:r>
        <w:t>ssessment A</w:t>
      </w:r>
      <w:r w:rsidRPr="00F04DA2">
        <w:t xml:space="preserve">gainst the </w:t>
      </w:r>
      <w:r>
        <w:t>DCUSA O</w:t>
      </w:r>
      <w:r w:rsidRPr="00F04DA2">
        <w:t xml:space="preserve">bjectives </w:t>
      </w:r>
    </w:p>
    <w:p w14:paraId="098A5C12" w14:textId="77777777" w:rsidR="00503AEC" w:rsidRDefault="00586BD1" w:rsidP="00610F10">
      <w:pPr>
        <w:pStyle w:val="Heading2"/>
      </w:pPr>
      <w:r w:rsidRPr="003D5BA8">
        <w:t xml:space="preserve">For a DCUSA Change Proposal to be approved it must be demonstrated that it better meets the DCUSA Objectives. </w:t>
      </w:r>
    </w:p>
    <w:p w14:paraId="25062432" w14:textId="468C0AB8" w:rsidR="009D23F1" w:rsidRDefault="00503AEC" w:rsidP="00AB5F44">
      <w:pPr>
        <w:pStyle w:val="Heading2"/>
      </w:pPr>
      <w:r w:rsidRPr="00DB01C7">
        <w:t xml:space="preserve">The Proposer </w:t>
      </w:r>
      <w:r w:rsidR="00DB3E13" w:rsidRPr="00DB01C7">
        <w:t>of DCP 3</w:t>
      </w:r>
      <w:r w:rsidR="002234A3">
        <w:t>48</w:t>
      </w:r>
      <w:r w:rsidR="00DB3E13" w:rsidRPr="00DB01C7">
        <w:t xml:space="preserve"> </w:t>
      </w:r>
      <w:r w:rsidRPr="00DB01C7">
        <w:t xml:space="preserve">believes that </w:t>
      </w:r>
      <w:r w:rsidR="00DB3E13" w:rsidRPr="00DB01C7">
        <w:t>the proposed solution wi</w:t>
      </w:r>
      <w:r w:rsidR="009D23F1">
        <w:t>ll</w:t>
      </w:r>
      <w:r w:rsidR="00DB3E13" w:rsidRPr="00DB01C7">
        <w:t xml:space="preserve"> better facilitate </w:t>
      </w:r>
      <w:r w:rsidR="009D23F1">
        <w:t xml:space="preserve">DCUSA Charging Objectives one, two, three and </w:t>
      </w:r>
      <w:r w:rsidR="00DB3E13" w:rsidRPr="00DB01C7">
        <w:t>four</w:t>
      </w:r>
      <w:r w:rsidR="009D23F1">
        <w:t>. The rationale for these decisions can be found below.</w:t>
      </w:r>
      <w:r w:rsidR="00DB3E13" w:rsidRPr="00DB01C7">
        <w:t xml:space="preserve"> </w:t>
      </w:r>
      <w:bookmarkStart w:id="20" w:name="_Toc318962138"/>
      <w:bookmarkStart w:id="21" w:name="_Toc453107802"/>
    </w:p>
    <w:tbl>
      <w:tblPr>
        <w:tblW w:w="9639" w:type="dxa"/>
        <w:tblInd w:w="15"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Layout w:type="fixed"/>
        <w:tblCellMar>
          <w:left w:w="0" w:type="dxa"/>
          <w:right w:w="0" w:type="dxa"/>
        </w:tblCellMar>
        <w:tblLook w:val="01E0" w:firstRow="1" w:lastRow="1" w:firstColumn="1" w:lastColumn="1" w:noHBand="0" w:noVBand="0"/>
      </w:tblPr>
      <w:tblGrid>
        <w:gridCol w:w="7908"/>
        <w:gridCol w:w="1731"/>
      </w:tblGrid>
      <w:tr w:rsidR="009774CE" w:rsidRPr="00441C23" w14:paraId="5F812E80" w14:textId="77777777" w:rsidTr="00A67D17">
        <w:trPr>
          <w:cantSplit/>
          <w:trHeight w:val="397"/>
        </w:trPr>
        <w:tc>
          <w:tcPr>
            <w:tcW w:w="7908" w:type="dxa"/>
            <w:vAlign w:val="center"/>
          </w:tcPr>
          <w:p w14:paraId="6C9DD271" w14:textId="2419F1B5" w:rsidR="009774CE" w:rsidRPr="004603F2" w:rsidRDefault="009774CE" w:rsidP="00A67D17">
            <w:pPr>
              <w:pStyle w:val="Tablebodycopy"/>
              <w:ind w:left="0" w:right="238"/>
              <w:jc w:val="center"/>
              <w:rPr>
                <w:rFonts w:cs="Arial"/>
                <w:b/>
                <w:sz w:val="22"/>
                <w:szCs w:val="22"/>
              </w:rPr>
            </w:pPr>
            <w:r>
              <w:rPr>
                <w:rFonts w:cs="Arial"/>
                <w:b/>
                <w:sz w:val="22"/>
                <w:szCs w:val="22"/>
              </w:rPr>
              <w:t>DCUSA Charging Objectives</w:t>
            </w:r>
          </w:p>
        </w:tc>
        <w:tc>
          <w:tcPr>
            <w:tcW w:w="1731" w:type="dxa"/>
          </w:tcPr>
          <w:p w14:paraId="7D9F3355" w14:textId="77777777" w:rsidR="009774CE" w:rsidRPr="0060253F" w:rsidRDefault="009774CE" w:rsidP="00A67D17">
            <w:pPr>
              <w:spacing w:before="40" w:after="40"/>
              <w:ind w:left="57" w:right="57"/>
              <w:rPr>
                <w:b/>
                <w:i/>
              </w:rPr>
            </w:pPr>
            <w:r w:rsidRPr="0060253F">
              <w:rPr>
                <w:b/>
              </w:rPr>
              <w:t>Identified impact</w:t>
            </w:r>
          </w:p>
        </w:tc>
      </w:tr>
      <w:tr w:rsidR="009774CE" w:rsidRPr="00674659" w14:paraId="029F27A8" w14:textId="77777777" w:rsidTr="00A67D17">
        <w:trPr>
          <w:cantSplit/>
          <w:trHeight w:val="397"/>
        </w:trPr>
        <w:tc>
          <w:tcPr>
            <w:tcW w:w="7908" w:type="dxa"/>
          </w:tcPr>
          <w:p w14:paraId="79E1D09E" w14:textId="0814C524" w:rsidR="009774CE" w:rsidRPr="00EB32BB" w:rsidRDefault="009774CE" w:rsidP="00A67D17">
            <w:pPr>
              <w:pStyle w:val="BodyText"/>
              <w:ind w:left="603" w:right="57" w:hanging="546"/>
              <w:jc w:val="both"/>
              <w:rPr>
                <w:rFonts w:cs="Arial"/>
                <w:noProof/>
              </w:rPr>
            </w:pPr>
            <w:r>
              <w:rPr>
                <w:rFonts w:cs="Arial"/>
                <w:noProof/>
              </w:rPr>
              <w:fldChar w:fldCharType="begin">
                <w:ffData>
                  <w:name w:val="Check1"/>
                  <w:enabled/>
                  <w:calcOnExit w:val="0"/>
                  <w:checkBox>
                    <w:sizeAuto/>
                    <w:default w:val="1"/>
                  </w:checkBox>
                </w:ffData>
              </w:fldChar>
            </w:r>
            <w:r>
              <w:rPr>
                <w:rFonts w:cs="Arial"/>
                <w:noProof/>
              </w:rPr>
              <w:instrText xml:space="preserve"> FORMCHECKBOX </w:instrText>
            </w:r>
            <w:r w:rsidR="00E646AD">
              <w:rPr>
                <w:rFonts w:cs="Arial"/>
                <w:noProof/>
              </w:rPr>
            </w:r>
            <w:r w:rsidR="00E646AD">
              <w:rPr>
                <w:rFonts w:cs="Arial"/>
                <w:noProof/>
              </w:rPr>
              <w:fldChar w:fldCharType="separate"/>
            </w:r>
            <w:r>
              <w:rPr>
                <w:rFonts w:cs="Arial"/>
                <w:noProof/>
              </w:rPr>
              <w:fldChar w:fldCharType="end"/>
            </w:r>
            <w:r w:rsidRPr="00441C23">
              <w:rPr>
                <w:rFonts w:cs="Arial"/>
                <w:noProof/>
              </w:rPr>
              <w:t xml:space="preserve"> 1 </w:t>
            </w:r>
            <w:r>
              <w:rPr>
                <w:rFonts w:cs="Arial"/>
                <w:noProof/>
              </w:rPr>
              <w:t>That compliance by each DNO Party with the Charging Methdologies facilitates the discharge by the DNO Party of the obligations imposed on it under the Act and by its Distribution Licence</w:t>
            </w:r>
          </w:p>
        </w:tc>
        <w:tc>
          <w:tcPr>
            <w:tcW w:w="1731" w:type="dxa"/>
          </w:tcPr>
          <w:p w14:paraId="670D41B8" w14:textId="77777777" w:rsidR="009774CE" w:rsidRPr="00610F10" w:rsidRDefault="009774CE" w:rsidP="00A67D17">
            <w:pPr>
              <w:ind w:left="113"/>
              <w:rPr>
                <w:b/>
              </w:rPr>
            </w:pPr>
            <w:r w:rsidRPr="00610F10">
              <w:rPr>
                <w:b/>
              </w:rPr>
              <w:t>Positive</w:t>
            </w:r>
          </w:p>
        </w:tc>
      </w:tr>
      <w:tr w:rsidR="009774CE" w:rsidRPr="00674659" w14:paraId="79538C20" w14:textId="77777777" w:rsidTr="00A67D17">
        <w:trPr>
          <w:cantSplit/>
          <w:trHeight w:val="397"/>
        </w:trPr>
        <w:tc>
          <w:tcPr>
            <w:tcW w:w="7908" w:type="dxa"/>
          </w:tcPr>
          <w:p w14:paraId="2EC11C84" w14:textId="27092110" w:rsidR="009774CE" w:rsidRPr="0060253F" w:rsidRDefault="009774CE" w:rsidP="00A67D17">
            <w:pPr>
              <w:pStyle w:val="BodyText"/>
              <w:ind w:left="603" w:right="57" w:hanging="546"/>
              <w:jc w:val="both"/>
              <w:rPr>
                <w:rFonts w:cs="Arial"/>
                <w:noProof/>
              </w:rPr>
            </w:pPr>
            <w:r>
              <w:rPr>
                <w:rFonts w:cs="Arial"/>
                <w:noProof/>
              </w:rPr>
              <w:fldChar w:fldCharType="begin">
                <w:ffData>
                  <w:name w:val=""/>
                  <w:enabled/>
                  <w:calcOnExit w:val="0"/>
                  <w:checkBox>
                    <w:sizeAuto/>
                    <w:default w:val="1"/>
                  </w:checkBox>
                </w:ffData>
              </w:fldChar>
            </w:r>
            <w:r>
              <w:rPr>
                <w:rFonts w:cs="Arial"/>
                <w:noProof/>
              </w:rPr>
              <w:instrText xml:space="preserve"> FORMCHECKBOX </w:instrText>
            </w:r>
            <w:r w:rsidR="00E646AD">
              <w:rPr>
                <w:rFonts w:cs="Arial"/>
                <w:noProof/>
              </w:rPr>
            </w:r>
            <w:r w:rsidR="00E646AD">
              <w:rPr>
                <w:rFonts w:cs="Arial"/>
                <w:noProof/>
              </w:rPr>
              <w:fldChar w:fldCharType="separate"/>
            </w:r>
            <w:r>
              <w:rPr>
                <w:rFonts w:cs="Arial"/>
                <w:noProof/>
              </w:rPr>
              <w:fldChar w:fldCharType="end"/>
            </w:r>
            <w:r w:rsidRPr="00441C23">
              <w:rPr>
                <w:rFonts w:cs="Arial"/>
                <w:noProof/>
              </w:rPr>
              <w:t xml:space="preserve"> 2 </w:t>
            </w:r>
            <w:r>
              <w:rPr>
                <w:rFonts w:cs="Arial"/>
                <w:noProof/>
              </w:rPr>
              <w:t>That compliance by each DNO Party with the Charging Methodologies facilitates competition in the generation and supply of electricity and will not restrict, distort, or prevent competition in the transmission or distribution of electricity or in participation in the operation of an Interconnector (as defined in the Distribtution Licences)</w:t>
            </w:r>
          </w:p>
        </w:tc>
        <w:tc>
          <w:tcPr>
            <w:tcW w:w="1731" w:type="dxa"/>
          </w:tcPr>
          <w:p w14:paraId="416FCE8B" w14:textId="66278FC4" w:rsidR="009774CE" w:rsidRPr="00610F10" w:rsidRDefault="009774CE" w:rsidP="00A67D17">
            <w:pPr>
              <w:ind w:left="113"/>
              <w:rPr>
                <w:b/>
              </w:rPr>
            </w:pPr>
            <w:r>
              <w:rPr>
                <w:b/>
              </w:rPr>
              <w:t>Positive</w:t>
            </w:r>
          </w:p>
        </w:tc>
      </w:tr>
      <w:tr w:rsidR="009774CE" w:rsidRPr="00674659" w14:paraId="661A561B" w14:textId="77777777" w:rsidTr="00A67D17">
        <w:trPr>
          <w:cantSplit/>
          <w:trHeight w:val="397"/>
        </w:trPr>
        <w:tc>
          <w:tcPr>
            <w:tcW w:w="7908" w:type="dxa"/>
          </w:tcPr>
          <w:p w14:paraId="15339B78" w14:textId="3D9E5DCC" w:rsidR="009774CE" w:rsidRDefault="009774CE" w:rsidP="00A67D17">
            <w:pPr>
              <w:pStyle w:val="BodyText"/>
              <w:ind w:left="603" w:right="57" w:hanging="546"/>
              <w:jc w:val="both"/>
              <w:rPr>
                <w:rFonts w:cs="Arial"/>
                <w:noProof/>
              </w:rPr>
            </w:pPr>
            <w:r>
              <w:rPr>
                <w:rFonts w:cs="Arial"/>
                <w:noProof/>
              </w:rPr>
              <w:fldChar w:fldCharType="begin">
                <w:ffData>
                  <w:name w:val="Check3"/>
                  <w:enabled/>
                  <w:calcOnExit w:val="0"/>
                  <w:checkBox>
                    <w:sizeAuto/>
                    <w:default w:val="1"/>
                  </w:checkBox>
                </w:ffData>
              </w:fldChar>
            </w:r>
            <w:r>
              <w:rPr>
                <w:rFonts w:cs="Arial"/>
                <w:noProof/>
              </w:rPr>
              <w:instrText xml:space="preserve"> FORMCHECKBOX </w:instrText>
            </w:r>
            <w:r w:rsidR="00E646AD">
              <w:rPr>
                <w:rFonts w:cs="Arial"/>
                <w:noProof/>
              </w:rPr>
            </w:r>
            <w:r w:rsidR="00E646AD">
              <w:rPr>
                <w:rFonts w:cs="Arial"/>
                <w:noProof/>
              </w:rPr>
              <w:fldChar w:fldCharType="separate"/>
            </w:r>
            <w:r>
              <w:rPr>
                <w:rFonts w:cs="Arial"/>
                <w:noProof/>
              </w:rPr>
              <w:fldChar w:fldCharType="end"/>
            </w:r>
            <w:r w:rsidRPr="00E46C74">
              <w:rPr>
                <w:rFonts w:cs="Arial"/>
                <w:noProof/>
              </w:rPr>
              <w:t xml:space="preserve"> 3 </w:t>
            </w:r>
            <w:r>
              <w:rPr>
                <w:rFonts w:cs="Arial"/>
                <w:noProof/>
              </w:rPr>
              <w:t>That compliance by each DNO Party with the Charging Methodologies results in charges which, so far is reasonably practicable after taking account of implementation costs, reflect the costs incurred, or reasonably expected to be incurred, by the DNO Party in its Distribution Business</w:t>
            </w:r>
          </w:p>
        </w:tc>
        <w:tc>
          <w:tcPr>
            <w:tcW w:w="1731" w:type="dxa"/>
          </w:tcPr>
          <w:p w14:paraId="77DFF72C" w14:textId="77777777" w:rsidR="009774CE" w:rsidRPr="00610F10" w:rsidRDefault="009774CE" w:rsidP="00A67D17">
            <w:pPr>
              <w:ind w:left="113"/>
              <w:rPr>
                <w:b/>
              </w:rPr>
            </w:pPr>
            <w:r w:rsidRPr="00610F10">
              <w:rPr>
                <w:b/>
              </w:rPr>
              <w:t>Positive</w:t>
            </w:r>
          </w:p>
        </w:tc>
      </w:tr>
      <w:tr w:rsidR="009774CE" w:rsidRPr="00674659" w14:paraId="136B673B" w14:textId="77777777" w:rsidTr="00A67D17">
        <w:trPr>
          <w:cantSplit/>
          <w:trHeight w:val="397"/>
        </w:trPr>
        <w:tc>
          <w:tcPr>
            <w:tcW w:w="7908" w:type="dxa"/>
          </w:tcPr>
          <w:p w14:paraId="1B664538" w14:textId="4A6F96BA" w:rsidR="009774CE" w:rsidRPr="0060253F" w:rsidRDefault="009774CE" w:rsidP="00A67D17">
            <w:pPr>
              <w:pStyle w:val="BodyText"/>
              <w:ind w:left="603" w:right="57" w:hanging="546"/>
              <w:jc w:val="both"/>
              <w:rPr>
                <w:rFonts w:cs="Arial"/>
                <w:noProof/>
              </w:rPr>
            </w:pPr>
            <w:r>
              <w:rPr>
                <w:rFonts w:cs="Arial"/>
                <w:noProof/>
              </w:rPr>
              <w:fldChar w:fldCharType="begin">
                <w:ffData>
                  <w:name w:val=""/>
                  <w:enabled/>
                  <w:calcOnExit w:val="0"/>
                  <w:checkBox>
                    <w:sizeAuto/>
                    <w:default w:val="1"/>
                  </w:checkBox>
                </w:ffData>
              </w:fldChar>
            </w:r>
            <w:r>
              <w:rPr>
                <w:rFonts w:cs="Arial"/>
                <w:noProof/>
              </w:rPr>
              <w:instrText xml:space="preserve"> FORMCHECKBOX </w:instrText>
            </w:r>
            <w:r w:rsidR="00E646AD">
              <w:rPr>
                <w:rFonts w:cs="Arial"/>
                <w:noProof/>
              </w:rPr>
            </w:r>
            <w:r w:rsidR="00E646AD">
              <w:rPr>
                <w:rFonts w:cs="Arial"/>
                <w:noProof/>
              </w:rPr>
              <w:fldChar w:fldCharType="separate"/>
            </w:r>
            <w:r>
              <w:rPr>
                <w:rFonts w:cs="Arial"/>
                <w:noProof/>
              </w:rPr>
              <w:fldChar w:fldCharType="end"/>
            </w:r>
            <w:r w:rsidRPr="00441C23">
              <w:rPr>
                <w:rFonts w:cs="Arial"/>
                <w:noProof/>
              </w:rPr>
              <w:t xml:space="preserve"> 4 </w:t>
            </w:r>
            <w:r>
              <w:rPr>
                <w:rFonts w:cs="Arial"/>
                <w:noProof/>
              </w:rPr>
              <w:t>That, so far is consistent with Clauses 3.2.1 to 3.2.3, the Charging Methodologies, so far as is reasonably practicable, properly take account of developments in each DNO Party’s Distribution Business</w:t>
            </w:r>
          </w:p>
        </w:tc>
        <w:tc>
          <w:tcPr>
            <w:tcW w:w="1731" w:type="dxa"/>
          </w:tcPr>
          <w:p w14:paraId="3D7A2F0A" w14:textId="38381C21" w:rsidR="009774CE" w:rsidRPr="00610F10" w:rsidRDefault="009774CE" w:rsidP="00A67D17">
            <w:pPr>
              <w:ind w:left="113"/>
              <w:rPr>
                <w:b/>
              </w:rPr>
            </w:pPr>
            <w:r>
              <w:rPr>
                <w:b/>
              </w:rPr>
              <w:t>Positive</w:t>
            </w:r>
          </w:p>
        </w:tc>
      </w:tr>
      <w:tr w:rsidR="009774CE" w:rsidRPr="00674659" w14:paraId="50E1F3C5" w14:textId="77777777" w:rsidTr="00A67D17">
        <w:trPr>
          <w:cantSplit/>
          <w:trHeight w:val="1273"/>
        </w:trPr>
        <w:tc>
          <w:tcPr>
            <w:tcW w:w="7908" w:type="dxa"/>
          </w:tcPr>
          <w:p w14:paraId="1A63F8AF" w14:textId="43273B19" w:rsidR="009774CE" w:rsidRPr="0060253F" w:rsidRDefault="009774CE" w:rsidP="00A67D17">
            <w:pPr>
              <w:pStyle w:val="BodyText"/>
              <w:ind w:left="603" w:right="57" w:hanging="546"/>
              <w:jc w:val="both"/>
              <w:rPr>
                <w:rFonts w:cs="Arial"/>
                <w:noProof/>
              </w:rPr>
            </w:pPr>
            <w:r w:rsidRPr="00441C23">
              <w:rPr>
                <w:rFonts w:cs="Arial"/>
                <w:noProof/>
              </w:rPr>
              <w:fldChar w:fldCharType="begin">
                <w:ffData>
                  <w:name w:val="Check8"/>
                  <w:enabled/>
                  <w:calcOnExit w:val="0"/>
                  <w:checkBox>
                    <w:sizeAuto/>
                    <w:default w:val="0"/>
                  </w:checkBox>
                </w:ffData>
              </w:fldChar>
            </w:r>
            <w:r w:rsidRPr="00441C23">
              <w:rPr>
                <w:rFonts w:cs="Arial"/>
                <w:noProof/>
              </w:rPr>
              <w:instrText xml:space="preserve"> FORMCHECKBOX </w:instrText>
            </w:r>
            <w:r w:rsidR="00E646AD">
              <w:rPr>
                <w:rFonts w:cs="Arial"/>
                <w:noProof/>
              </w:rPr>
            </w:r>
            <w:r w:rsidR="00E646AD">
              <w:rPr>
                <w:rFonts w:cs="Arial"/>
                <w:noProof/>
              </w:rPr>
              <w:fldChar w:fldCharType="separate"/>
            </w:r>
            <w:r w:rsidRPr="00441C23">
              <w:rPr>
                <w:rFonts w:cs="Arial"/>
                <w:noProof/>
              </w:rPr>
              <w:fldChar w:fldCharType="end"/>
            </w:r>
            <w:r w:rsidRPr="00441C23">
              <w:rPr>
                <w:rFonts w:cs="Arial"/>
                <w:noProof/>
              </w:rPr>
              <w:t xml:space="preserve"> 5 </w:t>
            </w:r>
            <w:r>
              <w:rPr>
                <w:rFonts w:cs="Arial"/>
                <w:noProof/>
              </w:rPr>
              <w:t xml:space="preserve">That compliance by each DNO Party with the Charging Methodologies facilitates compliance with the Regulation on Cross-Border Exchange in Electricity </w:t>
            </w:r>
            <w:r w:rsidR="004E51BE">
              <w:rPr>
                <w:rFonts w:cs="Arial"/>
                <w:noProof/>
              </w:rPr>
              <w:t>and any relevant legally binding decisions of the European Commission and/or the Agency for the Co-operation of Energy Regulators.</w:t>
            </w:r>
          </w:p>
        </w:tc>
        <w:tc>
          <w:tcPr>
            <w:tcW w:w="1731" w:type="dxa"/>
          </w:tcPr>
          <w:p w14:paraId="08481889" w14:textId="77777777" w:rsidR="009774CE" w:rsidRPr="00610F10" w:rsidRDefault="009774CE" w:rsidP="00A67D17">
            <w:pPr>
              <w:ind w:left="113"/>
              <w:rPr>
                <w:b/>
              </w:rPr>
            </w:pPr>
            <w:r w:rsidRPr="00610F10">
              <w:rPr>
                <w:b/>
              </w:rPr>
              <w:t>None</w:t>
            </w:r>
          </w:p>
        </w:tc>
      </w:tr>
      <w:tr w:rsidR="004E51BE" w:rsidRPr="00674659" w14:paraId="3AEDD24E" w14:textId="77777777" w:rsidTr="00A67D17">
        <w:trPr>
          <w:cantSplit/>
          <w:trHeight w:val="1273"/>
        </w:trPr>
        <w:tc>
          <w:tcPr>
            <w:tcW w:w="7908" w:type="dxa"/>
          </w:tcPr>
          <w:p w14:paraId="0657D9A4" w14:textId="5A979BB2" w:rsidR="004E51BE" w:rsidRPr="00441C23" w:rsidRDefault="004E51BE" w:rsidP="00A67D17">
            <w:pPr>
              <w:pStyle w:val="BodyText"/>
              <w:ind w:left="603" w:right="57" w:hanging="546"/>
              <w:jc w:val="both"/>
              <w:rPr>
                <w:rFonts w:cs="Arial"/>
                <w:noProof/>
              </w:rPr>
            </w:pPr>
            <w:r w:rsidRPr="00441C23">
              <w:rPr>
                <w:rFonts w:cs="Arial"/>
                <w:noProof/>
              </w:rPr>
              <w:lastRenderedPageBreak/>
              <w:fldChar w:fldCharType="begin">
                <w:ffData>
                  <w:name w:val="Check8"/>
                  <w:enabled/>
                  <w:calcOnExit w:val="0"/>
                  <w:checkBox>
                    <w:sizeAuto/>
                    <w:default w:val="0"/>
                  </w:checkBox>
                </w:ffData>
              </w:fldChar>
            </w:r>
            <w:r w:rsidRPr="00441C23">
              <w:rPr>
                <w:rFonts w:cs="Arial"/>
                <w:noProof/>
              </w:rPr>
              <w:instrText xml:space="preserve"> FORMCHECKBOX </w:instrText>
            </w:r>
            <w:r w:rsidR="00E646AD">
              <w:rPr>
                <w:rFonts w:cs="Arial"/>
                <w:noProof/>
              </w:rPr>
            </w:r>
            <w:r w:rsidR="00E646AD">
              <w:rPr>
                <w:rFonts w:cs="Arial"/>
                <w:noProof/>
              </w:rPr>
              <w:fldChar w:fldCharType="separate"/>
            </w:r>
            <w:r w:rsidRPr="00441C23">
              <w:rPr>
                <w:rFonts w:cs="Arial"/>
                <w:noProof/>
              </w:rPr>
              <w:fldChar w:fldCharType="end"/>
            </w:r>
            <w:r w:rsidRPr="00441C23">
              <w:rPr>
                <w:rFonts w:cs="Arial"/>
                <w:noProof/>
              </w:rPr>
              <w:t xml:space="preserve"> </w:t>
            </w:r>
            <w:r>
              <w:rPr>
                <w:rFonts w:cs="Arial"/>
                <w:noProof/>
              </w:rPr>
              <w:t>6</w:t>
            </w:r>
            <w:r w:rsidRPr="00441C23">
              <w:rPr>
                <w:rFonts w:cs="Arial"/>
                <w:noProof/>
              </w:rPr>
              <w:t xml:space="preserve"> </w:t>
            </w:r>
            <w:r>
              <w:rPr>
                <w:rFonts w:cs="Arial"/>
                <w:noProof/>
              </w:rPr>
              <w:t>That compliance with the Charging Methodologies promoted efficency in its own implementation and administration</w:t>
            </w:r>
          </w:p>
        </w:tc>
        <w:tc>
          <w:tcPr>
            <w:tcW w:w="1731" w:type="dxa"/>
          </w:tcPr>
          <w:p w14:paraId="73450C17" w14:textId="66FED366" w:rsidR="004E51BE" w:rsidRPr="00610F10" w:rsidRDefault="004E51BE" w:rsidP="00A67D17">
            <w:pPr>
              <w:ind w:left="113"/>
              <w:rPr>
                <w:b/>
              </w:rPr>
            </w:pPr>
            <w:r>
              <w:rPr>
                <w:b/>
              </w:rPr>
              <w:t>None</w:t>
            </w:r>
          </w:p>
        </w:tc>
      </w:tr>
    </w:tbl>
    <w:p w14:paraId="49D31E58" w14:textId="77777777" w:rsidR="004E51BE" w:rsidRDefault="004E51BE" w:rsidP="004E51BE">
      <w:pPr>
        <w:pStyle w:val="Heading2"/>
        <w:numPr>
          <w:ilvl w:val="0"/>
          <w:numId w:val="0"/>
        </w:numPr>
        <w:ind w:left="576"/>
      </w:pPr>
    </w:p>
    <w:p w14:paraId="3ABC81E3" w14:textId="6EB8C977" w:rsidR="004E51BE" w:rsidRDefault="004E51BE" w:rsidP="009774CE">
      <w:pPr>
        <w:pStyle w:val="Heading2"/>
      </w:pPr>
      <w:r>
        <w:t>DCUSA Charging Objective One is better facilitated as updating the CCCM will ensure each DNOs obligation to prepare a charging statement that sets out the basis on which charges will be made for the provision of connections to the licensee’s Distribution System is maintained.</w:t>
      </w:r>
    </w:p>
    <w:p w14:paraId="6A67AC28" w14:textId="4F211E7B" w:rsidR="004E51BE" w:rsidRDefault="004E51BE" w:rsidP="004E51BE">
      <w:pPr>
        <w:pStyle w:val="Heading2"/>
      </w:pPr>
      <w:r>
        <w:t xml:space="preserve">DCUSA Charging Objective Two is better facilitated as updating the CCCM will ensure each DNOs methodology for charging for flexible connections is clear and transparent and will not restrict, distort, or prevent competition in the transmission or distribution of electricity. </w:t>
      </w:r>
    </w:p>
    <w:p w14:paraId="449B3544" w14:textId="4DB2CDB2" w:rsidR="004E51BE" w:rsidRDefault="004E51BE" w:rsidP="004E51BE">
      <w:pPr>
        <w:pStyle w:val="Heading2"/>
      </w:pPr>
      <w:r>
        <w:t>DCUSA Charging Objective Three is better facilitated as DNOs will be able to demonstrate how charges for recover of the cost of flexible connections are structured to reflect both specific and wider benefits to participants.</w:t>
      </w:r>
    </w:p>
    <w:p w14:paraId="5D36592F" w14:textId="43557A20" w:rsidR="004E51BE" w:rsidRPr="004E51BE" w:rsidRDefault="004E51BE" w:rsidP="004E51BE">
      <w:pPr>
        <w:pStyle w:val="Heading2"/>
      </w:pPr>
      <w:r>
        <w:t>DCUSA Charging Objective Four is better facilitated as the proposed change will ensure that the DNOs charging statements reflect developments in the way that connections are provided, particularly in relation to the implementation of flexible solutions as opposed to traditional reinforcement.</w:t>
      </w:r>
    </w:p>
    <w:tbl>
      <w:tblPr>
        <w:tblStyle w:val="TableList2"/>
        <w:tblpPr w:leftFromText="180" w:rightFromText="180" w:vertAnchor="text" w:horzAnchor="margin" w:tblpY="194"/>
        <w:tblW w:w="0" w:type="auto"/>
        <w:tblLook w:val="04A0" w:firstRow="1" w:lastRow="0" w:firstColumn="1" w:lastColumn="0" w:noHBand="0" w:noVBand="1"/>
      </w:tblPr>
      <w:tblGrid>
        <w:gridCol w:w="9346"/>
      </w:tblGrid>
      <w:tr w:rsidR="009D23F1" w14:paraId="794DDC30" w14:textId="77777777" w:rsidTr="009D23F1">
        <w:trPr>
          <w:cnfStyle w:val="100000000000" w:firstRow="1" w:lastRow="0" w:firstColumn="0" w:lastColumn="0" w:oddVBand="0" w:evenVBand="0" w:oddHBand="0" w:evenHBand="0" w:firstRowFirstColumn="0" w:firstRowLastColumn="0" w:lastRowFirstColumn="0" w:lastRowLastColumn="0"/>
        </w:trPr>
        <w:tc>
          <w:tcPr>
            <w:tcW w:w="9346" w:type="dxa"/>
          </w:tcPr>
          <w:p w14:paraId="2E471DC5" w14:textId="536BC183" w:rsidR="009D23F1" w:rsidRDefault="004E51BE" w:rsidP="009D23F1">
            <w:r>
              <w:t>Q</w:t>
            </w:r>
            <w:r w:rsidR="00A67D17">
              <w:t>8</w:t>
            </w:r>
            <w:r>
              <w:t>:</w:t>
            </w:r>
            <w:r w:rsidR="009D23F1">
              <w:t xml:space="preserve"> Which of the DCUSA Objectives does this CP better facilitate? Please provide supporting comments.</w:t>
            </w:r>
          </w:p>
        </w:tc>
      </w:tr>
    </w:tbl>
    <w:p w14:paraId="2589B72C" w14:textId="2DAD915F" w:rsidR="006D75CD" w:rsidRPr="00EB32BB" w:rsidRDefault="006D75CD" w:rsidP="005F7E14">
      <w:pPr>
        <w:pStyle w:val="Heading02"/>
        <w:rPr>
          <w:noProof/>
        </w:rPr>
      </w:pPr>
      <w:bookmarkStart w:id="22" w:name="_Toc4664542"/>
      <w:r w:rsidRPr="00EB32BB">
        <w:rPr>
          <w:noProof/>
        </w:rPr>
        <w:t xml:space="preserve">Impacts </w:t>
      </w:r>
      <w:r w:rsidR="00784486">
        <w:rPr>
          <w:noProof/>
        </w:rPr>
        <w:t>&amp; Other Considerations</w:t>
      </w:r>
      <w:bookmarkEnd w:id="20"/>
      <w:bookmarkEnd w:id="21"/>
      <w:bookmarkEnd w:id="22"/>
    </w:p>
    <w:p w14:paraId="2F44E9C1" w14:textId="1111B4CB" w:rsidR="00586BD1" w:rsidRPr="00EB32BB" w:rsidRDefault="00586BD1" w:rsidP="00610F10">
      <w:pPr>
        <w:pStyle w:val="Heading4"/>
        <w:rPr>
          <w:i/>
          <w:iCs/>
        </w:rPr>
      </w:pPr>
      <w:r w:rsidRPr="00EB32BB">
        <w:t xml:space="preserve">Does this </w:t>
      </w:r>
      <w:r>
        <w:t>Change Proposal</w:t>
      </w:r>
      <w:r w:rsidRPr="00EB32BB">
        <w:t xml:space="preserve"> impact a Significant Code Review (SCR) or other significant industry change projects, if so, how?</w:t>
      </w:r>
    </w:p>
    <w:p w14:paraId="2AC6FA73" w14:textId="44EB3A70" w:rsidR="00016AD2" w:rsidRPr="00E96D40" w:rsidRDefault="003C2413" w:rsidP="00610F10">
      <w:pPr>
        <w:pStyle w:val="Heading2"/>
      </w:pPr>
      <w:r>
        <w:t xml:space="preserve">This </w:t>
      </w:r>
      <w:r w:rsidR="004841B3">
        <w:t>CP</w:t>
      </w:r>
      <w:r w:rsidR="00E96D40">
        <w:t xml:space="preserve"> does not </w:t>
      </w:r>
      <w:r w:rsidR="00693616">
        <w:t>directly impact a Significant Code Review or other significant industry change projects. It does, however, support the Access SCR work. For clarity, the work undertaken by the ARAWG considers incremental improvements to the allocation of access rights and this access related work is directly relevant to but does not form part of the SCR.</w:t>
      </w:r>
    </w:p>
    <w:p w14:paraId="7CF05005" w14:textId="77777777" w:rsidR="00586BD1" w:rsidRPr="00EB32BB" w:rsidRDefault="00455943" w:rsidP="00610F10">
      <w:pPr>
        <w:pStyle w:val="Heading4"/>
        <w:rPr>
          <w:i/>
          <w:iCs/>
        </w:rPr>
      </w:pPr>
      <w:r>
        <w:t>Consumer Impact</w:t>
      </w:r>
    </w:p>
    <w:p w14:paraId="2A3ADB69" w14:textId="046F3F40" w:rsidR="00455943" w:rsidRDefault="00E40782" w:rsidP="00610F10">
      <w:pPr>
        <w:pStyle w:val="Heading2"/>
      </w:pPr>
      <w:r>
        <w:t xml:space="preserve">This </w:t>
      </w:r>
      <w:r w:rsidR="004841B3">
        <w:t>CP</w:t>
      </w:r>
      <w:r>
        <w:t xml:space="preserve"> does not have any impact on </w:t>
      </w:r>
      <w:r w:rsidR="00F65AAB">
        <w:t xml:space="preserve">existing </w:t>
      </w:r>
      <w:r>
        <w:t>customers</w:t>
      </w:r>
      <w:r w:rsidR="00F65AAB">
        <w:t>, however new connectees will be impacted where Flexible Connections are to be catered for</w:t>
      </w:r>
      <w:r w:rsidR="00E96D40" w:rsidRPr="00E40782">
        <w:t>.</w:t>
      </w:r>
      <w:r w:rsidR="00F65AAB">
        <w:t xml:space="preserve"> This scheme will have a common approach which is followed across the industry and there will be a fairer allocation of costs. </w:t>
      </w:r>
    </w:p>
    <w:p w14:paraId="2F0024D6" w14:textId="77777777" w:rsidR="00586BD1" w:rsidRPr="00EB32BB" w:rsidRDefault="00586BD1" w:rsidP="00610F10">
      <w:pPr>
        <w:pStyle w:val="Heading4"/>
        <w:rPr>
          <w:i/>
          <w:iCs/>
        </w:rPr>
      </w:pPr>
      <w:r>
        <w:t>Environmental Impacts</w:t>
      </w:r>
    </w:p>
    <w:p w14:paraId="3391E97A" w14:textId="0021CEFA" w:rsidR="00586BD1" w:rsidRPr="0041741F" w:rsidRDefault="00586BD1" w:rsidP="00610F10">
      <w:pPr>
        <w:pStyle w:val="Heading2"/>
      </w:pPr>
      <w:r w:rsidRPr="0041741F">
        <w:lastRenderedPageBreak/>
        <w:t xml:space="preserve">In accordance with DCUSA Clause 11.14.6, the </w:t>
      </w:r>
      <w:r>
        <w:t xml:space="preserve">proposer </w:t>
      </w:r>
      <w:r w:rsidRPr="0041741F">
        <w:t xml:space="preserve">assessed whether there would be a material impact on greenhouse gas emissions if DCP </w:t>
      </w:r>
      <w:r w:rsidR="00E96D40">
        <w:t>3</w:t>
      </w:r>
      <w:r w:rsidR="004E51BE">
        <w:t>48</w:t>
      </w:r>
      <w:r w:rsidR="00C80BD9">
        <w:t xml:space="preserve"> </w:t>
      </w:r>
      <w:r w:rsidRPr="0041741F">
        <w:t xml:space="preserve">were implemented. The </w:t>
      </w:r>
      <w:r>
        <w:t>proposer</w:t>
      </w:r>
      <w:r w:rsidRPr="0041741F">
        <w:t xml:space="preserve"> did not identify any material impact on greenhouse gas emissions from the implementation of this </w:t>
      </w:r>
      <w:r w:rsidR="004841B3">
        <w:t>CP</w:t>
      </w:r>
      <w:r w:rsidRPr="0041741F">
        <w:t>.</w:t>
      </w:r>
    </w:p>
    <w:p w14:paraId="7FB6CEF3" w14:textId="77777777" w:rsidR="00B52063" w:rsidRPr="00B52063" w:rsidRDefault="00B52063" w:rsidP="00610F10">
      <w:pPr>
        <w:pStyle w:val="Heading4"/>
        <w:rPr>
          <w:i/>
          <w:iCs/>
        </w:rPr>
      </w:pPr>
      <w:r w:rsidRPr="00B52063">
        <w:t>Engagement with the Authority</w:t>
      </w:r>
    </w:p>
    <w:p w14:paraId="232E341E" w14:textId="1B0A9BB9" w:rsidR="002733C1" w:rsidRDefault="002733C1" w:rsidP="00610F10">
      <w:pPr>
        <w:pStyle w:val="Heading2"/>
      </w:pPr>
      <w:r w:rsidRPr="002733C1">
        <w:t xml:space="preserve">Ofgem </w:t>
      </w:r>
      <w:r w:rsidR="00227DA3">
        <w:t>were invited to join the Working Group but</w:t>
      </w:r>
      <w:r w:rsidR="006E2BF3">
        <w:t xml:space="preserve"> </w:t>
      </w:r>
      <w:r w:rsidR="004E51BE">
        <w:t>did not provide a</w:t>
      </w:r>
      <w:r w:rsidR="00693616">
        <w:t>n observer to the Working Group</w:t>
      </w:r>
      <w:r w:rsidR="00227DA3">
        <w:t xml:space="preserve">. </w:t>
      </w:r>
    </w:p>
    <w:tbl>
      <w:tblPr>
        <w:tblStyle w:val="TableList2"/>
        <w:tblW w:w="0" w:type="auto"/>
        <w:tblLook w:val="04A0" w:firstRow="1" w:lastRow="0" w:firstColumn="1" w:lastColumn="0" w:noHBand="0" w:noVBand="1"/>
      </w:tblPr>
      <w:tblGrid>
        <w:gridCol w:w="9346"/>
      </w:tblGrid>
      <w:tr w:rsidR="00E96D40" w14:paraId="632E29D8" w14:textId="77777777" w:rsidTr="00E96D40">
        <w:trPr>
          <w:cnfStyle w:val="100000000000" w:firstRow="1" w:lastRow="0" w:firstColumn="0" w:lastColumn="0" w:oddVBand="0" w:evenVBand="0" w:oddHBand="0" w:evenHBand="0" w:firstRowFirstColumn="0" w:firstRowLastColumn="0" w:lastRowFirstColumn="0" w:lastRowLastColumn="0"/>
        </w:trPr>
        <w:tc>
          <w:tcPr>
            <w:tcW w:w="9346" w:type="dxa"/>
          </w:tcPr>
          <w:p w14:paraId="694DA7E0" w14:textId="5326F26F" w:rsidR="00E96D40" w:rsidRDefault="00794B03" w:rsidP="004059D4">
            <w:r>
              <w:t>Q</w:t>
            </w:r>
            <w:r w:rsidR="00A67D17">
              <w:t>9</w:t>
            </w:r>
            <w:r w:rsidR="00E96D40">
              <w:t>: Are you aware of any wider industry developments that may impact upon or be impacted by this CP?</w:t>
            </w:r>
          </w:p>
        </w:tc>
      </w:tr>
    </w:tbl>
    <w:p w14:paraId="6EE8B635" w14:textId="5D769C39" w:rsidR="00C976B9" w:rsidRDefault="00C976B9">
      <w:pPr>
        <w:spacing w:before="0" w:after="0" w:line="240" w:lineRule="auto"/>
      </w:pPr>
    </w:p>
    <w:p w14:paraId="3E9235D8" w14:textId="41BFD5C7" w:rsidR="00450385" w:rsidRPr="00EB32BB" w:rsidRDefault="00C31A20" w:rsidP="005F7E14">
      <w:pPr>
        <w:pStyle w:val="Heading02"/>
        <w:rPr>
          <w:noProof/>
        </w:rPr>
      </w:pPr>
      <w:bookmarkStart w:id="23" w:name="_Toc318962140"/>
      <w:bookmarkStart w:id="24" w:name="_Toc453107803"/>
      <w:bookmarkStart w:id="25" w:name="_Toc4664543"/>
      <w:r w:rsidRPr="00EB32BB">
        <w:rPr>
          <w:noProof/>
        </w:rPr>
        <w:t>Imple</w:t>
      </w:r>
      <w:r w:rsidR="00461C2F" w:rsidRPr="00EB32BB">
        <w:rPr>
          <w:noProof/>
        </w:rPr>
        <w:t>me</w:t>
      </w:r>
      <w:r w:rsidRPr="00EB32BB">
        <w:rPr>
          <w:noProof/>
        </w:rPr>
        <w:t>ntation</w:t>
      </w:r>
      <w:bookmarkEnd w:id="23"/>
      <w:bookmarkEnd w:id="24"/>
      <w:bookmarkEnd w:id="25"/>
    </w:p>
    <w:p w14:paraId="0A287C3C" w14:textId="5CFFB602" w:rsidR="00B708FB" w:rsidRDefault="00B708FB" w:rsidP="00610F10">
      <w:pPr>
        <w:pStyle w:val="Heading2"/>
      </w:pPr>
      <w:r w:rsidRPr="00C80BD9">
        <w:t xml:space="preserve">The proposed implementation date for DCP </w:t>
      </w:r>
      <w:r w:rsidR="00E96D40">
        <w:t>3</w:t>
      </w:r>
      <w:r w:rsidR="00693616">
        <w:t>48</w:t>
      </w:r>
      <w:r w:rsidR="003C3301" w:rsidRPr="00C80BD9">
        <w:t xml:space="preserve"> is </w:t>
      </w:r>
      <w:r w:rsidR="006E1655">
        <w:t>immediately</w:t>
      </w:r>
      <w:r w:rsidR="00227DA3">
        <w:t xml:space="preserve"> following </w:t>
      </w:r>
      <w:r w:rsidR="00693616">
        <w:t>Authority</w:t>
      </w:r>
      <w:r w:rsidR="00227DA3">
        <w:t xml:space="preserve"> approval</w:t>
      </w:r>
      <w:r w:rsidR="006E1655">
        <w:t>. To be able to efficiently make the changes to the DCUSA, it is suggested that this is 5 Working Days following receipt of the Authority approval.</w:t>
      </w:r>
    </w:p>
    <w:tbl>
      <w:tblPr>
        <w:tblStyle w:val="TableList2"/>
        <w:tblW w:w="0" w:type="auto"/>
        <w:tblLook w:val="04A0" w:firstRow="1" w:lastRow="0" w:firstColumn="1" w:lastColumn="0" w:noHBand="0" w:noVBand="1"/>
      </w:tblPr>
      <w:tblGrid>
        <w:gridCol w:w="9346"/>
      </w:tblGrid>
      <w:tr w:rsidR="00E96D40" w14:paraId="2D7844B3" w14:textId="77777777" w:rsidTr="00E96D40">
        <w:trPr>
          <w:cnfStyle w:val="100000000000" w:firstRow="1" w:lastRow="0" w:firstColumn="0" w:lastColumn="0" w:oddVBand="0" w:evenVBand="0" w:oddHBand="0" w:evenHBand="0" w:firstRowFirstColumn="0" w:firstRowLastColumn="0" w:lastRowFirstColumn="0" w:lastRowLastColumn="0"/>
        </w:trPr>
        <w:tc>
          <w:tcPr>
            <w:tcW w:w="9346" w:type="dxa"/>
          </w:tcPr>
          <w:p w14:paraId="7CADAAA4" w14:textId="1FA0FB1B" w:rsidR="00E96D40" w:rsidRDefault="00A67D17" w:rsidP="00BF16FD">
            <w:r>
              <w:t>10</w:t>
            </w:r>
            <w:r w:rsidR="00E96D40">
              <w:t>: The proposed implementation date for DCP 3</w:t>
            </w:r>
            <w:r w:rsidR="00693616">
              <w:t>48</w:t>
            </w:r>
            <w:r w:rsidR="00E96D40">
              <w:t xml:space="preserve"> is </w:t>
            </w:r>
            <w:r w:rsidR="006E1655">
              <w:t>5 Working Days</w:t>
            </w:r>
            <w:r w:rsidR="00227DA3">
              <w:t xml:space="preserve"> following </w:t>
            </w:r>
            <w:r w:rsidR="00693616">
              <w:t>Authority</w:t>
            </w:r>
            <w:r w:rsidR="00227DA3">
              <w:t xml:space="preserve"> approval. </w:t>
            </w:r>
            <w:r w:rsidR="00E96D40">
              <w:t>Do you agree with the proposed implementation date?</w:t>
            </w:r>
            <w:r w:rsidR="00227DA3">
              <w:t xml:space="preserve"> Please provide your rationale.</w:t>
            </w:r>
          </w:p>
        </w:tc>
      </w:tr>
    </w:tbl>
    <w:p w14:paraId="4E32B854" w14:textId="62C50882" w:rsidR="00CC0C7A" w:rsidRPr="00EB32BB" w:rsidRDefault="00CC0C7A" w:rsidP="005F7E14">
      <w:pPr>
        <w:pStyle w:val="Heading02"/>
      </w:pPr>
      <w:bookmarkStart w:id="26" w:name="_Toc4664544"/>
      <w:r>
        <w:t>Consultation Questions</w:t>
      </w:r>
      <w:bookmarkEnd w:id="26"/>
    </w:p>
    <w:p w14:paraId="0AD640A4" w14:textId="77777777" w:rsidR="002733C1" w:rsidRDefault="00CC0C7A" w:rsidP="00610F10">
      <w:pPr>
        <w:pStyle w:val="Heading2"/>
      </w:pPr>
      <w:r w:rsidRPr="00CC0C7A">
        <w:t>The Working Group is seeking industry views on the following consultation questions:</w:t>
      </w:r>
    </w:p>
    <w:tbl>
      <w:tblPr>
        <w:tblW w:w="0" w:type="auto"/>
        <w:tblBorders>
          <w:top w:val="single" w:sz="8" w:space="0" w:color="008576"/>
          <w:left w:val="single" w:sz="8" w:space="0" w:color="008576"/>
          <w:bottom w:val="single" w:sz="8" w:space="0" w:color="008576"/>
          <w:right w:val="single" w:sz="8" w:space="0" w:color="008576"/>
          <w:insideH w:val="single" w:sz="8" w:space="0" w:color="008576"/>
          <w:insideV w:val="single" w:sz="8" w:space="0" w:color="008576"/>
        </w:tblBorders>
        <w:tblLook w:val="04A0" w:firstRow="1" w:lastRow="0" w:firstColumn="1" w:lastColumn="0" w:noHBand="0" w:noVBand="1"/>
      </w:tblPr>
      <w:tblGrid>
        <w:gridCol w:w="972"/>
        <w:gridCol w:w="8232"/>
      </w:tblGrid>
      <w:tr w:rsidR="00AD59E1" w:rsidRPr="00AD59E1" w14:paraId="0830787F" w14:textId="77777777" w:rsidTr="00086384">
        <w:tc>
          <w:tcPr>
            <w:tcW w:w="0" w:type="auto"/>
            <w:shd w:val="clear" w:color="auto" w:fill="008576"/>
          </w:tcPr>
          <w:p w14:paraId="587A8A0D" w14:textId="77777777" w:rsidR="00AD59E1" w:rsidRPr="00AD59E1" w:rsidRDefault="00AD59E1" w:rsidP="00327CE7">
            <w:pPr>
              <w:rPr>
                <w:b/>
                <w:color w:val="FFFFFF"/>
              </w:rPr>
            </w:pPr>
            <w:r w:rsidRPr="00AD59E1">
              <w:rPr>
                <w:b/>
                <w:color w:val="FFFFFF"/>
              </w:rPr>
              <w:t>Number</w:t>
            </w:r>
          </w:p>
        </w:tc>
        <w:tc>
          <w:tcPr>
            <w:tcW w:w="8232" w:type="dxa"/>
            <w:shd w:val="clear" w:color="auto" w:fill="008576"/>
          </w:tcPr>
          <w:p w14:paraId="700EF095" w14:textId="77777777" w:rsidR="00AD59E1" w:rsidRPr="00AD59E1" w:rsidRDefault="00AD59E1" w:rsidP="00327CE7">
            <w:pPr>
              <w:rPr>
                <w:b/>
                <w:color w:val="FFFFFF"/>
              </w:rPr>
            </w:pPr>
            <w:r w:rsidRPr="00AD59E1">
              <w:rPr>
                <w:b/>
                <w:color w:val="FFFFFF"/>
              </w:rPr>
              <w:t>Questions</w:t>
            </w:r>
          </w:p>
        </w:tc>
      </w:tr>
      <w:tr w:rsidR="00E54184" w:rsidRPr="00AD59E1" w14:paraId="59BE231D" w14:textId="77777777" w:rsidTr="00086384">
        <w:tc>
          <w:tcPr>
            <w:tcW w:w="0" w:type="auto"/>
            <w:shd w:val="clear" w:color="auto" w:fill="auto"/>
          </w:tcPr>
          <w:p w14:paraId="468B570F" w14:textId="77777777" w:rsidR="00E54184" w:rsidRPr="00AD59E1" w:rsidRDefault="00E54184" w:rsidP="006C57B2">
            <w:pPr>
              <w:numPr>
                <w:ilvl w:val="0"/>
                <w:numId w:val="15"/>
              </w:numPr>
              <w:rPr>
                <w:rFonts w:cs="Arial"/>
                <w:szCs w:val="20"/>
              </w:rPr>
            </w:pPr>
          </w:p>
        </w:tc>
        <w:tc>
          <w:tcPr>
            <w:tcW w:w="8232" w:type="dxa"/>
            <w:shd w:val="clear" w:color="auto" w:fill="auto"/>
            <w:vAlign w:val="center"/>
          </w:tcPr>
          <w:p w14:paraId="6A97B9C1" w14:textId="02F7F04D" w:rsidR="00E54184" w:rsidRPr="00475648" w:rsidRDefault="00E54184" w:rsidP="00327CE7">
            <w:pPr>
              <w:spacing w:before="60" w:after="60"/>
              <w:rPr>
                <w:szCs w:val="20"/>
              </w:rPr>
            </w:pPr>
            <w:r w:rsidRPr="00475648">
              <w:rPr>
                <w:szCs w:val="20"/>
              </w:rPr>
              <w:t>Do</w:t>
            </w:r>
            <w:r>
              <w:rPr>
                <w:szCs w:val="20"/>
              </w:rPr>
              <w:t xml:space="preserve"> you </w:t>
            </w:r>
            <w:r w:rsidR="00E563EF">
              <w:rPr>
                <w:szCs w:val="20"/>
              </w:rPr>
              <w:t>understand the intent of DCP 3</w:t>
            </w:r>
            <w:r w:rsidR="00693616">
              <w:rPr>
                <w:szCs w:val="20"/>
              </w:rPr>
              <w:t>48</w:t>
            </w:r>
            <w:r>
              <w:rPr>
                <w:szCs w:val="20"/>
              </w:rPr>
              <w:t>?</w:t>
            </w:r>
          </w:p>
        </w:tc>
      </w:tr>
      <w:tr w:rsidR="00E54184" w:rsidRPr="00AD59E1" w14:paraId="31D5AF20" w14:textId="77777777" w:rsidTr="00086384">
        <w:tc>
          <w:tcPr>
            <w:tcW w:w="0" w:type="auto"/>
            <w:shd w:val="clear" w:color="auto" w:fill="auto"/>
          </w:tcPr>
          <w:p w14:paraId="6E55EEFE" w14:textId="77777777" w:rsidR="00E54184" w:rsidRPr="00AD59E1" w:rsidRDefault="00E54184" w:rsidP="006C57B2">
            <w:pPr>
              <w:numPr>
                <w:ilvl w:val="0"/>
                <w:numId w:val="15"/>
              </w:numPr>
              <w:rPr>
                <w:rFonts w:cs="Arial"/>
                <w:szCs w:val="20"/>
              </w:rPr>
            </w:pPr>
          </w:p>
        </w:tc>
        <w:tc>
          <w:tcPr>
            <w:tcW w:w="8232" w:type="dxa"/>
            <w:shd w:val="clear" w:color="auto" w:fill="auto"/>
            <w:vAlign w:val="center"/>
          </w:tcPr>
          <w:p w14:paraId="71BE6FD8" w14:textId="3A576243" w:rsidR="00E54184" w:rsidRPr="00475648" w:rsidRDefault="00E54184" w:rsidP="00327CE7">
            <w:pPr>
              <w:spacing w:before="60" w:after="60"/>
              <w:rPr>
                <w:szCs w:val="20"/>
              </w:rPr>
            </w:pPr>
            <w:r w:rsidRPr="00475648">
              <w:rPr>
                <w:szCs w:val="20"/>
              </w:rPr>
              <w:t>Are you s</w:t>
            </w:r>
            <w:r>
              <w:rPr>
                <w:szCs w:val="20"/>
              </w:rPr>
              <w:t>upport</w:t>
            </w:r>
            <w:r w:rsidR="00E563EF">
              <w:rPr>
                <w:szCs w:val="20"/>
              </w:rPr>
              <w:t>ive of the principles of DCP 3</w:t>
            </w:r>
            <w:r w:rsidR="00693616">
              <w:rPr>
                <w:szCs w:val="20"/>
              </w:rPr>
              <w:t>48</w:t>
            </w:r>
            <w:r w:rsidRPr="00475648">
              <w:rPr>
                <w:szCs w:val="20"/>
              </w:rPr>
              <w:t>?</w:t>
            </w:r>
          </w:p>
        </w:tc>
      </w:tr>
      <w:tr w:rsidR="007917E9" w:rsidRPr="00AD59E1" w14:paraId="79C5ABE8" w14:textId="77777777" w:rsidTr="00086384">
        <w:tc>
          <w:tcPr>
            <w:tcW w:w="0" w:type="auto"/>
            <w:shd w:val="clear" w:color="auto" w:fill="auto"/>
          </w:tcPr>
          <w:p w14:paraId="17B645C8" w14:textId="77777777" w:rsidR="007917E9" w:rsidRPr="00AD59E1" w:rsidRDefault="007917E9" w:rsidP="006C57B2">
            <w:pPr>
              <w:numPr>
                <w:ilvl w:val="0"/>
                <w:numId w:val="15"/>
              </w:numPr>
              <w:rPr>
                <w:rFonts w:cs="Arial"/>
                <w:szCs w:val="20"/>
              </w:rPr>
            </w:pPr>
          </w:p>
        </w:tc>
        <w:tc>
          <w:tcPr>
            <w:tcW w:w="8232" w:type="dxa"/>
            <w:shd w:val="clear" w:color="auto" w:fill="auto"/>
          </w:tcPr>
          <w:p w14:paraId="469FC141" w14:textId="787F5035" w:rsidR="007917E9" w:rsidRPr="00636DBE" w:rsidRDefault="00B672D3" w:rsidP="005C03FB">
            <w:pPr>
              <w:widowControl w:val="0"/>
              <w:spacing w:line="360" w:lineRule="auto"/>
              <w:jc w:val="both"/>
              <w:outlineLvl w:val="1"/>
              <w:rPr>
                <w:rFonts w:cs="Arial"/>
                <w:bCs/>
                <w:iCs/>
                <w:szCs w:val="20"/>
              </w:rPr>
            </w:pPr>
            <w:r>
              <w:t>Do you have any comments on who should pay for the elements identified in the table?</w:t>
            </w:r>
          </w:p>
        </w:tc>
      </w:tr>
      <w:tr w:rsidR="00AD59E1" w:rsidRPr="00AD59E1" w14:paraId="4298CC6D" w14:textId="77777777" w:rsidTr="00086384">
        <w:tc>
          <w:tcPr>
            <w:tcW w:w="0" w:type="auto"/>
            <w:shd w:val="clear" w:color="auto" w:fill="auto"/>
          </w:tcPr>
          <w:p w14:paraId="2F60E68F" w14:textId="77777777" w:rsidR="00AD59E1" w:rsidRPr="00AD59E1" w:rsidRDefault="00AD59E1" w:rsidP="006C57B2">
            <w:pPr>
              <w:numPr>
                <w:ilvl w:val="0"/>
                <w:numId w:val="15"/>
              </w:numPr>
              <w:rPr>
                <w:rFonts w:cs="Arial"/>
                <w:szCs w:val="20"/>
              </w:rPr>
            </w:pPr>
          </w:p>
        </w:tc>
        <w:tc>
          <w:tcPr>
            <w:tcW w:w="8232" w:type="dxa"/>
            <w:shd w:val="clear" w:color="auto" w:fill="auto"/>
          </w:tcPr>
          <w:p w14:paraId="3ADCC5B0" w14:textId="54B9F787" w:rsidR="004059D4" w:rsidRPr="00636DBE" w:rsidRDefault="00B672D3" w:rsidP="00DD1E87">
            <w:pPr>
              <w:spacing w:line="360" w:lineRule="auto"/>
              <w:jc w:val="both"/>
              <w:rPr>
                <w:rFonts w:cs="Arial"/>
                <w:szCs w:val="20"/>
              </w:rPr>
            </w:pPr>
            <w:r>
              <w:t>Which Option (A or B) do you believe is the most appropriate way of apportioning the costs associated with the Dedicated Scheme? Please provide your rationale.</w:t>
            </w:r>
          </w:p>
        </w:tc>
      </w:tr>
      <w:tr w:rsidR="00813655" w:rsidRPr="00AD59E1" w14:paraId="5955B020" w14:textId="77777777" w:rsidTr="00086384">
        <w:tc>
          <w:tcPr>
            <w:tcW w:w="0" w:type="auto"/>
            <w:shd w:val="clear" w:color="auto" w:fill="auto"/>
          </w:tcPr>
          <w:p w14:paraId="25955231" w14:textId="77777777" w:rsidR="00813655" w:rsidRPr="00AD59E1" w:rsidRDefault="00813655" w:rsidP="006C57B2">
            <w:pPr>
              <w:numPr>
                <w:ilvl w:val="0"/>
                <w:numId w:val="15"/>
              </w:numPr>
              <w:rPr>
                <w:rFonts w:cs="Arial"/>
                <w:szCs w:val="20"/>
              </w:rPr>
            </w:pPr>
          </w:p>
        </w:tc>
        <w:tc>
          <w:tcPr>
            <w:tcW w:w="8232" w:type="dxa"/>
            <w:shd w:val="clear" w:color="auto" w:fill="auto"/>
          </w:tcPr>
          <w:p w14:paraId="6C7ED8F2" w14:textId="7A1B7C2D" w:rsidR="00813655" w:rsidRDefault="0082614E" w:rsidP="00DD1E87">
            <w:pPr>
              <w:spacing w:line="360" w:lineRule="auto"/>
              <w:jc w:val="both"/>
              <w:rPr>
                <w:szCs w:val="20"/>
              </w:rPr>
            </w:pPr>
            <w:r>
              <w:rPr>
                <w:szCs w:val="20"/>
              </w:rPr>
              <w:t>Do you believe the Working Group should consider a different solution? If so, please provide your rationale.</w:t>
            </w:r>
          </w:p>
        </w:tc>
      </w:tr>
      <w:tr w:rsidR="00813655" w:rsidRPr="00AD59E1" w14:paraId="0D1D7091" w14:textId="77777777" w:rsidTr="00086384">
        <w:tc>
          <w:tcPr>
            <w:tcW w:w="0" w:type="auto"/>
            <w:shd w:val="clear" w:color="auto" w:fill="auto"/>
          </w:tcPr>
          <w:p w14:paraId="0D0EF15F" w14:textId="77777777" w:rsidR="00813655" w:rsidRPr="00AD59E1" w:rsidRDefault="00813655" w:rsidP="006C57B2">
            <w:pPr>
              <w:numPr>
                <w:ilvl w:val="0"/>
                <w:numId w:val="15"/>
              </w:numPr>
              <w:rPr>
                <w:rFonts w:cs="Arial"/>
                <w:szCs w:val="20"/>
              </w:rPr>
            </w:pPr>
          </w:p>
        </w:tc>
        <w:tc>
          <w:tcPr>
            <w:tcW w:w="8232" w:type="dxa"/>
            <w:shd w:val="clear" w:color="auto" w:fill="auto"/>
          </w:tcPr>
          <w:p w14:paraId="114E8A54" w14:textId="0AD3B54E" w:rsidR="00813655" w:rsidRDefault="009345AE" w:rsidP="00DD1E87">
            <w:pPr>
              <w:spacing w:line="360" w:lineRule="auto"/>
              <w:jc w:val="both"/>
            </w:pPr>
            <w:r>
              <w:t>Do you believe that it is a fair assessment that Suppliers are not included as Impacted Parties for this CP? If not, why not?</w:t>
            </w:r>
          </w:p>
        </w:tc>
      </w:tr>
      <w:tr w:rsidR="00AD59E1" w:rsidRPr="00AD59E1" w14:paraId="40288E06" w14:textId="77777777" w:rsidTr="00086384">
        <w:tc>
          <w:tcPr>
            <w:tcW w:w="0" w:type="auto"/>
            <w:shd w:val="clear" w:color="auto" w:fill="auto"/>
          </w:tcPr>
          <w:p w14:paraId="7AE7431E" w14:textId="77777777" w:rsidR="00AD59E1" w:rsidRPr="00AD59E1" w:rsidRDefault="00AD59E1" w:rsidP="006C57B2">
            <w:pPr>
              <w:numPr>
                <w:ilvl w:val="0"/>
                <w:numId w:val="15"/>
              </w:numPr>
              <w:rPr>
                <w:rFonts w:cs="Arial"/>
                <w:szCs w:val="20"/>
              </w:rPr>
            </w:pPr>
          </w:p>
        </w:tc>
        <w:tc>
          <w:tcPr>
            <w:tcW w:w="8232" w:type="dxa"/>
            <w:shd w:val="clear" w:color="auto" w:fill="auto"/>
          </w:tcPr>
          <w:p w14:paraId="1506C7B8" w14:textId="71FFDA54" w:rsidR="00DC3ADD" w:rsidRPr="00636DBE" w:rsidRDefault="008F7F65" w:rsidP="005C03FB">
            <w:pPr>
              <w:spacing w:line="360" w:lineRule="auto"/>
              <w:jc w:val="both"/>
              <w:rPr>
                <w:rFonts w:cs="Arial"/>
                <w:szCs w:val="20"/>
              </w:rPr>
            </w:pPr>
            <w:r>
              <w:t>Do you have any comments on the proposed legal text for DCP 3</w:t>
            </w:r>
            <w:r w:rsidR="00693616">
              <w:t>48</w:t>
            </w:r>
            <w:r>
              <w:t>? Please provide your rationale.</w:t>
            </w:r>
          </w:p>
        </w:tc>
      </w:tr>
      <w:tr w:rsidR="00E54184" w:rsidRPr="00AD59E1" w14:paraId="55F8595B" w14:textId="77777777" w:rsidTr="00086384">
        <w:tc>
          <w:tcPr>
            <w:tcW w:w="0" w:type="auto"/>
            <w:shd w:val="clear" w:color="auto" w:fill="auto"/>
          </w:tcPr>
          <w:p w14:paraId="6EDD4E26" w14:textId="77777777" w:rsidR="00E54184" w:rsidRPr="00AD59E1" w:rsidRDefault="00E54184" w:rsidP="006C57B2">
            <w:pPr>
              <w:numPr>
                <w:ilvl w:val="0"/>
                <w:numId w:val="15"/>
              </w:numPr>
              <w:rPr>
                <w:rFonts w:cs="Arial"/>
                <w:szCs w:val="20"/>
              </w:rPr>
            </w:pPr>
          </w:p>
        </w:tc>
        <w:tc>
          <w:tcPr>
            <w:tcW w:w="8232" w:type="dxa"/>
            <w:shd w:val="clear" w:color="auto" w:fill="auto"/>
          </w:tcPr>
          <w:p w14:paraId="3B0BFD11" w14:textId="5DB6ACEF" w:rsidR="00AC6105" w:rsidRPr="00636DBE" w:rsidRDefault="008F7F65" w:rsidP="005C03FB">
            <w:pPr>
              <w:pStyle w:val="ListParagraph"/>
              <w:ind w:left="0"/>
              <w:jc w:val="both"/>
              <w:rPr>
                <w:rFonts w:cs="Arial"/>
                <w:szCs w:val="20"/>
              </w:rPr>
            </w:pPr>
            <w:r>
              <w:t>Which of the DCUS</w:t>
            </w:r>
            <w:r w:rsidR="00693616">
              <w:t>A</w:t>
            </w:r>
            <w:r w:rsidR="0050434E">
              <w:t xml:space="preserve"> </w:t>
            </w:r>
            <w:r>
              <w:t>Objective</w:t>
            </w:r>
            <w:r w:rsidR="0050434E">
              <w:t>s</w:t>
            </w:r>
            <w:r>
              <w:t xml:space="preserve"> does this CP better facilitate? Please provide supporting comments.</w:t>
            </w:r>
          </w:p>
        </w:tc>
      </w:tr>
      <w:tr w:rsidR="00E54184" w:rsidRPr="00AD59E1" w14:paraId="193122AA" w14:textId="77777777" w:rsidTr="00086384">
        <w:tc>
          <w:tcPr>
            <w:tcW w:w="0" w:type="auto"/>
            <w:shd w:val="clear" w:color="auto" w:fill="auto"/>
          </w:tcPr>
          <w:p w14:paraId="3388CC47" w14:textId="77777777" w:rsidR="00E54184" w:rsidRPr="00AD59E1" w:rsidRDefault="00E54184" w:rsidP="006C57B2">
            <w:pPr>
              <w:numPr>
                <w:ilvl w:val="0"/>
                <w:numId w:val="15"/>
              </w:numPr>
              <w:rPr>
                <w:rFonts w:cs="Arial"/>
                <w:szCs w:val="20"/>
              </w:rPr>
            </w:pPr>
          </w:p>
        </w:tc>
        <w:tc>
          <w:tcPr>
            <w:tcW w:w="8232" w:type="dxa"/>
            <w:shd w:val="clear" w:color="auto" w:fill="auto"/>
          </w:tcPr>
          <w:p w14:paraId="22119FEE" w14:textId="70B48C6B" w:rsidR="00E54184" w:rsidRPr="00AD59E1" w:rsidRDefault="008F7F65" w:rsidP="005C03FB">
            <w:pPr>
              <w:spacing w:line="360" w:lineRule="auto"/>
              <w:jc w:val="both"/>
              <w:rPr>
                <w:rFonts w:cs="Arial"/>
                <w:szCs w:val="20"/>
              </w:rPr>
            </w:pPr>
            <w:r>
              <w:t>Are you aware of any wider industry developments that may impact upon or be impacted by this CP?</w:t>
            </w:r>
          </w:p>
        </w:tc>
      </w:tr>
      <w:tr w:rsidR="00723457" w:rsidRPr="00AD59E1" w14:paraId="2D9ABD4C" w14:textId="77777777" w:rsidTr="00086384">
        <w:tc>
          <w:tcPr>
            <w:tcW w:w="0" w:type="auto"/>
            <w:shd w:val="clear" w:color="auto" w:fill="auto"/>
          </w:tcPr>
          <w:p w14:paraId="5D577D08" w14:textId="7547D661" w:rsidR="00723457" w:rsidRPr="00AD59E1" w:rsidRDefault="00723457" w:rsidP="006C57B2">
            <w:pPr>
              <w:numPr>
                <w:ilvl w:val="0"/>
                <w:numId w:val="15"/>
              </w:numPr>
              <w:rPr>
                <w:rFonts w:cs="Arial"/>
                <w:szCs w:val="20"/>
              </w:rPr>
            </w:pPr>
          </w:p>
        </w:tc>
        <w:tc>
          <w:tcPr>
            <w:tcW w:w="8232" w:type="dxa"/>
            <w:shd w:val="clear" w:color="auto" w:fill="auto"/>
          </w:tcPr>
          <w:p w14:paraId="00649452" w14:textId="5C6523D6" w:rsidR="00723457" w:rsidRPr="00475648" w:rsidRDefault="008F7F65" w:rsidP="005C03FB">
            <w:pPr>
              <w:spacing w:line="360" w:lineRule="auto"/>
              <w:jc w:val="both"/>
              <w:rPr>
                <w:szCs w:val="20"/>
              </w:rPr>
            </w:pPr>
            <w:r>
              <w:t>The proposed implementation date for DCP 3</w:t>
            </w:r>
            <w:r w:rsidR="00693616">
              <w:t>48</w:t>
            </w:r>
            <w:r>
              <w:t xml:space="preserve"> is the first DCUSA Release following </w:t>
            </w:r>
            <w:r w:rsidR="00693616">
              <w:t>Authority</w:t>
            </w:r>
            <w:r>
              <w:t xml:space="preserve"> approval. Do you agree with the proposed implementation date? Please provide your rationale</w:t>
            </w:r>
          </w:p>
        </w:tc>
      </w:tr>
    </w:tbl>
    <w:p w14:paraId="14D4E1B6" w14:textId="77777777" w:rsidR="00C976B9" w:rsidRDefault="00C976B9" w:rsidP="00610F10"/>
    <w:p w14:paraId="0D0B85E3" w14:textId="50CDE224" w:rsidR="00CC0C7A" w:rsidRPr="00610F10" w:rsidRDefault="00CC0C7A" w:rsidP="00610F10">
      <w:pPr>
        <w:pStyle w:val="Heading2"/>
      </w:pPr>
      <w:r w:rsidRPr="00610F10">
        <w:t xml:space="preserve">Responses should </w:t>
      </w:r>
      <w:r w:rsidR="00F11F92" w:rsidRPr="00610F10">
        <w:t>be submitted using Attachment 1</w:t>
      </w:r>
      <w:r w:rsidRPr="00610F10">
        <w:t xml:space="preserve"> to dcusa@electralink.co.uk no later than, </w:t>
      </w:r>
      <w:commentRangeStart w:id="27"/>
      <w:r w:rsidR="00693616">
        <w:rPr>
          <w:b/>
        </w:rPr>
        <w:t>XX XXX XX</w:t>
      </w:r>
      <w:r w:rsidR="006C57B2">
        <w:rPr>
          <w:b/>
        </w:rPr>
        <w:t>.</w:t>
      </w:r>
      <w:commentRangeEnd w:id="27"/>
      <w:r w:rsidR="00813655">
        <w:rPr>
          <w:rStyle w:val="CommentReference"/>
          <w:rFonts w:cs="Times New Roman"/>
          <w:bCs w:val="0"/>
          <w:iCs w:val="0"/>
        </w:rPr>
        <w:commentReference w:id="27"/>
      </w:r>
    </w:p>
    <w:p w14:paraId="0E1C1CCD" w14:textId="77777777" w:rsidR="00CC0C7A" w:rsidRPr="00610F10" w:rsidRDefault="00CC0C7A" w:rsidP="00610F10">
      <w:pPr>
        <w:pStyle w:val="Heading2"/>
      </w:pPr>
      <w:r w:rsidRPr="00610F10">
        <w:t>Responses, or any part thereof, can be provided in confidence. Parties are asked to clearly indicate any parts of a response that are to be treated confidentially.</w:t>
      </w:r>
    </w:p>
    <w:p w14:paraId="678994F3" w14:textId="77777777" w:rsidR="002733C1" w:rsidRPr="00D1342E" w:rsidRDefault="002733C1" w:rsidP="00610F10">
      <w:pPr>
        <w:pStyle w:val="Heading4"/>
        <w:rPr>
          <w:i/>
          <w:iCs/>
        </w:rPr>
      </w:pPr>
      <w:r w:rsidRPr="00D1342E">
        <w:t xml:space="preserve">Attachments </w:t>
      </w:r>
    </w:p>
    <w:p w14:paraId="24241C20" w14:textId="40895B87" w:rsidR="002733C1" w:rsidRDefault="00335479" w:rsidP="00327CE7">
      <w:pPr>
        <w:pStyle w:val="ListBullet2"/>
      </w:pPr>
      <w:r>
        <w:t xml:space="preserve">Attachment 1 – DCP </w:t>
      </w:r>
      <w:r w:rsidR="00E96D40">
        <w:t>3</w:t>
      </w:r>
      <w:r w:rsidR="00693616">
        <w:t>48</w:t>
      </w:r>
      <w:r w:rsidR="00D1342E">
        <w:t xml:space="preserve"> </w:t>
      </w:r>
      <w:r w:rsidR="002129EC">
        <w:t xml:space="preserve">Consultation </w:t>
      </w:r>
      <w:r w:rsidR="002E224D">
        <w:t xml:space="preserve">Response </w:t>
      </w:r>
      <w:r w:rsidR="00AD59E1">
        <w:t>Form</w:t>
      </w:r>
    </w:p>
    <w:p w14:paraId="37BAC5FA" w14:textId="281F5453" w:rsidR="008F7F65" w:rsidRDefault="008F7F65" w:rsidP="00327CE7">
      <w:pPr>
        <w:pStyle w:val="ListBullet2"/>
      </w:pPr>
      <w:r>
        <w:t>Attachment 2 – DCP 3</w:t>
      </w:r>
      <w:r w:rsidR="00693616">
        <w:t>48</w:t>
      </w:r>
      <w:r>
        <w:t xml:space="preserve"> Proposed Legal Text</w:t>
      </w:r>
    </w:p>
    <w:p w14:paraId="15343842" w14:textId="69A3A2FF" w:rsidR="008F7F65" w:rsidRDefault="008F7F65" w:rsidP="00327CE7">
      <w:pPr>
        <w:pStyle w:val="ListBullet2"/>
      </w:pPr>
      <w:r>
        <w:t>Attachment 3 – DCP 3</w:t>
      </w:r>
      <w:r w:rsidR="00693616">
        <w:t>48</w:t>
      </w:r>
      <w:r>
        <w:t xml:space="preserve"> Change Proposal Form</w:t>
      </w:r>
    </w:p>
    <w:p w14:paraId="1857B60B" w14:textId="77777777" w:rsidR="00C80BD9" w:rsidRPr="00DF3AFE" w:rsidRDefault="00C80BD9" w:rsidP="00DD1E87">
      <w:pPr>
        <w:pStyle w:val="ListBullet2"/>
        <w:numPr>
          <w:ilvl w:val="0"/>
          <w:numId w:val="0"/>
        </w:numPr>
      </w:pPr>
    </w:p>
    <w:sectPr w:rsidR="00C80BD9" w:rsidRPr="00DF3AFE" w:rsidSect="006F19E3">
      <w:headerReference w:type="default" r:id="rId20"/>
      <w:footerReference w:type="default" r:id="rId21"/>
      <w:type w:val="continuous"/>
      <w:pgSz w:w="11906" w:h="16838"/>
      <w:pgMar w:top="1113" w:right="1416" w:bottom="567" w:left="1134" w:header="142" w:footer="701"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0" w:author="John Lawton" w:date="2019-09-20T10:05:00Z" w:initials="JL">
    <w:p w14:paraId="36329AAE" w14:textId="41EF511F" w:rsidR="00F6599A" w:rsidRDefault="00F6599A">
      <w:pPr>
        <w:pStyle w:val="CommentText"/>
      </w:pPr>
      <w:r>
        <w:rPr>
          <w:rStyle w:val="CommentReference"/>
        </w:rPr>
        <w:annotationRef/>
      </w:r>
      <w:r>
        <w:t>The definition may need to be amended if suggested changes are agreed – see legal text.</w:t>
      </w:r>
    </w:p>
  </w:comment>
  <w:comment w:id="1" w:author="John Lawton" w:date="2019-08-14T08:41:00Z" w:initials="JL">
    <w:p w14:paraId="1623F29B" w14:textId="62884A59" w:rsidR="00F6599A" w:rsidRDefault="00F6599A">
      <w:pPr>
        <w:pStyle w:val="CommentText"/>
      </w:pPr>
      <w:r>
        <w:rPr>
          <w:rStyle w:val="CommentReference"/>
        </w:rPr>
        <w:annotationRef/>
      </w:r>
      <w:r>
        <w:t>Date to be added once known</w:t>
      </w:r>
    </w:p>
  </w:comment>
  <w:comment w:id="2" w:author="John Lawton" w:date="2019-08-14T08:41:00Z" w:initials="JL">
    <w:p w14:paraId="21992E7F" w14:textId="26EB1C1C" w:rsidR="00F6599A" w:rsidRDefault="00F6599A">
      <w:pPr>
        <w:pStyle w:val="CommentText"/>
      </w:pPr>
      <w:r>
        <w:rPr>
          <w:rStyle w:val="CommentReference"/>
        </w:rPr>
        <w:annotationRef/>
      </w:r>
      <w:r>
        <w:t>To be added once known</w:t>
      </w:r>
    </w:p>
  </w:comment>
  <w:comment w:id="16" w:author="John Lawton" w:date="2019-09-20T10:32:00Z" w:initials="JL">
    <w:p w14:paraId="57321E45" w14:textId="61683133" w:rsidR="00F6599A" w:rsidRDefault="00F6599A">
      <w:pPr>
        <w:pStyle w:val="CommentText"/>
      </w:pPr>
      <w:r>
        <w:rPr>
          <w:rStyle w:val="CommentReference"/>
        </w:rPr>
        <w:annotationRef/>
      </w:r>
      <w:r>
        <w:t>What does this mean then? If we are basing the second option on capacity how is this achieved in practice. An example would be helpful e.g. two connectees one requiring a capacity of 10 MVA the other 15MVA the proportion would be 10/25 for one (40%) and 15/25 for the other (60%) of the costs of the elements associated with sharing.</w:t>
      </w:r>
    </w:p>
  </w:comment>
  <w:comment w:id="27" w:author="Hollie Nicholls" w:date="2019-09-18T13:32:00Z" w:initials="HN">
    <w:p w14:paraId="29F218A3" w14:textId="70BEA992" w:rsidR="00F6599A" w:rsidRDefault="00F6599A">
      <w:pPr>
        <w:pStyle w:val="CommentText"/>
      </w:pPr>
      <w:r>
        <w:rPr>
          <w:rStyle w:val="CommentReference"/>
        </w:rPr>
        <w:annotationRef/>
      </w:r>
      <w:r>
        <w:t>Date will be added once known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6329AAE" w15:done="0"/>
  <w15:commentEx w15:paraId="1623F29B" w15:done="0"/>
  <w15:commentEx w15:paraId="21992E7F" w15:done="0"/>
  <w15:commentEx w15:paraId="57321E45" w15:done="0"/>
  <w15:commentEx w15:paraId="29F218A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6329AAE" w16cid:durableId="212F2307"/>
  <w16cid:commentId w16cid:paraId="1623F29B" w16cid:durableId="20FE47AE"/>
  <w16cid:commentId w16cid:paraId="21992E7F" w16cid:durableId="20FE47D6"/>
  <w16cid:commentId w16cid:paraId="57321E45" w16cid:durableId="212F2948"/>
  <w16cid:commentId w16cid:paraId="29F218A3" w16cid:durableId="212CB06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DDEC29" w14:textId="77777777" w:rsidR="009E3F3C" w:rsidRDefault="009E3F3C">
      <w:pPr>
        <w:spacing w:line="240" w:lineRule="auto"/>
      </w:pPr>
      <w:r>
        <w:separator/>
      </w:r>
    </w:p>
    <w:p w14:paraId="43B998A4" w14:textId="77777777" w:rsidR="009E3F3C" w:rsidRDefault="009E3F3C"/>
  </w:endnote>
  <w:endnote w:type="continuationSeparator" w:id="0">
    <w:p w14:paraId="20A2C23C" w14:textId="77777777" w:rsidR="009E3F3C" w:rsidRDefault="009E3F3C">
      <w:pPr>
        <w:spacing w:line="240" w:lineRule="auto"/>
      </w:pPr>
      <w:r>
        <w:continuationSeparator/>
      </w:r>
    </w:p>
    <w:p w14:paraId="1F023504" w14:textId="77777777" w:rsidR="009E3F3C" w:rsidRDefault="009E3F3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204467" w14:textId="1F663AFB" w:rsidR="00F6599A" w:rsidRDefault="00F6599A" w:rsidP="00EA3F0B">
    <w:pPr>
      <w:pStyle w:val="Footer"/>
      <w:pBdr>
        <w:top w:val="single" w:sz="4" w:space="1" w:color="auto"/>
      </w:pBdr>
      <w:tabs>
        <w:tab w:val="clear" w:pos="4320"/>
        <w:tab w:val="clear" w:pos="8640"/>
        <w:tab w:val="left" w:pos="2532"/>
        <w:tab w:val="center" w:pos="4962"/>
        <w:tab w:val="right" w:pos="9356"/>
      </w:tabs>
      <w:spacing w:before="0" w:after="0" w:line="240" w:lineRule="auto"/>
      <w:rPr>
        <w:rFonts w:cs="Arial"/>
        <w:sz w:val="16"/>
        <w:szCs w:val="16"/>
        <w:lang w:val="en-US"/>
      </w:rPr>
    </w:pPr>
    <w:r>
      <w:rPr>
        <w:rFonts w:cs="Arial"/>
        <w:sz w:val="16"/>
        <w:szCs w:val="16"/>
      </w:rPr>
      <w:t>DCP 348</w:t>
    </w:r>
    <w:r>
      <w:rPr>
        <w:rFonts w:cs="Arial"/>
        <w:sz w:val="16"/>
        <w:szCs w:val="16"/>
      </w:rPr>
      <w:tab/>
    </w:r>
    <w:r>
      <w:rPr>
        <w:rFonts w:cs="Arial"/>
        <w:sz w:val="16"/>
        <w:szCs w:val="16"/>
      </w:rPr>
      <w:tab/>
    </w:r>
    <w:r w:rsidRPr="000660DF">
      <w:rPr>
        <w:rFonts w:cs="Arial"/>
        <w:sz w:val="16"/>
        <w:szCs w:val="16"/>
        <w:lang w:val="en-US"/>
      </w:rPr>
      <w:t xml:space="preserve">Page </w:t>
    </w:r>
    <w:r w:rsidRPr="000660DF">
      <w:rPr>
        <w:rFonts w:cs="Arial"/>
        <w:sz w:val="16"/>
        <w:szCs w:val="16"/>
        <w:lang w:val="en-US"/>
      </w:rPr>
      <w:fldChar w:fldCharType="begin"/>
    </w:r>
    <w:r w:rsidRPr="000660DF">
      <w:rPr>
        <w:rFonts w:cs="Arial"/>
        <w:sz w:val="16"/>
        <w:szCs w:val="16"/>
        <w:lang w:val="en-US"/>
      </w:rPr>
      <w:instrText xml:space="preserve"> PAGE </w:instrText>
    </w:r>
    <w:r w:rsidRPr="000660DF">
      <w:rPr>
        <w:rFonts w:cs="Arial"/>
        <w:sz w:val="16"/>
        <w:szCs w:val="16"/>
        <w:lang w:val="en-US"/>
      </w:rPr>
      <w:fldChar w:fldCharType="separate"/>
    </w:r>
    <w:r>
      <w:rPr>
        <w:rFonts w:cs="Arial"/>
        <w:noProof/>
        <w:sz w:val="16"/>
        <w:szCs w:val="16"/>
        <w:lang w:val="en-US"/>
      </w:rPr>
      <w:t>1</w:t>
    </w:r>
    <w:r w:rsidRPr="000660DF">
      <w:rPr>
        <w:rFonts w:cs="Arial"/>
        <w:sz w:val="16"/>
        <w:szCs w:val="16"/>
        <w:lang w:val="en-US"/>
      </w:rPr>
      <w:fldChar w:fldCharType="end"/>
    </w:r>
    <w:r w:rsidRPr="000660DF">
      <w:rPr>
        <w:rFonts w:cs="Arial"/>
        <w:sz w:val="16"/>
        <w:szCs w:val="16"/>
        <w:lang w:val="en-US"/>
      </w:rPr>
      <w:t xml:space="preserve"> of </w:t>
    </w:r>
    <w:r w:rsidRPr="000660DF">
      <w:rPr>
        <w:rFonts w:cs="Arial"/>
        <w:sz w:val="16"/>
        <w:szCs w:val="16"/>
        <w:lang w:val="en-US"/>
      </w:rPr>
      <w:fldChar w:fldCharType="begin"/>
    </w:r>
    <w:r w:rsidRPr="000660DF">
      <w:rPr>
        <w:rFonts w:cs="Arial"/>
        <w:sz w:val="16"/>
        <w:szCs w:val="16"/>
        <w:lang w:val="en-US"/>
      </w:rPr>
      <w:instrText xml:space="preserve"> NUMPAGES </w:instrText>
    </w:r>
    <w:r w:rsidRPr="000660DF">
      <w:rPr>
        <w:rFonts w:cs="Arial"/>
        <w:sz w:val="16"/>
        <w:szCs w:val="16"/>
        <w:lang w:val="en-US"/>
      </w:rPr>
      <w:fldChar w:fldCharType="separate"/>
    </w:r>
    <w:r>
      <w:rPr>
        <w:rFonts w:cs="Arial"/>
        <w:noProof/>
        <w:sz w:val="16"/>
        <w:szCs w:val="16"/>
        <w:lang w:val="en-US"/>
      </w:rPr>
      <w:t>15</w:t>
    </w:r>
    <w:r w:rsidRPr="000660DF">
      <w:rPr>
        <w:rFonts w:cs="Arial"/>
        <w:sz w:val="16"/>
        <w:szCs w:val="16"/>
        <w:lang w:val="en-US"/>
      </w:rPr>
      <w:fldChar w:fldCharType="end"/>
    </w:r>
    <w:r>
      <w:rPr>
        <w:rFonts w:cs="Arial"/>
        <w:sz w:val="16"/>
        <w:szCs w:val="16"/>
        <w:lang w:val="en-US"/>
      </w:rPr>
      <w:tab/>
      <w:t>Version 1.0</w:t>
    </w:r>
  </w:p>
  <w:p w14:paraId="04ECF23F" w14:textId="422BA679" w:rsidR="00F6599A" w:rsidRDefault="00F6599A" w:rsidP="00F0352A">
    <w:pPr>
      <w:pStyle w:val="Footer"/>
      <w:pBdr>
        <w:top w:val="single" w:sz="4" w:space="1" w:color="auto"/>
      </w:pBdr>
      <w:tabs>
        <w:tab w:val="clear" w:pos="4320"/>
        <w:tab w:val="clear" w:pos="8640"/>
        <w:tab w:val="center" w:pos="4962"/>
        <w:tab w:val="right" w:pos="9356"/>
      </w:tabs>
      <w:spacing w:before="0" w:after="0" w:line="240" w:lineRule="auto"/>
      <w:jc w:val="center"/>
      <w:rPr>
        <w:rFonts w:cs="Arial"/>
        <w:sz w:val="16"/>
        <w:szCs w:val="16"/>
      </w:rPr>
    </w:pPr>
    <w:r>
      <w:rPr>
        <w:rFonts w:cs="Arial"/>
        <w:sz w:val="16"/>
        <w:szCs w:val="16"/>
        <w:lang w:val="en-US"/>
      </w:rPr>
      <w:t>DCUSA Consultation</w:t>
    </w:r>
    <w:r>
      <w:rPr>
        <w:rFonts w:cs="Arial"/>
        <w:sz w:val="16"/>
        <w:szCs w:val="16"/>
        <w:lang w:val="en-US"/>
      </w:rPr>
      <w:tab/>
    </w:r>
    <w:r w:rsidRPr="000660DF">
      <w:rPr>
        <w:rFonts w:cs="Arial"/>
        <w:sz w:val="16"/>
        <w:szCs w:val="16"/>
      </w:rPr>
      <w:t xml:space="preserve">© </w:t>
    </w:r>
    <w:r>
      <w:rPr>
        <w:rFonts w:cs="Arial"/>
        <w:sz w:val="16"/>
        <w:szCs w:val="16"/>
      </w:rPr>
      <w:t xml:space="preserve">2016 </w:t>
    </w:r>
    <w:r w:rsidRPr="000660DF">
      <w:rPr>
        <w:rFonts w:cs="Arial"/>
        <w:sz w:val="16"/>
        <w:szCs w:val="16"/>
      </w:rPr>
      <w:t>all rights reserved</w:t>
    </w:r>
    <w:r>
      <w:rPr>
        <w:rFonts w:cs="Arial"/>
        <w:sz w:val="16"/>
        <w:szCs w:val="16"/>
      </w:rPr>
      <w:tab/>
      <w:t>XX XXX XX</w:t>
    </w:r>
  </w:p>
  <w:p w14:paraId="64F1C94E" w14:textId="2A3E836F" w:rsidR="00F6599A" w:rsidRDefault="00F6599A" w:rsidP="00F0352A">
    <w:pPr>
      <w:pStyle w:val="Footer"/>
      <w:pBdr>
        <w:top w:val="single" w:sz="4" w:space="1" w:color="auto"/>
      </w:pBdr>
      <w:tabs>
        <w:tab w:val="clear" w:pos="4320"/>
        <w:tab w:val="clear" w:pos="8640"/>
        <w:tab w:val="center" w:pos="4962"/>
        <w:tab w:val="right" w:pos="9356"/>
      </w:tabs>
      <w:spacing w:before="0" w:after="0" w:line="240" w:lineRule="auto"/>
      <w:rPr>
        <w:rFonts w:cs="Arial"/>
        <w:sz w:val="16"/>
        <w:szCs w:val="16"/>
      </w:rPr>
    </w:pPr>
  </w:p>
  <w:p w14:paraId="3B451424" w14:textId="05DD3421" w:rsidR="00F6599A" w:rsidRDefault="00F6599A" w:rsidP="00F0352A">
    <w:pPr>
      <w:pStyle w:val="Footer"/>
      <w:pBdr>
        <w:top w:val="single" w:sz="4" w:space="1" w:color="auto"/>
      </w:pBdr>
      <w:tabs>
        <w:tab w:val="clear" w:pos="4320"/>
        <w:tab w:val="clear" w:pos="8640"/>
        <w:tab w:val="center" w:pos="4962"/>
        <w:tab w:val="right" w:pos="9356"/>
      </w:tabs>
      <w:spacing w:before="0" w:after="0" w:line="240" w:lineRule="auto"/>
      <w:rPr>
        <w:rFonts w:cs="Arial"/>
        <w:sz w:val="16"/>
        <w:szCs w:val="16"/>
        <w:vertAlign w:val="superscrip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3F0F5C" w14:textId="77777777" w:rsidR="009E3F3C" w:rsidRDefault="009E3F3C">
      <w:pPr>
        <w:spacing w:line="240" w:lineRule="auto"/>
      </w:pPr>
      <w:r>
        <w:separator/>
      </w:r>
    </w:p>
    <w:p w14:paraId="523CF152" w14:textId="77777777" w:rsidR="009E3F3C" w:rsidRDefault="009E3F3C"/>
  </w:footnote>
  <w:footnote w:type="continuationSeparator" w:id="0">
    <w:p w14:paraId="0E9D9263" w14:textId="77777777" w:rsidR="009E3F3C" w:rsidRDefault="009E3F3C">
      <w:pPr>
        <w:spacing w:line="240" w:lineRule="auto"/>
      </w:pPr>
      <w:r>
        <w:continuationSeparator/>
      </w:r>
    </w:p>
    <w:p w14:paraId="4E058EF2" w14:textId="77777777" w:rsidR="009E3F3C" w:rsidRDefault="009E3F3C"/>
  </w:footnote>
  <w:footnote w:id="1">
    <w:p w14:paraId="0E93D27E" w14:textId="7A7B8458" w:rsidR="00F6599A" w:rsidRDefault="00F6599A">
      <w:pPr>
        <w:pStyle w:val="FootnoteText"/>
      </w:pPr>
      <w:r>
        <w:rPr>
          <w:rStyle w:val="FootnoteReference"/>
        </w:rPr>
        <w:footnoteRef/>
      </w:r>
      <w:r>
        <w:t xml:space="preserve"> Flexible Connections are connection arrangements whereby a customer’s export or import is managed (often through real-time control) based upon contracted and agreed principles of availability of capacity. Occasionally, Flexible Connections are also referred to as Managed Connections. </w:t>
      </w:r>
    </w:p>
  </w:footnote>
  <w:footnote w:id="2">
    <w:p w14:paraId="03338A36" w14:textId="1159C41D" w:rsidR="00F6599A" w:rsidRDefault="00F6599A">
      <w:pPr>
        <w:pStyle w:val="FootnoteText"/>
      </w:pPr>
      <w:r>
        <w:rPr>
          <w:rStyle w:val="FootnoteReference"/>
        </w:rPr>
        <w:footnoteRef/>
      </w:r>
      <w:r>
        <w:t xml:space="preserve"> </w:t>
      </w:r>
      <w:hyperlink r:id="rId1" w:history="1">
        <w:r>
          <w:rPr>
            <w:rStyle w:val="Hyperlink"/>
          </w:rPr>
          <w:t>http://www.chargingfutures.com/media/1327/non-scr-industry-led-access-pid-v11-final.pdf</w:t>
        </w:r>
      </w:hyperlink>
    </w:p>
  </w:footnote>
  <w:footnote w:id="3">
    <w:p w14:paraId="342F0A59" w14:textId="3108B187" w:rsidR="00F6599A" w:rsidRDefault="00F6599A">
      <w:pPr>
        <w:pStyle w:val="FootnoteText"/>
      </w:pPr>
      <w:r>
        <w:rPr>
          <w:rStyle w:val="FootnoteReference"/>
        </w:rPr>
        <w:footnoteRef/>
      </w:r>
      <w:r>
        <w:t xml:space="preserve"> </w:t>
      </w:r>
      <w:hyperlink r:id="rId2" w:history="1">
        <w:r w:rsidRPr="003326AB">
          <w:rPr>
            <w:rStyle w:val="Hyperlink"/>
          </w:rPr>
          <w:t>http://www.energynetworks.org/assets/files/180723%20ON-PRJ-WS2%20-%20P3%20Terms%20and%20Definitions%20V1.1%20(published).pdf</w:t>
        </w:r>
      </w:hyperlink>
    </w:p>
  </w:footnote>
  <w:footnote w:id="4">
    <w:p w14:paraId="0EA6150B" w14:textId="5DC8ECAE" w:rsidR="00F6599A" w:rsidRDefault="00F6599A">
      <w:pPr>
        <w:pStyle w:val="FootnoteText"/>
      </w:pPr>
      <w:r>
        <w:rPr>
          <w:rStyle w:val="FootnoteReference"/>
        </w:rPr>
        <w:footnoteRef/>
      </w:r>
      <w:r>
        <w:t xml:space="preserve"> </w:t>
      </w:r>
      <w:hyperlink r:id="rId3" w:history="1">
        <w:r>
          <w:rPr>
            <w:rStyle w:val="Hyperlink"/>
          </w:rPr>
          <w:t>https://www.ofgem.gov.uk/system/files/docs/2018/01/annex_a_-_ssen_modification_report_0.pdf</w:t>
        </w:r>
      </w:hyperlink>
    </w:p>
  </w:footnote>
  <w:footnote w:id="5">
    <w:p w14:paraId="20C2C998" w14:textId="2C725492" w:rsidR="00F6599A" w:rsidRDefault="00F6599A">
      <w:pPr>
        <w:pStyle w:val="FootnoteText"/>
      </w:pPr>
      <w:r>
        <w:rPr>
          <w:rStyle w:val="FootnoteReference"/>
        </w:rPr>
        <w:footnoteRef/>
      </w:r>
      <w:r>
        <w:t xml:space="preserve"> </w:t>
      </w:r>
      <w:hyperlink r:id="rId4" w:history="1">
        <w:r>
          <w:rPr>
            <w:rStyle w:val="Hyperlink"/>
          </w:rPr>
          <w:t>https://www.ofgem.gov.uk/system/files/docs/2018/04/decision_to_direct_ssen_not_to_make_a_modification.pdf</w:t>
        </w:r>
      </w:hyperlink>
    </w:p>
  </w:footnote>
  <w:footnote w:id="6">
    <w:p w14:paraId="662EF1BE" w14:textId="37AB3275" w:rsidR="00F6599A" w:rsidRDefault="00F6599A">
      <w:pPr>
        <w:pStyle w:val="FootnoteText"/>
      </w:pPr>
      <w:r>
        <w:rPr>
          <w:rStyle w:val="FootnoteReference"/>
        </w:rPr>
        <w:footnoteRef/>
      </w:r>
      <w:r>
        <w:t xml:space="preserve"> Required Capacity is the Maximum Capacity agreed with the Customer. In the case of multiple connections, it may be adjusted after consideration of the effects of diversity. Where an existing Customer requests an increase in capacity then it is the increase above their Existing Capacity. </w:t>
      </w:r>
    </w:p>
  </w:footnote>
  <w:footnote w:id="7">
    <w:p w14:paraId="740C770A" w14:textId="0D135089" w:rsidR="00F6599A" w:rsidRDefault="00F6599A">
      <w:pPr>
        <w:pStyle w:val="FootnoteText"/>
      </w:pPr>
      <w:r>
        <w:rPr>
          <w:rStyle w:val="FootnoteReference"/>
        </w:rPr>
        <w:footnoteRef/>
      </w:r>
      <w:r>
        <w:t xml:space="preserve"> New Network Capacity is either the secure or non-secure capacity of the Relevant Section of Network (RSN) following Reinforcement. Whether secure or non-secure capacity is applicable depends upon the type of capacity that can be provided from the RSN.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CC9E81" w14:textId="77777777" w:rsidR="00F6599A" w:rsidRDefault="00F6599A">
    <w:pPr>
      <w:pStyle w:val="Header"/>
    </w:pPr>
    <w:r>
      <w:rPr>
        <w:noProof/>
      </w:rPr>
      <w:drawing>
        <wp:anchor distT="0" distB="0" distL="114300" distR="114300" simplePos="0" relativeHeight="251657728" behindDoc="0" locked="0" layoutInCell="1" allowOverlap="1" wp14:anchorId="053DB016" wp14:editId="2A98F457">
          <wp:simplePos x="0" y="0"/>
          <wp:positionH relativeFrom="column">
            <wp:posOffset>4198620</wp:posOffset>
          </wp:positionH>
          <wp:positionV relativeFrom="paragraph">
            <wp:posOffset>-93980</wp:posOffset>
          </wp:positionV>
          <wp:extent cx="2015490" cy="682625"/>
          <wp:effectExtent l="0" t="0" r="3810" b="3175"/>
          <wp:wrapNone/>
          <wp:docPr id="2"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15490" cy="682625"/>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B75807"/>
    <w:multiLevelType w:val="hybridMultilevel"/>
    <w:tmpl w:val="88D84EF4"/>
    <w:lvl w:ilvl="0" w:tplc="08090001">
      <w:start w:val="1"/>
      <w:numFmt w:val="bullet"/>
      <w:lvlText w:val=""/>
      <w:lvlJc w:val="left"/>
      <w:pPr>
        <w:ind w:left="936" w:hanging="360"/>
      </w:pPr>
      <w:rPr>
        <w:rFonts w:ascii="Symbol" w:hAnsi="Symbol" w:hint="default"/>
      </w:rPr>
    </w:lvl>
    <w:lvl w:ilvl="1" w:tplc="08090003" w:tentative="1">
      <w:start w:val="1"/>
      <w:numFmt w:val="bullet"/>
      <w:lvlText w:val="o"/>
      <w:lvlJc w:val="left"/>
      <w:pPr>
        <w:ind w:left="1656" w:hanging="360"/>
      </w:pPr>
      <w:rPr>
        <w:rFonts w:ascii="Courier New" w:hAnsi="Courier New" w:cs="Courier New" w:hint="default"/>
      </w:rPr>
    </w:lvl>
    <w:lvl w:ilvl="2" w:tplc="08090005" w:tentative="1">
      <w:start w:val="1"/>
      <w:numFmt w:val="bullet"/>
      <w:lvlText w:val=""/>
      <w:lvlJc w:val="left"/>
      <w:pPr>
        <w:ind w:left="2376" w:hanging="360"/>
      </w:pPr>
      <w:rPr>
        <w:rFonts w:ascii="Wingdings" w:hAnsi="Wingdings" w:hint="default"/>
      </w:rPr>
    </w:lvl>
    <w:lvl w:ilvl="3" w:tplc="08090001" w:tentative="1">
      <w:start w:val="1"/>
      <w:numFmt w:val="bullet"/>
      <w:lvlText w:val=""/>
      <w:lvlJc w:val="left"/>
      <w:pPr>
        <w:ind w:left="3096" w:hanging="360"/>
      </w:pPr>
      <w:rPr>
        <w:rFonts w:ascii="Symbol" w:hAnsi="Symbol" w:hint="default"/>
      </w:rPr>
    </w:lvl>
    <w:lvl w:ilvl="4" w:tplc="08090003" w:tentative="1">
      <w:start w:val="1"/>
      <w:numFmt w:val="bullet"/>
      <w:lvlText w:val="o"/>
      <w:lvlJc w:val="left"/>
      <w:pPr>
        <w:ind w:left="3816" w:hanging="360"/>
      </w:pPr>
      <w:rPr>
        <w:rFonts w:ascii="Courier New" w:hAnsi="Courier New" w:cs="Courier New" w:hint="default"/>
      </w:rPr>
    </w:lvl>
    <w:lvl w:ilvl="5" w:tplc="08090005" w:tentative="1">
      <w:start w:val="1"/>
      <w:numFmt w:val="bullet"/>
      <w:lvlText w:val=""/>
      <w:lvlJc w:val="left"/>
      <w:pPr>
        <w:ind w:left="4536" w:hanging="360"/>
      </w:pPr>
      <w:rPr>
        <w:rFonts w:ascii="Wingdings" w:hAnsi="Wingdings" w:hint="default"/>
      </w:rPr>
    </w:lvl>
    <w:lvl w:ilvl="6" w:tplc="08090001" w:tentative="1">
      <w:start w:val="1"/>
      <w:numFmt w:val="bullet"/>
      <w:lvlText w:val=""/>
      <w:lvlJc w:val="left"/>
      <w:pPr>
        <w:ind w:left="5256" w:hanging="360"/>
      </w:pPr>
      <w:rPr>
        <w:rFonts w:ascii="Symbol" w:hAnsi="Symbol" w:hint="default"/>
      </w:rPr>
    </w:lvl>
    <w:lvl w:ilvl="7" w:tplc="08090003" w:tentative="1">
      <w:start w:val="1"/>
      <w:numFmt w:val="bullet"/>
      <w:lvlText w:val="o"/>
      <w:lvlJc w:val="left"/>
      <w:pPr>
        <w:ind w:left="5976" w:hanging="360"/>
      </w:pPr>
      <w:rPr>
        <w:rFonts w:ascii="Courier New" w:hAnsi="Courier New" w:cs="Courier New" w:hint="default"/>
      </w:rPr>
    </w:lvl>
    <w:lvl w:ilvl="8" w:tplc="08090005" w:tentative="1">
      <w:start w:val="1"/>
      <w:numFmt w:val="bullet"/>
      <w:lvlText w:val=""/>
      <w:lvlJc w:val="left"/>
      <w:pPr>
        <w:ind w:left="6696" w:hanging="360"/>
      </w:pPr>
      <w:rPr>
        <w:rFonts w:ascii="Wingdings" w:hAnsi="Wingdings" w:hint="default"/>
      </w:rPr>
    </w:lvl>
  </w:abstractNum>
  <w:abstractNum w:abstractNumId="1" w15:restartNumberingAfterBreak="0">
    <w:nsid w:val="06314909"/>
    <w:multiLevelType w:val="multilevel"/>
    <w:tmpl w:val="0ED8F910"/>
    <w:lvl w:ilvl="0">
      <w:start w:val="1"/>
      <w:numFmt w:val="decimal"/>
      <w:pStyle w:val="Heading02"/>
      <w:lvlText w:val="%1"/>
      <w:lvlJc w:val="left"/>
      <w:pPr>
        <w:ind w:left="432" w:hanging="432"/>
      </w:pPr>
      <w:rPr>
        <w:rFonts w:hint="default"/>
      </w:rPr>
    </w:lvl>
    <w:lvl w:ilvl="1">
      <w:start w:val="1"/>
      <w:numFmt w:val="decimal"/>
      <w:pStyle w:val="Heading2"/>
      <w:lvlText w:val="%1.%2"/>
      <w:lvlJc w:val="left"/>
      <w:pPr>
        <w:ind w:left="576" w:hanging="576"/>
      </w:pPr>
      <w:rPr>
        <w:rFonts w:ascii="Arial" w:hAnsi="Arial" w:cs="Arial" w:hint="default"/>
        <w:i w:val="0"/>
        <w:color w:val="00000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 w15:restartNumberingAfterBreak="0">
    <w:nsid w:val="0A0C3282"/>
    <w:multiLevelType w:val="hybridMultilevel"/>
    <w:tmpl w:val="343A0958"/>
    <w:lvl w:ilvl="0" w:tplc="9DF441A8">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23D04494" w:tentative="1">
      <w:start w:val="1"/>
      <w:numFmt w:val="bullet"/>
      <w:lvlText w:val="o"/>
      <w:lvlJc w:val="left"/>
      <w:pPr>
        <w:tabs>
          <w:tab w:val="num" w:pos="1440"/>
        </w:tabs>
        <w:ind w:left="1440" w:hanging="360"/>
      </w:pPr>
      <w:rPr>
        <w:rFonts w:ascii="Courier New" w:hAnsi="Courier New" w:cs="Wingdings" w:hint="default"/>
      </w:rPr>
    </w:lvl>
    <w:lvl w:ilvl="2" w:tplc="6E80AE8C" w:tentative="1">
      <w:start w:val="1"/>
      <w:numFmt w:val="bullet"/>
      <w:lvlText w:val=""/>
      <w:lvlJc w:val="left"/>
      <w:pPr>
        <w:tabs>
          <w:tab w:val="num" w:pos="2160"/>
        </w:tabs>
        <w:ind w:left="2160" w:hanging="360"/>
      </w:pPr>
      <w:rPr>
        <w:rFonts w:ascii="Wingdings" w:hAnsi="Wingdings" w:hint="default"/>
      </w:rPr>
    </w:lvl>
    <w:lvl w:ilvl="3" w:tplc="B68A4F2E" w:tentative="1">
      <w:start w:val="1"/>
      <w:numFmt w:val="bullet"/>
      <w:lvlText w:val=""/>
      <w:lvlJc w:val="left"/>
      <w:pPr>
        <w:tabs>
          <w:tab w:val="num" w:pos="2880"/>
        </w:tabs>
        <w:ind w:left="2880" w:hanging="360"/>
      </w:pPr>
      <w:rPr>
        <w:rFonts w:ascii="Symbol" w:hAnsi="Symbol" w:hint="default"/>
      </w:rPr>
    </w:lvl>
    <w:lvl w:ilvl="4" w:tplc="F59855C6" w:tentative="1">
      <w:start w:val="1"/>
      <w:numFmt w:val="bullet"/>
      <w:lvlText w:val="o"/>
      <w:lvlJc w:val="left"/>
      <w:pPr>
        <w:tabs>
          <w:tab w:val="num" w:pos="3600"/>
        </w:tabs>
        <w:ind w:left="3600" w:hanging="360"/>
      </w:pPr>
      <w:rPr>
        <w:rFonts w:ascii="Courier New" w:hAnsi="Courier New" w:cs="Wingdings" w:hint="default"/>
      </w:rPr>
    </w:lvl>
    <w:lvl w:ilvl="5" w:tplc="231C2B90" w:tentative="1">
      <w:start w:val="1"/>
      <w:numFmt w:val="bullet"/>
      <w:lvlText w:val=""/>
      <w:lvlJc w:val="left"/>
      <w:pPr>
        <w:tabs>
          <w:tab w:val="num" w:pos="4320"/>
        </w:tabs>
        <w:ind w:left="4320" w:hanging="360"/>
      </w:pPr>
      <w:rPr>
        <w:rFonts w:ascii="Wingdings" w:hAnsi="Wingdings" w:hint="default"/>
      </w:rPr>
    </w:lvl>
    <w:lvl w:ilvl="6" w:tplc="B9A6BA0C" w:tentative="1">
      <w:start w:val="1"/>
      <w:numFmt w:val="bullet"/>
      <w:lvlText w:val=""/>
      <w:lvlJc w:val="left"/>
      <w:pPr>
        <w:tabs>
          <w:tab w:val="num" w:pos="5040"/>
        </w:tabs>
        <w:ind w:left="5040" w:hanging="360"/>
      </w:pPr>
      <w:rPr>
        <w:rFonts w:ascii="Symbol" w:hAnsi="Symbol" w:hint="default"/>
      </w:rPr>
    </w:lvl>
    <w:lvl w:ilvl="7" w:tplc="D9A87C10" w:tentative="1">
      <w:start w:val="1"/>
      <w:numFmt w:val="bullet"/>
      <w:lvlText w:val="o"/>
      <w:lvlJc w:val="left"/>
      <w:pPr>
        <w:tabs>
          <w:tab w:val="num" w:pos="5760"/>
        </w:tabs>
        <w:ind w:left="5760" w:hanging="360"/>
      </w:pPr>
      <w:rPr>
        <w:rFonts w:ascii="Courier New" w:hAnsi="Courier New" w:cs="Wingdings" w:hint="default"/>
      </w:rPr>
    </w:lvl>
    <w:lvl w:ilvl="8" w:tplc="16B4647C"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3D1A4F"/>
    <w:multiLevelType w:val="hybridMultilevel"/>
    <w:tmpl w:val="8606184E"/>
    <w:lvl w:ilvl="0" w:tplc="35520E32">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E8D28288" w:tentative="1">
      <w:start w:val="1"/>
      <w:numFmt w:val="bullet"/>
      <w:lvlText w:val="o"/>
      <w:lvlJc w:val="left"/>
      <w:pPr>
        <w:tabs>
          <w:tab w:val="num" w:pos="2855"/>
        </w:tabs>
        <w:ind w:left="2855" w:hanging="360"/>
      </w:pPr>
      <w:rPr>
        <w:rFonts w:ascii="Courier New" w:hAnsi="Courier New" w:cs="Wingdings" w:hint="default"/>
      </w:rPr>
    </w:lvl>
    <w:lvl w:ilvl="2" w:tplc="1226A236" w:tentative="1">
      <w:start w:val="1"/>
      <w:numFmt w:val="bullet"/>
      <w:lvlText w:val=""/>
      <w:lvlJc w:val="left"/>
      <w:pPr>
        <w:tabs>
          <w:tab w:val="num" w:pos="3575"/>
        </w:tabs>
        <w:ind w:left="3575" w:hanging="360"/>
      </w:pPr>
      <w:rPr>
        <w:rFonts w:ascii="Wingdings" w:hAnsi="Wingdings" w:hint="default"/>
      </w:rPr>
    </w:lvl>
    <w:lvl w:ilvl="3" w:tplc="7F3EEBB8" w:tentative="1">
      <w:start w:val="1"/>
      <w:numFmt w:val="bullet"/>
      <w:lvlText w:val=""/>
      <w:lvlJc w:val="left"/>
      <w:pPr>
        <w:tabs>
          <w:tab w:val="num" w:pos="4295"/>
        </w:tabs>
        <w:ind w:left="4295" w:hanging="360"/>
      </w:pPr>
      <w:rPr>
        <w:rFonts w:ascii="Symbol" w:hAnsi="Symbol" w:hint="default"/>
      </w:rPr>
    </w:lvl>
    <w:lvl w:ilvl="4" w:tplc="BAE22870" w:tentative="1">
      <w:start w:val="1"/>
      <w:numFmt w:val="bullet"/>
      <w:lvlText w:val="o"/>
      <w:lvlJc w:val="left"/>
      <w:pPr>
        <w:tabs>
          <w:tab w:val="num" w:pos="5015"/>
        </w:tabs>
        <w:ind w:left="5015" w:hanging="360"/>
      </w:pPr>
      <w:rPr>
        <w:rFonts w:ascii="Courier New" w:hAnsi="Courier New" w:cs="Wingdings" w:hint="default"/>
      </w:rPr>
    </w:lvl>
    <w:lvl w:ilvl="5" w:tplc="9354A5D4" w:tentative="1">
      <w:start w:val="1"/>
      <w:numFmt w:val="bullet"/>
      <w:lvlText w:val=""/>
      <w:lvlJc w:val="left"/>
      <w:pPr>
        <w:tabs>
          <w:tab w:val="num" w:pos="5735"/>
        </w:tabs>
        <w:ind w:left="5735" w:hanging="360"/>
      </w:pPr>
      <w:rPr>
        <w:rFonts w:ascii="Wingdings" w:hAnsi="Wingdings" w:hint="default"/>
      </w:rPr>
    </w:lvl>
    <w:lvl w:ilvl="6" w:tplc="34B20C2A" w:tentative="1">
      <w:start w:val="1"/>
      <w:numFmt w:val="bullet"/>
      <w:lvlText w:val=""/>
      <w:lvlJc w:val="left"/>
      <w:pPr>
        <w:tabs>
          <w:tab w:val="num" w:pos="6455"/>
        </w:tabs>
        <w:ind w:left="6455" w:hanging="360"/>
      </w:pPr>
      <w:rPr>
        <w:rFonts w:ascii="Symbol" w:hAnsi="Symbol" w:hint="default"/>
      </w:rPr>
    </w:lvl>
    <w:lvl w:ilvl="7" w:tplc="FE5A870A" w:tentative="1">
      <w:start w:val="1"/>
      <w:numFmt w:val="bullet"/>
      <w:lvlText w:val="o"/>
      <w:lvlJc w:val="left"/>
      <w:pPr>
        <w:tabs>
          <w:tab w:val="num" w:pos="7175"/>
        </w:tabs>
        <w:ind w:left="7175" w:hanging="360"/>
      </w:pPr>
      <w:rPr>
        <w:rFonts w:ascii="Courier New" w:hAnsi="Courier New" w:cs="Wingdings" w:hint="default"/>
      </w:rPr>
    </w:lvl>
    <w:lvl w:ilvl="8" w:tplc="19B69DDC" w:tentative="1">
      <w:start w:val="1"/>
      <w:numFmt w:val="bullet"/>
      <w:lvlText w:val=""/>
      <w:lvlJc w:val="left"/>
      <w:pPr>
        <w:tabs>
          <w:tab w:val="num" w:pos="7895"/>
        </w:tabs>
        <w:ind w:left="7895" w:hanging="360"/>
      </w:pPr>
      <w:rPr>
        <w:rFonts w:ascii="Wingdings" w:hAnsi="Wingdings" w:hint="default"/>
      </w:rPr>
    </w:lvl>
  </w:abstractNum>
  <w:abstractNum w:abstractNumId="4"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1D656FF6"/>
    <w:multiLevelType w:val="hybridMultilevel"/>
    <w:tmpl w:val="1DD0374A"/>
    <w:lvl w:ilvl="0" w:tplc="C0586B34">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2BB2A476" w:tentative="1">
      <w:start w:val="1"/>
      <w:numFmt w:val="bullet"/>
      <w:lvlText w:val="o"/>
      <w:lvlJc w:val="left"/>
      <w:pPr>
        <w:tabs>
          <w:tab w:val="num" w:pos="1440"/>
        </w:tabs>
        <w:ind w:left="1440" w:hanging="360"/>
      </w:pPr>
      <w:rPr>
        <w:rFonts w:ascii="Courier New" w:hAnsi="Courier New" w:cs="Wingdings" w:hint="default"/>
      </w:rPr>
    </w:lvl>
    <w:lvl w:ilvl="2" w:tplc="C0E6DEC4" w:tentative="1">
      <w:start w:val="1"/>
      <w:numFmt w:val="bullet"/>
      <w:lvlText w:val=""/>
      <w:lvlJc w:val="left"/>
      <w:pPr>
        <w:tabs>
          <w:tab w:val="num" w:pos="2160"/>
        </w:tabs>
        <w:ind w:left="2160" w:hanging="360"/>
      </w:pPr>
      <w:rPr>
        <w:rFonts w:ascii="Wingdings" w:hAnsi="Wingdings" w:hint="default"/>
      </w:rPr>
    </w:lvl>
    <w:lvl w:ilvl="3" w:tplc="B478F992" w:tentative="1">
      <w:start w:val="1"/>
      <w:numFmt w:val="bullet"/>
      <w:lvlText w:val=""/>
      <w:lvlJc w:val="left"/>
      <w:pPr>
        <w:tabs>
          <w:tab w:val="num" w:pos="2880"/>
        </w:tabs>
        <w:ind w:left="2880" w:hanging="360"/>
      </w:pPr>
      <w:rPr>
        <w:rFonts w:ascii="Symbol" w:hAnsi="Symbol" w:hint="default"/>
      </w:rPr>
    </w:lvl>
    <w:lvl w:ilvl="4" w:tplc="F7ECA076" w:tentative="1">
      <w:start w:val="1"/>
      <w:numFmt w:val="bullet"/>
      <w:lvlText w:val="o"/>
      <w:lvlJc w:val="left"/>
      <w:pPr>
        <w:tabs>
          <w:tab w:val="num" w:pos="3600"/>
        </w:tabs>
        <w:ind w:left="3600" w:hanging="360"/>
      </w:pPr>
      <w:rPr>
        <w:rFonts w:ascii="Courier New" w:hAnsi="Courier New" w:cs="Wingdings" w:hint="default"/>
      </w:rPr>
    </w:lvl>
    <w:lvl w:ilvl="5" w:tplc="7D78F700" w:tentative="1">
      <w:start w:val="1"/>
      <w:numFmt w:val="bullet"/>
      <w:lvlText w:val=""/>
      <w:lvlJc w:val="left"/>
      <w:pPr>
        <w:tabs>
          <w:tab w:val="num" w:pos="4320"/>
        </w:tabs>
        <w:ind w:left="4320" w:hanging="360"/>
      </w:pPr>
      <w:rPr>
        <w:rFonts w:ascii="Wingdings" w:hAnsi="Wingdings" w:hint="default"/>
      </w:rPr>
    </w:lvl>
    <w:lvl w:ilvl="6" w:tplc="7A02FCFA" w:tentative="1">
      <w:start w:val="1"/>
      <w:numFmt w:val="bullet"/>
      <w:lvlText w:val=""/>
      <w:lvlJc w:val="left"/>
      <w:pPr>
        <w:tabs>
          <w:tab w:val="num" w:pos="5040"/>
        </w:tabs>
        <w:ind w:left="5040" w:hanging="360"/>
      </w:pPr>
      <w:rPr>
        <w:rFonts w:ascii="Symbol" w:hAnsi="Symbol" w:hint="default"/>
      </w:rPr>
    </w:lvl>
    <w:lvl w:ilvl="7" w:tplc="8EB07C18" w:tentative="1">
      <w:start w:val="1"/>
      <w:numFmt w:val="bullet"/>
      <w:lvlText w:val="o"/>
      <w:lvlJc w:val="left"/>
      <w:pPr>
        <w:tabs>
          <w:tab w:val="num" w:pos="5760"/>
        </w:tabs>
        <w:ind w:left="5760" w:hanging="360"/>
      </w:pPr>
      <w:rPr>
        <w:rFonts w:ascii="Courier New" w:hAnsi="Courier New" w:cs="Wingdings" w:hint="default"/>
      </w:rPr>
    </w:lvl>
    <w:lvl w:ilvl="8" w:tplc="1152B58A"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69E26F5"/>
    <w:multiLevelType w:val="multilevel"/>
    <w:tmpl w:val="8A9AD5F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2AD02B91"/>
    <w:multiLevelType w:val="multilevel"/>
    <w:tmpl w:val="0C4062CE"/>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2B800216"/>
    <w:multiLevelType w:val="hybridMultilevel"/>
    <w:tmpl w:val="472E10D4"/>
    <w:lvl w:ilvl="0" w:tplc="08090001">
      <w:start w:val="1"/>
      <w:numFmt w:val="bullet"/>
      <w:lvlText w:val=""/>
      <w:lvlJc w:val="left"/>
      <w:pPr>
        <w:ind w:left="1353" w:hanging="360"/>
      </w:pPr>
      <w:rPr>
        <w:rFonts w:ascii="Symbol" w:hAnsi="Symbol" w:hint="default"/>
      </w:rPr>
    </w:lvl>
    <w:lvl w:ilvl="1" w:tplc="08090003">
      <w:start w:val="1"/>
      <w:numFmt w:val="bullet"/>
      <w:lvlText w:val="o"/>
      <w:lvlJc w:val="left"/>
      <w:pPr>
        <w:ind w:left="2073" w:hanging="360"/>
      </w:pPr>
      <w:rPr>
        <w:rFonts w:ascii="Courier New" w:hAnsi="Courier New" w:cs="Courier New" w:hint="default"/>
      </w:rPr>
    </w:lvl>
    <w:lvl w:ilvl="2" w:tplc="08090005" w:tentative="1">
      <w:start w:val="1"/>
      <w:numFmt w:val="bullet"/>
      <w:lvlText w:val=""/>
      <w:lvlJc w:val="left"/>
      <w:pPr>
        <w:ind w:left="2793" w:hanging="360"/>
      </w:pPr>
      <w:rPr>
        <w:rFonts w:ascii="Wingdings" w:hAnsi="Wingdings" w:hint="default"/>
      </w:rPr>
    </w:lvl>
    <w:lvl w:ilvl="3" w:tplc="08090001" w:tentative="1">
      <w:start w:val="1"/>
      <w:numFmt w:val="bullet"/>
      <w:lvlText w:val=""/>
      <w:lvlJc w:val="left"/>
      <w:pPr>
        <w:ind w:left="3513" w:hanging="360"/>
      </w:pPr>
      <w:rPr>
        <w:rFonts w:ascii="Symbol" w:hAnsi="Symbol" w:hint="default"/>
      </w:rPr>
    </w:lvl>
    <w:lvl w:ilvl="4" w:tplc="08090003" w:tentative="1">
      <w:start w:val="1"/>
      <w:numFmt w:val="bullet"/>
      <w:lvlText w:val="o"/>
      <w:lvlJc w:val="left"/>
      <w:pPr>
        <w:ind w:left="4233" w:hanging="360"/>
      </w:pPr>
      <w:rPr>
        <w:rFonts w:ascii="Courier New" w:hAnsi="Courier New" w:cs="Courier New" w:hint="default"/>
      </w:rPr>
    </w:lvl>
    <w:lvl w:ilvl="5" w:tplc="08090005" w:tentative="1">
      <w:start w:val="1"/>
      <w:numFmt w:val="bullet"/>
      <w:lvlText w:val=""/>
      <w:lvlJc w:val="left"/>
      <w:pPr>
        <w:ind w:left="4953" w:hanging="360"/>
      </w:pPr>
      <w:rPr>
        <w:rFonts w:ascii="Wingdings" w:hAnsi="Wingdings" w:hint="default"/>
      </w:rPr>
    </w:lvl>
    <w:lvl w:ilvl="6" w:tplc="08090001" w:tentative="1">
      <w:start w:val="1"/>
      <w:numFmt w:val="bullet"/>
      <w:lvlText w:val=""/>
      <w:lvlJc w:val="left"/>
      <w:pPr>
        <w:ind w:left="5673" w:hanging="360"/>
      </w:pPr>
      <w:rPr>
        <w:rFonts w:ascii="Symbol" w:hAnsi="Symbol" w:hint="default"/>
      </w:rPr>
    </w:lvl>
    <w:lvl w:ilvl="7" w:tplc="08090003" w:tentative="1">
      <w:start w:val="1"/>
      <w:numFmt w:val="bullet"/>
      <w:lvlText w:val="o"/>
      <w:lvlJc w:val="left"/>
      <w:pPr>
        <w:ind w:left="6393" w:hanging="360"/>
      </w:pPr>
      <w:rPr>
        <w:rFonts w:ascii="Courier New" w:hAnsi="Courier New" w:cs="Courier New" w:hint="default"/>
      </w:rPr>
    </w:lvl>
    <w:lvl w:ilvl="8" w:tplc="08090005" w:tentative="1">
      <w:start w:val="1"/>
      <w:numFmt w:val="bullet"/>
      <w:lvlText w:val=""/>
      <w:lvlJc w:val="left"/>
      <w:pPr>
        <w:ind w:left="7113" w:hanging="360"/>
      </w:pPr>
      <w:rPr>
        <w:rFonts w:ascii="Wingdings" w:hAnsi="Wingdings" w:hint="default"/>
      </w:rPr>
    </w:lvl>
  </w:abstractNum>
  <w:abstractNum w:abstractNumId="9" w15:restartNumberingAfterBreak="0">
    <w:nsid w:val="3226173C"/>
    <w:multiLevelType w:val="hybridMultilevel"/>
    <w:tmpl w:val="1554BF04"/>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0"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1" w15:restartNumberingAfterBreak="0">
    <w:nsid w:val="374C0BD4"/>
    <w:multiLevelType w:val="hybridMultilevel"/>
    <w:tmpl w:val="B9405604"/>
    <w:lvl w:ilvl="0" w:tplc="814CE6F2">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5640548C" w:tentative="1">
      <w:start w:val="1"/>
      <w:numFmt w:val="bullet"/>
      <w:lvlText w:val="o"/>
      <w:lvlJc w:val="left"/>
      <w:pPr>
        <w:tabs>
          <w:tab w:val="num" w:pos="1440"/>
        </w:tabs>
        <w:ind w:left="1440" w:hanging="360"/>
      </w:pPr>
      <w:rPr>
        <w:rFonts w:ascii="Courier New" w:hAnsi="Courier New" w:cs="Wingdings" w:hint="default"/>
      </w:rPr>
    </w:lvl>
    <w:lvl w:ilvl="2" w:tplc="12E05CFC" w:tentative="1">
      <w:start w:val="1"/>
      <w:numFmt w:val="bullet"/>
      <w:lvlText w:val=""/>
      <w:lvlJc w:val="left"/>
      <w:pPr>
        <w:tabs>
          <w:tab w:val="num" w:pos="2160"/>
        </w:tabs>
        <w:ind w:left="2160" w:hanging="360"/>
      </w:pPr>
      <w:rPr>
        <w:rFonts w:ascii="Wingdings" w:hAnsi="Wingdings" w:hint="default"/>
      </w:rPr>
    </w:lvl>
    <w:lvl w:ilvl="3" w:tplc="C88C389E" w:tentative="1">
      <w:start w:val="1"/>
      <w:numFmt w:val="bullet"/>
      <w:lvlText w:val=""/>
      <w:lvlJc w:val="left"/>
      <w:pPr>
        <w:tabs>
          <w:tab w:val="num" w:pos="2880"/>
        </w:tabs>
        <w:ind w:left="2880" w:hanging="360"/>
      </w:pPr>
      <w:rPr>
        <w:rFonts w:ascii="Symbol" w:hAnsi="Symbol" w:hint="default"/>
      </w:rPr>
    </w:lvl>
    <w:lvl w:ilvl="4" w:tplc="853E1428" w:tentative="1">
      <w:start w:val="1"/>
      <w:numFmt w:val="bullet"/>
      <w:lvlText w:val="o"/>
      <w:lvlJc w:val="left"/>
      <w:pPr>
        <w:tabs>
          <w:tab w:val="num" w:pos="3600"/>
        </w:tabs>
        <w:ind w:left="3600" w:hanging="360"/>
      </w:pPr>
      <w:rPr>
        <w:rFonts w:ascii="Courier New" w:hAnsi="Courier New" w:cs="Wingdings" w:hint="default"/>
      </w:rPr>
    </w:lvl>
    <w:lvl w:ilvl="5" w:tplc="CAD25856" w:tentative="1">
      <w:start w:val="1"/>
      <w:numFmt w:val="bullet"/>
      <w:lvlText w:val=""/>
      <w:lvlJc w:val="left"/>
      <w:pPr>
        <w:tabs>
          <w:tab w:val="num" w:pos="4320"/>
        </w:tabs>
        <w:ind w:left="4320" w:hanging="360"/>
      </w:pPr>
      <w:rPr>
        <w:rFonts w:ascii="Wingdings" w:hAnsi="Wingdings" w:hint="default"/>
      </w:rPr>
    </w:lvl>
    <w:lvl w:ilvl="6" w:tplc="56488116" w:tentative="1">
      <w:start w:val="1"/>
      <w:numFmt w:val="bullet"/>
      <w:lvlText w:val=""/>
      <w:lvlJc w:val="left"/>
      <w:pPr>
        <w:tabs>
          <w:tab w:val="num" w:pos="5040"/>
        </w:tabs>
        <w:ind w:left="5040" w:hanging="360"/>
      </w:pPr>
      <w:rPr>
        <w:rFonts w:ascii="Symbol" w:hAnsi="Symbol" w:hint="default"/>
      </w:rPr>
    </w:lvl>
    <w:lvl w:ilvl="7" w:tplc="AFC8058E" w:tentative="1">
      <w:start w:val="1"/>
      <w:numFmt w:val="bullet"/>
      <w:lvlText w:val="o"/>
      <w:lvlJc w:val="left"/>
      <w:pPr>
        <w:tabs>
          <w:tab w:val="num" w:pos="5760"/>
        </w:tabs>
        <w:ind w:left="5760" w:hanging="360"/>
      </w:pPr>
      <w:rPr>
        <w:rFonts w:ascii="Courier New" w:hAnsi="Courier New" w:cs="Wingdings" w:hint="default"/>
      </w:rPr>
    </w:lvl>
    <w:lvl w:ilvl="8" w:tplc="926E013A"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0A535C2"/>
    <w:multiLevelType w:val="multilevel"/>
    <w:tmpl w:val="C3287D30"/>
    <w:lvl w:ilvl="0">
      <w:start w:val="1"/>
      <w:numFmt w:val="decimal"/>
      <w:lvlText w:val="%1."/>
      <w:lvlJc w:val="left"/>
      <w:pPr>
        <w:ind w:left="936" w:hanging="360"/>
      </w:pPr>
      <w:rPr>
        <w:rFonts w:hint="default"/>
      </w:rPr>
    </w:lvl>
    <w:lvl w:ilvl="1">
      <w:start w:val="2"/>
      <w:numFmt w:val="decimal"/>
      <w:isLgl/>
      <w:lvlText w:val="%1.%2"/>
      <w:lvlJc w:val="left"/>
      <w:pPr>
        <w:ind w:left="1296" w:hanging="720"/>
      </w:pPr>
      <w:rPr>
        <w:rFonts w:hint="default"/>
      </w:rPr>
    </w:lvl>
    <w:lvl w:ilvl="2">
      <w:start w:val="1"/>
      <w:numFmt w:val="decimal"/>
      <w:isLgl/>
      <w:lvlText w:val="%1.%2.%3"/>
      <w:lvlJc w:val="left"/>
      <w:pPr>
        <w:ind w:left="1296" w:hanging="720"/>
      </w:pPr>
      <w:rPr>
        <w:rFonts w:hint="default"/>
      </w:rPr>
    </w:lvl>
    <w:lvl w:ilvl="3">
      <w:start w:val="1"/>
      <w:numFmt w:val="decimal"/>
      <w:isLgl/>
      <w:lvlText w:val="%1.%2.%3.%4"/>
      <w:lvlJc w:val="left"/>
      <w:pPr>
        <w:ind w:left="1296" w:hanging="720"/>
      </w:pPr>
      <w:rPr>
        <w:rFonts w:hint="default"/>
      </w:rPr>
    </w:lvl>
    <w:lvl w:ilvl="4">
      <w:start w:val="1"/>
      <w:numFmt w:val="decimal"/>
      <w:isLgl/>
      <w:lvlText w:val="%1.%2.%3.%4.%5"/>
      <w:lvlJc w:val="left"/>
      <w:pPr>
        <w:ind w:left="1656" w:hanging="1080"/>
      </w:pPr>
      <w:rPr>
        <w:rFonts w:hint="default"/>
      </w:rPr>
    </w:lvl>
    <w:lvl w:ilvl="5">
      <w:start w:val="1"/>
      <w:numFmt w:val="decimal"/>
      <w:isLgl/>
      <w:lvlText w:val="%1.%2.%3.%4.%5.%6"/>
      <w:lvlJc w:val="left"/>
      <w:pPr>
        <w:ind w:left="1656" w:hanging="1080"/>
      </w:pPr>
      <w:rPr>
        <w:rFonts w:hint="default"/>
      </w:rPr>
    </w:lvl>
    <w:lvl w:ilvl="6">
      <w:start w:val="1"/>
      <w:numFmt w:val="decimal"/>
      <w:isLgl/>
      <w:lvlText w:val="%1.%2.%3.%4.%5.%6.%7"/>
      <w:lvlJc w:val="left"/>
      <w:pPr>
        <w:ind w:left="2016" w:hanging="1440"/>
      </w:pPr>
      <w:rPr>
        <w:rFonts w:hint="default"/>
      </w:rPr>
    </w:lvl>
    <w:lvl w:ilvl="7">
      <w:start w:val="1"/>
      <w:numFmt w:val="decimal"/>
      <w:isLgl/>
      <w:lvlText w:val="%1.%2.%3.%4.%5.%6.%7.%8"/>
      <w:lvlJc w:val="left"/>
      <w:pPr>
        <w:ind w:left="2016" w:hanging="1440"/>
      </w:pPr>
      <w:rPr>
        <w:rFonts w:hint="default"/>
      </w:rPr>
    </w:lvl>
    <w:lvl w:ilvl="8">
      <w:start w:val="1"/>
      <w:numFmt w:val="decimal"/>
      <w:isLgl/>
      <w:lvlText w:val="%1.%2.%3.%4.%5.%6.%7.%8.%9"/>
      <w:lvlJc w:val="left"/>
      <w:pPr>
        <w:ind w:left="2376" w:hanging="1800"/>
      </w:pPr>
      <w:rPr>
        <w:rFonts w:hint="default"/>
      </w:rPr>
    </w:lvl>
  </w:abstractNum>
  <w:abstractNum w:abstractNumId="13" w15:restartNumberingAfterBreak="0">
    <w:nsid w:val="41122076"/>
    <w:multiLevelType w:val="hybridMultilevel"/>
    <w:tmpl w:val="EABCEC46"/>
    <w:lvl w:ilvl="0" w:tplc="BE20507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14A7CE7"/>
    <w:multiLevelType w:val="hybridMultilevel"/>
    <w:tmpl w:val="129AFC5E"/>
    <w:lvl w:ilvl="0" w:tplc="08090001">
      <w:start w:val="1"/>
      <w:numFmt w:val="bullet"/>
      <w:lvlText w:val=""/>
      <w:lvlJc w:val="left"/>
      <w:pPr>
        <w:ind w:left="1296" w:hanging="360"/>
      </w:pPr>
      <w:rPr>
        <w:rFonts w:ascii="Symbol" w:hAnsi="Symbol" w:hint="default"/>
      </w:rPr>
    </w:lvl>
    <w:lvl w:ilvl="1" w:tplc="08090003">
      <w:start w:val="1"/>
      <w:numFmt w:val="bullet"/>
      <w:lvlText w:val="o"/>
      <w:lvlJc w:val="left"/>
      <w:pPr>
        <w:ind w:left="2016" w:hanging="360"/>
      </w:pPr>
      <w:rPr>
        <w:rFonts w:ascii="Courier New" w:hAnsi="Courier New" w:cs="Courier New" w:hint="default"/>
      </w:rPr>
    </w:lvl>
    <w:lvl w:ilvl="2" w:tplc="08090005">
      <w:start w:val="1"/>
      <w:numFmt w:val="bullet"/>
      <w:lvlText w:val=""/>
      <w:lvlJc w:val="left"/>
      <w:pPr>
        <w:ind w:left="2736" w:hanging="360"/>
      </w:pPr>
      <w:rPr>
        <w:rFonts w:ascii="Wingdings" w:hAnsi="Wingdings" w:hint="default"/>
      </w:rPr>
    </w:lvl>
    <w:lvl w:ilvl="3" w:tplc="08090001">
      <w:start w:val="1"/>
      <w:numFmt w:val="bullet"/>
      <w:lvlText w:val=""/>
      <w:lvlJc w:val="left"/>
      <w:pPr>
        <w:ind w:left="3456" w:hanging="360"/>
      </w:pPr>
      <w:rPr>
        <w:rFonts w:ascii="Symbol" w:hAnsi="Symbol" w:hint="default"/>
      </w:rPr>
    </w:lvl>
    <w:lvl w:ilvl="4" w:tplc="08090003">
      <w:start w:val="1"/>
      <w:numFmt w:val="bullet"/>
      <w:lvlText w:val="o"/>
      <w:lvlJc w:val="left"/>
      <w:pPr>
        <w:ind w:left="4176" w:hanging="360"/>
      </w:pPr>
      <w:rPr>
        <w:rFonts w:ascii="Courier New" w:hAnsi="Courier New" w:cs="Courier New" w:hint="default"/>
      </w:rPr>
    </w:lvl>
    <w:lvl w:ilvl="5" w:tplc="08090005">
      <w:start w:val="1"/>
      <w:numFmt w:val="bullet"/>
      <w:lvlText w:val=""/>
      <w:lvlJc w:val="left"/>
      <w:pPr>
        <w:ind w:left="4896" w:hanging="360"/>
      </w:pPr>
      <w:rPr>
        <w:rFonts w:ascii="Wingdings" w:hAnsi="Wingdings" w:hint="default"/>
      </w:rPr>
    </w:lvl>
    <w:lvl w:ilvl="6" w:tplc="08090001">
      <w:start w:val="1"/>
      <w:numFmt w:val="bullet"/>
      <w:lvlText w:val=""/>
      <w:lvlJc w:val="left"/>
      <w:pPr>
        <w:ind w:left="5616" w:hanging="360"/>
      </w:pPr>
      <w:rPr>
        <w:rFonts w:ascii="Symbol" w:hAnsi="Symbol" w:hint="default"/>
      </w:rPr>
    </w:lvl>
    <w:lvl w:ilvl="7" w:tplc="08090003">
      <w:start w:val="1"/>
      <w:numFmt w:val="bullet"/>
      <w:lvlText w:val="o"/>
      <w:lvlJc w:val="left"/>
      <w:pPr>
        <w:ind w:left="6336" w:hanging="360"/>
      </w:pPr>
      <w:rPr>
        <w:rFonts w:ascii="Courier New" w:hAnsi="Courier New" w:cs="Courier New" w:hint="default"/>
      </w:rPr>
    </w:lvl>
    <w:lvl w:ilvl="8" w:tplc="08090005">
      <w:start w:val="1"/>
      <w:numFmt w:val="bullet"/>
      <w:lvlText w:val=""/>
      <w:lvlJc w:val="left"/>
      <w:pPr>
        <w:ind w:left="7056" w:hanging="360"/>
      </w:pPr>
      <w:rPr>
        <w:rFonts w:ascii="Wingdings" w:hAnsi="Wingdings" w:hint="default"/>
      </w:rPr>
    </w:lvl>
  </w:abstractNum>
  <w:abstractNum w:abstractNumId="15" w15:restartNumberingAfterBreak="0">
    <w:nsid w:val="44331145"/>
    <w:multiLevelType w:val="hybridMultilevel"/>
    <w:tmpl w:val="2556B6F4"/>
    <w:lvl w:ilvl="0" w:tplc="08090001">
      <w:start w:val="1"/>
      <w:numFmt w:val="bullet"/>
      <w:lvlText w:val=""/>
      <w:lvlJc w:val="left"/>
      <w:pPr>
        <w:ind w:left="1296" w:hanging="360"/>
      </w:pPr>
      <w:rPr>
        <w:rFonts w:ascii="Symbol" w:hAnsi="Symbol" w:hint="default"/>
      </w:rPr>
    </w:lvl>
    <w:lvl w:ilvl="1" w:tplc="08090003" w:tentative="1">
      <w:start w:val="1"/>
      <w:numFmt w:val="bullet"/>
      <w:lvlText w:val="o"/>
      <w:lvlJc w:val="left"/>
      <w:pPr>
        <w:ind w:left="2016" w:hanging="360"/>
      </w:pPr>
      <w:rPr>
        <w:rFonts w:ascii="Courier New" w:hAnsi="Courier New" w:cs="Courier New" w:hint="default"/>
      </w:rPr>
    </w:lvl>
    <w:lvl w:ilvl="2" w:tplc="08090005" w:tentative="1">
      <w:start w:val="1"/>
      <w:numFmt w:val="bullet"/>
      <w:lvlText w:val=""/>
      <w:lvlJc w:val="left"/>
      <w:pPr>
        <w:ind w:left="2736" w:hanging="360"/>
      </w:pPr>
      <w:rPr>
        <w:rFonts w:ascii="Wingdings" w:hAnsi="Wingdings" w:hint="default"/>
      </w:rPr>
    </w:lvl>
    <w:lvl w:ilvl="3" w:tplc="08090001" w:tentative="1">
      <w:start w:val="1"/>
      <w:numFmt w:val="bullet"/>
      <w:lvlText w:val=""/>
      <w:lvlJc w:val="left"/>
      <w:pPr>
        <w:ind w:left="3456" w:hanging="360"/>
      </w:pPr>
      <w:rPr>
        <w:rFonts w:ascii="Symbol" w:hAnsi="Symbol" w:hint="default"/>
      </w:rPr>
    </w:lvl>
    <w:lvl w:ilvl="4" w:tplc="08090003" w:tentative="1">
      <w:start w:val="1"/>
      <w:numFmt w:val="bullet"/>
      <w:lvlText w:val="o"/>
      <w:lvlJc w:val="left"/>
      <w:pPr>
        <w:ind w:left="4176" w:hanging="360"/>
      </w:pPr>
      <w:rPr>
        <w:rFonts w:ascii="Courier New" w:hAnsi="Courier New" w:cs="Courier New" w:hint="default"/>
      </w:rPr>
    </w:lvl>
    <w:lvl w:ilvl="5" w:tplc="08090005" w:tentative="1">
      <w:start w:val="1"/>
      <w:numFmt w:val="bullet"/>
      <w:lvlText w:val=""/>
      <w:lvlJc w:val="left"/>
      <w:pPr>
        <w:ind w:left="4896" w:hanging="360"/>
      </w:pPr>
      <w:rPr>
        <w:rFonts w:ascii="Wingdings" w:hAnsi="Wingdings" w:hint="default"/>
      </w:rPr>
    </w:lvl>
    <w:lvl w:ilvl="6" w:tplc="08090001" w:tentative="1">
      <w:start w:val="1"/>
      <w:numFmt w:val="bullet"/>
      <w:lvlText w:val=""/>
      <w:lvlJc w:val="left"/>
      <w:pPr>
        <w:ind w:left="5616" w:hanging="360"/>
      </w:pPr>
      <w:rPr>
        <w:rFonts w:ascii="Symbol" w:hAnsi="Symbol" w:hint="default"/>
      </w:rPr>
    </w:lvl>
    <w:lvl w:ilvl="7" w:tplc="08090003" w:tentative="1">
      <w:start w:val="1"/>
      <w:numFmt w:val="bullet"/>
      <w:lvlText w:val="o"/>
      <w:lvlJc w:val="left"/>
      <w:pPr>
        <w:ind w:left="6336" w:hanging="360"/>
      </w:pPr>
      <w:rPr>
        <w:rFonts w:ascii="Courier New" w:hAnsi="Courier New" w:cs="Courier New" w:hint="default"/>
      </w:rPr>
    </w:lvl>
    <w:lvl w:ilvl="8" w:tplc="08090005" w:tentative="1">
      <w:start w:val="1"/>
      <w:numFmt w:val="bullet"/>
      <w:lvlText w:val=""/>
      <w:lvlJc w:val="left"/>
      <w:pPr>
        <w:ind w:left="7056" w:hanging="360"/>
      </w:pPr>
      <w:rPr>
        <w:rFonts w:ascii="Wingdings" w:hAnsi="Wingdings" w:hint="default"/>
      </w:rPr>
    </w:lvl>
  </w:abstractNum>
  <w:abstractNum w:abstractNumId="16" w15:restartNumberingAfterBreak="0">
    <w:nsid w:val="5B9E0105"/>
    <w:multiLevelType w:val="hybridMultilevel"/>
    <w:tmpl w:val="B40842B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7" w15:restartNumberingAfterBreak="0">
    <w:nsid w:val="5DC5215B"/>
    <w:multiLevelType w:val="hybridMultilevel"/>
    <w:tmpl w:val="FF96C85C"/>
    <w:lvl w:ilvl="0" w:tplc="4DD69928">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2696A49E" w:tentative="1">
      <w:start w:val="1"/>
      <w:numFmt w:val="bullet"/>
      <w:lvlText w:val="o"/>
      <w:lvlJc w:val="left"/>
      <w:pPr>
        <w:tabs>
          <w:tab w:val="num" w:pos="2572"/>
        </w:tabs>
        <w:ind w:left="2572" w:hanging="360"/>
      </w:pPr>
      <w:rPr>
        <w:rFonts w:ascii="Courier New" w:hAnsi="Courier New" w:cs="Wingdings" w:hint="default"/>
      </w:rPr>
    </w:lvl>
    <w:lvl w:ilvl="2" w:tplc="F3664ED2" w:tentative="1">
      <w:start w:val="1"/>
      <w:numFmt w:val="bullet"/>
      <w:lvlText w:val=""/>
      <w:lvlJc w:val="left"/>
      <w:pPr>
        <w:tabs>
          <w:tab w:val="num" w:pos="3292"/>
        </w:tabs>
        <w:ind w:left="3292" w:hanging="360"/>
      </w:pPr>
      <w:rPr>
        <w:rFonts w:ascii="Wingdings" w:hAnsi="Wingdings" w:hint="default"/>
      </w:rPr>
    </w:lvl>
    <w:lvl w:ilvl="3" w:tplc="291EEC8C" w:tentative="1">
      <w:start w:val="1"/>
      <w:numFmt w:val="bullet"/>
      <w:lvlText w:val=""/>
      <w:lvlJc w:val="left"/>
      <w:pPr>
        <w:tabs>
          <w:tab w:val="num" w:pos="4012"/>
        </w:tabs>
        <w:ind w:left="4012" w:hanging="360"/>
      </w:pPr>
      <w:rPr>
        <w:rFonts w:ascii="Symbol" w:hAnsi="Symbol" w:hint="default"/>
      </w:rPr>
    </w:lvl>
    <w:lvl w:ilvl="4" w:tplc="7B062576" w:tentative="1">
      <w:start w:val="1"/>
      <w:numFmt w:val="bullet"/>
      <w:lvlText w:val="o"/>
      <w:lvlJc w:val="left"/>
      <w:pPr>
        <w:tabs>
          <w:tab w:val="num" w:pos="4732"/>
        </w:tabs>
        <w:ind w:left="4732" w:hanging="360"/>
      </w:pPr>
      <w:rPr>
        <w:rFonts w:ascii="Courier New" w:hAnsi="Courier New" w:cs="Wingdings" w:hint="default"/>
      </w:rPr>
    </w:lvl>
    <w:lvl w:ilvl="5" w:tplc="9612C70E" w:tentative="1">
      <w:start w:val="1"/>
      <w:numFmt w:val="bullet"/>
      <w:lvlText w:val=""/>
      <w:lvlJc w:val="left"/>
      <w:pPr>
        <w:tabs>
          <w:tab w:val="num" w:pos="5452"/>
        </w:tabs>
        <w:ind w:left="5452" w:hanging="360"/>
      </w:pPr>
      <w:rPr>
        <w:rFonts w:ascii="Wingdings" w:hAnsi="Wingdings" w:hint="default"/>
      </w:rPr>
    </w:lvl>
    <w:lvl w:ilvl="6" w:tplc="0F5C967C" w:tentative="1">
      <w:start w:val="1"/>
      <w:numFmt w:val="bullet"/>
      <w:lvlText w:val=""/>
      <w:lvlJc w:val="left"/>
      <w:pPr>
        <w:tabs>
          <w:tab w:val="num" w:pos="6172"/>
        </w:tabs>
        <w:ind w:left="6172" w:hanging="360"/>
      </w:pPr>
      <w:rPr>
        <w:rFonts w:ascii="Symbol" w:hAnsi="Symbol" w:hint="default"/>
      </w:rPr>
    </w:lvl>
    <w:lvl w:ilvl="7" w:tplc="921CBC4E" w:tentative="1">
      <w:start w:val="1"/>
      <w:numFmt w:val="bullet"/>
      <w:lvlText w:val="o"/>
      <w:lvlJc w:val="left"/>
      <w:pPr>
        <w:tabs>
          <w:tab w:val="num" w:pos="6892"/>
        </w:tabs>
        <w:ind w:left="6892" w:hanging="360"/>
      </w:pPr>
      <w:rPr>
        <w:rFonts w:ascii="Courier New" w:hAnsi="Courier New" w:cs="Wingdings" w:hint="default"/>
      </w:rPr>
    </w:lvl>
    <w:lvl w:ilvl="8" w:tplc="927E8ED6" w:tentative="1">
      <w:start w:val="1"/>
      <w:numFmt w:val="bullet"/>
      <w:lvlText w:val=""/>
      <w:lvlJc w:val="left"/>
      <w:pPr>
        <w:tabs>
          <w:tab w:val="num" w:pos="7612"/>
        </w:tabs>
        <w:ind w:left="7612" w:hanging="360"/>
      </w:pPr>
      <w:rPr>
        <w:rFonts w:ascii="Wingdings" w:hAnsi="Wingdings" w:hint="default"/>
      </w:rPr>
    </w:lvl>
  </w:abstractNum>
  <w:abstractNum w:abstractNumId="18" w15:restartNumberingAfterBreak="0">
    <w:nsid w:val="5E1B7C4A"/>
    <w:multiLevelType w:val="multilevel"/>
    <w:tmpl w:val="0B54E628"/>
    <w:lvl w:ilvl="0">
      <w:start w:val="1"/>
      <w:numFmt w:val="upperLetter"/>
      <w:pStyle w:val="ListNumber2"/>
      <w:lvlText w:val="%1"/>
      <w:lvlJc w:val="left"/>
      <w:pPr>
        <w:tabs>
          <w:tab w:val="num" w:pos="397"/>
        </w:tabs>
        <w:ind w:left="397" w:hanging="397"/>
      </w:pPr>
      <w:rPr>
        <w:rFonts w:ascii="Tahoma" w:hAnsi="Tahoma" w:hint="default"/>
        <w:b/>
        <w:i w:val="0"/>
        <w:color w:val="00B274"/>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9" w15:restartNumberingAfterBreak="0">
    <w:nsid w:val="5EFB047E"/>
    <w:multiLevelType w:val="hybridMultilevel"/>
    <w:tmpl w:val="D80AB038"/>
    <w:lvl w:ilvl="0" w:tplc="A342973A">
      <w:start w:val="1"/>
      <w:numFmt w:val="bullet"/>
      <w:pStyle w:val="ListContinue2"/>
      <w:lvlText w:val=""/>
      <w:lvlJc w:val="left"/>
      <w:pPr>
        <w:tabs>
          <w:tab w:val="num" w:pos="284"/>
        </w:tabs>
        <w:ind w:left="284" w:hanging="284"/>
      </w:pPr>
      <w:rPr>
        <w:rFonts w:ascii="Symbol" w:hAnsi="Symbol" w:hint="default"/>
        <w:color w:val="008576"/>
        <w:sz w:val="32"/>
      </w:rPr>
    </w:lvl>
    <w:lvl w:ilvl="1" w:tplc="395A8240" w:tentative="1">
      <w:start w:val="1"/>
      <w:numFmt w:val="bullet"/>
      <w:lvlText w:val="o"/>
      <w:lvlJc w:val="left"/>
      <w:pPr>
        <w:tabs>
          <w:tab w:val="num" w:pos="1440"/>
        </w:tabs>
        <w:ind w:left="1440" w:hanging="360"/>
      </w:pPr>
      <w:rPr>
        <w:rFonts w:ascii="Courier New" w:hAnsi="Courier New" w:cs="Wingdings" w:hint="default"/>
      </w:rPr>
    </w:lvl>
    <w:lvl w:ilvl="2" w:tplc="641C16E0" w:tentative="1">
      <w:start w:val="1"/>
      <w:numFmt w:val="bullet"/>
      <w:lvlText w:val=""/>
      <w:lvlJc w:val="left"/>
      <w:pPr>
        <w:tabs>
          <w:tab w:val="num" w:pos="2160"/>
        </w:tabs>
        <w:ind w:left="2160" w:hanging="360"/>
      </w:pPr>
      <w:rPr>
        <w:rFonts w:ascii="Wingdings" w:hAnsi="Wingdings" w:hint="default"/>
      </w:rPr>
    </w:lvl>
    <w:lvl w:ilvl="3" w:tplc="0554BEE4" w:tentative="1">
      <w:start w:val="1"/>
      <w:numFmt w:val="bullet"/>
      <w:lvlText w:val=""/>
      <w:lvlJc w:val="left"/>
      <w:pPr>
        <w:tabs>
          <w:tab w:val="num" w:pos="2880"/>
        </w:tabs>
        <w:ind w:left="2880" w:hanging="360"/>
      </w:pPr>
      <w:rPr>
        <w:rFonts w:ascii="Symbol" w:hAnsi="Symbol" w:hint="default"/>
      </w:rPr>
    </w:lvl>
    <w:lvl w:ilvl="4" w:tplc="B7D4CEA2" w:tentative="1">
      <w:start w:val="1"/>
      <w:numFmt w:val="bullet"/>
      <w:lvlText w:val="o"/>
      <w:lvlJc w:val="left"/>
      <w:pPr>
        <w:tabs>
          <w:tab w:val="num" w:pos="3600"/>
        </w:tabs>
        <w:ind w:left="3600" w:hanging="360"/>
      </w:pPr>
      <w:rPr>
        <w:rFonts w:ascii="Courier New" w:hAnsi="Courier New" w:cs="Wingdings" w:hint="default"/>
      </w:rPr>
    </w:lvl>
    <w:lvl w:ilvl="5" w:tplc="C852839C" w:tentative="1">
      <w:start w:val="1"/>
      <w:numFmt w:val="bullet"/>
      <w:lvlText w:val=""/>
      <w:lvlJc w:val="left"/>
      <w:pPr>
        <w:tabs>
          <w:tab w:val="num" w:pos="4320"/>
        </w:tabs>
        <w:ind w:left="4320" w:hanging="360"/>
      </w:pPr>
      <w:rPr>
        <w:rFonts w:ascii="Wingdings" w:hAnsi="Wingdings" w:hint="default"/>
      </w:rPr>
    </w:lvl>
    <w:lvl w:ilvl="6" w:tplc="914448B6" w:tentative="1">
      <w:start w:val="1"/>
      <w:numFmt w:val="bullet"/>
      <w:lvlText w:val=""/>
      <w:lvlJc w:val="left"/>
      <w:pPr>
        <w:tabs>
          <w:tab w:val="num" w:pos="5040"/>
        </w:tabs>
        <w:ind w:left="5040" w:hanging="360"/>
      </w:pPr>
      <w:rPr>
        <w:rFonts w:ascii="Symbol" w:hAnsi="Symbol" w:hint="default"/>
      </w:rPr>
    </w:lvl>
    <w:lvl w:ilvl="7" w:tplc="F0B87B7C" w:tentative="1">
      <w:start w:val="1"/>
      <w:numFmt w:val="bullet"/>
      <w:lvlText w:val="o"/>
      <w:lvlJc w:val="left"/>
      <w:pPr>
        <w:tabs>
          <w:tab w:val="num" w:pos="5760"/>
        </w:tabs>
        <w:ind w:left="5760" w:hanging="360"/>
      </w:pPr>
      <w:rPr>
        <w:rFonts w:ascii="Courier New" w:hAnsi="Courier New" w:cs="Wingdings" w:hint="default"/>
      </w:rPr>
    </w:lvl>
    <w:lvl w:ilvl="8" w:tplc="A8926530"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1" w15:restartNumberingAfterBreak="0">
    <w:nsid w:val="632F5842"/>
    <w:multiLevelType w:val="hybridMultilevel"/>
    <w:tmpl w:val="4DBA629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2" w15:restartNumberingAfterBreak="0">
    <w:nsid w:val="637C59D8"/>
    <w:multiLevelType w:val="hybridMultilevel"/>
    <w:tmpl w:val="E0FE30C4"/>
    <w:lvl w:ilvl="0" w:tplc="72DAAB02">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118685B6" w:tentative="1">
      <w:start w:val="1"/>
      <w:numFmt w:val="bullet"/>
      <w:lvlText w:val="o"/>
      <w:lvlJc w:val="left"/>
      <w:pPr>
        <w:tabs>
          <w:tab w:val="num" w:pos="1440"/>
        </w:tabs>
        <w:ind w:left="1440" w:hanging="360"/>
      </w:pPr>
      <w:rPr>
        <w:rFonts w:ascii="Courier New" w:hAnsi="Courier New" w:cs="Wingdings" w:hint="default"/>
      </w:rPr>
    </w:lvl>
    <w:lvl w:ilvl="2" w:tplc="FCBC4258" w:tentative="1">
      <w:start w:val="1"/>
      <w:numFmt w:val="bullet"/>
      <w:lvlText w:val=""/>
      <w:lvlJc w:val="left"/>
      <w:pPr>
        <w:tabs>
          <w:tab w:val="num" w:pos="2160"/>
        </w:tabs>
        <w:ind w:left="2160" w:hanging="360"/>
      </w:pPr>
      <w:rPr>
        <w:rFonts w:ascii="Wingdings" w:hAnsi="Wingdings" w:hint="default"/>
      </w:rPr>
    </w:lvl>
    <w:lvl w:ilvl="3" w:tplc="A0F6869A" w:tentative="1">
      <w:start w:val="1"/>
      <w:numFmt w:val="bullet"/>
      <w:lvlText w:val=""/>
      <w:lvlJc w:val="left"/>
      <w:pPr>
        <w:tabs>
          <w:tab w:val="num" w:pos="2880"/>
        </w:tabs>
        <w:ind w:left="2880" w:hanging="360"/>
      </w:pPr>
      <w:rPr>
        <w:rFonts w:ascii="Symbol" w:hAnsi="Symbol" w:hint="default"/>
      </w:rPr>
    </w:lvl>
    <w:lvl w:ilvl="4" w:tplc="3B383C20" w:tentative="1">
      <w:start w:val="1"/>
      <w:numFmt w:val="bullet"/>
      <w:lvlText w:val="o"/>
      <w:lvlJc w:val="left"/>
      <w:pPr>
        <w:tabs>
          <w:tab w:val="num" w:pos="3600"/>
        </w:tabs>
        <w:ind w:left="3600" w:hanging="360"/>
      </w:pPr>
      <w:rPr>
        <w:rFonts w:ascii="Courier New" w:hAnsi="Courier New" w:cs="Wingdings" w:hint="default"/>
      </w:rPr>
    </w:lvl>
    <w:lvl w:ilvl="5" w:tplc="E9BA0D3E" w:tentative="1">
      <w:start w:val="1"/>
      <w:numFmt w:val="bullet"/>
      <w:lvlText w:val=""/>
      <w:lvlJc w:val="left"/>
      <w:pPr>
        <w:tabs>
          <w:tab w:val="num" w:pos="4320"/>
        </w:tabs>
        <w:ind w:left="4320" w:hanging="360"/>
      </w:pPr>
      <w:rPr>
        <w:rFonts w:ascii="Wingdings" w:hAnsi="Wingdings" w:hint="default"/>
      </w:rPr>
    </w:lvl>
    <w:lvl w:ilvl="6" w:tplc="62E8E238" w:tentative="1">
      <w:start w:val="1"/>
      <w:numFmt w:val="bullet"/>
      <w:lvlText w:val=""/>
      <w:lvlJc w:val="left"/>
      <w:pPr>
        <w:tabs>
          <w:tab w:val="num" w:pos="5040"/>
        </w:tabs>
        <w:ind w:left="5040" w:hanging="360"/>
      </w:pPr>
      <w:rPr>
        <w:rFonts w:ascii="Symbol" w:hAnsi="Symbol" w:hint="default"/>
      </w:rPr>
    </w:lvl>
    <w:lvl w:ilvl="7" w:tplc="10B42B4E" w:tentative="1">
      <w:start w:val="1"/>
      <w:numFmt w:val="bullet"/>
      <w:lvlText w:val="o"/>
      <w:lvlJc w:val="left"/>
      <w:pPr>
        <w:tabs>
          <w:tab w:val="num" w:pos="5760"/>
        </w:tabs>
        <w:ind w:left="5760" w:hanging="360"/>
      </w:pPr>
      <w:rPr>
        <w:rFonts w:ascii="Courier New" w:hAnsi="Courier New" w:cs="Wingdings" w:hint="default"/>
      </w:rPr>
    </w:lvl>
    <w:lvl w:ilvl="8" w:tplc="B360E8AC"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57C64F5"/>
    <w:multiLevelType w:val="hybridMultilevel"/>
    <w:tmpl w:val="AF6A1084"/>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4" w15:restartNumberingAfterBreak="0">
    <w:nsid w:val="76A86190"/>
    <w:multiLevelType w:val="multilevel"/>
    <w:tmpl w:val="28721648"/>
    <w:lvl w:ilvl="0">
      <w:start w:val="1"/>
      <w:numFmt w:val="bullet"/>
      <w:pStyle w:val="ListBullet2"/>
      <w:lvlText w:val=""/>
      <w:lvlJc w:val="left"/>
      <w:pPr>
        <w:tabs>
          <w:tab w:val="num" w:pos="284"/>
        </w:tabs>
        <w:ind w:left="284" w:hanging="284"/>
      </w:pPr>
      <w:rPr>
        <w:rFonts w:ascii="Symbol" w:hAnsi="Symbol" w:hint="default"/>
        <w:b w:val="0"/>
        <w:i w:val="0"/>
        <w:color w:val="auto"/>
        <w:sz w:val="20"/>
      </w:rPr>
    </w:lvl>
    <w:lvl w:ilvl="1">
      <w:start w:val="1"/>
      <w:numFmt w:val="bullet"/>
      <w:pStyle w:val="TableList"/>
      <w:lvlText w:val=""/>
      <w:lvlJc w:val="left"/>
      <w:pPr>
        <w:tabs>
          <w:tab w:val="num" w:pos="454"/>
        </w:tabs>
        <w:ind w:left="454" w:hanging="341"/>
      </w:pPr>
      <w:rPr>
        <w:rFonts w:ascii="Symbol" w:hAnsi="Symbol" w:hint="default"/>
        <w:b w:val="0"/>
        <w:i w:val="0"/>
        <w:color w:val="008DA8"/>
        <w:sz w:val="20"/>
      </w:rPr>
    </w:lvl>
    <w:lvl w:ilvl="2">
      <w:start w:val="1"/>
      <w:numFmt w:val="bullet"/>
      <w:lvlText w:val=""/>
      <w:lvlJc w:val="left"/>
      <w:pPr>
        <w:tabs>
          <w:tab w:val="num" w:pos="737"/>
        </w:tabs>
        <w:ind w:left="737" w:hanging="283"/>
      </w:pPr>
      <w:rPr>
        <w:rFonts w:ascii="Symbol" w:hAnsi="Symbol" w:hint="default"/>
        <w:b w:val="0"/>
        <w:i w:val="0"/>
        <w:color w:val="008DA8"/>
        <w:sz w:val="20"/>
      </w:rPr>
    </w:lvl>
    <w:lvl w:ilvl="3">
      <w:start w:val="1"/>
      <w:numFmt w:val="bullet"/>
      <w:lvlText w:val=""/>
      <w:lvlJc w:val="left"/>
      <w:pPr>
        <w:tabs>
          <w:tab w:val="num" w:pos="1191"/>
        </w:tabs>
        <w:ind w:left="1191" w:hanging="454"/>
      </w:pPr>
      <w:rPr>
        <w:rFonts w:ascii="Symbol" w:hAnsi="Symbol" w:hint="default"/>
        <w:b w:val="0"/>
        <w:i w:val="0"/>
        <w:color w:val="008DA8"/>
        <w:sz w:val="20"/>
      </w:rPr>
    </w:lvl>
    <w:lvl w:ilvl="4">
      <w:start w:val="1"/>
      <w:numFmt w:val="bullet"/>
      <w:lvlText w:val=""/>
      <w:lvlJc w:val="left"/>
      <w:pPr>
        <w:tabs>
          <w:tab w:val="num" w:pos="3119"/>
        </w:tabs>
        <w:ind w:left="3119" w:hanging="964"/>
      </w:pPr>
      <w:rPr>
        <w:rFonts w:ascii="Symbol" w:hAnsi="Symbol" w:hint="default"/>
        <w:b w:val="0"/>
        <w:i w:val="0"/>
        <w:color w:val="008DA8"/>
        <w:sz w:val="20"/>
      </w:rPr>
    </w:lvl>
    <w:lvl w:ilvl="5">
      <w:start w:val="1"/>
      <w:numFmt w:val="bullet"/>
      <w:lvlText w:val=""/>
      <w:lvlJc w:val="left"/>
      <w:pPr>
        <w:tabs>
          <w:tab w:val="num" w:pos="4253"/>
        </w:tabs>
        <w:ind w:left="4253" w:hanging="1134"/>
      </w:pPr>
      <w:rPr>
        <w:rFonts w:ascii="Symbol" w:hAnsi="Symbol" w:hint="default"/>
        <w:b w:val="0"/>
        <w:i w:val="0"/>
        <w:color w:val="008DA8"/>
        <w:sz w:val="20"/>
      </w:rPr>
    </w:lvl>
    <w:lvl w:ilvl="6">
      <w:start w:val="1"/>
      <w:numFmt w:val="bullet"/>
      <w:lvlText w:val=""/>
      <w:lvlJc w:val="left"/>
      <w:pPr>
        <w:tabs>
          <w:tab w:val="num" w:pos="5557"/>
        </w:tabs>
        <w:ind w:left="5557" w:hanging="1304"/>
      </w:pPr>
      <w:rPr>
        <w:rFonts w:ascii="Symbol" w:hAnsi="Symbol" w:hint="default"/>
        <w:b w:val="0"/>
        <w:i w:val="0"/>
        <w:color w:val="008DA8"/>
        <w:sz w:val="20"/>
      </w:rPr>
    </w:lvl>
    <w:lvl w:ilvl="7">
      <w:start w:val="1"/>
      <w:numFmt w:val="bullet"/>
      <w:lvlText w:val=""/>
      <w:lvlJc w:val="left"/>
      <w:pPr>
        <w:tabs>
          <w:tab w:val="num" w:pos="4706"/>
        </w:tabs>
        <w:ind w:left="4706" w:hanging="1077"/>
      </w:pPr>
      <w:rPr>
        <w:rFonts w:ascii="Symbol" w:hAnsi="Symbol" w:hint="default"/>
        <w:b w:val="0"/>
        <w:i w:val="0"/>
        <w:color w:val="008DA8"/>
        <w:sz w:val="20"/>
      </w:rPr>
    </w:lvl>
    <w:lvl w:ilvl="8">
      <w:start w:val="1"/>
      <w:numFmt w:val="bullet"/>
      <w:lvlText w:val=""/>
      <w:lvlJc w:val="left"/>
      <w:pPr>
        <w:tabs>
          <w:tab w:val="num" w:pos="7144"/>
        </w:tabs>
        <w:ind w:left="7144" w:hanging="1587"/>
      </w:pPr>
      <w:rPr>
        <w:rFonts w:ascii="Symbol" w:hAnsi="Symbol" w:hint="default"/>
        <w:b w:val="0"/>
        <w:i w:val="0"/>
        <w:color w:val="008DA8"/>
        <w:sz w:val="20"/>
      </w:rPr>
    </w:lvl>
  </w:abstractNum>
  <w:num w:numId="1">
    <w:abstractNumId w:val="24"/>
  </w:num>
  <w:num w:numId="2">
    <w:abstractNumId w:val="20"/>
  </w:num>
  <w:num w:numId="3">
    <w:abstractNumId w:val="7"/>
  </w:num>
  <w:num w:numId="4">
    <w:abstractNumId w:val="10"/>
  </w:num>
  <w:num w:numId="5">
    <w:abstractNumId w:val="4"/>
  </w:num>
  <w:num w:numId="6">
    <w:abstractNumId w:val="22"/>
  </w:num>
  <w:num w:numId="7">
    <w:abstractNumId w:val="11"/>
  </w:num>
  <w:num w:numId="8">
    <w:abstractNumId w:val="5"/>
  </w:num>
  <w:num w:numId="9">
    <w:abstractNumId w:val="19"/>
  </w:num>
  <w:num w:numId="10">
    <w:abstractNumId w:val="17"/>
  </w:num>
  <w:num w:numId="11">
    <w:abstractNumId w:val="3"/>
  </w:num>
  <w:num w:numId="12">
    <w:abstractNumId w:val="2"/>
  </w:num>
  <w:num w:numId="13">
    <w:abstractNumId w:val="18"/>
  </w:num>
  <w:num w:numId="14">
    <w:abstractNumId w:val="1"/>
  </w:num>
  <w:num w:numId="15">
    <w:abstractNumId w:val="13"/>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num>
  <w:num w:numId="19">
    <w:abstractNumId w:val="6"/>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num>
  <w:num w:numId="24">
    <w:abstractNumId w:val="1"/>
  </w:num>
  <w:num w:numId="25">
    <w:abstractNumId w:val="9"/>
  </w:num>
  <w:num w:numId="26">
    <w:abstractNumId w:val="8"/>
  </w:num>
  <w:num w:numId="27">
    <w:abstractNumId w:val="15"/>
  </w:num>
  <w:num w:numId="28">
    <w:abstractNumId w:val="16"/>
  </w:num>
  <w:num w:numId="29">
    <w:abstractNumId w:val="21"/>
  </w:num>
  <w:num w:numId="30">
    <w:abstractNumId w:val="23"/>
  </w:num>
  <w:num w:numId="31">
    <w:abstractNumId w:val="14"/>
  </w:num>
  <w:num w:numId="32">
    <w:abstractNumId w:val="1"/>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Lawton">
    <w15:presenceInfo w15:providerId="AD" w15:userId="S::LawtonJ@electralink.co.uk::a094801b-d55f-44ae-9f0c-e4b013632d72"/>
  </w15:person>
  <w15:person w15:author="Hollie Nicholls">
    <w15:presenceInfo w15:providerId="AD" w15:userId="S::Hollie.Nicholls@electralink.co.uk::5170487c-a9d3-4d2d-866e-8f99d059bab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1B99"/>
    <w:rsid w:val="00000007"/>
    <w:rsid w:val="0000002F"/>
    <w:rsid w:val="00003462"/>
    <w:rsid w:val="00004426"/>
    <w:rsid w:val="00004A78"/>
    <w:rsid w:val="00005C2A"/>
    <w:rsid w:val="0001312A"/>
    <w:rsid w:val="000131C0"/>
    <w:rsid w:val="000140D5"/>
    <w:rsid w:val="00014A06"/>
    <w:rsid w:val="00015169"/>
    <w:rsid w:val="00016AD2"/>
    <w:rsid w:val="00021E27"/>
    <w:rsid w:val="0002309B"/>
    <w:rsid w:val="00024E67"/>
    <w:rsid w:val="00026A6A"/>
    <w:rsid w:val="00027B6F"/>
    <w:rsid w:val="000363FA"/>
    <w:rsid w:val="00040622"/>
    <w:rsid w:val="00040F9B"/>
    <w:rsid w:val="00041A17"/>
    <w:rsid w:val="000427B0"/>
    <w:rsid w:val="00043976"/>
    <w:rsid w:val="00046CCC"/>
    <w:rsid w:val="000546C7"/>
    <w:rsid w:val="00055793"/>
    <w:rsid w:val="0005617C"/>
    <w:rsid w:val="000561DC"/>
    <w:rsid w:val="00057496"/>
    <w:rsid w:val="00057C9D"/>
    <w:rsid w:val="00061E2B"/>
    <w:rsid w:val="00062E0D"/>
    <w:rsid w:val="00064FFC"/>
    <w:rsid w:val="00067616"/>
    <w:rsid w:val="00067E74"/>
    <w:rsid w:val="0007537E"/>
    <w:rsid w:val="00076B9B"/>
    <w:rsid w:val="00082674"/>
    <w:rsid w:val="00082F1D"/>
    <w:rsid w:val="00086384"/>
    <w:rsid w:val="00096C4E"/>
    <w:rsid w:val="000A36A8"/>
    <w:rsid w:val="000A40BF"/>
    <w:rsid w:val="000B007D"/>
    <w:rsid w:val="000B2E3D"/>
    <w:rsid w:val="000B3C22"/>
    <w:rsid w:val="000B5D6C"/>
    <w:rsid w:val="000C37E0"/>
    <w:rsid w:val="000C4924"/>
    <w:rsid w:val="000D1439"/>
    <w:rsid w:val="000D1ECA"/>
    <w:rsid w:val="000D5720"/>
    <w:rsid w:val="000D66EC"/>
    <w:rsid w:val="000E0100"/>
    <w:rsid w:val="000E034A"/>
    <w:rsid w:val="000E19B4"/>
    <w:rsid w:val="000E2E48"/>
    <w:rsid w:val="000E3F5B"/>
    <w:rsid w:val="000E6568"/>
    <w:rsid w:val="000E76BF"/>
    <w:rsid w:val="0010060E"/>
    <w:rsid w:val="00101817"/>
    <w:rsid w:val="001060C1"/>
    <w:rsid w:val="00111F27"/>
    <w:rsid w:val="00112F45"/>
    <w:rsid w:val="001156D2"/>
    <w:rsid w:val="00116E9B"/>
    <w:rsid w:val="001216C5"/>
    <w:rsid w:val="0012496E"/>
    <w:rsid w:val="00124E8E"/>
    <w:rsid w:val="0012717A"/>
    <w:rsid w:val="00134EB5"/>
    <w:rsid w:val="001378FB"/>
    <w:rsid w:val="0014046B"/>
    <w:rsid w:val="00143041"/>
    <w:rsid w:val="0014327C"/>
    <w:rsid w:val="001445A0"/>
    <w:rsid w:val="001451F4"/>
    <w:rsid w:val="00146470"/>
    <w:rsid w:val="00150E95"/>
    <w:rsid w:val="00151CCE"/>
    <w:rsid w:val="00153B91"/>
    <w:rsid w:val="00160B8D"/>
    <w:rsid w:val="0016191F"/>
    <w:rsid w:val="00164E30"/>
    <w:rsid w:val="001657CF"/>
    <w:rsid w:val="00166566"/>
    <w:rsid w:val="00174D21"/>
    <w:rsid w:val="001762D1"/>
    <w:rsid w:val="00182A0C"/>
    <w:rsid w:val="001834A2"/>
    <w:rsid w:val="0018581B"/>
    <w:rsid w:val="0018792D"/>
    <w:rsid w:val="00187969"/>
    <w:rsid w:val="00187E2F"/>
    <w:rsid w:val="001937A0"/>
    <w:rsid w:val="00193F47"/>
    <w:rsid w:val="00197A37"/>
    <w:rsid w:val="001A5839"/>
    <w:rsid w:val="001A6F74"/>
    <w:rsid w:val="001B2D7A"/>
    <w:rsid w:val="001C01D5"/>
    <w:rsid w:val="001C0AAE"/>
    <w:rsid w:val="001C0C6E"/>
    <w:rsid w:val="001C207A"/>
    <w:rsid w:val="001C665E"/>
    <w:rsid w:val="001C6A08"/>
    <w:rsid w:val="001D0B92"/>
    <w:rsid w:val="001D12EB"/>
    <w:rsid w:val="001D3EFD"/>
    <w:rsid w:val="001D7EC5"/>
    <w:rsid w:val="001E1EDC"/>
    <w:rsid w:val="001E2563"/>
    <w:rsid w:val="001E32D7"/>
    <w:rsid w:val="001E5D9F"/>
    <w:rsid w:val="001E6DCF"/>
    <w:rsid w:val="001F0E93"/>
    <w:rsid w:val="001F36FC"/>
    <w:rsid w:val="001F3812"/>
    <w:rsid w:val="001F4DA0"/>
    <w:rsid w:val="001F5AAF"/>
    <w:rsid w:val="001F6236"/>
    <w:rsid w:val="001F6DA9"/>
    <w:rsid w:val="001F7908"/>
    <w:rsid w:val="001F7D0E"/>
    <w:rsid w:val="002036BB"/>
    <w:rsid w:val="002047E2"/>
    <w:rsid w:val="00205E60"/>
    <w:rsid w:val="00207680"/>
    <w:rsid w:val="002126D4"/>
    <w:rsid w:val="002129EC"/>
    <w:rsid w:val="00212BF5"/>
    <w:rsid w:val="0021418F"/>
    <w:rsid w:val="002148B6"/>
    <w:rsid w:val="00215877"/>
    <w:rsid w:val="00215C1A"/>
    <w:rsid w:val="002161A4"/>
    <w:rsid w:val="00220FD2"/>
    <w:rsid w:val="00222723"/>
    <w:rsid w:val="002234A3"/>
    <w:rsid w:val="00224DE5"/>
    <w:rsid w:val="00225F2B"/>
    <w:rsid w:val="002272EF"/>
    <w:rsid w:val="00227DA3"/>
    <w:rsid w:val="00231812"/>
    <w:rsid w:val="00235524"/>
    <w:rsid w:val="00236CC6"/>
    <w:rsid w:val="00236DCB"/>
    <w:rsid w:val="0024000A"/>
    <w:rsid w:val="00240674"/>
    <w:rsid w:val="002426A7"/>
    <w:rsid w:val="00244589"/>
    <w:rsid w:val="00245D7E"/>
    <w:rsid w:val="00251F86"/>
    <w:rsid w:val="00256075"/>
    <w:rsid w:val="00256566"/>
    <w:rsid w:val="00260BAE"/>
    <w:rsid w:val="00260C2C"/>
    <w:rsid w:val="002612FD"/>
    <w:rsid w:val="00263600"/>
    <w:rsid w:val="002660EC"/>
    <w:rsid w:val="00266BC0"/>
    <w:rsid w:val="00270472"/>
    <w:rsid w:val="00272979"/>
    <w:rsid w:val="002733C1"/>
    <w:rsid w:val="002744D3"/>
    <w:rsid w:val="00275260"/>
    <w:rsid w:val="002758A6"/>
    <w:rsid w:val="00276D11"/>
    <w:rsid w:val="00281CF1"/>
    <w:rsid w:val="00281F45"/>
    <w:rsid w:val="00286CBD"/>
    <w:rsid w:val="00290F86"/>
    <w:rsid w:val="00291083"/>
    <w:rsid w:val="00291586"/>
    <w:rsid w:val="002A0D66"/>
    <w:rsid w:val="002A369F"/>
    <w:rsid w:val="002B385B"/>
    <w:rsid w:val="002B4393"/>
    <w:rsid w:val="002B6671"/>
    <w:rsid w:val="002B68DB"/>
    <w:rsid w:val="002C07B9"/>
    <w:rsid w:val="002C0F95"/>
    <w:rsid w:val="002C1553"/>
    <w:rsid w:val="002C274F"/>
    <w:rsid w:val="002C7630"/>
    <w:rsid w:val="002D25F9"/>
    <w:rsid w:val="002D2C1B"/>
    <w:rsid w:val="002D5DFC"/>
    <w:rsid w:val="002D6272"/>
    <w:rsid w:val="002D65AF"/>
    <w:rsid w:val="002D7C43"/>
    <w:rsid w:val="002E224D"/>
    <w:rsid w:val="002E2ECA"/>
    <w:rsid w:val="002F0224"/>
    <w:rsid w:val="002F0E78"/>
    <w:rsid w:val="002F13B8"/>
    <w:rsid w:val="002F357D"/>
    <w:rsid w:val="002F40F9"/>
    <w:rsid w:val="002F6CD0"/>
    <w:rsid w:val="002F7B59"/>
    <w:rsid w:val="00301DAF"/>
    <w:rsid w:val="0030272D"/>
    <w:rsid w:val="00302736"/>
    <w:rsid w:val="00302F67"/>
    <w:rsid w:val="0030347F"/>
    <w:rsid w:val="00303614"/>
    <w:rsid w:val="00304BDF"/>
    <w:rsid w:val="00305819"/>
    <w:rsid w:val="00305AC5"/>
    <w:rsid w:val="00306BF5"/>
    <w:rsid w:val="00310346"/>
    <w:rsid w:val="00313E9E"/>
    <w:rsid w:val="00313FE4"/>
    <w:rsid w:val="00316676"/>
    <w:rsid w:val="00320457"/>
    <w:rsid w:val="003221E9"/>
    <w:rsid w:val="003233E7"/>
    <w:rsid w:val="00326AD5"/>
    <w:rsid w:val="00327CE7"/>
    <w:rsid w:val="0033097B"/>
    <w:rsid w:val="00331AA6"/>
    <w:rsid w:val="003328B8"/>
    <w:rsid w:val="00332FE3"/>
    <w:rsid w:val="00335479"/>
    <w:rsid w:val="00336821"/>
    <w:rsid w:val="00341CAD"/>
    <w:rsid w:val="00344177"/>
    <w:rsid w:val="00344FDC"/>
    <w:rsid w:val="00345171"/>
    <w:rsid w:val="003456CF"/>
    <w:rsid w:val="0035124B"/>
    <w:rsid w:val="00351769"/>
    <w:rsid w:val="00351960"/>
    <w:rsid w:val="00351B9D"/>
    <w:rsid w:val="00352A27"/>
    <w:rsid w:val="00352E83"/>
    <w:rsid w:val="0035487C"/>
    <w:rsid w:val="003557B1"/>
    <w:rsid w:val="00357570"/>
    <w:rsid w:val="00360C37"/>
    <w:rsid w:val="00362030"/>
    <w:rsid w:val="00363FE9"/>
    <w:rsid w:val="00367F60"/>
    <w:rsid w:val="0037034E"/>
    <w:rsid w:val="00370895"/>
    <w:rsid w:val="00370BD2"/>
    <w:rsid w:val="003711F3"/>
    <w:rsid w:val="00372C0A"/>
    <w:rsid w:val="00374D22"/>
    <w:rsid w:val="0037500E"/>
    <w:rsid w:val="003775D5"/>
    <w:rsid w:val="00377752"/>
    <w:rsid w:val="00380C64"/>
    <w:rsid w:val="00381EB7"/>
    <w:rsid w:val="00382814"/>
    <w:rsid w:val="00386096"/>
    <w:rsid w:val="00390D19"/>
    <w:rsid w:val="003920ED"/>
    <w:rsid w:val="003971AB"/>
    <w:rsid w:val="003A016A"/>
    <w:rsid w:val="003A0827"/>
    <w:rsid w:val="003A0852"/>
    <w:rsid w:val="003A2970"/>
    <w:rsid w:val="003A2AA8"/>
    <w:rsid w:val="003A2BCC"/>
    <w:rsid w:val="003A2BFE"/>
    <w:rsid w:val="003A40AA"/>
    <w:rsid w:val="003A465C"/>
    <w:rsid w:val="003A4FC7"/>
    <w:rsid w:val="003A6CCA"/>
    <w:rsid w:val="003A6D0E"/>
    <w:rsid w:val="003B0780"/>
    <w:rsid w:val="003B0B34"/>
    <w:rsid w:val="003B1A71"/>
    <w:rsid w:val="003B4004"/>
    <w:rsid w:val="003B4359"/>
    <w:rsid w:val="003B44D0"/>
    <w:rsid w:val="003B5816"/>
    <w:rsid w:val="003C1BBC"/>
    <w:rsid w:val="003C1E4D"/>
    <w:rsid w:val="003C22DF"/>
    <w:rsid w:val="003C2413"/>
    <w:rsid w:val="003C3301"/>
    <w:rsid w:val="003C3B5C"/>
    <w:rsid w:val="003C457B"/>
    <w:rsid w:val="003C6AB2"/>
    <w:rsid w:val="003D0281"/>
    <w:rsid w:val="003D0565"/>
    <w:rsid w:val="003D41D8"/>
    <w:rsid w:val="003D5877"/>
    <w:rsid w:val="003D6504"/>
    <w:rsid w:val="003E0757"/>
    <w:rsid w:val="003E0B53"/>
    <w:rsid w:val="003E16D8"/>
    <w:rsid w:val="003E1B16"/>
    <w:rsid w:val="003E63E9"/>
    <w:rsid w:val="003F030F"/>
    <w:rsid w:val="003F0B70"/>
    <w:rsid w:val="003F2A86"/>
    <w:rsid w:val="003F4E3C"/>
    <w:rsid w:val="003F7D71"/>
    <w:rsid w:val="003F7DF8"/>
    <w:rsid w:val="004028D5"/>
    <w:rsid w:val="004045E4"/>
    <w:rsid w:val="004059D4"/>
    <w:rsid w:val="00407BD8"/>
    <w:rsid w:val="00413790"/>
    <w:rsid w:val="00413CFB"/>
    <w:rsid w:val="00414DCE"/>
    <w:rsid w:val="00416FC8"/>
    <w:rsid w:val="00420FB8"/>
    <w:rsid w:val="004214E3"/>
    <w:rsid w:val="00421B40"/>
    <w:rsid w:val="00422258"/>
    <w:rsid w:val="00423C33"/>
    <w:rsid w:val="0042584E"/>
    <w:rsid w:val="00426FD6"/>
    <w:rsid w:val="00427291"/>
    <w:rsid w:val="00430E90"/>
    <w:rsid w:val="00432081"/>
    <w:rsid w:val="00433909"/>
    <w:rsid w:val="00433CFE"/>
    <w:rsid w:val="00435C42"/>
    <w:rsid w:val="00435CF2"/>
    <w:rsid w:val="00436AEA"/>
    <w:rsid w:val="00440FAE"/>
    <w:rsid w:val="004410C9"/>
    <w:rsid w:val="004412CD"/>
    <w:rsid w:val="0044228E"/>
    <w:rsid w:val="004428DE"/>
    <w:rsid w:val="00445D85"/>
    <w:rsid w:val="00446636"/>
    <w:rsid w:val="00447064"/>
    <w:rsid w:val="00450385"/>
    <w:rsid w:val="004504EA"/>
    <w:rsid w:val="00455943"/>
    <w:rsid w:val="00455E09"/>
    <w:rsid w:val="004570AC"/>
    <w:rsid w:val="0045753B"/>
    <w:rsid w:val="004579CF"/>
    <w:rsid w:val="0046001A"/>
    <w:rsid w:val="00461C2F"/>
    <w:rsid w:val="00463EF6"/>
    <w:rsid w:val="00467CA8"/>
    <w:rsid w:val="00473B9D"/>
    <w:rsid w:val="004841B3"/>
    <w:rsid w:val="004845B4"/>
    <w:rsid w:val="0048657A"/>
    <w:rsid w:val="004867CC"/>
    <w:rsid w:val="004958FC"/>
    <w:rsid w:val="004966A7"/>
    <w:rsid w:val="004A105A"/>
    <w:rsid w:val="004A22E8"/>
    <w:rsid w:val="004A3386"/>
    <w:rsid w:val="004A5970"/>
    <w:rsid w:val="004A631D"/>
    <w:rsid w:val="004B0EA7"/>
    <w:rsid w:val="004B1725"/>
    <w:rsid w:val="004B27FB"/>
    <w:rsid w:val="004B376C"/>
    <w:rsid w:val="004B53C8"/>
    <w:rsid w:val="004B7ABF"/>
    <w:rsid w:val="004C2609"/>
    <w:rsid w:val="004C359A"/>
    <w:rsid w:val="004C4371"/>
    <w:rsid w:val="004C49C3"/>
    <w:rsid w:val="004C6117"/>
    <w:rsid w:val="004C66D0"/>
    <w:rsid w:val="004C6C14"/>
    <w:rsid w:val="004D09F0"/>
    <w:rsid w:val="004D0D74"/>
    <w:rsid w:val="004D149E"/>
    <w:rsid w:val="004D1CB3"/>
    <w:rsid w:val="004D38F0"/>
    <w:rsid w:val="004D430C"/>
    <w:rsid w:val="004D638C"/>
    <w:rsid w:val="004D6913"/>
    <w:rsid w:val="004E2468"/>
    <w:rsid w:val="004E51BE"/>
    <w:rsid w:val="004E5E00"/>
    <w:rsid w:val="004F4A12"/>
    <w:rsid w:val="00500707"/>
    <w:rsid w:val="005023B5"/>
    <w:rsid w:val="00503AEC"/>
    <w:rsid w:val="0050434E"/>
    <w:rsid w:val="00504E6C"/>
    <w:rsid w:val="00505792"/>
    <w:rsid w:val="005079E0"/>
    <w:rsid w:val="005101F4"/>
    <w:rsid w:val="00513062"/>
    <w:rsid w:val="00513631"/>
    <w:rsid w:val="0051566C"/>
    <w:rsid w:val="00515C09"/>
    <w:rsid w:val="005177DA"/>
    <w:rsid w:val="00520724"/>
    <w:rsid w:val="005251AD"/>
    <w:rsid w:val="00526695"/>
    <w:rsid w:val="00526D50"/>
    <w:rsid w:val="005310CC"/>
    <w:rsid w:val="00531B35"/>
    <w:rsid w:val="005352A6"/>
    <w:rsid w:val="005357A0"/>
    <w:rsid w:val="00540357"/>
    <w:rsid w:val="00540493"/>
    <w:rsid w:val="00545D78"/>
    <w:rsid w:val="005469C0"/>
    <w:rsid w:val="005475A3"/>
    <w:rsid w:val="005479D6"/>
    <w:rsid w:val="0055068A"/>
    <w:rsid w:val="0055672D"/>
    <w:rsid w:val="00560EF2"/>
    <w:rsid w:val="00561CEC"/>
    <w:rsid w:val="005649CA"/>
    <w:rsid w:val="00564A43"/>
    <w:rsid w:val="00564AD1"/>
    <w:rsid w:val="005703B3"/>
    <w:rsid w:val="005720CF"/>
    <w:rsid w:val="00575D4F"/>
    <w:rsid w:val="00580576"/>
    <w:rsid w:val="005809FC"/>
    <w:rsid w:val="00582E0D"/>
    <w:rsid w:val="00584C7B"/>
    <w:rsid w:val="00585133"/>
    <w:rsid w:val="00586BD1"/>
    <w:rsid w:val="00587E1E"/>
    <w:rsid w:val="005908D1"/>
    <w:rsid w:val="00597D29"/>
    <w:rsid w:val="005A0143"/>
    <w:rsid w:val="005A1E00"/>
    <w:rsid w:val="005A2A2B"/>
    <w:rsid w:val="005A2D69"/>
    <w:rsid w:val="005A4046"/>
    <w:rsid w:val="005A4F5D"/>
    <w:rsid w:val="005A6174"/>
    <w:rsid w:val="005A7145"/>
    <w:rsid w:val="005B0B30"/>
    <w:rsid w:val="005B105E"/>
    <w:rsid w:val="005B378E"/>
    <w:rsid w:val="005C03FB"/>
    <w:rsid w:val="005C1952"/>
    <w:rsid w:val="005C2175"/>
    <w:rsid w:val="005C22EF"/>
    <w:rsid w:val="005D1C6B"/>
    <w:rsid w:val="005D4418"/>
    <w:rsid w:val="005D4631"/>
    <w:rsid w:val="005D4958"/>
    <w:rsid w:val="005D4A2B"/>
    <w:rsid w:val="005D5753"/>
    <w:rsid w:val="005D72CA"/>
    <w:rsid w:val="005E103C"/>
    <w:rsid w:val="005E3915"/>
    <w:rsid w:val="005E3D7E"/>
    <w:rsid w:val="005E661A"/>
    <w:rsid w:val="005F3932"/>
    <w:rsid w:val="005F4AE3"/>
    <w:rsid w:val="005F6CFF"/>
    <w:rsid w:val="005F75C4"/>
    <w:rsid w:val="005F7E14"/>
    <w:rsid w:val="00600B78"/>
    <w:rsid w:val="00602C94"/>
    <w:rsid w:val="00610152"/>
    <w:rsid w:val="00610C8D"/>
    <w:rsid w:val="00610F10"/>
    <w:rsid w:val="00613074"/>
    <w:rsid w:val="00616E62"/>
    <w:rsid w:val="0062062A"/>
    <w:rsid w:val="00620A04"/>
    <w:rsid w:val="00622259"/>
    <w:rsid w:val="00622DC8"/>
    <w:rsid w:val="00623022"/>
    <w:rsid w:val="006248E3"/>
    <w:rsid w:val="00624FA6"/>
    <w:rsid w:val="00627983"/>
    <w:rsid w:val="00630F15"/>
    <w:rsid w:val="0063134F"/>
    <w:rsid w:val="00631710"/>
    <w:rsid w:val="0063186C"/>
    <w:rsid w:val="00631EBB"/>
    <w:rsid w:val="00632719"/>
    <w:rsid w:val="006361BA"/>
    <w:rsid w:val="00636DBE"/>
    <w:rsid w:val="0063761E"/>
    <w:rsid w:val="00637680"/>
    <w:rsid w:val="006377B6"/>
    <w:rsid w:val="00637CD6"/>
    <w:rsid w:val="006440DE"/>
    <w:rsid w:val="006446DD"/>
    <w:rsid w:val="00647335"/>
    <w:rsid w:val="00650186"/>
    <w:rsid w:val="006509B3"/>
    <w:rsid w:val="00652D78"/>
    <w:rsid w:val="006533C3"/>
    <w:rsid w:val="006551B8"/>
    <w:rsid w:val="00661EB9"/>
    <w:rsid w:val="00665358"/>
    <w:rsid w:val="006653B5"/>
    <w:rsid w:val="0067097E"/>
    <w:rsid w:val="00670EE8"/>
    <w:rsid w:val="0067184E"/>
    <w:rsid w:val="00672EC1"/>
    <w:rsid w:val="00673F4F"/>
    <w:rsid w:val="0067455A"/>
    <w:rsid w:val="00674659"/>
    <w:rsid w:val="006853CF"/>
    <w:rsid w:val="00685740"/>
    <w:rsid w:val="00686AE9"/>
    <w:rsid w:val="006876B6"/>
    <w:rsid w:val="00691A06"/>
    <w:rsid w:val="00692313"/>
    <w:rsid w:val="00692F3A"/>
    <w:rsid w:val="00693616"/>
    <w:rsid w:val="00694865"/>
    <w:rsid w:val="00694DD1"/>
    <w:rsid w:val="00696BAF"/>
    <w:rsid w:val="00697683"/>
    <w:rsid w:val="006A0767"/>
    <w:rsid w:val="006A5279"/>
    <w:rsid w:val="006B32E5"/>
    <w:rsid w:val="006B68D8"/>
    <w:rsid w:val="006B6D83"/>
    <w:rsid w:val="006C1856"/>
    <w:rsid w:val="006C1C50"/>
    <w:rsid w:val="006C5683"/>
    <w:rsid w:val="006C57B2"/>
    <w:rsid w:val="006D0CC1"/>
    <w:rsid w:val="006D0E98"/>
    <w:rsid w:val="006D0FB6"/>
    <w:rsid w:val="006D1F16"/>
    <w:rsid w:val="006D54BE"/>
    <w:rsid w:val="006D6DB1"/>
    <w:rsid w:val="006D73EA"/>
    <w:rsid w:val="006D75CD"/>
    <w:rsid w:val="006E1655"/>
    <w:rsid w:val="006E2BF3"/>
    <w:rsid w:val="006E3A0A"/>
    <w:rsid w:val="006E7327"/>
    <w:rsid w:val="006E7560"/>
    <w:rsid w:val="006E7A7E"/>
    <w:rsid w:val="006F19E3"/>
    <w:rsid w:val="006F243E"/>
    <w:rsid w:val="006F3C8E"/>
    <w:rsid w:val="006F4689"/>
    <w:rsid w:val="006F4798"/>
    <w:rsid w:val="006F6AFA"/>
    <w:rsid w:val="007015FF"/>
    <w:rsid w:val="00701A3B"/>
    <w:rsid w:val="00701D85"/>
    <w:rsid w:val="00701E18"/>
    <w:rsid w:val="00702777"/>
    <w:rsid w:val="0070415F"/>
    <w:rsid w:val="00704BD0"/>
    <w:rsid w:val="00706916"/>
    <w:rsid w:val="00710C7E"/>
    <w:rsid w:val="00710E92"/>
    <w:rsid w:val="00714E95"/>
    <w:rsid w:val="0071547D"/>
    <w:rsid w:val="00721DA8"/>
    <w:rsid w:val="00722FCE"/>
    <w:rsid w:val="00723457"/>
    <w:rsid w:val="0072385C"/>
    <w:rsid w:val="00724C0F"/>
    <w:rsid w:val="00726171"/>
    <w:rsid w:val="007264CE"/>
    <w:rsid w:val="00727E45"/>
    <w:rsid w:val="00731B99"/>
    <w:rsid w:val="00733D46"/>
    <w:rsid w:val="00733F4B"/>
    <w:rsid w:val="00734630"/>
    <w:rsid w:val="00736081"/>
    <w:rsid w:val="007374B9"/>
    <w:rsid w:val="00740A8F"/>
    <w:rsid w:val="00742876"/>
    <w:rsid w:val="0074415E"/>
    <w:rsid w:val="0074688C"/>
    <w:rsid w:val="00747A24"/>
    <w:rsid w:val="007554E3"/>
    <w:rsid w:val="00756BAC"/>
    <w:rsid w:val="007607E8"/>
    <w:rsid w:val="007608FF"/>
    <w:rsid w:val="00760BD6"/>
    <w:rsid w:val="007626D9"/>
    <w:rsid w:val="00766874"/>
    <w:rsid w:val="00770866"/>
    <w:rsid w:val="00771ACE"/>
    <w:rsid w:val="00772942"/>
    <w:rsid w:val="00774F15"/>
    <w:rsid w:val="00774FB4"/>
    <w:rsid w:val="00775EF4"/>
    <w:rsid w:val="00780130"/>
    <w:rsid w:val="00784486"/>
    <w:rsid w:val="00787EDB"/>
    <w:rsid w:val="0079113B"/>
    <w:rsid w:val="007917E9"/>
    <w:rsid w:val="00794845"/>
    <w:rsid w:val="00794B03"/>
    <w:rsid w:val="00797AA8"/>
    <w:rsid w:val="007A0FB2"/>
    <w:rsid w:val="007A1926"/>
    <w:rsid w:val="007A4F58"/>
    <w:rsid w:val="007A6725"/>
    <w:rsid w:val="007A7ADD"/>
    <w:rsid w:val="007B002D"/>
    <w:rsid w:val="007B0F66"/>
    <w:rsid w:val="007B2962"/>
    <w:rsid w:val="007B42B2"/>
    <w:rsid w:val="007B4476"/>
    <w:rsid w:val="007C00DA"/>
    <w:rsid w:val="007C0E16"/>
    <w:rsid w:val="007C39B0"/>
    <w:rsid w:val="007C4E55"/>
    <w:rsid w:val="007C7FB5"/>
    <w:rsid w:val="007D032E"/>
    <w:rsid w:val="007D7C47"/>
    <w:rsid w:val="007E1A43"/>
    <w:rsid w:val="007E3C0E"/>
    <w:rsid w:val="007E572E"/>
    <w:rsid w:val="007E718E"/>
    <w:rsid w:val="008012DF"/>
    <w:rsid w:val="008115C5"/>
    <w:rsid w:val="00812C70"/>
    <w:rsid w:val="0081327E"/>
    <w:rsid w:val="00813655"/>
    <w:rsid w:val="0081418A"/>
    <w:rsid w:val="008149B0"/>
    <w:rsid w:val="008177D7"/>
    <w:rsid w:val="00822D9F"/>
    <w:rsid w:val="0082614E"/>
    <w:rsid w:val="00826203"/>
    <w:rsid w:val="008272A5"/>
    <w:rsid w:val="008277A6"/>
    <w:rsid w:val="00832598"/>
    <w:rsid w:val="00833183"/>
    <w:rsid w:val="00833221"/>
    <w:rsid w:val="0084076A"/>
    <w:rsid w:val="008423A3"/>
    <w:rsid w:val="00844A5A"/>
    <w:rsid w:val="00845557"/>
    <w:rsid w:val="00846D9D"/>
    <w:rsid w:val="00850F86"/>
    <w:rsid w:val="00851017"/>
    <w:rsid w:val="0085211A"/>
    <w:rsid w:val="00856C0B"/>
    <w:rsid w:val="00857BF6"/>
    <w:rsid w:val="0086142A"/>
    <w:rsid w:val="00861D88"/>
    <w:rsid w:val="00862D16"/>
    <w:rsid w:val="00864823"/>
    <w:rsid w:val="0087362B"/>
    <w:rsid w:val="00876FA4"/>
    <w:rsid w:val="00880168"/>
    <w:rsid w:val="00882D3C"/>
    <w:rsid w:val="008847ED"/>
    <w:rsid w:val="00884F54"/>
    <w:rsid w:val="00887D24"/>
    <w:rsid w:val="00892D3B"/>
    <w:rsid w:val="00894A6B"/>
    <w:rsid w:val="00895154"/>
    <w:rsid w:val="00897EDC"/>
    <w:rsid w:val="008A0EDB"/>
    <w:rsid w:val="008A17EB"/>
    <w:rsid w:val="008A2F12"/>
    <w:rsid w:val="008A5134"/>
    <w:rsid w:val="008A5214"/>
    <w:rsid w:val="008A5F56"/>
    <w:rsid w:val="008B303B"/>
    <w:rsid w:val="008B354F"/>
    <w:rsid w:val="008B6CCD"/>
    <w:rsid w:val="008C0C6D"/>
    <w:rsid w:val="008C1351"/>
    <w:rsid w:val="008C5774"/>
    <w:rsid w:val="008C579E"/>
    <w:rsid w:val="008C6586"/>
    <w:rsid w:val="008C6AA9"/>
    <w:rsid w:val="008D0FCF"/>
    <w:rsid w:val="008D37F6"/>
    <w:rsid w:val="008D5B54"/>
    <w:rsid w:val="008D6266"/>
    <w:rsid w:val="008D7983"/>
    <w:rsid w:val="008D7BF0"/>
    <w:rsid w:val="008F09A9"/>
    <w:rsid w:val="008F1959"/>
    <w:rsid w:val="008F7F65"/>
    <w:rsid w:val="00900963"/>
    <w:rsid w:val="00904440"/>
    <w:rsid w:val="0090492C"/>
    <w:rsid w:val="009121FF"/>
    <w:rsid w:val="009129DC"/>
    <w:rsid w:val="00913148"/>
    <w:rsid w:val="009208D8"/>
    <w:rsid w:val="00922CD2"/>
    <w:rsid w:val="00922DBD"/>
    <w:rsid w:val="0092387F"/>
    <w:rsid w:val="00925F3A"/>
    <w:rsid w:val="00926505"/>
    <w:rsid w:val="009265C0"/>
    <w:rsid w:val="00926C69"/>
    <w:rsid w:val="00926F0E"/>
    <w:rsid w:val="009345AE"/>
    <w:rsid w:val="00935573"/>
    <w:rsid w:val="009356A2"/>
    <w:rsid w:val="00944047"/>
    <w:rsid w:val="009469BE"/>
    <w:rsid w:val="0094797C"/>
    <w:rsid w:val="00947DC2"/>
    <w:rsid w:val="00951FDE"/>
    <w:rsid w:val="00954253"/>
    <w:rsid w:val="00954773"/>
    <w:rsid w:val="00954FC6"/>
    <w:rsid w:val="00957FBC"/>
    <w:rsid w:val="00960108"/>
    <w:rsid w:val="00960420"/>
    <w:rsid w:val="00960714"/>
    <w:rsid w:val="0096255F"/>
    <w:rsid w:val="00967C6A"/>
    <w:rsid w:val="009704FB"/>
    <w:rsid w:val="0097527E"/>
    <w:rsid w:val="00976C3D"/>
    <w:rsid w:val="009774CE"/>
    <w:rsid w:val="009832ED"/>
    <w:rsid w:val="00985FC1"/>
    <w:rsid w:val="00986F73"/>
    <w:rsid w:val="00991785"/>
    <w:rsid w:val="00992F3F"/>
    <w:rsid w:val="00993E9F"/>
    <w:rsid w:val="00994B34"/>
    <w:rsid w:val="00994EF3"/>
    <w:rsid w:val="009958EC"/>
    <w:rsid w:val="00997577"/>
    <w:rsid w:val="00997E96"/>
    <w:rsid w:val="009A03A4"/>
    <w:rsid w:val="009A200B"/>
    <w:rsid w:val="009B035B"/>
    <w:rsid w:val="009B119D"/>
    <w:rsid w:val="009B1B76"/>
    <w:rsid w:val="009B356B"/>
    <w:rsid w:val="009B449F"/>
    <w:rsid w:val="009C1C52"/>
    <w:rsid w:val="009C2EA4"/>
    <w:rsid w:val="009C7CDB"/>
    <w:rsid w:val="009D1A9A"/>
    <w:rsid w:val="009D23F1"/>
    <w:rsid w:val="009D57A2"/>
    <w:rsid w:val="009D7913"/>
    <w:rsid w:val="009D7B56"/>
    <w:rsid w:val="009E1A09"/>
    <w:rsid w:val="009E2351"/>
    <w:rsid w:val="009E318C"/>
    <w:rsid w:val="009E3F3C"/>
    <w:rsid w:val="009E481B"/>
    <w:rsid w:val="009E4D2D"/>
    <w:rsid w:val="009E63A4"/>
    <w:rsid w:val="009E7589"/>
    <w:rsid w:val="009F3981"/>
    <w:rsid w:val="009F4D87"/>
    <w:rsid w:val="009F70E9"/>
    <w:rsid w:val="00A00B4A"/>
    <w:rsid w:val="00A0777B"/>
    <w:rsid w:val="00A10251"/>
    <w:rsid w:val="00A115C6"/>
    <w:rsid w:val="00A13230"/>
    <w:rsid w:val="00A13762"/>
    <w:rsid w:val="00A1395B"/>
    <w:rsid w:val="00A16360"/>
    <w:rsid w:val="00A225FF"/>
    <w:rsid w:val="00A23C16"/>
    <w:rsid w:val="00A25D84"/>
    <w:rsid w:val="00A26182"/>
    <w:rsid w:val="00A31D12"/>
    <w:rsid w:val="00A340FA"/>
    <w:rsid w:val="00A41524"/>
    <w:rsid w:val="00A4337D"/>
    <w:rsid w:val="00A45D4A"/>
    <w:rsid w:val="00A47036"/>
    <w:rsid w:val="00A50878"/>
    <w:rsid w:val="00A51787"/>
    <w:rsid w:val="00A56ED0"/>
    <w:rsid w:val="00A579D3"/>
    <w:rsid w:val="00A57AE7"/>
    <w:rsid w:val="00A64A9C"/>
    <w:rsid w:val="00A66894"/>
    <w:rsid w:val="00A67D17"/>
    <w:rsid w:val="00A76E89"/>
    <w:rsid w:val="00A809BC"/>
    <w:rsid w:val="00A80A9C"/>
    <w:rsid w:val="00A80EE0"/>
    <w:rsid w:val="00A81AA5"/>
    <w:rsid w:val="00A835C8"/>
    <w:rsid w:val="00A84AF7"/>
    <w:rsid w:val="00A85694"/>
    <w:rsid w:val="00A860EB"/>
    <w:rsid w:val="00A92D47"/>
    <w:rsid w:val="00A93BF0"/>
    <w:rsid w:val="00A94C94"/>
    <w:rsid w:val="00A96295"/>
    <w:rsid w:val="00A96555"/>
    <w:rsid w:val="00A967DA"/>
    <w:rsid w:val="00A968AB"/>
    <w:rsid w:val="00A97DD5"/>
    <w:rsid w:val="00AA004B"/>
    <w:rsid w:val="00AA463E"/>
    <w:rsid w:val="00AA69EF"/>
    <w:rsid w:val="00AB2DA2"/>
    <w:rsid w:val="00AB3915"/>
    <w:rsid w:val="00AB52CE"/>
    <w:rsid w:val="00AB5F44"/>
    <w:rsid w:val="00AC0309"/>
    <w:rsid w:val="00AC0716"/>
    <w:rsid w:val="00AC5BEF"/>
    <w:rsid w:val="00AC6105"/>
    <w:rsid w:val="00AC68BE"/>
    <w:rsid w:val="00AC690B"/>
    <w:rsid w:val="00AD0028"/>
    <w:rsid w:val="00AD02BF"/>
    <w:rsid w:val="00AD0DC0"/>
    <w:rsid w:val="00AD0E5F"/>
    <w:rsid w:val="00AD59E1"/>
    <w:rsid w:val="00AD606D"/>
    <w:rsid w:val="00AE39CB"/>
    <w:rsid w:val="00AE4FA9"/>
    <w:rsid w:val="00AE52CF"/>
    <w:rsid w:val="00AE5F4A"/>
    <w:rsid w:val="00AE7C82"/>
    <w:rsid w:val="00AF30A5"/>
    <w:rsid w:val="00AF3186"/>
    <w:rsid w:val="00AF3A76"/>
    <w:rsid w:val="00AF3FDD"/>
    <w:rsid w:val="00AF5B6E"/>
    <w:rsid w:val="00AF7744"/>
    <w:rsid w:val="00B007D6"/>
    <w:rsid w:val="00B057CB"/>
    <w:rsid w:val="00B05E6D"/>
    <w:rsid w:val="00B10136"/>
    <w:rsid w:val="00B117D5"/>
    <w:rsid w:val="00B11C37"/>
    <w:rsid w:val="00B12A30"/>
    <w:rsid w:val="00B12CBD"/>
    <w:rsid w:val="00B1713F"/>
    <w:rsid w:val="00B320DC"/>
    <w:rsid w:val="00B35A8E"/>
    <w:rsid w:val="00B35F21"/>
    <w:rsid w:val="00B4014F"/>
    <w:rsid w:val="00B43F40"/>
    <w:rsid w:val="00B44D4B"/>
    <w:rsid w:val="00B45635"/>
    <w:rsid w:val="00B45A79"/>
    <w:rsid w:val="00B50322"/>
    <w:rsid w:val="00B52044"/>
    <w:rsid w:val="00B52063"/>
    <w:rsid w:val="00B53898"/>
    <w:rsid w:val="00B539A1"/>
    <w:rsid w:val="00B53A32"/>
    <w:rsid w:val="00B53C15"/>
    <w:rsid w:val="00B562DD"/>
    <w:rsid w:val="00B5701B"/>
    <w:rsid w:val="00B615CC"/>
    <w:rsid w:val="00B6291B"/>
    <w:rsid w:val="00B672D3"/>
    <w:rsid w:val="00B67466"/>
    <w:rsid w:val="00B7023F"/>
    <w:rsid w:val="00B708FB"/>
    <w:rsid w:val="00B7491A"/>
    <w:rsid w:val="00B7630C"/>
    <w:rsid w:val="00B81C73"/>
    <w:rsid w:val="00B81F70"/>
    <w:rsid w:val="00B822C3"/>
    <w:rsid w:val="00B82B8A"/>
    <w:rsid w:val="00B8377E"/>
    <w:rsid w:val="00B85DF4"/>
    <w:rsid w:val="00B927C9"/>
    <w:rsid w:val="00B92FD1"/>
    <w:rsid w:val="00B9451F"/>
    <w:rsid w:val="00B96F88"/>
    <w:rsid w:val="00BA32E7"/>
    <w:rsid w:val="00BA67D0"/>
    <w:rsid w:val="00BB32F0"/>
    <w:rsid w:val="00BB3DE9"/>
    <w:rsid w:val="00BB473F"/>
    <w:rsid w:val="00BC05A6"/>
    <w:rsid w:val="00BC0C56"/>
    <w:rsid w:val="00BC10C2"/>
    <w:rsid w:val="00BC1CFB"/>
    <w:rsid w:val="00BC6FE3"/>
    <w:rsid w:val="00BD10A6"/>
    <w:rsid w:val="00BD22CE"/>
    <w:rsid w:val="00BD2399"/>
    <w:rsid w:val="00BD2C86"/>
    <w:rsid w:val="00BD3E31"/>
    <w:rsid w:val="00BD500A"/>
    <w:rsid w:val="00BD78DB"/>
    <w:rsid w:val="00BE109B"/>
    <w:rsid w:val="00BE2587"/>
    <w:rsid w:val="00BE4349"/>
    <w:rsid w:val="00BE50AA"/>
    <w:rsid w:val="00BE56D0"/>
    <w:rsid w:val="00BE7316"/>
    <w:rsid w:val="00BE7C55"/>
    <w:rsid w:val="00BF00E3"/>
    <w:rsid w:val="00BF0C5F"/>
    <w:rsid w:val="00BF15F9"/>
    <w:rsid w:val="00BF16FD"/>
    <w:rsid w:val="00BF4EEF"/>
    <w:rsid w:val="00C07E01"/>
    <w:rsid w:val="00C10827"/>
    <w:rsid w:val="00C11964"/>
    <w:rsid w:val="00C12CB5"/>
    <w:rsid w:val="00C13AFC"/>
    <w:rsid w:val="00C14277"/>
    <w:rsid w:val="00C236F4"/>
    <w:rsid w:val="00C3182A"/>
    <w:rsid w:val="00C31A20"/>
    <w:rsid w:val="00C3321C"/>
    <w:rsid w:val="00C33ED5"/>
    <w:rsid w:val="00C33F33"/>
    <w:rsid w:val="00C356E8"/>
    <w:rsid w:val="00C35A97"/>
    <w:rsid w:val="00C371A0"/>
    <w:rsid w:val="00C40943"/>
    <w:rsid w:val="00C43935"/>
    <w:rsid w:val="00C441D8"/>
    <w:rsid w:val="00C4459B"/>
    <w:rsid w:val="00C4569B"/>
    <w:rsid w:val="00C4600B"/>
    <w:rsid w:val="00C471ED"/>
    <w:rsid w:val="00C5056D"/>
    <w:rsid w:val="00C50F95"/>
    <w:rsid w:val="00C607C9"/>
    <w:rsid w:val="00C62A0C"/>
    <w:rsid w:val="00C64B15"/>
    <w:rsid w:val="00C65823"/>
    <w:rsid w:val="00C66CE1"/>
    <w:rsid w:val="00C66FC4"/>
    <w:rsid w:val="00C67F24"/>
    <w:rsid w:val="00C72782"/>
    <w:rsid w:val="00C730A2"/>
    <w:rsid w:val="00C73E6F"/>
    <w:rsid w:val="00C75154"/>
    <w:rsid w:val="00C76D9F"/>
    <w:rsid w:val="00C80BD9"/>
    <w:rsid w:val="00C80CAD"/>
    <w:rsid w:val="00C8353B"/>
    <w:rsid w:val="00C83898"/>
    <w:rsid w:val="00C867BC"/>
    <w:rsid w:val="00C91B4F"/>
    <w:rsid w:val="00C924ED"/>
    <w:rsid w:val="00C94E7B"/>
    <w:rsid w:val="00C954D7"/>
    <w:rsid w:val="00C976B9"/>
    <w:rsid w:val="00CA02C6"/>
    <w:rsid w:val="00CA0EB9"/>
    <w:rsid w:val="00CA136E"/>
    <w:rsid w:val="00CA20DE"/>
    <w:rsid w:val="00CA2364"/>
    <w:rsid w:val="00CA292B"/>
    <w:rsid w:val="00CA2BEE"/>
    <w:rsid w:val="00CA3E8B"/>
    <w:rsid w:val="00CA4EA1"/>
    <w:rsid w:val="00CA587F"/>
    <w:rsid w:val="00CA6F12"/>
    <w:rsid w:val="00CA75DC"/>
    <w:rsid w:val="00CA76AD"/>
    <w:rsid w:val="00CA7800"/>
    <w:rsid w:val="00CA7D25"/>
    <w:rsid w:val="00CB2A38"/>
    <w:rsid w:val="00CB5D46"/>
    <w:rsid w:val="00CB5E98"/>
    <w:rsid w:val="00CB6330"/>
    <w:rsid w:val="00CC0C7A"/>
    <w:rsid w:val="00CC39D2"/>
    <w:rsid w:val="00CD4346"/>
    <w:rsid w:val="00CD70EB"/>
    <w:rsid w:val="00CD719F"/>
    <w:rsid w:val="00CE19AC"/>
    <w:rsid w:val="00CE30C5"/>
    <w:rsid w:val="00CE5938"/>
    <w:rsid w:val="00CE6A89"/>
    <w:rsid w:val="00CE7ED8"/>
    <w:rsid w:val="00CE7F33"/>
    <w:rsid w:val="00CF549A"/>
    <w:rsid w:val="00D00AC3"/>
    <w:rsid w:val="00D0327C"/>
    <w:rsid w:val="00D03C41"/>
    <w:rsid w:val="00D057A6"/>
    <w:rsid w:val="00D06875"/>
    <w:rsid w:val="00D07265"/>
    <w:rsid w:val="00D122BE"/>
    <w:rsid w:val="00D1342E"/>
    <w:rsid w:val="00D1530C"/>
    <w:rsid w:val="00D1613E"/>
    <w:rsid w:val="00D20C24"/>
    <w:rsid w:val="00D22230"/>
    <w:rsid w:val="00D22CEB"/>
    <w:rsid w:val="00D253BF"/>
    <w:rsid w:val="00D26944"/>
    <w:rsid w:val="00D3397C"/>
    <w:rsid w:val="00D349D1"/>
    <w:rsid w:val="00D34E70"/>
    <w:rsid w:val="00D35A55"/>
    <w:rsid w:val="00D35D07"/>
    <w:rsid w:val="00D363E8"/>
    <w:rsid w:val="00D36FC3"/>
    <w:rsid w:val="00D4084D"/>
    <w:rsid w:val="00D4139F"/>
    <w:rsid w:val="00D41486"/>
    <w:rsid w:val="00D4173D"/>
    <w:rsid w:val="00D41CB9"/>
    <w:rsid w:val="00D42C20"/>
    <w:rsid w:val="00D42CA7"/>
    <w:rsid w:val="00D46846"/>
    <w:rsid w:val="00D47ED1"/>
    <w:rsid w:val="00D50089"/>
    <w:rsid w:val="00D519F7"/>
    <w:rsid w:val="00D54568"/>
    <w:rsid w:val="00D55589"/>
    <w:rsid w:val="00D620D5"/>
    <w:rsid w:val="00D635CE"/>
    <w:rsid w:val="00D7092D"/>
    <w:rsid w:val="00D726B0"/>
    <w:rsid w:val="00D80A98"/>
    <w:rsid w:val="00D80D32"/>
    <w:rsid w:val="00D850CE"/>
    <w:rsid w:val="00D8769C"/>
    <w:rsid w:val="00D90F5D"/>
    <w:rsid w:val="00D93A95"/>
    <w:rsid w:val="00DA0B1F"/>
    <w:rsid w:val="00DA4B02"/>
    <w:rsid w:val="00DA5F89"/>
    <w:rsid w:val="00DA6586"/>
    <w:rsid w:val="00DA6C89"/>
    <w:rsid w:val="00DB01C7"/>
    <w:rsid w:val="00DB05AE"/>
    <w:rsid w:val="00DB3E13"/>
    <w:rsid w:val="00DB4413"/>
    <w:rsid w:val="00DB5096"/>
    <w:rsid w:val="00DC25CD"/>
    <w:rsid w:val="00DC3562"/>
    <w:rsid w:val="00DC3ADD"/>
    <w:rsid w:val="00DC3EEC"/>
    <w:rsid w:val="00DC418C"/>
    <w:rsid w:val="00DD1E87"/>
    <w:rsid w:val="00DD269D"/>
    <w:rsid w:val="00DD5E1F"/>
    <w:rsid w:val="00DD7C82"/>
    <w:rsid w:val="00DE1518"/>
    <w:rsid w:val="00DE2088"/>
    <w:rsid w:val="00DE6A97"/>
    <w:rsid w:val="00DF184E"/>
    <w:rsid w:val="00DF3AFE"/>
    <w:rsid w:val="00DF53BE"/>
    <w:rsid w:val="00DF6863"/>
    <w:rsid w:val="00E02F60"/>
    <w:rsid w:val="00E068E3"/>
    <w:rsid w:val="00E070F1"/>
    <w:rsid w:val="00E07BA5"/>
    <w:rsid w:val="00E10A8C"/>
    <w:rsid w:val="00E1232A"/>
    <w:rsid w:val="00E15337"/>
    <w:rsid w:val="00E1701D"/>
    <w:rsid w:val="00E174D2"/>
    <w:rsid w:val="00E20E29"/>
    <w:rsid w:val="00E24BDF"/>
    <w:rsid w:val="00E25A24"/>
    <w:rsid w:val="00E25EDC"/>
    <w:rsid w:val="00E26B1D"/>
    <w:rsid w:val="00E270F6"/>
    <w:rsid w:val="00E2789D"/>
    <w:rsid w:val="00E37A5B"/>
    <w:rsid w:val="00E40304"/>
    <w:rsid w:val="00E40782"/>
    <w:rsid w:val="00E4135E"/>
    <w:rsid w:val="00E41BB9"/>
    <w:rsid w:val="00E4348E"/>
    <w:rsid w:val="00E50A06"/>
    <w:rsid w:val="00E510C9"/>
    <w:rsid w:val="00E52449"/>
    <w:rsid w:val="00E54184"/>
    <w:rsid w:val="00E55C4A"/>
    <w:rsid w:val="00E563EF"/>
    <w:rsid w:val="00E56C66"/>
    <w:rsid w:val="00E6212D"/>
    <w:rsid w:val="00E623F6"/>
    <w:rsid w:val="00E641D1"/>
    <w:rsid w:val="00E646AD"/>
    <w:rsid w:val="00E653AE"/>
    <w:rsid w:val="00E666BF"/>
    <w:rsid w:val="00E6754D"/>
    <w:rsid w:val="00E6772B"/>
    <w:rsid w:val="00E6786D"/>
    <w:rsid w:val="00E70072"/>
    <w:rsid w:val="00E70BE7"/>
    <w:rsid w:val="00E74111"/>
    <w:rsid w:val="00E812FF"/>
    <w:rsid w:val="00E81739"/>
    <w:rsid w:val="00E82BDD"/>
    <w:rsid w:val="00E83EE5"/>
    <w:rsid w:val="00E844CC"/>
    <w:rsid w:val="00E85020"/>
    <w:rsid w:val="00E855A5"/>
    <w:rsid w:val="00E859C5"/>
    <w:rsid w:val="00E91400"/>
    <w:rsid w:val="00E96D40"/>
    <w:rsid w:val="00E97DB3"/>
    <w:rsid w:val="00EA1C2B"/>
    <w:rsid w:val="00EA2475"/>
    <w:rsid w:val="00EA3F0B"/>
    <w:rsid w:val="00EA4674"/>
    <w:rsid w:val="00EA632D"/>
    <w:rsid w:val="00EB1FF2"/>
    <w:rsid w:val="00EB32BB"/>
    <w:rsid w:val="00EB362B"/>
    <w:rsid w:val="00EB5FE7"/>
    <w:rsid w:val="00EC3B74"/>
    <w:rsid w:val="00EC647D"/>
    <w:rsid w:val="00ED0E84"/>
    <w:rsid w:val="00ED6C9B"/>
    <w:rsid w:val="00EE1190"/>
    <w:rsid w:val="00EE2334"/>
    <w:rsid w:val="00EE2569"/>
    <w:rsid w:val="00EE3B48"/>
    <w:rsid w:val="00EE4519"/>
    <w:rsid w:val="00EE5CD9"/>
    <w:rsid w:val="00EE7124"/>
    <w:rsid w:val="00EF0CE5"/>
    <w:rsid w:val="00EF32F2"/>
    <w:rsid w:val="00EF49F2"/>
    <w:rsid w:val="00EF6CC8"/>
    <w:rsid w:val="00EF789C"/>
    <w:rsid w:val="00F007A0"/>
    <w:rsid w:val="00F02373"/>
    <w:rsid w:val="00F0352A"/>
    <w:rsid w:val="00F1043A"/>
    <w:rsid w:val="00F10E14"/>
    <w:rsid w:val="00F1132A"/>
    <w:rsid w:val="00F1175C"/>
    <w:rsid w:val="00F11F92"/>
    <w:rsid w:val="00F12AC7"/>
    <w:rsid w:val="00F14070"/>
    <w:rsid w:val="00F14538"/>
    <w:rsid w:val="00F14A61"/>
    <w:rsid w:val="00F14EC4"/>
    <w:rsid w:val="00F15BB7"/>
    <w:rsid w:val="00F17AE5"/>
    <w:rsid w:val="00F17B9C"/>
    <w:rsid w:val="00F20A95"/>
    <w:rsid w:val="00F20FAB"/>
    <w:rsid w:val="00F212C1"/>
    <w:rsid w:val="00F24225"/>
    <w:rsid w:val="00F24537"/>
    <w:rsid w:val="00F306DA"/>
    <w:rsid w:val="00F32D37"/>
    <w:rsid w:val="00F341EF"/>
    <w:rsid w:val="00F35FA1"/>
    <w:rsid w:val="00F42F29"/>
    <w:rsid w:val="00F4356A"/>
    <w:rsid w:val="00F44230"/>
    <w:rsid w:val="00F450E7"/>
    <w:rsid w:val="00F47F8E"/>
    <w:rsid w:val="00F504AF"/>
    <w:rsid w:val="00F50C02"/>
    <w:rsid w:val="00F511D1"/>
    <w:rsid w:val="00F51FCB"/>
    <w:rsid w:val="00F535CA"/>
    <w:rsid w:val="00F57A16"/>
    <w:rsid w:val="00F61549"/>
    <w:rsid w:val="00F62E4B"/>
    <w:rsid w:val="00F63E12"/>
    <w:rsid w:val="00F647E6"/>
    <w:rsid w:val="00F6599A"/>
    <w:rsid w:val="00F65AAB"/>
    <w:rsid w:val="00F71296"/>
    <w:rsid w:val="00F726D8"/>
    <w:rsid w:val="00F73345"/>
    <w:rsid w:val="00F73FD6"/>
    <w:rsid w:val="00F751E8"/>
    <w:rsid w:val="00F770DC"/>
    <w:rsid w:val="00F80207"/>
    <w:rsid w:val="00F80510"/>
    <w:rsid w:val="00F81314"/>
    <w:rsid w:val="00F847DE"/>
    <w:rsid w:val="00F85A04"/>
    <w:rsid w:val="00F93B70"/>
    <w:rsid w:val="00F940B1"/>
    <w:rsid w:val="00F94961"/>
    <w:rsid w:val="00F94F85"/>
    <w:rsid w:val="00F962B5"/>
    <w:rsid w:val="00F97791"/>
    <w:rsid w:val="00FA22E9"/>
    <w:rsid w:val="00FA3A26"/>
    <w:rsid w:val="00FA4B61"/>
    <w:rsid w:val="00FA5738"/>
    <w:rsid w:val="00FB3016"/>
    <w:rsid w:val="00FB3A3F"/>
    <w:rsid w:val="00FB44B2"/>
    <w:rsid w:val="00FB71C1"/>
    <w:rsid w:val="00FC1065"/>
    <w:rsid w:val="00FC1B7F"/>
    <w:rsid w:val="00FC7E97"/>
    <w:rsid w:val="00FD0418"/>
    <w:rsid w:val="00FD29A2"/>
    <w:rsid w:val="00FD2BFB"/>
    <w:rsid w:val="00FD321D"/>
    <w:rsid w:val="00FD32A2"/>
    <w:rsid w:val="00FD501C"/>
    <w:rsid w:val="00FD60CA"/>
    <w:rsid w:val="00FD7FFA"/>
    <w:rsid w:val="00FE004A"/>
    <w:rsid w:val="00FE1B05"/>
    <w:rsid w:val="00FE3153"/>
    <w:rsid w:val="00FE3169"/>
    <w:rsid w:val="00FE4A41"/>
    <w:rsid w:val="00FF252A"/>
    <w:rsid w:val="00FF617A"/>
    <w:rsid w:val="00FF67BD"/>
    <w:rsid w:val="00FF7985"/>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55126AA7"/>
  <w15:docId w15:val="{CE939C1C-A932-4C93-9A8C-35BB83260C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F14EC4"/>
    <w:pPr>
      <w:spacing w:before="120" w:after="120" w:line="300" w:lineRule="atLeast"/>
    </w:pPr>
    <w:rPr>
      <w:rFonts w:ascii="Arial" w:eastAsia="Times New Roman" w:hAnsi="Arial"/>
      <w:szCs w:val="24"/>
    </w:rPr>
  </w:style>
  <w:style w:type="paragraph" w:styleId="Heading1">
    <w:name w:val="heading 1"/>
    <w:basedOn w:val="Normal"/>
    <w:next w:val="Normal"/>
    <w:link w:val="Heading1Char"/>
    <w:qFormat/>
    <w:rsid w:val="00D06875"/>
    <w:pPr>
      <w:keepNext/>
      <w:pBdr>
        <w:top w:val="single" w:sz="48" w:space="1" w:color="00B274"/>
        <w:left w:val="single" w:sz="48" w:space="4" w:color="00B274"/>
        <w:bottom w:val="single" w:sz="48" w:space="1" w:color="00B274"/>
        <w:right w:val="single" w:sz="48" w:space="4" w:color="00B274"/>
      </w:pBdr>
      <w:shd w:val="clear" w:color="auto" w:fill="00B274"/>
      <w:spacing w:before="360" w:line="336" w:lineRule="atLeast"/>
      <w:ind w:right="57"/>
      <w:outlineLvl w:val="0"/>
    </w:pPr>
    <w:rPr>
      <w:rFonts w:cs="Arial"/>
      <w:b/>
      <w:bCs/>
      <w:iCs/>
      <w:color w:val="FFFFFF"/>
      <w:kern w:val="32"/>
      <w:sz w:val="28"/>
      <w:szCs w:val="32"/>
    </w:rPr>
  </w:style>
  <w:style w:type="paragraph" w:styleId="Heading2">
    <w:name w:val="heading 2"/>
    <w:aliases w:val="level 2,level2"/>
    <w:basedOn w:val="Normal"/>
    <w:next w:val="Normal"/>
    <w:link w:val="Heading2Char"/>
    <w:autoRedefine/>
    <w:qFormat/>
    <w:rsid w:val="002F7B59"/>
    <w:pPr>
      <w:keepLines/>
      <w:numPr>
        <w:ilvl w:val="1"/>
        <w:numId w:val="14"/>
      </w:numPr>
      <w:spacing w:before="0" w:after="200" w:line="360" w:lineRule="auto"/>
      <w:jc w:val="both"/>
      <w:outlineLvl w:val="1"/>
    </w:pPr>
    <w:rPr>
      <w:rFonts w:cs="Arial"/>
      <w:bCs/>
      <w:iCs/>
      <w:szCs w:val="20"/>
    </w:rPr>
  </w:style>
  <w:style w:type="paragraph" w:styleId="Heading3">
    <w:name w:val="heading 3"/>
    <w:basedOn w:val="Normal"/>
    <w:next w:val="Normal"/>
    <w:link w:val="Heading3Char"/>
    <w:qFormat/>
    <w:rsid w:val="00313E9E"/>
    <w:pPr>
      <w:keepNext/>
      <w:keepLines/>
      <w:spacing w:before="200"/>
      <w:outlineLvl w:val="2"/>
    </w:pPr>
    <w:rPr>
      <w:rFonts w:ascii="Calibri" w:eastAsia="MS Gothic" w:hAnsi="Calibri"/>
      <w:b/>
      <w:bCs/>
      <w:color w:val="4F81BD"/>
    </w:rPr>
  </w:style>
  <w:style w:type="paragraph" w:styleId="Heading4">
    <w:name w:val="heading 4"/>
    <w:basedOn w:val="Normal"/>
    <w:next w:val="Normal"/>
    <w:link w:val="Heading4Char"/>
    <w:qFormat/>
    <w:rsid w:val="002F7B59"/>
    <w:pPr>
      <w:spacing w:before="240" w:after="240"/>
      <w:outlineLvl w:val="3"/>
    </w:pPr>
    <w:rPr>
      <w:rFonts w:cs="Arial"/>
      <w:b/>
      <w:bCs/>
      <w:color w:val="008576"/>
      <w:sz w:val="24"/>
      <w:szCs w:val="28"/>
    </w:rPr>
  </w:style>
  <w:style w:type="paragraph" w:styleId="Heading5">
    <w:name w:val="heading 5"/>
    <w:basedOn w:val="Normal"/>
    <w:next w:val="Normal"/>
    <w:link w:val="Heading5Char"/>
    <w:qFormat/>
    <w:rsid w:val="00313E9E"/>
    <w:pPr>
      <w:keepNext/>
      <w:keepLines/>
      <w:spacing w:before="200"/>
      <w:outlineLvl w:val="4"/>
    </w:pPr>
    <w:rPr>
      <w:rFonts w:ascii="Calibri" w:eastAsia="MS Gothic" w:hAnsi="Calibri"/>
      <w:color w:val="244061"/>
    </w:rPr>
  </w:style>
  <w:style w:type="paragraph" w:styleId="Heading6">
    <w:name w:val="heading 6"/>
    <w:basedOn w:val="Normal"/>
    <w:next w:val="Normal"/>
    <w:link w:val="Heading6Char"/>
    <w:qFormat/>
    <w:rsid w:val="00313E9E"/>
    <w:pPr>
      <w:keepNext/>
      <w:keepLines/>
      <w:spacing w:before="200"/>
      <w:outlineLvl w:val="5"/>
    </w:pPr>
    <w:rPr>
      <w:rFonts w:ascii="Calibri" w:eastAsia="MS Gothic" w:hAnsi="Calibri"/>
      <w:i/>
      <w:iCs/>
      <w:color w:val="244061"/>
    </w:rPr>
  </w:style>
  <w:style w:type="paragraph" w:styleId="Heading7">
    <w:name w:val="heading 7"/>
    <w:basedOn w:val="Normal"/>
    <w:next w:val="Normal"/>
    <w:link w:val="Heading7Char"/>
    <w:qFormat/>
    <w:rsid w:val="00313E9E"/>
    <w:pPr>
      <w:keepNext/>
      <w:keepLines/>
      <w:spacing w:before="200"/>
      <w:outlineLvl w:val="6"/>
    </w:pPr>
    <w:rPr>
      <w:rFonts w:ascii="Calibri" w:eastAsia="MS Gothic" w:hAnsi="Calibri"/>
      <w:i/>
      <w:iCs/>
      <w:color w:val="404040"/>
    </w:rPr>
  </w:style>
  <w:style w:type="paragraph" w:styleId="Heading8">
    <w:name w:val="heading 8"/>
    <w:basedOn w:val="Normal"/>
    <w:next w:val="Normal"/>
    <w:link w:val="Heading8Char"/>
    <w:qFormat/>
    <w:rsid w:val="00313E9E"/>
    <w:pPr>
      <w:keepNext/>
      <w:keepLines/>
      <w:spacing w:before="200"/>
      <w:outlineLvl w:val="7"/>
    </w:pPr>
    <w:rPr>
      <w:rFonts w:ascii="Calibri" w:eastAsia="MS Gothic" w:hAnsi="Calibri"/>
      <w:color w:val="363636"/>
      <w:szCs w:val="20"/>
    </w:rPr>
  </w:style>
  <w:style w:type="paragraph" w:styleId="Heading9">
    <w:name w:val="heading 9"/>
    <w:basedOn w:val="Normal"/>
    <w:next w:val="Normal"/>
    <w:link w:val="Heading9Char"/>
    <w:qFormat/>
    <w:rsid w:val="00313E9E"/>
    <w:pPr>
      <w:keepNext/>
      <w:keepLines/>
      <w:spacing w:before="200"/>
      <w:outlineLvl w:val="8"/>
    </w:pPr>
    <w:rPr>
      <w:rFonts w:ascii="Calibri" w:eastAsia="MS Gothic" w:hAnsi="Calibri"/>
      <w:i/>
      <w:iCs/>
      <w:color w:val="36363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01">
    <w:name w:val="Heading 01"/>
    <w:basedOn w:val="Heading1"/>
    <w:next w:val="Normal"/>
    <w:qFormat/>
    <w:rsid w:val="00CD719F"/>
    <w:pPr>
      <w:spacing w:line="240" w:lineRule="auto"/>
    </w:pPr>
  </w:style>
  <w:style w:type="paragraph" w:customStyle="1" w:styleId="Level-4a">
    <w:name w:val="Level-4a"/>
    <w:basedOn w:val="Normal"/>
    <w:autoRedefine/>
    <w:rsid w:val="00421B40"/>
    <w:pPr>
      <w:widowControl w:val="0"/>
      <w:autoSpaceDE w:val="0"/>
      <w:autoSpaceDN w:val="0"/>
      <w:adjustRightInd w:val="0"/>
      <w:spacing w:line="240" w:lineRule="auto"/>
      <w:ind w:left="1440" w:hanging="540"/>
    </w:pPr>
    <w:rPr>
      <w:rFonts w:ascii="Times New Roman" w:hAnsi="Times New Roman"/>
      <w:noProof/>
      <w:sz w:val="22"/>
      <w:szCs w:val="20"/>
      <w:u w:val="single"/>
      <w:lang w:eastAsia="en-US"/>
    </w:rPr>
  </w:style>
  <w:style w:type="paragraph" w:styleId="Footer">
    <w:name w:val="footer"/>
    <w:basedOn w:val="Normal"/>
    <w:link w:val="FooterChar"/>
    <w:unhideWhenUsed/>
    <w:rsid w:val="00731B99"/>
    <w:pPr>
      <w:tabs>
        <w:tab w:val="center" w:pos="4320"/>
        <w:tab w:val="right" w:pos="8640"/>
      </w:tabs>
    </w:pPr>
  </w:style>
  <w:style w:type="character" w:customStyle="1" w:styleId="FooterChar">
    <w:name w:val="Footer Char"/>
    <w:basedOn w:val="DefaultParagraphFont"/>
    <w:link w:val="Footer"/>
    <w:rsid w:val="00731B99"/>
  </w:style>
  <w:style w:type="paragraph" w:styleId="BlockText">
    <w:name w:val="Block Text"/>
    <w:basedOn w:val="Footer"/>
    <w:link w:val="BlockTextChar"/>
    <w:rsid w:val="00731B99"/>
    <w:pPr>
      <w:tabs>
        <w:tab w:val="clear" w:pos="4320"/>
        <w:tab w:val="clear" w:pos="8640"/>
        <w:tab w:val="center" w:pos="4153"/>
        <w:tab w:val="right" w:pos="8306"/>
      </w:tabs>
      <w:spacing w:line="220" w:lineRule="atLeast"/>
    </w:pPr>
    <w:rPr>
      <w:color w:val="FFFFFF"/>
      <w:sz w:val="18"/>
    </w:rPr>
  </w:style>
  <w:style w:type="character" w:customStyle="1" w:styleId="BlockTextChar">
    <w:name w:val="Block Text Char"/>
    <w:link w:val="BlockText"/>
    <w:rsid w:val="00731B99"/>
    <w:rPr>
      <w:rFonts w:ascii="Tahoma" w:eastAsia="Times New Roman" w:hAnsi="Tahoma" w:cs="Times New Roman"/>
      <w:color w:val="FFFFFF"/>
      <w:sz w:val="18"/>
      <w:lang w:val="en-GB" w:eastAsia="en-GB"/>
    </w:rPr>
  </w:style>
  <w:style w:type="character" w:customStyle="1" w:styleId="Heading1Char">
    <w:name w:val="Heading 1 Char"/>
    <w:link w:val="Heading1"/>
    <w:rsid w:val="00D06875"/>
    <w:rPr>
      <w:rFonts w:ascii="Arial" w:eastAsia="Times New Roman" w:hAnsi="Arial" w:cs="Arial"/>
      <w:b/>
      <w:bCs/>
      <w:iCs/>
      <w:color w:val="FFFFFF"/>
      <w:kern w:val="32"/>
      <w:sz w:val="28"/>
      <w:szCs w:val="32"/>
      <w:shd w:val="clear" w:color="auto" w:fill="00B274"/>
    </w:rPr>
  </w:style>
  <w:style w:type="character" w:customStyle="1" w:styleId="Heading2Char">
    <w:name w:val="Heading 2 Char"/>
    <w:aliases w:val="level 2 Char,level2 Char"/>
    <w:link w:val="Heading2"/>
    <w:rsid w:val="002F7B59"/>
    <w:rPr>
      <w:rFonts w:ascii="Arial" w:eastAsia="Times New Roman" w:hAnsi="Arial" w:cs="Arial"/>
      <w:bCs/>
      <w:iCs/>
    </w:rPr>
  </w:style>
  <w:style w:type="paragraph" w:styleId="BodyText2">
    <w:name w:val="Body Text 2"/>
    <w:basedOn w:val="Normal"/>
    <w:link w:val="BodyText2Char"/>
    <w:rsid w:val="00731B99"/>
    <w:pPr>
      <w:spacing w:line="360" w:lineRule="atLeast"/>
    </w:pPr>
    <w:rPr>
      <w:sz w:val="28"/>
    </w:rPr>
  </w:style>
  <w:style w:type="character" w:customStyle="1" w:styleId="BodyText2Char">
    <w:name w:val="Body Text 2 Char"/>
    <w:link w:val="BodyText2"/>
    <w:rsid w:val="00731B99"/>
    <w:rPr>
      <w:rFonts w:ascii="Tahoma" w:eastAsia="Times New Roman" w:hAnsi="Tahoma" w:cs="Times New Roman"/>
      <w:sz w:val="28"/>
      <w:lang w:val="en-GB" w:eastAsia="en-GB"/>
    </w:rPr>
  </w:style>
  <w:style w:type="paragraph" w:styleId="BodyText3">
    <w:name w:val="Body Text 3"/>
    <w:basedOn w:val="Normal"/>
    <w:link w:val="BodyText3Char"/>
    <w:rsid w:val="00731B99"/>
    <w:pPr>
      <w:spacing w:line="280" w:lineRule="atLeast"/>
    </w:pPr>
    <w:rPr>
      <w:sz w:val="24"/>
      <w:szCs w:val="16"/>
    </w:rPr>
  </w:style>
  <w:style w:type="character" w:customStyle="1" w:styleId="BodyText3Char">
    <w:name w:val="Body Text 3 Char"/>
    <w:link w:val="BodyText3"/>
    <w:rsid w:val="00731B99"/>
    <w:rPr>
      <w:rFonts w:ascii="Tahoma" w:eastAsia="Times New Roman" w:hAnsi="Tahoma" w:cs="Times New Roman"/>
      <w:szCs w:val="16"/>
      <w:lang w:val="en-GB" w:eastAsia="en-GB"/>
    </w:rPr>
  </w:style>
  <w:style w:type="character" w:customStyle="1" w:styleId="Heading4Char">
    <w:name w:val="Heading 4 Char"/>
    <w:link w:val="Heading4"/>
    <w:rsid w:val="002F7B59"/>
    <w:rPr>
      <w:rFonts w:ascii="Arial" w:eastAsia="Times New Roman" w:hAnsi="Arial" w:cs="Arial"/>
      <w:b/>
      <w:bCs/>
      <w:color w:val="008576"/>
      <w:sz w:val="24"/>
      <w:szCs w:val="28"/>
    </w:rPr>
  </w:style>
  <w:style w:type="character" w:customStyle="1" w:styleId="Heading8Char">
    <w:name w:val="Heading 8 Char"/>
    <w:link w:val="Heading8"/>
    <w:rsid w:val="00313E9E"/>
    <w:rPr>
      <w:rFonts w:ascii="Calibri" w:eastAsia="MS Gothic" w:hAnsi="Calibri"/>
      <w:color w:val="363636"/>
    </w:rPr>
  </w:style>
  <w:style w:type="paragraph" w:styleId="ListNumber">
    <w:name w:val="List Number"/>
    <w:basedOn w:val="Normal"/>
    <w:link w:val="ListNumberChar"/>
    <w:rsid w:val="00313E9E"/>
    <w:pPr>
      <w:numPr>
        <w:numId w:val="3"/>
      </w:numPr>
    </w:pPr>
  </w:style>
  <w:style w:type="paragraph" w:styleId="BodyText">
    <w:name w:val="Body Text"/>
    <w:basedOn w:val="Normal"/>
    <w:link w:val="BodyTextChar"/>
    <w:rsid w:val="00313E9E"/>
  </w:style>
  <w:style w:type="character" w:customStyle="1" w:styleId="BodyTextChar">
    <w:name w:val="Body Text Char"/>
    <w:link w:val="BodyText"/>
    <w:rsid w:val="00313E9E"/>
    <w:rPr>
      <w:rFonts w:ascii="Tahoma" w:eastAsia="Times New Roman" w:hAnsi="Tahoma" w:cs="Times New Roman"/>
      <w:sz w:val="20"/>
      <w:lang w:val="en-GB" w:eastAsia="en-GB"/>
    </w:rPr>
  </w:style>
  <w:style w:type="paragraph" w:styleId="ListBullet2">
    <w:name w:val="List Bullet 2"/>
    <w:basedOn w:val="Normal"/>
    <w:link w:val="ListBullet2Char"/>
    <w:rsid w:val="00313E9E"/>
    <w:pPr>
      <w:numPr>
        <w:numId w:val="1"/>
      </w:numPr>
    </w:pPr>
  </w:style>
  <w:style w:type="paragraph" w:customStyle="1" w:styleId="TableHeading">
    <w:name w:val="Table Heading"/>
    <w:basedOn w:val="Normal"/>
    <w:rsid w:val="00313E9E"/>
    <w:pPr>
      <w:spacing w:line="240" w:lineRule="auto"/>
      <w:ind w:left="113"/>
    </w:pPr>
    <w:rPr>
      <w:color w:val="008576"/>
    </w:rPr>
  </w:style>
  <w:style w:type="paragraph" w:customStyle="1" w:styleId="Tablesubheading">
    <w:name w:val="Table subheading"/>
    <w:basedOn w:val="Normal"/>
    <w:rsid w:val="00313E9E"/>
    <w:pPr>
      <w:spacing w:before="40" w:line="240" w:lineRule="auto"/>
      <w:ind w:left="113"/>
    </w:pPr>
  </w:style>
  <w:style w:type="paragraph" w:customStyle="1" w:styleId="Tablebodycopy">
    <w:name w:val="Table body copy"/>
    <w:basedOn w:val="Normal"/>
    <w:rsid w:val="00313E9E"/>
    <w:pPr>
      <w:spacing w:before="40"/>
      <w:ind w:left="113"/>
    </w:pPr>
    <w:rPr>
      <w:color w:val="008576"/>
    </w:rPr>
  </w:style>
  <w:style w:type="character" w:customStyle="1" w:styleId="ListNumberChar">
    <w:name w:val="List Number Char"/>
    <w:link w:val="ListNumber"/>
    <w:rsid w:val="00313E9E"/>
    <w:rPr>
      <w:rFonts w:ascii="Arial" w:eastAsia="Times New Roman" w:hAnsi="Arial"/>
      <w:szCs w:val="24"/>
    </w:rPr>
  </w:style>
  <w:style w:type="character" w:customStyle="1" w:styleId="ListBullet2Char">
    <w:name w:val="List Bullet 2 Char"/>
    <w:link w:val="ListBullet2"/>
    <w:rsid w:val="00313E9E"/>
    <w:rPr>
      <w:rFonts w:ascii="Arial" w:eastAsia="Times New Roman" w:hAnsi="Arial"/>
      <w:szCs w:val="24"/>
    </w:rPr>
  </w:style>
  <w:style w:type="paragraph" w:customStyle="1" w:styleId="TableList">
    <w:name w:val="Table List"/>
    <w:basedOn w:val="ListBullet2"/>
    <w:rsid w:val="00313E9E"/>
    <w:pPr>
      <w:numPr>
        <w:ilvl w:val="1"/>
      </w:numPr>
      <w:tabs>
        <w:tab w:val="clear" w:pos="454"/>
        <w:tab w:val="num" w:pos="360"/>
      </w:tabs>
    </w:pPr>
    <w:rPr>
      <w:color w:val="008576"/>
    </w:rPr>
  </w:style>
  <w:style w:type="character" w:customStyle="1" w:styleId="Heading3Char">
    <w:name w:val="Heading 3 Char"/>
    <w:link w:val="Heading3"/>
    <w:rsid w:val="00313E9E"/>
    <w:rPr>
      <w:rFonts w:ascii="Calibri" w:eastAsia="MS Gothic" w:hAnsi="Calibri"/>
      <w:b/>
      <w:bCs/>
      <w:color w:val="4F81BD"/>
      <w:szCs w:val="24"/>
    </w:rPr>
  </w:style>
  <w:style w:type="character" w:customStyle="1" w:styleId="Heading5Char">
    <w:name w:val="Heading 5 Char"/>
    <w:link w:val="Heading5"/>
    <w:rsid w:val="00313E9E"/>
    <w:rPr>
      <w:rFonts w:ascii="Calibri" w:eastAsia="MS Gothic" w:hAnsi="Calibri"/>
      <w:color w:val="244061"/>
      <w:szCs w:val="24"/>
    </w:rPr>
  </w:style>
  <w:style w:type="character" w:customStyle="1" w:styleId="Heading6Char">
    <w:name w:val="Heading 6 Char"/>
    <w:link w:val="Heading6"/>
    <w:rsid w:val="00313E9E"/>
    <w:rPr>
      <w:rFonts w:ascii="Calibri" w:eastAsia="MS Gothic" w:hAnsi="Calibri"/>
      <w:i/>
      <w:iCs/>
      <w:color w:val="244061"/>
      <w:szCs w:val="24"/>
    </w:rPr>
  </w:style>
  <w:style w:type="character" w:customStyle="1" w:styleId="Heading7Char">
    <w:name w:val="Heading 7 Char"/>
    <w:link w:val="Heading7"/>
    <w:rsid w:val="00313E9E"/>
    <w:rPr>
      <w:rFonts w:ascii="Calibri" w:eastAsia="MS Gothic" w:hAnsi="Calibri"/>
      <w:i/>
      <w:iCs/>
      <w:color w:val="404040"/>
      <w:szCs w:val="24"/>
    </w:rPr>
  </w:style>
  <w:style w:type="character" w:customStyle="1" w:styleId="Heading9Char">
    <w:name w:val="Heading 9 Char"/>
    <w:link w:val="Heading9"/>
    <w:rsid w:val="00313E9E"/>
    <w:rPr>
      <w:rFonts w:ascii="Calibri" w:eastAsia="MS Gothic" w:hAnsi="Calibri"/>
      <w:i/>
      <w:iCs/>
      <w:color w:val="363636"/>
    </w:rPr>
  </w:style>
  <w:style w:type="numbering" w:styleId="ArticleSection">
    <w:name w:val="Outline List 3"/>
    <w:basedOn w:val="NoList"/>
    <w:semiHidden/>
    <w:rsid w:val="00313E9E"/>
    <w:pPr>
      <w:numPr>
        <w:numId w:val="2"/>
      </w:numPr>
    </w:pPr>
  </w:style>
  <w:style w:type="paragraph" w:customStyle="1" w:styleId="TOCMOD">
    <w:name w:val="TOC MOD"/>
    <w:basedOn w:val="TOCDMR"/>
    <w:qFormat/>
    <w:rsid w:val="00205E60"/>
    <w:pPr>
      <w:framePr w:hSpace="181" w:vSpace="181" w:wrap="around" w:vAnchor="text" w:hAnchor="text" w:y="1"/>
    </w:pPr>
    <w:rPr>
      <w:color w:val="008576"/>
    </w:rPr>
  </w:style>
  <w:style w:type="paragraph" w:styleId="TOC2">
    <w:name w:val="toc 2"/>
    <w:basedOn w:val="Heading9"/>
    <w:next w:val="Normal"/>
    <w:link w:val="TOC2Char"/>
    <w:autoRedefine/>
    <w:uiPriority w:val="39"/>
    <w:rsid w:val="0055068A"/>
    <w:pPr>
      <w:keepNext w:val="0"/>
      <w:keepLines w:val="0"/>
      <w:spacing w:before="0"/>
      <w:ind w:left="200"/>
      <w:outlineLvl w:val="9"/>
    </w:pPr>
    <w:rPr>
      <w:rFonts w:ascii="Cambria" w:eastAsia="Times New Roman" w:hAnsi="Cambria"/>
      <w:b/>
      <w:i w:val="0"/>
      <w:iCs w:val="0"/>
      <w:color w:val="auto"/>
      <w:sz w:val="22"/>
      <w:szCs w:val="22"/>
    </w:rPr>
  </w:style>
  <w:style w:type="paragraph" w:customStyle="1" w:styleId="Contents01">
    <w:name w:val="Contents 01"/>
    <w:basedOn w:val="Heading8"/>
    <w:rsid w:val="00D06875"/>
    <w:pPr>
      <w:keepLines w:val="0"/>
      <w:pBdr>
        <w:top w:val="single" w:sz="48" w:space="1" w:color="00B274"/>
        <w:left w:val="single" w:sz="48" w:space="4" w:color="00B274"/>
        <w:bottom w:val="single" w:sz="48" w:space="1" w:color="00B274"/>
        <w:right w:val="single" w:sz="48" w:space="4" w:color="00B274"/>
      </w:pBdr>
      <w:shd w:val="clear" w:color="auto" w:fill="00B274"/>
      <w:spacing w:before="0" w:line="240" w:lineRule="auto"/>
      <w:ind w:right="238"/>
    </w:pPr>
    <w:rPr>
      <w:rFonts w:ascii="Arial" w:eastAsia="Times New Roman" w:hAnsi="Arial" w:cs="Arial"/>
      <w:bCs/>
      <w:color w:val="FFFFFF"/>
      <w:kern w:val="32"/>
      <w:sz w:val="28"/>
      <w:szCs w:val="32"/>
    </w:rPr>
  </w:style>
  <w:style w:type="paragraph" w:customStyle="1" w:styleId="About01">
    <w:name w:val="About 01"/>
    <w:basedOn w:val="Contents01"/>
    <w:rsid w:val="0086142A"/>
    <w:pPr>
      <w:pBdr>
        <w:top w:val="none" w:sz="0" w:space="0" w:color="auto"/>
        <w:left w:val="none" w:sz="0" w:space="0" w:color="auto"/>
        <w:bottom w:val="none" w:sz="0" w:space="0" w:color="auto"/>
        <w:right w:val="none" w:sz="0" w:space="0" w:color="auto"/>
      </w:pBdr>
      <w:tabs>
        <w:tab w:val="right" w:pos="7811"/>
      </w:tabs>
      <w:ind w:right="0"/>
    </w:pPr>
    <w:rPr>
      <w:bCs w:val="0"/>
      <w:szCs w:val="28"/>
    </w:rPr>
  </w:style>
  <w:style w:type="character" w:customStyle="1" w:styleId="TOC2Char">
    <w:name w:val="TOC 2 Char"/>
    <w:link w:val="TOC2"/>
    <w:uiPriority w:val="39"/>
    <w:rsid w:val="0055068A"/>
    <w:rPr>
      <w:rFonts w:eastAsia="Times New Roman"/>
      <w:b/>
      <w:sz w:val="22"/>
      <w:szCs w:val="22"/>
      <w:lang w:eastAsia="en-GB"/>
    </w:rPr>
  </w:style>
  <w:style w:type="paragraph" w:styleId="TOC1">
    <w:name w:val="toc 1"/>
    <w:basedOn w:val="TOCMOD"/>
    <w:next w:val="TOCMOD"/>
    <w:autoRedefine/>
    <w:uiPriority w:val="39"/>
    <w:qFormat/>
    <w:rsid w:val="00D06875"/>
    <w:pPr>
      <w:framePr w:wrap="around"/>
    </w:pPr>
  </w:style>
  <w:style w:type="table" w:styleId="TableGrid">
    <w:name w:val="Table Grid"/>
    <w:basedOn w:val="TableNormal"/>
    <w:rsid w:val="005B378E"/>
    <w:pPr>
      <w:spacing w:line="30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4">
    <w:name w:val="Body Text 4"/>
    <w:basedOn w:val="BodyText3"/>
    <w:rsid w:val="005B378E"/>
  </w:style>
  <w:style w:type="numbering" w:styleId="111111">
    <w:name w:val="Outline List 2"/>
    <w:basedOn w:val="NoList"/>
    <w:rsid w:val="005B378E"/>
    <w:pPr>
      <w:numPr>
        <w:numId w:val="4"/>
      </w:numPr>
    </w:pPr>
  </w:style>
  <w:style w:type="numbering" w:styleId="1ai">
    <w:name w:val="Outline List 1"/>
    <w:basedOn w:val="NoList"/>
    <w:rsid w:val="005B378E"/>
    <w:pPr>
      <w:numPr>
        <w:numId w:val="5"/>
      </w:numPr>
    </w:pPr>
  </w:style>
  <w:style w:type="paragraph" w:styleId="BodyTextFirstIndent">
    <w:name w:val="Body Text First Indent"/>
    <w:basedOn w:val="BodyText"/>
    <w:link w:val="BodyTextFirstIndentChar"/>
    <w:rsid w:val="007E718E"/>
    <w:pPr>
      <w:spacing w:after="0"/>
      <w:ind w:firstLine="210"/>
    </w:pPr>
  </w:style>
  <w:style w:type="character" w:customStyle="1" w:styleId="BodyTextFirstIndentChar">
    <w:name w:val="Body Text First Indent Char"/>
    <w:link w:val="BodyTextFirstIndent"/>
    <w:rsid w:val="007E718E"/>
    <w:rPr>
      <w:rFonts w:ascii="Arial" w:eastAsia="Times New Roman" w:hAnsi="Arial"/>
      <w:szCs w:val="24"/>
      <w:lang w:eastAsia="en-GB"/>
    </w:rPr>
  </w:style>
  <w:style w:type="paragraph" w:styleId="BodyTextIndent">
    <w:name w:val="Body Text Indent"/>
    <w:basedOn w:val="Normal"/>
    <w:link w:val="BodyTextIndentChar"/>
    <w:rsid w:val="005B378E"/>
    <w:pPr>
      <w:ind w:left="283"/>
    </w:pPr>
  </w:style>
  <w:style w:type="character" w:customStyle="1" w:styleId="BodyTextIndentChar">
    <w:name w:val="Body Text Indent Char"/>
    <w:link w:val="BodyTextIndent"/>
    <w:rsid w:val="005B378E"/>
    <w:rPr>
      <w:rFonts w:ascii="Tahoma" w:eastAsia="Times New Roman" w:hAnsi="Tahoma" w:cs="Times New Roman"/>
      <w:sz w:val="20"/>
      <w:lang w:val="en-GB" w:eastAsia="en-GB"/>
    </w:rPr>
  </w:style>
  <w:style w:type="paragraph" w:styleId="BodyTextFirstIndent2">
    <w:name w:val="Body Text First Indent 2"/>
    <w:basedOn w:val="BodyTextIndent"/>
    <w:link w:val="BodyTextFirstIndent2Char"/>
    <w:rsid w:val="005B378E"/>
    <w:pPr>
      <w:ind w:firstLine="210"/>
    </w:pPr>
  </w:style>
  <w:style w:type="character" w:customStyle="1" w:styleId="BodyTextFirstIndent2Char">
    <w:name w:val="Body Text First Indent 2 Char"/>
    <w:link w:val="BodyTextFirstIndent2"/>
    <w:rsid w:val="005B378E"/>
    <w:rPr>
      <w:rFonts w:ascii="Tahoma" w:eastAsia="Times New Roman" w:hAnsi="Tahoma" w:cs="Times New Roman"/>
      <w:sz w:val="20"/>
      <w:lang w:val="en-GB" w:eastAsia="en-GB"/>
    </w:rPr>
  </w:style>
  <w:style w:type="paragraph" w:styleId="BodyTextIndent2">
    <w:name w:val="Body Text Indent 2"/>
    <w:basedOn w:val="Normal"/>
    <w:link w:val="BodyTextIndent2Char"/>
    <w:rsid w:val="005B378E"/>
    <w:pPr>
      <w:spacing w:line="480" w:lineRule="auto"/>
      <w:ind w:left="283"/>
    </w:pPr>
  </w:style>
  <w:style w:type="character" w:customStyle="1" w:styleId="BodyTextIndent2Char">
    <w:name w:val="Body Text Indent 2 Char"/>
    <w:link w:val="BodyTextIndent2"/>
    <w:rsid w:val="005B378E"/>
    <w:rPr>
      <w:rFonts w:ascii="Tahoma" w:eastAsia="Times New Roman" w:hAnsi="Tahoma" w:cs="Times New Roman"/>
      <w:sz w:val="20"/>
      <w:lang w:val="en-GB" w:eastAsia="en-GB"/>
    </w:rPr>
  </w:style>
  <w:style w:type="paragraph" w:styleId="BodyTextIndent3">
    <w:name w:val="Body Text Indent 3"/>
    <w:basedOn w:val="Normal"/>
    <w:link w:val="BodyTextIndent3Char"/>
    <w:rsid w:val="005B378E"/>
    <w:pPr>
      <w:ind w:left="283"/>
    </w:pPr>
    <w:rPr>
      <w:sz w:val="16"/>
      <w:szCs w:val="16"/>
    </w:rPr>
  </w:style>
  <w:style w:type="character" w:customStyle="1" w:styleId="BodyTextIndent3Char">
    <w:name w:val="Body Text Indent 3 Char"/>
    <w:link w:val="BodyTextIndent3"/>
    <w:rsid w:val="005B378E"/>
    <w:rPr>
      <w:rFonts w:ascii="Tahoma" w:eastAsia="Times New Roman" w:hAnsi="Tahoma" w:cs="Times New Roman"/>
      <w:sz w:val="16"/>
      <w:szCs w:val="16"/>
      <w:lang w:val="en-GB" w:eastAsia="en-GB"/>
    </w:rPr>
  </w:style>
  <w:style w:type="paragraph" w:styleId="Closing">
    <w:name w:val="Closing"/>
    <w:basedOn w:val="Normal"/>
    <w:link w:val="ClosingChar"/>
    <w:rsid w:val="005B378E"/>
    <w:pPr>
      <w:ind w:left="4252"/>
    </w:pPr>
  </w:style>
  <w:style w:type="character" w:customStyle="1" w:styleId="ClosingChar">
    <w:name w:val="Closing Char"/>
    <w:link w:val="Closing"/>
    <w:rsid w:val="005B378E"/>
    <w:rPr>
      <w:rFonts w:ascii="Tahoma" w:eastAsia="Times New Roman" w:hAnsi="Tahoma" w:cs="Times New Roman"/>
      <w:sz w:val="20"/>
      <w:lang w:val="en-GB" w:eastAsia="en-GB"/>
    </w:rPr>
  </w:style>
  <w:style w:type="paragraph" w:styleId="Date">
    <w:name w:val="Date"/>
    <w:basedOn w:val="Normal"/>
    <w:next w:val="Normal"/>
    <w:link w:val="DateChar"/>
    <w:rsid w:val="005B378E"/>
  </w:style>
  <w:style w:type="character" w:customStyle="1" w:styleId="DateChar">
    <w:name w:val="Date Char"/>
    <w:link w:val="Date"/>
    <w:rsid w:val="005B378E"/>
    <w:rPr>
      <w:rFonts w:ascii="Tahoma" w:eastAsia="Times New Roman" w:hAnsi="Tahoma" w:cs="Times New Roman"/>
      <w:sz w:val="20"/>
      <w:lang w:val="en-GB" w:eastAsia="en-GB"/>
    </w:rPr>
  </w:style>
  <w:style w:type="paragraph" w:styleId="E-mailSignature">
    <w:name w:val="E-mail Signature"/>
    <w:basedOn w:val="Normal"/>
    <w:link w:val="E-mailSignatureChar"/>
    <w:rsid w:val="005B378E"/>
  </w:style>
  <w:style w:type="character" w:customStyle="1" w:styleId="E-mailSignatureChar">
    <w:name w:val="E-mail Signature Char"/>
    <w:link w:val="E-mailSignature"/>
    <w:rsid w:val="005B378E"/>
    <w:rPr>
      <w:rFonts w:ascii="Tahoma" w:eastAsia="Times New Roman" w:hAnsi="Tahoma" w:cs="Times New Roman"/>
      <w:sz w:val="20"/>
      <w:lang w:val="en-GB" w:eastAsia="en-GB"/>
    </w:rPr>
  </w:style>
  <w:style w:type="character" w:styleId="Emphasis">
    <w:name w:val="Emphasis"/>
    <w:qFormat/>
    <w:rsid w:val="005B378E"/>
    <w:rPr>
      <w:i/>
      <w:iCs/>
    </w:rPr>
  </w:style>
  <w:style w:type="paragraph" w:styleId="EnvelopeAddress">
    <w:name w:val="envelope address"/>
    <w:basedOn w:val="Normal"/>
    <w:rsid w:val="005B378E"/>
    <w:pPr>
      <w:framePr w:w="7920" w:h="1980" w:hRule="exact" w:hSpace="180" w:wrap="auto" w:hAnchor="page" w:xAlign="center" w:yAlign="bottom"/>
      <w:ind w:left="2880"/>
    </w:pPr>
    <w:rPr>
      <w:rFonts w:cs="Arial"/>
      <w:sz w:val="24"/>
    </w:rPr>
  </w:style>
  <w:style w:type="paragraph" w:styleId="EnvelopeReturn">
    <w:name w:val="envelope return"/>
    <w:basedOn w:val="Normal"/>
    <w:rsid w:val="005B378E"/>
    <w:rPr>
      <w:rFonts w:cs="Arial"/>
      <w:szCs w:val="20"/>
    </w:rPr>
  </w:style>
  <w:style w:type="character" w:styleId="HTMLAcronym">
    <w:name w:val="HTML Acronym"/>
    <w:basedOn w:val="DefaultParagraphFont"/>
    <w:rsid w:val="005B378E"/>
  </w:style>
  <w:style w:type="paragraph" w:styleId="HTMLAddress">
    <w:name w:val="HTML Address"/>
    <w:basedOn w:val="Normal"/>
    <w:link w:val="HTMLAddressChar"/>
    <w:rsid w:val="005B378E"/>
    <w:rPr>
      <w:i/>
      <w:iCs/>
    </w:rPr>
  </w:style>
  <w:style w:type="character" w:customStyle="1" w:styleId="HTMLAddressChar">
    <w:name w:val="HTML Address Char"/>
    <w:link w:val="HTMLAddress"/>
    <w:rsid w:val="005B378E"/>
    <w:rPr>
      <w:rFonts w:ascii="Tahoma" w:eastAsia="Times New Roman" w:hAnsi="Tahoma" w:cs="Times New Roman"/>
      <w:i/>
      <w:iCs/>
      <w:sz w:val="20"/>
      <w:lang w:val="en-GB" w:eastAsia="en-GB"/>
    </w:rPr>
  </w:style>
  <w:style w:type="character" w:styleId="HTMLCite">
    <w:name w:val="HTML Cite"/>
    <w:rsid w:val="005B378E"/>
    <w:rPr>
      <w:i/>
      <w:iCs/>
    </w:rPr>
  </w:style>
  <w:style w:type="character" w:styleId="HTMLCode">
    <w:name w:val="HTML Code"/>
    <w:rsid w:val="005B378E"/>
    <w:rPr>
      <w:rFonts w:ascii="Courier New" w:hAnsi="Courier New" w:cs="Courier New"/>
      <w:sz w:val="20"/>
      <w:szCs w:val="20"/>
    </w:rPr>
  </w:style>
  <w:style w:type="character" w:styleId="HTMLDefinition">
    <w:name w:val="HTML Definition"/>
    <w:rsid w:val="005B378E"/>
    <w:rPr>
      <w:i/>
      <w:iCs/>
    </w:rPr>
  </w:style>
  <w:style w:type="character" w:styleId="HTMLKeyboard">
    <w:name w:val="HTML Keyboard"/>
    <w:rsid w:val="005B378E"/>
    <w:rPr>
      <w:rFonts w:ascii="Courier New" w:hAnsi="Courier New" w:cs="Courier New"/>
      <w:sz w:val="20"/>
      <w:szCs w:val="20"/>
    </w:rPr>
  </w:style>
  <w:style w:type="paragraph" w:styleId="HTMLPreformatted">
    <w:name w:val="HTML Preformatted"/>
    <w:basedOn w:val="Normal"/>
    <w:link w:val="HTMLPreformattedChar"/>
    <w:rsid w:val="005B378E"/>
    <w:rPr>
      <w:rFonts w:ascii="Courier New" w:hAnsi="Courier New" w:cs="Courier New"/>
      <w:szCs w:val="20"/>
    </w:rPr>
  </w:style>
  <w:style w:type="character" w:customStyle="1" w:styleId="HTMLPreformattedChar">
    <w:name w:val="HTML Preformatted Char"/>
    <w:link w:val="HTMLPreformatted"/>
    <w:rsid w:val="005B378E"/>
    <w:rPr>
      <w:rFonts w:ascii="Courier New" w:eastAsia="Times New Roman" w:hAnsi="Courier New" w:cs="Courier New"/>
      <w:sz w:val="20"/>
      <w:szCs w:val="20"/>
      <w:lang w:val="en-GB" w:eastAsia="en-GB"/>
    </w:rPr>
  </w:style>
  <w:style w:type="character" w:styleId="HTMLSample">
    <w:name w:val="HTML Sample"/>
    <w:rsid w:val="005B378E"/>
    <w:rPr>
      <w:rFonts w:ascii="Courier New" w:hAnsi="Courier New" w:cs="Courier New"/>
    </w:rPr>
  </w:style>
  <w:style w:type="character" w:styleId="HTMLTypewriter">
    <w:name w:val="HTML Typewriter"/>
    <w:rsid w:val="005B378E"/>
    <w:rPr>
      <w:rFonts w:ascii="Courier New" w:hAnsi="Courier New" w:cs="Courier New"/>
      <w:sz w:val="20"/>
      <w:szCs w:val="20"/>
    </w:rPr>
  </w:style>
  <w:style w:type="character" w:styleId="HTMLVariable">
    <w:name w:val="HTML Variable"/>
    <w:rsid w:val="005B378E"/>
    <w:rPr>
      <w:i/>
      <w:iCs/>
    </w:rPr>
  </w:style>
  <w:style w:type="character" w:styleId="LineNumber">
    <w:name w:val="line number"/>
    <w:basedOn w:val="DefaultParagraphFont"/>
    <w:rsid w:val="005B378E"/>
  </w:style>
  <w:style w:type="paragraph" w:styleId="MessageHeader">
    <w:name w:val="Message Header"/>
    <w:basedOn w:val="Normal"/>
    <w:link w:val="MessageHeaderChar"/>
    <w:rsid w:val="005B378E"/>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character" w:customStyle="1" w:styleId="MessageHeaderChar">
    <w:name w:val="Message Header Char"/>
    <w:link w:val="MessageHeader"/>
    <w:rsid w:val="005B378E"/>
    <w:rPr>
      <w:rFonts w:ascii="Arial" w:eastAsia="Times New Roman" w:hAnsi="Arial" w:cs="Arial"/>
      <w:shd w:val="pct20" w:color="auto" w:fill="auto"/>
      <w:lang w:val="en-GB" w:eastAsia="en-GB"/>
    </w:rPr>
  </w:style>
  <w:style w:type="paragraph" w:styleId="NormalWeb">
    <w:name w:val="Normal (Web)"/>
    <w:basedOn w:val="Normal"/>
    <w:rsid w:val="005B378E"/>
    <w:rPr>
      <w:rFonts w:ascii="Times New Roman" w:hAnsi="Times New Roman"/>
      <w:sz w:val="24"/>
    </w:rPr>
  </w:style>
  <w:style w:type="paragraph" w:styleId="NoteHeading">
    <w:name w:val="Note Heading"/>
    <w:basedOn w:val="Normal"/>
    <w:next w:val="Normal"/>
    <w:link w:val="NoteHeadingChar"/>
    <w:rsid w:val="005B378E"/>
  </w:style>
  <w:style w:type="character" w:customStyle="1" w:styleId="NoteHeadingChar">
    <w:name w:val="Note Heading Char"/>
    <w:link w:val="NoteHeading"/>
    <w:rsid w:val="005B378E"/>
    <w:rPr>
      <w:rFonts w:ascii="Tahoma" w:eastAsia="Times New Roman" w:hAnsi="Tahoma" w:cs="Times New Roman"/>
      <w:sz w:val="20"/>
      <w:lang w:val="en-GB" w:eastAsia="en-GB"/>
    </w:rPr>
  </w:style>
  <w:style w:type="paragraph" w:styleId="PlainText">
    <w:name w:val="Plain Text"/>
    <w:basedOn w:val="Normal"/>
    <w:link w:val="PlainTextChar"/>
    <w:rsid w:val="005B378E"/>
    <w:rPr>
      <w:rFonts w:ascii="Courier New" w:hAnsi="Courier New" w:cs="Courier New"/>
      <w:szCs w:val="20"/>
    </w:rPr>
  </w:style>
  <w:style w:type="character" w:customStyle="1" w:styleId="PlainTextChar">
    <w:name w:val="Plain Text Char"/>
    <w:link w:val="PlainText"/>
    <w:rsid w:val="005B378E"/>
    <w:rPr>
      <w:rFonts w:ascii="Courier New" w:eastAsia="Times New Roman" w:hAnsi="Courier New" w:cs="Courier New"/>
      <w:sz w:val="20"/>
      <w:szCs w:val="20"/>
      <w:lang w:val="en-GB" w:eastAsia="en-GB"/>
    </w:rPr>
  </w:style>
  <w:style w:type="paragraph" w:styleId="Salutation">
    <w:name w:val="Salutation"/>
    <w:basedOn w:val="Normal"/>
    <w:next w:val="Normal"/>
    <w:link w:val="SalutationChar"/>
    <w:rsid w:val="005B378E"/>
  </w:style>
  <w:style w:type="character" w:customStyle="1" w:styleId="SalutationChar">
    <w:name w:val="Salutation Char"/>
    <w:link w:val="Salutation"/>
    <w:rsid w:val="005B378E"/>
    <w:rPr>
      <w:rFonts w:ascii="Tahoma" w:eastAsia="Times New Roman" w:hAnsi="Tahoma" w:cs="Times New Roman"/>
      <w:sz w:val="20"/>
      <w:lang w:val="en-GB" w:eastAsia="en-GB"/>
    </w:rPr>
  </w:style>
  <w:style w:type="paragraph" w:styleId="Signature">
    <w:name w:val="Signature"/>
    <w:basedOn w:val="Normal"/>
    <w:link w:val="SignatureChar"/>
    <w:rsid w:val="005B378E"/>
    <w:pPr>
      <w:ind w:left="4252"/>
    </w:pPr>
  </w:style>
  <w:style w:type="character" w:customStyle="1" w:styleId="SignatureChar">
    <w:name w:val="Signature Char"/>
    <w:link w:val="Signature"/>
    <w:rsid w:val="005B378E"/>
    <w:rPr>
      <w:rFonts w:ascii="Tahoma" w:eastAsia="Times New Roman" w:hAnsi="Tahoma" w:cs="Times New Roman"/>
      <w:sz w:val="20"/>
      <w:lang w:val="en-GB" w:eastAsia="en-GB"/>
    </w:rPr>
  </w:style>
  <w:style w:type="character" w:styleId="Strong">
    <w:name w:val="Strong"/>
    <w:qFormat/>
    <w:rsid w:val="005B378E"/>
    <w:rPr>
      <w:b/>
      <w:bCs/>
    </w:rPr>
  </w:style>
  <w:style w:type="table" w:styleId="Table3Deffects1">
    <w:name w:val="Table 3D effects 1"/>
    <w:basedOn w:val="TableNormal"/>
    <w:rsid w:val="005B378E"/>
    <w:pPr>
      <w:spacing w:line="300" w:lineRule="atLeast"/>
    </w:pPr>
    <w:rPr>
      <w:rFonts w:ascii="Times New Roman" w:eastAsia="Times New Roman" w:hAnsi="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5B378E"/>
    <w:pPr>
      <w:spacing w:line="300" w:lineRule="atLeast"/>
    </w:pPr>
    <w:rPr>
      <w:rFonts w:ascii="Times New Roman" w:eastAsia="Times New Roman" w:hAnsi="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5B378E"/>
    <w:pPr>
      <w:spacing w:line="300" w:lineRule="atLeast"/>
    </w:pPr>
    <w:rPr>
      <w:rFonts w:ascii="Times New Roman" w:eastAsia="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5B378E"/>
    <w:pPr>
      <w:spacing w:line="300" w:lineRule="atLeast"/>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5B378E"/>
    <w:pPr>
      <w:spacing w:line="300" w:lineRule="atLeast"/>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5B378E"/>
    <w:pPr>
      <w:spacing w:line="300" w:lineRule="atLeast"/>
    </w:pPr>
    <w:rPr>
      <w:rFonts w:ascii="Times New Roman" w:eastAsia="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5B378E"/>
    <w:pPr>
      <w:spacing w:line="300" w:lineRule="atLeast"/>
    </w:pPr>
    <w:rPr>
      <w:rFonts w:ascii="Times New Roman" w:eastAsia="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5B378E"/>
    <w:pPr>
      <w:spacing w:line="300" w:lineRule="atLeast"/>
    </w:pPr>
    <w:rPr>
      <w:rFonts w:ascii="Times New Roman" w:eastAsia="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5B378E"/>
    <w:pPr>
      <w:spacing w:line="300" w:lineRule="atLeast"/>
    </w:pPr>
    <w:rPr>
      <w:rFonts w:ascii="Times New Roman" w:eastAsia="Times New Roman" w:hAnsi="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5B378E"/>
    <w:pPr>
      <w:spacing w:line="300" w:lineRule="atLeast"/>
    </w:pPr>
    <w:rPr>
      <w:rFonts w:ascii="Times New Roman" w:eastAsia="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5B378E"/>
    <w:pPr>
      <w:spacing w:line="300" w:lineRule="atLeast"/>
    </w:pPr>
    <w:rPr>
      <w:rFonts w:ascii="Times New Roman" w:eastAsia="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5B378E"/>
    <w:pPr>
      <w:spacing w:line="300" w:lineRule="atLeast"/>
    </w:pPr>
    <w:rPr>
      <w:rFonts w:ascii="Times New Roman" w:eastAsia="Times New Roman" w:hAnsi="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5B378E"/>
    <w:pPr>
      <w:spacing w:line="300" w:lineRule="atLeast"/>
    </w:pPr>
    <w:rPr>
      <w:rFonts w:ascii="Times New Roman" w:eastAsia="Times New Roman" w:hAnsi="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5B378E"/>
    <w:pPr>
      <w:spacing w:line="300" w:lineRule="atLeast"/>
    </w:pPr>
    <w:rPr>
      <w:rFonts w:ascii="Times New Roman" w:eastAsia="Times New Roman" w:hAnsi="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5B378E"/>
    <w:pPr>
      <w:spacing w:line="300" w:lineRule="atLeast"/>
    </w:pPr>
    <w:rPr>
      <w:rFonts w:ascii="Times New Roman" w:eastAsia="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5B378E"/>
    <w:pPr>
      <w:spacing w:line="300" w:lineRule="atLeast"/>
    </w:pPr>
    <w:rPr>
      <w:rFonts w:ascii="Times New Roman" w:eastAsia="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5B378E"/>
    <w:pPr>
      <w:spacing w:line="300" w:lineRule="atLeast"/>
    </w:pPr>
    <w:rPr>
      <w:rFonts w:ascii="Times New Roman" w:eastAsia="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5B378E"/>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5B378E"/>
    <w:pPr>
      <w:spacing w:line="300" w:lineRule="atLeast"/>
    </w:pPr>
    <w:rPr>
      <w:rFonts w:ascii="Times New Roman" w:eastAsia="Times New Roman" w:hAnsi="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5B378E"/>
    <w:pPr>
      <w:spacing w:line="300" w:lineRule="atLeast"/>
    </w:pPr>
    <w:rPr>
      <w:rFonts w:ascii="Times New Roman" w:eastAsia="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5B378E"/>
    <w:pPr>
      <w:spacing w:line="300" w:lineRule="atLeast"/>
    </w:pPr>
    <w:rPr>
      <w:rFonts w:ascii="Times New Roman" w:eastAsia="Times New Roman" w:hAnsi="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5B378E"/>
    <w:pPr>
      <w:spacing w:line="300" w:lineRule="atLeast"/>
    </w:pPr>
    <w:rPr>
      <w:rFonts w:ascii="Times New Roman" w:eastAsia="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5B378E"/>
    <w:pPr>
      <w:spacing w:line="300" w:lineRule="atLeast"/>
    </w:pPr>
    <w:rPr>
      <w:rFonts w:ascii="Times New Roman" w:eastAsia="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5B378E"/>
    <w:pPr>
      <w:spacing w:line="300" w:lineRule="atLeast"/>
    </w:pPr>
    <w:rPr>
      <w:rFonts w:ascii="Times New Roman" w:eastAsia="Times New Roman" w:hAnsi="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5B378E"/>
    <w:pPr>
      <w:spacing w:line="300" w:lineRule="atLeast"/>
    </w:pPr>
    <w:rPr>
      <w:rFonts w:ascii="Times New Roman" w:eastAsia="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5B378E"/>
    <w:pPr>
      <w:spacing w:line="300" w:lineRule="atLeast"/>
    </w:pPr>
    <w:rPr>
      <w:rFonts w:ascii="Times New Roman" w:eastAsia="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5B378E"/>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5B378E"/>
    <w:pPr>
      <w:spacing w:line="300" w:lineRule="atLeast"/>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5B378E"/>
    <w:pPr>
      <w:spacing w:line="300" w:lineRule="atLeast"/>
    </w:pPr>
    <w:rPr>
      <w:rFonts w:ascii="Times New Roman" w:eastAsia="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5B378E"/>
    <w:pPr>
      <w:spacing w:line="300" w:lineRule="atLeast"/>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rsid w:val="005B378E"/>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5B378E"/>
    <w:pPr>
      <w:spacing w:line="300" w:lineRule="atLeast"/>
    </w:pPr>
    <w:rPr>
      <w:rFonts w:ascii="Times New Roman" w:eastAsia="Times New Roman" w:hAnsi="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5B378E"/>
    <w:pPr>
      <w:spacing w:line="300" w:lineRule="atLeast"/>
    </w:pPr>
    <w:rPr>
      <w:rFonts w:ascii="Times New Roman" w:eastAsia="Times New Roman" w:hAnsi="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5B378E"/>
    <w:pPr>
      <w:spacing w:line="300" w:lineRule="atLeast"/>
    </w:pPr>
    <w:rPr>
      <w:rFonts w:ascii="Times New Roman" w:eastAsia="Times New Roma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B378E"/>
    <w:pPr>
      <w:spacing w:line="300" w:lineRule="atLeast"/>
    </w:pPr>
    <w:rPr>
      <w:rFonts w:ascii="Times New Roman" w:eastAsia="Times New Roman" w:hAnsi="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B378E"/>
    <w:pPr>
      <w:spacing w:line="30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5B378E"/>
    <w:pPr>
      <w:spacing w:line="300" w:lineRule="atLeast"/>
    </w:pPr>
    <w:rPr>
      <w:rFonts w:ascii="Times New Roman" w:eastAsia="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5B378E"/>
    <w:pPr>
      <w:spacing w:line="300" w:lineRule="atLeast"/>
    </w:pPr>
    <w:rPr>
      <w:rFonts w:ascii="Times New Roman" w:eastAsia="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5B378E"/>
    <w:pPr>
      <w:spacing w:line="300" w:lineRule="atLeast"/>
    </w:pPr>
    <w:rPr>
      <w:rFonts w:ascii="Times New Roman" w:eastAsia="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5B378E"/>
    <w:pPr>
      <w:numPr>
        <w:numId w:val="13"/>
      </w:numPr>
    </w:pPr>
    <w:rPr>
      <w:sz w:val="24"/>
    </w:rPr>
  </w:style>
  <w:style w:type="paragraph" w:customStyle="1" w:styleId="BodyTest5">
    <w:name w:val="Body Test 5"/>
    <w:basedOn w:val="BodyText4"/>
    <w:rsid w:val="005B378E"/>
    <w:rPr>
      <w:b/>
      <w:color w:val="00B274"/>
    </w:rPr>
  </w:style>
  <w:style w:type="paragraph" w:styleId="ListBullet">
    <w:name w:val="List Bullet"/>
    <w:basedOn w:val="Normal"/>
    <w:link w:val="ListBulletChar"/>
    <w:rsid w:val="005B378E"/>
    <w:pPr>
      <w:tabs>
        <w:tab w:val="left" w:pos="266"/>
      </w:tabs>
    </w:pPr>
    <w:rPr>
      <w:color w:val="00B274"/>
    </w:rPr>
  </w:style>
  <w:style w:type="paragraph" w:styleId="ListBullet3">
    <w:name w:val="List Bullet 3"/>
    <w:basedOn w:val="ListBullet"/>
    <w:link w:val="ListBullet3Char"/>
    <w:rsid w:val="005B378E"/>
    <w:pPr>
      <w:numPr>
        <w:numId w:val="6"/>
      </w:numPr>
    </w:pPr>
    <w:rPr>
      <w:color w:val="auto"/>
    </w:rPr>
  </w:style>
  <w:style w:type="character" w:customStyle="1" w:styleId="ListBulletChar">
    <w:name w:val="List Bullet Char"/>
    <w:link w:val="ListBullet"/>
    <w:rsid w:val="005B378E"/>
    <w:rPr>
      <w:rFonts w:ascii="Tahoma" w:eastAsia="Times New Roman" w:hAnsi="Tahoma" w:cs="Times New Roman"/>
      <w:color w:val="00B274"/>
      <w:sz w:val="20"/>
      <w:lang w:val="en-GB" w:eastAsia="en-GB"/>
    </w:rPr>
  </w:style>
  <w:style w:type="character" w:customStyle="1" w:styleId="ListBullet3Char">
    <w:name w:val="List Bullet 3 Char"/>
    <w:link w:val="ListBullet3"/>
    <w:rsid w:val="005B378E"/>
    <w:rPr>
      <w:rFonts w:ascii="Arial" w:eastAsia="Times New Roman" w:hAnsi="Arial"/>
      <w:szCs w:val="24"/>
    </w:rPr>
  </w:style>
  <w:style w:type="paragraph" w:styleId="ListBullet4">
    <w:name w:val="List Bullet 4"/>
    <w:basedOn w:val="ListBullet3"/>
    <w:rsid w:val="005B378E"/>
    <w:pPr>
      <w:numPr>
        <w:numId w:val="8"/>
      </w:numPr>
      <w:tabs>
        <w:tab w:val="clear" w:pos="266"/>
        <w:tab w:val="clear" w:pos="2835"/>
        <w:tab w:val="num" w:pos="284"/>
      </w:tabs>
      <w:ind w:left="284" w:hanging="284"/>
    </w:pPr>
  </w:style>
  <w:style w:type="paragraph" w:styleId="ListBullet5">
    <w:name w:val="List Bullet 5"/>
    <w:basedOn w:val="ListBullet4"/>
    <w:rsid w:val="005B378E"/>
    <w:pPr>
      <w:numPr>
        <w:numId w:val="7"/>
      </w:numPr>
      <w:tabs>
        <w:tab w:val="clear" w:pos="2835"/>
        <w:tab w:val="num" w:pos="284"/>
      </w:tabs>
      <w:ind w:left="284" w:hanging="284"/>
    </w:pPr>
  </w:style>
  <w:style w:type="paragraph" w:styleId="ListContinue">
    <w:name w:val="List Continue"/>
    <w:basedOn w:val="ListBullet"/>
    <w:link w:val="ListContinueChar"/>
    <w:rsid w:val="005B378E"/>
    <w:pPr>
      <w:pBdr>
        <w:bottom w:val="single" w:sz="4" w:space="6" w:color="008576"/>
      </w:pBdr>
    </w:pPr>
  </w:style>
  <w:style w:type="paragraph" w:styleId="ListContinue2">
    <w:name w:val="List Continue 2"/>
    <w:basedOn w:val="Normal"/>
    <w:rsid w:val="005B378E"/>
    <w:pPr>
      <w:numPr>
        <w:numId w:val="9"/>
      </w:numPr>
    </w:pPr>
    <w:rPr>
      <w:b/>
    </w:rPr>
  </w:style>
  <w:style w:type="paragraph" w:styleId="ListContinue3">
    <w:name w:val="List Continue 3"/>
    <w:basedOn w:val="ListBullet2"/>
    <w:rsid w:val="005B378E"/>
    <w:pPr>
      <w:numPr>
        <w:numId w:val="0"/>
      </w:numPr>
      <w:pBdr>
        <w:bottom w:val="single" w:sz="4" w:space="4" w:color="008576"/>
      </w:pBdr>
      <w:tabs>
        <w:tab w:val="num" w:pos="2835"/>
      </w:tabs>
      <w:ind w:left="2835" w:hanging="2835"/>
    </w:pPr>
  </w:style>
  <w:style w:type="character" w:customStyle="1" w:styleId="ListContinueChar">
    <w:name w:val="List Continue Char"/>
    <w:link w:val="ListContinue"/>
    <w:rsid w:val="005B378E"/>
    <w:rPr>
      <w:rFonts w:ascii="Tahoma" w:eastAsia="Times New Roman" w:hAnsi="Tahoma" w:cs="Times New Roman"/>
      <w:color w:val="00B274"/>
      <w:sz w:val="20"/>
      <w:lang w:val="en-GB" w:eastAsia="en-GB"/>
    </w:rPr>
  </w:style>
  <w:style w:type="paragraph" w:styleId="ListContinue4">
    <w:name w:val="List Continue 4"/>
    <w:basedOn w:val="Normal"/>
    <w:rsid w:val="005B378E"/>
    <w:pPr>
      <w:numPr>
        <w:numId w:val="10"/>
      </w:numPr>
      <w:tabs>
        <w:tab w:val="clear" w:pos="3967"/>
      </w:tabs>
      <w:ind w:left="413" w:hanging="280"/>
    </w:pPr>
    <w:rPr>
      <w:color w:val="008576"/>
    </w:rPr>
  </w:style>
  <w:style w:type="paragraph" w:styleId="ListContinue5">
    <w:name w:val="List Continue 5"/>
    <w:basedOn w:val="Normal"/>
    <w:next w:val="ListContinue4"/>
    <w:rsid w:val="005B378E"/>
    <w:pPr>
      <w:numPr>
        <w:numId w:val="12"/>
      </w:numPr>
      <w:tabs>
        <w:tab w:val="clear" w:pos="2835"/>
      </w:tabs>
      <w:ind w:left="427" w:hanging="294"/>
    </w:pPr>
    <w:rPr>
      <w:color w:val="008576"/>
    </w:rPr>
  </w:style>
  <w:style w:type="paragraph" w:customStyle="1" w:styleId="ListContinue6">
    <w:name w:val="List Continue 6"/>
    <w:basedOn w:val="ListContinue5"/>
    <w:rsid w:val="005B378E"/>
    <w:pPr>
      <w:numPr>
        <w:numId w:val="11"/>
      </w:numPr>
      <w:tabs>
        <w:tab w:val="clear" w:pos="2968"/>
      </w:tabs>
      <w:ind w:left="441" w:hanging="308"/>
    </w:pPr>
  </w:style>
  <w:style w:type="paragraph" w:styleId="ListNumber3">
    <w:name w:val="List Number 3"/>
    <w:basedOn w:val="ListBullet2"/>
    <w:rsid w:val="005B378E"/>
    <w:pPr>
      <w:numPr>
        <w:numId w:val="0"/>
      </w:numPr>
      <w:tabs>
        <w:tab w:val="left" w:pos="840"/>
        <w:tab w:val="num" w:pos="2835"/>
      </w:tabs>
      <w:ind w:left="838" w:hanging="278"/>
    </w:pPr>
  </w:style>
  <w:style w:type="paragraph" w:styleId="TOC3">
    <w:name w:val="toc 3"/>
    <w:basedOn w:val="Heading4"/>
    <w:next w:val="Normal"/>
    <w:autoRedefine/>
    <w:rsid w:val="005B378E"/>
    <w:pPr>
      <w:spacing w:before="0"/>
      <w:ind w:left="400"/>
      <w:outlineLvl w:val="9"/>
    </w:pPr>
    <w:rPr>
      <w:rFonts w:ascii="Cambria" w:hAnsi="Cambria"/>
      <w:b w:val="0"/>
      <w:bCs w:val="0"/>
      <w:i/>
      <w:iCs/>
      <w:color w:val="auto"/>
      <w:sz w:val="22"/>
      <w:szCs w:val="22"/>
    </w:rPr>
  </w:style>
  <w:style w:type="paragraph" w:styleId="TOC4">
    <w:name w:val="toc 4"/>
    <w:basedOn w:val="TOC5"/>
    <w:next w:val="Normal"/>
    <w:autoRedefine/>
    <w:rsid w:val="005B378E"/>
    <w:pPr>
      <w:ind w:left="600"/>
    </w:pPr>
  </w:style>
  <w:style w:type="paragraph" w:styleId="TOC5">
    <w:name w:val="toc 5"/>
    <w:basedOn w:val="BodyText4"/>
    <w:next w:val="Normal"/>
    <w:autoRedefine/>
    <w:rsid w:val="005B378E"/>
    <w:pPr>
      <w:spacing w:before="0" w:line="300" w:lineRule="atLeast"/>
      <w:ind w:left="800"/>
    </w:pPr>
    <w:rPr>
      <w:rFonts w:ascii="Cambria" w:hAnsi="Cambria"/>
      <w:sz w:val="20"/>
      <w:szCs w:val="20"/>
    </w:rPr>
  </w:style>
  <w:style w:type="paragraph" w:styleId="TOC6">
    <w:name w:val="toc 6"/>
    <w:basedOn w:val="Normal"/>
    <w:next w:val="Normal"/>
    <w:autoRedefine/>
    <w:rsid w:val="005B378E"/>
    <w:pPr>
      <w:ind w:left="1000"/>
    </w:pPr>
    <w:rPr>
      <w:rFonts w:ascii="Cambria" w:hAnsi="Cambria"/>
      <w:szCs w:val="20"/>
    </w:rPr>
  </w:style>
  <w:style w:type="paragraph" w:styleId="TOC7">
    <w:name w:val="toc 7"/>
    <w:basedOn w:val="Normal"/>
    <w:next w:val="Normal"/>
    <w:autoRedefine/>
    <w:rsid w:val="005B378E"/>
    <w:pPr>
      <w:ind w:left="1200"/>
    </w:pPr>
    <w:rPr>
      <w:rFonts w:ascii="Cambria" w:hAnsi="Cambria"/>
      <w:szCs w:val="20"/>
    </w:rPr>
  </w:style>
  <w:style w:type="paragraph" w:styleId="TOC8">
    <w:name w:val="toc 8"/>
    <w:basedOn w:val="Normal"/>
    <w:next w:val="Normal"/>
    <w:autoRedefine/>
    <w:rsid w:val="005B378E"/>
    <w:pPr>
      <w:ind w:left="1400"/>
    </w:pPr>
    <w:rPr>
      <w:rFonts w:ascii="Cambria" w:hAnsi="Cambria"/>
      <w:szCs w:val="20"/>
    </w:rPr>
  </w:style>
  <w:style w:type="paragraph" w:styleId="TOC9">
    <w:name w:val="toc 9"/>
    <w:basedOn w:val="Normal"/>
    <w:next w:val="Normal"/>
    <w:autoRedefine/>
    <w:rsid w:val="005B378E"/>
    <w:pPr>
      <w:ind w:left="1600"/>
    </w:pPr>
    <w:rPr>
      <w:rFonts w:ascii="Cambria" w:hAnsi="Cambria"/>
      <w:szCs w:val="20"/>
    </w:rPr>
  </w:style>
  <w:style w:type="character" w:customStyle="1" w:styleId="ListNumber2Char">
    <w:name w:val="List Number 2 Char"/>
    <w:link w:val="ListNumber2"/>
    <w:rsid w:val="005B378E"/>
    <w:rPr>
      <w:rFonts w:ascii="Arial" w:eastAsia="Times New Roman" w:hAnsi="Arial"/>
      <w:sz w:val="24"/>
      <w:szCs w:val="24"/>
    </w:rPr>
  </w:style>
  <w:style w:type="character" w:styleId="Hyperlink">
    <w:name w:val="Hyperlink"/>
    <w:rsid w:val="005B378E"/>
    <w:rPr>
      <w:color w:val="0000FF"/>
      <w:u w:val="single"/>
    </w:rPr>
  </w:style>
  <w:style w:type="paragraph" w:styleId="BalloonText">
    <w:name w:val="Balloon Text"/>
    <w:basedOn w:val="Normal"/>
    <w:link w:val="BalloonTextChar"/>
    <w:rsid w:val="005B378E"/>
    <w:rPr>
      <w:rFonts w:cs="Tahoma"/>
      <w:sz w:val="16"/>
      <w:szCs w:val="16"/>
    </w:rPr>
  </w:style>
  <w:style w:type="character" w:customStyle="1" w:styleId="BalloonTextChar">
    <w:name w:val="Balloon Text Char"/>
    <w:link w:val="BalloonText"/>
    <w:rsid w:val="005B378E"/>
    <w:rPr>
      <w:rFonts w:ascii="Tahoma" w:eastAsia="Times New Roman" w:hAnsi="Tahoma" w:cs="Tahoma"/>
      <w:sz w:val="16"/>
      <w:szCs w:val="16"/>
      <w:lang w:val="en-GB" w:eastAsia="en-GB"/>
    </w:rPr>
  </w:style>
  <w:style w:type="paragraph" w:customStyle="1" w:styleId="Question">
    <w:name w:val="Question"/>
    <w:basedOn w:val="TableHeading"/>
    <w:rsid w:val="005B378E"/>
    <w:rPr>
      <w:b/>
      <w:color w:val="FFFFFF"/>
    </w:rPr>
  </w:style>
  <w:style w:type="character" w:styleId="CommentReference">
    <w:name w:val="annotation reference"/>
    <w:rsid w:val="005B378E"/>
    <w:rPr>
      <w:sz w:val="16"/>
      <w:szCs w:val="16"/>
    </w:rPr>
  </w:style>
  <w:style w:type="paragraph" w:styleId="CommentText">
    <w:name w:val="annotation text"/>
    <w:basedOn w:val="Normal"/>
    <w:link w:val="CommentTextChar"/>
    <w:rsid w:val="005B378E"/>
    <w:rPr>
      <w:szCs w:val="20"/>
    </w:rPr>
  </w:style>
  <w:style w:type="character" w:customStyle="1" w:styleId="CommentTextChar">
    <w:name w:val="Comment Text Char"/>
    <w:link w:val="CommentText"/>
    <w:rsid w:val="005B378E"/>
    <w:rPr>
      <w:rFonts w:ascii="Tahoma" w:eastAsia="Times New Roman" w:hAnsi="Tahoma" w:cs="Times New Roman"/>
      <w:sz w:val="20"/>
      <w:szCs w:val="20"/>
      <w:lang w:val="en-GB" w:eastAsia="en-GB"/>
    </w:rPr>
  </w:style>
  <w:style w:type="paragraph" w:styleId="CommentSubject">
    <w:name w:val="annotation subject"/>
    <w:basedOn w:val="CommentText"/>
    <w:next w:val="CommentText"/>
    <w:link w:val="CommentSubjectChar"/>
    <w:rsid w:val="005B378E"/>
    <w:rPr>
      <w:b/>
      <w:bCs/>
    </w:rPr>
  </w:style>
  <w:style w:type="character" w:customStyle="1" w:styleId="CommentSubjectChar">
    <w:name w:val="Comment Subject Char"/>
    <w:link w:val="CommentSubject"/>
    <w:rsid w:val="005B378E"/>
    <w:rPr>
      <w:rFonts w:ascii="Tahoma" w:eastAsia="Times New Roman" w:hAnsi="Tahoma" w:cs="Times New Roman"/>
      <w:b/>
      <w:bCs/>
      <w:sz w:val="20"/>
      <w:szCs w:val="20"/>
      <w:lang w:val="en-GB" w:eastAsia="en-GB"/>
    </w:rPr>
  </w:style>
  <w:style w:type="character" w:styleId="FollowedHyperlink">
    <w:name w:val="FollowedHyperlink"/>
    <w:rsid w:val="009E7589"/>
    <w:rPr>
      <w:color w:val="800080"/>
      <w:u w:val="single"/>
    </w:rPr>
  </w:style>
  <w:style w:type="character" w:styleId="PageNumber">
    <w:name w:val="page number"/>
    <w:basedOn w:val="DefaultParagraphFont"/>
    <w:rsid w:val="00C954D7"/>
  </w:style>
  <w:style w:type="paragraph" w:customStyle="1" w:styleId="GridTable31">
    <w:name w:val="Grid Table 31"/>
    <w:basedOn w:val="Heading1"/>
    <w:next w:val="Normal"/>
    <w:uiPriority w:val="39"/>
    <w:unhideWhenUsed/>
    <w:qFormat/>
    <w:rsid w:val="00C954D7"/>
    <w:pPr>
      <w:keepLines/>
      <w:pBdr>
        <w:top w:val="none" w:sz="0" w:space="0" w:color="auto"/>
        <w:left w:val="none" w:sz="0" w:space="0" w:color="auto"/>
        <w:bottom w:val="none" w:sz="0" w:space="0" w:color="auto"/>
        <w:right w:val="none" w:sz="0" w:space="0" w:color="auto"/>
      </w:pBdr>
      <w:shd w:val="clear" w:color="auto" w:fill="auto"/>
      <w:spacing w:before="480" w:line="276" w:lineRule="auto"/>
      <w:ind w:right="0"/>
      <w:outlineLvl w:val="9"/>
    </w:pPr>
    <w:rPr>
      <w:rFonts w:ascii="Calibri" w:eastAsia="MS Gothic" w:hAnsi="Calibri" w:cs="Times New Roman"/>
      <w:iCs w:val="0"/>
      <w:color w:val="365F91"/>
      <w:kern w:val="0"/>
      <w:szCs w:val="28"/>
      <w:lang w:val="en-US" w:eastAsia="en-US"/>
    </w:rPr>
  </w:style>
  <w:style w:type="paragraph" w:customStyle="1" w:styleId="ColorfulList-Accent11">
    <w:name w:val="Colorful List - Accent 11"/>
    <w:basedOn w:val="Normal"/>
    <w:rsid w:val="00377752"/>
    <w:pPr>
      <w:ind w:left="720"/>
      <w:contextualSpacing/>
    </w:pPr>
  </w:style>
  <w:style w:type="paragraph" w:styleId="Caption">
    <w:name w:val="caption"/>
    <w:basedOn w:val="Normal"/>
    <w:next w:val="Normal"/>
    <w:qFormat/>
    <w:rsid w:val="00513631"/>
    <w:pPr>
      <w:spacing w:after="200" w:line="240" w:lineRule="auto"/>
    </w:pPr>
    <w:rPr>
      <w:b/>
      <w:bCs/>
      <w:color w:val="4F81BD"/>
      <w:sz w:val="18"/>
      <w:szCs w:val="18"/>
    </w:rPr>
  </w:style>
  <w:style w:type="paragraph" w:customStyle="1" w:styleId="ColorfulShading-Accent11">
    <w:name w:val="Colorful Shading - Accent 11"/>
    <w:hidden/>
    <w:rsid w:val="00FB71C1"/>
    <w:rPr>
      <w:rFonts w:ascii="Tahoma" w:eastAsia="Times New Roman" w:hAnsi="Tahoma"/>
      <w:szCs w:val="24"/>
    </w:rPr>
  </w:style>
  <w:style w:type="paragraph" w:customStyle="1" w:styleId="About02">
    <w:name w:val="About 02"/>
    <w:basedOn w:val="About01"/>
    <w:qFormat/>
    <w:rsid w:val="0086142A"/>
    <w:pPr>
      <w:shd w:val="clear" w:color="auto" w:fill="0096D7"/>
      <w:ind w:left="720" w:hanging="720"/>
    </w:pPr>
  </w:style>
  <w:style w:type="paragraph" w:customStyle="1" w:styleId="About03">
    <w:name w:val="About 03"/>
    <w:basedOn w:val="About01"/>
    <w:qFormat/>
    <w:rsid w:val="0086142A"/>
    <w:pPr>
      <w:shd w:val="clear" w:color="auto" w:fill="9A4D9E"/>
    </w:pPr>
  </w:style>
  <w:style w:type="paragraph" w:customStyle="1" w:styleId="About04">
    <w:name w:val="About 04"/>
    <w:basedOn w:val="About01"/>
    <w:qFormat/>
    <w:rsid w:val="0086142A"/>
    <w:pPr>
      <w:shd w:val="clear" w:color="auto" w:fill="F59114"/>
    </w:pPr>
  </w:style>
  <w:style w:type="paragraph" w:customStyle="1" w:styleId="Contents02">
    <w:name w:val="Contents 02"/>
    <w:basedOn w:val="Contents01"/>
    <w:next w:val="Normal"/>
    <w:qFormat/>
    <w:rsid w:val="005D4A2B"/>
    <w:pPr>
      <w:pBdr>
        <w:top w:val="single" w:sz="48" w:space="1" w:color="0096D7"/>
        <w:left w:val="single" w:sz="48" w:space="4" w:color="0096D7"/>
        <w:bottom w:val="single" w:sz="48" w:space="1" w:color="0096D7"/>
        <w:right w:val="single" w:sz="48" w:space="4" w:color="0096D7"/>
      </w:pBdr>
      <w:shd w:val="clear" w:color="auto" w:fill="0096D7"/>
    </w:pPr>
  </w:style>
  <w:style w:type="paragraph" w:customStyle="1" w:styleId="Contents03">
    <w:name w:val="Contents 03"/>
    <w:basedOn w:val="Contents01"/>
    <w:qFormat/>
    <w:rsid w:val="006E7560"/>
    <w:pPr>
      <w:pBdr>
        <w:top w:val="single" w:sz="48" w:space="1" w:color="9A4D9E"/>
        <w:left w:val="single" w:sz="48" w:space="4" w:color="9A4D9E"/>
        <w:bottom w:val="single" w:sz="48" w:space="1" w:color="9A4D9E"/>
        <w:right w:val="single" w:sz="48" w:space="4" w:color="9A4D9E"/>
      </w:pBdr>
      <w:shd w:val="clear" w:color="auto" w:fill="9A4D9E"/>
    </w:pPr>
  </w:style>
  <w:style w:type="paragraph" w:customStyle="1" w:styleId="Contents04">
    <w:name w:val="Contents 04"/>
    <w:basedOn w:val="Contents01"/>
    <w:qFormat/>
    <w:rsid w:val="006E7560"/>
    <w:pPr>
      <w:pBdr>
        <w:top w:val="single" w:sz="48" w:space="1" w:color="F59114"/>
        <w:left w:val="single" w:sz="48" w:space="4" w:color="F59114"/>
        <w:bottom w:val="single" w:sz="48" w:space="1" w:color="F59114"/>
        <w:right w:val="single" w:sz="48" w:space="4" w:color="F59114"/>
      </w:pBdr>
      <w:shd w:val="clear" w:color="auto" w:fill="F59114"/>
    </w:pPr>
  </w:style>
  <w:style w:type="paragraph" w:customStyle="1" w:styleId="Heading02">
    <w:name w:val="Heading 02"/>
    <w:next w:val="Heading2"/>
    <w:autoRedefine/>
    <w:qFormat/>
    <w:rsid w:val="005F7E14"/>
    <w:pPr>
      <w:numPr>
        <w:numId w:val="14"/>
      </w:numPr>
      <w:pBdr>
        <w:top w:val="single" w:sz="48" w:space="1" w:color="0096D7"/>
        <w:left w:val="single" w:sz="48" w:space="4" w:color="0096D7"/>
        <w:bottom w:val="single" w:sz="48" w:space="1" w:color="0096D7"/>
        <w:right w:val="single" w:sz="48" w:space="4" w:color="0096D7"/>
      </w:pBdr>
      <w:shd w:val="clear" w:color="auto" w:fill="0096D7"/>
      <w:spacing w:before="240" w:after="240"/>
      <w:ind w:left="578" w:hanging="578"/>
      <w:outlineLvl w:val="0"/>
    </w:pPr>
    <w:rPr>
      <w:rFonts w:ascii="Arial" w:eastAsia="Times New Roman" w:hAnsi="Arial" w:cs="Arial"/>
      <w:b/>
      <w:bCs/>
      <w:iCs/>
      <w:color w:val="FFFFFF"/>
      <w:sz w:val="28"/>
      <w:szCs w:val="32"/>
    </w:rPr>
  </w:style>
  <w:style w:type="paragraph" w:customStyle="1" w:styleId="Heading03">
    <w:name w:val="Heading 03"/>
    <w:basedOn w:val="Heading01"/>
    <w:next w:val="Normal"/>
    <w:qFormat/>
    <w:rsid w:val="006E7560"/>
    <w:pPr>
      <w:pBdr>
        <w:top w:val="single" w:sz="48" w:space="1" w:color="9A4D9E"/>
        <w:left w:val="single" w:sz="48" w:space="4" w:color="9A4D9E"/>
        <w:bottom w:val="single" w:sz="48" w:space="1" w:color="9A4D9E"/>
        <w:right w:val="single" w:sz="48" w:space="4" w:color="9A4D9E"/>
      </w:pBdr>
      <w:shd w:val="clear" w:color="auto" w:fill="9A4D9E"/>
    </w:pPr>
  </w:style>
  <w:style w:type="paragraph" w:customStyle="1" w:styleId="Heading04">
    <w:name w:val="Heading 04"/>
    <w:basedOn w:val="Heading01"/>
    <w:next w:val="Normal"/>
    <w:qFormat/>
    <w:rsid w:val="006E7560"/>
    <w:pPr>
      <w:pBdr>
        <w:top w:val="single" w:sz="48" w:space="1" w:color="F59114"/>
        <w:left w:val="single" w:sz="48" w:space="4" w:color="F59114"/>
        <w:bottom w:val="single" w:sz="48" w:space="1" w:color="F59114"/>
        <w:right w:val="single" w:sz="48" w:space="4" w:color="F59114"/>
      </w:pBdr>
      <w:shd w:val="clear" w:color="auto" w:fill="F59114"/>
    </w:pPr>
  </w:style>
  <w:style w:type="paragraph" w:styleId="Header">
    <w:name w:val="header"/>
    <w:basedOn w:val="Normal"/>
    <w:link w:val="HeaderChar"/>
    <w:uiPriority w:val="99"/>
    <w:rsid w:val="0001312A"/>
    <w:pPr>
      <w:tabs>
        <w:tab w:val="center" w:pos="4320"/>
        <w:tab w:val="right" w:pos="8640"/>
      </w:tabs>
    </w:pPr>
  </w:style>
  <w:style w:type="character" w:customStyle="1" w:styleId="HeaderChar">
    <w:name w:val="Header Char"/>
    <w:link w:val="Header"/>
    <w:uiPriority w:val="99"/>
    <w:rsid w:val="0001312A"/>
    <w:rPr>
      <w:rFonts w:ascii="Tahoma" w:eastAsia="Times New Roman" w:hAnsi="Tahoma"/>
      <w:szCs w:val="24"/>
      <w:lang w:eastAsia="en-GB"/>
    </w:rPr>
  </w:style>
  <w:style w:type="paragraph" w:customStyle="1" w:styleId="Checklist">
    <w:name w:val="Checklist"/>
    <w:basedOn w:val="Contents01"/>
    <w:qFormat/>
    <w:rsid w:val="00D122BE"/>
    <w:rPr>
      <w:b/>
    </w:rPr>
  </w:style>
  <w:style w:type="paragraph" w:customStyle="1" w:styleId="TOCWGR">
    <w:name w:val="TOC WGR"/>
    <w:basedOn w:val="Normal"/>
    <w:qFormat/>
    <w:rsid w:val="003A016A"/>
    <w:pPr>
      <w:tabs>
        <w:tab w:val="left" w:pos="382"/>
        <w:tab w:val="right" w:pos="7655"/>
      </w:tabs>
      <w:ind w:right="318"/>
    </w:pPr>
    <w:rPr>
      <w:b/>
      <w:bCs/>
      <w:noProof/>
      <w:color w:val="0096D7"/>
      <w:sz w:val="24"/>
    </w:rPr>
  </w:style>
  <w:style w:type="paragraph" w:customStyle="1" w:styleId="TOCDMR">
    <w:name w:val="TOC DMR"/>
    <w:basedOn w:val="TOCWGR"/>
    <w:qFormat/>
    <w:rsid w:val="008A17EB"/>
    <w:rPr>
      <w:color w:val="9A4D9E"/>
    </w:rPr>
  </w:style>
  <w:style w:type="paragraph" w:customStyle="1" w:styleId="TOCFMR">
    <w:name w:val="TOC FMR"/>
    <w:basedOn w:val="TOCDMR"/>
    <w:qFormat/>
    <w:rsid w:val="008A17EB"/>
    <w:rPr>
      <w:color w:val="DA8111"/>
    </w:rPr>
  </w:style>
  <w:style w:type="paragraph" w:customStyle="1" w:styleId="MediumGrid21">
    <w:name w:val="Medium Grid 21"/>
    <w:rsid w:val="005C2175"/>
    <w:rPr>
      <w:rFonts w:ascii="Arial" w:eastAsia="Times New Roman" w:hAnsi="Arial"/>
      <w:szCs w:val="24"/>
    </w:rPr>
  </w:style>
  <w:style w:type="paragraph" w:styleId="ListParagraph">
    <w:name w:val="List Paragraph"/>
    <w:basedOn w:val="Normal"/>
    <w:uiPriority w:val="34"/>
    <w:qFormat/>
    <w:rsid w:val="002F7B59"/>
    <w:pPr>
      <w:spacing w:before="0" w:line="360" w:lineRule="auto"/>
      <w:ind w:left="720"/>
    </w:pPr>
  </w:style>
  <w:style w:type="paragraph" w:styleId="Revision">
    <w:name w:val="Revision"/>
    <w:hidden/>
    <w:rsid w:val="00670EE8"/>
    <w:rPr>
      <w:rFonts w:ascii="Arial" w:eastAsia="Times New Roman" w:hAnsi="Arial"/>
      <w:szCs w:val="24"/>
    </w:rPr>
  </w:style>
  <w:style w:type="paragraph" w:customStyle="1" w:styleId="Default">
    <w:name w:val="Default"/>
    <w:rsid w:val="009B449F"/>
    <w:pPr>
      <w:autoSpaceDE w:val="0"/>
      <w:autoSpaceDN w:val="0"/>
      <w:adjustRightInd w:val="0"/>
    </w:pPr>
    <w:rPr>
      <w:rFonts w:ascii="Arial" w:hAnsi="Arial" w:cs="Arial"/>
      <w:color w:val="000000"/>
      <w:sz w:val="24"/>
      <w:szCs w:val="24"/>
    </w:rPr>
  </w:style>
  <w:style w:type="paragraph" w:styleId="FootnoteText">
    <w:name w:val="footnote text"/>
    <w:basedOn w:val="Normal"/>
    <w:link w:val="FootnoteTextChar"/>
    <w:unhideWhenUsed/>
    <w:rsid w:val="00EE7124"/>
    <w:pPr>
      <w:spacing w:before="0" w:after="0" w:line="240" w:lineRule="auto"/>
    </w:pPr>
    <w:rPr>
      <w:szCs w:val="20"/>
    </w:rPr>
  </w:style>
  <w:style w:type="character" w:customStyle="1" w:styleId="FootnoteTextChar">
    <w:name w:val="Footnote Text Char"/>
    <w:basedOn w:val="DefaultParagraphFont"/>
    <w:link w:val="FootnoteText"/>
    <w:rsid w:val="00EE7124"/>
    <w:rPr>
      <w:rFonts w:ascii="Arial" w:eastAsia="Times New Roman" w:hAnsi="Arial"/>
    </w:rPr>
  </w:style>
  <w:style w:type="character" w:styleId="FootnoteReference">
    <w:name w:val="footnote reference"/>
    <w:basedOn w:val="DefaultParagraphFont"/>
    <w:semiHidden/>
    <w:unhideWhenUsed/>
    <w:rsid w:val="00EE7124"/>
    <w:rPr>
      <w:vertAlign w:val="superscript"/>
    </w:rPr>
  </w:style>
  <w:style w:type="character" w:customStyle="1" w:styleId="UnresolvedMention1">
    <w:name w:val="Unresolved Mention1"/>
    <w:basedOn w:val="DefaultParagraphFont"/>
    <w:uiPriority w:val="99"/>
    <w:semiHidden/>
    <w:unhideWhenUsed/>
    <w:rsid w:val="00245D7E"/>
    <w:rPr>
      <w:color w:val="808080"/>
      <w:shd w:val="clear" w:color="auto" w:fill="E6E6E6"/>
    </w:rPr>
  </w:style>
  <w:style w:type="paragraph" w:styleId="NoSpacing">
    <w:name w:val="No Spacing"/>
    <w:qFormat/>
    <w:rsid w:val="00CA2364"/>
    <w:rPr>
      <w:rFonts w:ascii="Arial" w:eastAsia="Times New Roman" w:hAnsi="Arial"/>
      <w:szCs w:val="24"/>
    </w:rPr>
  </w:style>
  <w:style w:type="table" w:customStyle="1" w:styleId="TableGrid10">
    <w:name w:val="Table Grid1"/>
    <w:basedOn w:val="TableNormal"/>
    <w:next w:val="TableGrid"/>
    <w:uiPriority w:val="39"/>
    <w:rsid w:val="00F44230"/>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720050">
      <w:bodyDiv w:val="1"/>
      <w:marLeft w:val="0"/>
      <w:marRight w:val="0"/>
      <w:marTop w:val="0"/>
      <w:marBottom w:val="0"/>
      <w:divBdr>
        <w:top w:val="none" w:sz="0" w:space="0" w:color="auto"/>
        <w:left w:val="none" w:sz="0" w:space="0" w:color="auto"/>
        <w:bottom w:val="none" w:sz="0" w:space="0" w:color="auto"/>
        <w:right w:val="none" w:sz="0" w:space="0" w:color="auto"/>
      </w:divBdr>
      <w:divsChild>
        <w:div w:id="187986095">
          <w:marLeft w:val="547"/>
          <w:marRight w:val="0"/>
          <w:marTop w:val="0"/>
          <w:marBottom w:val="0"/>
          <w:divBdr>
            <w:top w:val="none" w:sz="0" w:space="0" w:color="auto"/>
            <w:left w:val="none" w:sz="0" w:space="0" w:color="auto"/>
            <w:bottom w:val="none" w:sz="0" w:space="0" w:color="auto"/>
            <w:right w:val="none" w:sz="0" w:space="0" w:color="auto"/>
          </w:divBdr>
        </w:div>
      </w:divsChild>
    </w:div>
    <w:div w:id="243996242">
      <w:bodyDiv w:val="1"/>
      <w:marLeft w:val="0"/>
      <w:marRight w:val="0"/>
      <w:marTop w:val="0"/>
      <w:marBottom w:val="0"/>
      <w:divBdr>
        <w:top w:val="none" w:sz="0" w:space="0" w:color="auto"/>
        <w:left w:val="none" w:sz="0" w:space="0" w:color="auto"/>
        <w:bottom w:val="none" w:sz="0" w:space="0" w:color="auto"/>
        <w:right w:val="none" w:sz="0" w:space="0" w:color="auto"/>
      </w:divBdr>
    </w:div>
    <w:div w:id="436801418">
      <w:bodyDiv w:val="1"/>
      <w:marLeft w:val="0"/>
      <w:marRight w:val="0"/>
      <w:marTop w:val="0"/>
      <w:marBottom w:val="0"/>
      <w:divBdr>
        <w:top w:val="none" w:sz="0" w:space="0" w:color="auto"/>
        <w:left w:val="none" w:sz="0" w:space="0" w:color="auto"/>
        <w:bottom w:val="none" w:sz="0" w:space="0" w:color="auto"/>
        <w:right w:val="none" w:sz="0" w:space="0" w:color="auto"/>
      </w:divBdr>
    </w:div>
    <w:div w:id="691421441">
      <w:bodyDiv w:val="1"/>
      <w:marLeft w:val="0"/>
      <w:marRight w:val="0"/>
      <w:marTop w:val="0"/>
      <w:marBottom w:val="0"/>
      <w:divBdr>
        <w:top w:val="none" w:sz="0" w:space="0" w:color="auto"/>
        <w:left w:val="none" w:sz="0" w:space="0" w:color="auto"/>
        <w:bottom w:val="none" w:sz="0" w:space="0" w:color="auto"/>
        <w:right w:val="none" w:sz="0" w:space="0" w:color="auto"/>
      </w:divBdr>
      <w:divsChild>
        <w:div w:id="1727413233">
          <w:marLeft w:val="547"/>
          <w:marRight w:val="0"/>
          <w:marTop w:val="0"/>
          <w:marBottom w:val="0"/>
          <w:divBdr>
            <w:top w:val="none" w:sz="0" w:space="0" w:color="auto"/>
            <w:left w:val="none" w:sz="0" w:space="0" w:color="auto"/>
            <w:bottom w:val="none" w:sz="0" w:space="0" w:color="auto"/>
            <w:right w:val="none" w:sz="0" w:space="0" w:color="auto"/>
          </w:divBdr>
        </w:div>
      </w:divsChild>
    </w:div>
  </w:divs>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image" Target="media/image3.jpeg"/><Relationship Id="rId18" Type="http://schemas.openxmlformats.org/officeDocument/2006/relationships/image" Target="media/image8.png"/><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2.jpeg"/><Relationship Id="rId17" Type="http://schemas.openxmlformats.org/officeDocument/2006/relationships/image" Target="media/image7.png"/><Relationship Id="rId2" Type="http://schemas.openxmlformats.org/officeDocument/2006/relationships/numbering" Target="numbering.xml"/><Relationship Id="rId16" Type="http://schemas.openxmlformats.org/officeDocument/2006/relationships/image" Target="media/image6.jpe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5.jpeg"/><Relationship Id="rId23" Type="http://schemas.microsoft.com/office/2011/relationships/people" Target="people.xml"/><Relationship Id="rId10" Type="http://schemas.microsoft.com/office/2016/09/relationships/commentsIds" Target="commentsIds.xml"/><Relationship Id="rId19" Type="http://schemas.openxmlformats.org/officeDocument/2006/relationships/hyperlink" Target="http://www.dcusa.co.uk" TargetMode="Externa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image" Target="media/image4.emf"/><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www.ofgem.gov.uk/system/files/docs/2018/01/annex_a_-_ssen_modification_report_0.pdf" TargetMode="External"/><Relationship Id="rId2" Type="http://schemas.openxmlformats.org/officeDocument/2006/relationships/hyperlink" Target="http://www.energynetworks.org/assets/files/180723%20ON-PRJ-WS2%20-%20P3%20Terms%20and%20Definitions%20V1.1%20(published).pdf" TargetMode="External"/><Relationship Id="rId1" Type="http://schemas.openxmlformats.org/officeDocument/2006/relationships/hyperlink" Target="http://www.chargingfutures.com/media/1327/non-scr-industry-led-access-pid-v11-final.pdf" TargetMode="External"/><Relationship Id="rId4" Type="http://schemas.openxmlformats.org/officeDocument/2006/relationships/hyperlink" Target="https://www.ofgem.gov.uk/system/files/docs/2018/04/decision_to_direct_ssen_not_to_make_a_modification.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9.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9052FA-8275-44D1-AA27-44A061BA80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4133</Words>
  <Characters>23563</Characters>
  <Application>Microsoft Office Word</Application>
  <DocSecurity>4</DocSecurity>
  <Lines>196</Lines>
  <Paragraphs>55</Paragraphs>
  <ScaleCrop>false</ScaleCrop>
  <HeadingPairs>
    <vt:vector size="2" baseType="variant">
      <vt:variant>
        <vt:lpstr>Title</vt:lpstr>
      </vt:variant>
      <vt:variant>
        <vt:i4>1</vt:i4>
      </vt:variant>
    </vt:vector>
  </HeadingPairs>
  <TitlesOfParts>
    <vt:vector size="1" baseType="lpstr">
      <vt:lpstr/>
    </vt:vector>
  </TitlesOfParts>
  <Company>Joint Office of Gas Transporters</Company>
  <LinksUpToDate>false</LinksUpToDate>
  <CharactersWithSpaces>27641</CharactersWithSpaces>
  <SharedDoc>false</SharedDoc>
  <HyperlinkBase/>
  <HLinks>
    <vt:vector size="6" baseType="variant">
      <vt:variant>
        <vt:i4>8192116</vt:i4>
      </vt:variant>
      <vt:variant>
        <vt:i4>33</vt:i4>
      </vt:variant>
      <vt:variant>
        <vt:i4>0</vt:i4>
      </vt:variant>
      <vt:variant>
        <vt:i4>5</vt:i4>
      </vt:variant>
      <vt:variant>
        <vt:lpwstr>http://www.dcusa.co.uk/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Helen Cuin</dc:creator>
  <cp:lastModifiedBy>Hollie Nicholls</cp:lastModifiedBy>
  <cp:revision>2</cp:revision>
  <cp:lastPrinted>2019-04-01T10:36:00Z</cp:lastPrinted>
  <dcterms:created xsi:type="dcterms:W3CDTF">2019-09-23T09:15:00Z</dcterms:created>
  <dcterms:modified xsi:type="dcterms:W3CDTF">2019-09-23T09:15:00Z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{1A067545-A4E2-4FA1-8094-0D7902669705}</vt:lpwstr>
  </property>
  <property fmtid="{D5CDD505-2E9C-101B-9397-08002B2CF9AE}" pid="3" name="DLPManualFileClassificationLastModifiedBy">
    <vt:lpwstr>AD03\peter.turner</vt:lpwstr>
  </property>
  <property fmtid="{D5CDD505-2E9C-101B-9397-08002B2CF9AE}" pid="4" name="DLPManualFileClassificationLastModificationDate">
    <vt:lpwstr>1567515920</vt:lpwstr>
  </property>
  <property fmtid="{D5CDD505-2E9C-101B-9397-08002B2CF9AE}" pid="5" name="DLPManualFileClassificationVersion">
    <vt:lpwstr>11.0.400.15</vt:lpwstr>
  </property>
</Properties>
</file>