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48CBDC" w14:textId="77777777" w:rsidR="0041584B" w:rsidRPr="0045692B" w:rsidRDefault="0041584B" w:rsidP="0041584B">
      <w:pPr>
        <w:pStyle w:val="DCHeading1"/>
      </w:pPr>
      <w:r w:rsidRPr="0045692B">
        <w:fldChar w:fldCharType="begin"/>
      </w:r>
      <w:r w:rsidRPr="0045692B">
        <w:instrText xml:space="preserve"> TC "</w:instrText>
      </w:r>
      <w:r w:rsidRPr="0045692B">
        <w:cr/>
        <w:instrText xml:space="preserve"> </w:instrText>
      </w:r>
      <w:bookmarkStart w:id="0" w:name="_Toc276636189"/>
      <w:r w:rsidRPr="0045692B">
        <w:instrText xml:space="preserve">SCHEDULE 18 </w:instrText>
      </w:r>
      <w:r w:rsidRPr="0045692B">
        <w:tab/>
        <w:instrText>EHV CHARGING METHODOLOGY (LRIC MODEL)</w:instrText>
      </w:r>
      <w:r w:rsidRPr="0045692B">
        <w:tab/>
        <w:instrText>&gt;</w:instrText>
      </w:r>
      <w:bookmarkEnd w:id="0"/>
      <w:r w:rsidRPr="0045692B">
        <w:instrText xml:space="preserve">" \l1 </w:instrText>
      </w:r>
      <w:r w:rsidRPr="0045692B">
        <w:fldChar w:fldCharType="end"/>
      </w:r>
      <w:bookmarkStart w:id="1" w:name="_Toc320876688"/>
      <w:bookmarkStart w:id="2" w:name="_Toc325449902"/>
      <w:bookmarkStart w:id="3" w:name="_Toc339284546"/>
      <w:bookmarkStart w:id="4" w:name="_Toc527908506"/>
      <w:bookmarkStart w:id="5" w:name="_Toc518333650"/>
      <w:r w:rsidRPr="0045692B">
        <w:t>SCHEDULE 18 – EHV CHARGING METHODOLOGY (LRIC MODEL)</w:t>
      </w:r>
      <w:bookmarkEnd w:id="1"/>
      <w:bookmarkEnd w:id="2"/>
      <w:bookmarkEnd w:id="3"/>
      <w:bookmarkEnd w:id="4"/>
      <w:bookmarkEnd w:id="5"/>
    </w:p>
    <w:p w14:paraId="3CC1775C" w14:textId="77777777" w:rsidR="0041584B" w:rsidRDefault="0041584B" w:rsidP="0041584B">
      <w:pPr>
        <w:ind w:left="100"/>
        <w:rPr>
          <w:b/>
          <w:bCs/>
        </w:rPr>
      </w:pPr>
      <w:r w:rsidRPr="00181C77">
        <w:rPr>
          <w:b/>
          <w:bCs/>
        </w:rPr>
        <w:t xml:space="preserve">This Schedule 18, version </w:t>
      </w:r>
      <w:r>
        <w:rPr>
          <w:b/>
          <w:bCs/>
        </w:rPr>
        <w:t>[TBC]</w:t>
      </w:r>
      <w:r w:rsidRPr="00181C77">
        <w:rPr>
          <w:b/>
          <w:bCs/>
        </w:rPr>
        <w:t xml:space="preserve">, is to be used for the calculation of Use of System Charges which will become effective from, </w:t>
      </w:r>
      <w:r>
        <w:rPr>
          <w:b/>
          <w:bCs/>
        </w:rPr>
        <w:t>01 April 2021</w:t>
      </w:r>
      <w:r w:rsidRPr="00181C77">
        <w:rPr>
          <w:b/>
          <w:bCs/>
        </w:rPr>
        <w:t xml:space="preserve"> and remain effective until superseded by a revised version.</w:t>
      </w:r>
    </w:p>
    <w:p w14:paraId="650CE65A" w14:textId="77777777" w:rsidR="0041584B" w:rsidRDefault="0041584B" w:rsidP="0041584B">
      <w:pPr>
        <w:pStyle w:val="Heading1"/>
        <w:numPr>
          <w:ilvl w:val="0"/>
          <w:numId w:val="40"/>
        </w:numPr>
      </w:pPr>
      <w:bookmarkStart w:id="6" w:name="_Toc320876066"/>
      <w:bookmarkStart w:id="7" w:name="_Toc320876689"/>
      <w:bookmarkStart w:id="8" w:name="_Toc325449903"/>
      <w:bookmarkStart w:id="9" w:name="_Toc339284547"/>
      <w:bookmarkStart w:id="10" w:name="_Toc360027719"/>
      <w:bookmarkStart w:id="11" w:name="_Toc360028073"/>
      <w:bookmarkStart w:id="12" w:name="_Toc391559932"/>
      <w:bookmarkStart w:id="13" w:name="_Toc510303052"/>
      <w:bookmarkStart w:id="14" w:name="_Toc513018466"/>
      <w:bookmarkStart w:id="15" w:name="_Toc518333651"/>
      <w:bookmarkStart w:id="16" w:name="_Toc527908507"/>
      <w:r w:rsidRPr="0045692B">
        <w:t>INTRODUCTION</w:t>
      </w:r>
      <w:bookmarkEnd w:id="6"/>
      <w:bookmarkEnd w:id="7"/>
      <w:bookmarkEnd w:id="8"/>
      <w:bookmarkEnd w:id="9"/>
      <w:bookmarkEnd w:id="10"/>
      <w:bookmarkEnd w:id="11"/>
      <w:bookmarkEnd w:id="12"/>
      <w:bookmarkEnd w:id="13"/>
      <w:bookmarkEnd w:id="14"/>
      <w:bookmarkEnd w:id="15"/>
      <w:bookmarkEnd w:id="16"/>
    </w:p>
    <w:p w14:paraId="3AEDF40C" w14:textId="77777777" w:rsidR="0041584B" w:rsidRPr="0045692B" w:rsidRDefault="0041584B" w:rsidP="0041584B">
      <w:pPr>
        <w:pStyle w:val="Heading2"/>
      </w:pPr>
      <w:r w:rsidRPr="0045692B">
        <w:t>This Schedule 18 sets out one, of the two, EHV Distribution Charging Methodologies (EDCM). The other EDCM is set out in Schedule 17.</w:t>
      </w:r>
    </w:p>
    <w:p w14:paraId="55B832AB" w14:textId="77777777" w:rsidR="0041584B" w:rsidRPr="0045692B" w:rsidRDefault="0041584B" w:rsidP="0041584B">
      <w:pPr>
        <w:pStyle w:val="Heading2"/>
      </w:pPr>
      <w:r w:rsidRPr="0045692B">
        <w:t xml:space="preserve">This Schedule 18 sets out the methods, principles, and assumptions underpinning the EDCM for the calculation of Use of System Charges by the following DNO Parties: </w:t>
      </w:r>
    </w:p>
    <w:p w14:paraId="167CC0CF" w14:textId="77777777" w:rsidR="0041584B" w:rsidRPr="00F71137" w:rsidRDefault="0041584B" w:rsidP="0041584B">
      <w:pPr>
        <w:pStyle w:val="DCNormParaL3"/>
      </w:pPr>
      <w:r w:rsidRPr="00F71137">
        <w:t>Eastern Power Networks plc;</w:t>
      </w:r>
    </w:p>
    <w:p w14:paraId="4AFD9440" w14:textId="77777777" w:rsidR="0041584B" w:rsidRPr="00F71137" w:rsidRDefault="0041584B" w:rsidP="0041584B">
      <w:pPr>
        <w:pStyle w:val="DCNormParaL3"/>
      </w:pPr>
      <w:r w:rsidRPr="00F71137">
        <w:t>Electricity North West Limited;</w:t>
      </w:r>
    </w:p>
    <w:p w14:paraId="7D2D26ED" w14:textId="77777777" w:rsidR="0041584B" w:rsidRPr="00F71137" w:rsidRDefault="0041584B" w:rsidP="0041584B">
      <w:pPr>
        <w:pStyle w:val="DCNormParaL3"/>
      </w:pPr>
      <w:r w:rsidRPr="00F71137">
        <w:t>London Power Networks plc;</w:t>
      </w:r>
    </w:p>
    <w:p w14:paraId="483B3D78" w14:textId="77777777" w:rsidR="0041584B" w:rsidRPr="00F71137" w:rsidRDefault="0041584B" w:rsidP="0041584B">
      <w:pPr>
        <w:pStyle w:val="DCNormParaL3"/>
      </w:pPr>
      <w:r w:rsidRPr="00F71137">
        <w:t>Northern Powergrid (Northeast) Limited;</w:t>
      </w:r>
    </w:p>
    <w:p w14:paraId="23B209AD" w14:textId="77777777" w:rsidR="0041584B" w:rsidRPr="00F71137" w:rsidRDefault="0041584B" w:rsidP="0041584B">
      <w:pPr>
        <w:pStyle w:val="DCNormParaL3"/>
      </w:pPr>
      <w:r w:rsidRPr="00F71137">
        <w:t>Northern Powergrid (Yorkshire) plc;</w:t>
      </w:r>
    </w:p>
    <w:p w14:paraId="0029E69A" w14:textId="77777777" w:rsidR="0041584B" w:rsidRPr="00F71137" w:rsidRDefault="0041584B" w:rsidP="0041584B">
      <w:pPr>
        <w:pStyle w:val="DCNormParaL3"/>
      </w:pPr>
      <w:r w:rsidRPr="00F71137">
        <w:t>South Eastern Power Networks plc;</w:t>
      </w:r>
    </w:p>
    <w:p w14:paraId="628050A0" w14:textId="77777777" w:rsidR="0041584B" w:rsidRPr="00F71137" w:rsidRDefault="0041584B" w:rsidP="0041584B">
      <w:pPr>
        <w:pStyle w:val="DCNormParaL3"/>
      </w:pPr>
      <w:r w:rsidRPr="00F71137">
        <w:t>Western Power Distribution (South Wales)</w:t>
      </w:r>
      <w:r>
        <w:t xml:space="preserve"> </w:t>
      </w:r>
      <w:r w:rsidRPr="00F71137">
        <w:t>plc; and</w:t>
      </w:r>
    </w:p>
    <w:p w14:paraId="6FA1EA2F" w14:textId="77777777" w:rsidR="0041584B" w:rsidRDefault="0041584B" w:rsidP="0041584B">
      <w:pPr>
        <w:pStyle w:val="Heading2"/>
        <w:numPr>
          <w:ilvl w:val="0"/>
          <w:numId w:val="0"/>
        </w:numPr>
        <w:ind w:left="720"/>
      </w:pPr>
      <w:r w:rsidRPr="00F71137">
        <w:t>Western Power Distribution (South West)</w:t>
      </w:r>
      <w:r>
        <w:t xml:space="preserve"> </w:t>
      </w:r>
      <w:r w:rsidRPr="00F71137">
        <w:t>plc.</w:t>
      </w:r>
    </w:p>
    <w:p w14:paraId="31A1F00E" w14:textId="77777777" w:rsidR="0041584B" w:rsidRDefault="0041584B" w:rsidP="0041584B">
      <w:pPr>
        <w:pStyle w:val="Heading2"/>
      </w:pPr>
      <w:r w:rsidRPr="00885D77">
        <w:t>In order to comply with this methodology statement when setting distribution Use of System Charges the DNO Parties referred to above will populate</w:t>
      </w:r>
      <w:r w:rsidRPr="003815CF">
        <w:t xml:space="preserve"> the </w:t>
      </w:r>
      <w:r>
        <w:t xml:space="preserve">following </w:t>
      </w:r>
      <w:r w:rsidRPr="003815CF">
        <w:t>EDCM model version</w:t>
      </w:r>
      <w:r>
        <w:t>s:</w:t>
      </w:r>
      <w:r w:rsidRPr="003815CF">
        <w:t xml:space="preserve"> </w:t>
      </w:r>
    </w:p>
    <w:p w14:paraId="2C8320FA" w14:textId="77777777" w:rsidR="0041584B" w:rsidRDefault="0041584B" w:rsidP="0041584B">
      <w:pPr>
        <w:pStyle w:val="BodyText"/>
        <w:numPr>
          <w:ilvl w:val="0"/>
          <w:numId w:val="97"/>
        </w:numPr>
        <w:tabs>
          <w:tab w:val="left" w:pos="1276"/>
          <w:tab w:val="left" w:pos="2160"/>
          <w:tab w:val="left" w:pos="2880"/>
          <w:tab w:val="left" w:pos="3600"/>
          <w:tab w:val="left" w:pos="4320"/>
          <w:tab w:val="left" w:pos="5040"/>
        </w:tabs>
        <w:ind w:left="1276" w:hanging="502"/>
      </w:pPr>
      <w:r>
        <w:t>f</w:t>
      </w:r>
      <w:r w:rsidRPr="007B59D4">
        <w:t>or charges effective from 1 April 2020 where the Authority has given no direction under Clause 19.1B, EDCM model version L204 as issued by the Panel in accordance with Clause 14.5.3</w:t>
      </w:r>
      <w:r>
        <w:t>;</w:t>
      </w:r>
    </w:p>
    <w:p w14:paraId="3D94F322" w14:textId="77777777" w:rsidR="0041584B" w:rsidRDefault="0041584B" w:rsidP="0041584B">
      <w:pPr>
        <w:pStyle w:val="BodyText"/>
        <w:numPr>
          <w:ilvl w:val="0"/>
          <w:numId w:val="97"/>
        </w:numPr>
        <w:tabs>
          <w:tab w:val="left" w:pos="1276"/>
          <w:tab w:val="left" w:pos="2160"/>
          <w:tab w:val="left" w:pos="2880"/>
          <w:tab w:val="left" w:pos="3600"/>
          <w:tab w:val="left" w:pos="4320"/>
          <w:tab w:val="left" w:pos="5040"/>
        </w:tabs>
        <w:ind w:left="1276" w:hanging="502"/>
      </w:pPr>
      <w:r>
        <w:lastRenderedPageBreak/>
        <w:t>f</w:t>
      </w:r>
      <w:r w:rsidRPr="00E761AF">
        <w:t xml:space="preserve">or charges effective from 1 April 2020 where the Authority has given direction under Clause 19.1B that periods of notice described in Clause 19.1A need not apply, EDCM model version </w:t>
      </w:r>
      <w:r>
        <w:t>[TBC]</w:t>
      </w:r>
      <w:r w:rsidRPr="00E761AF">
        <w:t xml:space="preserve"> as issued by the Panel in accordance with Clause 14.5.3; or</w:t>
      </w:r>
    </w:p>
    <w:p w14:paraId="164030CD" w14:textId="77777777" w:rsidR="0041584B" w:rsidRDefault="0041584B" w:rsidP="0041584B">
      <w:pPr>
        <w:pStyle w:val="BodyText"/>
        <w:numPr>
          <w:ilvl w:val="0"/>
          <w:numId w:val="97"/>
        </w:numPr>
        <w:tabs>
          <w:tab w:val="left" w:pos="1276"/>
          <w:tab w:val="left" w:pos="2160"/>
          <w:tab w:val="left" w:pos="2880"/>
          <w:tab w:val="left" w:pos="3600"/>
          <w:tab w:val="left" w:pos="4320"/>
          <w:tab w:val="left" w:pos="5040"/>
        </w:tabs>
        <w:ind w:left="1276" w:hanging="502"/>
      </w:pPr>
      <w:r>
        <w:t>f</w:t>
      </w:r>
      <w:r w:rsidRPr="00E761AF">
        <w:t xml:space="preserve">or charges effective from 1 April 2021 or later, EDCM model version </w:t>
      </w:r>
      <w:r>
        <w:t>[TBC]</w:t>
      </w:r>
      <w:r w:rsidRPr="00E761AF">
        <w:t xml:space="preserve"> as issued by the Panel in accordance with Clause 14.5.3</w:t>
      </w:r>
      <w:r>
        <w:t>.</w:t>
      </w:r>
    </w:p>
    <w:p w14:paraId="379CECF5" w14:textId="77777777" w:rsidR="0041584B" w:rsidRPr="0045692B" w:rsidRDefault="0041584B" w:rsidP="0041584B">
      <w:pPr>
        <w:pStyle w:val="DCSubHeading1Level2"/>
      </w:pPr>
      <w:bookmarkStart w:id="17" w:name="_Toc270704178"/>
      <w:r w:rsidRPr="0045692B">
        <w:t>Main steps</w:t>
      </w:r>
      <w:bookmarkEnd w:id="17"/>
      <w:r w:rsidRPr="0045692B">
        <w:t xml:space="preserve"> </w:t>
      </w:r>
    </w:p>
    <w:p w14:paraId="1A3B4D98" w14:textId="77777777" w:rsidR="0041584B" w:rsidRPr="0045692B" w:rsidRDefault="0041584B" w:rsidP="0041584B">
      <w:pPr>
        <w:pStyle w:val="Heading2"/>
      </w:pPr>
      <w:r w:rsidRPr="0045692B">
        <w:t>The EDCM involves four main steps.</w:t>
      </w:r>
    </w:p>
    <w:p w14:paraId="701C8AD8" w14:textId="77777777" w:rsidR="0041584B" w:rsidRPr="0045692B" w:rsidRDefault="0041584B" w:rsidP="0041584B">
      <w:pPr>
        <w:pStyle w:val="Heading2"/>
      </w:pPr>
      <w:r w:rsidRPr="0045692B">
        <w:t>Step 1 is the application of load flow techniques and the LRIC or FCP methodologies to determine an EDCM tariff element, known as Charge 1, which represents costs associated with demand-led reinforcement, estimated by reference to power flows in the maximum demand scenario.</w:t>
      </w:r>
    </w:p>
    <w:p w14:paraId="12077D61" w14:textId="77777777" w:rsidR="0041584B" w:rsidRPr="0045692B" w:rsidRDefault="0041584B" w:rsidP="0041584B">
      <w:pPr>
        <w:pStyle w:val="Heading2"/>
      </w:pPr>
      <w:r w:rsidRPr="0045692B">
        <w:t xml:space="preserve">Step 2 involves the allocation of DNO Party costs to Connectees using appropriate cost drivers. </w:t>
      </w:r>
    </w:p>
    <w:p w14:paraId="44619DEC" w14:textId="77777777" w:rsidR="0041584B" w:rsidRPr="0045692B" w:rsidRDefault="0041584B" w:rsidP="0041584B">
      <w:pPr>
        <w:pStyle w:val="Heading2"/>
      </w:pPr>
      <w:r w:rsidRPr="0045692B">
        <w:t xml:space="preserve">Step 3 adds a scaling element to charges which is related to Allowed Revenue.  </w:t>
      </w:r>
    </w:p>
    <w:p w14:paraId="6FF43C99" w14:textId="77777777" w:rsidR="0041584B" w:rsidRPr="0045692B" w:rsidRDefault="0041584B" w:rsidP="0041584B">
      <w:pPr>
        <w:pStyle w:val="Heading2"/>
      </w:pPr>
      <w:r w:rsidRPr="0045692B">
        <w:t xml:space="preserve">Step 4 uses CDCM charges to determine the element of portfolio charges to be applied in the case of </w:t>
      </w:r>
      <w:r>
        <w:t>DNO/</w:t>
      </w:r>
      <w:r w:rsidRPr="0045692B">
        <w:t>IDNO Parties who are supplied from the DNO Party’s network at voltages higher than the scope of CDCM charges.</w:t>
      </w:r>
    </w:p>
    <w:p w14:paraId="07C5BFEF" w14:textId="77777777" w:rsidR="0041584B" w:rsidRPr="0045692B" w:rsidRDefault="0041584B" w:rsidP="0041584B">
      <w:pPr>
        <w:pStyle w:val="Heading2"/>
      </w:pPr>
      <w:r w:rsidRPr="0045692B">
        <w:t xml:space="preserve">Figure </w:t>
      </w:r>
      <w:r>
        <w:t>1</w:t>
      </w:r>
      <w:r w:rsidRPr="0045692B">
        <w:t xml:space="preserve"> provides a diagrammatic overview of the steps involved for import charges. </w:t>
      </w:r>
    </w:p>
    <w:p w14:paraId="4860DB29" w14:textId="77777777" w:rsidR="0041584B" w:rsidRDefault="0041584B" w:rsidP="0041584B">
      <w:pPr>
        <w:pStyle w:val="DCSubHeading1Level2"/>
      </w:pPr>
      <w:r>
        <w:br w:type="page"/>
      </w:r>
    </w:p>
    <w:p w14:paraId="46C49B98" w14:textId="77777777" w:rsidR="0041584B" w:rsidRPr="0045692B" w:rsidRDefault="0041584B" w:rsidP="0041584B">
      <w:pPr>
        <w:pStyle w:val="Caption"/>
      </w:pPr>
      <w:r w:rsidRPr="0045692B">
        <w:lastRenderedPageBreak/>
        <w:t xml:space="preserve">Figure </w:t>
      </w:r>
      <w:r>
        <w:t>1</w:t>
      </w:r>
      <w:r w:rsidRPr="0045692B">
        <w:t xml:space="preserve"> Diagrammatic overview of the EDCM for import</w:t>
      </w:r>
    </w:p>
    <w:p w14:paraId="7F91FF0A" w14:textId="77777777" w:rsidR="0041584B" w:rsidRDefault="0041584B" w:rsidP="0041584B">
      <w:pPr>
        <w:pStyle w:val="Heading2"/>
        <w:numPr>
          <w:ilvl w:val="0"/>
          <w:numId w:val="0"/>
        </w:numPr>
      </w:pPr>
      <w:r>
        <w:rPr>
          <w:b/>
          <w:noProof/>
          <w:szCs w:val="24"/>
          <w:u w:val="single"/>
        </w:rPr>
        <w:drawing>
          <wp:inline distT="0" distB="0" distL="0" distR="0" wp14:anchorId="6DE66C6B" wp14:editId="3BDA3C3C">
            <wp:extent cx="4686300" cy="8303795"/>
            <wp:effectExtent l="0" t="0" r="0" b="2540"/>
            <wp:docPr id="1018" name="Picture 1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4690199" cy="8310703"/>
                    </a:xfrm>
                    <a:prstGeom prst="rect">
                      <a:avLst/>
                    </a:prstGeom>
                    <a:noFill/>
                  </pic:spPr>
                </pic:pic>
              </a:graphicData>
            </a:graphic>
          </wp:inline>
        </w:drawing>
      </w:r>
    </w:p>
    <w:p w14:paraId="1EF22742" w14:textId="77777777" w:rsidR="0041584B" w:rsidRPr="0045692B" w:rsidRDefault="0041584B" w:rsidP="0041584B">
      <w:pPr>
        <w:pStyle w:val="Heading1"/>
      </w:pPr>
      <w:bookmarkStart w:id="18" w:name="_Toc320876067"/>
      <w:bookmarkStart w:id="19" w:name="_Toc320876690"/>
      <w:bookmarkStart w:id="20" w:name="_Toc325449904"/>
      <w:bookmarkStart w:id="21" w:name="_Toc339284548"/>
      <w:bookmarkStart w:id="22" w:name="_Toc360027720"/>
      <w:bookmarkStart w:id="23" w:name="_Toc360028074"/>
      <w:bookmarkStart w:id="24" w:name="_Toc391559933"/>
      <w:bookmarkStart w:id="25" w:name="_Toc510303053"/>
      <w:bookmarkStart w:id="26" w:name="_Toc513018467"/>
      <w:bookmarkStart w:id="27" w:name="_Toc518333652"/>
      <w:bookmarkStart w:id="28" w:name="_Toc527908508"/>
      <w:r w:rsidRPr="0045692B">
        <w:lastRenderedPageBreak/>
        <w:t>LONG RUN INCREMENTAL COST PRICING ANALYSIS</w:t>
      </w:r>
      <w:bookmarkEnd w:id="18"/>
      <w:bookmarkEnd w:id="19"/>
      <w:bookmarkEnd w:id="20"/>
      <w:bookmarkEnd w:id="21"/>
      <w:bookmarkEnd w:id="22"/>
      <w:bookmarkEnd w:id="23"/>
      <w:bookmarkEnd w:id="24"/>
      <w:bookmarkEnd w:id="25"/>
      <w:bookmarkEnd w:id="26"/>
      <w:bookmarkEnd w:id="27"/>
      <w:bookmarkEnd w:id="28"/>
    </w:p>
    <w:p w14:paraId="4AD8D5EF" w14:textId="77777777" w:rsidR="0041584B" w:rsidRPr="0045692B" w:rsidRDefault="0041584B" w:rsidP="0041584B">
      <w:pPr>
        <w:pStyle w:val="DCSubHeading1Level2"/>
      </w:pPr>
      <w:r w:rsidRPr="0045692B">
        <w:t>Introduction</w:t>
      </w:r>
    </w:p>
    <w:p w14:paraId="7B940C2F" w14:textId="77777777" w:rsidR="0041584B" w:rsidRPr="0045692B" w:rsidRDefault="0041584B" w:rsidP="0041584B">
      <w:pPr>
        <w:pStyle w:val="Heading2"/>
      </w:pPr>
      <w:bookmarkStart w:id="29" w:name="_Ref277945502"/>
      <w:r w:rsidRPr="0045692B">
        <w:t>This Schedule 18 sets out the principles and high-level detail that should be adopted as the common approach to EDCM Use of System Charging that is based on the Long Run Incremental Cost (LRIC) model.</w:t>
      </w:r>
      <w:bookmarkEnd w:id="29"/>
    </w:p>
    <w:p w14:paraId="79A46985" w14:textId="77777777" w:rsidR="0041584B" w:rsidRPr="0045692B" w:rsidRDefault="0041584B" w:rsidP="0041584B">
      <w:pPr>
        <w:pStyle w:val="Heading2"/>
      </w:pPr>
      <w:r w:rsidRPr="0045692B">
        <w:t>The LRIC model calculates Nodal incremental costs. These costs represent the brought forward (or deferred) reinforcement costs caused by the addition of an increment of demand or generation at each network Node. The method models the impact changes in Connectees’ behaviour have on network costs.</w:t>
      </w:r>
    </w:p>
    <w:p w14:paraId="33711CA9" w14:textId="77777777" w:rsidR="0041584B" w:rsidRPr="0045692B" w:rsidRDefault="0041584B" w:rsidP="0041584B">
      <w:pPr>
        <w:pStyle w:val="Heading2"/>
      </w:pPr>
      <w:r w:rsidRPr="0045692B">
        <w:t>In particular, the LRIC model takes account of the effects a change in Connectee behaviour has on the network by using AC power flow analysis, which enables the calculation of the time needed before elements of the network require reinforcement and subsequently the net present value (NPV) of the future costs of reinforcement. The incremental cost is equal to the difference in the NPV of reinforcing under existing conditions and when an increment of new demand or generation is added.</w:t>
      </w:r>
    </w:p>
    <w:p w14:paraId="1565574A" w14:textId="77777777" w:rsidR="0041584B" w:rsidRPr="0045692B" w:rsidRDefault="0041584B" w:rsidP="0041584B">
      <w:pPr>
        <w:pStyle w:val="Heading2"/>
      </w:pPr>
      <w:r w:rsidRPr="0045692B">
        <w:t>To calculate Use of System Charges for EDCM Connectees (demand and generation), the common LRIC method consists of the following stages:</w:t>
      </w:r>
    </w:p>
    <w:p w14:paraId="6BD267D4" w14:textId="77777777" w:rsidR="0041584B" w:rsidRPr="0045692B" w:rsidRDefault="0041584B" w:rsidP="0041584B">
      <w:pPr>
        <w:pStyle w:val="Heading5"/>
        <w:keepNext w:val="0"/>
        <w:ind w:left="1418"/>
      </w:pPr>
      <w:r w:rsidRPr="0045692B">
        <w:t>LRIC model:</w:t>
      </w:r>
    </w:p>
    <w:p w14:paraId="01E627D5" w14:textId="77777777" w:rsidR="0041584B" w:rsidRPr="0045692B" w:rsidRDefault="0041584B" w:rsidP="0041584B">
      <w:pPr>
        <w:pStyle w:val="Heading6"/>
        <w:keepNext w:val="0"/>
        <w:ind w:left="1985" w:hanging="567"/>
      </w:pPr>
      <w:r w:rsidRPr="0045692B">
        <w:t>AC power flow analysis;</w:t>
      </w:r>
    </w:p>
    <w:p w14:paraId="7592B492" w14:textId="77777777" w:rsidR="0041584B" w:rsidRPr="0045692B" w:rsidRDefault="0041584B" w:rsidP="0041584B">
      <w:pPr>
        <w:pStyle w:val="Heading6"/>
        <w:keepNext w:val="0"/>
        <w:ind w:left="1985" w:hanging="567"/>
      </w:pPr>
      <w:r w:rsidRPr="0045692B">
        <w:t>calculation of Branch incremental costs (in £/annum); and</w:t>
      </w:r>
    </w:p>
    <w:p w14:paraId="18264CF7" w14:textId="77777777" w:rsidR="0041584B" w:rsidRPr="0045692B" w:rsidRDefault="0041584B" w:rsidP="0041584B">
      <w:pPr>
        <w:pStyle w:val="Heading6"/>
        <w:keepNext w:val="0"/>
        <w:ind w:left="1985" w:hanging="567"/>
      </w:pPr>
      <w:r w:rsidRPr="0045692B">
        <w:t>calculation of Nodal incremental costs (including the consideration of the Maximum Demand Scenario and the Minimum Demand Scenario; in £/annum);</w:t>
      </w:r>
    </w:p>
    <w:p w14:paraId="106356F5" w14:textId="77777777" w:rsidR="0041584B" w:rsidRPr="0045692B" w:rsidRDefault="0041584B" w:rsidP="0041584B">
      <w:pPr>
        <w:pStyle w:val="Heading6"/>
        <w:keepNext w:val="0"/>
        <w:ind w:left="1985" w:hanging="567"/>
      </w:pPr>
      <w:r w:rsidRPr="0045692B">
        <w:t xml:space="preserve">calculation of Nodal, Charge 1 (by taking account of the magnitude of the increment driving the incremental costs; in £/kVA/annum).  </w:t>
      </w:r>
    </w:p>
    <w:p w14:paraId="4E0BA375" w14:textId="77777777" w:rsidR="0041584B" w:rsidRPr="0045692B" w:rsidRDefault="0041584B" w:rsidP="0041584B">
      <w:pPr>
        <w:pStyle w:val="Heading5"/>
        <w:keepNext w:val="0"/>
        <w:ind w:left="1418"/>
      </w:pPr>
      <w:r w:rsidRPr="0045692B">
        <w:t>derivation of site-specific Use of System Charges (including the consideration of sole use asset charges, transmission exit charges and operating and maintenance costs); and</w:t>
      </w:r>
    </w:p>
    <w:p w14:paraId="2F8AB106" w14:textId="77777777" w:rsidR="0041584B" w:rsidRDefault="0041584B" w:rsidP="0041584B">
      <w:pPr>
        <w:pStyle w:val="Heading5"/>
        <w:keepNext w:val="0"/>
        <w:ind w:left="1418"/>
      </w:pPr>
      <w:r w:rsidRPr="0045692B">
        <w:t>scaling to derive the final EHV Use of System Charges.</w:t>
      </w:r>
    </w:p>
    <w:p w14:paraId="76B5EDC5" w14:textId="77777777" w:rsidR="0041584B" w:rsidRPr="00761504" w:rsidRDefault="0041584B" w:rsidP="0041584B">
      <w:pPr>
        <w:pStyle w:val="DCSubHeading1Level2"/>
      </w:pPr>
      <w:bookmarkStart w:id="30" w:name="_Toc269721190"/>
      <w:r w:rsidRPr="00761504">
        <w:lastRenderedPageBreak/>
        <w:t>Power Flow Analysis</w:t>
      </w:r>
      <w:bookmarkEnd w:id="30"/>
    </w:p>
    <w:p w14:paraId="3C6FA06B" w14:textId="77777777" w:rsidR="0041584B" w:rsidRPr="00761504" w:rsidRDefault="0041584B" w:rsidP="0041584B">
      <w:pPr>
        <w:pStyle w:val="Heading2"/>
      </w:pPr>
      <w:r w:rsidRPr="00761504">
        <w:t>Power flow analysis calculates the effects of adding an increment of demand or generation to the DNO Party’s Distribution System. In particular, it calculates the power flows passing over the various assets comprising the DNO Party’s network under base and incremented conditions using maximum (typically during the winter period) and minimum (typically during the summer period) demand data.</w:t>
      </w:r>
    </w:p>
    <w:p w14:paraId="2169FA78" w14:textId="77777777" w:rsidR="0041584B" w:rsidRPr="00761504" w:rsidRDefault="0041584B" w:rsidP="0041584B">
      <w:pPr>
        <w:pStyle w:val="Heading2"/>
      </w:pPr>
      <w:r w:rsidRPr="00761504">
        <w:t>The power flow analysis calculates the following values for each Node/Branch combination:</w:t>
      </w:r>
    </w:p>
    <w:p w14:paraId="79BAA003" w14:textId="77777777" w:rsidR="0041584B" w:rsidRPr="00761504" w:rsidRDefault="0041584B" w:rsidP="0041584B">
      <w:pPr>
        <w:pStyle w:val="Heading5"/>
        <w:ind w:left="1418"/>
      </w:pPr>
      <w:r w:rsidRPr="00761504">
        <w:t>base power flows using Maximum Demand Data and Minimum Demand Data, and</w:t>
      </w:r>
    </w:p>
    <w:p w14:paraId="07998BCE" w14:textId="77777777" w:rsidR="0041584B" w:rsidRPr="00761504" w:rsidRDefault="0041584B" w:rsidP="0041584B">
      <w:pPr>
        <w:pStyle w:val="Heading5"/>
        <w:ind w:left="1418"/>
      </w:pPr>
      <w:r w:rsidRPr="00761504">
        <w:t>incremented power flows using Maximum Demand Data and Minimum Demand Data.</w:t>
      </w:r>
    </w:p>
    <w:p w14:paraId="289502ED" w14:textId="77777777" w:rsidR="0041584B" w:rsidRPr="00761504" w:rsidRDefault="0041584B" w:rsidP="0041584B">
      <w:pPr>
        <w:pStyle w:val="Heading2"/>
      </w:pPr>
      <w:r w:rsidRPr="00761504">
        <w:t>Power flow analysis uses a number of processes and assumptions as follows:</w:t>
      </w:r>
    </w:p>
    <w:p w14:paraId="779E1490" w14:textId="77777777" w:rsidR="0041584B" w:rsidRPr="00761504" w:rsidRDefault="0041584B" w:rsidP="0041584B">
      <w:pPr>
        <w:pStyle w:val="Heading5"/>
        <w:keepNext w:val="0"/>
        <w:keepLines w:val="0"/>
        <w:ind w:left="1418"/>
      </w:pPr>
      <w:bookmarkStart w:id="31" w:name="_Ref277945109"/>
      <w:r w:rsidRPr="00761504">
        <w:t>A representation of the entire EHV network captured using appropriate power flow modelling software (the Authorised Network Model)</w:t>
      </w:r>
      <w:r w:rsidRPr="0037103E">
        <w:rPr>
          <w:vertAlign w:val="superscript"/>
        </w:rPr>
        <w:footnoteReference w:id="1"/>
      </w:r>
      <w:r w:rsidRPr="00761504">
        <w:t>. The modelled network should be based on the network expected to exist and be in operation in the Regulatory Year that Use of System Charges are being calculated for, based on the DNO Party’s Long Term Development Statement</w:t>
      </w:r>
      <w:r>
        <w:t xml:space="preserve"> </w:t>
      </w:r>
      <w:r w:rsidRPr="00282429">
        <w:t xml:space="preserve">(save that, until </w:t>
      </w:r>
      <w:r>
        <w:t>5 November 2016</w:t>
      </w:r>
      <w:r w:rsidRPr="00282429">
        <w:t>, where charges are being calculated for two or more Regulatory Years, the same Authorised Network Model will be used for all the years).</w:t>
      </w:r>
      <w:bookmarkEnd w:id="31"/>
    </w:p>
    <w:p w14:paraId="0687C9AF" w14:textId="77777777" w:rsidR="0041584B" w:rsidRPr="00761504" w:rsidRDefault="0041584B" w:rsidP="0041584B">
      <w:pPr>
        <w:pStyle w:val="Heading5"/>
        <w:keepNext w:val="0"/>
        <w:keepLines w:val="0"/>
        <w:ind w:left="1418"/>
      </w:pPr>
      <w:r w:rsidRPr="00761504">
        <w:t>AC power flows should be calculated for maximum and minimum demand base conditions and for maximum and minimum demand conditions plus an increment of demand or generation</w:t>
      </w:r>
      <w:r w:rsidRPr="0037103E">
        <w:rPr>
          <w:vertAlign w:val="superscript"/>
        </w:rPr>
        <w:footnoteReference w:id="2"/>
      </w:r>
      <w:r w:rsidRPr="00761504">
        <w:t xml:space="preserve">. A 0.1MW Nodal increment should be used in relation to calculating the active demand and generation elements of the incremented power flows, assuming that the power factor is 0.95 for increments applied at Nodes where demand is located and unity for increments applied at Nodes where generation is located. Increments will be applied in the </w:t>
      </w:r>
      <w:r w:rsidRPr="00761504">
        <w:lastRenderedPageBreak/>
        <w:t>direction of demand for the analysis of maximum demand network conditions and in the direction of generation for the analysis of minimum demand conditions. Where both demand (load) and generation are located at a Node, separate incremental power flows shall be calculated using increments at 0.95 power factor and at unity power factor.</w:t>
      </w:r>
    </w:p>
    <w:p w14:paraId="2250EB4F" w14:textId="77777777" w:rsidR="0041584B" w:rsidRDefault="0041584B" w:rsidP="0041584B">
      <w:pPr>
        <w:pStyle w:val="Heading5"/>
        <w:keepNext w:val="0"/>
        <w:keepLines w:val="0"/>
        <w:ind w:left="1418"/>
      </w:pPr>
      <w:r w:rsidRPr="00761504">
        <w:t>Nodal demand and generation data should be used, which is based on actual metered network usage data that is recovered from the DNO Party’s Supervisory Control and Data Acquisition (SCADA) (or equivalent) system. In particular:</w:t>
      </w:r>
    </w:p>
    <w:p w14:paraId="155FFA09" w14:textId="77777777" w:rsidR="0041584B" w:rsidRPr="00761504" w:rsidRDefault="0041584B" w:rsidP="0041584B">
      <w:pPr>
        <w:pStyle w:val="Heading6"/>
        <w:keepNext w:val="0"/>
        <w:keepLines w:val="0"/>
        <w:spacing w:line="360" w:lineRule="auto"/>
        <w:ind w:left="1985" w:hanging="567"/>
      </w:pPr>
      <w:r w:rsidRPr="006E11BE">
        <w:rPr>
          <w:b/>
        </w:rPr>
        <w:t>Demand Data</w:t>
      </w:r>
      <w:r w:rsidRPr="00761504">
        <w:t xml:space="preserve"> – for the maximum demand period, the model uses demands consistent with those used to assess reinforcement</w:t>
      </w:r>
      <w:r w:rsidRPr="0037103E">
        <w:rPr>
          <w:vertAlign w:val="superscript"/>
        </w:rPr>
        <w:footnoteReference w:id="3"/>
      </w:r>
      <w:r w:rsidRPr="00761504">
        <w:t>. This includes diversity to allow a complete EHV network model to be run</w:t>
      </w:r>
      <w:r w:rsidRPr="0037103E">
        <w:rPr>
          <w:vertAlign w:val="superscript"/>
        </w:rPr>
        <w:footnoteReference w:id="4"/>
      </w:r>
      <w:r w:rsidRPr="00761504">
        <w:t>. Minimum demands are taken as being a percentage of maximum demands</w:t>
      </w:r>
      <w:r w:rsidRPr="0031739F">
        <w:rPr>
          <w:vertAlign w:val="superscript"/>
        </w:rPr>
        <w:footnoteReference w:id="5"/>
      </w:r>
      <w:r w:rsidRPr="00761504">
        <w:t>. This percentage is derived for each Grid Supply Point (GSP) and applied to the demands supplied by that GSP;</w:t>
      </w:r>
    </w:p>
    <w:p w14:paraId="1E07F7EC" w14:textId="77777777" w:rsidR="0041584B" w:rsidRPr="00761504" w:rsidRDefault="0041584B" w:rsidP="0041584B">
      <w:pPr>
        <w:pStyle w:val="Heading6"/>
        <w:keepNext w:val="0"/>
        <w:keepLines w:val="0"/>
        <w:spacing w:line="360" w:lineRule="auto"/>
        <w:ind w:left="1985" w:hanging="567"/>
      </w:pPr>
      <w:r w:rsidRPr="006E11BE">
        <w:rPr>
          <w:b/>
        </w:rPr>
        <w:t>Generation Data</w:t>
      </w:r>
      <w:r w:rsidRPr="00761504">
        <w:t xml:space="preserve"> - for the maximum demand period generation is zero unless it is deemed to contribute to network security in accordance with ER P2/6</w:t>
      </w:r>
      <w:r w:rsidRPr="00A912FC">
        <w:rPr>
          <w:vertAlign w:val="superscript"/>
        </w:rPr>
        <w:footnoteReference w:id="6"/>
      </w:r>
      <w:r w:rsidRPr="00761504">
        <w:t>. The generation export used for the minimum demand period is the Maximum Export Capacity for each EDCM (Generation) Connectee, factored to reflect coincidence with other generation export. This factor is derived for each GSP and applied to EDCM (Generation) Connectees connected to that GSP. These are broadly similar to the assumptions that are used by the DNO Party when investment planning</w:t>
      </w:r>
      <w:r w:rsidRPr="0031739F">
        <w:rPr>
          <w:vertAlign w:val="superscript"/>
        </w:rPr>
        <w:footnoteReference w:id="7"/>
      </w:r>
      <w:r w:rsidRPr="00761504">
        <w:t>;</w:t>
      </w:r>
    </w:p>
    <w:p w14:paraId="32BEEB9B" w14:textId="77777777" w:rsidR="0041584B" w:rsidRPr="00761504" w:rsidRDefault="0041584B" w:rsidP="0041584B">
      <w:pPr>
        <w:pStyle w:val="Heading6"/>
        <w:keepNext w:val="0"/>
        <w:keepLines w:val="0"/>
        <w:spacing w:line="360" w:lineRule="auto"/>
        <w:ind w:left="1985" w:hanging="567"/>
      </w:pPr>
      <w:r w:rsidRPr="006E11BE">
        <w:rPr>
          <w:b/>
        </w:rPr>
        <w:t>Cleansing Data</w:t>
      </w:r>
      <w:r w:rsidRPr="00761504">
        <w:t xml:space="preserve"> - the DNO Party should cleanse demand and generation data so that it is representative of typical network usage. That is, anomalous power flows, which represent, for example, demand levels at a time when the network is experiencing an outage, should be removed </w:t>
      </w:r>
      <w:r w:rsidRPr="00761504">
        <w:lastRenderedPageBreak/>
        <w:t>from the data set and the effects of load management schemes should be taken account of</w:t>
      </w:r>
      <w:r w:rsidRPr="0031739F">
        <w:rPr>
          <w:vertAlign w:val="superscript"/>
        </w:rPr>
        <w:footnoteReference w:id="8"/>
      </w:r>
      <w:r w:rsidRPr="00761504">
        <w:t>;</w:t>
      </w:r>
    </w:p>
    <w:p w14:paraId="61616F1A" w14:textId="77777777" w:rsidR="0041584B" w:rsidRPr="00761504" w:rsidRDefault="0041584B" w:rsidP="0041584B">
      <w:pPr>
        <w:pStyle w:val="Heading6"/>
        <w:keepNext w:val="0"/>
        <w:keepLines w:val="0"/>
        <w:spacing w:line="360" w:lineRule="auto"/>
        <w:ind w:left="1985" w:hanging="567"/>
      </w:pPr>
      <w:r w:rsidRPr="006E11BE">
        <w:rPr>
          <w:b/>
        </w:rPr>
        <w:t>Growth Rate</w:t>
      </w:r>
      <w:r w:rsidRPr="00761504">
        <w:t xml:space="preserve"> - a single underlying network growth rate is used to assess the timing of future reinforcement for both demand and generation Connectees. It represents the long run growth of all DNO Parties’ networks and is set to 1% growth per annum.  To facilitate predictability and stability, the growth rate is used throughout the model, and (as with all assumptions) the DNO Party should keep this growth rate under review. As a minimum, the rate should be reviewed and reset when the charge restriction conditions in the DNO Party’s Distribution Licence are reviewed every five years; and</w:t>
      </w:r>
    </w:p>
    <w:p w14:paraId="71F01175" w14:textId="77777777" w:rsidR="0041584B" w:rsidRPr="00761504" w:rsidRDefault="0041584B" w:rsidP="0041584B">
      <w:pPr>
        <w:pStyle w:val="Heading6"/>
        <w:keepNext w:val="0"/>
        <w:keepLines w:val="0"/>
        <w:spacing w:line="360" w:lineRule="auto"/>
        <w:ind w:left="1985" w:hanging="567"/>
      </w:pPr>
      <w:r w:rsidRPr="006E11BE">
        <w:rPr>
          <w:b/>
        </w:rPr>
        <w:t>Security Factors</w:t>
      </w:r>
      <w:r w:rsidRPr="00761504">
        <w:t xml:space="preserve"> - a pair of Security Factors should be determined</w:t>
      </w:r>
      <w:r w:rsidRPr="002415FD">
        <w:rPr>
          <w:vertAlign w:val="superscript"/>
        </w:rPr>
        <w:footnoteReference w:id="9"/>
      </w:r>
      <w:r w:rsidRPr="00761504">
        <w:t xml:space="preserve"> for each Branch using a full N-1 Contingency Analysis assuming maximum and minimum demand conditions</w:t>
      </w:r>
      <w:r w:rsidRPr="002415FD">
        <w:rPr>
          <w:vertAlign w:val="superscript"/>
        </w:rPr>
        <w:footnoteReference w:id="10"/>
      </w:r>
      <w:r w:rsidRPr="00761504">
        <w:t xml:space="preserve">. These factors are used to determine the usable capacity of network Branches during maximum and minimum demand conditions. They are recalculated each time the network is </w:t>
      </w:r>
      <w:proofErr w:type="gramStart"/>
      <w:r w:rsidRPr="00761504">
        <w:t>changed</w:t>
      </w:r>
      <w:proofErr w:type="gramEnd"/>
      <w:r w:rsidRPr="00761504">
        <w:t xml:space="preserve"> or new load estimates used. Each N-1 Contingency will consider the consequential network actions and where appropriate constraints on Connectee demands (both generation and load) to meet the security of supply requirements of E/R P2/6.</w:t>
      </w:r>
    </w:p>
    <w:p w14:paraId="21DAAD9E" w14:textId="77777777" w:rsidR="0041584B" w:rsidRPr="00761504" w:rsidRDefault="0041584B" w:rsidP="0041584B">
      <w:pPr>
        <w:pStyle w:val="Heading5"/>
        <w:keepNext w:val="0"/>
        <w:keepLines w:val="0"/>
        <w:ind w:left="1418"/>
      </w:pPr>
      <w:r w:rsidRPr="00761504">
        <w:t>The results of the power flow analysis are sense checked to identify where application of Security Factors to the incremented power flows leads to excessively large (and non-credible) estimations of the change in Branch utilisation. The following conditions are identified:</w:t>
      </w:r>
    </w:p>
    <w:p w14:paraId="5D434077" w14:textId="77777777" w:rsidR="0041584B" w:rsidRPr="00761504" w:rsidRDefault="0041584B" w:rsidP="0041584B">
      <w:pPr>
        <w:pStyle w:val="Heading6"/>
        <w:keepNext w:val="0"/>
        <w:keepLines w:val="0"/>
        <w:spacing w:line="360" w:lineRule="auto"/>
        <w:ind w:left="1985" w:hanging="567"/>
      </w:pPr>
      <w:r w:rsidRPr="00761504">
        <w:t>low base power flows;</w:t>
      </w:r>
    </w:p>
    <w:p w14:paraId="780D0CAA" w14:textId="77777777" w:rsidR="0041584B" w:rsidRPr="00761504" w:rsidRDefault="0041584B" w:rsidP="0041584B">
      <w:pPr>
        <w:pStyle w:val="Heading6"/>
        <w:keepNext w:val="0"/>
        <w:keepLines w:val="0"/>
        <w:spacing w:line="360" w:lineRule="auto"/>
        <w:ind w:left="1985" w:hanging="567"/>
      </w:pPr>
      <w:r w:rsidRPr="00761504">
        <w:t>high Security Factors; and</w:t>
      </w:r>
    </w:p>
    <w:p w14:paraId="27ABC421" w14:textId="77777777" w:rsidR="0041584B" w:rsidRPr="00761504" w:rsidRDefault="0041584B" w:rsidP="0041584B">
      <w:pPr>
        <w:pStyle w:val="Heading6"/>
        <w:keepNext w:val="0"/>
        <w:keepLines w:val="0"/>
        <w:spacing w:line="360" w:lineRule="auto"/>
        <w:ind w:left="1985" w:hanging="567"/>
      </w:pPr>
      <w:r w:rsidRPr="00761504">
        <w:lastRenderedPageBreak/>
        <w:t>where the difference between the base and incremented Branch power flows exceeds the change that could reasonably be expected to occur as a result of the application of an increment of demand or generation.</w:t>
      </w:r>
    </w:p>
    <w:p w14:paraId="038FEEE6" w14:textId="77777777" w:rsidR="0041584B" w:rsidRPr="00761504" w:rsidRDefault="0041584B" w:rsidP="0041584B">
      <w:pPr>
        <w:pStyle w:val="Heading5"/>
        <w:keepNext w:val="0"/>
        <w:keepLines w:val="0"/>
        <w:ind w:left="1418"/>
      </w:pPr>
      <w:r w:rsidRPr="00761504">
        <w:t xml:space="preserve">Where such cases are encountered a modified approach to the anticipated change in power flow in the Branch is used. Guidance on the sense checking of the power flow analysis results is provided in section </w:t>
      </w:r>
      <w:r>
        <w:fldChar w:fldCharType="begin"/>
      </w:r>
      <w:r>
        <w:instrText xml:space="preserve"> REF _Ref277941033 \w \h  \* MERGEFORMAT </w:instrText>
      </w:r>
      <w:r>
        <w:fldChar w:fldCharType="separate"/>
      </w:r>
      <w:r>
        <w:t>8.3</w:t>
      </w:r>
      <w:r>
        <w:fldChar w:fldCharType="end"/>
      </w:r>
      <w:r>
        <w:t xml:space="preserve"> </w:t>
      </w:r>
      <w:r w:rsidRPr="00761504">
        <w:t xml:space="preserve">of </w:t>
      </w:r>
      <w:r>
        <w:fldChar w:fldCharType="begin"/>
      </w:r>
      <w:r>
        <w:instrText xml:space="preserve"> REF Annex1 \h  \* MERGEFORMAT </w:instrText>
      </w:r>
      <w:r>
        <w:fldChar w:fldCharType="separate"/>
      </w:r>
      <w:r w:rsidRPr="001613FA">
        <w:t>Annex 1</w:t>
      </w:r>
      <w:r>
        <w:fldChar w:fldCharType="end"/>
      </w:r>
      <w:r w:rsidRPr="00761504">
        <w:t xml:space="preserve">. This approach does not apply the Security Factor when considering the change in flow between the incremented and the base case power flow. </w:t>
      </w:r>
    </w:p>
    <w:p w14:paraId="43CC96EA" w14:textId="77777777" w:rsidR="0041584B" w:rsidRPr="00761504" w:rsidRDefault="0041584B" w:rsidP="0041584B">
      <w:pPr>
        <w:pStyle w:val="DCSubHeading1Level2"/>
      </w:pPr>
      <w:bookmarkStart w:id="32" w:name="_Toc269721191"/>
      <w:r w:rsidRPr="00761504">
        <w:t>Calculation of Branch incremental costs</w:t>
      </w:r>
      <w:bookmarkEnd w:id="32"/>
    </w:p>
    <w:p w14:paraId="1AC6730A" w14:textId="77777777" w:rsidR="0041584B" w:rsidRPr="00761504" w:rsidRDefault="0041584B" w:rsidP="0041584B">
      <w:pPr>
        <w:pStyle w:val="Heading2"/>
      </w:pPr>
      <w:r w:rsidRPr="00761504">
        <w:t>The incremental cost of reinforcing a Branch due to an increment at a Node is the difference in the net present value (NPV) of reinforcing the Branch under base and incremented conditions. An explanation of the derivation of the formulae used to calculate Branch incremental costs is provided in Annex 2.</w:t>
      </w:r>
    </w:p>
    <w:p w14:paraId="4A380CEA" w14:textId="77777777" w:rsidR="0041584B" w:rsidRPr="00761504" w:rsidRDefault="0041584B" w:rsidP="0041584B">
      <w:pPr>
        <w:pStyle w:val="Heading2"/>
      </w:pPr>
      <w:r w:rsidRPr="00761504">
        <w:t>The Branch incremental cost, denoted</w:t>
      </w:r>
      <w:r w:rsidRPr="00761504">
        <w:fldChar w:fldCharType="begin"/>
      </w:r>
      <w:r w:rsidRPr="00761504">
        <w:instrText xml:space="preserve"> QUOTE </w:instrText>
      </w:r>
      <w:r w:rsidRPr="00761504">
        <w:rPr>
          <w:noProof/>
          <w:lang w:eastAsia="en-GB"/>
        </w:rPr>
        <w:drawing>
          <wp:inline distT="0" distB="0" distL="0" distR="0" wp14:anchorId="3E458AE9" wp14:editId="0CEEE091">
            <wp:extent cx="236855" cy="13970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8"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36855" cy="139700"/>
                    </a:xfrm>
                    <a:prstGeom prst="rect">
                      <a:avLst/>
                    </a:prstGeom>
                    <a:noFill/>
                    <a:ln>
                      <a:noFill/>
                    </a:ln>
                  </pic:spPr>
                </pic:pic>
              </a:graphicData>
            </a:graphic>
          </wp:inline>
        </w:drawing>
      </w:r>
      <w:r w:rsidRPr="00761504">
        <w:instrText xml:space="preserve"> </w:instrText>
      </w:r>
      <w:r w:rsidRPr="00761504">
        <w:fldChar w:fldCharType="separate"/>
      </w:r>
      <w:r w:rsidRPr="00761504">
        <w:rPr>
          <w:noProof/>
          <w:lang w:eastAsia="en-GB"/>
        </w:rPr>
        <w:drawing>
          <wp:inline distT="0" distB="0" distL="0" distR="0" wp14:anchorId="4329DEF0" wp14:editId="385A62DF">
            <wp:extent cx="215265" cy="182880"/>
            <wp:effectExtent l="0" t="0" r="0" b="762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8"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15265" cy="182880"/>
                    </a:xfrm>
                    <a:prstGeom prst="rect">
                      <a:avLst/>
                    </a:prstGeom>
                    <a:noFill/>
                    <a:ln>
                      <a:noFill/>
                    </a:ln>
                  </pic:spPr>
                </pic:pic>
              </a:graphicData>
            </a:graphic>
          </wp:inline>
        </w:drawing>
      </w:r>
      <w:r w:rsidRPr="00761504">
        <w:fldChar w:fldCharType="end"/>
      </w:r>
      <w:r w:rsidRPr="00761504">
        <w:t>, is calculated using the following formulae:</w:t>
      </w:r>
    </w:p>
    <w:p w14:paraId="63545562" w14:textId="77777777" w:rsidR="0041584B" w:rsidRDefault="0041584B" w:rsidP="0041584B">
      <w:pPr>
        <w:pStyle w:val="Heading2"/>
        <w:numPr>
          <w:ilvl w:val="0"/>
          <w:numId w:val="0"/>
        </w:numPr>
        <w:ind w:left="720"/>
      </w:pPr>
      <w:r w:rsidRPr="00C70D7F">
        <w:object w:dxaOrig="4580" w:dyaOrig="360" w14:anchorId="50A56F6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3pt;height:21.4pt" o:ole="">
            <v:imagedata r:id="rId9" o:title=""/>
          </v:shape>
          <o:OLEObject Type="Embed" ProgID="Equation.3" ShapeID="_x0000_i1025" DrawAspect="Content" ObjectID="_1640532494" r:id="rId10"/>
        </w:object>
      </w:r>
      <w:r w:rsidRPr="00C70D7F">
        <w:object w:dxaOrig="4959" w:dyaOrig="1400" w14:anchorId="75B0624A">
          <v:shape id="_x0000_i1026" type="#_x0000_t75" style="width:280.5pt;height:79.5pt" o:ole="">
            <v:imagedata r:id="rId11" o:title=""/>
          </v:shape>
          <o:OLEObject Type="Embed" ProgID="Equation.3" ShapeID="_x0000_i1026" DrawAspect="Content" ObjectID="_1640532495" r:id="rId12"/>
        </w:object>
      </w:r>
    </w:p>
    <w:p w14:paraId="355C6B6A" w14:textId="77777777" w:rsidR="0041584B" w:rsidRDefault="0041584B" w:rsidP="0041584B">
      <w:pPr>
        <w:pStyle w:val="Heading2"/>
        <w:numPr>
          <w:ilvl w:val="0"/>
          <w:numId w:val="0"/>
        </w:numPr>
        <w:ind w:left="720"/>
      </w:pPr>
      <w:r w:rsidRPr="00C70D7F">
        <w:object w:dxaOrig="8199" w:dyaOrig="1359" w14:anchorId="0AB7ABD8">
          <v:shape id="_x0000_i1027" type="#_x0000_t75" style="width:411.75pt;height:64.5pt" o:ole="">
            <v:imagedata r:id="rId13" o:title=""/>
          </v:shape>
          <o:OLEObject Type="Embed" ProgID="Equation.3" ShapeID="_x0000_i1027" DrawAspect="Content" ObjectID="_1640532496" r:id="rId14"/>
        </w:object>
      </w:r>
      <w:r w:rsidRPr="00C70D7F">
        <w:object w:dxaOrig="4740" w:dyaOrig="1080" w14:anchorId="434833CB">
          <v:shape id="_x0000_i1028" type="#_x0000_t75" style="width:301.9pt;height:1in" o:ole="">
            <v:imagedata r:id="rId15" o:title=""/>
          </v:shape>
          <o:OLEObject Type="Embed" ProgID="Equation.3" ShapeID="_x0000_i1028" DrawAspect="Content" ObjectID="_1640532497" r:id="rId16"/>
        </w:object>
      </w:r>
    </w:p>
    <w:p w14:paraId="3591A10B" w14:textId="77777777" w:rsidR="0041584B" w:rsidRPr="00761504" w:rsidRDefault="0041584B" w:rsidP="0041584B">
      <w:pPr>
        <w:ind w:left="720"/>
      </w:pPr>
      <w:r w:rsidRPr="007267A1">
        <w:rPr>
          <w:b/>
        </w:rPr>
        <w:t>Branch Capacity</w:t>
      </w:r>
      <w:r w:rsidRPr="00761504">
        <w:t xml:space="preserve"> is the MVA rating of the “critical” asset in the considered Branch divided by the corresponding Security Factor; a pair of Branch capacities is calculated for maximum demand and minimum demand conditions. Guidance on Branch ratings </w:t>
      </w:r>
      <w:r w:rsidRPr="00761504">
        <w:lastRenderedPageBreak/>
        <w:t xml:space="preserve">is provided in section </w:t>
      </w:r>
      <w:r>
        <w:fldChar w:fldCharType="begin"/>
      </w:r>
      <w:r>
        <w:instrText xml:space="preserve"> REF _Ref277941396 \w \h  \* MERGEFORMAT </w:instrText>
      </w:r>
      <w:r>
        <w:fldChar w:fldCharType="separate"/>
      </w:r>
      <w:r>
        <w:t>7.5</w:t>
      </w:r>
      <w:r>
        <w:fldChar w:fldCharType="end"/>
      </w:r>
      <w:r w:rsidRPr="00761504">
        <w:t xml:space="preserve"> of </w:t>
      </w:r>
      <w:r>
        <w:fldChar w:fldCharType="begin"/>
      </w:r>
      <w:r>
        <w:instrText xml:space="preserve"> REF Annex1 \h  \* MERGEFORMAT </w:instrText>
      </w:r>
      <w:r>
        <w:fldChar w:fldCharType="separate"/>
      </w:r>
      <w:r w:rsidRPr="001613FA">
        <w:t>Annex 1</w:t>
      </w:r>
      <w:r>
        <w:fldChar w:fldCharType="end"/>
      </w:r>
      <w:r w:rsidRPr="00761504">
        <w:t xml:space="preserve">. Guidance on sense checking Security Factors prior to the calculation of Branch incremental costs is provided in section </w:t>
      </w:r>
      <w:r>
        <w:fldChar w:fldCharType="begin"/>
      </w:r>
      <w:r>
        <w:instrText xml:space="preserve"> REF _Ref277941033 \r \h  \* MERGEFORMAT </w:instrText>
      </w:r>
      <w:r>
        <w:fldChar w:fldCharType="separate"/>
      </w:r>
      <w:r>
        <w:t>8.3</w:t>
      </w:r>
      <w:r>
        <w:fldChar w:fldCharType="end"/>
      </w:r>
      <w:r w:rsidRPr="00761504">
        <w:t xml:space="preserve">  of </w:t>
      </w:r>
      <w:r>
        <w:fldChar w:fldCharType="begin"/>
      </w:r>
      <w:r>
        <w:instrText xml:space="preserve"> REF Annex1 \h  \* MERGEFORMAT </w:instrText>
      </w:r>
      <w:r>
        <w:fldChar w:fldCharType="separate"/>
      </w:r>
      <w:r w:rsidRPr="001613FA">
        <w:t>Annex 1</w:t>
      </w:r>
      <w:r>
        <w:fldChar w:fldCharType="end"/>
      </w:r>
      <w:r w:rsidRPr="00761504">
        <w:t>.</w:t>
      </w:r>
    </w:p>
    <w:p w14:paraId="2EDBED2D" w14:textId="77777777" w:rsidR="0041584B" w:rsidRPr="00761504" w:rsidRDefault="0041584B" w:rsidP="0041584B">
      <w:pPr>
        <w:ind w:left="720"/>
      </w:pPr>
      <w:r w:rsidRPr="00761504">
        <w:fldChar w:fldCharType="begin"/>
      </w:r>
      <w:r w:rsidRPr="00761504">
        <w:instrText xml:space="preserve"> QUOTE </w:instrText>
      </w:r>
      <w:r w:rsidRPr="00761504">
        <w:rPr>
          <w:noProof/>
          <w:lang w:eastAsia="en-GB"/>
        </w:rPr>
        <w:drawing>
          <wp:inline distT="0" distB="0" distL="0" distR="0" wp14:anchorId="12D5DC87" wp14:editId="3179D846">
            <wp:extent cx="2223135" cy="173355"/>
            <wp:effectExtent l="19050" t="0" r="5715" b="0"/>
            <wp:docPr id="883" name="Picture 8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3"/>
                    <pic:cNvPicPr>
                      <a:picLocks noChangeAspect="1" noChangeArrowheads="1"/>
                    </pic:cNvPicPr>
                  </pic:nvPicPr>
                  <pic:blipFill>
                    <a:blip r:embed="rId17" cstate="print">
                      <a:clrChange>
                        <a:clrFrom>
                          <a:srgbClr val="FFFFFF"/>
                        </a:clrFrom>
                        <a:clrTo>
                          <a:srgbClr val="FFFFFF">
                            <a:alpha val="0"/>
                          </a:srgbClr>
                        </a:clrTo>
                      </a:clrChange>
                    </a:blip>
                    <a:srcRect/>
                    <a:stretch>
                      <a:fillRect/>
                    </a:stretch>
                  </pic:blipFill>
                  <pic:spPr bwMode="auto">
                    <a:xfrm>
                      <a:off x="0" y="0"/>
                      <a:ext cx="2223135" cy="173355"/>
                    </a:xfrm>
                    <a:prstGeom prst="rect">
                      <a:avLst/>
                    </a:prstGeom>
                    <a:noFill/>
                    <a:ln w="9525">
                      <a:noFill/>
                      <a:miter lim="800000"/>
                      <a:headEnd/>
                      <a:tailEnd/>
                    </a:ln>
                  </pic:spPr>
                </pic:pic>
              </a:graphicData>
            </a:graphic>
          </wp:inline>
        </w:drawing>
      </w:r>
      <w:r w:rsidRPr="00761504">
        <w:instrText xml:space="preserve"> </w:instrText>
      </w:r>
      <w:r w:rsidRPr="00761504">
        <w:fldChar w:fldCharType="separate"/>
      </w:r>
      <w:r w:rsidRPr="00761504">
        <w:rPr>
          <w:noProof/>
          <w:lang w:eastAsia="en-GB"/>
        </w:rPr>
        <w:drawing>
          <wp:inline distT="0" distB="0" distL="0" distR="0" wp14:anchorId="2A6AB5DF" wp14:editId="5ACFE794">
            <wp:extent cx="2223135" cy="173355"/>
            <wp:effectExtent l="19050" t="0" r="5715" b="0"/>
            <wp:docPr id="884" name="Picture 8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4"/>
                    <pic:cNvPicPr>
                      <a:picLocks noChangeAspect="1" noChangeArrowheads="1"/>
                    </pic:cNvPicPr>
                  </pic:nvPicPr>
                  <pic:blipFill>
                    <a:blip r:embed="rId17" cstate="print">
                      <a:clrChange>
                        <a:clrFrom>
                          <a:srgbClr val="FFFFFF"/>
                        </a:clrFrom>
                        <a:clrTo>
                          <a:srgbClr val="FFFFFF">
                            <a:alpha val="0"/>
                          </a:srgbClr>
                        </a:clrTo>
                      </a:clrChange>
                    </a:blip>
                    <a:srcRect/>
                    <a:stretch>
                      <a:fillRect/>
                    </a:stretch>
                  </pic:blipFill>
                  <pic:spPr bwMode="auto">
                    <a:xfrm>
                      <a:off x="0" y="0"/>
                      <a:ext cx="2223135" cy="173355"/>
                    </a:xfrm>
                    <a:prstGeom prst="rect">
                      <a:avLst/>
                    </a:prstGeom>
                    <a:noFill/>
                    <a:ln w="9525">
                      <a:noFill/>
                      <a:miter lim="800000"/>
                      <a:headEnd/>
                      <a:tailEnd/>
                    </a:ln>
                  </pic:spPr>
                </pic:pic>
              </a:graphicData>
            </a:graphic>
          </wp:inline>
        </w:drawing>
      </w:r>
      <w:r w:rsidRPr="00761504">
        <w:fldChar w:fldCharType="end"/>
      </w:r>
      <w:r w:rsidRPr="00761504">
        <w:t xml:space="preserve">is the modern equivalent asset value (MEAV) of reinforcing the particular Branch, bearing in mind the requirements of similar historic projects.  This cost is the same under both base and incremented conditions. The DNO Party should use the specifications and costs of similar, past reinforcement projects as a means for determining the requirements and costs of a particular future reinforcement project. Guidance on the reinforcement cost calculation principles is provided in section </w:t>
      </w:r>
      <w:r>
        <w:fldChar w:fldCharType="begin"/>
      </w:r>
      <w:r>
        <w:instrText xml:space="preserve"> REF _Ref277942240 \r \h  \* MERGEFORMAT </w:instrText>
      </w:r>
      <w:r>
        <w:fldChar w:fldCharType="separate"/>
      </w:r>
      <w:r>
        <w:t>7.4</w:t>
      </w:r>
      <w:r>
        <w:fldChar w:fldCharType="end"/>
      </w:r>
      <w:r w:rsidRPr="00761504">
        <w:t xml:space="preserve">  of </w:t>
      </w:r>
      <w:r>
        <w:fldChar w:fldCharType="begin"/>
      </w:r>
      <w:r>
        <w:instrText xml:space="preserve"> REF Annex1 \h  \* MERGEFORMAT </w:instrText>
      </w:r>
      <w:r>
        <w:fldChar w:fldCharType="separate"/>
      </w:r>
      <w:r w:rsidRPr="001613FA">
        <w:t>Annex 1</w:t>
      </w:r>
      <w:r>
        <w:fldChar w:fldCharType="end"/>
      </w:r>
      <w:r w:rsidRPr="00761504">
        <w:t>.</w:t>
      </w:r>
    </w:p>
    <w:p w14:paraId="4626AA71" w14:textId="77777777" w:rsidR="0041584B" w:rsidRPr="00761504" w:rsidRDefault="0041584B" w:rsidP="0041584B">
      <w:pPr>
        <w:ind w:left="720"/>
      </w:pPr>
      <w:proofErr w:type="spellStart"/>
      <w:r w:rsidRPr="007267A1">
        <w:rPr>
          <w:b/>
          <w:i/>
        </w:rPr>
        <w:t>YearsToReinforcement</w:t>
      </w:r>
      <w:proofErr w:type="spellEnd"/>
      <w:r w:rsidRPr="00761504">
        <w:t xml:space="preserve"> is the number of years into the future when reinforcement of the Branch will be required. This is calculated separately under base and incremented conditions.</w:t>
      </w:r>
    </w:p>
    <w:p w14:paraId="54659BBF" w14:textId="77777777" w:rsidR="0041584B" w:rsidRDefault="0041584B" w:rsidP="0041584B">
      <w:pPr>
        <w:ind w:left="720"/>
      </w:pPr>
      <w:r w:rsidRPr="00761504">
        <w:fldChar w:fldCharType="begin"/>
      </w:r>
      <w:r w:rsidRPr="00761504">
        <w:instrText xml:space="preserve"> QUOTE </w:instrText>
      </w:r>
      <w:r w:rsidRPr="00761504">
        <w:rPr>
          <w:noProof/>
          <w:lang w:eastAsia="en-GB"/>
        </w:rPr>
        <w:drawing>
          <wp:inline distT="0" distB="0" distL="0" distR="0" wp14:anchorId="74F4021D" wp14:editId="5001FB36">
            <wp:extent cx="1024890" cy="173355"/>
            <wp:effectExtent l="19050" t="0" r="0" b="0"/>
            <wp:docPr id="895" name="Picture 8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5"/>
                    <pic:cNvPicPr>
                      <a:picLocks noChangeAspect="1" noChangeArrowheads="1"/>
                    </pic:cNvPicPr>
                  </pic:nvPicPr>
                  <pic:blipFill>
                    <a:blip r:embed="rId18" cstate="print">
                      <a:clrChange>
                        <a:clrFrom>
                          <a:srgbClr val="FFFFFF"/>
                        </a:clrFrom>
                        <a:clrTo>
                          <a:srgbClr val="FFFFFF">
                            <a:alpha val="0"/>
                          </a:srgbClr>
                        </a:clrTo>
                      </a:clrChange>
                    </a:blip>
                    <a:srcRect/>
                    <a:stretch>
                      <a:fillRect/>
                    </a:stretch>
                  </pic:blipFill>
                  <pic:spPr bwMode="auto">
                    <a:xfrm>
                      <a:off x="0" y="0"/>
                      <a:ext cx="1024890" cy="173355"/>
                    </a:xfrm>
                    <a:prstGeom prst="rect">
                      <a:avLst/>
                    </a:prstGeom>
                    <a:noFill/>
                    <a:ln w="9525">
                      <a:noFill/>
                      <a:miter lim="800000"/>
                      <a:headEnd/>
                      <a:tailEnd/>
                    </a:ln>
                  </pic:spPr>
                </pic:pic>
              </a:graphicData>
            </a:graphic>
          </wp:inline>
        </w:drawing>
      </w:r>
      <w:r w:rsidRPr="00761504">
        <w:instrText xml:space="preserve"> </w:instrText>
      </w:r>
      <w:r w:rsidRPr="00761504">
        <w:fldChar w:fldCharType="separate"/>
      </w:r>
      <w:r w:rsidRPr="00761504">
        <w:rPr>
          <w:noProof/>
          <w:lang w:eastAsia="en-GB"/>
        </w:rPr>
        <w:drawing>
          <wp:inline distT="0" distB="0" distL="0" distR="0" wp14:anchorId="770F1703" wp14:editId="18F2CA79">
            <wp:extent cx="1024890" cy="173355"/>
            <wp:effectExtent l="19050" t="0" r="0" b="0"/>
            <wp:docPr id="896" name="Picture 8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6"/>
                    <pic:cNvPicPr>
                      <a:picLocks noChangeAspect="1" noChangeArrowheads="1"/>
                    </pic:cNvPicPr>
                  </pic:nvPicPr>
                  <pic:blipFill>
                    <a:blip r:embed="rId18" cstate="print">
                      <a:clrChange>
                        <a:clrFrom>
                          <a:srgbClr val="FFFFFF"/>
                        </a:clrFrom>
                        <a:clrTo>
                          <a:srgbClr val="FFFFFF">
                            <a:alpha val="0"/>
                          </a:srgbClr>
                        </a:clrTo>
                      </a:clrChange>
                    </a:blip>
                    <a:srcRect/>
                    <a:stretch>
                      <a:fillRect/>
                    </a:stretch>
                  </pic:blipFill>
                  <pic:spPr bwMode="auto">
                    <a:xfrm>
                      <a:off x="0" y="0"/>
                      <a:ext cx="1024890" cy="173355"/>
                    </a:xfrm>
                    <a:prstGeom prst="rect">
                      <a:avLst/>
                    </a:prstGeom>
                    <a:noFill/>
                    <a:ln w="9525">
                      <a:noFill/>
                      <a:miter lim="800000"/>
                      <a:headEnd/>
                      <a:tailEnd/>
                    </a:ln>
                  </pic:spPr>
                </pic:pic>
              </a:graphicData>
            </a:graphic>
          </wp:inline>
        </w:drawing>
      </w:r>
      <w:r w:rsidRPr="00761504">
        <w:fldChar w:fldCharType="end"/>
      </w:r>
      <w:r w:rsidRPr="00761504">
        <w:t xml:space="preserve"> is </w:t>
      </w:r>
      <w:r>
        <w:t>set to equal the latest pre-tax real weighted average cost of capital (CC below) for each DNO Party calculated using the following formula:</w:t>
      </w:r>
    </w:p>
    <w:p w14:paraId="5914E167" w14:textId="77777777" w:rsidR="0041584B" w:rsidRDefault="0041584B" w:rsidP="0041584B">
      <w:pPr>
        <w:ind w:left="720"/>
      </w:pPr>
      <w:r>
        <w:t xml:space="preserve">CC = (Gearing Assumption x Pre-Tax Cost of Debt) + (1- Gearing </w:t>
      </w:r>
      <w:proofErr w:type="gramStart"/>
      <w:r>
        <w:t>Assumption)*</w:t>
      </w:r>
      <w:proofErr w:type="gramEnd"/>
      <w:r>
        <w:t>(Post Tax Cost of Equity/(1-Corporation Tax Rate))</w:t>
      </w:r>
    </w:p>
    <w:p w14:paraId="1117FF4B" w14:textId="77777777" w:rsidR="0041584B" w:rsidRDefault="0041584B" w:rsidP="0041584B">
      <w:pPr>
        <w:ind w:left="720"/>
      </w:pPr>
      <w:r>
        <w:t>where:</w:t>
      </w:r>
    </w:p>
    <w:p w14:paraId="60A98FAD" w14:textId="77777777" w:rsidR="0041584B" w:rsidRDefault="0041584B" w:rsidP="0041584B">
      <w:pPr>
        <w:ind w:left="720"/>
      </w:pPr>
      <w:r>
        <w:t>Gearing Assumption is set to the ‘notional Gearing’ value referred to in the ED1 Price Control Financial Handbook;</w:t>
      </w:r>
    </w:p>
    <w:p w14:paraId="63F9B8DC" w14:textId="77777777" w:rsidR="0041584B" w:rsidRDefault="0041584B" w:rsidP="0041584B">
      <w:pPr>
        <w:ind w:left="720"/>
      </w:pPr>
      <w:r>
        <w:t>Pre-Tax Cost of Debt is set to the ‘cost of corporate debt’ value specified in or calculated in accordance with the most recent Annual Iteration Process applicable when setting distribution Use of System Charges;</w:t>
      </w:r>
    </w:p>
    <w:p w14:paraId="7E35C807" w14:textId="77777777" w:rsidR="0041584B" w:rsidRDefault="0041584B" w:rsidP="0041584B">
      <w:pPr>
        <w:ind w:left="720"/>
      </w:pPr>
      <w:r>
        <w:t>Post Tax Cost of Equity is set to the ‘cost of equity’ value referred to in the ED1 Price Control Financial Handbook; and</w:t>
      </w:r>
    </w:p>
    <w:p w14:paraId="7047BB43" w14:textId="77777777" w:rsidR="0041584B" w:rsidRDefault="0041584B" w:rsidP="0041584B">
      <w:pPr>
        <w:ind w:left="720"/>
      </w:pPr>
      <w:r>
        <w:t>Corporation Tax Rate is the rate of corporation tax which is, when setting distribution Use of System Charges, expected to be applicable in respect of the Regulatory Year in which those Charges will take effect.</w:t>
      </w:r>
    </w:p>
    <w:p w14:paraId="0AE7E9F6" w14:textId="77777777" w:rsidR="0041584B" w:rsidRPr="00761504" w:rsidRDefault="0041584B" w:rsidP="0041584B">
      <w:pPr>
        <w:ind w:left="720"/>
      </w:pPr>
      <w:r>
        <w:lastRenderedPageBreak/>
        <w:t xml:space="preserve">The CC value is calculated as a </w:t>
      </w:r>
      <w:proofErr w:type="gramStart"/>
      <w:r>
        <w:t>percentage, and</w:t>
      </w:r>
      <w:proofErr w:type="gramEnd"/>
      <w:r>
        <w:t xml:space="preserve"> rounded to two decimal places.</w:t>
      </w:r>
    </w:p>
    <w:p w14:paraId="7E073624" w14:textId="77777777" w:rsidR="0041584B" w:rsidRPr="00761504" w:rsidRDefault="0041584B" w:rsidP="0041584B">
      <w:pPr>
        <w:ind w:left="720"/>
      </w:pPr>
      <w:proofErr w:type="spellStart"/>
      <w:r w:rsidRPr="007267A1">
        <w:rPr>
          <w:b/>
          <w:i/>
        </w:rPr>
        <w:t>GrowthRate</w:t>
      </w:r>
      <w:proofErr w:type="spellEnd"/>
      <w:r w:rsidRPr="00761504">
        <w:t xml:space="preserve"> is the growth rate in per units of the power flow, currently set at 1%. </w:t>
      </w:r>
    </w:p>
    <w:p w14:paraId="75B4F09F" w14:textId="77777777" w:rsidR="0041584B" w:rsidRPr="00761504" w:rsidRDefault="0041584B" w:rsidP="0041584B">
      <w:pPr>
        <w:ind w:left="720"/>
      </w:pPr>
      <w:r w:rsidRPr="00761504">
        <w:fldChar w:fldCharType="begin"/>
      </w:r>
      <w:r w:rsidRPr="00761504">
        <w:instrText xml:space="preserve"> QUOTE </w:instrText>
      </w:r>
      <w:r w:rsidRPr="00761504">
        <w:rPr>
          <w:noProof/>
          <w:lang w:eastAsia="en-GB"/>
        </w:rPr>
        <w:drawing>
          <wp:inline distT="0" distB="0" distL="0" distR="0" wp14:anchorId="354E4B84" wp14:editId="17B3CC57">
            <wp:extent cx="1118870" cy="182880"/>
            <wp:effectExtent l="0" t="0" r="5080" b="7620"/>
            <wp:docPr id="7"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9"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18870" cy="182880"/>
                    </a:xfrm>
                    <a:prstGeom prst="rect">
                      <a:avLst/>
                    </a:prstGeom>
                    <a:noFill/>
                    <a:ln>
                      <a:noFill/>
                    </a:ln>
                  </pic:spPr>
                </pic:pic>
              </a:graphicData>
            </a:graphic>
          </wp:inline>
        </w:drawing>
      </w:r>
      <w:r w:rsidRPr="00761504">
        <w:instrText xml:space="preserve"> </w:instrText>
      </w:r>
      <w:r w:rsidRPr="00761504">
        <w:fldChar w:fldCharType="separate"/>
      </w:r>
      <w:r w:rsidRPr="00761504">
        <w:rPr>
          <w:noProof/>
          <w:lang w:eastAsia="en-GB"/>
        </w:rPr>
        <w:drawing>
          <wp:inline distT="0" distB="0" distL="0" distR="0" wp14:anchorId="67B2E0B9" wp14:editId="5463FF1C">
            <wp:extent cx="1118870" cy="182880"/>
            <wp:effectExtent l="0" t="0" r="5080" b="762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9"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18870" cy="182880"/>
                    </a:xfrm>
                    <a:prstGeom prst="rect">
                      <a:avLst/>
                    </a:prstGeom>
                    <a:noFill/>
                    <a:ln>
                      <a:noFill/>
                    </a:ln>
                  </pic:spPr>
                </pic:pic>
              </a:graphicData>
            </a:graphic>
          </wp:inline>
        </w:drawing>
      </w:r>
      <w:r w:rsidRPr="00761504">
        <w:fldChar w:fldCharType="end"/>
      </w:r>
      <w:r w:rsidRPr="00761504">
        <w:t xml:space="preserve"> is the period over which costs are </w:t>
      </w:r>
      <w:proofErr w:type="spellStart"/>
      <w:proofErr w:type="gramStart"/>
      <w:r w:rsidRPr="00761504">
        <w:t>annuitised</w:t>
      </w:r>
      <w:proofErr w:type="spellEnd"/>
      <w:r w:rsidRPr="00761504">
        <w:t>.</w:t>
      </w:r>
      <w:proofErr w:type="gramEnd"/>
      <w:r w:rsidRPr="00761504">
        <w:t xml:space="preserve"> This period is set to 40 years and represents the typical life of an asset.</w:t>
      </w:r>
    </w:p>
    <w:p w14:paraId="397FF32E" w14:textId="77777777" w:rsidR="0041584B" w:rsidRPr="00761504" w:rsidRDefault="0041584B" w:rsidP="0041584B">
      <w:pPr>
        <w:pStyle w:val="Heading2"/>
      </w:pPr>
      <w:r w:rsidRPr="00761504">
        <w:t xml:space="preserve">Separate assessment of the total Branch cost recovery associated with incremental costs that represent charges, </w:t>
      </w:r>
      <w:proofErr w:type="spellStart"/>
      <w:r w:rsidRPr="00761504">
        <w:t>PositiveCostRecovery</w:t>
      </w:r>
      <w:proofErr w:type="spellEnd"/>
      <w:r w:rsidRPr="00761504">
        <w:t xml:space="preserve">, and the total Branch recovery associated with incremental costs that represent credits, </w:t>
      </w:r>
      <w:proofErr w:type="spellStart"/>
      <w:r w:rsidRPr="00761504">
        <w:t>NegativeCostRecovery</w:t>
      </w:r>
      <w:proofErr w:type="spellEnd"/>
      <w:r w:rsidRPr="00761504">
        <w:t xml:space="preserve">, is done to eliminate over-recovery of both the charges and credits. </w:t>
      </w:r>
    </w:p>
    <w:p w14:paraId="7CA10971" w14:textId="77777777" w:rsidR="0041584B" w:rsidRPr="00761504" w:rsidRDefault="0041584B" w:rsidP="0041584B">
      <w:pPr>
        <w:pStyle w:val="Heading2"/>
      </w:pPr>
      <w:r w:rsidRPr="00761504">
        <w:t xml:space="preserve">Two total Branch cost recoveries, namely </w:t>
      </w:r>
      <w:proofErr w:type="spellStart"/>
      <w:r w:rsidRPr="00761504">
        <w:t>PositiveCostRecovery</w:t>
      </w:r>
      <w:proofErr w:type="spellEnd"/>
      <w:r w:rsidRPr="00761504">
        <w:t xml:space="preserve"> and </w:t>
      </w:r>
      <w:proofErr w:type="spellStart"/>
      <w:r w:rsidRPr="00761504">
        <w:t>NegativeCostRecovery</w:t>
      </w:r>
      <w:proofErr w:type="spellEnd"/>
      <w:r w:rsidRPr="00761504">
        <w:t xml:space="preserve">, are derived from the power-flow modelling and sense checked for each Branch individually. Guidance on sense checking of overall positive and negative Branch cost recoveries is provided in section </w:t>
      </w:r>
      <w:r>
        <w:fldChar w:fldCharType="begin"/>
      </w:r>
      <w:r>
        <w:instrText xml:space="preserve"> REF _Ref277941033 \w \h  \* MERGEFORMAT </w:instrText>
      </w:r>
      <w:r>
        <w:fldChar w:fldCharType="separate"/>
      </w:r>
      <w:r>
        <w:t>8.3</w:t>
      </w:r>
      <w:r>
        <w:fldChar w:fldCharType="end"/>
      </w:r>
      <w:r w:rsidRPr="00761504">
        <w:t xml:space="preserve">  of </w:t>
      </w:r>
      <w:r>
        <w:fldChar w:fldCharType="begin"/>
      </w:r>
      <w:r>
        <w:instrText xml:space="preserve"> REF Annex1 \h  \* MERGEFORMAT </w:instrText>
      </w:r>
      <w:r>
        <w:fldChar w:fldCharType="separate"/>
      </w:r>
      <w:r w:rsidRPr="001613FA">
        <w:t>Annex 1</w:t>
      </w:r>
      <w:r>
        <w:fldChar w:fldCharType="end"/>
      </w:r>
      <w:r w:rsidRPr="00761504">
        <w:t xml:space="preserve">. </w:t>
      </w:r>
    </w:p>
    <w:p w14:paraId="48F43D2B" w14:textId="77777777" w:rsidR="0041584B" w:rsidRPr="00761504" w:rsidRDefault="0041584B" w:rsidP="0041584B">
      <w:pPr>
        <w:pStyle w:val="Heading2"/>
      </w:pPr>
      <w:r w:rsidRPr="00761504">
        <w:t xml:space="preserve">The positive Branch cost recovery for a particular Branch is calculated by adding together the cost recovery for the Branch at each Node where the incremental cost is positive (i.e. ‘charge’, determined by the product of the positive Branch incremental costs and the appropriate Nodal demands, or generation output, used in the modelled network). </w:t>
      </w:r>
    </w:p>
    <w:p w14:paraId="5CDB840B" w14:textId="77777777" w:rsidR="0041584B" w:rsidRPr="00761504" w:rsidRDefault="0041584B" w:rsidP="0041584B">
      <w:pPr>
        <w:pStyle w:val="Heading2"/>
      </w:pPr>
      <w:r w:rsidRPr="00761504">
        <w:t>Similarly, the negative Branch cost recovery is calculated for the Branch where each Node incremental cost is negative (</w:t>
      </w:r>
      <w:proofErr w:type="spellStart"/>
      <w:proofErr w:type="gramStart"/>
      <w:r w:rsidRPr="00761504">
        <w:t>i.e.‘</w:t>
      </w:r>
      <w:proofErr w:type="gramEnd"/>
      <w:r w:rsidRPr="00761504">
        <w:t>credits</w:t>
      </w:r>
      <w:proofErr w:type="spellEnd"/>
      <w:r w:rsidRPr="00761504">
        <w:t xml:space="preserve">’, determined by the product of the negative Branch incremental costs and the appropriate Nodal demands, or generation output, used in the modelled network). </w:t>
      </w:r>
    </w:p>
    <w:p w14:paraId="6C6589A3" w14:textId="77777777" w:rsidR="0041584B" w:rsidRPr="00761504" w:rsidRDefault="0041584B" w:rsidP="0041584B">
      <w:pPr>
        <w:pStyle w:val="Heading2"/>
      </w:pPr>
      <w:r w:rsidRPr="00761504">
        <w:t>Both sense checks only consider Branch incremental costs associated with the period that drives reinforcement. Where either the positive or the negative (by absolute value) cost recovery for a particular Branch is greater than the actual reinforcement cost of the Branch (</w:t>
      </w:r>
      <w:proofErr w:type="spellStart"/>
      <w:r w:rsidRPr="00761504">
        <w:t>ActualReinforcementCost</w:t>
      </w:r>
      <w:proofErr w:type="spellEnd"/>
      <w:r w:rsidRPr="00761504">
        <w:t xml:space="preserve">, as determined by the product of the Annuity Rate and the </w:t>
      </w:r>
      <w:proofErr w:type="spellStart"/>
      <w:r w:rsidRPr="00761504">
        <w:t>CostofReinforcementSolution</w:t>
      </w:r>
      <w:proofErr w:type="spellEnd"/>
      <w:r w:rsidRPr="00761504">
        <w:t xml:space="preserve">), then it is considered that the Branch recovery of charges or credits is excessive. </w:t>
      </w:r>
    </w:p>
    <w:p w14:paraId="0E5E24C9" w14:textId="77777777" w:rsidR="0041584B" w:rsidRPr="00761504" w:rsidRDefault="0041584B" w:rsidP="0041584B">
      <w:pPr>
        <w:pStyle w:val="Heading2"/>
      </w:pPr>
      <w:r w:rsidRPr="00761504">
        <w:lastRenderedPageBreak/>
        <w:t xml:space="preserve">In order to limit the level of positive Branch cost recovery (charges) to being no greater than the actual reinforcement cost of the Branch, a Positive Cost Recovery Factor, </w:t>
      </w:r>
      <w:r w:rsidRPr="00761504">
        <w:object w:dxaOrig="340" w:dyaOrig="360" w14:anchorId="5AC3FEEE">
          <v:shape id="_x0000_i1029" type="#_x0000_t75" style="width:13.9pt;height:21.4pt" o:ole="">
            <v:imagedata r:id="rId20" o:title=""/>
          </v:shape>
          <o:OLEObject Type="Embed" ProgID="Equation.3" ShapeID="_x0000_i1029" DrawAspect="Content" ObjectID="_1640532498" r:id="rId21"/>
        </w:object>
      </w:r>
      <w:r w:rsidRPr="00761504">
        <w:t xml:space="preserve">, is applied to the positive Branch incremental costs associated with Branch i, when used in the calculation of Nodal incremental costs. Similarly, a Negative Cost Recovery Factor, </w:t>
      </w:r>
      <w:proofErr w:type="spellStart"/>
      <w:r w:rsidRPr="00761504">
        <w:t>sNi</w:t>
      </w:r>
      <w:proofErr w:type="spellEnd"/>
      <w:r w:rsidRPr="00761504">
        <w:t>, is applied to the negative Branch incremental costs associated with Branch i in order to limit the level of negative Branch cost recovery (credits).</w:t>
      </w:r>
    </w:p>
    <w:p w14:paraId="4CB5DC28" w14:textId="77777777" w:rsidR="0041584B" w:rsidRPr="00526747" w:rsidRDefault="0041584B" w:rsidP="0041584B">
      <w:pPr>
        <w:pStyle w:val="Heading2"/>
      </w:pPr>
      <w:r w:rsidRPr="00526747">
        <w:t>Where the positive cost recovery associated with Branch i</w:t>
      </w:r>
      <w:r>
        <w:t xml:space="preserve"> (</w:t>
      </w:r>
      <w:proofErr w:type="spellStart"/>
      <w:r>
        <w:t>ie</w:t>
      </w:r>
      <w:proofErr w:type="spellEnd"/>
      <w:r>
        <w:t xml:space="preserve"> charges) is </w:t>
      </w:r>
      <w:r w:rsidRPr="00526747">
        <w:t xml:space="preserve">determined by the sense checking, to be excessive </w:t>
      </w:r>
      <w:proofErr w:type="gramStart"/>
      <w:r w:rsidRPr="00526747">
        <w:t>then:-</w:t>
      </w:r>
      <w:proofErr w:type="gramEnd"/>
    </w:p>
    <w:p w14:paraId="77CBB9A7" w14:textId="77777777" w:rsidR="0041584B" w:rsidRPr="00C70D7F" w:rsidRDefault="0041584B" w:rsidP="0041584B">
      <w:pPr>
        <w:jc w:val="center"/>
        <w:rPr>
          <w:vertAlign w:val="subscript"/>
        </w:rPr>
      </w:pPr>
      <w:proofErr w:type="spellStart"/>
      <w:r w:rsidRPr="00C70D7F">
        <w:t>s</w:t>
      </w:r>
      <w:r w:rsidRPr="00C70D7F">
        <w:rPr>
          <w:vertAlign w:val="subscript"/>
        </w:rPr>
        <w:t>Pi</w:t>
      </w:r>
      <w:proofErr w:type="spellEnd"/>
      <w:r w:rsidRPr="00C70D7F">
        <w:t xml:space="preserve"> = </w:t>
      </w:r>
      <w:proofErr w:type="spellStart"/>
      <w:r w:rsidRPr="00C70D7F">
        <w:t>ActualReinforcementCost</w:t>
      </w:r>
      <w:r w:rsidRPr="00C70D7F">
        <w:rPr>
          <w:vertAlign w:val="subscript"/>
        </w:rPr>
        <w:t>i</w:t>
      </w:r>
      <w:proofErr w:type="spellEnd"/>
      <w:r w:rsidRPr="00C70D7F">
        <w:t xml:space="preserve"> / </w:t>
      </w:r>
      <w:proofErr w:type="spellStart"/>
      <w:r w:rsidRPr="00C70D7F">
        <w:t>PositiveCostRecovery</w:t>
      </w:r>
      <w:r w:rsidRPr="00C70D7F">
        <w:rPr>
          <w:vertAlign w:val="subscript"/>
        </w:rPr>
        <w:t>i</w:t>
      </w:r>
      <w:proofErr w:type="spellEnd"/>
    </w:p>
    <w:p w14:paraId="5D9E34AD" w14:textId="77777777" w:rsidR="0041584B" w:rsidRDefault="0041584B" w:rsidP="0041584B">
      <w:pPr>
        <w:jc w:val="center"/>
      </w:pPr>
      <w:proofErr w:type="gramStart"/>
      <w:r w:rsidRPr="00526747">
        <w:t>otherwise:-</w:t>
      </w:r>
      <w:proofErr w:type="gramEnd"/>
    </w:p>
    <w:p w14:paraId="1957B82D" w14:textId="77777777" w:rsidR="0041584B" w:rsidRPr="00C70D7F" w:rsidRDefault="0041584B" w:rsidP="0041584B">
      <w:pPr>
        <w:jc w:val="center"/>
        <w:rPr>
          <w:iCs/>
          <w:position w:val="-12"/>
        </w:rPr>
      </w:pPr>
      <w:proofErr w:type="spellStart"/>
      <w:r w:rsidRPr="00C70D7F">
        <w:rPr>
          <w:iCs/>
          <w:position w:val="-12"/>
        </w:rPr>
        <w:t>s</w:t>
      </w:r>
      <w:r w:rsidRPr="00C70D7F">
        <w:rPr>
          <w:iCs/>
          <w:position w:val="-12"/>
          <w:vertAlign w:val="subscript"/>
        </w:rPr>
        <w:t>Pi</w:t>
      </w:r>
      <w:proofErr w:type="spellEnd"/>
      <w:r w:rsidRPr="00C70D7F">
        <w:rPr>
          <w:iCs/>
          <w:position w:val="-12"/>
        </w:rPr>
        <w:t xml:space="preserve"> = 1</w:t>
      </w:r>
    </w:p>
    <w:p w14:paraId="55415C54" w14:textId="77777777" w:rsidR="0041584B" w:rsidRPr="00526747" w:rsidRDefault="0041584B" w:rsidP="0041584B">
      <w:pPr>
        <w:ind w:left="720"/>
      </w:pPr>
      <w:r w:rsidRPr="00526747">
        <w:t xml:space="preserve">Where the negative cost recovery associated with Branch i (i.e. credits) is determined to be excessive, </w:t>
      </w:r>
      <w:proofErr w:type="gramStart"/>
      <w:r w:rsidRPr="00526747">
        <w:t>then:-</w:t>
      </w:r>
      <w:proofErr w:type="gramEnd"/>
    </w:p>
    <w:p w14:paraId="477FF561" w14:textId="77777777" w:rsidR="0041584B" w:rsidRPr="007267A1" w:rsidRDefault="0041584B" w:rsidP="0041584B">
      <w:pPr>
        <w:jc w:val="center"/>
        <w:rPr>
          <w:i/>
          <w:iCs/>
          <w:position w:val="-12"/>
          <w:vertAlign w:val="subscript"/>
        </w:rPr>
      </w:pPr>
      <w:proofErr w:type="spellStart"/>
      <w:r w:rsidRPr="00C70D7F">
        <w:rPr>
          <w:iCs/>
          <w:position w:val="-12"/>
        </w:rPr>
        <w:t>s</w:t>
      </w:r>
      <w:r w:rsidRPr="00C70D7F">
        <w:rPr>
          <w:iCs/>
          <w:position w:val="-12"/>
          <w:vertAlign w:val="subscript"/>
        </w:rPr>
        <w:t>Ni</w:t>
      </w:r>
      <w:proofErr w:type="spellEnd"/>
      <w:r w:rsidRPr="00C70D7F">
        <w:rPr>
          <w:iCs/>
          <w:position w:val="-12"/>
        </w:rPr>
        <w:t xml:space="preserve"> = </w:t>
      </w:r>
      <w:proofErr w:type="spellStart"/>
      <w:r w:rsidRPr="00C70D7F">
        <w:rPr>
          <w:i/>
          <w:iCs/>
          <w:position w:val="-12"/>
        </w:rPr>
        <w:t>ActualReinforcementCost</w:t>
      </w:r>
      <w:r w:rsidRPr="00C70D7F">
        <w:rPr>
          <w:i/>
          <w:iCs/>
          <w:position w:val="-12"/>
          <w:vertAlign w:val="subscript"/>
        </w:rPr>
        <w:t>i</w:t>
      </w:r>
      <w:proofErr w:type="spellEnd"/>
      <w:r w:rsidRPr="00C70D7F">
        <w:rPr>
          <w:i/>
          <w:iCs/>
          <w:position w:val="-12"/>
        </w:rPr>
        <w:t>/</w:t>
      </w:r>
      <w:proofErr w:type="spellStart"/>
      <w:r w:rsidRPr="00C70D7F">
        <w:rPr>
          <w:i/>
          <w:iCs/>
          <w:position w:val="-12"/>
        </w:rPr>
        <w:t>NegativeCostRecovery</w:t>
      </w:r>
      <w:r>
        <w:rPr>
          <w:i/>
          <w:iCs/>
          <w:position w:val="-12"/>
          <w:vertAlign w:val="subscript"/>
        </w:rPr>
        <w:t>i</w:t>
      </w:r>
      <w:proofErr w:type="spellEnd"/>
    </w:p>
    <w:p w14:paraId="12F5758A" w14:textId="77777777" w:rsidR="0041584B" w:rsidRPr="00C70D7F" w:rsidRDefault="0041584B" w:rsidP="0041584B">
      <w:pPr>
        <w:jc w:val="center"/>
      </w:pPr>
      <w:proofErr w:type="spellStart"/>
      <w:r w:rsidRPr="00C70D7F">
        <w:rPr>
          <w:iCs/>
          <w:position w:val="-12"/>
        </w:rPr>
        <w:t>s</w:t>
      </w:r>
      <w:r w:rsidRPr="00C70D7F">
        <w:rPr>
          <w:iCs/>
          <w:position w:val="-12"/>
          <w:vertAlign w:val="subscript"/>
        </w:rPr>
        <w:t>Ni</w:t>
      </w:r>
      <w:proofErr w:type="spellEnd"/>
      <w:r w:rsidRPr="00C70D7F">
        <w:rPr>
          <w:iCs/>
          <w:position w:val="-12"/>
        </w:rPr>
        <w:t xml:space="preserve"> = 1.</w:t>
      </w:r>
    </w:p>
    <w:p w14:paraId="6DAAE6CD" w14:textId="77777777" w:rsidR="0041584B" w:rsidRPr="00526747" w:rsidRDefault="0041584B" w:rsidP="0041584B">
      <w:pPr>
        <w:pStyle w:val="Heading2"/>
      </w:pPr>
      <w:r w:rsidRPr="00526747">
        <w:t xml:space="preserve">The EHV network includes single Connectees using sole-use assets that have been sized to their connection requirements. Costs for these assets should be excluded from the calculation of incremental costs. Replacement and operation and maintenance costs for these assets should also be excluded from the calculation of incremental </w:t>
      </w:r>
      <w:proofErr w:type="gramStart"/>
      <w:r w:rsidRPr="00526747">
        <w:t>costs, but</w:t>
      </w:r>
      <w:proofErr w:type="gramEnd"/>
      <w:r w:rsidRPr="00526747">
        <w:t xml:space="preserve"> may be incorporated into a </w:t>
      </w:r>
      <w:proofErr w:type="spellStart"/>
      <w:r w:rsidRPr="00526747">
        <w:t>Connectee’s</w:t>
      </w:r>
      <w:proofErr w:type="spellEnd"/>
      <w:r w:rsidRPr="00526747">
        <w:t xml:space="preserve"> final Use of System Charge.</w:t>
      </w:r>
    </w:p>
    <w:p w14:paraId="5065451A" w14:textId="77777777" w:rsidR="0041584B" w:rsidRDefault="0041584B" w:rsidP="0041584B">
      <w:pPr>
        <w:pStyle w:val="DCSubHeading1Level2"/>
      </w:pPr>
      <w:r>
        <w:t>Calculation of Nodal incremental costs</w:t>
      </w:r>
    </w:p>
    <w:p w14:paraId="5818CF62" w14:textId="77777777" w:rsidR="0041584B" w:rsidRDefault="0041584B" w:rsidP="0041584B">
      <w:pPr>
        <w:pStyle w:val="Heading2"/>
      </w:pPr>
      <w:r>
        <w:t xml:space="preserve">Guidance on the calculation of Nodal incremental costs, is provided in section 8 (Output results) of Annex 1. The formulae used to calculate Nodal incremental costs are described in Annex 2. </w:t>
      </w:r>
    </w:p>
    <w:p w14:paraId="4AD8D3BE" w14:textId="77777777" w:rsidR="0041584B" w:rsidRPr="00526747" w:rsidRDefault="0041584B" w:rsidP="0041584B">
      <w:pPr>
        <w:pStyle w:val="Heading2"/>
      </w:pPr>
      <w:r>
        <w:lastRenderedPageBreak/>
        <w:t>A pair of incremental costs (one for the Maximum Demand Scenario and another for the Minimum Demand Scenario) is calculated for each Node by summating Branch incremental costs that result from applying an increment at that Node. A peak Nodal incremental cost is calculated by summating Branch peak incremental costs, where maximum demand conditions drive Branch reinforcement.  An off-peak Nodal incremental cost is calculated by summating Branch off-peak incremental costs, where minimum demand conditions drive Branch reinforcement. Only Branches that experience a change greater than both 1kVA and 0.01 % of Base Power Flow in the power that flows across them are used in the calculation of Nodal charges. The period that is deemed to drive reinforcement is the period with the highest absolute incremental cost.</w:t>
      </w:r>
    </w:p>
    <w:p w14:paraId="7B400480" w14:textId="77777777" w:rsidR="0041584B" w:rsidRPr="00526747" w:rsidRDefault="0041584B" w:rsidP="0041584B">
      <w:pPr>
        <w:pStyle w:val="Heading2"/>
      </w:pPr>
      <w:r w:rsidRPr="00526747">
        <w:t xml:space="preserve">The formulaic expression for Nodal incremental cost is given by: </w:t>
      </w:r>
    </w:p>
    <w:p w14:paraId="61F99297" w14:textId="77777777" w:rsidR="0041584B" w:rsidRDefault="0041584B" w:rsidP="0041584B">
      <w:pPr>
        <w:jc w:val="center"/>
        <w:rPr>
          <w:szCs w:val="24"/>
        </w:rPr>
      </w:pPr>
      <w:r w:rsidRPr="00C70D7F">
        <w:rPr>
          <w:position w:val="-90"/>
          <w:szCs w:val="24"/>
        </w:rPr>
        <w:object w:dxaOrig="8300" w:dyaOrig="2580" w14:anchorId="2C17D4F1">
          <v:shape id="_x0000_i1030" type="#_x0000_t75" style="width:375pt;height:130.15pt" o:ole="">
            <v:imagedata r:id="rId22" o:title=""/>
          </v:shape>
          <o:OLEObject Type="Embed" ProgID="Equation.3" ShapeID="_x0000_i1030" DrawAspect="Content" ObjectID="_1640532499" r:id="rId23"/>
        </w:object>
      </w:r>
    </w:p>
    <w:p w14:paraId="3E79A0DE" w14:textId="77777777" w:rsidR="0041584B" w:rsidRPr="00C70D7F" w:rsidRDefault="0041584B" w:rsidP="0041584B">
      <w:pPr>
        <w:pStyle w:val="Heading2"/>
        <w:numPr>
          <w:ilvl w:val="0"/>
          <w:numId w:val="0"/>
        </w:numPr>
        <w:ind w:left="720"/>
      </w:pPr>
      <w:r w:rsidRPr="00C70D7F">
        <w:rPr>
          <w:position w:val="-12"/>
        </w:rPr>
        <w:object w:dxaOrig="720" w:dyaOrig="380" w14:anchorId="2950EB48">
          <v:shape id="_x0000_i1031" type="#_x0000_t75" style="width:36.4pt;height:22.5pt" o:ole="">
            <v:imagedata r:id="rId24" o:title=""/>
          </v:shape>
          <o:OLEObject Type="Embed" ProgID="Equation.3" ShapeID="_x0000_i1031" DrawAspect="Content" ObjectID="_1640532500" r:id="rId25"/>
        </w:object>
      </w:r>
      <w:r w:rsidRPr="00C70D7F">
        <w:t xml:space="preserve"> and </w:t>
      </w:r>
      <w:r w:rsidRPr="00C70D7F">
        <w:rPr>
          <w:position w:val="-12"/>
        </w:rPr>
        <w:object w:dxaOrig="1020" w:dyaOrig="380" w14:anchorId="205EF8CF">
          <v:shape id="_x0000_i1032" type="#_x0000_t75" style="width:49.5pt;height:22.5pt" o:ole="">
            <v:imagedata r:id="rId26" o:title=""/>
          </v:shape>
          <o:OLEObject Type="Embed" ProgID="Equation.3" ShapeID="_x0000_i1032" DrawAspect="Content" ObjectID="_1640532501" r:id="rId27"/>
        </w:object>
      </w:r>
      <w:r w:rsidRPr="00C70D7F">
        <w:rPr>
          <w:i/>
        </w:rPr>
        <w:t xml:space="preserve"> </w:t>
      </w:r>
      <w:r w:rsidRPr="00C70D7F">
        <w:t xml:space="preserve">denote the incremental cost of reinforcing Branch </w:t>
      </w:r>
      <w:r w:rsidRPr="00C70D7F">
        <w:rPr>
          <w:i/>
        </w:rPr>
        <w:t>i</w:t>
      </w:r>
      <w:r w:rsidRPr="00C70D7F">
        <w:t>, under maximum and minimum demand conditions respectively, due to an increment of demand or generation at the Node;</w:t>
      </w:r>
    </w:p>
    <w:p w14:paraId="5B1D41B5" w14:textId="77777777" w:rsidR="0041584B" w:rsidRPr="00C70D7F" w:rsidRDefault="0041584B" w:rsidP="0041584B">
      <w:pPr>
        <w:pStyle w:val="Heading2"/>
        <w:numPr>
          <w:ilvl w:val="0"/>
          <w:numId w:val="0"/>
        </w:numPr>
        <w:ind w:left="720"/>
      </w:pPr>
      <w:r w:rsidRPr="00C70D7F">
        <w:rPr>
          <w:position w:val="-12"/>
        </w:rPr>
        <w:object w:dxaOrig="220" w:dyaOrig="360" w14:anchorId="767BD3E5">
          <v:shape id="_x0000_i1033" type="#_x0000_t75" style="width:7.5pt;height:21.4pt" o:ole="">
            <v:imagedata r:id="rId28" o:title=""/>
          </v:shape>
          <o:OLEObject Type="Embed" ProgID="Equation.3" ShapeID="_x0000_i1033" DrawAspect="Content" ObjectID="_1640532502" r:id="rId29"/>
        </w:object>
      </w:r>
      <w:r w:rsidRPr="00C70D7F">
        <w:t xml:space="preserve"> denotes the Recovery Factor for Branch </w:t>
      </w:r>
      <w:r w:rsidRPr="00C70D7F">
        <w:rPr>
          <w:i/>
        </w:rPr>
        <w:t>i</w:t>
      </w:r>
      <w:r w:rsidRPr="00C70D7F">
        <w:t>;</w:t>
      </w:r>
    </w:p>
    <w:p w14:paraId="0C6EAD86" w14:textId="77777777" w:rsidR="0041584B" w:rsidRPr="00C70D7F" w:rsidRDefault="0041584B" w:rsidP="0041584B">
      <w:pPr>
        <w:pStyle w:val="Heading2"/>
        <w:numPr>
          <w:ilvl w:val="0"/>
          <w:numId w:val="0"/>
        </w:numPr>
        <w:ind w:left="720"/>
      </w:pPr>
      <w:r w:rsidRPr="00C70D7F">
        <w:rPr>
          <w:i/>
        </w:rPr>
        <w:t xml:space="preserve">B </w:t>
      </w:r>
      <w:r w:rsidRPr="00C70D7F">
        <w:t>is the total number of Branches in the network</w:t>
      </w:r>
      <w:r w:rsidRPr="00C70D7F">
        <w:rPr>
          <w:color w:val="FF0000"/>
        </w:rPr>
        <w:t>;</w:t>
      </w:r>
      <w:r w:rsidRPr="00C70D7F">
        <w:t xml:space="preserve"> </w:t>
      </w:r>
    </w:p>
    <w:p w14:paraId="0D03AF52" w14:textId="77777777" w:rsidR="0041584B" w:rsidRPr="00C70D7F" w:rsidRDefault="0041584B" w:rsidP="0041584B">
      <w:pPr>
        <w:pStyle w:val="Heading2"/>
        <w:numPr>
          <w:ilvl w:val="0"/>
          <w:numId w:val="0"/>
        </w:numPr>
        <w:ind w:left="720"/>
        <w:rPr>
          <w:i/>
        </w:rPr>
      </w:pPr>
      <w:r w:rsidRPr="00C70D7F">
        <w:t>α and β are subsets of Branches where relevant conditions are satisfied.</w:t>
      </w:r>
    </w:p>
    <w:p w14:paraId="616994C2" w14:textId="77777777" w:rsidR="0041584B" w:rsidRPr="00526747" w:rsidRDefault="0041584B" w:rsidP="0041584B">
      <w:pPr>
        <w:pStyle w:val="DCSubHeading1Level2"/>
      </w:pPr>
      <w:r w:rsidRPr="00526747">
        <w:t>Calculation of Nodal marginal charges for demand</w:t>
      </w:r>
    </w:p>
    <w:p w14:paraId="2A7CCA9E" w14:textId="77777777" w:rsidR="0041584B" w:rsidRPr="00526747" w:rsidRDefault="0041584B" w:rsidP="0041584B">
      <w:pPr>
        <w:pStyle w:val="Heading2"/>
      </w:pPr>
      <w:r w:rsidRPr="00526747">
        <w:t xml:space="preserve">Guidance on the calculation of Nodal marginal charges for demand sites is provided in section </w:t>
      </w:r>
      <w:r>
        <w:fldChar w:fldCharType="begin"/>
      </w:r>
      <w:r>
        <w:instrText xml:space="preserve"> REF _Ref277943020 \r \h  \* MERGEFORMAT </w:instrText>
      </w:r>
      <w:r>
        <w:fldChar w:fldCharType="separate"/>
      </w:r>
      <w:r>
        <w:t>8.12</w:t>
      </w:r>
      <w:r>
        <w:fldChar w:fldCharType="end"/>
      </w:r>
      <w:r w:rsidRPr="00526747">
        <w:t xml:space="preserve"> (</w:t>
      </w:r>
      <w:r>
        <w:fldChar w:fldCharType="begin"/>
      </w:r>
      <w:r>
        <w:instrText xml:space="preserve"> REF DemandNodes \h  \* MERGEFORMAT </w:instrText>
      </w:r>
      <w:r>
        <w:fldChar w:fldCharType="separate"/>
      </w:r>
      <w:r w:rsidRPr="00776C1E">
        <w:t>Demand Nodes</w:t>
      </w:r>
      <w:r>
        <w:fldChar w:fldCharType="end"/>
      </w:r>
      <w:r w:rsidRPr="00526747">
        <w:t xml:space="preserve">) of </w:t>
      </w:r>
      <w:r>
        <w:fldChar w:fldCharType="begin"/>
      </w:r>
      <w:r>
        <w:instrText xml:space="preserve"> REF Annex1 \h  \* MERGEFORMAT </w:instrText>
      </w:r>
      <w:r>
        <w:fldChar w:fldCharType="separate"/>
      </w:r>
      <w:r w:rsidRPr="001613FA">
        <w:t>Annex 1</w:t>
      </w:r>
      <w:r>
        <w:fldChar w:fldCharType="end"/>
      </w:r>
      <w:r w:rsidRPr="00526747">
        <w:t>.</w:t>
      </w:r>
    </w:p>
    <w:p w14:paraId="1075D7B5" w14:textId="77777777" w:rsidR="0041584B" w:rsidRPr="00526747" w:rsidRDefault="0041584B" w:rsidP="0041584B">
      <w:pPr>
        <w:pStyle w:val="Heading2"/>
      </w:pPr>
      <w:r w:rsidRPr="00526747">
        <w:lastRenderedPageBreak/>
        <w:t>The Nodal incremental costs for demand sites are derived using Branch incremental costs produced by application of 0.1MW increments at 0.95 power factor, which is equivalent to 0.10526MVA. The Nodal marginal charges for demand in (£/kVA/annum) are obtained by dividing the Nodal incremental cost for each period by the absolute value of the kVA increment:</w:t>
      </w:r>
    </w:p>
    <w:p w14:paraId="13E0F919" w14:textId="77777777" w:rsidR="0041584B" w:rsidRPr="00C70D7F" w:rsidRDefault="0041584B" w:rsidP="0041584B">
      <w:pPr>
        <w:jc w:val="center"/>
      </w:pPr>
      <w:proofErr w:type="spellStart"/>
      <w:r w:rsidRPr="00C70D7F">
        <w:t>ChargeAtNode</w:t>
      </w:r>
      <w:r w:rsidRPr="00C70D7F">
        <w:rPr>
          <w:vertAlign w:val="superscript"/>
        </w:rPr>
        <w:t>Peak</w:t>
      </w:r>
      <w:proofErr w:type="spellEnd"/>
      <w:r w:rsidRPr="00C70D7F">
        <w:t xml:space="preserve"> = </w:t>
      </w:r>
      <w:proofErr w:type="spellStart"/>
      <w:r w:rsidRPr="00C70D7F">
        <w:t>IncrementalCostAtNode</w:t>
      </w:r>
      <w:r w:rsidRPr="00C70D7F">
        <w:rPr>
          <w:vertAlign w:val="superscript"/>
        </w:rPr>
        <w:t>Peak</w:t>
      </w:r>
      <w:proofErr w:type="spellEnd"/>
      <w:r w:rsidRPr="00C70D7F">
        <w:t xml:space="preserve"> / 105.26 (£/kVA/annum)</w:t>
      </w:r>
    </w:p>
    <w:p w14:paraId="38C0EC5B" w14:textId="77777777" w:rsidR="0041584B" w:rsidRPr="00EB2F55" w:rsidRDefault="0041584B" w:rsidP="0041584B">
      <w:pPr>
        <w:pStyle w:val="Heading2"/>
      </w:pPr>
      <w:r w:rsidRPr="00EB2F55">
        <w:t xml:space="preserve">A positive value of </w:t>
      </w:r>
      <w:proofErr w:type="spellStart"/>
      <w:r w:rsidRPr="00EB2F55">
        <w:t>ChargeAtNodePeak</w:t>
      </w:r>
      <w:proofErr w:type="spellEnd"/>
      <w:r w:rsidRPr="00EB2F55">
        <w:t xml:space="preserve"> represents a charge for demand sites at the Node, whereas a negative value represents a credit. This statement defines the sign convention of the Nodal marginal charges (as outlined in section </w:t>
      </w:r>
      <w:r>
        <w:fldChar w:fldCharType="begin"/>
      </w:r>
      <w:r>
        <w:instrText xml:space="preserve"> REF _Ref253697146 \r \h  \* MERGEFORMAT </w:instrText>
      </w:r>
      <w:r>
        <w:fldChar w:fldCharType="separate"/>
      </w:r>
      <w:r>
        <w:t>8</w:t>
      </w:r>
      <w:r>
        <w:fldChar w:fldCharType="end"/>
      </w:r>
      <w:r w:rsidRPr="00EB2F55">
        <w:t xml:space="preserve"> (</w:t>
      </w:r>
      <w:r>
        <w:fldChar w:fldCharType="begin"/>
      </w:r>
      <w:r>
        <w:instrText xml:space="preserve"> REF Outputresults \h  \* MERGEFORMAT </w:instrText>
      </w:r>
      <w:r>
        <w:fldChar w:fldCharType="separate"/>
      </w:r>
      <w:r w:rsidRPr="00DE5C6C">
        <w:t>Output results</w:t>
      </w:r>
      <w:r>
        <w:fldChar w:fldCharType="end"/>
      </w:r>
      <w:r w:rsidRPr="00EB2F55">
        <w:t xml:space="preserve">) of </w:t>
      </w:r>
      <w:r>
        <w:fldChar w:fldCharType="begin"/>
      </w:r>
      <w:r>
        <w:instrText xml:space="preserve"> REF Annex1 \h  \* MERGEFORMAT </w:instrText>
      </w:r>
      <w:r>
        <w:fldChar w:fldCharType="separate"/>
      </w:r>
      <w:r w:rsidRPr="001613FA">
        <w:t>Annex 1</w:t>
      </w:r>
      <w:r>
        <w:fldChar w:fldCharType="end"/>
      </w:r>
      <w:r w:rsidRPr="00EB2F55">
        <w:t xml:space="preserve"> and Attachment 3 (</w:t>
      </w:r>
      <w:r>
        <w:fldChar w:fldCharType="begin"/>
      </w:r>
      <w:r>
        <w:instrText xml:space="preserve"> REF Outputresults \h  \* MERGEFORMAT </w:instrText>
      </w:r>
      <w:r>
        <w:fldChar w:fldCharType="separate"/>
      </w:r>
      <w:r w:rsidRPr="00DE5C6C">
        <w:t>Output results</w:t>
      </w:r>
      <w:r>
        <w:fldChar w:fldCharType="end"/>
      </w:r>
      <w:r w:rsidRPr="00EB2F55">
        <w:t xml:space="preserve">) to </w:t>
      </w:r>
      <w:r>
        <w:fldChar w:fldCharType="begin"/>
      </w:r>
      <w:r>
        <w:instrText xml:space="preserve"> REF Annex1 \h  \* MERGEFORMAT </w:instrText>
      </w:r>
      <w:r>
        <w:fldChar w:fldCharType="separate"/>
      </w:r>
      <w:r w:rsidRPr="001613FA">
        <w:t>Annex 1</w:t>
      </w:r>
      <w:r>
        <w:fldChar w:fldCharType="end"/>
      </w:r>
      <w:r w:rsidRPr="00EB2F55">
        <w:t xml:space="preserve">. However, it should be noted that this does not describe the application of these charges in the calculation of final Use of System Charges (or credits in respect of final Use of System Charges).  </w:t>
      </w:r>
    </w:p>
    <w:p w14:paraId="5C382258" w14:textId="77777777" w:rsidR="0041584B" w:rsidRPr="0031739F" w:rsidRDefault="0041584B" w:rsidP="0041584B">
      <w:pPr>
        <w:pStyle w:val="DCSubHeading2Level2"/>
        <w:rPr>
          <w:b/>
        </w:rPr>
      </w:pPr>
      <w:r w:rsidRPr="0031739F">
        <w:rPr>
          <w:b/>
        </w:rPr>
        <w:t>Generation sites</w:t>
      </w:r>
    </w:p>
    <w:p w14:paraId="708A6827" w14:textId="77777777" w:rsidR="0041584B" w:rsidRPr="00EB2F55" w:rsidRDefault="0041584B" w:rsidP="0041584B">
      <w:pPr>
        <w:pStyle w:val="Heading2"/>
      </w:pPr>
      <w:r w:rsidRPr="00EB2F55">
        <w:t xml:space="preserve">Guidance on the calculation of Nodal marginal charges for generation sites is provided in section </w:t>
      </w:r>
      <w:r>
        <w:fldChar w:fldCharType="begin"/>
      </w:r>
      <w:r>
        <w:instrText xml:space="preserve"> REF _Ref277943194 \r \h  \* MERGEFORMAT </w:instrText>
      </w:r>
      <w:r>
        <w:fldChar w:fldCharType="separate"/>
      </w:r>
      <w:r>
        <w:t>8.13</w:t>
      </w:r>
      <w:r>
        <w:fldChar w:fldCharType="end"/>
      </w:r>
      <w:r w:rsidRPr="00EB2F55">
        <w:t xml:space="preserve"> (</w:t>
      </w:r>
      <w:r>
        <w:fldChar w:fldCharType="begin"/>
      </w:r>
      <w:r>
        <w:instrText xml:space="preserve"> REF GenerationNodes \h  \* MERGEFORMAT </w:instrText>
      </w:r>
      <w:r>
        <w:fldChar w:fldCharType="separate"/>
      </w:r>
      <w:r w:rsidRPr="00294561">
        <w:t>Generation Nodes</w:t>
      </w:r>
      <w:r>
        <w:fldChar w:fldCharType="end"/>
      </w:r>
      <w:r w:rsidRPr="00EB2F55">
        <w:t xml:space="preserve">) of </w:t>
      </w:r>
      <w:r>
        <w:fldChar w:fldCharType="begin"/>
      </w:r>
      <w:r>
        <w:instrText xml:space="preserve"> REF Annex1 \h  \* MERGEFORMAT </w:instrText>
      </w:r>
      <w:r>
        <w:fldChar w:fldCharType="separate"/>
      </w:r>
      <w:r w:rsidRPr="001613FA">
        <w:t>Annex 1</w:t>
      </w:r>
      <w:r>
        <w:fldChar w:fldCharType="end"/>
      </w:r>
      <w:r w:rsidRPr="00EB2F55">
        <w:t>.</w:t>
      </w:r>
      <w:bookmarkStart w:id="33" w:name="_Ref268551458"/>
    </w:p>
    <w:p w14:paraId="08CA8660" w14:textId="77777777" w:rsidR="0041584B" w:rsidRPr="00EB2F55" w:rsidRDefault="0041584B" w:rsidP="0041584B">
      <w:pPr>
        <w:pStyle w:val="Heading2"/>
      </w:pPr>
      <w:r w:rsidRPr="00EB2F55">
        <w:t>The Nodal incremental costs for generation sites are derived using Branch incremental costs produced by application of 0.1MW increments at unity power factor being equal to 0.1MVA. The Nodal marginal charges for generation are obtained by</w:t>
      </w:r>
      <w:bookmarkEnd w:id="33"/>
      <w:r w:rsidRPr="00EB2F55">
        <w:t xml:space="preserve"> dividing the Nodal incremental cost for each period by the absolute value of the kVA increment:</w:t>
      </w:r>
    </w:p>
    <w:p w14:paraId="5C91BB0F" w14:textId="77777777" w:rsidR="0041584B" w:rsidRPr="00C70D7F" w:rsidRDefault="0041584B" w:rsidP="0041584B">
      <w:pPr>
        <w:jc w:val="center"/>
      </w:pPr>
      <w:proofErr w:type="spellStart"/>
      <w:r w:rsidRPr="00C70D7F">
        <w:t>ChargeAtNode</w:t>
      </w:r>
      <w:r w:rsidRPr="00C70D7F">
        <w:rPr>
          <w:vertAlign w:val="superscript"/>
        </w:rPr>
        <w:t>Peak</w:t>
      </w:r>
      <w:proofErr w:type="spellEnd"/>
      <w:r w:rsidRPr="00C70D7F">
        <w:t xml:space="preserve"> = </w:t>
      </w:r>
      <w:proofErr w:type="spellStart"/>
      <w:r w:rsidRPr="00C70D7F">
        <w:t>IncrementalCostAtNode</w:t>
      </w:r>
      <w:r w:rsidRPr="00C70D7F">
        <w:rPr>
          <w:vertAlign w:val="superscript"/>
        </w:rPr>
        <w:t>Peak</w:t>
      </w:r>
      <w:proofErr w:type="spellEnd"/>
      <w:r w:rsidRPr="00C70D7F">
        <w:t xml:space="preserve"> / 100 (£/kVA/annum)</w:t>
      </w:r>
    </w:p>
    <w:p w14:paraId="5DC21267" w14:textId="77777777" w:rsidR="0041584B" w:rsidRPr="00EB2F55" w:rsidRDefault="0041584B" w:rsidP="0041584B">
      <w:pPr>
        <w:pStyle w:val="Heading2"/>
      </w:pPr>
      <w:r w:rsidRPr="00EB2F55">
        <w:t xml:space="preserve">A positive value of </w:t>
      </w:r>
      <w:proofErr w:type="spellStart"/>
      <w:r w:rsidRPr="00EB2F55">
        <w:t>ChargeAtNodePeak</w:t>
      </w:r>
      <w:proofErr w:type="spellEnd"/>
      <w:r w:rsidRPr="00EB2F55">
        <w:t xml:space="preserve"> represents a credit for generation sites at the Node, whereas a negative value represents a charge. This statement defines the sign convention of the Nodal marginal charges (as outlined in section </w:t>
      </w:r>
      <w:r>
        <w:fldChar w:fldCharType="begin"/>
      </w:r>
      <w:r>
        <w:instrText xml:space="preserve"> REF _Ref253697146 \r \h  \* MERGEFORMAT </w:instrText>
      </w:r>
      <w:r>
        <w:fldChar w:fldCharType="separate"/>
      </w:r>
      <w:r>
        <w:t>8</w:t>
      </w:r>
      <w:r>
        <w:fldChar w:fldCharType="end"/>
      </w:r>
      <w:r w:rsidRPr="00EB2F55">
        <w:t xml:space="preserve"> (</w:t>
      </w:r>
      <w:r>
        <w:fldChar w:fldCharType="begin"/>
      </w:r>
      <w:r>
        <w:instrText xml:space="preserve"> REF Outputresults \h  \* MERGEFORMAT </w:instrText>
      </w:r>
      <w:r>
        <w:fldChar w:fldCharType="separate"/>
      </w:r>
      <w:r w:rsidRPr="00DE5C6C">
        <w:t>Output results</w:t>
      </w:r>
      <w:r>
        <w:fldChar w:fldCharType="end"/>
      </w:r>
      <w:r w:rsidRPr="00EB2F55">
        <w:t xml:space="preserve">) of </w:t>
      </w:r>
      <w:r>
        <w:fldChar w:fldCharType="begin"/>
      </w:r>
      <w:r>
        <w:instrText xml:space="preserve"> REF Annex1 \h  \* MERGEFORMAT </w:instrText>
      </w:r>
      <w:r>
        <w:fldChar w:fldCharType="separate"/>
      </w:r>
      <w:r w:rsidRPr="001613FA">
        <w:t>Annex 1</w:t>
      </w:r>
      <w:r>
        <w:fldChar w:fldCharType="end"/>
      </w:r>
      <w:r w:rsidRPr="00EB2F55">
        <w:t xml:space="preserve"> and Attachment 3 (</w:t>
      </w:r>
      <w:r>
        <w:fldChar w:fldCharType="begin"/>
      </w:r>
      <w:r>
        <w:instrText xml:space="preserve"> REF Outputresults \h  \* MERGEFORMAT </w:instrText>
      </w:r>
      <w:r>
        <w:fldChar w:fldCharType="separate"/>
      </w:r>
      <w:r w:rsidRPr="00DE5C6C">
        <w:t>Output results</w:t>
      </w:r>
      <w:r>
        <w:fldChar w:fldCharType="end"/>
      </w:r>
      <w:r w:rsidRPr="00EB2F55">
        <w:t xml:space="preserve">) to </w:t>
      </w:r>
      <w:r>
        <w:fldChar w:fldCharType="begin"/>
      </w:r>
      <w:r>
        <w:instrText xml:space="preserve"> REF Annex1 \h  \* MERGEFORMAT </w:instrText>
      </w:r>
      <w:r>
        <w:fldChar w:fldCharType="separate"/>
      </w:r>
      <w:r w:rsidRPr="001613FA">
        <w:t>Annex 1</w:t>
      </w:r>
      <w:r>
        <w:fldChar w:fldCharType="end"/>
      </w:r>
      <w:r w:rsidRPr="00EB2F55">
        <w:t>. However, it should be noted that this does not describe the application of these charges in the calculation of final Use of System Charges (or credits in respect of final Use of System Charges).</w:t>
      </w:r>
    </w:p>
    <w:p w14:paraId="7948DF18" w14:textId="77777777" w:rsidR="0041584B" w:rsidRPr="00EB2F55" w:rsidRDefault="0041584B" w:rsidP="0041584B">
      <w:pPr>
        <w:pStyle w:val="DCSubHeading1Level2"/>
      </w:pPr>
      <w:bookmarkStart w:id="34" w:name="_Toc269721196"/>
      <w:r w:rsidRPr="00AE461D">
        <w:lastRenderedPageBreak/>
        <w:t>Decomposition</w:t>
      </w:r>
      <w:r w:rsidRPr="00EB2F55">
        <w:t xml:space="preserve"> of Nodal marginal charges</w:t>
      </w:r>
      <w:bookmarkEnd w:id="34"/>
    </w:p>
    <w:p w14:paraId="7BA38836" w14:textId="77777777" w:rsidR="0041584B" w:rsidRDefault="0041584B" w:rsidP="0041584B">
      <w:pPr>
        <w:pStyle w:val="Heading2"/>
      </w:pPr>
      <w:r w:rsidRPr="00EB2F55">
        <w:t xml:space="preserve">Each Nodal marginal charge, derived from the Nodal incremental costs, is decomposed into two sub-elements, termed ‘local’ and ‘remote’, such </w:t>
      </w:r>
      <w:proofErr w:type="gramStart"/>
      <w:r w:rsidRPr="00EB2F55">
        <w:t>that:-</w:t>
      </w:r>
      <w:proofErr w:type="gramEnd"/>
    </w:p>
    <w:p w14:paraId="4BAD806B" w14:textId="77777777" w:rsidR="0041584B" w:rsidRPr="00C70D7F" w:rsidRDefault="0041584B" w:rsidP="0041584B">
      <w:pPr>
        <w:jc w:val="center"/>
      </w:pPr>
      <w:proofErr w:type="spellStart"/>
      <w:r w:rsidRPr="00C70D7F">
        <w:t>ChargeAtNode</w:t>
      </w:r>
      <w:r w:rsidRPr="00C70D7F">
        <w:rPr>
          <w:vertAlign w:val="superscript"/>
        </w:rPr>
        <w:t>Peak</w:t>
      </w:r>
      <w:proofErr w:type="spellEnd"/>
      <w:r w:rsidRPr="00C70D7F">
        <w:t xml:space="preserve"> = </w:t>
      </w:r>
      <w:proofErr w:type="spellStart"/>
      <w:proofErr w:type="gramStart"/>
      <w:r w:rsidRPr="00C70D7F">
        <w:t>LocalChargeAtNode</w:t>
      </w:r>
      <w:r w:rsidRPr="00C70D7F">
        <w:rPr>
          <w:vertAlign w:val="superscript"/>
        </w:rPr>
        <w:t>Peak</w:t>
      </w:r>
      <w:proofErr w:type="spellEnd"/>
      <w:r w:rsidRPr="00C70D7F">
        <w:rPr>
          <w:vertAlign w:val="superscript"/>
        </w:rPr>
        <w:t xml:space="preserve">  </w:t>
      </w:r>
      <w:r w:rsidRPr="00C70D7F">
        <w:t>+</w:t>
      </w:r>
      <w:proofErr w:type="gramEnd"/>
      <w:r w:rsidRPr="00C70D7F">
        <w:t xml:space="preserve"> </w:t>
      </w:r>
      <w:proofErr w:type="spellStart"/>
      <w:r w:rsidRPr="00C70D7F">
        <w:t>RemoteChargeAtNode</w:t>
      </w:r>
      <w:r w:rsidRPr="00C70D7F">
        <w:rPr>
          <w:vertAlign w:val="superscript"/>
        </w:rPr>
        <w:t>Peak</w:t>
      </w:r>
      <w:proofErr w:type="spellEnd"/>
    </w:p>
    <w:p w14:paraId="5A246C00" w14:textId="77777777" w:rsidR="0041584B" w:rsidRPr="00EB2F55" w:rsidRDefault="0041584B" w:rsidP="0041584B">
      <w:pPr>
        <w:pStyle w:val="Normaltext"/>
        <w:ind w:left="0"/>
      </w:pPr>
    </w:p>
    <w:p w14:paraId="425021C1" w14:textId="77777777" w:rsidR="0041584B" w:rsidRPr="00EB2F55" w:rsidRDefault="0041584B" w:rsidP="0041584B">
      <w:pPr>
        <w:pStyle w:val="Heading2"/>
      </w:pPr>
      <w:r w:rsidRPr="00EB2F55">
        <w:t xml:space="preserve">The local element of each charge at a Node is derived </w:t>
      </w:r>
      <w:proofErr w:type="gramStart"/>
      <w:r w:rsidRPr="00EB2F55">
        <w:t>from:-</w:t>
      </w:r>
      <w:proofErr w:type="gramEnd"/>
    </w:p>
    <w:p w14:paraId="172BB638" w14:textId="77777777" w:rsidR="0041584B" w:rsidRPr="00EB2F55" w:rsidRDefault="0041584B" w:rsidP="0041584B">
      <w:pPr>
        <w:pStyle w:val="Heading5"/>
        <w:ind w:left="1418"/>
      </w:pPr>
      <w:r w:rsidRPr="00EB2F55">
        <w:t>the Branch incremental costs associated with Branches that are operating at the same nominal voltage as the voltage of the Node where the increment was applied; and</w:t>
      </w:r>
    </w:p>
    <w:p w14:paraId="02FA324D" w14:textId="77777777" w:rsidR="0041584B" w:rsidRPr="00EB2F55" w:rsidRDefault="0041584B" w:rsidP="0041584B">
      <w:pPr>
        <w:pStyle w:val="Heading5"/>
        <w:ind w:left="1418"/>
      </w:pPr>
      <w:r w:rsidRPr="00EB2F55">
        <w:t>the Branch incremental costs associated with Branches that represent transformation from a higher voltage down to the same nominal voltage as the voltage of the Node where the increment was applied.</w:t>
      </w:r>
    </w:p>
    <w:p w14:paraId="5368710A" w14:textId="77777777" w:rsidR="0041584B" w:rsidRDefault="0041584B" w:rsidP="0041584B">
      <w:pPr>
        <w:pStyle w:val="Heading2"/>
      </w:pPr>
      <w:r w:rsidRPr="00EB2F55">
        <w:t xml:space="preserve">The remote element of each Nodal incremental cost is derived from the Branch incremental costs from all Branches other than those where the Branches are operating at the same nominal voltage as the voltage of the Node where the increment was applied, or where the Branches represent transformation from a higher voltage down to the same nominal voltage as the Node. In other words, all Branches that are not ‘local’ are ‘remote’.  </w:t>
      </w:r>
    </w:p>
    <w:p w14:paraId="68C567E5" w14:textId="77777777" w:rsidR="0041584B" w:rsidRPr="00BD3B76" w:rsidRDefault="0041584B" w:rsidP="0041584B">
      <w:pPr>
        <w:pStyle w:val="DCSubHeading1Level2"/>
      </w:pPr>
      <w:bookmarkStart w:id="35" w:name="_Toc269721197"/>
      <w:r w:rsidRPr="00BD3B76">
        <w:t>Outputs from LRIC Analysis</w:t>
      </w:r>
      <w:bookmarkEnd w:id="35"/>
    </w:p>
    <w:p w14:paraId="782FB62C" w14:textId="77777777" w:rsidR="0041584B" w:rsidRPr="00EB2F55" w:rsidRDefault="0041584B" w:rsidP="0041584B">
      <w:pPr>
        <w:pStyle w:val="Heading2"/>
      </w:pPr>
      <w:r w:rsidRPr="00EB2F55">
        <w:t>The LRIC methodology produces the following outputs:</w:t>
      </w:r>
    </w:p>
    <w:p w14:paraId="596CAB19" w14:textId="77777777" w:rsidR="0041584B" w:rsidRPr="00EB2F55" w:rsidRDefault="0041584B" w:rsidP="0041584B">
      <w:pPr>
        <w:pStyle w:val="Heading5"/>
        <w:keepNext w:val="0"/>
        <w:keepLines w:val="0"/>
        <w:ind w:left="1418"/>
      </w:pPr>
      <w:r w:rsidRPr="00EB2F55">
        <w:t>Location (Node);</w:t>
      </w:r>
    </w:p>
    <w:p w14:paraId="38ECB453" w14:textId="77777777" w:rsidR="0041584B" w:rsidRPr="00EB2F55" w:rsidRDefault="0041584B" w:rsidP="0041584B">
      <w:pPr>
        <w:pStyle w:val="Heading5"/>
        <w:keepNext w:val="0"/>
        <w:keepLines w:val="0"/>
        <w:ind w:left="1418"/>
      </w:pPr>
      <w:r w:rsidRPr="00EB2F55">
        <w:t>Demand Type (Generation or Load);</w:t>
      </w:r>
    </w:p>
    <w:p w14:paraId="6BCEB09D" w14:textId="77777777" w:rsidR="0041584B" w:rsidRPr="00EB2F55" w:rsidRDefault="0041584B" w:rsidP="0041584B">
      <w:pPr>
        <w:pStyle w:val="Heading5"/>
        <w:keepNext w:val="0"/>
        <w:keepLines w:val="0"/>
        <w:ind w:left="1418"/>
      </w:pPr>
      <w:r w:rsidRPr="00EB2F55">
        <w:t xml:space="preserve">Local Charge 1: </w:t>
      </w:r>
      <w:proofErr w:type="spellStart"/>
      <w:r w:rsidRPr="00EB2F55">
        <w:t>LocalChargeAtNodepeak</w:t>
      </w:r>
      <w:proofErr w:type="spellEnd"/>
      <w:r w:rsidRPr="00EB2F55">
        <w:t xml:space="preserve"> (£/kVA/annum);</w:t>
      </w:r>
    </w:p>
    <w:p w14:paraId="735A566B" w14:textId="77777777" w:rsidR="0041584B" w:rsidRPr="00EB2F55" w:rsidRDefault="0041584B" w:rsidP="0041584B">
      <w:pPr>
        <w:pStyle w:val="Heading5"/>
        <w:keepNext w:val="0"/>
        <w:keepLines w:val="0"/>
        <w:ind w:left="1418"/>
      </w:pPr>
      <w:r w:rsidRPr="00EB2F55">
        <w:t xml:space="preserve">Remote Charge 1: </w:t>
      </w:r>
      <w:proofErr w:type="spellStart"/>
      <w:r w:rsidRPr="00EB2F55">
        <w:t>RemoteChargeAtNodepeak</w:t>
      </w:r>
      <w:proofErr w:type="spellEnd"/>
      <w:r w:rsidRPr="00EB2F55">
        <w:t xml:space="preserve"> (£/kVA/annum);</w:t>
      </w:r>
    </w:p>
    <w:p w14:paraId="6BB2298D" w14:textId="77777777" w:rsidR="0041584B" w:rsidRPr="00EB2F55" w:rsidRDefault="0041584B" w:rsidP="0041584B">
      <w:pPr>
        <w:pStyle w:val="Heading5"/>
        <w:keepNext w:val="0"/>
        <w:keepLines w:val="0"/>
        <w:ind w:left="1418"/>
      </w:pPr>
      <w:r w:rsidRPr="00EB2F55">
        <w:t>Active Power (kW) for the Maximum Demand Scenario;</w:t>
      </w:r>
    </w:p>
    <w:p w14:paraId="2CF0E89B" w14:textId="77777777" w:rsidR="0041584B" w:rsidRDefault="0041584B" w:rsidP="0041584B">
      <w:pPr>
        <w:pStyle w:val="Heading5"/>
        <w:keepNext w:val="0"/>
        <w:keepLines w:val="0"/>
        <w:ind w:left="1418"/>
      </w:pPr>
      <w:r w:rsidRPr="00EB2F55">
        <w:t>Reactive Power (</w:t>
      </w:r>
      <w:proofErr w:type="spellStart"/>
      <w:r w:rsidRPr="00EB2F55">
        <w:t>kVAr</w:t>
      </w:r>
      <w:proofErr w:type="spellEnd"/>
      <w:r w:rsidRPr="00EB2F55">
        <w:t>) for the Maximum Demand Scenario;</w:t>
      </w:r>
    </w:p>
    <w:p w14:paraId="311848D1" w14:textId="77777777" w:rsidR="0041584B" w:rsidRDefault="0041584B" w:rsidP="0041584B">
      <w:pPr>
        <w:pStyle w:val="Heading1"/>
      </w:pPr>
      <w:bookmarkStart w:id="36" w:name="_Toc320876068"/>
      <w:bookmarkStart w:id="37" w:name="_Toc320876691"/>
      <w:bookmarkStart w:id="38" w:name="_Toc325449905"/>
      <w:bookmarkStart w:id="39" w:name="_Toc339284549"/>
      <w:bookmarkStart w:id="40" w:name="_Toc360027721"/>
      <w:bookmarkStart w:id="41" w:name="_Toc360028075"/>
      <w:bookmarkStart w:id="42" w:name="_Toc391559934"/>
      <w:bookmarkStart w:id="43" w:name="_Toc510303054"/>
      <w:bookmarkStart w:id="44" w:name="_Toc513018468"/>
      <w:bookmarkStart w:id="45" w:name="_Toc518333653"/>
      <w:bookmarkStart w:id="46" w:name="_Toc527908509"/>
      <w:r w:rsidRPr="00EB2F55">
        <w:lastRenderedPageBreak/>
        <w:t>EDCM charge components for Connectees</w:t>
      </w:r>
      <w:bookmarkEnd w:id="36"/>
      <w:bookmarkEnd w:id="37"/>
      <w:bookmarkEnd w:id="38"/>
      <w:bookmarkEnd w:id="39"/>
      <w:bookmarkEnd w:id="40"/>
      <w:bookmarkEnd w:id="41"/>
      <w:bookmarkEnd w:id="42"/>
      <w:bookmarkEnd w:id="43"/>
      <w:bookmarkEnd w:id="44"/>
      <w:bookmarkEnd w:id="45"/>
      <w:bookmarkEnd w:id="46"/>
    </w:p>
    <w:p w14:paraId="0BAE50D9" w14:textId="77777777" w:rsidR="0041584B" w:rsidRPr="00EB2F55" w:rsidRDefault="0041584B" w:rsidP="0041584B">
      <w:pPr>
        <w:pStyle w:val="Heading2"/>
      </w:pPr>
      <w:r w:rsidRPr="00EB2F55">
        <w:t>This section sets out the different charge components that will apply to Connectees under the EDCM.  Charge components are the outputs of the EDCM and make up the distribution use of system charges applied to Connectees.</w:t>
      </w:r>
    </w:p>
    <w:p w14:paraId="39603CEB" w14:textId="77777777" w:rsidR="0041584B" w:rsidRDefault="0041584B" w:rsidP="0041584B">
      <w:pPr>
        <w:pStyle w:val="Heading2"/>
      </w:pPr>
      <w:r w:rsidRPr="00EB2F55">
        <w:t>In the EDCM, each set of charges comprises import rates, export rates, or both, as applicable to the Connectee.  The DNO Party’s Relevant Charging Statement includes information that enables a Supplier to determine which Designated EHV Property each set of charges applies to.</w:t>
      </w:r>
    </w:p>
    <w:p w14:paraId="3C0DE407" w14:textId="77777777" w:rsidR="0041584B" w:rsidRPr="00E803FD" w:rsidRDefault="0041584B" w:rsidP="0041584B">
      <w:pPr>
        <w:pStyle w:val="Heading2"/>
      </w:pPr>
      <w:r w:rsidRPr="00E803FD">
        <w:t>Demand charges under the EDCM comprise the following individual components:</w:t>
      </w:r>
    </w:p>
    <w:p w14:paraId="7BF1C684" w14:textId="77777777" w:rsidR="0041584B" w:rsidRPr="00E803FD" w:rsidRDefault="0041584B" w:rsidP="0041584B">
      <w:pPr>
        <w:ind w:left="720"/>
      </w:pPr>
      <w:r w:rsidRPr="00E803FD">
        <w:t>Import fixed charges.</w:t>
      </w:r>
    </w:p>
    <w:p w14:paraId="0559BE54" w14:textId="77777777" w:rsidR="0041584B" w:rsidRPr="00E803FD" w:rsidRDefault="0041584B" w:rsidP="0041584B">
      <w:pPr>
        <w:ind w:left="720"/>
      </w:pPr>
      <w:r w:rsidRPr="00E803FD">
        <w:t>Import capacity charges.</w:t>
      </w:r>
    </w:p>
    <w:p w14:paraId="5EE7401B" w14:textId="77777777" w:rsidR="0041584B" w:rsidRPr="00E803FD" w:rsidRDefault="0041584B" w:rsidP="0041584B">
      <w:pPr>
        <w:ind w:left="720"/>
      </w:pPr>
      <w:r w:rsidRPr="00E803FD">
        <w:t>Exceeded import capacity charges.</w:t>
      </w:r>
    </w:p>
    <w:p w14:paraId="6893305C" w14:textId="77777777" w:rsidR="0041584B" w:rsidRPr="00E803FD" w:rsidRDefault="0041584B" w:rsidP="0041584B">
      <w:pPr>
        <w:ind w:left="720"/>
      </w:pPr>
      <w:r w:rsidRPr="00E803FD">
        <w:t>Unit rate charges for consumption at the time of the DNO Party’s peak (super-red time band).</w:t>
      </w:r>
    </w:p>
    <w:p w14:paraId="71B3307B" w14:textId="77777777" w:rsidR="0041584B" w:rsidRDefault="0041584B" w:rsidP="0041584B">
      <w:pPr>
        <w:pStyle w:val="Heading2"/>
      </w:pPr>
      <w:r w:rsidRPr="00E803FD">
        <w:t xml:space="preserve">The EDCM charge components for import are listed in </w:t>
      </w:r>
      <w:r>
        <w:t>T</w:t>
      </w:r>
      <w:r w:rsidRPr="00E803FD">
        <w:t xml:space="preserve">able </w:t>
      </w:r>
      <w:r>
        <w:t>3.4</w:t>
      </w:r>
      <w:r w:rsidRPr="00E803FD">
        <w:t>.</w:t>
      </w:r>
    </w:p>
    <w:p w14:paraId="0257D094" w14:textId="77777777" w:rsidR="0041584B" w:rsidRDefault="0041584B" w:rsidP="0041584B">
      <w:pPr>
        <w:pStyle w:val="DCSubHeading1Level2"/>
        <w:jc w:val="center"/>
      </w:pPr>
      <w:r>
        <w:t>Table 3.4 Charge components for import</w:t>
      </w:r>
    </w:p>
    <w:tbl>
      <w:tblPr>
        <w:tblW w:w="0" w:type="auto"/>
        <w:tblInd w:w="2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28"/>
        <w:gridCol w:w="1260"/>
      </w:tblGrid>
      <w:tr w:rsidR="0041584B" w:rsidRPr="00B83AB0" w14:paraId="6B2F2E62" w14:textId="77777777" w:rsidTr="0041584B">
        <w:trPr>
          <w:tblHeader/>
        </w:trPr>
        <w:tc>
          <w:tcPr>
            <w:tcW w:w="3528" w:type="dxa"/>
            <w:tcBorders>
              <w:top w:val="single" w:sz="4" w:space="0" w:color="auto"/>
              <w:left w:val="nil"/>
              <w:bottom w:val="single" w:sz="4" w:space="0" w:color="auto"/>
              <w:right w:val="nil"/>
            </w:tcBorders>
            <w:shd w:val="clear" w:color="auto" w:fill="C0C0C0"/>
          </w:tcPr>
          <w:p w14:paraId="7DE974D6" w14:textId="77777777" w:rsidR="0041584B" w:rsidRPr="00B83AB0" w:rsidRDefault="0041584B" w:rsidP="0041584B">
            <w:pPr>
              <w:pStyle w:val="Table"/>
              <w:keepNext/>
              <w:spacing w:line="360" w:lineRule="auto"/>
              <w:jc w:val="both"/>
              <w:rPr>
                <w:rFonts w:ascii="Times New Roman" w:hAnsi="Times New Roman"/>
                <w:b/>
                <w:sz w:val="24"/>
                <w:szCs w:val="24"/>
              </w:rPr>
            </w:pPr>
            <w:r w:rsidRPr="00B83AB0">
              <w:rPr>
                <w:rFonts w:ascii="Times New Roman" w:hAnsi="Times New Roman"/>
                <w:b/>
                <w:sz w:val="24"/>
                <w:szCs w:val="24"/>
              </w:rPr>
              <w:t>Tariff component</w:t>
            </w:r>
          </w:p>
        </w:tc>
        <w:tc>
          <w:tcPr>
            <w:tcW w:w="1260" w:type="dxa"/>
            <w:tcBorders>
              <w:top w:val="single" w:sz="4" w:space="0" w:color="auto"/>
              <w:left w:val="nil"/>
              <w:bottom w:val="single" w:sz="4" w:space="0" w:color="auto"/>
              <w:right w:val="nil"/>
            </w:tcBorders>
            <w:shd w:val="clear" w:color="auto" w:fill="C0C0C0"/>
          </w:tcPr>
          <w:p w14:paraId="003422FF" w14:textId="77777777" w:rsidR="0041584B" w:rsidRPr="00B83AB0" w:rsidRDefault="0041584B" w:rsidP="0041584B">
            <w:pPr>
              <w:pStyle w:val="Table"/>
              <w:keepNext/>
              <w:spacing w:line="360" w:lineRule="auto"/>
              <w:jc w:val="both"/>
              <w:rPr>
                <w:rFonts w:ascii="Times New Roman" w:hAnsi="Times New Roman"/>
                <w:b/>
                <w:sz w:val="24"/>
                <w:szCs w:val="24"/>
              </w:rPr>
            </w:pPr>
            <w:r w:rsidRPr="00B83AB0">
              <w:rPr>
                <w:rFonts w:ascii="Times New Roman" w:hAnsi="Times New Roman"/>
                <w:b/>
                <w:sz w:val="24"/>
                <w:szCs w:val="24"/>
              </w:rPr>
              <w:t>Unit</w:t>
            </w:r>
          </w:p>
        </w:tc>
      </w:tr>
      <w:tr w:rsidR="0041584B" w:rsidRPr="00B83AB0" w14:paraId="20EC4489" w14:textId="77777777" w:rsidTr="0041584B">
        <w:tc>
          <w:tcPr>
            <w:tcW w:w="3528" w:type="dxa"/>
            <w:tcBorders>
              <w:top w:val="nil"/>
              <w:left w:val="nil"/>
              <w:bottom w:val="nil"/>
              <w:right w:val="nil"/>
            </w:tcBorders>
          </w:tcPr>
          <w:p w14:paraId="0C1343B7" w14:textId="77777777" w:rsidR="0041584B" w:rsidRPr="00B83AB0" w:rsidRDefault="0041584B" w:rsidP="0041584B">
            <w:pPr>
              <w:pStyle w:val="Table"/>
              <w:keepNext/>
              <w:spacing w:line="360" w:lineRule="auto"/>
              <w:jc w:val="both"/>
              <w:rPr>
                <w:rFonts w:ascii="Times New Roman" w:hAnsi="Times New Roman"/>
                <w:sz w:val="24"/>
                <w:szCs w:val="24"/>
              </w:rPr>
            </w:pPr>
            <w:r>
              <w:rPr>
                <w:rFonts w:ascii="Times New Roman" w:hAnsi="Times New Roman"/>
                <w:sz w:val="24"/>
                <w:szCs w:val="24"/>
              </w:rPr>
              <w:t>Import f</w:t>
            </w:r>
            <w:r w:rsidRPr="00B83AB0">
              <w:rPr>
                <w:rFonts w:ascii="Times New Roman" w:hAnsi="Times New Roman"/>
                <w:sz w:val="24"/>
                <w:szCs w:val="24"/>
              </w:rPr>
              <w:t>ixed charge</w:t>
            </w:r>
          </w:p>
        </w:tc>
        <w:tc>
          <w:tcPr>
            <w:tcW w:w="1260" w:type="dxa"/>
            <w:tcBorders>
              <w:top w:val="nil"/>
              <w:left w:val="nil"/>
              <w:bottom w:val="nil"/>
              <w:right w:val="nil"/>
            </w:tcBorders>
          </w:tcPr>
          <w:p w14:paraId="5A198ABC" w14:textId="77777777" w:rsidR="0041584B" w:rsidRPr="00B83AB0" w:rsidRDefault="0041584B" w:rsidP="0041584B">
            <w:pPr>
              <w:pStyle w:val="Table"/>
              <w:keepNext/>
              <w:spacing w:line="360" w:lineRule="auto"/>
              <w:jc w:val="both"/>
              <w:rPr>
                <w:rFonts w:ascii="Times New Roman" w:hAnsi="Times New Roman"/>
                <w:sz w:val="24"/>
                <w:szCs w:val="24"/>
              </w:rPr>
            </w:pPr>
            <w:r w:rsidRPr="00B83AB0">
              <w:rPr>
                <w:rFonts w:ascii="Times New Roman" w:hAnsi="Times New Roman"/>
                <w:sz w:val="24"/>
                <w:szCs w:val="24"/>
              </w:rPr>
              <w:t>p/day</w:t>
            </w:r>
          </w:p>
        </w:tc>
      </w:tr>
      <w:tr w:rsidR="0041584B" w:rsidRPr="00B83AB0" w14:paraId="14F91923" w14:textId="77777777" w:rsidTr="0041584B">
        <w:tc>
          <w:tcPr>
            <w:tcW w:w="3528" w:type="dxa"/>
            <w:tcBorders>
              <w:top w:val="nil"/>
              <w:left w:val="nil"/>
              <w:bottom w:val="nil"/>
              <w:right w:val="nil"/>
            </w:tcBorders>
            <w:shd w:val="clear" w:color="auto" w:fill="E0E0E0"/>
          </w:tcPr>
          <w:p w14:paraId="230E0760" w14:textId="77777777" w:rsidR="0041584B" w:rsidRPr="00B83AB0" w:rsidRDefault="0041584B" w:rsidP="0041584B">
            <w:pPr>
              <w:pStyle w:val="Table"/>
              <w:keepNext/>
              <w:spacing w:line="360" w:lineRule="auto"/>
              <w:jc w:val="both"/>
              <w:rPr>
                <w:rFonts w:ascii="Times New Roman" w:hAnsi="Times New Roman"/>
                <w:sz w:val="24"/>
                <w:szCs w:val="24"/>
              </w:rPr>
            </w:pPr>
            <w:r w:rsidRPr="00B83AB0">
              <w:rPr>
                <w:rFonts w:ascii="Times New Roman" w:hAnsi="Times New Roman"/>
                <w:sz w:val="24"/>
                <w:szCs w:val="24"/>
              </w:rPr>
              <w:t>Import capacity charge</w:t>
            </w:r>
          </w:p>
        </w:tc>
        <w:tc>
          <w:tcPr>
            <w:tcW w:w="1260" w:type="dxa"/>
            <w:tcBorders>
              <w:top w:val="nil"/>
              <w:left w:val="nil"/>
              <w:bottom w:val="nil"/>
              <w:right w:val="nil"/>
            </w:tcBorders>
            <w:shd w:val="clear" w:color="auto" w:fill="E0E0E0"/>
          </w:tcPr>
          <w:p w14:paraId="6C3DABEA" w14:textId="77777777" w:rsidR="0041584B" w:rsidRPr="00B83AB0" w:rsidRDefault="0041584B" w:rsidP="0041584B">
            <w:pPr>
              <w:pStyle w:val="Table"/>
              <w:keepNext/>
              <w:spacing w:line="360" w:lineRule="auto"/>
              <w:jc w:val="both"/>
              <w:rPr>
                <w:rFonts w:ascii="Times New Roman" w:hAnsi="Times New Roman"/>
                <w:sz w:val="24"/>
                <w:szCs w:val="24"/>
              </w:rPr>
            </w:pPr>
            <w:r w:rsidRPr="00B83AB0">
              <w:rPr>
                <w:rFonts w:ascii="Times New Roman" w:hAnsi="Times New Roman"/>
                <w:sz w:val="24"/>
                <w:szCs w:val="24"/>
              </w:rPr>
              <w:t>p/kVA/day</w:t>
            </w:r>
          </w:p>
        </w:tc>
      </w:tr>
      <w:tr w:rsidR="0041584B" w:rsidRPr="00B83AB0" w14:paraId="27AD4818" w14:textId="77777777" w:rsidTr="0041584B">
        <w:tc>
          <w:tcPr>
            <w:tcW w:w="3528" w:type="dxa"/>
            <w:tcBorders>
              <w:top w:val="nil"/>
              <w:left w:val="nil"/>
              <w:bottom w:val="nil"/>
              <w:right w:val="nil"/>
            </w:tcBorders>
          </w:tcPr>
          <w:p w14:paraId="33460133" w14:textId="77777777" w:rsidR="0041584B" w:rsidRPr="00B83AB0" w:rsidRDefault="0041584B" w:rsidP="0041584B">
            <w:pPr>
              <w:pStyle w:val="Table"/>
              <w:keepNext/>
              <w:spacing w:line="360" w:lineRule="auto"/>
              <w:jc w:val="both"/>
              <w:rPr>
                <w:rFonts w:ascii="Times New Roman" w:hAnsi="Times New Roman"/>
                <w:sz w:val="24"/>
                <w:szCs w:val="24"/>
              </w:rPr>
            </w:pPr>
            <w:r w:rsidRPr="00B83AB0">
              <w:rPr>
                <w:rFonts w:ascii="Times New Roman" w:hAnsi="Times New Roman"/>
                <w:sz w:val="24"/>
                <w:szCs w:val="24"/>
              </w:rPr>
              <w:t>Exceeded import capacity charge</w:t>
            </w:r>
          </w:p>
        </w:tc>
        <w:tc>
          <w:tcPr>
            <w:tcW w:w="1260" w:type="dxa"/>
            <w:tcBorders>
              <w:top w:val="nil"/>
              <w:left w:val="nil"/>
              <w:bottom w:val="nil"/>
              <w:right w:val="nil"/>
            </w:tcBorders>
          </w:tcPr>
          <w:p w14:paraId="1FA8BED2" w14:textId="77777777" w:rsidR="0041584B" w:rsidRPr="00B83AB0" w:rsidRDefault="0041584B" w:rsidP="0041584B">
            <w:pPr>
              <w:pStyle w:val="Table"/>
              <w:keepNext/>
              <w:spacing w:line="360" w:lineRule="auto"/>
              <w:jc w:val="both"/>
              <w:rPr>
                <w:rFonts w:ascii="Times New Roman" w:hAnsi="Times New Roman"/>
                <w:sz w:val="24"/>
                <w:szCs w:val="24"/>
              </w:rPr>
            </w:pPr>
            <w:r w:rsidRPr="00B83AB0">
              <w:rPr>
                <w:rFonts w:ascii="Times New Roman" w:hAnsi="Times New Roman"/>
                <w:sz w:val="24"/>
                <w:szCs w:val="24"/>
              </w:rPr>
              <w:t>p/kVA/day</w:t>
            </w:r>
          </w:p>
        </w:tc>
      </w:tr>
      <w:tr w:rsidR="0041584B" w:rsidRPr="00B83AB0" w14:paraId="76D1B0DA" w14:textId="77777777" w:rsidTr="0041584B">
        <w:tc>
          <w:tcPr>
            <w:tcW w:w="3528" w:type="dxa"/>
            <w:tcBorders>
              <w:top w:val="nil"/>
              <w:left w:val="nil"/>
              <w:bottom w:val="nil"/>
              <w:right w:val="nil"/>
            </w:tcBorders>
            <w:shd w:val="clear" w:color="auto" w:fill="E0E0E0"/>
          </w:tcPr>
          <w:p w14:paraId="3DB39756" w14:textId="77777777" w:rsidR="0041584B" w:rsidRPr="00B83AB0" w:rsidRDefault="0041584B" w:rsidP="0041584B">
            <w:pPr>
              <w:pStyle w:val="Table"/>
              <w:keepNext/>
              <w:spacing w:line="360" w:lineRule="auto"/>
              <w:jc w:val="both"/>
              <w:rPr>
                <w:rFonts w:ascii="Times New Roman" w:hAnsi="Times New Roman"/>
                <w:sz w:val="24"/>
                <w:szCs w:val="24"/>
              </w:rPr>
            </w:pPr>
            <w:r w:rsidRPr="00B83AB0">
              <w:rPr>
                <w:rFonts w:ascii="Times New Roman" w:hAnsi="Times New Roman"/>
                <w:sz w:val="24"/>
                <w:szCs w:val="24"/>
              </w:rPr>
              <w:t xml:space="preserve">Super-red </w:t>
            </w:r>
            <w:r>
              <w:rPr>
                <w:rFonts w:ascii="Times New Roman" w:hAnsi="Times New Roman"/>
                <w:sz w:val="24"/>
                <w:szCs w:val="24"/>
              </w:rPr>
              <w:t xml:space="preserve">import </w:t>
            </w:r>
            <w:r w:rsidRPr="00B83AB0">
              <w:rPr>
                <w:rFonts w:ascii="Times New Roman" w:hAnsi="Times New Roman"/>
                <w:sz w:val="24"/>
                <w:szCs w:val="24"/>
              </w:rPr>
              <w:t>unit charge</w:t>
            </w:r>
          </w:p>
        </w:tc>
        <w:tc>
          <w:tcPr>
            <w:tcW w:w="1260" w:type="dxa"/>
            <w:tcBorders>
              <w:top w:val="nil"/>
              <w:left w:val="nil"/>
              <w:bottom w:val="nil"/>
              <w:right w:val="nil"/>
            </w:tcBorders>
            <w:shd w:val="clear" w:color="auto" w:fill="E0E0E0"/>
          </w:tcPr>
          <w:p w14:paraId="2DC1972F" w14:textId="77777777" w:rsidR="0041584B" w:rsidRPr="00B83AB0" w:rsidRDefault="0041584B" w:rsidP="0041584B">
            <w:pPr>
              <w:pStyle w:val="Table"/>
              <w:keepNext/>
              <w:spacing w:line="360" w:lineRule="auto"/>
              <w:jc w:val="both"/>
              <w:rPr>
                <w:rFonts w:ascii="Times New Roman" w:hAnsi="Times New Roman"/>
                <w:sz w:val="24"/>
                <w:szCs w:val="24"/>
              </w:rPr>
            </w:pPr>
            <w:r w:rsidRPr="00B83AB0">
              <w:rPr>
                <w:rFonts w:ascii="Times New Roman" w:hAnsi="Times New Roman"/>
                <w:sz w:val="24"/>
                <w:szCs w:val="24"/>
              </w:rPr>
              <w:t>p/kWh</w:t>
            </w:r>
          </w:p>
        </w:tc>
      </w:tr>
    </w:tbl>
    <w:p w14:paraId="657A7FAC" w14:textId="77777777" w:rsidR="0041584B" w:rsidRPr="00EB2F55" w:rsidRDefault="0041584B" w:rsidP="0041584B">
      <w:pPr>
        <w:pStyle w:val="DCSubHeading2Level2"/>
      </w:pPr>
    </w:p>
    <w:p w14:paraId="2780D9A7" w14:textId="77777777" w:rsidR="0041584B" w:rsidRPr="00E803FD" w:rsidRDefault="0041584B" w:rsidP="0041584B">
      <w:pPr>
        <w:pStyle w:val="Heading2"/>
      </w:pPr>
      <w:r w:rsidRPr="00E803FD">
        <w:t>Generation charges under the EDCM comprise the following individual components:</w:t>
      </w:r>
    </w:p>
    <w:p w14:paraId="152AB24A" w14:textId="77777777" w:rsidR="0041584B" w:rsidRPr="00E803FD" w:rsidRDefault="0041584B" w:rsidP="0041584B">
      <w:pPr>
        <w:ind w:left="720"/>
      </w:pPr>
      <w:r w:rsidRPr="00E803FD">
        <w:t>Export fixed charges</w:t>
      </w:r>
    </w:p>
    <w:p w14:paraId="22067376" w14:textId="77777777" w:rsidR="0041584B" w:rsidRPr="00E803FD" w:rsidRDefault="0041584B" w:rsidP="0041584B">
      <w:pPr>
        <w:ind w:left="720"/>
      </w:pPr>
      <w:r w:rsidRPr="00E803FD">
        <w:lastRenderedPageBreak/>
        <w:t>Export capacity charges</w:t>
      </w:r>
    </w:p>
    <w:p w14:paraId="6C8840A5" w14:textId="77777777" w:rsidR="0041584B" w:rsidRPr="00E803FD" w:rsidRDefault="0041584B" w:rsidP="0041584B">
      <w:pPr>
        <w:ind w:left="720"/>
      </w:pPr>
      <w:r w:rsidRPr="00E803FD">
        <w:t>Exceeded export capacity charges</w:t>
      </w:r>
    </w:p>
    <w:p w14:paraId="4224DE6C" w14:textId="77777777" w:rsidR="0041584B" w:rsidRPr="00E803FD" w:rsidRDefault="0041584B" w:rsidP="0041584B">
      <w:pPr>
        <w:ind w:left="720"/>
      </w:pPr>
      <w:r w:rsidRPr="00E803FD">
        <w:t>Export super-red unit rate (credit)</w:t>
      </w:r>
    </w:p>
    <w:p w14:paraId="1B759F0B" w14:textId="77777777" w:rsidR="0041584B" w:rsidRPr="00E803FD" w:rsidRDefault="0041584B" w:rsidP="0041584B">
      <w:pPr>
        <w:pStyle w:val="Heading2"/>
      </w:pPr>
      <w:r w:rsidRPr="00E803FD">
        <w:t xml:space="preserve">The EDCM charge components for export are listed in </w:t>
      </w:r>
      <w:r>
        <w:t>T</w:t>
      </w:r>
      <w:r w:rsidRPr="00E803FD">
        <w:t xml:space="preserve">able </w:t>
      </w:r>
      <w:r>
        <w:t>3.6</w:t>
      </w:r>
      <w:r w:rsidRPr="00E803FD">
        <w:t>.</w:t>
      </w:r>
    </w:p>
    <w:p w14:paraId="0A631941" w14:textId="77777777" w:rsidR="0041584B" w:rsidRDefault="0041584B" w:rsidP="0041584B">
      <w:pPr>
        <w:pStyle w:val="DCSubHeading1Level2"/>
        <w:jc w:val="center"/>
      </w:pPr>
      <w:r>
        <w:t>Table 3.6 Charge components for export</w:t>
      </w:r>
    </w:p>
    <w:tbl>
      <w:tblPr>
        <w:tblW w:w="0" w:type="auto"/>
        <w:tblInd w:w="2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28"/>
        <w:gridCol w:w="1260"/>
      </w:tblGrid>
      <w:tr w:rsidR="0041584B" w:rsidRPr="00C70D7F" w14:paraId="0E44D93F" w14:textId="77777777" w:rsidTr="0041584B">
        <w:trPr>
          <w:tblHeader/>
        </w:trPr>
        <w:tc>
          <w:tcPr>
            <w:tcW w:w="3528" w:type="dxa"/>
            <w:tcBorders>
              <w:left w:val="nil"/>
              <w:right w:val="nil"/>
            </w:tcBorders>
            <w:shd w:val="clear" w:color="auto" w:fill="C0C0C0"/>
          </w:tcPr>
          <w:p w14:paraId="16CC8531" w14:textId="77777777" w:rsidR="0041584B" w:rsidRPr="0031739F" w:rsidRDefault="0041584B" w:rsidP="0041584B">
            <w:pPr>
              <w:pStyle w:val="Table"/>
              <w:keepNext/>
              <w:spacing w:line="360" w:lineRule="auto"/>
              <w:jc w:val="both"/>
              <w:rPr>
                <w:rFonts w:ascii="Times New Roman" w:hAnsi="Times New Roman"/>
                <w:b/>
                <w:sz w:val="24"/>
                <w:szCs w:val="24"/>
              </w:rPr>
            </w:pPr>
            <w:r w:rsidRPr="0031739F">
              <w:rPr>
                <w:rFonts w:ascii="Times New Roman" w:hAnsi="Times New Roman"/>
                <w:b/>
                <w:sz w:val="24"/>
                <w:szCs w:val="24"/>
              </w:rPr>
              <w:t>Charge component</w:t>
            </w:r>
          </w:p>
        </w:tc>
        <w:tc>
          <w:tcPr>
            <w:tcW w:w="1260" w:type="dxa"/>
            <w:tcBorders>
              <w:left w:val="nil"/>
              <w:right w:val="nil"/>
            </w:tcBorders>
            <w:shd w:val="clear" w:color="auto" w:fill="C0C0C0"/>
          </w:tcPr>
          <w:p w14:paraId="3F1E7394" w14:textId="77777777" w:rsidR="0041584B" w:rsidRPr="0031739F" w:rsidRDefault="0041584B" w:rsidP="0041584B">
            <w:pPr>
              <w:pStyle w:val="Table"/>
              <w:keepNext/>
              <w:spacing w:line="360" w:lineRule="auto"/>
              <w:jc w:val="both"/>
              <w:rPr>
                <w:rFonts w:ascii="Times New Roman" w:hAnsi="Times New Roman"/>
                <w:b/>
                <w:sz w:val="24"/>
                <w:szCs w:val="24"/>
              </w:rPr>
            </w:pPr>
            <w:r w:rsidRPr="0031739F">
              <w:rPr>
                <w:rFonts w:ascii="Times New Roman" w:hAnsi="Times New Roman"/>
                <w:b/>
                <w:sz w:val="24"/>
                <w:szCs w:val="24"/>
              </w:rPr>
              <w:t>Unit</w:t>
            </w:r>
          </w:p>
        </w:tc>
      </w:tr>
      <w:tr w:rsidR="0041584B" w:rsidRPr="00C70D7F" w14:paraId="4103D96C" w14:textId="77777777" w:rsidTr="0041584B">
        <w:tc>
          <w:tcPr>
            <w:tcW w:w="3528" w:type="dxa"/>
            <w:tcBorders>
              <w:top w:val="nil"/>
              <w:left w:val="nil"/>
              <w:bottom w:val="nil"/>
              <w:right w:val="nil"/>
            </w:tcBorders>
          </w:tcPr>
          <w:p w14:paraId="024F0F9F" w14:textId="77777777" w:rsidR="0041584B" w:rsidRPr="0031739F" w:rsidRDefault="0041584B" w:rsidP="0041584B">
            <w:pPr>
              <w:pStyle w:val="Table"/>
              <w:keepNext/>
              <w:rPr>
                <w:rFonts w:ascii="Times New Roman" w:hAnsi="Times New Roman"/>
                <w:sz w:val="24"/>
                <w:szCs w:val="24"/>
              </w:rPr>
            </w:pPr>
            <w:r w:rsidRPr="0031739F">
              <w:rPr>
                <w:rFonts w:ascii="Times New Roman" w:hAnsi="Times New Roman"/>
                <w:sz w:val="24"/>
                <w:szCs w:val="24"/>
              </w:rPr>
              <w:t>Export fixed charge</w:t>
            </w:r>
          </w:p>
        </w:tc>
        <w:tc>
          <w:tcPr>
            <w:tcW w:w="1260" w:type="dxa"/>
            <w:tcBorders>
              <w:top w:val="nil"/>
              <w:left w:val="nil"/>
              <w:bottom w:val="nil"/>
              <w:right w:val="nil"/>
            </w:tcBorders>
          </w:tcPr>
          <w:p w14:paraId="2E16F00C" w14:textId="77777777" w:rsidR="0041584B" w:rsidRPr="0031739F" w:rsidRDefault="0041584B" w:rsidP="0041584B">
            <w:pPr>
              <w:pStyle w:val="Table"/>
              <w:keepNext/>
              <w:rPr>
                <w:rFonts w:ascii="Times New Roman" w:hAnsi="Times New Roman"/>
                <w:sz w:val="24"/>
                <w:szCs w:val="24"/>
              </w:rPr>
            </w:pPr>
            <w:r w:rsidRPr="0031739F">
              <w:rPr>
                <w:rFonts w:ascii="Times New Roman" w:hAnsi="Times New Roman"/>
                <w:sz w:val="24"/>
                <w:szCs w:val="24"/>
              </w:rPr>
              <w:t>p/day</w:t>
            </w:r>
          </w:p>
        </w:tc>
      </w:tr>
      <w:tr w:rsidR="0041584B" w:rsidRPr="00C70D7F" w14:paraId="56E3B7BF" w14:textId="77777777" w:rsidTr="0041584B">
        <w:tc>
          <w:tcPr>
            <w:tcW w:w="3528" w:type="dxa"/>
            <w:tcBorders>
              <w:top w:val="nil"/>
              <w:left w:val="nil"/>
              <w:bottom w:val="nil"/>
              <w:right w:val="nil"/>
            </w:tcBorders>
            <w:shd w:val="clear" w:color="auto" w:fill="E0E0E0"/>
          </w:tcPr>
          <w:p w14:paraId="4BB8E5A4" w14:textId="77777777" w:rsidR="0041584B" w:rsidRPr="0031739F" w:rsidRDefault="0041584B" w:rsidP="0041584B">
            <w:pPr>
              <w:pStyle w:val="Table"/>
              <w:keepNext/>
              <w:rPr>
                <w:rFonts w:ascii="Times New Roman" w:hAnsi="Times New Roman"/>
                <w:sz w:val="24"/>
                <w:szCs w:val="24"/>
              </w:rPr>
            </w:pPr>
            <w:r w:rsidRPr="0031739F">
              <w:rPr>
                <w:rFonts w:ascii="Times New Roman" w:hAnsi="Times New Roman"/>
                <w:sz w:val="24"/>
                <w:szCs w:val="24"/>
              </w:rPr>
              <w:t>Export capacity charge</w:t>
            </w:r>
          </w:p>
        </w:tc>
        <w:tc>
          <w:tcPr>
            <w:tcW w:w="1260" w:type="dxa"/>
            <w:tcBorders>
              <w:top w:val="nil"/>
              <w:left w:val="nil"/>
              <w:bottom w:val="nil"/>
              <w:right w:val="nil"/>
            </w:tcBorders>
            <w:shd w:val="clear" w:color="auto" w:fill="E0E0E0"/>
          </w:tcPr>
          <w:p w14:paraId="0F4EA384" w14:textId="77777777" w:rsidR="0041584B" w:rsidRPr="0031739F" w:rsidRDefault="0041584B" w:rsidP="0041584B">
            <w:pPr>
              <w:pStyle w:val="Table"/>
              <w:keepNext/>
              <w:rPr>
                <w:rFonts w:ascii="Times New Roman" w:hAnsi="Times New Roman"/>
                <w:sz w:val="24"/>
                <w:szCs w:val="24"/>
              </w:rPr>
            </w:pPr>
            <w:r w:rsidRPr="0031739F">
              <w:rPr>
                <w:rFonts w:ascii="Times New Roman" w:hAnsi="Times New Roman"/>
                <w:sz w:val="24"/>
                <w:szCs w:val="24"/>
              </w:rPr>
              <w:t>p/kVA/day</w:t>
            </w:r>
          </w:p>
        </w:tc>
      </w:tr>
      <w:tr w:rsidR="0041584B" w:rsidRPr="00C70D7F" w14:paraId="0ED9E626" w14:textId="77777777" w:rsidTr="0041584B">
        <w:tc>
          <w:tcPr>
            <w:tcW w:w="3528" w:type="dxa"/>
            <w:tcBorders>
              <w:top w:val="nil"/>
              <w:left w:val="nil"/>
              <w:bottom w:val="nil"/>
              <w:right w:val="nil"/>
            </w:tcBorders>
          </w:tcPr>
          <w:p w14:paraId="790D0E73" w14:textId="77777777" w:rsidR="0041584B" w:rsidRPr="0031739F" w:rsidRDefault="0041584B" w:rsidP="0041584B">
            <w:pPr>
              <w:pStyle w:val="Table"/>
              <w:keepNext/>
              <w:rPr>
                <w:rFonts w:ascii="Times New Roman" w:hAnsi="Times New Roman"/>
                <w:sz w:val="24"/>
                <w:szCs w:val="24"/>
              </w:rPr>
            </w:pPr>
            <w:r w:rsidRPr="0031739F">
              <w:rPr>
                <w:rFonts w:ascii="Times New Roman" w:hAnsi="Times New Roman"/>
                <w:sz w:val="24"/>
                <w:szCs w:val="24"/>
              </w:rPr>
              <w:t>Exceeded export capacity charge</w:t>
            </w:r>
          </w:p>
        </w:tc>
        <w:tc>
          <w:tcPr>
            <w:tcW w:w="1260" w:type="dxa"/>
            <w:tcBorders>
              <w:top w:val="nil"/>
              <w:left w:val="nil"/>
              <w:bottom w:val="nil"/>
              <w:right w:val="nil"/>
            </w:tcBorders>
          </w:tcPr>
          <w:p w14:paraId="04F0397B" w14:textId="77777777" w:rsidR="0041584B" w:rsidRPr="0031739F" w:rsidRDefault="0041584B" w:rsidP="0041584B">
            <w:pPr>
              <w:pStyle w:val="Table"/>
              <w:keepNext/>
              <w:rPr>
                <w:rFonts w:ascii="Times New Roman" w:hAnsi="Times New Roman"/>
                <w:sz w:val="24"/>
                <w:szCs w:val="24"/>
              </w:rPr>
            </w:pPr>
            <w:r w:rsidRPr="0031739F">
              <w:rPr>
                <w:rFonts w:ascii="Times New Roman" w:hAnsi="Times New Roman"/>
                <w:sz w:val="24"/>
                <w:szCs w:val="24"/>
              </w:rPr>
              <w:t>p/kVA/day</w:t>
            </w:r>
          </w:p>
        </w:tc>
      </w:tr>
      <w:tr w:rsidR="0041584B" w:rsidRPr="00C70D7F" w14:paraId="26F01FF5" w14:textId="77777777" w:rsidTr="0041584B">
        <w:tc>
          <w:tcPr>
            <w:tcW w:w="3528" w:type="dxa"/>
            <w:tcBorders>
              <w:top w:val="nil"/>
              <w:left w:val="nil"/>
              <w:bottom w:val="nil"/>
              <w:right w:val="nil"/>
            </w:tcBorders>
            <w:shd w:val="clear" w:color="auto" w:fill="E0E0E0"/>
          </w:tcPr>
          <w:p w14:paraId="585EF7B3" w14:textId="77777777" w:rsidR="0041584B" w:rsidRPr="0031739F" w:rsidRDefault="0041584B" w:rsidP="0041584B">
            <w:pPr>
              <w:pStyle w:val="Table"/>
              <w:keepNext/>
              <w:rPr>
                <w:rFonts w:ascii="Times New Roman" w:hAnsi="Times New Roman"/>
                <w:sz w:val="24"/>
                <w:szCs w:val="24"/>
              </w:rPr>
            </w:pPr>
            <w:r w:rsidRPr="0031739F">
              <w:rPr>
                <w:rFonts w:ascii="Times New Roman" w:hAnsi="Times New Roman"/>
                <w:sz w:val="24"/>
                <w:szCs w:val="24"/>
              </w:rPr>
              <w:t>Export super-red unit rate</w:t>
            </w:r>
          </w:p>
        </w:tc>
        <w:tc>
          <w:tcPr>
            <w:tcW w:w="1260" w:type="dxa"/>
            <w:tcBorders>
              <w:top w:val="nil"/>
              <w:left w:val="nil"/>
              <w:bottom w:val="nil"/>
              <w:right w:val="nil"/>
            </w:tcBorders>
            <w:shd w:val="clear" w:color="auto" w:fill="E0E0E0"/>
          </w:tcPr>
          <w:p w14:paraId="4E517B33" w14:textId="77777777" w:rsidR="0041584B" w:rsidRPr="0031739F" w:rsidRDefault="0041584B" w:rsidP="0041584B">
            <w:pPr>
              <w:pStyle w:val="Table"/>
              <w:keepNext/>
              <w:rPr>
                <w:rFonts w:ascii="Times New Roman" w:hAnsi="Times New Roman"/>
                <w:sz w:val="24"/>
                <w:szCs w:val="24"/>
              </w:rPr>
            </w:pPr>
            <w:r w:rsidRPr="0031739F">
              <w:rPr>
                <w:rFonts w:ascii="Times New Roman" w:hAnsi="Times New Roman"/>
                <w:sz w:val="24"/>
                <w:szCs w:val="24"/>
              </w:rPr>
              <w:t>p/kWh</w:t>
            </w:r>
          </w:p>
        </w:tc>
      </w:tr>
    </w:tbl>
    <w:p w14:paraId="6506B7F8" w14:textId="77777777" w:rsidR="0041584B" w:rsidRDefault="0041584B" w:rsidP="0041584B">
      <w:pPr>
        <w:pStyle w:val="Heading2"/>
        <w:numPr>
          <w:ilvl w:val="0"/>
          <w:numId w:val="0"/>
        </w:numPr>
        <w:ind w:left="720"/>
      </w:pPr>
    </w:p>
    <w:p w14:paraId="4DCC8740" w14:textId="77777777" w:rsidR="0041584B" w:rsidRPr="00E803FD" w:rsidRDefault="0041584B" w:rsidP="0041584B">
      <w:pPr>
        <w:pStyle w:val="Heading2"/>
      </w:pPr>
      <w:r w:rsidRPr="00E803FD">
        <w:t xml:space="preserve">The next section </w:t>
      </w:r>
      <w:r>
        <w:t xml:space="preserve">details the calculation of the </w:t>
      </w:r>
      <w:r w:rsidRPr="00E803FD">
        <w:t>elements that determine the charge components described above.</w:t>
      </w:r>
    </w:p>
    <w:p w14:paraId="3A6D7A24" w14:textId="77777777" w:rsidR="0041584B" w:rsidRPr="00E803FD" w:rsidRDefault="0041584B" w:rsidP="0041584B">
      <w:pPr>
        <w:pStyle w:val="Heading1"/>
      </w:pPr>
      <w:bookmarkStart w:id="47" w:name="_Toc320876069"/>
      <w:bookmarkStart w:id="48" w:name="_Toc320876692"/>
      <w:bookmarkStart w:id="49" w:name="_Toc325449906"/>
      <w:bookmarkStart w:id="50" w:name="_Toc339284550"/>
      <w:bookmarkStart w:id="51" w:name="_Toc360027722"/>
      <w:bookmarkStart w:id="52" w:name="_Toc360028076"/>
      <w:bookmarkStart w:id="53" w:name="_Toc391559935"/>
      <w:bookmarkStart w:id="54" w:name="_Toc510303055"/>
      <w:bookmarkStart w:id="55" w:name="_Toc513018469"/>
      <w:bookmarkStart w:id="56" w:name="_Toc518333654"/>
      <w:bookmarkStart w:id="57" w:name="_Toc527908510"/>
      <w:r w:rsidRPr="00E803FD">
        <w:t>Calculation of EDCM charge components</w:t>
      </w:r>
      <w:bookmarkEnd w:id="47"/>
      <w:bookmarkEnd w:id="48"/>
      <w:bookmarkEnd w:id="49"/>
      <w:bookmarkEnd w:id="50"/>
      <w:bookmarkEnd w:id="51"/>
      <w:bookmarkEnd w:id="52"/>
      <w:bookmarkEnd w:id="53"/>
      <w:bookmarkEnd w:id="54"/>
      <w:bookmarkEnd w:id="55"/>
      <w:bookmarkEnd w:id="56"/>
      <w:bookmarkEnd w:id="57"/>
    </w:p>
    <w:p w14:paraId="14F39365" w14:textId="77777777" w:rsidR="0041584B" w:rsidRPr="00E803FD" w:rsidRDefault="0041584B" w:rsidP="0041584B">
      <w:pPr>
        <w:pStyle w:val="Heading2"/>
      </w:pPr>
      <w:r w:rsidRPr="00E803FD">
        <w:t xml:space="preserve">EDCM charge components are derived from charge elements.  This section describes the method for calculating each of these charge elements. </w:t>
      </w:r>
    </w:p>
    <w:p w14:paraId="5F6A34C6" w14:textId="77777777" w:rsidR="0041584B" w:rsidRPr="00E803FD" w:rsidRDefault="0041584B" w:rsidP="0041584B">
      <w:pPr>
        <w:pStyle w:val="Heading1"/>
      </w:pPr>
      <w:bookmarkStart w:id="58" w:name="_Toc360027723"/>
      <w:bookmarkStart w:id="59" w:name="_Toc360028077"/>
      <w:bookmarkStart w:id="60" w:name="_Toc391559936"/>
      <w:bookmarkStart w:id="61" w:name="_Toc510303056"/>
      <w:bookmarkStart w:id="62" w:name="_Toc513018470"/>
      <w:bookmarkStart w:id="63" w:name="_Toc518333655"/>
      <w:bookmarkStart w:id="64" w:name="_Toc527908511"/>
      <w:r w:rsidRPr="00E803FD">
        <w:t>Chargeable export capacity for export charges</w:t>
      </w:r>
      <w:bookmarkEnd w:id="58"/>
      <w:bookmarkEnd w:id="59"/>
      <w:bookmarkEnd w:id="60"/>
      <w:bookmarkEnd w:id="61"/>
      <w:bookmarkEnd w:id="62"/>
      <w:bookmarkEnd w:id="63"/>
      <w:bookmarkEnd w:id="64"/>
    </w:p>
    <w:p w14:paraId="08777AC8" w14:textId="77777777" w:rsidR="0041584B" w:rsidRPr="00E803FD" w:rsidRDefault="0041584B" w:rsidP="0041584B">
      <w:pPr>
        <w:pStyle w:val="Heading2"/>
      </w:pPr>
      <w:r w:rsidRPr="00E803FD">
        <w:t>The Chargeable Export Capacity for each Connectee is defined as the Maximum Export Capacity minus any capacity that is exempt from use of system charges in the charging year.</w:t>
      </w:r>
    </w:p>
    <w:p w14:paraId="6AADFEE1" w14:textId="77777777" w:rsidR="0041584B" w:rsidRPr="00E803FD" w:rsidRDefault="0041584B" w:rsidP="0041584B">
      <w:pPr>
        <w:pStyle w:val="Heading1"/>
      </w:pPr>
      <w:bookmarkStart w:id="65" w:name="_Toc360027724"/>
      <w:bookmarkStart w:id="66" w:name="_Toc360028078"/>
      <w:bookmarkStart w:id="67" w:name="_Toc391559937"/>
      <w:bookmarkStart w:id="68" w:name="_Toc510303057"/>
      <w:bookmarkStart w:id="69" w:name="_Toc513018471"/>
      <w:bookmarkStart w:id="70" w:name="_Toc518333656"/>
      <w:bookmarkStart w:id="71" w:name="_Toc527908512"/>
      <w:bookmarkStart w:id="72" w:name="_Toc289363387"/>
      <w:bookmarkStart w:id="73" w:name="_Toc320876070"/>
      <w:bookmarkStart w:id="74" w:name="_Toc320876693"/>
      <w:bookmarkStart w:id="75" w:name="_Toc325449907"/>
      <w:bookmarkStart w:id="76" w:name="_Toc339284551"/>
      <w:r w:rsidRPr="00E803FD">
        <w:t>Application of LRIC charge 1</w:t>
      </w:r>
      <w:bookmarkEnd w:id="65"/>
      <w:bookmarkEnd w:id="66"/>
      <w:bookmarkEnd w:id="67"/>
      <w:bookmarkEnd w:id="68"/>
      <w:bookmarkEnd w:id="69"/>
      <w:bookmarkEnd w:id="70"/>
      <w:bookmarkEnd w:id="71"/>
      <w:r w:rsidRPr="00E803FD">
        <w:t xml:space="preserve"> </w:t>
      </w:r>
      <w:bookmarkEnd w:id="72"/>
      <w:bookmarkEnd w:id="73"/>
      <w:bookmarkEnd w:id="74"/>
      <w:bookmarkEnd w:id="75"/>
      <w:bookmarkEnd w:id="76"/>
    </w:p>
    <w:p w14:paraId="3017EEBB" w14:textId="77777777" w:rsidR="0041584B" w:rsidRPr="00E803FD" w:rsidRDefault="0041584B" w:rsidP="0041584B">
      <w:pPr>
        <w:pStyle w:val="Heading2"/>
      </w:pPr>
      <w:r w:rsidRPr="00E803FD">
        <w:t>Each tariff in the model is linked to one LRIC location or point.  Each LRIC point may have a local and remote charge 1 in £/kVA/year associated with it.</w:t>
      </w:r>
    </w:p>
    <w:p w14:paraId="212E527A" w14:textId="77777777" w:rsidR="0041584B" w:rsidRPr="00E803FD" w:rsidRDefault="0041584B" w:rsidP="0041584B">
      <w:pPr>
        <w:pStyle w:val="Heading2"/>
      </w:pPr>
      <w:r w:rsidRPr="00E803FD">
        <w:lastRenderedPageBreak/>
        <w:t xml:space="preserve">Some LRIC points might be designated as linked.  Each set of linked points comprises a maximum of eight points.  Where a tariff is associated with a point which is part of a set of linked points, the LRIC charge 1 used for that tariff are determined by calculating the applicable local and remote charge 1 as a weighted average of the local and network charge 1 respectively at each linked point (ignoring negative values) using the kVA modelled flow in the maximum demand run as weights.  If all the weights are zero in any of these </w:t>
      </w:r>
      <w:proofErr w:type="gramStart"/>
      <w:r w:rsidRPr="00E803FD">
        <w:t>calculations</w:t>
      </w:r>
      <w:proofErr w:type="gramEnd"/>
      <w:r w:rsidRPr="00E803FD">
        <w:t xml:space="preserve"> then an unweighted average is used instead of the weighted average.</w:t>
      </w:r>
    </w:p>
    <w:p w14:paraId="091EE44C" w14:textId="77777777" w:rsidR="0041584B" w:rsidRPr="00055462" w:rsidRDefault="0041584B" w:rsidP="0041584B">
      <w:pPr>
        <w:pStyle w:val="Heading2"/>
      </w:pPr>
      <w:r w:rsidRPr="00055462">
        <w:t>The import charges for the application of charge 1, is given by the formulas:</w:t>
      </w:r>
    </w:p>
    <w:p w14:paraId="0128E026" w14:textId="77777777" w:rsidR="0041584B" w:rsidRDefault="0041584B" w:rsidP="0041584B">
      <w:pPr>
        <w:ind w:left="720"/>
        <w:jc w:val="both"/>
      </w:pPr>
      <w:r>
        <w:t xml:space="preserve"> [p/kWh super-red rate] = (([remote charge 1 £/kVA/year] / PF) / [number of hours in the super-red time band in a year]) * 100 </w:t>
      </w:r>
    </w:p>
    <w:p w14:paraId="182BCF8C" w14:textId="77777777" w:rsidR="0041584B" w:rsidRDefault="0041584B" w:rsidP="0041584B">
      <w:pPr>
        <w:ind w:left="720"/>
        <w:jc w:val="both"/>
      </w:pPr>
      <w:r>
        <w:t xml:space="preserve">[p/kVA/day capacity charge] = ([local charge 1 £/kVA/year] </w:t>
      </w:r>
      <w:proofErr w:type="gramStart"/>
      <w:r>
        <w:t>/[</w:t>
      </w:r>
      <w:proofErr w:type="gramEnd"/>
      <w:r>
        <w:t xml:space="preserve">days in Charging Year])*100 </w:t>
      </w:r>
    </w:p>
    <w:p w14:paraId="63C5FB1C" w14:textId="77777777" w:rsidR="0041584B" w:rsidRDefault="0041584B" w:rsidP="0041584B">
      <w:pPr>
        <w:ind w:left="720"/>
        <w:jc w:val="both"/>
      </w:pPr>
      <w:r>
        <w:t>Where:</w:t>
      </w:r>
    </w:p>
    <w:p w14:paraId="3D3F50EE" w14:textId="77777777" w:rsidR="0041584B" w:rsidRDefault="0041584B" w:rsidP="0041584B">
      <w:pPr>
        <w:ind w:left="720"/>
        <w:jc w:val="both"/>
      </w:pPr>
      <w:r>
        <w:t>PF is the power factor of the flow at the point at which the customer is attached in the maximum demand scenario.  This is calculated as - [Active power flow] / (</w:t>
      </w:r>
      <w:proofErr w:type="gramStart"/>
      <w:r>
        <w:t>SQRT(</w:t>
      </w:r>
      <w:proofErr w:type="gramEnd"/>
      <w:r>
        <w:t>[Active power flow]^2 + [Reactive power flow]^2).   If either the numerator or denominator in calculation of the power factor is zero, the PF is replaced with 1. If the active power flow is generation-dominated</w:t>
      </w:r>
      <w:ins w:id="77" w:author="Hollie Nicholls" w:date="2020-01-14T18:19:00Z">
        <w:r>
          <w:t xml:space="preserve"> (i.e. positive)</w:t>
        </w:r>
      </w:ins>
      <w:r>
        <w:t>, then PF is replaced with 1.</w:t>
      </w:r>
    </w:p>
    <w:p w14:paraId="41107DE6" w14:textId="77777777" w:rsidR="0041584B" w:rsidRDefault="0041584B" w:rsidP="0041584B">
      <w:pPr>
        <w:pStyle w:val="Heading2"/>
      </w:pPr>
      <w:ins w:id="78" w:author="Hollie Nicholls" w:date="2020-01-14T18:19:00Z">
        <w:r>
          <w:t xml:space="preserve">A Connectee can be assigned to a cluster of up to 11 linked locations. </w:t>
        </w:r>
      </w:ins>
      <w:r>
        <w:t>If the Connectee is attached to a cluster of linked locations, the sums of active power flows and reactive power flows at each location are used to calculate PF.</w:t>
      </w:r>
      <w:ins w:id="79" w:author="Hollie Nicholls" w:date="2020-01-14T18:20:00Z">
        <w:r>
          <w:t xml:space="preserve"> If the sum of active power flows is generation-dominated (i.e. positive), then PF is replaced with 1.</w:t>
        </w:r>
      </w:ins>
    </w:p>
    <w:p w14:paraId="30BAA650" w14:textId="77777777" w:rsidR="0041584B" w:rsidRPr="005469F9" w:rsidRDefault="0041584B" w:rsidP="0041584B">
      <w:pPr>
        <w:pStyle w:val="Heading2"/>
      </w:pPr>
      <w:r w:rsidRPr="005469F9">
        <w:t>Charge 1 is applied to export charges as a credit.  The credit is expressed as a negative charge rate in p/kWh and is applied in respect of active power units exported during the DNO Party’s super-red time band. The credit rate is set to zero for Connectees who are assigned an F Factor of zero. The credit rate is calculated as follows:</w:t>
      </w:r>
    </w:p>
    <w:p w14:paraId="038B2907" w14:textId="77777777" w:rsidR="0041584B" w:rsidRDefault="0041584B" w:rsidP="0041584B">
      <w:pPr>
        <w:ind w:left="720"/>
        <w:jc w:val="both"/>
      </w:pPr>
      <w:r>
        <w:lastRenderedPageBreak/>
        <w:t>[p/kWh super-red export rate] = -100*[Proportion eligible for charge 1 credits]*([local charge 1 £/kVA/year] + [remote charge 1 £/kVA/year]) * ([Chargeable export capacity]/[Maximum export capacity]) /[number of hours in the super-red time band]</w:t>
      </w:r>
    </w:p>
    <w:p w14:paraId="0CB19C7B" w14:textId="77777777" w:rsidR="0041584B" w:rsidRDefault="0041584B" w:rsidP="0041584B">
      <w:pPr>
        <w:ind w:left="720"/>
        <w:jc w:val="both"/>
      </w:pPr>
      <w:r>
        <w:t>Where:</w:t>
      </w:r>
    </w:p>
    <w:p w14:paraId="14CCD13C" w14:textId="77777777" w:rsidR="0041584B" w:rsidRDefault="0041584B" w:rsidP="0041584B">
      <w:pPr>
        <w:ind w:left="720"/>
        <w:jc w:val="both"/>
      </w:pPr>
      <w:r>
        <w:t>The proportion eligible for charge 1 credits is zero if the F factor that is assigned to the Connectee as described in the LRIC methodology is equal to zero, and 1 otherwise.</w:t>
      </w:r>
    </w:p>
    <w:p w14:paraId="1083A744" w14:textId="77777777" w:rsidR="0041584B" w:rsidRDefault="0041584B" w:rsidP="0041584B">
      <w:pPr>
        <w:ind w:left="720"/>
        <w:jc w:val="both"/>
      </w:pPr>
      <w:r>
        <w:t>The super-red export rate is not applied to Connectees with zero Chargeable Export Capacity.</w:t>
      </w:r>
    </w:p>
    <w:p w14:paraId="25B4A596" w14:textId="77777777" w:rsidR="0041584B" w:rsidRPr="005469F9" w:rsidRDefault="0041584B" w:rsidP="0041584B">
      <w:pPr>
        <w:pStyle w:val="Heading1"/>
      </w:pPr>
      <w:bookmarkStart w:id="80" w:name="_Toc289363391"/>
      <w:bookmarkStart w:id="81" w:name="_Toc320876072"/>
      <w:bookmarkStart w:id="82" w:name="_Toc320876695"/>
      <w:bookmarkStart w:id="83" w:name="_Toc325449909"/>
      <w:bookmarkStart w:id="84" w:name="_Toc339284553"/>
      <w:bookmarkStart w:id="85" w:name="_Toc360027725"/>
      <w:bookmarkStart w:id="86" w:name="_Toc360028079"/>
      <w:bookmarkStart w:id="87" w:name="_Toc391559938"/>
      <w:bookmarkStart w:id="88" w:name="_Toc510303058"/>
      <w:bookmarkStart w:id="89" w:name="_Toc513018472"/>
      <w:bookmarkStart w:id="90" w:name="_Toc518333657"/>
      <w:bookmarkStart w:id="91" w:name="_Toc527908513"/>
      <w:r w:rsidRPr="005469F9">
        <w:t>No application of negative charges</w:t>
      </w:r>
      <w:bookmarkEnd w:id="80"/>
      <w:bookmarkEnd w:id="81"/>
      <w:bookmarkEnd w:id="82"/>
      <w:bookmarkEnd w:id="83"/>
      <w:bookmarkEnd w:id="84"/>
      <w:bookmarkEnd w:id="85"/>
      <w:bookmarkEnd w:id="86"/>
      <w:bookmarkEnd w:id="87"/>
      <w:bookmarkEnd w:id="88"/>
      <w:bookmarkEnd w:id="89"/>
      <w:bookmarkEnd w:id="90"/>
      <w:bookmarkEnd w:id="91"/>
    </w:p>
    <w:p w14:paraId="1E4122B7" w14:textId="77777777" w:rsidR="0041584B" w:rsidRPr="005469F9" w:rsidRDefault="0041584B" w:rsidP="0041584B">
      <w:pPr>
        <w:pStyle w:val="Heading2"/>
      </w:pPr>
      <w:r w:rsidRPr="005469F9">
        <w:t>Under LRIC, charge 1 can be negative at some locations.  Any negative values of Charge 1 (both local and remote) are set to zero.</w:t>
      </w:r>
    </w:p>
    <w:p w14:paraId="43DD9B4D" w14:textId="77777777" w:rsidR="0041584B" w:rsidRPr="005469F9" w:rsidRDefault="0041584B" w:rsidP="0041584B">
      <w:pPr>
        <w:pStyle w:val="Heading1"/>
      </w:pPr>
      <w:bookmarkStart w:id="92" w:name="_Toc289363392"/>
      <w:bookmarkStart w:id="93" w:name="_Toc320876073"/>
      <w:bookmarkStart w:id="94" w:name="_Toc320876696"/>
      <w:bookmarkStart w:id="95" w:name="_Toc325449910"/>
      <w:bookmarkStart w:id="96" w:name="_Toc339284554"/>
      <w:bookmarkStart w:id="97" w:name="_Toc360027726"/>
      <w:bookmarkStart w:id="98" w:name="_Toc360028080"/>
      <w:bookmarkStart w:id="99" w:name="_Toc391559939"/>
      <w:bookmarkStart w:id="100" w:name="_Toc510303059"/>
      <w:bookmarkStart w:id="101" w:name="_Toc513018473"/>
      <w:bookmarkStart w:id="102" w:name="_Toc518333658"/>
      <w:bookmarkStart w:id="103" w:name="_Toc527908514"/>
      <w:r w:rsidRPr="005469F9">
        <w:t>Demand side management (DSM)</w:t>
      </w:r>
      <w:bookmarkEnd w:id="92"/>
      <w:bookmarkEnd w:id="93"/>
      <w:bookmarkEnd w:id="94"/>
      <w:bookmarkEnd w:id="95"/>
      <w:bookmarkEnd w:id="96"/>
      <w:r w:rsidRPr="005469F9">
        <w:t xml:space="preserve"> and Generation side management (GSM)</w:t>
      </w:r>
      <w:bookmarkEnd w:id="97"/>
      <w:bookmarkEnd w:id="98"/>
      <w:bookmarkEnd w:id="99"/>
      <w:bookmarkEnd w:id="100"/>
      <w:bookmarkEnd w:id="101"/>
      <w:bookmarkEnd w:id="102"/>
      <w:bookmarkEnd w:id="103"/>
    </w:p>
    <w:p w14:paraId="279BA421" w14:textId="77777777" w:rsidR="0041584B" w:rsidRPr="005469F9" w:rsidRDefault="0041584B" w:rsidP="0041584B">
      <w:pPr>
        <w:pStyle w:val="Heading2"/>
      </w:pPr>
      <w:r w:rsidRPr="005469F9">
        <w:t xml:space="preserve">Some EDCM Customers are subject to demand side management (DSM) or generation side management (GSM) agreements.  </w:t>
      </w:r>
    </w:p>
    <w:p w14:paraId="18F44096" w14:textId="77777777" w:rsidR="0041584B" w:rsidRPr="005469F9" w:rsidRDefault="0041584B" w:rsidP="0041584B">
      <w:pPr>
        <w:pStyle w:val="Heading2"/>
      </w:pPr>
      <w:r w:rsidRPr="005469F9">
        <w:t xml:space="preserve">For Connectees with DSM agreements, let “chargeable capacity” be equal to the Maximum Import Capacity minus the capacity that is subject to restrictions under a DSM agreement. These restrictions would </w:t>
      </w:r>
      <w:proofErr w:type="gramStart"/>
      <w:r w:rsidRPr="005469F9">
        <w:t>take into account</w:t>
      </w:r>
      <w:proofErr w:type="gramEnd"/>
      <w:r w:rsidRPr="005469F9">
        <w:t xml:space="preserve"> any seasonal variations built into these agreements.  </w:t>
      </w:r>
    </w:p>
    <w:p w14:paraId="6D5E6F9D" w14:textId="77777777" w:rsidR="0041584B" w:rsidRPr="005469F9" w:rsidRDefault="0041584B" w:rsidP="0041584B">
      <w:pPr>
        <w:pStyle w:val="Heading2"/>
      </w:pPr>
      <w:r w:rsidRPr="005469F9">
        <w:t xml:space="preserve">For Connectees with DSM agreements, DSM-adjusted local and remote (or parent and grandparent) elements of the LRIC charge are calculated as the product of the ratio of “chargeable capacity” to Maximum Import Capacity and the unadjusted elements of the LRIC charge. Where the Maximum Import Capacity is zero, this ratio is set to 1. The DSM-adjusted local element of the LRIC charge 1 is applied to the </w:t>
      </w:r>
      <w:del w:id="104" w:author="Hollie Nicholls" w:date="2020-01-14T18:20:00Z">
        <w:r w:rsidRPr="005469F9" w:rsidDel="0041584B">
          <w:delText xml:space="preserve">Maximum </w:delText>
        </w:r>
      </w:del>
      <w:r w:rsidRPr="005469F9">
        <w:t>Import Capacity</w:t>
      </w:r>
      <w:ins w:id="105" w:author="Hollie Nicholls" w:date="2020-01-14T18:20:00Z">
        <w:r>
          <w:t xml:space="preserve"> charge</w:t>
        </w:r>
      </w:ins>
      <w:r w:rsidRPr="005469F9">
        <w:t xml:space="preserve">, and the DSM-adjusted remote </w:t>
      </w:r>
      <w:del w:id="106" w:author="Hollie Nicholls" w:date="2020-01-14T18:20:00Z">
        <w:r w:rsidRPr="005469F9" w:rsidDel="0041584B">
          <w:delText xml:space="preserve">(or parent and grandparent) </w:delText>
        </w:r>
      </w:del>
      <w:r w:rsidRPr="005469F9">
        <w:t xml:space="preserve">element of the LRIC charge 1 is applied to </w:t>
      </w:r>
      <w:del w:id="107" w:author="Hollie Nicholls" w:date="2020-01-14T18:21:00Z">
        <w:r w:rsidRPr="005469F9" w:rsidDel="0041584B">
          <w:delText xml:space="preserve">units consumed during </w:delText>
        </w:r>
      </w:del>
      <w:r w:rsidRPr="005469F9">
        <w:t>the super-red</w:t>
      </w:r>
      <w:ins w:id="108" w:author="Hollie Nicholls" w:date="2020-01-14T18:21:00Z">
        <w:r>
          <w:t xml:space="preserve"> unit rate</w:t>
        </w:r>
      </w:ins>
      <w:del w:id="109" w:author="Hollie Nicholls" w:date="2020-01-14T18:21:00Z">
        <w:r w:rsidRPr="005469F9" w:rsidDel="0041584B">
          <w:delText xml:space="preserve"> time band</w:delText>
        </w:r>
      </w:del>
      <w:r w:rsidRPr="005469F9">
        <w:t>.</w:t>
      </w:r>
    </w:p>
    <w:p w14:paraId="5AECD1EB" w14:textId="77777777" w:rsidR="0041584B" w:rsidRPr="005469F9" w:rsidRDefault="0041584B" w:rsidP="0041584B">
      <w:pPr>
        <w:pStyle w:val="Heading2"/>
      </w:pPr>
      <w:r w:rsidRPr="005469F9">
        <w:t>For Connectees with GSM agreements, no adjustments are made in the EDCM.</w:t>
      </w:r>
    </w:p>
    <w:p w14:paraId="4A3E1630" w14:textId="77777777" w:rsidR="0041584B" w:rsidRPr="005469F9" w:rsidRDefault="0041584B" w:rsidP="0041584B">
      <w:pPr>
        <w:pStyle w:val="Heading1"/>
      </w:pPr>
      <w:bookmarkStart w:id="110" w:name="_Toc360027727"/>
      <w:bookmarkStart w:id="111" w:name="_Toc360028081"/>
      <w:bookmarkStart w:id="112" w:name="_Toc391559940"/>
      <w:bookmarkStart w:id="113" w:name="_Toc510303060"/>
      <w:bookmarkStart w:id="114" w:name="_Toc513018474"/>
      <w:bookmarkStart w:id="115" w:name="_Toc518333659"/>
      <w:bookmarkStart w:id="116" w:name="_Toc527908515"/>
      <w:bookmarkStart w:id="117" w:name="_Toc289363393"/>
      <w:bookmarkStart w:id="118" w:name="_Toc320876074"/>
      <w:bookmarkStart w:id="119" w:name="_Toc320876697"/>
      <w:bookmarkStart w:id="120" w:name="_Toc325449911"/>
      <w:bookmarkStart w:id="121" w:name="_Toc339284555"/>
      <w:r w:rsidRPr="005469F9">
        <w:lastRenderedPageBreak/>
        <w:t>Transmission connection (exit) charges for demand</w:t>
      </w:r>
      <w:bookmarkEnd w:id="110"/>
      <w:bookmarkEnd w:id="111"/>
      <w:bookmarkEnd w:id="112"/>
      <w:bookmarkEnd w:id="113"/>
      <w:bookmarkEnd w:id="114"/>
      <w:bookmarkEnd w:id="115"/>
      <w:bookmarkEnd w:id="116"/>
      <w:r w:rsidRPr="005469F9">
        <w:t xml:space="preserve"> </w:t>
      </w:r>
      <w:bookmarkEnd w:id="117"/>
      <w:bookmarkEnd w:id="118"/>
      <w:bookmarkEnd w:id="119"/>
      <w:bookmarkEnd w:id="120"/>
      <w:bookmarkEnd w:id="121"/>
    </w:p>
    <w:p w14:paraId="4AE605E8" w14:textId="77777777" w:rsidR="0041584B" w:rsidRPr="005469F9" w:rsidRDefault="0041584B" w:rsidP="0041584B">
      <w:pPr>
        <w:pStyle w:val="Heading2"/>
      </w:pPr>
      <w:r w:rsidRPr="005469F9">
        <w:t xml:space="preserve">A separate transmission exit charge is applied to demand tariffs.  </w:t>
      </w:r>
    </w:p>
    <w:p w14:paraId="757D6048" w14:textId="77777777" w:rsidR="0041584B" w:rsidRPr="005469F9" w:rsidRDefault="0041584B" w:rsidP="0041584B">
      <w:pPr>
        <w:pStyle w:val="Heading2"/>
      </w:pPr>
      <w:r w:rsidRPr="005469F9">
        <w:t>A single charging rate, in p/kW/day is calculated as follows:</w:t>
      </w:r>
    </w:p>
    <w:p w14:paraId="65E3A38A" w14:textId="77777777" w:rsidR="0041584B" w:rsidRDefault="0041584B" w:rsidP="0041584B">
      <w:pPr>
        <w:ind w:left="720"/>
        <w:jc w:val="both"/>
      </w:pPr>
      <w:r>
        <w:t xml:space="preserve">Transmission exit charging rate p/kW/day = 100 / DC * NETSO charge / (CDCM system maximum load + total EDCM peak time consumption)  </w:t>
      </w:r>
    </w:p>
    <w:p w14:paraId="6905C8DC" w14:textId="77777777" w:rsidR="0041584B" w:rsidRDefault="0041584B" w:rsidP="0041584B">
      <w:pPr>
        <w:ind w:left="720"/>
        <w:jc w:val="both"/>
      </w:pPr>
      <w:r>
        <w:t>Where:</w:t>
      </w:r>
    </w:p>
    <w:p w14:paraId="1DF7970F" w14:textId="77777777" w:rsidR="0041584B" w:rsidRDefault="0041584B" w:rsidP="0041584B">
      <w:pPr>
        <w:ind w:left="720"/>
        <w:jc w:val="both"/>
      </w:pPr>
      <w:r>
        <w:t>DC is the number of days in the Charging Year.</w:t>
      </w:r>
    </w:p>
    <w:p w14:paraId="3E6AECF2" w14:textId="77777777" w:rsidR="0041584B" w:rsidRDefault="0041584B" w:rsidP="0041584B">
      <w:pPr>
        <w:ind w:left="720"/>
        <w:jc w:val="both"/>
      </w:pPr>
      <w:r>
        <w:t>NETSO charge is the DNO Party’s forecast annual expenditure on transmission connection point charges in £.</w:t>
      </w:r>
    </w:p>
    <w:p w14:paraId="2710D93B" w14:textId="77777777" w:rsidR="0041584B" w:rsidRDefault="0041584B" w:rsidP="0041584B">
      <w:pPr>
        <w:ind w:left="720"/>
        <w:jc w:val="both"/>
      </w:pPr>
      <w:r>
        <w:t>CDCM system maximum load is the forecast system simultaneous maximum load from CDCM Connectees (in kW) from CDCM table 2506.</w:t>
      </w:r>
    </w:p>
    <w:p w14:paraId="4C6A73B1" w14:textId="77777777" w:rsidR="0041584B" w:rsidRDefault="0041584B" w:rsidP="0041584B">
      <w:pPr>
        <w:ind w:left="720"/>
        <w:jc w:val="both"/>
        <w:rPr>
          <w:ins w:id="122" w:author="Hollie Nicholls" w:date="2020-01-14T18:21:00Z"/>
        </w:rPr>
      </w:pPr>
      <w:r>
        <w:t>Total EDCM peak time consumption (in kW) calculated by multiplying</w:t>
      </w:r>
      <w:ins w:id="123" w:author="Hollie Nicholls" w:date="2020-01-14T18:21:00Z">
        <w:r>
          <w:t>:</w:t>
        </w:r>
      </w:ins>
    </w:p>
    <w:p w14:paraId="2AE51D2D" w14:textId="77777777" w:rsidR="0041584B" w:rsidRDefault="0041584B" w:rsidP="0041584B">
      <w:pPr>
        <w:ind w:left="720"/>
        <w:jc w:val="both"/>
        <w:rPr>
          <w:ins w:id="124" w:author="Hollie Nicholls" w:date="2020-01-14T18:22:00Z"/>
        </w:rPr>
      </w:pPr>
      <w:ins w:id="125" w:author="Hollie Nicholls" w:date="2020-01-14T18:21:00Z">
        <w:r>
          <w:t>(i)</w:t>
        </w:r>
      </w:ins>
      <w:r>
        <w:t xml:space="preserve"> the Maximum Import Capacity of each Connectee </w:t>
      </w:r>
      <w:ins w:id="126" w:author="Hollie Nicholls" w:date="2020-01-14T18:21:00Z">
        <w:r>
          <w:t>(if necessary adjusted for Conn</w:t>
        </w:r>
      </w:ins>
      <w:ins w:id="127" w:author="Hollie Nicholls" w:date="2020-01-14T18:22:00Z">
        <w:r>
          <w:t xml:space="preserve">ectees connected for part of the Charging Year by multiplying by the proportion of the year for which the Connectee is expected to be connected </w:t>
        </w:r>
      </w:ins>
      <w:r>
        <w:t>by</w:t>
      </w:r>
      <w:ins w:id="128" w:author="Hollie Nicholls" w:date="2020-01-14T18:22:00Z">
        <w:r>
          <w:t>;</w:t>
        </w:r>
      </w:ins>
    </w:p>
    <w:p w14:paraId="329D12F4" w14:textId="77777777" w:rsidR="0041584B" w:rsidRDefault="0041584B" w:rsidP="0041584B">
      <w:pPr>
        <w:ind w:left="720"/>
        <w:jc w:val="both"/>
      </w:pPr>
      <w:ins w:id="129" w:author="Hollie Nicholls" w:date="2020-01-14T18:22:00Z">
        <w:r>
          <w:t>(ii)</w:t>
        </w:r>
      </w:ins>
      <w:r>
        <w:t xml:space="preserve"> the forecast peak-time kW divided by forecast maximum kVA of that Connectee (adjusted for losses to transmission and, if necessary, for Connectees connected for part of the Charging Year) </w:t>
      </w:r>
      <w:ins w:id="130" w:author="Hollie Nicholls" w:date="2020-01-14T18:22:00Z">
        <w:r>
          <w:t>by multiplying by the proportion of the super-red peri</w:t>
        </w:r>
      </w:ins>
      <w:ins w:id="131" w:author="Hollie Nicholls" w:date="2020-01-14T18:23:00Z">
        <w:r>
          <w:t xml:space="preserve">od for which the Connectee is expected to be connected </w:t>
        </w:r>
      </w:ins>
      <w:r>
        <w:t>and aggregating across all EDCM Customer demand.</w:t>
      </w:r>
    </w:p>
    <w:p w14:paraId="4EECD8AE" w14:textId="77777777" w:rsidR="0041584B" w:rsidRDefault="0041584B" w:rsidP="0041584B">
      <w:pPr>
        <w:pStyle w:val="Heading2"/>
        <w:numPr>
          <w:ilvl w:val="0"/>
          <w:numId w:val="0"/>
        </w:numPr>
        <w:ind w:left="720"/>
      </w:pPr>
      <w:r w:rsidRPr="005469F9">
        <w:t xml:space="preserve">The single p/kW/day charging rate is converted into a p/kVA/day import </w:t>
      </w:r>
      <w:proofErr w:type="gramStart"/>
      <w:r w:rsidRPr="005469F9">
        <w:t>capacity based</w:t>
      </w:r>
      <w:proofErr w:type="gramEnd"/>
      <w:r w:rsidRPr="005469F9">
        <w:t xml:space="preserve"> charge for each EDCM Connectees as follows:</w:t>
      </w:r>
    </w:p>
    <w:p w14:paraId="6F417455" w14:textId="77777777" w:rsidR="0041584B" w:rsidRDefault="0041584B" w:rsidP="0041584B">
      <w:pPr>
        <w:ind w:left="720"/>
        <w:jc w:val="both"/>
      </w:pPr>
      <w:r w:rsidRPr="0031140C">
        <w:t>Transmission exit charge p/kVA/day = [Transmission exit charging rate in p/kW/</w:t>
      </w:r>
      <w:proofErr w:type="gramStart"/>
      <w:r w:rsidRPr="0031140C">
        <w:t>day ]</w:t>
      </w:r>
      <w:proofErr w:type="gramEnd"/>
      <w:r w:rsidRPr="0031140C">
        <w:t xml:space="preserve"> * [Forecast peak-time kW divided by kVA of that Connectee, adjusted for transmission losses and, if necessary for Connectees connected part of the year]  </w:t>
      </w:r>
      <w:r>
        <w:br w:type="page"/>
      </w:r>
    </w:p>
    <w:p w14:paraId="3D18DB03" w14:textId="77777777" w:rsidR="0041584B" w:rsidRPr="0031140C" w:rsidRDefault="0041584B" w:rsidP="0041584B">
      <w:pPr>
        <w:pStyle w:val="Heading1"/>
      </w:pPr>
      <w:bookmarkStart w:id="132" w:name="_Toc360027728"/>
      <w:bookmarkStart w:id="133" w:name="_Toc360028082"/>
      <w:bookmarkStart w:id="134" w:name="_Toc391559941"/>
      <w:bookmarkStart w:id="135" w:name="_Toc510303061"/>
      <w:bookmarkStart w:id="136" w:name="_Toc513018475"/>
      <w:bookmarkStart w:id="137" w:name="_Toc518333660"/>
      <w:bookmarkStart w:id="138" w:name="_Toc527908516"/>
      <w:r w:rsidRPr="0031140C">
        <w:lastRenderedPageBreak/>
        <w:t>Transmission connection (exit) credits for generators</w:t>
      </w:r>
      <w:bookmarkEnd w:id="132"/>
      <w:bookmarkEnd w:id="133"/>
      <w:bookmarkEnd w:id="134"/>
      <w:bookmarkEnd w:id="135"/>
      <w:bookmarkEnd w:id="136"/>
      <w:bookmarkEnd w:id="137"/>
      <w:bookmarkEnd w:id="138"/>
    </w:p>
    <w:p w14:paraId="7D96DEEC" w14:textId="77777777" w:rsidR="0041584B" w:rsidRPr="0031140C" w:rsidRDefault="0041584B" w:rsidP="0041584B">
      <w:pPr>
        <w:pStyle w:val="Heading2"/>
      </w:pPr>
      <w:r w:rsidRPr="0031140C">
        <w:t xml:space="preserve">A capacity-based credit related to transmission exit is applied to generation tariffs. </w:t>
      </w:r>
    </w:p>
    <w:p w14:paraId="1FF305F6" w14:textId="77777777" w:rsidR="0041584B" w:rsidRPr="0031140C" w:rsidRDefault="0041584B" w:rsidP="0041584B">
      <w:pPr>
        <w:pStyle w:val="Heading2"/>
      </w:pPr>
      <w:r w:rsidRPr="0031140C">
        <w:t xml:space="preserve">Transmission exit credits are paid to generators that have an agreement with the DNO, the terms of which require the generator, for the purposes of P2/6 compliance, to export power during </w:t>
      </w:r>
      <w:proofErr w:type="spellStart"/>
      <w:r w:rsidRPr="0031140C">
        <w:t>supergrid</w:t>
      </w:r>
      <w:proofErr w:type="spellEnd"/>
      <w:r w:rsidRPr="0031140C">
        <w:t xml:space="preserve"> transformer (SGT) outage conditions.</w:t>
      </w:r>
    </w:p>
    <w:p w14:paraId="49387C84" w14:textId="77777777" w:rsidR="0041584B" w:rsidRDefault="0041584B" w:rsidP="0041584B">
      <w:pPr>
        <w:pStyle w:val="Heading2"/>
      </w:pPr>
      <w:r w:rsidRPr="00346DAB">
        <w:t>The rate in p/kVA/day for each generation customer would be calculated as follows:</w:t>
      </w:r>
    </w:p>
    <w:p w14:paraId="170DBF1A" w14:textId="77777777" w:rsidR="0041584B" w:rsidRDefault="0041584B" w:rsidP="0041584B">
      <w:pPr>
        <w:ind w:left="720"/>
        <w:jc w:val="both"/>
      </w:pPr>
      <w:r>
        <w:t xml:space="preserve">Transmission exit credit p/kVA/day = </w:t>
      </w:r>
      <w:proofErr w:type="gramStart"/>
      <w:r>
        <w:t>-[</w:t>
      </w:r>
      <w:proofErr w:type="gramEnd"/>
      <w:r>
        <w:t xml:space="preserve">Transmission exit charging rate in p/kW/day] * [Capacity eligible for credits in kW] / [Chargeable Export Capacity in kVA of that Connectee]  </w:t>
      </w:r>
    </w:p>
    <w:p w14:paraId="0569188C" w14:textId="77777777" w:rsidR="0041584B" w:rsidRDefault="0041584B" w:rsidP="0041584B">
      <w:pPr>
        <w:ind w:left="720"/>
        <w:jc w:val="both"/>
      </w:pPr>
      <w:r>
        <w:t>Where:</w:t>
      </w:r>
    </w:p>
    <w:p w14:paraId="2BDF6D01" w14:textId="77777777" w:rsidR="0041584B" w:rsidRDefault="0041584B" w:rsidP="0041584B">
      <w:pPr>
        <w:ind w:left="720"/>
        <w:jc w:val="both"/>
      </w:pPr>
      <w:r>
        <w:t>Transmission exit charging rate in p/kW/day is calculated as described for demand tariffs.</w:t>
      </w:r>
    </w:p>
    <w:p w14:paraId="35659768" w14:textId="77777777" w:rsidR="0041584B" w:rsidRDefault="0041584B" w:rsidP="0041584B">
      <w:pPr>
        <w:ind w:left="720"/>
        <w:jc w:val="both"/>
      </w:pPr>
      <w:r>
        <w:t>Capacity eligible for credits (in kW) is the capacity that is made available by the generator under the agreement with the DNO</w:t>
      </w:r>
      <w:ins w:id="139" w:author="Hollie Nicholls" w:date="2020-01-14T18:23:00Z">
        <w:r>
          <w:t>, if necessary adjusted for Connectees connected for part of the year by multiplying by the proportion of the year for which the Connectee is expected to be connected</w:t>
        </w:r>
      </w:ins>
      <w:r>
        <w:t>.</w:t>
      </w:r>
    </w:p>
    <w:p w14:paraId="156E34AB" w14:textId="77777777" w:rsidR="0041584B" w:rsidRDefault="0041584B" w:rsidP="0041584B">
      <w:pPr>
        <w:ind w:left="720"/>
        <w:jc w:val="both"/>
      </w:pPr>
      <w:r>
        <w:t>Chargeable Export Capacity (in kVA) is the forecast average value of the maximum export capacity of the generator over the charging year, less any capacity that is exempt from use of system charges in the charging year</w:t>
      </w:r>
      <w:ins w:id="140" w:author="Hollie Nicholls" w:date="2020-01-14T18:24:00Z">
        <w:r>
          <w:t>, if necessary adjusted for Connectees connected for part of the year for which the Connectee is expected to be connected</w:t>
        </w:r>
      </w:ins>
      <w:r>
        <w:t>.</w:t>
      </w:r>
    </w:p>
    <w:p w14:paraId="3FE74D54" w14:textId="77777777" w:rsidR="0041584B" w:rsidRDefault="0041584B" w:rsidP="0041584B">
      <w:pPr>
        <w:pStyle w:val="Heading2"/>
      </w:pPr>
      <w:r>
        <w:t>The generation transmission connection (exit) rate is not calculated for Connectees with zero Chargeable Export Capacity.</w:t>
      </w:r>
    </w:p>
    <w:p w14:paraId="278E54C0" w14:textId="77777777" w:rsidR="0041584B" w:rsidRDefault="0041584B" w:rsidP="0041584B">
      <w:pPr>
        <w:pStyle w:val="Heading2"/>
      </w:pPr>
      <w:r w:rsidRPr="0031140C">
        <w:t>Transmission connection (exit) credits are applied to the Chargeable Export Capacity (in kVA)</w:t>
      </w:r>
      <w:r>
        <w:br w:type="page"/>
      </w:r>
    </w:p>
    <w:p w14:paraId="1A561D4C" w14:textId="77777777" w:rsidR="0041584B" w:rsidRDefault="0041584B" w:rsidP="0041584B">
      <w:pPr>
        <w:pStyle w:val="Heading1"/>
      </w:pPr>
      <w:bookmarkStart w:id="141" w:name="_Toc360027729"/>
      <w:bookmarkStart w:id="142" w:name="_Toc360028083"/>
      <w:bookmarkStart w:id="143" w:name="_Toc391559942"/>
      <w:bookmarkStart w:id="144" w:name="_Toc510303062"/>
      <w:bookmarkStart w:id="145" w:name="_Toc513018476"/>
      <w:bookmarkStart w:id="146" w:name="_Toc518333661"/>
      <w:bookmarkStart w:id="147" w:name="_Toc527908517"/>
      <w:r>
        <w:lastRenderedPageBreak/>
        <w:t>Reactive power charges</w:t>
      </w:r>
      <w:bookmarkEnd w:id="141"/>
      <w:bookmarkEnd w:id="142"/>
      <w:bookmarkEnd w:id="143"/>
      <w:bookmarkEnd w:id="144"/>
      <w:bookmarkEnd w:id="145"/>
      <w:bookmarkEnd w:id="146"/>
      <w:bookmarkEnd w:id="147"/>
    </w:p>
    <w:p w14:paraId="74AEB463" w14:textId="77777777" w:rsidR="0041584B" w:rsidRDefault="0041584B" w:rsidP="0041584B">
      <w:pPr>
        <w:pStyle w:val="Heading2"/>
      </w:pPr>
      <w:r>
        <w:t xml:space="preserve">The EDCM does not include a separate charge component for any reactive power flows. </w:t>
      </w:r>
    </w:p>
    <w:p w14:paraId="6D4B3A9D" w14:textId="77777777" w:rsidR="0041584B" w:rsidRDefault="0041584B" w:rsidP="0041584B">
      <w:pPr>
        <w:pStyle w:val="Heading1"/>
      </w:pPr>
      <w:bookmarkStart w:id="148" w:name="_Toc360027730"/>
      <w:bookmarkStart w:id="149" w:name="_Toc360028084"/>
      <w:bookmarkStart w:id="150" w:name="_Toc391559943"/>
      <w:bookmarkStart w:id="151" w:name="_Toc510303063"/>
      <w:bookmarkStart w:id="152" w:name="_Toc513018477"/>
      <w:bookmarkStart w:id="153" w:name="_Toc518333662"/>
      <w:bookmarkStart w:id="154" w:name="_Toc527908518"/>
      <w:r>
        <w:t>Export capacity charges</w:t>
      </w:r>
      <w:bookmarkEnd w:id="148"/>
      <w:bookmarkEnd w:id="149"/>
      <w:bookmarkEnd w:id="150"/>
      <w:bookmarkEnd w:id="151"/>
      <w:bookmarkEnd w:id="152"/>
      <w:bookmarkEnd w:id="153"/>
      <w:bookmarkEnd w:id="154"/>
    </w:p>
    <w:p w14:paraId="7A149497" w14:textId="77777777" w:rsidR="0041584B" w:rsidRDefault="0041584B" w:rsidP="0041584B">
      <w:pPr>
        <w:pStyle w:val="Heading2"/>
      </w:pPr>
      <w:r>
        <w:t>The EDCM includes an export capacity charge.</w:t>
      </w:r>
    </w:p>
    <w:p w14:paraId="029552EE" w14:textId="77777777" w:rsidR="0041584B" w:rsidRDefault="0041584B" w:rsidP="0041584B">
      <w:pPr>
        <w:pStyle w:val="Heading2"/>
      </w:pPr>
      <w:r w:rsidRPr="00C041C8">
        <w:t>First, an EDCM generation revenue target would be calculated as follows:</w:t>
      </w:r>
    </w:p>
    <w:p w14:paraId="359B217E" w14:textId="77777777" w:rsidR="0041584B" w:rsidRDefault="0041584B" w:rsidP="0041584B">
      <w:pPr>
        <w:pStyle w:val="Heading2"/>
      </w:pPr>
      <w:r>
        <w:t xml:space="preserve">EDCM DG revenue target £/year = GL * [Total 2005-2010 EDCM generation capacity] / ([Total 2005–2010 EDCM generation capacity] + [Total 2005–2010 CDCM generation capacity]) + </w:t>
      </w:r>
      <w:proofErr w:type="spellStart"/>
      <w:r>
        <w:t>AGPa</w:t>
      </w:r>
      <w:proofErr w:type="spellEnd"/>
      <w:r>
        <w:t xml:space="preserve"> * [Total post–2010 EDCM generation capacity] / ([Total post–2010 EDCM generation capacity] + [Total post–2010 CDCM generation capacity]) + (OM * ([Total Pre–2005 EDCM DG capacity] + [Total Post–2010 EDCM DG capacity]))</w:t>
      </w:r>
    </w:p>
    <w:p w14:paraId="1B60BEFC" w14:textId="77777777" w:rsidR="0041584B" w:rsidRDefault="0041584B" w:rsidP="0041584B">
      <w:pPr>
        <w:ind w:left="720"/>
        <w:jc w:val="both"/>
      </w:pPr>
      <w:r>
        <w:t>Where:</w:t>
      </w:r>
    </w:p>
    <w:p w14:paraId="698B9CB7" w14:textId="77777777" w:rsidR="0041584B" w:rsidRDefault="0041584B" w:rsidP="0041584B">
      <w:pPr>
        <w:ind w:left="720"/>
        <w:jc w:val="both"/>
      </w:pPr>
      <w:r>
        <w:t xml:space="preserve">GL is the incentive revenue in the charging year in respect of generation connected between 2005 and 2010 calculated for the charging year as in paragraph 11.10 of the Special Conditions of the Electricity Distribution Licence (CRC11). </w:t>
      </w:r>
      <w:r w:rsidRPr="00BB484E">
        <w:t>From and including Regulatory Year 2015/2016 GL is zero.</w:t>
      </w:r>
    </w:p>
    <w:p w14:paraId="2C080A26" w14:textId="77777777" w:rsidR="0041584B" w:rsidRDefault="0041584B" w:rsidP="0041584B">
      <w:pPr>
        <w:ind w:left="720"/>
        <w:jc w:val="both"/>
      </w:pPr>
      <w:proofErr w:type="spellStart"/>
      <w:r>
        <w:t>AGPa</w:t>
      </w:r>
      <w:proofErr w:type="spellEnd"/>
      <w:r>
        <w:t xml:space="preserve"> is the average of the values of </w:t>
      </w:r>
      <w:proofErr w:type="spellStart"/>
      <w:r>
        <w:t>GPa</w:t>
      </w:r>
      <w:proofErr w:type="spellEnd"/>
      <w:r>
        <w:t xml:space="preserve"> for the charging year and each of the two years immediately preceding the charging year.  </w:t>
      </w:r>
      <w:r w:rsidRPr="00BB484E">
        <w:t xml:space="preserve">For Regulatory Year 2014/2015 </w:t>
      </w:r>
      <w:proofErr w:type="spellStart"/>
      <w:r w:rsidRPr="00BB484E">
        <w:t>GPa</w:t>
      </w:r>
      <w:proofErr w:type="spellEnd"/>
      <w:r w:rsidRPr="00BB484E">
        <w:t xml:space="preserve"> is calculated using a modified version of the formula in paragraph 11.6 of the Electricity Distribution Licence (CRC11) resulting from DPCR5.</w:t>
      </w:r>
      <w:r>
        <w:t xml:space="preserve"> To calculate </w:t>
      </w:r>
      <w:proofErr w:type="spellStart"/>
      <w:r>
        <w:t>GPa</w:t>
      </w:r>
      <w:proofErr w:type="spellEnd"/>
      <w:r>
        <w:t>, the term GPX is replaced by the term GPS in the formula in paragraph 11.6.  Both GPX and GPS are defined in paragraph 11.7 of the same document.</w:t>
      </w:r>
      <w:r w:rsidRPr="00BB484E">
        <w:t xml:space="preserve"> For Regulatory Years 2015/16 onwards </w:t>
      </w:r>
      <w:proofErr w:type="spellStart"/>
      <w:r w:rsidRPr="00BB484E">
        <w:t>GPa</w:t>
      </w:r>
      <w:proofErr w:type="spellEnd"/>
      <w:r w:rsidRPr="00BB484E">
        <w:t xml:space="preserve"> is zero.</w:t>
      </w:r>
    </w:p>
    <w:p w14:paraId="4B7A1C56" w14:textId="77777777" w:rsidR="0041584B" w:rsidRDefault="0041584B" w:rsidP="0041584B">
      <w:pPr>
        <w:ind w:left="720"/>
        <w:jc w:val="both"/>
      </w:pPr>
      <w:r>
        <w:t xml:space="preserve">Total Pre-2005 EDCM DG capacity is the aggregate maximum export capacity of all non-exempt EDCM generators that connected before 1 April 2005, adjusted </w:t>
      </w:r>
      <w:ins w:id="155" w:author="Hollie Nicholls" w:date="2020-01-14T18:24:00Z">
        <w:r>
          <w:t>by multiplying by the proportion of the year for which the generator</w:t>
        </w:r>
      </w:ins>
      <w:ins w:id="156" w:author="Hollie Nicholls" w:date="2020-01-14T18:25:00Z">
        <w:r>
          <w:t xml:space="preserve"> is expected to be connected </w:t>
        </w:r>
      </w:ins>
      <w:r>
        <w:t xml:space="preserve">for part-year connected generators.  In the case of generators that have </w:t>
      </w:r>
      <w:r>
        <w:lastRenderedPageBreak/>
        <w:t xml:space="preserve">subsequently increased their maximum export capacity, the part of their capacity that was added after 1 April 2005 would be ignored. </w:t>
      </w:r>
    </w:p>
    <w:p w14:paraId="269DE27D" w14:textId="77777777" w:rsidR="0041584B" w:rsidRDefault="0041584B" w:rsidP="0041584B">
      <w:pPr>
        <w:ind w:left="720"/>
        <w:jc w:val="both"/>
      </w:pPr>
      <w:r>
        <w:t xml:space="preserve">Total 2005–2010 EDCM generation capacity is the sum of the maximum export capacities of all non-exempt EDCM generators that connected between 1 April 2005 and 31 March 2010, adjusted </w:t>
      </w:r>
      <w:ins w:id="157" w:author="Hollie Nicholls" w:date="2020-01-14T18:25:00Z">
        <w:r>
          <w:t xml:space="preserve">by multiplying by the proportion of the year for which the generator is expected to be connected </w:t>
        </w:r>
      </w:ins>
      <w:r>
        <w:t>for part-year connected generators.</w:t>
      </w:r>
    </w:p>
    <w:p w14:paraId="1206A7AF" w14:textId="77777777" w:rsidR="0041584B" w:rsidRDefault="0041584B" w:rsidP="0041584B">
      <w:pPr>
        <w:ind w:left="720"/>
        <w:jc w:val="both"/>
      </w:pPr>
      <w:r>
        <w:t xml:space="preserve">Total Post–2010 EDCM generation capacity is the sum of the maximum export capacities of all non-exempt EDCM generators that connected on or after 1 April 2010, adjusted </w:t>
      </w:r>
      <w:ins w:id="158" w:author="Hollie Nicholls" w:date="2020-01-14T18:25:00Z">
        <w:r>
          <w:t xml:space="preserve">by multiplying by the proportion of the year for which the generator is expected to be connected </w:t>
        </w:r>
      </w:ins>
      <w:r>
        <w:t>for part-year connected generators. In the case of generators that originally connected before 1 April 2010 and have increased their maximum export capacity on or after 1 April 2010, the capacity that was added after 1 April 2010 should be included.</w:t>
      </w:r>
    </w:p>
    <w:p w14:paraId="245BA8FC" w14:textId="77777777" w:rsidR="0041584B" w:rsidRDefault="0041584B" w:rsidP="0041584B">
      <w:pPr>
        <w:ind w:left="720"/>
        <w:jc w:val="both"/>
      </w:pPr>
      <w:r>
        <w:t xml:space="preserve">Total 2005–2010 CDCM generation capacity is the sum of the maximum export capacities of all non-exempt CDCM generators that connected between 1 April 2005 and 31 March 2010, adjusted </w:t>
      </w:r>
      <w:ins w:id="159" w:author="Hollie Nicholls" w:date="2020-01-14T18:26:00Z">
        <w:r>
          <w:t xml:space="preserve">by multiplying by the proportion of the year for which the generator is expected to be connected </w:t>
        </w:r>
      </w:ins>
      <w:r>
        <w:t>for part-year connected generators.</w:t>
      </w:r>
    </w:p>
    <w:p w14:paraId="6B6E9F2A" w14:textId="77777777" w:rsidR="0041584B" w:rsidRDefault="0041584B" w:rsidP="0041584B">
      <w:pPr>
        <w:ind w:left="720"/>
        <w:jc w:val="both"/>
      </w:pPr>
      <w:r>
        <w:t xml:space="preserve">Total Post–2010 CDCM generation capacity is the sum of the maximum export capacities of all non-exempt CDCM generators that connected on or after 1 April 2010, adjusted </w:t>
      </w:r>
      <w:ins w:id="160" w:author="Hollie Nicholls" w:date="2020-01-14T18:26:00Z">
        <w:r>
          <w:t xml:space="preserve">by multiplying by the proportion of the year for which the generators is expected to be connected </w:t>
        </w:r>
      </w:ins>
      <w:r>
        <w:t>for part-year connected generators.</w:t>
      </w:r>
    </w:p>
    <w:p w14:paraId="0DDD0360" w14:textId="77777777" w:rsidR="0041584B" w:rsidRDefault="0041584B" w:rsidP="0041584B">
      <w:pPr>
        <w:pStyle w:val="Heading2"/>
      </w:pPr>
      <w:r>
        <w:t>OM is an allowance in £/kW in respect of the operational and maintenance costs for assets that are deemed to have been installed for the purposes of connecting generators to the distribution network.  The value of OM is set to £0.20/kW.</w:t>
      </w:r>
    </w:p>
    <w:p w14:paraId="72D729C0" w14:textId="77777777" w:rsidR="0041584B" w:rsidRPr="0031140C" w:rsidRDefault="0041584B" w:rsidP="0041584B">
      <w:pPr>
        <w:pStyle w:val="Heading2"/>
      </w:pPr>
      <w:r w:rsidRPr="0031140C">
        <w:t>A fixed export capacity charge in p/kVA/day is calculated as follows:</w:t>
      </w:r>
    </w:p>
    <w:p w14:paraId="4369AD93" w14:textId="77777777" w:rsidR="0041584B" w:rsidRDefault="0041584B" w:rsidP="0041584B">
      <w:pPr>
        <w:ind w:left="720"/>
        <w:jc w:val="both"/>
      </w:pPr>
      <w:r>
        <w:t>Fixed export capacity charge in p/kVA/day = (100 / DC) * [EDCM DG revenue target] / [Total EDCM generation capacity]</w:t>
      </w:r>
    </w:p>
    <w:p w14:paraId="4834BFF0" w14:textId="77777777" w:rsidR="0041584B" w:rsidRDefault="0041584B" w:rsidP="0041584B">
      <w:pPr>
        <w:ind w:left="720"/>
        <w:jc w:val="both"/>
      </w:pPr>
      <w:r>
        <w:t>Where:</w:t>
      </w:r>
    </w:p>
    <w:p w14:paraId="2AB4245E" w14:textId="77777777" w:rsidR="0041584B" w:rsidRDefault="0041584B" w:rsidP="0041584B">
      <w:pPr>
        <w:ind w:left="720"/>
        <w:jc w:val="both"/>
      </w:pPr>
      <w:r>
        <w:lastRenderedPageBreak/>
        <w:t>EDCM DG revenue target in £/year is calculated as described above</w:t>
      </w:r>
    </w:p>
    <w:p w14:paraId="5BE3FD3E" w14:textId="77777777" w:rsidR="0041584B" w:rsidRDefault="0041584B" w:rsidP="0041584B">
      <w:pPr>
        <w:ind w:left="720"/>
        <w:jc w:val="both"/>
      </w:pPr>
      <w:r>
        <w:t xml:space="preserve">Total EDCM generation capacity (in kVA) is the aggregate Chargeable Export Capacity of all Connectees, adjusted, if </w:t>
      </w:r>
      <w:proofErr w:type="gramStart"/>
      <w:r>
        <w:t>necessary</w:t>
      </w:r>
      <w:proofErr w:type="gramEnd"/>
      <w:r>
        <w:t xml:space="preserve"> for Connectees connected part of the year.</w:t>
      </w:r>
    </w:p>
    <w:p w14:paraId="54771E38" w14:textId="77777777" w:rsidR="0041584B" w:rsidRDefault="0041584B" w:rsidP="0041584B">
      <w:pPr>
        <w:pStyle w:val="Heading2"/>
      </w:pPr>
      <w:r>
        <w:t>The fixed export capacity charge in p/kVA/day is applied to the Chargeable Export Capacity of each EDCM Connectee.</w:t>
      </w:r>
    </w:p>
    <w:p w14:paraId="78CF3D5B" w14:textId="77777777" w:rsidR="0041584B" w:rsidRPr="0031140C" w:rsidRDefault="0041584B" w:rsidP="0041584B">
      <w:pPr>
        <w:pStyle w:val="Heading1"/>
      </w:pPr>
      <w:bookmarkStart w:id="161" w:name="_Toc320876076"/>
      <w:bookmarkStart w:id="162" w:name="_Toc320876699"/>
      <w:bookmarkStart w:id="163" w:name="_Toc325449913"/>
      <w:bookmarkStart w:id="164" w:name="_Toc339284557"/>
      <w:bookmarkStart w:id="165" w:name="_Toc360027731"/>
      <w:bookmarkStart w:id="166" w:name="_Toc360028085"/>
      <w:bookmarkStart w:id="167" w:name="_Toc391559944"/>
      <w:bookmarkStart w:id="168" w:name="_Toc510303064"/>
      <w:bookmarkStart w:id="169" w:name="_Toc513018478"/>
      <w:bookmarkStart w:id="170" w:name="_Toc518333663"/>
      <w:bookmarkStart w:id="171" w:name="_Toc527908519"/>
      <w:r w:rsidRPr="0031140C">
        <w:t>Allocation drivers for other charge elements in the EDCM</w:t>
      </w:r>
      <w:bookmarkEnd w:id="161"/>
      <w:bookmarkEnd w:id="162"/>
      <w:bookmarkEnd w:id="163"/>
      <w:bookmarkEnd w:id="164"/>
      <w:bookmarkEnd w:id="165"/>
      <w:bookmarkEnd w:id="166"/>
      <w:bookmarkEnd w:id="167"/>
      <w:bookmarkEnd w:id="168"/>
      <w:bookmarkEnd w:id="169"/>
      <w:bookmarkEnd w:id="170"/>
      <w:bookmarkEnd w:id="171"/>
    </w:p>
    <w:p w14:paraId="4171C54B" w14:textId="77777777" w:rsidR="0041584B" w:rsidRPr="0031140C" w:rsidRDefault="0041584B" w:rsidP="0041584B">
      <w:pPr>
        <w:pStyle w:val="Heading2"/>
      </w:pPr>
      <w:r w:rsidRPr="0031140C">
        <w:t>In addition to charges calculated using the FCP and LRIC methodologies and transmission connection (exit) charges, the EDCM includes charge elements relating to:</w:t>
      </w:r>
    </w:p>
    <w:p w14:paraId="44AAA430" w14:textId="77777777" w:rsidR="0041584B" w:rsidRPr="0031140C" w:rsidRDefault="0041584B" w:rsidP="0041584B">
      <w:pPr>
        <w:pStyle w:val="DCNormaParaL1"/>
        <w:numPr>
          <w:ilvl w:val="0"/>
          <w:numId w:val="105"/>
        </w:numPr>
        <w:jc w:val="both"/>
      </w:pPr>
      <w:r w:rsidRPr="0031140C">
        <w:t>the DNO Party’s direct operating costs (this includes inspection and maintenance costs, operating expenditure relating to fault repairs and the cost of tree cutting);</w:t>
      </w:r>
    </w:p>
    <w:p w14:paraId="6169AC63" w14:textId="77777777" w:rsidR="0041584B" w:rsidRPr="0031140C" w:rsidRDefault="0041584B" w:rsidP="0041584B">
      <w:pPr>
        <w:pStyle w:val="DCNormaParaL1"/>
        <w:numPr>
          <w:ilvl w:val="0"/>
          <w:numId w:val="105"/>
        </w:numPr>
        <w:jc w:val="both"/>
      </w:pPr>
      <w:r w:rsidRPr="0031140C">
        <w:t>the DNO Party’s indirect costs. (these are costs that are not directly related to network assets, such as business support costs);</w:t>
      </w:r>
    </w:p>
    <w:p w14:paraId="2E0741D6" w14:textId="77777777" w:rsidR="0041584B" w:rsidRPr="0031140C" w:rsidRDefault="0041584B" w:rsidP="0041584B">
      <w:pPr>
        <w:pStyle w:val="DCNormaParaL1"/>
        <w:numPr>
          <w:ilvl w:val="0"/>
          <w:numId w:val="105"/>
        </w:numPr>
        <w:jc w:val="both"/>
      </w:pPr>
      <w:r w:rsidRPr="0031140C">
        <w:t>the DNO Party’s network rates (these are business rates paid by DNO Parties); and</w:t>
      </w:r>
    </w:p>
    <w:p w14:paraId="6775697C" w14:textId="77777777" w:rsidR="0041584B" w:rsidRPr="0031140C" w:rsidRDefault="0041584B" w:rsidP="0041584B">
      <w:pPr>
        <w:pStyle w:val="DCNormaParaL1"/>
        <w:numPr>
          <w:ilvl w:val="0"/>
          <w:numId w:val="105"/>
        </w:numPr>
        <w:jc w:val="both"/>
      </w:pPr>
      <w:r w:rsidRPr="0031140C">
        <w:t xml:space="preserve">the DNO Party’s residual revenue.  </w:t>
      </w:r>
    </w:p>
    <w:p w14:paraId="1E5CA379" w14:textId="77777777" w:rsidR="0041584B" w:rsidRPr="005D1494" w:rsidRDefault="0041584B" w:rsidP="0041584B">
      <w:pPr>
        <w:pStyle w:val="Heading2"/>
      </w:pPr>
      <w:r w:rsidRPr="005D1494">
        <w:t xml:space="preserve">The residual revenue is that part of the DNO Party’s Allowed Revenue less any revenue relating to recovery of the DNO Party's Supplier of Last Resort and Eligible Bad Debt pass-through costs that has not been pre-allocated to demand charges using cost-based charge elements.  </w:t>
      </w:r>
    </w:p>
    <w:p w14:paraId="62F8223C" w14:textId="77777777" w:rsidR="0041584B" w:rsidRDefault="0041584B" w:rsidP="0041584B">
      <w:pPr>
        <w:pStyle w:val="Heading2"/>
      </w:pPr>
      <w:r>
        <w:t>EDCM charge elements are determined using allocation drivers.  The following allocation drivers are used in the EDCM:</w:t>
      </w:r>
    </w:p>
    <w:p w14:paraId="64464A5C" w14:textId="77777777" w:rsidR="0041584B" w:rsidRDefault="0041584B" w:rsidP="0041584B">
      <w:pPr>
        <w:pStyle w:val="DCNormaParaL1"/>
        <w:numPr>
          <w:ilvl w:val="0"/>
          <w:numId w:val="106"/>
        </w:numPr>
        <w:jc w:val="both"/>
      </w:pPr>
      <w:r>
        <w:t xml:space="preserve">The value of assets that are for the sole use of a Connectee (sole use assets). This is relevant to import and export charges.   </w:t>
      </w:r>
    </w:p>
    <w:p w14:paraId="779FA135" w14:textId="77777777" w:rsidR="0041584B" w:rsidRDefault="0041584B" w:rsidP="0041584B">
      <w:pPr>
        <w:pStyle w:val="DCNormaParaL1"/>
        <w:numPr>
          <w:ilvl w:val="0"/>
          <w:numId w:val="106"/>
        </w:numPr>
        <w:jc w:val="both"/>
      </w:pPr>
      <w:r>
        <w:t xml:space="preserve">The value of site-specific shared network assets used by the Connectee. This is relevant to import charges only. The sum of historical consumption at the time of </w:t>
      </w:r>
      <w:r>
        <w:lastRenderedPageBreak/>
        <w:t>system peak and 50 per cent of Maximum Import Capacity. This is relevant to import charges only.</w:t>
      </w:r>
    </w:p>
    <w:p w14:paraId="41F85CC6" w14:textId="77777777" w:rsidR="0041584B" w:rsidRDefault="0041584B" w:rsidP="0041584B">
      <w:pPr>
        <w:pStyle w:val="DCNormaParaL1"/>
        <w:numPr>
          <w:ilvl w:val="0"/>
          <w:numId w:val="106"/>
        </w:numPr>
        <w:jc w:val="both"/>
      </w:pPr>
      <w:r>
        <w:t>Chargeable Export Capacity. This is relevant to export charges only.</w:t>
      </w:r>
    </w:p>
    <w:p w14:paraId="700BEEC5" w14:textId="77777777" w:rsidR="0041584B" w:rsidRDefault="0041584B" w:rsidP="0041584B">
      <w:pPr>
        <w:pStyle w:val="Heading2"/>
      </w:pPr>
      <w:r>
        <w:t>The methods used to determine the value of sole use assets and shared site-specific shared network assets are described below.</w:t>
      </w:r>
    </w:p>
    <w:p w14:paraId="14D3E96A" w14:textId="77777777" w:rsidR="0041584B" w:rsidRDefault="0041584B" w:rsidP="0041584B">
      <w:pPr>
        <w:pStyle w:val="Heading1"/>
      </w:pPr>
      <w:bookmarkStart w:id="172" w:name="_Toc360027732"/>
      <w:bookmarkStart w:id="173" w:name="_Toc360028086"/>
      <w:bookmarkStart w:id="174" w:name="_Toc391559945"/>
      <w:bookmarkStart w:id="175" w:name="_Toc510303065"/>
      <w:bookmarkStart w:id="176" w:name="_Toc513018479"/>
      <w:bookmarkStart w:id="177" w:name="_Toc518333664"/>
      <w:bookmarkStart w:id="178" w:name="_Toc527908520"/>
      <w:r w:rsidRPr="00261B1F">
        <w:t>Sole</w:t>
      </w:r>
      <w:r>
        <w:t xml:space="preserve"> use assets</w:t>
      </w:r>
      <w:bookmarkEnd w:id="172"/>
      <w:bookmarkEnd w:id="173"/>
      <w:bookmarkEnd w:id="174"/>
      <w:bookmarkEnd w:id="175"/>
      <w:bookmarkEnd w:id="176"/>
      <w:bookmarkEnd w:id="177"/>
      <w:bookmarkEnd w:id="178"/>
    </w:p>
    <w:p w14:paraId="20AE4613" w14:textId="77777777" w:rsidR="0041584B" w:rsidRDefault="0041584B" w:rsidP="0041584B">
      <w:pPr>
        <w:pStyle w:val="Heading2"/>
      </w:pPr>
      <w:r>
        <w:t>The value of a customer’s sole use assets used is expressed in the form of a modern equivalent asset value (MEAV) in £.</w:t>
      </w:r>
    </w:p>
    <w:p w14:paraId="58C31414" w14:textId="77777777" w:rsidR="0041584B" w:rsidRDefault="0041584B" w:rsidP="0041584B">
      <w:pPr>
        <w:pStyle w:val="Heading2"/>
      </w:pPr>
      <w:r>
        <w:t xml:space="preserve">Sole use assets are assets in which only the consumption or output associated with a single Connectee can directly alter the power flow in the asset, taking into consideration all possible credible running arrangements, i.e. all assets between the </w:t>
      </w:r>
      <w:proofErr w:type="spellStart"/>
      <w:r>
        <w:t>Connectee's</w:t>
      </w:r>
      <w:proofErr w:type="spellEnd"/>
      <w:r>
        <w:t xml:space="preserve"> Entry/Exit Point(s) and the Point(s) of Common Coupling with the general network are considered as sole use assets.  </w:t>
      </w:r>
    </w:p>
    <w:p w14:paraId="4EE6208D" w14:textId="77777777" w:rsidR="0041584B" w:rsidRDefault="0041584B" w:rsidP="0041584B">
      <w:pPr>
        <w:pStyle w:val="Heading2"/>
      </w:pPr>
      <w:r>
        <w:t>The Point of Common Coupling for a particular single Connectee is the point on the network where the power flow associated with the single Connectee under consideration, may under some (or all) possible arrangements interact with the power flows associated with other Connectees, taking into account all possible credible running arrangements.</w:t>
      </w:r>
    </w:p>
    <w:p w14:paraId="6D7BA087" w14:textId="77777777" w:rsidR="0041584B" w:rsidRDefault="0041584B" w:rsidP="0041584B">
      <w:pPr>
        <w:pStyle w:val="Heading2"/>
      </w:pPr>
      <w:r>
        <w:t>Where a single site has both import and export charges, associated with import and export meter registrations, the sole use assets are allocated between the import and export proportionally to Maximum Import Capacity and Maximum Export Capacity respectively. Where any part of the Maximum Export Capacity associated with an export meter registration is exempt from use of system charges in the charging year, the value of sole use assets allocated to the export tariff is reduced by multiplying it by the ratio of the Chargeable Export Capacity to the Maximum Export Capacity.</w:t>
      </w:r>
    </w:p>
    <w:p w14:paraId="3ACA5D0B" w14:textId="77777777" w:rsidR="0041584B" w:rsidRDefault="0041584B" w:rsidP="0041584B">
      <w:pPr>
        <w:pStyle w:val="Heading2"/>
      </w:pPr>
      <w:r>
        <w:lastRenderedPageBreak/>
        <w:t xml:space="preserve">Where an EDCM site was originally connected as a single Connected Installation, and has subsequently split into multiple Connected Installations, these sites continue to be considered as one site for the purposes of determining sole use assets.  The sole use asset MEAV is allocated between these Connected Installations in proportion to their Maximum Import Capacities and Maximum Export Capacities.  </w:t>
      </w:r>
      <w:r>
        <w:br w:type="page"/>
      </w:r>
    </w:p>
    <w:p w14:paraId="00604E89" w14:textId="77777777" w:rsidR="0041584B" w:rsidRDefault="0041584B" w:rsidP="0041584B">
      <w:pPr>
        <w:pStyle w:val="Heading1"/>
      </w:pPr>
      <w:bookmarkStart w:id="179" w:name="_Toc360027733"/>
      <w:bookmarkStart w:id="180" w:name="_Toc360028087"/>
      <w:bookmarkStart w:id="181" w:name="_Toc391559946"/>
      <w:bookmarkStart w:id="182" w:name="_Toc510303066"/>
      <w:bookmarkStart w:id="183" w:name="_Toc513018480"/>
      <w:bookmarkStart w:id="184" w:name="_Toc518333665"/>
      <w:bookmarkStart w:id="185" w:name="_Toc527908521"/>
      <w:r>
        <w:lastRenderedPageBreak/>
        <w:t>Site-specific shared network assets</w:t>
      </w:r>
      <w:bookmarkEnd w:id="179"/>
      <w:bookmarkEnd w:id="180"/>
      <w:bookmarkEnd w:id="181"/>
      <w:bookmarkEnd w:id="182"/>
      <w:bookmarkEnd w:id="183"/>
      <w:bookmarkEnd w:id="184"/>
      <w:bookmarkEnd w:id="185"/>
      <w:r>
        <w:t xml:space="preserve"> </w:t>
      </w:r>
    </w:p>
    <w:p w14:paraId="09B18197" w14:textId="77777777" w:rsidR="0041584B" w:rsidRDefault="0041584B" w:rsidP="0041584B">
      <w:pPr>
        <w:pStyle w:val="Heading2"/>
      </w:pPr>
      <w:r>
        <w:t xml:space="preserve">A </w:t>
      </w:r>
      <w:proofErr w:type="spellStart"/>
      <w:r>
        <w:t>Connectee’s</w:t>
      </w:r>
      <w:proofErr w:type="spellEnd"/>
      <w:r>
        <w:t xml:space="preserve"> notional site-specific shared network asset value is the value of network assets that are deemed to be used by that Connectee, other than sole use assets as defined earlier.  </w:t>
      </w:r>
    </w:p>
    <w:p w14:paraId="79C52A96" w14:textId="77777777" w:rsidR="0041584B" w:rsidRDefault="0041584B" w:rsidP="0041584B">
      <w:pPr>
        <w:pStyle w:val="Heading2"/>
      </w:pPr>
      <w:r>
        <w:t>The value of notional site-specific shared assets used by each Connectee is expressed in the form of a modern equivalent asset value (MEAV) in £.</w:t>
      </w:r>
    </w:p>
    <w:p w14:paraId="1BFFB592" w14:textId="77777777" w:rsidR="0041584B" w:rsidRDefault="0041584B" w:rsidP="0041584B">
      <w:pPr>
        <w:pStyle w:val="Heading2"/>
      </w:pPr>
      <w:r>
        <w:t>The value of shared network assets used by each demand Connectee is calculated as set out below.</w:t>
      </w:r>
    </w:p>
    <w:p w14:paraId="3BE55AC3" w14:textId="77777777" w:rsidR="0041584B" w:rsidRDefault="0041584B" w:rsidP="0041584B">
      <w:pPr>
        <w:pStyle w:val="Heading2"/>
      </w:pPr>
      <w:r>
        <w:t>Five levels are defined for the network’s assets:</w:t>
      </w:r>
    </w:p>
    <w:p w14:paraId="68D7B192" w14:textId="77777777" w:rsidR="0041584B" w:rsidRDefault="0041584B" w:rsidP="0041584B">
      <w:pPr>
        <w:pStyle w:val="DCNormParaL3"/>
        <w:numPr>
          <w:ilvl w:val="0"/>
          <w:numId w:val="47"/>
        </w:numPr>
      </w:pPr>
      <w:r>
        <w:t>Level 1 comprises 132 kV circuits.</w:t>
      </w:r>
    </w:p>
    <w:p w14:paraId="35C419DD" w14:textId="77777777" w:rsidR="0041584B" w:rsidRDefault="0041584B" w:rsidP="0041584B">
      <w:pPr>
        <w:pStyle w:val="DCNormParaL3"/>
        <w:numPr>
          <w:ilvl w:val="0"/>
          <w:numId w:val="47"/>
        </w:numPr>
      </w:pPr>
      <w:r>
        <w:t>Level 2 comprises substations with a primary voltage of 132 kV and a secondary voltage of 22 kV or more.</w:t>
      </w:r>
    </w:p>
    <w:p w14:paraId="3F20F55F" w14:textId="77777777" w:rsidR="0041584B" w:rsidRDefault="0041584B" w:rsidP="0041584B">
      <w:pPr>
        <w:pStyle w:val="DCNormParaL3"/>
        <w:numPr>
          <w:ilvl w:val="0"/>
          <w:numId w:val="47"/>
        </w:numPr>
      </w:pPr>
      <w:r>
        <w:t>Level 3 comprises circuits of 22 kV or more but less than 132 kV.</w:t>
      </w:r>
    </w:p>
    <w:p w14:paraId="6E721F4A" w14:textId="77777777" w:rsidR="0041584B" w:rsidRDefault="0041584B" w:rsidP="0041584B">
      <w:pPr>
        <w:pStyle w:val="DCNormParaL3"/>
        <w:numPr>
          <w:ilvl w:val="0"/>
          <w:numId w:val="47"/>
        </w:numPr>
      </w:pPr>
      <w:r>
        <w:t>Level 4 comprises substations with a primary voltage of 22 kV or more but less than 132 kV and a secondary voltage of less than 22 kV.</w:t>
      </w:r>
    </w:p>
    <w:p w14:paraId="2B275BA9" w14:textId="77777777" w:rsidR="0041584B" w:rsidRDefault="0041584B" w:rsidP="0041584B">
      <w:pPr>
        <w:pStyle w:val="DCNormParaL3"/>
        <w:numPr>
          <w:ilvl w:val="0"/>
          <w:numId w:val="47"/>
        </w:numPr>
      </w:pPr>
      <w:r>
        <w:t>Level 5 comprises substations with a primary voltage of 132 kV and a secondary voltage of less than 22 kV.</w:t>
      </w:r>
    </w:p>
    <w:p w14:paraId="1FF42CF3" w14:textId="77777777" w:rsidR="0041584B" w:rsidRDefault="0041584B" w:rsidP="0041584B">
      <w:pPr>
        <w:pStyle w:val="Heading2"/>
      </w:pPr>
      <w:r>
        <w:t xml:space="preserve">In some cases, it might be appropriate to treat 66 kV equipment as being equivalent to 132 kV equipment and allocate Connectees to categories accordingly.  </w:t>
      </w:r>
    </w:p>
    <w:p w14:paraId="756D35D9" w14:textId="77777777" w:rsidR="0041584B" w:rsidRDefault="0041584B" w:rsidP="0041584B">
      <w:pPr>
        <w:pStyle w:val="Heading2"/>
      </w:pPr>
      <w:r>
        <w:t xml:space="preserve">EDCM Customers are split into 15 categories based on the parts of the EHV network they are deemed to use.  This is based on the Point of Common Coupling. The Point of Common Coupling might be at a different voltage than the </w:t>
      </w:r>
      <w:proofErr w:type="spellStart"/>
      <w:r>
        <w:t>Connectee’s</w:t>
      </w:r>
      <w:proofErr w:type="spellEnd"/>
      <w:r>
        <w:t xml:space="preserve"> </w:t>
      </w:r>
      <w:proofErr w:type="gramStart"/>
      <w:r>
        <w:t>connection, and</w:t>
      </w:r>
      <w:proofErr w:type="gramEnd"/>
      <w:r>
        <w:t xml:space="preserve"> might also be at a different voltage than the voltage of connection when the Connectee was connected.</w:t>
      </w:r>
      <w:r>
        <w:br w:type="page"/>
      </w:r>
    </w:p>
    <w:p w14:paraId="79B7C249" w14:textId="77777777" w:rsidR="0041584B" w:rsidRPr="0031739F" w:rsidRDefault="0041584B" w:rsidP="0041584B">
      <w:pPr>
        <w:pStyle w:val="Caption"/>
        <w:spacing w:after="0"/>
      </w:pPr>
      <w:r w:rsidRPr="0031739F">
        <w:lastRenderedPageBreak/>
        <w:t xml:space="preserve">Table </w:t>
      </w:r>
      <w:r>
        <w:t>15.6</w:t>
      </w:r>
      <w:r w:rsidRPr="0031739F">
        <w:t xml:space="preserve"> Categorisation of EDCM Customers</w:t>
      </w:r>
    </w:p>
    <w:tbl>
      <w:tblPr>
        <w:tblW w:w="5000" w:type="pct"/>
        <w:tblLook w:val="00A0" w:firstRow="1" w:lastRow="0" w:firstColumn="1" w:lastColumn="0" w:noHBand="0" w:noVBand="0"/>
      </w:tblPr>
      <w:tblGrid>
        <w:gridCol w:w="1985"/>
        <w:gridCol w:w="7044"/>
      </w:tblGrid>
      <w:tr w:rsidR="0041584B" w:rsidRPr="00B83AB0" w14:paraId="3847C166" w14:textId="77777777" w:rsidTr="0041584B">
        <w:trPr>
          <w:cantSplit/>
        </w:trPr>
        <w:tc>
          <w:tcPr>
            <w:tcW w:w="1099" w:type="pct"/>
            <w:tcBorders>
              <w:top w:val="single" w:sz="4" w:space="0" w:color="auto"/>
              <w:bottom w:val="single" w:sz="4" w:space="0" w:color="auto"/>
            </w:tcBorders>
            <w:shd w:val="clear" w:color="auto" w:fill="C0C0C0"/>
          </w:tcPr>
          <w:p w14:paraId="19A55F7C" w14:textId="77777777" w:rsidR="0041584B" w:rsidRPr="00B83AB0" w:rsidRDefault="0041584B" w:rsidP="0041584B">
            <w:pPr>
              <w:pStyle w:val="Table"/>
              <w:spacing w:line="360" w:lineRule="auto"/>
              <w:rPr>
                <w:rFonts w:ascii="Times New Roman" w:hAnsi="Times New Roman"/>
                <w:b/>
                <w:sz w:val="24"/>
                <w:szCs w:val="24"/>
              </w:rPr>
            </w:pPr>
            <w:r w:rsidRPr="00B83AB0">
              <w:rPr>
                <w:rFonts w:ascii="Times New Roman" w:hAnsi="Times New Roman"/>
                <w:b/>
                <w:sz w:val="24"/>
                <w:szCs w:val="24"/>
              </w:rPr>
              <w:t>Category</w:t>
            </w:r>
          </w:p>
        </w:tc>
        <w:tc>
          <w:tcPr>
            <w:tcW w:w="3901" w:type="pct"/>
            <w:tcBorders>
              <w:top w:val="single" w:sz="4" w:space="0" w:color="auto"/>
              <w:bottom w:val="single" w:sz="4" w:space="0" w:color="auto"/>
            </w:tcBorders>
            <w:shd w:val="clear" w:color="auto" w:fill="C0C0C0"/>
          </w:tcPr>
          <w:p w14:paraId="784CE059" w14:textId="77777777" w:rsidR="0041584B" w:rsidRPr="00B83AB0" w:rsidRDefault="0041584B" w:rsidP="0041584B">
            <w:pPr>
              <w:pStyle w:val="Table"/>
              <w:spacing w:line="360" w:lineRule="auto"/>
              <w:rPr>
                <w:rFonts w:ascii="Times New Roman" w:hAnsi="Times New Roman"/>
                <w:b/>
                <w:sz w:val="24"/>
                <w:szCs w:val="24"/>
              </w:rPr>
            </w:pPr>
            <w:r w:rsidRPr="00B83AB0">
              <w:rPr>
                <w:rFonts w:ascii="Times New Roman" w:hAnsi="Times New Roman"/>
                <w:b/>
                <w:sz w:val="24"/>
                <w:szCs w:val="24"/>
              </w:rPr>
              <w:t>Definition</w:t>
            </w:r>
          </w:p>
        </w:tc>
      </w:tr>
      <w:tr w:rsidR="0041584B" w:rsidRPr="00B83AB0" w14:paraId="335341AE" w14:textId="77777777" w:rsidTr="0041584B">
        <w:trPr>
          <w:cantSplit/>
        </w:trPr>
        <w:tc>
          <w:tcPr>
            <w:tcW w:w="1099" w:type="pct"/>
            <w:tcBorders>
              <w:top w:val="single" w:sz="4" w:space="0" w:color="auto"/>
            </w:tcBorders>
          </w:tcPr>
          <w:p w14:paraId="33D344B1" w14:textId="77777777" w:rsidR="0041584B" w:rsidRPr="00B83AB0" w:rsidRDefault="0041584B" w:rsidP="0041584B">
            <w:pPr>
              <w:pStyle w:val="Table"/>
              <w:spacing w:line="360" w:lineRule="auto"/>
              <w:rPr>
                <w:rFonts w:ascii="Times New Roman" w:hAnsi="Times New Roman"/>
                <w:sz w:val="24"/>
                <w:szCs w:val="24"/>
              </w:rPr>
            </w:pPr>
            <w:r w:rsidRPr="00B83AB0">
              <w:rPr>
                <w:rFonts w:ascii="Times New Roman" w:hAnsi="Times New Roman"/>
                <w:sz w:val="24"/>
                <w:szCs w:val="24"/>
              </w:rPr>
              <w:t>Category 0000</w:t>
            </w:r>
          </w:p>
        </w:tc>
        <w:tc>
          <w:tcPr>
            <w:tcW w:w="3901" w:type="pct"/>
            <w:tcBorders>
              <w:top w:val="single" w:sz="4" w:space="0" w:color="auto"/>
            </w:tcBorders>
          </w:tcPr>
          <w:p w14:paraId="4AFEFD96" w14:textId="77777777" w:rsidR="0041584B" w:rsidRPr="00B83AB0" w:rsidRDefault="0041584B" w:rsidP="0041584B">
            <w:pPr>
              <w:pStyle w:val="Table"/>
              <w:spacing w:line="360" w:lineRule="auto"/>
              <w:rPr>
                <w:rFonts w:ascii="Times New Roman" w:hAnsi="Times New Roman"/>
                <w:sz w:val="24"/>
                <w:szCs w:val="24"/>
              </w:rPr>
            </w:pPr>
            <w:r w:rsidRPr="00B83AB0">
              <w:rPr>
                <w:rFonts w:ascii="Times New Roman" w:hAnsi="Times New Roman"/>
                <w:sz w:val="24"/>
                <w:szCs w:val="24"/>
              </w:rPr>
              <w:t>Point of Common Coupling at the GSP, whether the GSP is shared or not.</w:t>
            </w:r>
          </w:p>
        </w:tc>
      </w:tr>
      <w:tr w:rsidR="0041584B" w:rsidRPr="00B83AB0" w14:paraId="27110206" w14:textId="77777777" w:rsidTr="0041584B">
        <w:trPr>
          <w:cantSplit/>
        </w:trPr>
        <w:tc>
          <w:tcPr>
            <w:tcW w:w="1099" w:type="pct"/>
            <w:shd w:val="clear" w:color="auto" w:fill="F3F3F3"/>
          </w:tcPr>
          <w:p w14:paraId="1C0B700D" w14:textId="77777777" w:rsidR="0041584B" w:rsidRPr="00B83AB0" w:rsidRDefault="0041584B" w:rsidP="0041584B">
            <w:pPr>
              <w:pStyle w:val="Table"/>
              <w:spacing w:line="360" w:lineRule="auto"/>
              <w:rPr>
                <w:rFonts w:ascii="Times New Roman" w:hAnsi="Times New Roman"/>
                <w:sz w:val="24"/>
                <w:szCs w:val="24"/>
              </w:rPr>
            </w:pPr>
            <w:r w:rsidRPr="00B83AB0">
              <w:rPr>
                <w:rFonts w:ascii="Times New Roman" w:hAnsi="Times New Roman"/>
                <w:sz w:val="24"/>
                <w:szCs w:val="24"/>
              </w:rPr>
              <w:t>Category 1000</w:t>
            </w:r>
          </w:p>
        </w:tc>
        <w:tc>
          <w:tcPr>
            <w:tcW w:w="3901" w:type="pct"/>
            <w:shd w:val="clear" w:color="auto" w:fill="F3F3F3"/>
          </w:tcPr>
          <w:p w14:paraId="7DD67344" w14:textId="77777777" w:rsidR="0041584B" w:rsidRPr="00B83AB0" w:rsidRDefault="0041584B" w:rsidP="0041584B">
            <w:pPr>
              <w:pStyle w:val="Table"/>
              <w:spacing w:line="360" w:lineRule="auto"/>
              <w:rPr>
                <w:rFonts w:ascii="Times New Roman" w:hAnsi="Times New Roman"/>
                <w:sz w:val="24"/>
                <w:szCs w:val="24"/>
              </w:rPr>
            </w:pPr>
            <w:r w:rsidRPr="00B83AB0">
              <w:rPr>
                <w:rFonts w:ascii="Times New Roman" w:hAnsi="Times New Roman"/>
                <w:sz w:val="24"/>
                <w:szCs w:val="24"/>
              </w:rPr>
              <w:t>In England or Wales only, Point of Common Coupling at a voltage of 132 kV, unless the Connectee qualifies for category 0000.</w:t>
            </w:r>
          </w:p>
        </w:tc>
      </w:tr>
      <w:tr w:rsidR="0041584B" w:rsidRPr="00B83AB0" w14:paraId="2932724A" w14:textId="77777777" w:rsidTr="0041584B">
        <w:trPr>
          <w:cantSplit/>
        </w:trPr>
        <w:tc>
          <w:tcPr>
            <w:tcW w:w="1099" w:type="pct"/>
          </w:tcPr>
          <w:p w14:paraId="52875FA5" w14:textId="77777777" w:rsidR="0041584B" w:rsidRPr="00B83AB0" w:rsidRDefault="0041584B" w:rsidP="0041584B">
            <w:pPr>
              <w:pStyle w:val="Table"/>
              <w:spacing w:line="360" w:lineRule="auto"/>
              <w:rPr>
                <w:rFonts w:ascii="Times New Roman" w:hAnsi="Times New Roman"/>
                <w:sz w:val="24"/>
                <w:szCs w:val="24"/>
              </w:rPr>
            </w:pPr>
            <w:r w:rsidRPr="00B83AB0">
              <w:rPr>
                <w:rFonts w:ascii="Times New Roman" w:hAnsi="Times New Roman"/>
                <w:sz w:val="24"/>
                <w:szCs w:val="24"/>
              </w:rPr>
              <w:t>Category 1100</w:t>
            </w:r>
          </w:p>
        </w:tc>
        <w:tc>
          <w:tcPr>
            <w:tcW w:w="3901" w:type="pct"/>
          </w:tcPr>
          <w:p w14:paraId="2E6D1103" w14:textId="77777777" w:rsidR="0041584B" w:rsidRPr="00B83AB0" w:rsidRDefault="0041584B" w:rsidP="0041584B">
            <w:pPr>
              <w:pStyle w:val="Table"/>
              <w:spacing w:line="360" w:lineRule="auto"/>
              <w:rPr>
                <w:rFonts w:ascii="Times New Roman" w:hAnsi="Times New Roman"/>
                <w:sz w:val="24"/>
                <w:szCs w:val="24"/>
              </w:rPr>
            </w:pPr>
            <w:r w:rsidRPr="00B83AB0">
              <w:rPr>
                <w:rFonts w:ascii="Times New Roman" w:hAnsi="Times New Roman"/>
                <w:sz w:val="24"/>
                <w:szCs w:val="24"/>
              </w:rPr>
              <w:t xml:space="preserve">Point of Common Coupling at 22 kV or more on the secondary side of a substation where the primary side is attached to a </w:t>
            </w:r>
            <w:proofErr w:type="gramStart"/>
            <w:r w:rsidRPr="00B83AB0">
              <w:rPr>
                <w:rFonts w:ascii="Times New Roman" w:hAnsi="Times New Roman"/>
                <w:sz w:val="24"/>
                <w:szCs w:val="24"/>
              </w:rPr>
              <w:t>132 kV</w:t>
            </w:r>
            <w:proofErr w:type="gramEnd"/>
            <w:r w:rsidRPr="00B83AB0">
              <w:rPr>
                <w:rFonts w:ascii="Times New Roman" w:hAnsi="Times New Roman"/>
                <w:sz w:val="24"/>
                <w:szCs w:val="24"/>
              </w:rPr>
              <w:t xml:space="preserve"> circuit.</w:t>
            </w:r>
          </w:p>
        </w:tc>
      </w:tr>
      <w:tr w:rsidR="0041584B" w:rsidRPr="00B83AB0" w14:paraId="6A2D9890" w14:textId="77777777" w:rsidTr="0041584B">
        <w:trPr>
          <w:cantSplit/>
        </w:trPr>
        <w:tc>
          <w:tcPr>
            <w:tcW w:w="1099" w:type="pct"/>
            <w:shd w:val="clear" w:color="auto" w:fill="F3F3F3"/>
          </w:tcPr>
          <w:p w14:paraId="0F573E54" w14:textId="77777777" w:rsidR="0041584B" w:rsidRPr="00B83AB0" w:rsidRDefault="0041584B" w:rsidP="0041584B">
            <w:pPr>
              <w:pStyle w:val="Table"/>
              <w:spacing w:line="360" w:lineRule="auto"/>
              <w:rPr>
                <w:rFonts w:ascii="Times New Roman" w:hAnsi="Times New Roman"/>
                <w:sz w:val="24"/>
                <w:szCs w:val="24"/>
              </w:rPr>
            </w:pPr>
            <w:r w:rsidRPr="00B83AB0">
              <w:rPr>
                <w:rFonts w:ascii="Times New Roman" w:hAnsi="Times New Roman"/>
                <w:sz w:val="24"/>
                <w:szCs w:val="24"/>
              </w:rPr>
              <w:t>Category 0100</w:t>
            </w:r>
          </w:p>
        </w:tc>
        <w:tc>
          <w:tcPr>
            <w:tcW w:w="3901" w:type="pct"/>
            <w:shd w:val="clear" w:color="auto" w:fill="F3F3F3"/>
          </w:tcPr>
          <w:p w14:paraId="20FECDE5" w14:textId="77777777" w:rsidR="0041584B" w:rsidRPr="00B83AB0" w:rsidRDefault="0041584B" w:rsidP="0041584B">
            <w:pPr>
              <w:pStyle w:val="Table"/>
              <w:spacing w:line="360" w:lineRule="auto"/>
              <w:rPr>
                <w:rFonts w:ascii="Times New Roman" w:hAnsi="Times New Roman"/>
                <w:sz w:val="24"/>
                <w:szCs w:val="24"/>
              </w:rPr>
            </w:pPr>
            <w:r w:rsidRPr="00B83AB0">
              <w:rPr>
                <w:rFonts w:ascii="Times New Roman" w:hAnsi="Times New Roman"/>
                <w:sz w:val="24"/>
                <w:szCs w:val="24"/>
              </w:rPr>
              <w:t>Point of Common Coupling at 22 kV or more, but less than 132 kV, on the secondary side of a substation where the primary side is attached at 132 kV to a co-located GSP with no use of any 132 kV circuits.</w:t>
            </w:r>
          </w:p>
        </w:tc>
      </w:tr>
      <w:tr w:rsidR="0041584B" w:rsidRPr="00B83AB0" w14:paraId="2B33C0BC" w14:textId="77777777" w:rsidTr="0041584B">
        <w:trPr>
          <w:cantSplit/>
        </w:trPr>
        <w:tc>
          <w:tcPr>
            <w:tcW w:w="1099" w:type="pct"/>
          </w:tcPr>
          <w:p w14:paraId="7242CC5D" w14:textId="77777777" w:rsidR="0041584B" w:rsidRPr="00B83AB0" w:rsidRDefault="0041584B" w:rsidP="0041584B">
            <w:pPr>
              <w:pStyle w:val="Table"/>
              <w:spacing w:line="360" w:lineRule="auto"/>
              <w:rPr>
                <w:rFonts w:ascii="Times New Roman" w:hAnsi="Times New Roman"/>
                <w:sz w:val="24"/>
                <w:szCs w:val="24"/>
              </w:rPr>
            </w:pPr>
            <w:r w:rsidRPr="00B83AB0">
              <w:rPr>
                <w:rFonts w:ascii="Times New Roman" w:hAnsi="Times New Roman"/>
                <w:sz w:val="24"/>
                <w:szCs w:val="24"/>
              </w:rPr>
              <w:t>Category 1110</w:t>
            </w:r>
          </w:p>
        </w:tc>
        <w:tc>
          <w:tcPr>
            <w:tcW w:w="3901" w:type="pct"/>
          </w:tcPr>
          <w:p w14:paraId="07A6F5E3" w14:textId="77777777" w:rsidR="0041584B" w:rsidRPr="00B83AB0" w:rsidRDefault="0041584B" w:rsidP="0041584B">
            <w:pPr>
              <w:pStyle w:val="Table"/>
              <w:spacing w:line="360" w:lineRule="auto"/>
              <w:rPr>
                <w:rFonts w:ascii="Times New Roman" w:hAnsi="Times New Roman"/>
                <w:sz w:val="24"/>
                <w:szCs w:val="24"/>
              </w:rPr>
            </w:pPr>
            <w:r w:rsidRPr="00B83AB0">
              <w:rPr>
                <w:rFonts w:ascii="Times New Roman" w:hAnsi="Times New Roman"/>
                <w:sz w:val="24"/>
                <w:szCs w:val="24"/>
              </w:rPr>
              <w:t xml:space="preserve">Point of Common Coupling at a voltage of 22 kV or more, but less than 132 kV, not at a substation, fed from a substation whose primary side is attached to a </w:t>
            </w:r>
            <w:proofErr w:type="gramStart"/>
            <w:r w:rsidRPr="00B83AB0">
              <w:rPr>
                <w:rFonts w:ascii="Times New Roman" w:hAnsi="Times New Roman"/>
                <w:sz w:val="24"/>
                <w:szCs w:val="24"/>
              </w:rPr>
              <w:t>132 kV</w:t>
            </w:r>
            <w:proofErr w:type="gramEnd"/>
            <w:r w:rsidRPr="00B83AB0">
              <w:rPr>
                <w:rFonts w:ascii="Times New Roman" w:hAnsi="Times New Roman"/>
                <w:sz w:val="24"/>
                <w:szCs w:val="24"/>
              </w:rPr>
              <w:t xml:space="preserve"> distribution circuit.</w:t>
            </w:r>
          </w:p>
        </w:tc>
      </w:tr>
      <w:tr w:rsidR="0041584B" w:rsidRPr="00B83AB0" w14:paraId="284FB579" w14:textId="77777777" w:rsidTr="0041584B">
        <w:trPr>
          <w:cantSplit/>
        </w:trPr>
        <w:tc>
          <w:tcPr>
            <w:tcW w:w="1099" w:type="pct"/>
            <w:shd w:val="clear" w:color="auto" w:fill="F3F3F3"/>
          </w:tcPr>
          <w:p w14:paraId="7B75B9C5" w14:textId="77777777" w:rsidR="0041584B" w:rsidRPr="00B83AB0" w:rsidRDefault="0041584B" w:rsidP="0041584B">
            <w:pPr>
              <w:pStyle w:val="Table"/>
              <w:spacing w:line="360" w:lineRule="auto"/>
              <w:rPr>
                <w:rFonts w:ascii="Times New Roman" w:hAnsi="Times New Roman"/>
                <w:sz w:val="24"/>
                <w:szCs w:val="24"/>
              </w:rPr>
            </w:pPr>
            <w:r w:rsidRPr="00B83AB0">
              <w:rPr>
                <w:rFonts w:ascii="Times New Roman" w:hAnsi="Times New Roman"/>
                <w:sz w:val="24"/>
                <w:szCs w:val="24"/>
              </w:rPr>
              <w:t>Category 0110</w:t>
            </w:r>
          </w:p>
        </w:tc>
        <w:tc>
          <w:tcPr>
            <w:tcW w:w="3901" w:type="pct"/>
            <w:shd w:val="clear" w:color="auto" w:fill="F3F3F3"/>
          </w:tcPr>
          <w:p w14:paraId="6E64B3B9" w14:textId="77777777" w:rsidR="0041584B" w:rsidRPr="00B83AB0" w:rsidRDefault="0041584B" w:rsidP="0041584B">
            <w:pPr>
              <w:pStyle w:val="Table"/>
              <w:spacing w:line="360" w:lineRule="auto"/>
              <w:rPr>
                <w:rFonts w:ascii="Times New Roman" w:hAnsi="Times New Roman"/>
                <w:sz w:val="24"/>
                <w:szCs w:val="24"/>
              </w:rPr>
            </w:pPr>
            <w:r w:rsidRPr="00B83AB0">
              <w:rPr>
                <w:rFonts w:ascii="Times New Roman" w:hAnsi="Times New Roman"/>
                <w:sz w:val="24"/>
                <w:szCs w:val="24"/>
              </w:rPr>
              <w:t>Point of Common Coupling at a voltage of 22 kV or more, but less than 132 kV, not at a substation, fed from a substation whose primary side is attached at 132 kV to a co-located GSP with no use of any 132 kV circuits.</w:t>
            </w:r>
          </w:p>
        </w:tc>
      </w:tr>
      <w:tr w:rsidR="0041584B" w:rsidRPr="00B83AB0" w14:paraId="7D59B1EF" w14:textId="77777777" w:rsidTr="0041584B">
        <w:trPr>
          <w:cantSplit/>
        </w:trPr>
        <w:tc>
          <w:tcPr>
            <w:tcW w:w="1099" w:type="pct"/>
          </w:tcPr>
          <w:p w14:paraId="14F1A0C7" w14:textId="77777777" w:rsidR="0041584B" w:rsidRPr="00B83AB0" w:rsidRDefault="0041584B" w:rsidP="0041584B">
            <w:pPr>
              <w:pStyle w:val="Table"/>
              <w:spacing w:line="360" w:lineRule="auto"/>
              <w:rPr>
                <w:rFonts w:ascii="Times New Roman" w:hAnsi="Times New Roman"/>
                <w:sz w:val="24"/>
                <w:szCs w:val="24"/>
              </w:rPr>
            </w:pPr>
            <w:r w:rsidRPr="00B83AB0">
              <w:rPr>
                <w:rFonts w:ascii="Times New Roman" w:hAnsi="Times New Roman"/>
                <w:sz w:val="24"/>
                <w:szCs w:val="24"/>
              </w:rPr>
              <w:t>Category 0010</w:t>
            </w:r>
          </w:p>
        </w:tc>
        <w:tc>
          <w:tcPr>
            <w:tcW w:w="3901" w:type="pct"/>
          </w:tcPr>
          <w:p w14:paraId="14B1A027" w14:textId="77777777" w:rsidR="0041584B" w:rsidRPr="00B83AB0" w:rsidRDefault="0041584B" w:rsidP="0041584B">
            <w:pPr>
              <w:pStyle w:val="Table"/>
              <w:spacing w:line="360" w:lineRule="auto"/>
              <w:rPr>
                <w:rFonts w:ascii="Times New Roman" w:hAnsi="Times New Roman"/>
                <w:sz w:val="24"/>
                <w:szCs w:val="24"/>
              </w:rPr>
            </w:pPr>
            <w:r w:rsidRPr="00B83AB0">
              <w:rPr>
                <w:rFonts w:ascii="Times New Roman" w:hAnsi="Times New Roman"/>
                <w:sz w:val="24"/>
                <w:szCs w:val="24"/>
              </w:rPr>
              <w:t>Point of Common Coupling at a voltage of 22 kV or more, but less than 132 kV, fed from a GSP with no intermediate transformation.</w:t>
            </w:r>
          </w:p>
        </w:tc>
      </w:tr>
      <w:tr w:rsidR="0041584B" w:rsidRPr="00B83AB0" w14:paraId="21158EAC" w14:textId="77777777" w:rsidTr="0041584B">
        <w:trPr>
          <w:cantSplit/>
        </w:trPr>
        <w:tc>
          <w:tcPr>
            <w:tcW w:w="1099" w:type="pct"/>
            <w:shd w:val="clear" w:color="auto" w:fill="F3F3F3"/>
          </w:tcPr>
          <w:p w14:paraId="750C1FBF" w14:textId="77777777" w:rsidR="0041584B" w:rsidRPr="00B83AB0" w:rsidRDefault="0041584B" w:rsidP="0041584B">
            <w:pPr>
              <w:pStyle w:val="Table"/>
              <w:spacing w:line="360" w:lineRule="auto"/>
              <w:rPr>
                <w:rFonts w:ascii="Times New Roman" w:hAnsi="Times New Roman"/>
                <w:sz w:val="24"/>
                <w:szCs w:val="24"/>
              </w:rPr>
            </w:pPr>
            <w:r w:rsidRPr="00B83AB0">
              <w:rPr>
                <w:rFonts w:ascii="Times New Roman" w:hAnsi="Times New Roman"/>
                <w:sz w:val="24"/>
                <w:szCs w:val="24"/>
              </w:rPr>
              <w:t>Category 0001</w:t>
            </w:r>
          </w:p>
        </w:tc>
        <w:tc>
          <w:tcPr>
            <w:tcW w:w="3901" w:type="pct"/>
            <w:shd w:val="clear" w:color="auto" w:fill="F3F3F3"/>
          </w:tcPr>
          <w:p w14:paraId="6D2AE163" w14:textId="77777777" w:rsidR="0041584B" w:rsidRPr="00B83AB0" w:rsidRDefault="0041584B" w:rsidP="0041584B">
            <w:pPr>
              <w:pStyle w:val="Table"/>
              <w:spacing w:line="360" w:lineRule="auto"/>
              <w:rPr>
                <w:rFonts w:ascii="Times New Roman" w:hAnsi="Times New Roman"/>
                <w:sz w:val="24"/>
                <w:szCs w:val="24"/>
              </w:rPr>
            </w:pPr>
            <w:r w:rsidRPr="00B83AB0">
              <w:rPr>
                <w:rFonts w:ascii="Times New Roman" w:hAnsi="Times New Roman"/>
                <w:sz w:val="24"/>
                <w:szCs w:val="24"/>
              </w:rPr>
              <w:t>Point of Common Coupling at a voltage of less than 22 kV on the secondary side of a substation where the primary side is attached at 132 kV to a co-located GSP with no circuit.</w:t>
            </w:r>
          </w:p>
        </w:tc>
      </w:tr>
      <w:tr w:rsidR="0041584B" w:rsidRPr="00B83AB0" w14:paraId="4F67512A" w14:textId="77777777" w:rsidTr="0041584B">
        <w:trPr>
          <w:cantSplit/>
        </w:trPr>
        <w:tc>
          <w:tcPr>
            <w:tcW w:w="1099" w:type="pct"/>
          </w:tcPr>
          <w:p w14:paraId="530F3220" w14:textId="77777777" w:rsidR="0041584B" w:rsidRPr="00B83AB0" w:rsidRDefault="0041584B" w:rsidP="0041584B">
            <w:pPr>
              <w:pStyle w:val="Table"/>
              <w:spacing w:line="360" w:lineRule="auto"/>
              <w:rPr>
                <w:rFonts w:ascii="Times New Roman" w:hAnsi="Times New Roman"/>
                <w:sz w:val="24"/>
                <w:szCs w:val="24"/>
              </w:rPr>
            </w:pPr>
            <w:r w:rsidRPr="00B83AB0">
              <w:rPr>
                <w:rFonts w:ascii="Times New Roman" w:hAnsi="Times New Roman"/>
                <w:sz w:val="24"/>
                <w:szCs w:val="24"/>
              </w:rPr>
              <w:t>Category 0002</w:t>
            </w:r>
          </w:p>
        </w:tc>
        <w:tc>
          <w:tcPr>
            <w:tcW w:w="3901" w:type="pct"/>
          </w:tcPr>
          <w:p w14:paraId="0902E712" w14:textId="77777777" w:rsidR="0041584B" w:rsidRPr="00B83AB0" w:rsidRDefault="0041584B" w:rsidP="0041584B">
            <w:pPr>
              <w:pStyle w:val="Table"/>
              <w:spacing w:line="360" w:lineRule="auto"/>
              <w:rPr>
                <w:rFonts w:ascii="Times New Roman" w:hAnsi="Times New Roman"/>
                <w:sz w:val="24"/>
                <w:szCs w:val="24"/>
              </w:rPr>
            </w:pPr>
            <w:r w:rsidRPr="00B83AB0">
              <w:rPr>
                <w:rFonts w:ascii="Times New Roman" w:hAnsi="Times New Roman"/>
                <w:sz w:val="24"/>
                <w:szCs w:val="24"/>
              </w:rPr>
              <w:t>Point of Common Coupling at a voltage of less than 22 kV on the secondary side of a substation where the primary side is attached at 22 kV or more but less than 132 kV, to a co-located GSP with no circuit.</w:t>
            </w:r>
          </w:p>
        </w:tc>
      </w:tr>
      <w:tr w:rsidR="0041584B" w:rsidRPr="00B83AB0" w14:paraId="17619116" w14:textId="77777777" w:rsidTr="0041584B">
        <w:trPr>
          <w:cantSplit/>
        </w:trPr>
        <w:tc>
          <w:tcPr>
            <w:tcW w:w="1099" w:type="pct"/>
            <w:shd w:val="clear" w:color="auto" w:fill="F3F3F3"/>
          </w:tcPr>
          <w:p w14:paraId="49A197DE" w14:textId="77777777" w:rsidR="0041584B" w:rsidRPr="00B83AB0" w:rsidRDefault="0041584B" w:rsidP="0041584B">
            <w:pPr>
              <w:pStyle w:val="Table"/>
              <w:spacing w:line="360" w:lineRule="auto"/>
              <w:rPr>
                <w:rFonts w:ascii="Times New Roman" w:hAnsi="Times New Roman"/>
                <w:sz w:val="24"/>
                <w:szCs w:val="24"/>
              </w:rPr>
            </w:pPr>
            <w:r w:rsidRPr="00B83AB0">
              <w:rPr>
                <w:rFonts w:ascii="Times New Roman" w:hAnsi="Times New Roman"/>
                <w:sz w:val="24"/>
                <w:szCs w:val="24"/>
              </w:rPr>
              <w:lastRenderedPageBreak/>
              <w:t>Category 1001</w:t>
            </w:r>
          </w:p>
        </w:tc>
        <w:tc>
          <w:tcPr>
            <w:tcW w:w="3901" w:type="pct"/>
            <w:shd w:val="clear" w:color="auto" w:fill="F3F3F3"/>
          </w:tcPr>
          <w:p w14:paraId="574BF0CB" w14:textId="77777777" w:rsidR="0041584B" w:rsidRPr="00B83AB0" w:rsidRDefault="0041584B" w:rsidP="0041584B">
            <w:pPr>
              <w:pStyle w:val="Table"/>
              <w:spacing w:line="360" w:lineRule="auto"/>
              <w:rPr>
                <w:rFonts w:ascii="Times New Roman" w:hAnsi="Times New Roman"/>
                <w:sz w:val="24"/>
                <w:szCs w:val="24"/>
              </w:rPr>
            </w:pPr>
            <w:r w:rsidRPr="00B83AB0">
              <w:rPr>
                <w:rFonts w:ascii="Times New Roman" w:hAnsi="Times New Roman"/>
                <w:sz w:val="24"/>
                <w:szCs w:val="24"/>
              </w:rPr>
              <w:t xml:space="preserve">Point of Common Coupling at a voltage of less than 22 kV on the secondary side of a substation whose primary side is attached to a </w:t>
            </w:r>
            <w:proofErr w:type="gramStart"/>
            <w:r w:rsidRPr="00B83AB0">
              <w:rPr>
                <w:rFonts w:ascii="Times New Roman" w:hAnsi="Times New Roman"/>
                <w:sz w:val="24"/>
                <w:szCs w:val="24"/>
              </w:rPr>
              <w:t>132 kV</w:t>
            </w:r>
            <w:proofErr w:type="gramEnd"/>
            <w:r w:rsidRPr="00B83AB0">
              <w:rPr>
                <w:rFonts w:ascii="Times New Roman" w:hAnsi="Times New Roman"/>
                <w:sz w:val="24"/>
                <w:szCs w:val="24"/>
              </w:rPr>
              <w:t xml:space="preserve"> distribution circuit.</w:t>
            </w:r>
          </w:p>
        </w:tc>
      </w:tr>
      <w:tr w:rsidR="0041584B" w:rsidRPr="00B83AB0" w14:paraId="1BFAB1F3" w14:textId="77777777" w:rsidTr="0041584B">
        <w:trPr>
          <w:cantSplit/>
        </w:trPr>
        <w:tc>
          <w:tcPr>
            <w:tcW w:w="1099" w:type="pct"/>
          </w:tcPr>
          <w:p w14:paraId="1507BDB4" w14:textId="77777777" w:rsidR="0041584B" w:rsidRPr="00B83AB0" w:rsidRDefault="0041584B" w:rsidP="0041584B">
            <w:pPr>
              <w:pStyle w:val="Table"/>
              <w:spacing w:line="360" w:lineRule="auto"/>
              <w:rPr>
                <w:rFonts w:ascii="Times New Roman" w:hAnsi="Times New Roman"/>
                <w:sz w:val="24"/>
                <w:szCs w:val="24"/>
              </w:rPr>
            </w:pPr>
            <w:r w:rsidRPr="00B83AB0">
              <w:rPr>
                <w:rFonts w:ascii="Times New Roman" w:hAnsi="Times New Roman"/>
                <w:sz w:val="24"/>
                <w:szCs w:val="24"/>
              </w:rPr>
              <w:t>Category 0011</w:t>
            </w:r>
          </w:p>
        </w:tc>
        <w:tc>
          <w:tcPr>
            <w:tcW w:w="3901" w:type="pct"/>
          </w:tcPr>
          <w:p w14:paraId="65056B85" w14:textId="77777777" w:rsidR="0041584B" w:rsidRPr="00B83AB0" w:rsidRDefault="0041584B" w:rsidP="0041584B">
            <w:pPr>
              <w:pStyle w:val="Table"/>
              <w:spacing w:line="360" w:lineRule="auto"/>
              <w:rPr>
                <w:rFonts w:ascii="Times New Roman" w:hAnsi="Times New Roman"/>
                <w:sz w:val="24"/>
                <w:szCs w:val="24"/>
              </w:rPr>
            </w:pPr>
            <w:r w:rsidRPr="00B83AB0">
              <w:rPr>
                <w:rFonts w:ascii="Times New Roman" w:hAnsi="Times New Roman"/>
                <w:sz w:val="24"/>
                <w:szCs w:val="24"/>
              </w:rPr>
              <w:t>Point of Common Coupling at a voltage of less than 22 kV on the secondary side of a substation whose primary side is at a voltage of 22 kV or more, but less than 132 kV, fed from a GSP with no intermediate transformation.</w:t>
            </w:r>
          </w:p>
        </w:tc>
      </w:tr>
      <w:tr w:rsidR="0041584B" w:rsidRPr="00B83AB0" w14:paraId="358EDCA8" w14:textId="77777777" w:rsidTr="0041584B">
        <w:trPr>
          <w:cantSplit/>
        </w:trPr>
        <w:tc>
          <w:tcPr>
            <w:tcW w:w="1099" w:type="pct"/>
            <w:shd w:val="clear" w:color="auto" w:fill="F3F3F3"/>
          </w:tcPr>
          <w:p w14:paraId="7B896894" w14:textId="77777777" w:rsidR="0041584B" w:rsidRPr="00B83AB0" w:rsidRDefault="0041584B" w:rsidP="0041584B">
            <w:pPr>
              <w:pStyle w:val="Table"/>
              <w:spacing w:line="360" w:lineRule="auto"/>
              <w:rPr>
                <w:rFonts w:ascii="Times New Roman" w:hAnsi="Times New Roman"/>
                <w:sz w:val="24"/>
                <w:szCs w:val="24"/>
              </w:rPr>
            </w:pPr>
            <w:r w:rsidRPr="00B83AB0">
              <w:rPr>
                <w:rFonts w:ascii="Times New Roman" w:hAnsi="Times New Roman"/>
                <w:sz w:val="24"/>
                <w:szCs w:val="24"/>
              </w:rPr>
              <w:t>Category 0111</w:t>
            </w:r>
          </w:p>
        </w:tc>
        <w:tc>
          <w:tcPr>
            <w:tcW w:w="3901" w:type="pct"/>
            <w:shd w:val="clear" w:color="auto" w:fill="F3F3F3"/>
          </w:tcPr>
          <w:p w14:paraId="617DE389" w14:textId="77777777" w:rsidR="0041584B" w:rsidRPr="00B83AB0" w:rsidRDefault="0041584B" w:rsidP="0041584B">
            <w:pPr>
              <w:pStyle w:val="Table"/>
              <w:spacing w:line="360" w:lineRule="auto"/>
              <w:rPr>
                <w:rFonts w:ascii="Times New Roman" w:hAnsi="Times New Roman"/>
                <w:sz w:val="24"/>
                <w:szCs w:val="24"/>
              </w:rPr>
            </w:pPr>
            <w:r w:rsidRPr="00B83AB0">
              <w:rPr>
                <w:rFonts w:ascii="Times New Roman" w:hAnsi="Times New Roman"/>
                <w:sz w:val="24"/>
                <w:szCs w:val="24"/>
              </w:rPr>
              <w:t>Point of Common Coupling at a voltage of less than 22 kV on the secondary side of a substation whose primary side is at a voltage of 22 kV or more, but less than 132 kV, fed through a distribution circuit from a substation whose primary side is attached at 132 kV to a co-located GSP with no circuit.</w:t>
            </w:r>
          </w:p>
        </w:tc>
      </w:tr>
      <w:tr w:rsidR="0041584B" w:rsidRPr="00B83AB0" w14:paraId="05DE419A" w14:textId="77777777" w:rsidTr="0041584B">
        <w:trPr>
          <w:cantSplit/>
        </w:trPr>
        <w:tc>
          <w:tcPr>
            <w:tcW w:w="1099" w:type="pct"/>
          </w:tcPr>
          <w:p w14:paraId="44B3E35C" w14:textId="77777777" w:rsidR="0041584B" w:rsidRPr="00B83AB0" w:rsidRDefault="0041584B" w:rsidP="0041584B">
            <w:pPr>
              <w:pStyle w:val="Table"/>
              <w:spacing w:line="360" w:lineRule="auto"/>
              <w:rPr>
                <w:rFonts w:ascii="Times New Roman" w:hAnsi="Times New Roman"/>
                <w:sz w:val="24"/>
                <w:szCs w:val="24"/>
              </w:rPr>
            </w:pPr>
            <w:r w:rsidRPr="00B83AB0">
              <w:rPr>
                <w:rFonts w:ascii="Times New Roman" w:hAnsi="Times New Roman"/>
                <w:sz w:val="24"/>
                <w:szCs w:val="24"/>
              </w:rPr>
              <w:t>Category 0101</w:t>
            </w:r>
          </w:p>
        </w:tc>
        <w:tc>
          <w:tcPr>
            <w:tcW w:w="3901" w:type="pct"/>
          </w:tcPr>
          <w:p w14:paraId="44262174" w14:textId="77777777" w:rsidR="0041584B" w:rsidRPr="00B83AB0" w:rsidRDefault="0041584B" w:rsidP="0041584B">
            <w:pPr>
              <w:pStyle w:val="Table"/>
              <w:spacing w:line="360" w:lineRule="auto"/>
              <w:rPr>
                <w:rFonts w:ascii="Times New Roman" w:hAnsi="Times New Roman"/>
                <w:sz w:val="24"/>
                <w:szCs w:val="24"/>
              </w:rPr>
            </w:pPr>
            <w:r w:rsidRPr="00B83AB0">
              <w:rPr>
                <w:rFonts w:ascii="Times New Roman" w:hAnsi="Times New Roman"/>
                <w:sz w:val="24"/>
                <w:szCs w:val="24"/>
              </w:rPr>
              <w:t>Point of Common Coupling at a voltage of less than 22 kV on the secondary side of a substation whose primary side is at a voltage of 22 kV or more, but less than 132 kV, fed from the secondary side of a co-located substation whose primary side is attached at 132 kV to a co-located GSP with no circuit.</w:t>
            </w:r>
          </w:p>
        </w:tc>
      </w:tr>
      <w:tr w:rsidR="0041584B" w:rsidRPr="00B83AB0" w14:paraId="463177D2" w14:textId="77777777" w:rsidTr="0041584B">
        <w:trPr>
          <w:cantSplit/>
        </w:trPr>
        <w:tc>
          <w:tcPr>
            <w:tcW w:w="1099" w:type="pct"/>
            <w:shd w:val="clear" w:color="auto" w:fill="F3F3F3"/>
          </w:tcPr>
          <w:p w14:paraId="3A8757FC" w14:textId="77777777" w:rsidR="0041584B" w:rsidRPr="00B83AB0" w:rsidRDefault="0041584B" w:rsidP="0041584B">
            <w:pPr>
              <w:pStyle w:val="Table"/>
              <w:spacing w:line="360" w:lineRule="auto"/>
              <w:rPr>
                <w:rFonts w:ascii="Times New Roman" w:hAnsi="Times New Roman"/>
                <w:sz w:val="24"/>
                <w:szCs w:val="24"/>
              </w:rPr>
            </w:pPr>
            <w:r w:rsidRPr="00B83AB0">
              <w:rPr>
                <w:rFonts w:ascii="Times New Roman" w:hAnsi="Times New Roman"/>
                <w:sz w:val="24"/>
                <w:szCs w:val="24"/>
              </w:rPr>
              <w:t>Category 1101</w:t>
            </w:r>
          </w:p>
        </w:tc>
        <w:tc>
          <w:tcPr>
            <w:tcW w:w="3901" w:type="pct"/>
            <w:shd w:val="clear" w:color="auto" w:fill="F3F3F3"/>
          </w:tcPr>
          <w:p w14:paraId="75472A5F" w14:textId="77777777" w:rsidR="0041584B" w:rsidRPr="00B83AB0" w:rsidRDefault="0041584B" w:rsidP="0041584B">
            <w:pPr>
              <w:pStyle w:val="Table"/>
              <w:spacing w:line="360" w:lineRule="auto"/>
              <w:rPr>
                <w:rFonts w:ascii="Times New Roman" w:hAnsi="Times New Roman"/>
                <w:sz w:val="24"/>
                <w:szCs w:val="24"/>
              </w:rPr>
            </w:pPr>
            <w:r w:rsidRPr="00B83AB0">
              <w:rPr>
                <w:rFonts w:ascii="Times New Roman" w:hAnsi="Times New Roman"/>
                <w:sz w:val="24"/>
                <w:szCs w:val="24"/>
              </w:rPr>
              <w:t>Point of Common Coupling at a voltage of less than 22 kV on the secondary side of a substation whose primary side is at a voltage of 22 kV or more, but less than 132 kV, fed from the secondary side of a co-located substation whose primary side is attached to a 132 kV distribution circuit.</w:t>
            </w:r>
          </w:p>
        </w:tc>
      </w:tr>
      <w:tr w:rsidR="0041584B" w:rsidRPr="00B83AB0" w14:paraId="23D24490" w14:textId="77777777" w:rsidTr="0041584B">
        <w:trPr>
          <w:cantSplit/>
        </w:trPr>
        <w:tc>
          <w:tcPr>
            <w:tcW w:w="1099" w:type="pct"/>
            <w:tcBorders>
              <w:bottom w:val="single" w:sz="4" w:space="0" w:color="auto"/>
            </w:tcBorders>
          </w:tcPr>
          <w:p w14:paraId="72CE901F" w14:textId="77777777" w:rsidR="0041584B" w:rsidRPr="00B83AB0" w:rsidRDefault="0041584B" w:rsidP="0041584B">
            <w:pPr>
              <w:pStyle w:val="Table"/>
              <w:spacing w:line="360" w:lineRule="auto"/>
              <w:rPr>
                <w:rFonts w:ascii="Times New Roman" w:hAnsi="Times New Roman"/>
                <w:sz w:val="24"/>
                <w:szCs w:val="24"/>
              </w:rPr>
            </w:pPr>
            <w:r w:rsidRPr="00B83AB0">
              <w:rPr>
                <w:rFonts w:ascii="Times New Roman" w:hAnsi="Times New Roman"/>
                <w:sz w:val="24"/>
                <w:szCs w:val="24"/>
              </w:rPr>
              <w:t>Category 1111</w:t>
            </w:r>
          </w:p>
        </w:tc>
        <w:tc>
          <w:tcPr>
            <w:tcW w:w="3901" w:type="pct"/>
            <w:tcBorders>
              <w:bottom w:val="single" w:sz="4" w:space="0" w:color="auto"/>
            </w:tcBorders>
          </w:tcPr>
          <w:p w14:paraId="797BF77C" w14:textId="77777777" w:rsidR="0041584B" w:rsidRPr="00B83AB0" w:rsidRDefault="0041584B" w:rsidP="0041584B">
            <w:pPr>
              <w:pStyle w:val="Table"/>
              <w:spacing w:line="360" w:lineRule="auto"/>
              <w:rPr>
                <w:rFonts w:ascii="Times New Roman" w:hAnsi="Times New Roman"/>
                <w:sz w:val="24"/>
                <w:szCs w:val="24"/>
              </w:rPr>
            </w:pPr>
            <w:r w:rsidRPr="00B83AB0">
              <w:rPr>
                <w:rFonts w:ascii="Times New Roman" w:hAnsi="Times New Roman"/>
                <w:sz w:val="24"/>
                <w:szCs w:val="24"/>
              </w:rPr>
              <w:t>Point of Common Coupling at a voltage of less than 22 kV on the secondary side of a substation whose primary side is at a voltage of 22 kV or more, but less than 132 kV, fed through a distribution circuit from a substation whose primary side is attached to a 132 kV distribution circuit.</w:t>
            </w:r>
          </w:p>
        </w:tc>
      </w:tr>
    </w:tbl>
    <w:p w14:paraId="549D0D2C" w14:textId="77777777" w:rsidR="0041584B" w:rsidRPr="00A72035" w:rsidRDefault="0041584B" w:rsidP="0041584B">
      <w:pPr>
        <w:pStyle w:val="Heading2"/>
        <w:spacing w:before="240"/>
      </w:pPr>
      <w:r w:rsidRPr="00A72035">
        <w:t xml:space="preserve">All references to GSP in table </w:t>
      </w:r>
      <w:r>
        <w:t xml:space="preserve">15.6 </w:t>
      </w:r>
      <w:r w:rsidRPr="00A72035">
        <w:t>above relate to interconnections with the onshore National Electricity Transmission System.</w:t>
      </w:r>
    </w:p>
    <w:p w14:paraId="280F280E" w14:textId="77777777" w:rsidR="0041584B" w:rsidRDefault="0041584B" w:rsidP="0041584B">
      <w:pPr>
        <w:pStyle w:val="Heading2"/>
      </w:pPr>
      <w:r w:rsidRPr="00A72035">
        <w:lastRenderedPageBreak/>
        <w:t>The figure below provides examples of Connectees who might be placed in each of the categories described above.</w:t>
      </w:r>
    </w:p>
    <w:p w14:paraId="6880571B" w14:textId="77777777" w:rsidR="0041584B" w:rsidRDefault="0041584B" w:rsidP="0041584B">
      <w:r>
        <w:rPr>
          <w:noProof/>
          <w:lang w:eastAsia="en-GB"/>
        </w:rPr>
        <w:drawing>
          <wp:inline distT="0" distB="0" distL="0" distR="0" wp14:anchorId="5C585D5C" wp14:editId="450271E1">
            <wp:extent cx="5346700" cy="6852920"/>
            <wp:effectExtent l="0" t="0" r="6350" b="5080"/>
            <wp:docPr id="49" name="Picture 49" descr="OD pic for FL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OD pic for FL2"/>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5346700" cy="6852920"/>
                    </a:xfrm>
                    <a:prstGeom prst="rect">
                      <a:avLst/>
                    </a:prstGeom>
                    <a:noFill/>
                    <a:ln>
                      <a:noFill/>
                    </a:ln>
                  </pic:spPr>
                </pic:pic>
              </a:graphicData>
            </a:graphic>
          </wp:inline>
        </w:drawing>
      </w:r>
    </w:p>
    <w:p w14:paraId="1E9AA597" w14:textId="77777777" w:rsidR="0041584B" w:rsidRDefault="0041584B" w:rsidP="0041584B">
      <w:pPr>
        <w:pStyle w:val="Heading2"/>
      </w:pPr>
      <w:r w:rsidRPr="00A72035">
        <w:t>The use of each network level by each EDCM Connectee is determined according the rules set out in table</w:t>
      </w:r>
      <w:r>
        <w:t xml:space="preserve"> 15.9</w:t>
      </w:r>
      <w:r w:rsidRPr="00A72035">
        <w:t>.</w:t>
      </w:r>
    </w:p>
    <w:p w14:paraId="2DCF5238" w14:textId="77777777" w:rsidR="0041584B" w:rsidRDefault="0041584B" w:rsidP="0041584B">
      <w:pPr>
        <w:pStyle w:val="Heading2"/>
        <w:numPr>
          <w:ilvl w:val="0"/>
          <w:numId w:val="0"/>
        </w:numPr>
        <w:ind w:left="720"/>
      </w:pPr>
    </w:p>
    <w:p w14:paraId="05920950" w14:textId="77777777" w:rsidR="0041584B" w:rsidRDefault="0041584B" w:rsidP="0041584B">
      <w:pPr>
        <w:pStyle w:val="Caption"/>
      </w:pPr>
      <w:r w:rsidRPr="00605344">
        <w:lastRenderedPageBreak/>
        <w:t>Table 15.9 Use of each network level by each EDCM Connectee</w:t>
      </w:r>
    </w:p>
    <w:tbl>
      <w:tblPr>
        <w:tblW w:w="523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CC99"/>
        <w:tblLayout w:type="fixed"/>
        <w:tblLook w:val="01E0" w:firstRow="1" w:lastRow="1" w:firstColumn="1" w:lastColumn="1" w:noHBand="0" w:noVBand="0"/>
      </w:tblPr>
      <w:tblGrid>
        <w:gridCol w:w="2414"/>
        <w:gridCol w:w="1410"/>
        <w:gridCol w:w="1410"/>
        <w:gridCol w:w="1406"/>
        <w:gridCol w:w="1406"/>
        <w:gridCol w:w="1404"/>
      </w:tblGrid>
      <w:tr w:rsidR="0041584B" w:rsidRPr="00B83AB0" w14:paraId="224D788B" w14:textId="77777777" w:rsidTr="0041584B">
        <w:trPr>
          <w:jc w:val="center"/>
        </w:trPr>
        <w:tc>
          <w:tcPr>
            <w:tcW w:w="1277" w:type="pct"/>
            <w:tcBorders>
              <w:bottom w:val="single" w:sz="4" w:space="0" w:color="auto"/>
            </w:tcBorders>
            <w:shd w:val="clear" w:color="auto" w:fill="auto"/>
          </w:tcPr>
          <w:p w14:paraId="4E7BE2CE" w14:textId="77777777" w:rsidR="0041584B" w:rsidRPr="00B83AB0" w:rsidRDefault="0041584B" w:rsidP="0041584B">
            <w:pPr>
              <w:pStyle w:val="DCUSATabletextnumbers"/>
            </w:pPr>
            <w:r w:rsidRPr="00B83AB0">
              <w:t>EDCM Customers in category</w:t>
            </w:r>
          </w:p>
        </w:tc>
        <w:tc>
          <w:tcPr>
            <w:tcW w:w="746" w:type="pct"/>
            <w:shd w:val="clear" w:color="auto" w:fill="auto"/>
          </w:tcPr>
          <w:p w14:paraId="01B8E124" w14:textId="77777777" w:rsidR="0041584B" w:rsidRPr="00B83AB0" w:rsidRDefault="0041584B" w:rsidP="0041584B">
            <w:pPr>
              <w:pStyle w:val="DCUSATabletextnumbers"/>
            </w:pPr>
            <w:r w:rsidRPr="00B83AB0">
              <w:t>Level 1</w:t>
            </w:r>
          </w:p>
        </w:tc>
        <w:tc>
          <w:tcPr>
            <w:tcW w:w="746" w:type="pct"/>
            <w:shd w:val="clear" w:color="auto" w:fill="auto"/>
          </w:tcPr>
          <w:p w14:paraId="2CA1CF90" w14:textId="77777777" w:rsidR="0041584B" w:rsidRPr="00B83AB0" w:rsidRDefault="0041584B" w:rsidP="0041584B">
            <w:pPr>
              <w:pStyle w:val="DCUSATabletextnumbers"/>
            </w:pPr>
            <w:r w:rsidRPr="00B83AB0">
              <w:t>Level 2</w:t>
            </w:r>
          </w:p>
        </w:tc>
        <w:tc>
          <w:tcPr>
            <w:tcW w:w="744" w:type="pct"/>
            <w:shd w:val="clear" w:color="auto" w:fill="auto"/>
          </w:tcPr>
          <w:p w14:paraId="56A4849B" w14:textId="77777777" w:rsidR="0041584B" w:rsidRPr="00B83AB0" w:rsidRDefault="0041584B" w:rsidP="0041584B">
            <w:pPr>
              <w:pStyle w:val="DCUSATabletextnumbers"/>
            </w:pPr>
            <w:r w:rsidRPr="00B83AB0">
              <w:t>Level 3</w:t>
            </w:r>
          </w:p>
        </w:tc>
        <w:tc>
          <w:tcPr>
            <w:tcW w:w="744" w:type="pct"/>
            <w:shd w:val="clear" w:color="auto" w:fill="auto"/>
          </w:tcPr>
          <w:p w14:paraId="00800F1F" w14:textId="77777777" w:rsidR="0041584B" w:rsidRPr="00B83AB0" w:rsidRDefault="0041584B" w:rsidP="0041584B">
            <w:pPr>
              <w:pStyle w:val="DCUSATabletextnumbers"/>
            </w:pPr>
            <w:r w:rsidRPr="00B83AB0">
              <w:t>Level 4</w:t>
            </w:r>
          </w:p>
        </w:tc>
        <w:tc>
          <w:tcPr>
            <w:tcW w:w="743" w:type="pct"/>
            <w:shd w:val="clear" w:color="auto" w:fill="auto"/>
          </w:tcPr>
          <w:p w14:paraId="4BD0BF73" w14:textId="77777777" w:rsidR="0041584B" w:rsidRPr="00B83AB0" w:rsidRDefault="0041584B" w:rsidP="0041584B">
            <w:pPr>
              <w:pStyle w:val="DCUSATabletextnumbers"/>
            </w:pPr>
            <w:r w:rsidRPr="00B83AB0">
              <w:t>Level 5</w:t>
            </w:r>
          </w:p>
        </w:tc>
      </w:tr>
      <w:tr w:rsidR="0041584B" w:rsidRPr="00B83AB0" w14:paraId="73E0BED0" w14:textId="77777777" w:rsidTr="0041584B">
        <w:trPr>
          <w:jc w:val="center"/>
        </w:trPr>
        <w:tc>
          <w:tcPr>
            <w:tcW w:w="1277" w:type="pct"/>
            <w:shd w:val="clear" w:color="auto" w:fill="auto"/>
          </w:tcPr>
          <w:p w14:paraId="111642AB" w14:textId="77777777" w:rsidR="0041584B" w:rsidRPr="00B83AB0" w:rsidRDefault="0041584B" w:rsidP="0041584B">
            <w:pPr>
              <w:pStyle w:val="DCUSATableText"/>
            </w:pPr>
            <w:r w:rsidRPr="00B83AB0">
              <w:t>Category 0000</w:t>
            </w:r>
          </w:p>
        </w:tc>
        <w:tc>
          <w:tcPr>
            <w:tcW w:w="746" w:type="pct"/>
            <w:tcBorders>
              <w:bottom w:val="single" w:sz="4" w:space="0" w:color="auto"/>
            </w:tcBorders>
            <w:shd w:val="clear" w:color="auto" w:fill="E0E0E0"/>
          </w:tcPr>
          <w:p w14:paraId="1E084941" w14:textId="77777777" w:rsidR="0041584B" w:rsidRPr="00B83AB0" w:rsidRDefault="0041584B" w:rsidP="0041584B">
            <w:pPr>
              <w:pStyle w:val="DCUSATableText"/>
            </w:pPr>
            <w:r w:rsidRPr="00B83AB0">
              <w:t>Zero</w:t>
            </w:r>
          </w:p>
        </w:tc>
        <w:tc>
          <w:tcPr>
            <w:tcW w:w="746" w:type="pct"/>
            <w:shd w:val="clear" w:color="auto" w:fill="E0E0E0"/>
          </w:tcPr>
          <w:p w14:paraId="3EEEFFC1" w14:textId="77777777" w:rsidR="0041584B" w:rsidRPr="00B83AB0" w:rsidRDefault="0041584B" w:rsidP="0041584B">
            <w:pPr>
              <w:pStyle w:val="DCUSATableText"/>
            </w:pPr>
            <w:r w:rsidRPr="00B83AB0">
              <w:t>Zero</w:t>
            </w:r>
          </w:p>
        </w:tc>
        <w:tc>
          <w:tcPr>
            <w:tcW w:w="744" w:type="pct"/>
            <w:shd w:val="clear" w:color="auto" w:fill="E0E0E0"/>
          </w:tcPr>
          <w:p w14:paraId="71D67157" w14:textId="77777777" w:rsidR="0041584B" w:rsidRPr="00B83AB0" w:rsidRDefault="0041584B" w:rsidP="0041584B">
            <w:pPr>
              <w:pStyle w:val="DCUSATableText"/>
            </w:pPr>
            <w:r w:rsidRPr="00B83AB0">
              <w:t>Zero</w:t>
            </w:r>
          </w:p>
        </w:tc>
        <w:tc>
          <w:tcPr>
            <w:tcW w:w="744" w:type="pct"/>
            <w:shd w:val="clear" w:color="auto" w:fill="E0E0E0"/>
          </w:tcPr>
          <w:p w14:paraId="4AC71BD4" w14:textId="77777777" w:rsidR="0041584B" w:rsidRPr="00B83AB0" w:rsidRDefault="0041584B" w:rsidP="0041584B">
            <w:pPr>
              <w:pStyle w:val="DCUSATableText"/>
            </w:pPr>
            <w:r w:rsidRPr="00B83AB0">
              <w:t>Zero</w:t>
            </w:r>
          </w:p>
        </w:tc>
        <w:tc>
          <w:tcPr>
            <w:tcW w:w="743" w:type="pct"/>
            <w:shd w:val="clear" w:color="auto" w:fill="E0E0E0"/>
          </w:tcPr>
          <w:p w14:paraId="53836C5B" w14:textId="77777777" w:rsidR="0041584B" w:rsidRPr="00B83AB0" w:rsidRDefault="0041584B" w:rsidP="0041584B">
            <w:pPr>
              <w:pStyle w:val="DCUSATableText"/>
            </w:pPr>
            <w:r w:rsidRPr="00B83AB0">
              <w:t>Zero</w:t>
            </w:r>
          </w:p>
        </w:tc>
      </w:tr>
      <w:tr w:rsidR="0041584B" w:rsidRPr="00B83AB0" w14:paraId="6FAAF21A" w14:textId="77777777" w:rsidTr="0041584B">
        <w:trPr>
          <w:jc w:val="center"/>
        </w:trPr>
        <w:tc>
          <w:tcPr>
            <w:tcW w:w="1277" w:type="pct"/>
            <w:shd w:val="clear" w:color="auto" w:fill="auto"/>
          </w:tcPr>
          <w:p w14:paraId="10053703" w14:textId="77777777" w:rsidR="0041584B" w:rsidRPr="00B83AB0" w:rsidRDefault="0041584B" w:rsidP="0041584B">
            <w:pPr>
              <w:pStyle w:val="DCUSATableText"/>
            </w:pPr>
            <w:r w:rsidRPr="00B83AB0">
              <w:t>Category 1000</w:t>
            </w:r>
          </w:p>
        </w:tc>
        <w:tc>
          <w:tcPr>
            <w:tcW w:w="746" w:type="pct"/>
            <w:tcBorders>
              <w:bottom w:val="single" w:sz="4" w:space="0" w:color="auto"/>
            </w:tcBorders>
            <w:shd w:val="clear" w:color="auto" w:fill="CCFFFF"/>
          </w:tcPr>
          <w:p w14:paraId="331C34E6" w14:textId="77777777" w:rsidR="0041584B" w:rsidRPr="00B83AB0" w:rsidRDefault="0041584B" w:rsidP="0041584B">
            <w:pPr>
              <w:pStyle w:val="DCUSATableText"/>
            </w:pPr>
            <w:r w:rsidRPr="00B83AB0">
              <w:t>Capacity kVA</w:t>
            </w:r>
          </w:p>
        </w:tc>
        <w:tc>
          <w:tcPr>
            <w:tcW w:w="746" w:type="pct"/>
            <w:tcBorders>
              <w:bottom w:val="single" w:sz="4" w:space="0" w:color="auto"/>
            </w:tcBorders>
            <w:shd w:val="clear" w:color="auto" w:fill="E0E0E0"/>
          </w:tcPr>
          <w:p w14:paraId="5C2627FB" w14:textId="77777777" w:rsidR="0041584B" w:rsidRPr="00B83AB0" w:rsidRDefault="0041584B" w:rsidP="0041584B">
            <w:pPr>
              <w:pStyle w:val="DCUSATableText"/>
            </w:pPr>
            <w:r w:rsidRPr="00B83AB0">
              <w:t>Zero</w:t>
            </w:r>
          </w:p>
        </w:tc>
        <w:tc>
          <w:tcPr>
            <w:tcW w:w="744" w:type="pct"/>
            <w:shd w:val="clear" w:color="auto" w:fill="E0E0E0"/>
          </w:tcPr>
          <w:p w14:paraId="3ED8AC83" w14:textId="77777777" w:rsidR="0041584B" w:rsidRPr="00B83AB0" w:rsidRDefault="0041584B" w:rsidP="0041584B">
            <w:pPr>
              <w:pStyle w:val="DCUSATableText"/>
            </w:pPr>
            <w:r w:rsidRPr="00B83AB0">
              <w:t>Zero</w:t>
            </w:r>
          </w:p>
        </w:tc>
        <w:tc>
          <w:tcPr>
            <w:tcW w:w="744" w:type="pct"/>
            <w:shd w:val="clear" w:color="auto" w:fill="E0E0E0"/>
          </w:tcPr>
          <w:p w14:paraId="195EFFC0" w14:textId="77777777" w:rsidR="0041584B" w:rsidRPr="00B83AB0" w:rsidRDefault="0041584B" w:rsidP="0041584B">
            <w:pPr>
              <w:pStyle w:val="DCUSATableText"/>
            </w:pPr>
            <w:r w:rsidRPr="00B83AB0">
              <w:t>Zero</w:t>
            </w:r>
          </w:p>
        </w:tc>
        <w:tc>
          <w:tcPr>
            <w:tcW w:w="743" w:type="pct"/>
            <w:shd w:val="clear" w:color="auto" w:fill="E0E0E0"/>
          </w:tcPr>
          <w:p w14:paraId="6C861A46" w14:textId="77777777" w:rsidR="0041584B" w:rsidRPr="00B83AB0" w:rsidRDefault="0041584B" w:rsidP="0041584B">
            <w:pPr>
              <w:pStyle w:val="DCUSATableText"/>
            </w:pPr>
            <w:r w:rsidRPr="00B83AB0">
              <w:t>Zero</w:t>
            </w:r>
          </w:p>
        </w:tc>
      </w:tr>
      <w:tr w:rsidR="0041584B" w:rsidRPr="00B83AB0" w14:paraId="7B54610F" w14:textId="77777777" w:rsidTr="0041584B">
        <w:trPr>
          <w:jc w:val="center"/>
        </w:trPr>
        <w:tc>
          <w:tcPr>
            <w:tcW w:w="1277" w:type="pct"/>
            <w:shd w:val="clear" w:color="auto" w:fill="auto"/>
          </w:tcPr>
          <w:p w14:paraId="0C16C742" w14:textId="77777777" w:rsidR="0041584B" w:rsidRPr="00B83AB0" w:rsidRDefault="0041584B" w:rsidP="0041584B">
            <w:pPr>
              <w:pStyle w:val="DCUSATableText"/>
            </w:pPr>
            <w:r w:rsidRPr="00B83AB0">
              <w:t>Category 1100</w:t>
            </w:r>
          </w:p>
        </w:tc>
        <w:tc>
          <w:tcPr>
            <w:tcW w:w="746" w:type="pct"/>
            <w:shd w:val="clear" w:color="auto" w:fill="FF9900"/>
          </w:tcPr>
          <w:p w14:paraId="60E6F389" w14:textId="77777777" w:rsidR="0041584B" w:rsidRPr="00B83AB0" w:rsidRDefault="0041584B" w:rsidP="0041584B">
            <w:pPr>
              <w:pStyle w:val="DCUSATableText"/>
            </w:pPr>
            <w:r w:rsidRPr="00B83AB0">
              <w:t>Peak-time active kW</w:t>
            </w:r>
          </w:p>
        </w:tc>
        <w:tc>
          <w:tcPr>
            <w:tcW w:w="746" w:type="pct"/>
            <w:tcBorders>
              <w:bottom w:val="single" w:sz="4" w:space="0" w:color="auto"/>
            </w:tcBorders>
            <w:shd w:val="clear" w:color="auto" w:fill="CCFFFF"/>
          </w:tcPr>
          <w:p w14:paraId="1719B054" w14:textId="77777777" w:rsidR="0041584B" w:rsidRPr="00B83AB0" w:rsidRDefault="0041584B" w:rsidP="0041584B">
            <w:pPr>
              <w:pStyle w:val="DCUSATableText"/>
            </w:pPr>
            <w:r w:rsidRPr="00B83AB0">
              <w:t>Capacity kVA</w:t>
            </w:r>
          </w:p>
        </w:tc>
        <w:tc>
          <w:tcPr>
            <w:tcW w:w="744" w:type="pct"/>
            <w:tcBorders>
              <w:bottom w:val="single" w:sz="4" w:space="0" w:color="auto"/>
            </w:tcBorders>
            <w:shd w:val="clear" w:color="auto" w:fill="E0E0E0"/>
          </w:tcPr>
          <w:p w14:paraId="4F8E4D06" w14:textId="77777777" w:rsidR="0041584B" w:rsidRPr="00B83AB0" w:rsidRDefault="0041584B" w:rsidP="0041584B">
            <w:pPr>
              <w:pStyle w:val="DCUSATableText"/>
            </w:pPr>
            <w:r w:rsidRPr="00B83AB0">
              <w:t>Zero</w:t>
            </w:r>
          </w:p>
        </w:tc>
        <w:tc>
          <w:tcPr>
            <w:tcW w:w="744" w:type="pct"/>
            <w:shd w:val="clear" w:color="auto" w:fill="E0E0E0"/>
          </w:tcPr>
          <w:p w14:paraId="212DB619" w14:textId="77777777" w:rsidR="0041584B" w:rsidRPr="00B83AB0" w:rsidRDefault="0041584B" w:rsidP="0041584B">
            <w:pPr>
              <w:pStyle w:val="DCUSATableText"/>
            </w:pPr>
            <w:r w:rsidRPr="00B83AB0">
              <w:t>Zero</w:t>
            </w:r>
          </w:p>
        </w:tc>
        <w:tc>
          <w:tcPr>
            <w:tcW w:w="743" w:type="pct"/>
            <w:shd w:val="clear" w:color="auto" w:fill="E0E0E0"/>
          </w:tcPr>
          <w:p w14:paraId="71AFAB87" w14:textId="77777777" w:rsidR="0041584B" w:rsidRPr="00B83AB0" w:rsidRDefault="0041584B" w:rsidP="0041584B">
            <w:pPr>
              <w:pStyle w:val="DCUSATableText"/>
            </w:pPr>
            <w:r w:rsidRPr="00B83AB0">
              <w:t>Zero</w:t>
            </w:r>
          </w:p>
        </w:tc>
      </w:tr>
      <w:tr w:rsidR="0041584B" w:rsidRPr="00B83AB0" w14:paraId="2DC3BA8E" w14:textId="77777777" w:rsidTr="0041584B">
        <w:trPr>
          <w:jc w:val="center"/>
        </w:trPr>
        <w:tc>
          <w:tcPr>
            <w:tcW w:w="1277" w:type="pct"/>
            <w:shd w:val="clear" w:color="auto" w:fill="auto"/>
          </w:tcPr>
          <w:p w14:paraId="6F1C88F0" w14:textId="77777777" w:rsidR="0041584B" w:rsidRPr="00B83AB0" w:rsidRDefault="0041584B" w:rsidP="0041584B">
            <w:pPr>
              <w:pStyle w:val="DCUSATableText"/>
            </w:pPr>
            <w:r w:rsidRPr="00B83AB0">
              <w:t>Category 0100</w:t>
            </w:r>
          </w:p>
        </w:tc>
        <w:tc>
          <w:tcPr>
            <w:tcW w:w="746" w:type="pct"/>
            <w:shd w:val="clear" w:color="auto" w:fill="C0C0C0"/>
          </w:tcPr>
          <w:p w14:paraId="34BE4F35" w14:textId="77777777" w:rsidR="0041584B" w:rsidRPr="00B83AB0" w:rsidRDefault="0041584B" w:rsidP="0041584B">
            <w:pPr>
              <w:pStyle w:val="DCUSATableText"/>
            </w:pPr>
            <w:r w:rsidRPr="00B83AB0">
              <w:t>Zero</w:t>
            </w:r>
          </w:p>
          <w:p w14:paraId="03F16D03" w14:textId="77777777" w:rsidR="0041584B" w:rsidRPr="00B83AB0" w:rsidRDefault="0041584B" w:rsidP="0041584B">
            <w:pPr>
              <w:pStyle w:val="DCUSATableText"/>
            </w:pPr>
          </w:p>
        </w:tc>
        <w:tc>
          <w:tcPr>
            <w:tcW w:w="746" w:type="pct"/>
            <w:tcBorders>
              <w:bottom w:val="single" w:sz="4" w:space="0" w:color="auto"/>
            </w:tcBorders>
            <w:shd w:val="clear" w:color="auto" w:fill="CCFFFF"/>
          </w:tcPr>
          <w:p w14:paraId="5FEFCDE0" w14:textId="77777777" w:rsidR="0041584B" w:rsidRPr="00B83AB0" w:rsidRDefault="0041584B" w:rsidP="0041584B">
            <w:pPr>
              <w:pStyle w:val="DCUSATableText"/>
            </w:pPr>
            <w:r w:rsidRPr="00B83AB0">
              <w:t>Capacity kVA</w:t>
            </w:r>
          </w:p>
        </w:tc>
        <w:tc>
          <w:tcPr>
            <w:tcW w:w="744" w:type="pct"/>
            <w:tcBorders>
              <w:bottom w:val="single" w:sz="4" w:space="0" w:color="auto"/>
            </w:tcBorders>
            <w:shd w:val="clear" w:color="auto" w:fill="E0E0E0"/>
          </w:tcPr>
          <w:p w14:paraId="0DB9F6A6" w14:textId="77777777" w:rsidR="0041584B" w:rsidRPr="00B83AB0" w:rsidRDefault="0041584B" w:rsidP="0041584B">
            <w:pPr>
              <w:pStyle w:val="DCUSATableText"/>
            </w:pPr>
            <w:r w:rsidRPr="00B83AB0">
              <w:t>Zero</w:t>
            </w:r>
          </w:p>
        </w:tc>
        <w:tc>
          <w:tcPr>
            <w:tcW w:w="744" w:type="pct"/>
            <w:tcBorders>
              <w:bottom w:val="single" w:sz="4" w:space="0" w:color="auto"/>
            </w:tcBorders>
            <w:shd w:val="clear" w:color="auto" w:fill="E0E0E0"/>
          </w:tcPr>
          <w:p w14:paraId="323803D7" w14:textId="77777777" w:rsidR="0041584B" w:rsidRPr="00B83AB0" w:rsidRDefault="0041584B" w:rsidP="0041584B">
            <w:pPr>
              <w:pStyle w:val="DCUSATableText"/>
            </w:pPr>
            <w:r w:rsidRPr="00B83AB0">
              <w:t>Zero</w:t>
            </w:r>
          </w:p>
        </w:tc>
        <w:tc>
          <w:tcPr>
            <w:tcW w:w="743" w:type="pct"/>
            <w:shd w:val="clear" w:color="auto" w:fill="E0E0E0"/>
          </w:tcPr>
          <w:p w14:paraId="29F8182A" w14:textId="77777777" w:rsidR="0041584B" w:rsidRPr="00B83AB0" w:rsidRDefault="0041584B" w:rsidP="0041584B">
            <w:pPr>
              <w:pStyle w:val="DCUSATableText"/>
            </w:pPr>
            <w:r w:rsidRPr="00B83AB0">
              <w:t>Zero</w:t>
            </w:r>
          </w:p>
        </w:tc>
      </w:tr>
      <w:tr w:rsidR="0041584B" w:rsidRPr="00B83AB0" w14:paraId="6E81A1E7" w14:textId="77777777" w:rsidTr="0041584B">
        <w:trPr>
          <w:jc w:val="center"/>
        </w:trPr>
        <w:tc>
          <w:tcPr>
            <w:tcW w:w="1277" w:type="pct"/>
            <w:shd w:val="clear" w:color="auto" w:fill="auto"/>
          </w:tcPr>
          <w:p w14:paraId="48D8B55F" w14:textId="77777777" w:rsidR="0041584B" w:rsidRPr="00B83AB0" w:rsidRDefault="0041584B" w:rsidP="0041584B">
            <w:pPr>
              <w:pStyle w:val="DCUSATableText"/>
            </w:pPr>
            <w:r w:rsidRPr="00B83AB0">
              <w:t>Category 1110</w:t>
            </w:r>
          </w:p>
        </w:tc>
        <w:tc>
          <w:tcPr>
            <w:tcW w:w="746" w:type="pct"/>
            <w:shd w:val="clear" w:color="auto" w:fill="FF9900"/>
          </w:tcPr>
          <w:p w14:paraId="3CB2EAE8" w14:textId="77777777" w:rsidR="0041584B" w:rsidRPr="00B83AB0" w:rsidRDefault="0041584B" w:rsidP="0041584B">
            <w:pPr>
              <w:pStyle w:val="DCUSATableText"/>
            </w:pPr>
            <w:r w:rsidRPr="00B83AB0">
              <w:t>Peak-time active kW</w:t>
            </w:r>
          </w:p>
        </w:tc>
        <w:tc>
          <w:tcPr>
            <w:tcW w:w="746" w:type="pct"/>
            <w:shd w:val="clear" w:color="auto" w:fill="FF9900"/>
          </w:tcPr>
          <w:p w14:paraId="36EAA79D" w14:textId="77777777" w:rsidR="0041584B" w:rsidRPr="00B83AB0" w:rsidRDefault="0041584B" w:rsidP="0041584B">
            <w:pPr>
              <w:pStyle w:val="DCUSATableText"/>
            </w:pPr>
            <w:r w:rsidRPr="00B83AB0">
              <w:t>Peak-time active kW</w:t>
            </w:r>
          </w:p>
        </w:tc>
        <w:tc>
          <w:tcPr>
            <w:tcW w:w="744" w:type="pct"/>
            <w:shd w:val="clear" w:color="auto" w:fill="CCFFFF"/>
          </w:tcPr>
          <w:p w14:paraId="632D0A00" w14:textId="77777777" w:rsidR="0041584B" w:rsidRPr="00B83AB0" w:rsidRDefault="0041584B" w:rsidP="0041584B">
            <w:pPr>
              <w:pStyle w:val="DCUSATableText"/>
            </w:pPr>
            <w:r w:rsidRPr="00B83AB0">
              <w:t>Capacity kVA</w:t>
            </w:r>
          </w:p>
        </w:tc>
        <w:tc>
          <w:tcPr>
            <w:tcW w:w="744" w:type="pct"/>
            <w:tcBorders>
              <w:bottom w:val="single" w:sz="4" w:space="0" w:color="auto"/>
            </w:tcBorders>
            <w:shd w:val="clear" w:color="auto" w:fill="E0E0E0"/>
          </w:tcPr>
          <w:p w14:paraId="51E58547" w14:textId="77777777" w:rsidR="0041584B" w:rsidRPr="00B83AB0" w:rsidRDefault="0041584B" w:rsidP="0041584B">
            <w:pPr>
              <w:pStyle w:val="DCUSATableText"/>
            </w:pPr>
            <w:r w:rsidRPr="00B83AB0">
              <w:t>Zero</w:t>
            </w:r>
          </w:p>
        </w:tc>
        <w:tc>
          <w:tcPr>
            <w:tcW w:w="743" w:type="pct"/>
            <w:shd w:val="clear" w:color="auto" w:fill="E0E0E0"/>
          </w:tcPr>
          <w:p w14:paraId="6D36E87B" w14:textId="77777777" w:rsidR="0041584B" w:rsidRPr="00B83AB0" w:rsidRDefault="0041584B" w:rsidP="0041584B">
            <w:pPr>
              <w:pStyle w:val="DCUSATableText"/>
            </w:pPr>
            <w:r w:rsidRPr="00B83AB0">
              <w:t>Zero</w:t>
            </w:r>
          </w:p>
        </w:tc>
      </w:tr>
      <w:tr w:rsidR="0041584B" w:rsidRPr="00B83AB0" w14:paraId="6F7AF2FC" w14:textId="77777777" w:rsidTr="0041584B">
        <w:trPr>
          <w:jc w:val="center"/>
        </w:trPr>
        <w:tc>
          <w:tcPr>
            <w:tcW w:w="1277" w:type="pct"/>
            <w:shd w:val="clear" w:color="auto" w:fill="auto"/>
          </w:tcPr>
          <w:p w14:paraId="7E2D186B" w14:textId="77777777" w:rsidR="0041584B" w:rsidRPr="00B83AB0" w:rsidRDefault="0041584B" w:rsidP="0041584B">
            <w:pPr>
              <w:pStyle w:val="DCUSATableText"/>
            </w:pPr>
            <w:r w:rsidRPr="00B83AB0">
              <w:t>Category 0110</w:t>
            </w:r>
          </w:p>
        </w:tc>
        <w:tc>
          <w:tcPr>
            <w:tcW w:w="746" w:type="pct"/>
            <w:shd w:val="clear" w:color="auto" w:fill="E0E0E0"/>
          </w:tcPr>
          <w:p w14:paraId="230ECAAB" w14:textId="77777777" w:rsidR="0041584B" w:rsidRPr="00B83AB0" w:rsidRDefault="0041584B" w:rsidP="0041584B">
            <w:pPr>
              <w:pStyle w:val="DCUSATableText"/>
            </w:pPr>
            <w:r w:rsidRPr="00B83AB0">
              <w:t>Zero</w:t>
            </w:r>
          </w:p>
        </w:tc>
        <w:tc>
          <w:tcPr>
            <w:tcW w:w="746" w:type="pct"/>
            <w:shd w:val="clear" w:color="auto" w:fill="FF9900"/>
          </w:tcPr>
          <w:p w14:paraId="0981B719" w14:textId="77777777" w:rsidR="0041584B" w:rsidRPr="00B83AB0" w:rsidRDefault="0041584B" w:rsidP="0041584B">
            <w:pPr>
              <w:pStyle w:val="DCUSATableText"/>
            </w:pPr>
            <w:r w:rsidRPr="00B83AB0">
              <w:t>Peak-time active kW</w:t>
            </w:r>
          </w:p>
        </w:tc>
        <w:tc>
          <w:tcPr>
            <w:tcW w:w="744" w:type="pct"/>
            <w:shd w:val="clear" w:color="auto" w:fill="CCFFFF"/>
          </w:tcPr>
          <w:p w14:paraId="5059FDAB" w14:textId="77777777" w:rsidR="0041584B" w:rsidRPr="00B83AB0" w:rsidRDefault="0041584B" w:rsidP="0041584B">
            <w:pPr>
              <w:pStyle w:val="DCUSATableText"/>
            </w:pPr>
            <w:r w:rsidRPr="00B83AB0">
              <w:t>Capacity kVA</w:t>
            </w:r>
          </w:p>
        </w:tc>
        <w:tc>
          <w:tcPr>
            <w:tcW w:w="744" w:type="pct"/>
            <w:shd w:val="clear" w:color="auto" w:fill="E0E0E0"/>
          </w:tcPr>
          <w:p w14:paraId="27655CD1" w14:textId="77777777" w:rsidR="0041584B" w:rsidRPr="00B83AB0" w:rsidRDefault="0041584B" w:rsidP="0041584B">
            <w:pPr>
              <w:pStyle w:val="DCUSATableText"/>
            </w:pPr>
            <w:r w:rsidRPr="00B83AB0">
              <w:t>Zero</w:t>
            </w:r>
          </w:p>
        </w:tc>
        <w:tc>
          <w:tcPr>
            <w:tcW w:w="743" w:type="pct"/>
            <w:shd w:val="clear" w:color="auto" w:fill="E0E0E0"/>
          </w:tcPr>
          <w:p w14:paraId="76A693A4" w14:textId="77777777" w:rsidR="0041584B" w:rsidRPr="00B83AB0" w:rsidRDefault="0041584B" w:rsidP="0041584B">
            <w:pPr>
              <w:pStyle w:val="DCUSATableText"/>
            </w:pPr>
            <w:r w:rsidRPr="00B83AB0">
              <w:t>Zero</w:t>
            </w:r>
          </w:p>
        </w:tc>
      </w:tr>
      <w:tr w:rsidR="0041584B" w:rsidRPr="00B83AB0" w14:paraId="23873ADF" w14:textId="77777777" w:rsidTr="0041584B">
        <w:trPr>
          <w:jc w:val="center"/>
        </w:trPr>
        <w:tc>
          <w:tcPr>
            <w:tcW w:w="1277" w:type="pct"/>
            <w:shd w:val="clear" w:color="auto" w:fill="auto"/>
          </w:tcPr>
          <w:p w14:paraId="5AC8A9DA" w14:textId="77777777" w:rsidR="0041584B" w:rsidRPr="00B83AB0" w:rsidRDefault="0041584B" w:rsidP="0041584B">
            <w:pPr>
              <w:pStyle w:val="DCUSATableText"/>
            </w:pPr>
            <w:r w:rsidRPr="00B83AB0">
              <w:t>Category 0010</w:t>
            </w:r>
          </w:p>
        </w:tc>
        <w:tc>
          <w:tcPr>
            <w:tcW w:w="746" w:type="pct"/>
            <w:shd w:val="clear" w:color="auto" w:fill="E0E0E0"/>
          </w:tcPr>
          <w:p w14:paraId="5F28F738" w14:textId="77777777" w:rsidR="0041584B" w:rsidRPr="00B83AB0" w:rsidRDefault="0041584B" w:rsidP="0041584B">
            <w:pPr>
              <w:pStyle w:val="DCUSATableText"/>
            </w:pPr>
            <w:r w:rsidRPr="00B83AB0">
              <w:t>Zero</w:t>
            </w:r>
          </w:p>
        </w:tc>
        <w:tc>
          <w:tcPr>
            <w:tcW w:w="746" w:type="pct"/>
            <w:shd w:val="clear" w:color="auto" w:fill="E0E0E0"/>
          </w:tcPr>
          <w:p w14:paraId="41A1162E" w14:textId="77777777" w:rsidR="0041584B" w:rsidRPr="00B83AB0" w:rsidRDefault="0041584B" w:rsidP="0041584B">
            <w:pPr>
              <w:pStyle w:val="DCUSATableText"/>
            </w:pPr>
            <w:r w:rsidRPr="00B83AB0">
              <w:t>Zero</w:t>
            </w:r>
          </w:p>
        </w:tc>
        <w:tc>
          <w:tcPr>
            <w:tcW w:w="744" w:type="pct"/>
            <w:shd w:val="clear" w:color="auto" w:fill="CCFFFF"/>
          </w:tcPr>
          <w:p w14:paraId="5BDCBFB2" w14:textId="77777777" w:rsidR="0041584B" w:rsidRPr="00B83AB0" w:rsidRDefault="0041584B" w:rsidP="0041584B">
            <w:pPr>
              <w:pStyle w:val="DCUSATableText"/>
            </w:pPr>
            <w:r w:rsidRPr="00B83AB0">
              <w:t>Capacity kVA</w:t>
            </w:r>
          </w:p>
        </w:tc>
        <w:tc>
          <w:tcPr>
            <w:tcW w:w="744" w:type="pct"/>
            <w:shd w:val="clear" w:color="auto" w:fill="E0E0E0"/>
          </w:tcPr>
          <w:p w14:paraId="3EB2F977" w14:textId="77777777" w:rsidR="0041584B" w:rsidRPr="00B83AB0" w:rsidRDefault="0041584B" w:rsidP="0041584B">
            <w:pPr>
              <w:pStyle w:val="DCUSATableText"/>
            </w:pPr>
            <w:r w:rsidRPr="00B83AB0">
              <w:t>Zero</w:t>
            </w:r>
          </w:p>
        </w:tc>
        <w:tc>
          <w:tcPr>
            <w:tcW w:w="743" w:type="pct"/>
            <w:shd w:val="clear" w:color="auto" w:fill="E0E0E0"/>
          </w:tcPr>
          <w:p w14:paraId="73190FFC" w14:textId="77777777" w:rsidR="0041584B" w:rsidRPr="00B83AB0" w:rsidRDefault="0041584B" w:rsidP="0041584B">
            <w:pPr>
              <w:pStyle w:val="DCUSATableText"/>
            </w:pPr>
            <w:r w:rsidRPr="00B83AB0">
              <w:t>Zero</w:t>
            </w:r>
          </w:p>
        </w:tc>
      </w:tr>
      <w:tr w:rsidR="0041584B" w:rsidRPr="00B83AB0" w14:paraId="3474923D" w14:textId="77777777" w:rsidTr="0041584B">
        <w:trPr>
          <w:trHeight w:val="827"/>
          <w:jc w:val="center"/>
        </w:trPr>
        <w:tc>
          <w:tcPr>
            <w:tcW w:w="1277" w:type="pct"/>
            <w:shd w:val="clear" w:color="auto" w:fill="auto"/>
          </w:tcPr>
          <w:p w14:paraId="15EA4E76" w14:textId="77777777" w:rsidR="0041584B" w:rsidRPr="00B83AB0" w:rsidRDefault="0041584B" w:rsidP="0041584B">
            <w:pPr>
              <w:pStyle w:val="DCUSATableText"/>
            </w:pPr>
            <w:r w:rsidRPr="00B83AB0">
              <w:t>Category 0001</w:t>
            </w:r>
          </w:p>
        </w:tc>
        <w:tc>
          <w:tcPr>
            <w:tcW w:w="746" w:type="pct"/>
            <w:shd w:val="clear" w:color="auto" w:fill="E0E0E0"/>
          </w:tcPr>
          <w:p w14:paraId="58D0C95A" w14:textId="77777777" w:rsidR="0041584B" w:rsidRPr="00B83AB0" w:rsidRDefault="0041584B" w:rsidP="0041584B">
            <w:pPr>
              <w:pStyle w:val="DCUSATableText"/>
            </w:pPr>
            <w:r w:rsidRPr="00B83AB0">
              <w:t>Zero</w:t>
            </w:r>
          </w:p>
        </w:tc>
        <w:tc>
          <w:tcPr>
            <w:tcW w:w="746" w:type="pct"/>
            <w:shd w:val="clear" w:color="auto" w:fill="E0E0E0"/>
          </w:tcPr>
          <w:p w14:paraId="5CC95C48" w14:textId="77777777" w:rsidR="0041584B" w:rsidRPr="00B83AB0" w:rsidRDefault="0041584B" w:rsidP="0041584B">
            <w:pPr>
              <w:pStyle w:val="DCUSATableText"/>
            </w:pPr>
            <w:r w:rsidRPr="00B83AB0">
              <w:t>Zero</w:t>
            </w:r>
          </w:p>
        </w:tc>
        <w:tc>
          <w:tcPr>
            <w:tcW w:w="744" w:type="pct"/>
            <w:shd w:val="clear" w:color="auto" w:fill="E0E0E0"/>
          </w:tcPr>
          <w:p w14:paraId="33E62726" w14:textId="77777777" w:rsidR="0041584B" w:rsidRPr="00B83AB0" w:rsidRDefault="0041584B" w:rsidP="0041584B">
            <w:pPr>
              <w:pStyle w:val="DCUSATableText"/>
            </w:pPr>
            <w:r w:rsidRPr="00B83AB0">
              <w:t>Zero</w:t>
            </w:r>
          </w:p>
        </w:tc>
        <w:tc>
          <w:tcPr>
            <w:tcW w:w="744" w:type="pct"/>
            <w:shd w:val="clear" w:color="auto" w:fill="E0E0E0"/>
          </w:tcPr>
          <w:p w14:paraId="1F78B359" w14:textId="77777777" w:rsidR="0041584B" w:rsidRPr="00B83AB0" w:rsidRDefault="0041584B" w:rsidP="0041584B">
            <w:pPr>
              <w:pStyle w:val="DCUSATableText"/>
            </w:pPr>
            <w:r w:rsidRPr="00B83AB0">
              <w:t>Zero</w:t>
            </w:r>
          </w:p>
        </w:tc>
        <w:tc>
          <w:tcPr>
            <w:tcW w:w="743" w:type="pct"/>
            <w:shd w:val="clear" w:color="auto" w:fill="CCFFFF"/>
          </w:tcPr>
          <w:p w14:paraId="74852F4D" w14:textId="77777777" w:rsidR="0041584B" w:rsidRPr="00B83AB0" w:rsidRDefault="0041584B" w:rsidP="0041584B">
            <w:pPr>
              <w:pStyle w:val="DCUSATableText"/>
            </w:pPr>
            <w:r w:rsidRPr="00B83AB0">
              <w:t>Capacity kVA</w:t>
            </w:r>
          </w:p>
        </w:tc>
      </w:tr>
      <w:tr w:rsidR="0041584B" w:rsidRPr="00B83AB0" w14:paraId="1BA6167B" w14:textId="77777777" w:rsidTr="0041584B">
        <w:trPr>
          <w:jc w:val="center"/>
        </w:trPr>
        <w:tc>
          <w:tcPr>
            <w:tcW w:w="1277" w:type="pct"/>
            <w:shd w:val="clear" w:color="auto" w:fill="auto"/>
          </w:tcPr>
          <w:p w14:paraId="771AEBF9" w14:textId="77777777" w:rsidR="0041584B" w:rsidRPr="00B83AB0" w:rsidRDefault="0041584B" w:rsidP="0041584B">
            <w:pPr>
              <w:pStyle w:val="DCUSATableText"/>
            </w:pPr>
            <w:r w:rsidRPr="00B83AB0">
              <w:t>Category 0002</w:t>
            </w:r>
          </w:p>
        </w:tc>
        <w:tc>
          <w:tcPr>
            <w:tcW w:w="746" w:type="pct"/>
            <w:shd w:val="clear" w:color="auto" w:fill="E0E0E0"/>
          </w:tcPr>
          <w:p w14:paraId="5EDBAA0A" w14:textId="77777777" w:rsidR="0041584B" w:rsidRPr="00B83AB0" w:rsidRDefault="0041584B" w:rsidP="0041584B">
            <w:pPr>
              <w:pStyle w:val="DCUSATableText"/>
            </w:pPr>
            <w:r w:rsidRPr="00B83AB0">
              <w:t>Zero</w:t>
            </w:r>
          </w:p>
        </w:tc>
        <w:tc>
          <w:tcPr>
            <w:tcW w:w="746" w:type="pct"/>
            <w:shd w:val="clear" w:color="auto" w:fill="E0E0E0"/>
          </w:tcPr>
          <w:p w14:paraId="2C1721C4" w14:textId="77777777" w:rsidR="0041584B" w:rsidRPr="00B83AB0" w:rsidRDefault="0041584B" w:rsidP="0041584B">
            <w:pPr>
              <w:pStyle w:val="DCUSATableText"/>
            </w:pPr>
            <w:r w:rsidRPr="00B83AB0">
              <w:t>Zero</w:t>
            </w:r>
          </w:p>
        </w:tc>
        <w:tc>
          <w:tcPr>
            <w:tcW w:w="744" w:type="pct"/>
            <w:shd w:val="clear" w:color="auto" w:fill="E0E0E0"/>
          </w:tcPr>
          <w:p w14:paraId="0E7737C5" w14:textId="77777777" w:rsidR="0041584B" w:rsidRPr="00B83AB0" w:rsidRDefault="0041584B" w:rsidP="0041584B">
            <w:pPr>
              <w:pStyle w:val="DCUSATableText"/>
            </w:pPr>
            <w:r w:rsidRPr="00B83AB0">
              <w:t>Zero</w:t>
            </w:r>
          </w:p>
        </w:tc>
        <w:tc>
          <w:tcPr>
            <w:tcW w:w="744" w:type="pct"/>
            <w:shd w:val="clear" w:color="auto" w:fill="CCFFFF"/>
          </w:tcPr>
          <w:p w14:paraId="0EA332B2" w14:textId="77777777" w:rsidR="0041584B" w:rsidRPr="00B83AB0" w:rsidRDefault="0041584B" w:rsidP="0041584B">
            <w:pPr>
              <w:pStyle w:val="DCUSATableText"/>
            </w:pPr>
            <w:r w:rsidRPr="00B83AB0">
              <w:t>Capacity kVA</w:t>
            </w:r>
          </w:p>
        </w:tc>
        <w:tc>
          <w:tcPr>
            <w:tcW w:w="743" w:type="pct"/>
            <w:shd w:val="clear" w:color="auto" w:fill="E0E0E0"/>
          </w:tcPr>
          <w:p w14:paraId="25DC9DFF" w14:textId="77777777" w:rsidR="0041584B" w:rsidRPr="00B83AB0" w:rsidRDefault="0041584B" w:rsidP="0041584B">
            <w:pPr>
              <w:pStyle w:val="DCUSATableText"/>
            </w:pPr>
            <w:r w:rsidRPr="00B83AB0">
              <w:t>Zero</w:t>
            </w:r>
          </w:p>
        </w:tc>
      </w:tr>
      <w:tr w:rsidR="0041584B" w:rsidRPr="00B83AB0" w14:paraId="6CF9E590" w14:textId="77777777" w:rsidTr="0041584B">
        <w:trPr>
          <w:jc w:val="center"/>
        </w:trPr>
        <w:tc>
          <w:tcPr>
            <w:tcW w:w="1277" w:type="pct"/>
            <w:shd w:val="clear" w:color="auto" w:fill="auto"/>
          </w:tcPr>
          <w:p w14:paraId="4DB9342A" w14:textId="77777777" w:rsidR="0041584B" w:rsidRPr="00B83AB0" w:rsidRDefault="0041584B" w:rsidP="0041584B">
            <w:pPr>
              <w:pStyle w:val="DCUSATableText"/>
            </w:pPr>
            <w:r w:rsidRPr="00B83AB0">
              <w:t>Category 1001</w:t>
            </w:r>
          </w:p>
        </w:tc>
        <w:tc>
          <w:tcPr>
            <w:tcW w:w="746" w:type="pct"/>
            <w:shd w:val="clear" w:color="auto" w:fill="FF9900"/>
          </w:tcPr>
          <w:p w14:paraId="55131409" w14:textId="77777777" w:rsidR="0041584B" w:rsidRPr="00B83AB0" w:rsidRDefault="0041584B" w:rsidP="0041584B">
            <w:pPr>
              <w:pStyle w:val="DCUSATableText"/>
            </w:pPr>
            <w:r w:rsidRPr="00B83AB0">
              <w:t>Peak-time active kW</w:t>
            </w:r>
          </w:p>
        </w:tc>
        <w:tc>
          <w:tcPr>
            <w:tcW w:w="746" w:type="pct"/>
            <w:shd w:val="clear" w:color="auto" w:fill="E0E0E0"/>
          </w:tcPr>
          <w:p w14:paraId="57F482DF" w14:textId="77777777" w:rsidR="0041584B" w:rsidRPr="00B83AB0" w:rsidRDefault="0041584B" w:rsidP="0041584B">
            <w:pPr>
              <w:pStyle w:val="DCUSATableText"/>
            </w:pPr>
            <w:r w:rsidRPr="00B83AB0">
              <w:t>Zero</w:t>
            </w:r>
          </w:p>
        </w:tc>
        <w:tc>
          <w:tcPr>
            <w:tcW w:w="744" w:type="pct"/>
            <w:shd w:val="clear" w:color="auto" w:fill="E0E0E0"/>
          </w:tcPr>
          <w:p w14:paraId="5A4D8A8A" w14:textId="77777777" w:rsidR="0041584B" w:rsidRPr="00B83AB0" w:rsidRDefault="0041584B" w:rsidP="0041584B">
            <w:pPr>
              <w:pStyle w:val="DCUSATableText"/>
            </w:pPr>
            <w:r w:rsidRPr="00B83AB0">
              <w:t>Zero</w:t>
            </w:r>
          </w:p>
        </w:tc>
        <w:tc>
          <w:tcPr>
            <w:tcW w:w="744" w:type="pct"/>
            <w:shd w:val="clear" w:color="auto" w:fill="D9D9D9"/>
          </w:tcPr>
          <w:p w14:paraId="6BC8AEB1" w14:textId="77777777" w:rsidR="0041584B" w:rsidRPr="00B83AB0" w:rsidRDefault="0041584B" w:rsidP="0041584B">
            <w:pPr>
              <w:pStyle w:val="DCUSATableText"/>
            </w:pPr>
            <w:r w:rsidRPr="00B83AB0">
              <w:t>Zero</w:t>
            </w:r>
          </w:p>
        </w:tc>
        <w:tc>
          <w:tcPr>
            <w:tcW w:w="743" w:type="pct"/>
            <w:shd w:val="clear" w:color="auto" w:fill="CCFFFF"/>
          </w:tcPr>
          <w:p w14:paraId="0CE29EFC" w14:textId="77777777" w:rsidR="0041584B" w:rsidRPr="00B83AB0" w:rsidRDefault="0041584B" w:rsidP="0041584B">
            <w:pPr>
              <w:pStyle w:val="DCUSATableText"/>
            </w:pPr>
            <w:r w:rsidRPr="00B83AB0">
              <w:t>Capacity kVA</w:t>
            </w:r>
          </w:p>
        </w:tc>
      </w:tr>
      <w:tr w:rsidR="0041584B" w:rsidRPr="00B83AB0" w14:paraId="5237CA89" w14:textId="77777777" w:rsidTr="0041584B">
        <w:trPr>
          <w:jc w:val="center"/>
        </w:trPr>
        <w:tc>
          <w:tcPr>
            <w:tcW w:w="1277" w:type="pct"/>
            <w:shd w:val="clear" w:color="auto" w:fill="auto"/>
          </w:tcPr>
          <w:p w14:paraId="49E8B21C" w14:textId="77777777" w:rsidR="0041584B" w:rsidRPr="00B83AB0" w:rsidRDefault="0041584B" w:rsidP="0041584B">
            <w:pPr>
              <w:pStyle w:val="DCUSATableText"/>
            </w:pPr>
            <w:r w:rsidRPr="00B83AB0">
              <w:t>Category 0011</w:t>
            </w:r>
          </w:p>
        </w:tc>
        <w:tc>
          <w:tcPr>
            <w:tcW w:w="746" w:type="pct"/>
            <w:shd w:val="clear" w:color="auto" w:fill="E0E0E0"/>
          </w:tcPr>
          <w:p w14:paraId="7F05AC1E" w14:textId="77777777" w:rsidR="0041584B" w:rsidRPr="00B83AB0" w:rsidRDefault="0041584B" w:rsidP="0041584B">
            <w:pPr>
              <w:pStyle w:val="DCUSATableText"/>
            </w:pPr>
            <w:r w:rsidRPr="00B83AB0">
              <w:t>Zero</w:t>
            </w:r>
          </w:p>
        </w:tc>
        <w:tc>
          <w:tcPr>
            <w:tcW w:w="746" w:type="pct"/>
            <w:shd w:val="clear" w:color="auto" w:fill="E0E0E0"/>
          </w:tcPr>
          <w:p w14:paraId="17A8F3D6" w14:textId="77777777" w:rsidR="0041584B" w:rsidRPr="00B83AB0" w:rsidRDefault="0041584B" w:rsidP="0041584B">
            <w:pPr>
              <w:pStyle w:val="DCUSATableText"/>
            </w:pPr>
            <w:r w:rsidRPr="00B83AB0">
              <w:t>Zero</w:t>
            </w:r>
          </w:p>
        </w:tc>
        <w:tc>
          <w:tcPr>
            <w:tcW w:w="744" w:type="pct"/>
            <w:shd w:val="clear" w:color="auto" w:fill="FF9900"/>
          </w:tcPr>
          <w:p w14:paraId="479F12D0" w14:textId="77777777" w:rsidR="0041584B" w:rsidRPr="00B83AB0" w:rsidRDefault="0041584B" w:rsidP="0041584B">
            <w:pPr>
              <w:pStyle w:val="DCUSATableText"/>
            </w:pPr>
            <w:r w:rsidRPr="00B83AB0">
              <w:t>Peak-time active kW</w:t>
            </w:r>
          </w:p>
        </w:tc>
        <w:tc>
          <w:tcPr>
            <w:tcW w:w="744" w:type="pct"/>
            <w:shd w:val="clear" w:color="auto" w:fill="CCFFFF"/>
          </w:tcPr>
          <w:p w14:paraId="3CA186A3" w14:textId="77777777" w:rsidR="0041584B" w:rsidRPr="00B83AB0" w:rsidRDefault="0041584B" w:rsidP="0041584B">
            <w:pPr>
              <w:pStyle w:val="DCUSATableText"/>
            </w:pPr>
            <w:r w:rsidRPr="00B83AB0">
              <w:t>Capacity kVA</w:t>
            </w:r>
          </w:p>
        </w:tc>
        <w:tc>
          <w:tcPr>
            <w:tcW w:w="743" w:type="pct"/>
            <w:shd w:val="clear" w:color="auto" w:fill="E0E0E0"/>
          </w:tcPr>
          <w:p w14:paraId="1BB6E339" w14:textId="77777777" w:rsidR="0041584B" w:rsidRPr="00B83AB0" w:rsidRDefault="0041584B" w:rsidP="0041584B">
            <w:pPr>
              <w:pStyle w:val="DCUSATableText"/>
            </w:pPr>
            <w:r w:rsidRPr="00B83AB0">
              <w:t>Zero</w:t>
            </w:r>
          </w:p>
        </w:tc>
      </w:tr>
      <w:tr w:rsidR="0041584B" w:rsidRPr="00B83AB0" w14:paraId="785F0E58" w14:textId="77777777" w:rsidTr="0041584B">
        <w:trPr>
          <w:jc w:val="center"/>
        </w:trPr>
        <w:tc>
          <w:tcPr>
            <w:tcW w:w="1277" w:type="pct"/>
            <w:shd w:val="clear" w:color="auto" w:fill="auto"/>
          </w:tcPr>
          <w:p w14:paraId="4161D8E3" w14:textId="77777777" w:rsidR="0041584B" w:rsidRPr="00B83AB0" w:rsidRDefault="0041584B" w:rsidP="0041584B">
            <w:pPr>
              <w:pStyle w:val="DCUSATableText"/>
            </w:pPr>
            <w:r w:rsidRPr="00B83AB0">
              <w:t>Category 0111</w:t>
            </w:r>
          </w:p>
        </w:tc>
        <w:tc>
          <w:tcPr>
            <w:tcW w:w="746" w:type="pct"/>
            <w:shd w:val="clear" w:color="auto" w:fill="E0E0E0"/>
          </w:tcPr>
          <w:p w14:paraId="61CA649D" w14:textId="77777777" w:rsidR="0041584B" w:rsidRPr="00B83AB0" w:rsidRDefault="0041584B" w:rsidP="0041584B">
            <w:pPr>
              <w:pStyle w:val="DCUSATableText"/>
            </w:pPr>
            <w:r w:rsidRPr="00B83AB0">
              <w:t>Zero</w:t>
            </w:r>
          </w:p>
        </w:tc>
        <w:tc>
          <w:tcPr>
            <w:tcW w:w="746" w:type="pct"/>
            <w:shd w:val="clear" w:color="auto" w:fill="FF9900"/>
          </w:tcPr>
          <w:p w14:paraId="2C82C74F" w14:textId="77777777" w:rsidR="0041584B" w:rsidRPr="00B83AB0" w:rsidRDefault="0041584B" w:rsidP="0041584B">
            <w:pPr>
              <w:pStyle w:val="DCUSATableText"/>
            </w:pPr>
            <w:r w:rsidRPr="00B83AB0">
              <w:t>Peak-time active kW</w:t>
            </w:r>
          </w:p>
        </w:tc>
        <w:tc>
          <w:tcPr>
            <w:tcW w:w="744" w:type="pct"/>
            <w:shd w:val="clear" w:color="auto" w:fill="FF9900"/>
          </w:tcPr>
          <w:p w14:paraId="3024E73C" w14:textId="77777777" w:rsidR="0041584B" w:rsidRPr="00B83AB0" w:rsidRDefault="0041584B" w:rsidP="0041584B">
            <w:pPr>
              <w:pStyle w:val="DCUSATableText"/>
            </w:pPr>
            <w:r w:rsidRPr="00B83AB0">
              <w:t>Peak-time active kW</w:t>
            </w:r>
          </w:p>
        </w:tc>
        <w:tc>
          <w:tcPr>
            <w:tcW w:w="744" w:type="pct"/>
            <w:shd w:val="clear" w:color="auto" w:fill="CCFFFF"/>
          </w:tcPr>
          <w:p w14:paraId="12C7B1DB" w14:textId="77777777" w:rsidR="0041584B" w:rsidRPr="00B83AB0" w:rsidRDefault="0041584B" w:rsidP="0041584B">
            <w:pPr>
              <w:pStyle w:val="DCUSATableText"/>
            </w:pPr>
            <w:r w:rsidRPr="00B83AB0">
              <w:t>Capacity kVA</w:t>
            </w:r>
          </w:p>
        </w:tc>
        <w:tc>
          <w:tcPr>
            <w:tcW w:w="743" w:type="pct"/>
            <w:shd w:val="clear" w:color="auto" w:fill="E0E0E0"/>
          </w:tcPr>
          <w:p w14:paraId="11FED5DC" w14:textId="77777777" w:rsidR="0041584B" w:rsidRPr="00B83AB0" w:rsidRDefault="0041584B" w:rsidP="0041584B">
            <w:pPr>
              <w:pStyle w:val="DCUSATableText"/>
            </w:pPr>
            <w:r w:rsidRPr="00B83AB0">
              <w:t>Zero</w:t>
            </w:r>
          </w:p>
        </w:tc>
      </w:tr>
      <w:tr w:rsidR="0041584B" w:rsidRPr="00B83AB0" w14:paraId="41146359" w14:textId="77777777" w:rsidTr="0041584B">
        <w:trPr>
          <w:jc w:val="center"/>
        </w:trPr>
        <w:tc>
          <w:tcPr>
            <w:tcW w:w="1277" w:type="pct"/>
            <w:shd w:val="clear" w:color="auto" w:fill="auto"/>
          </w:tcPr>
          <w:p w14:paraId="71B6335D" w14:textId="77777777" w:rsidR="0041584B" w:rsidRPr="00B83AB0" w:rsidRDefault="0041584B" w:rsidP="0041584B">
            <w:pPr>
              <w:pStyle w:val="DCUSATableText"/>
            </w:pPr>
            <w:r w:rsidRPr="00B83AB0">
              <w:t>Category 0101</w:t>
            </w:r>
          </w:p>
        </w:tc>
        <w:tc>
          <w:tcPr>
            <w:tcW w:w="746" w:type="pct"/>
            <w:shd w:val="clear" w:color="auto" w:fill="E0E0E0"/>
          </w:tcPr>
          <w:p w14:paraId="75DD581D" w14:textId="77777777" w:rsidR="0041584B" w:rsidRPr="00B83AB0" w:rsidRDefault="0041584B" w:rsidP="0041584B">
            <w:pPr>
              <w:pStyle w:val="DCUSATableText"/>
            </w:pPr>
            <w:r w:rsidRPr="00B83AB0">
              <w:t>Zero</w:t>
            </w:r>
          </w:p>
        </w:tc>
        <w:tc>
          <w:tcPr>
            <w:tcW w:w="746" w:type="pct"/>
            <w:shd w:val="clear" w:color="auto" w:fill="FF9900"/>
          </w:tcPr>
          <w:p w14:paraId="478A4EF0" w14:textId="77777777" w:rsidR="0041584B" w:rsidRPr="00B83AB0" w:rsidRDefault="0041584B" w:rsidP="0041584B">
            <w:pPr>
              <w:pStyle w:val="DCUSATableText"/>
            </w:pPr>
            <w:r w:rsidRPr="00B83AB0">
              <w:t>Peak-time active kW</w:t>
            </w:r>
          </w:p>
        </w:tc>
        <w:tc>
          <w:tcPr>
            <w:tcW w:w="744" w:type="pct"/>
            <w:shd w:val="clear" w:color="auto" w:fill="E0E0E0"/>
          </w:tcPr>
          <w:p w14:paraId="20033783" w14:textId="77777777" w:rsidR="0041584B" w:rsidRPr="00B83AB0" w:rsidRDefault="0041584B" w:rsidP="0041584B">
            <w:pPr>
              <w:pStyle w:val="DCUSATableText"/>
            </w:pPr>
            <w:r w:rsidRPr="00B83AB0">
              <w:t>Zero</w:t>
            </w:r>
          </w:p>
        </w:tc>
        <w:tc>
          <w:tcPr>
            <w:tcW w:w="744" w:type="pct"/>
            <w:shd w:val="clear" w:color="auto" w:fill="CCFFFF"/>
          </w:tcPr>
          <w:p w14:paraId="36756CC4" w14:textId="77777777" w:rsidR="0041584B" w:rsidRPr="00B83AB0" w:rsidRDefault="0041584B" w:rsidP="0041584B">
            <w:pPr>
              <w:pStyle w:val="DCUSATableText"/>
            </w:pPr>
            <w:r w:rsidRPr="00B83AB0">
              <w:t>Capacity kVA</w:t>
            </w:r>
          </w:p>
        </w:tc>
        <w:tc>
          <w:tcPr>
            <w:tcW w:w="743" w:type="pct"/>
            <w:shd w:val="clear" w:color="auto" w:fill="E0E0E0"/>
          </w:tcPr>
          <w:p w14:paraId="51DA5C51" w14:textId="77777777" w:rsidR="0041584B" w:rsidRPr="00B83AB0" w:rsidRDefault="0041584B" w:rsidP="0041584B">
            <w:pPr>
              <w:pStyle w:val="DCUSATableText"/>
            </w:pPr>
            <w:r w:rsidRPr="00B83AB0">
              <w:t>Zero</w:t>
            </w:r>
          </w:p>
        </w:tc>
      </w:tr>
      <w:tr w:rsidR="0041584B" w:rsidRPr="00B83AB0" w14:paraId="59426F0F" w14:textId="77777777" w:rsidTr="0041584B">
        <w:trPr>
          <w:jc w:val="center"/>
        </w:trPr>
        <w:tc>
          <w:tcPr>
            <w:tcW w:w="1277" w:type="pct"/>
            <w:shd w:val="clear" w:color="auto" w:fill="auto"/>
          </w:tcPr>
          <w:p w14:paraId="46341197" w14:textId="77777777" w:rsidR="0041584B" w:rsidRPr="00B83AB0" w:rsidRDefault="0041584B" w:rsidP="0041584B">
            <w:pPr>
              <w:pStyle w:val="DCUSATableText"/>
            </w:pPr>
            <w:r w:rsidRPr="00B83AB0">
              <w:t>Category 1101</w:t>
            </w:r>
          </w:p>
        </w:tc>
        <w:tc>
          <w:tcPr>
            <w:tcW w:w="746" w:type="pct"/>
            <w:shd w:val="clear" w:color="auto" w:fill="FF9900"/>
          </w:tcPr>
          <w:p w14:paraId="5693B9E7" w14:textId="77777777" w:rsidR="0041584B" w:rsidRPr="00B83AB0" w:rsidRDefault="0041584B" w:rsidP="0041584B">
            <w:pPr>
              <w:pStyle w:val="DCUSATableText"/>
            </w:pPr>
            <w:r w:rsidRPr="00B83AB0">
              <w:t>Peak-time active kW</w:t>
            </w:r>
          </w:p>
        </w:tc>
        <w:tc>
          <w:tcPr>
            <w:tcW w:w="746" w:type="pct"/>
            <w:shd w:val="clear" w:color="auto" w:fill="FF9900"/>
          </w:tcPr>
          <w:p w14:paraId="7C4FA9E8" w14:textId="77777777" w:rsidR="0041584B" w:rsidRPr="00B83AB0" w:rsidRDefault="0041584B" w:rsidP="0041584B">
            <w:pPr>
              <w:pStyle w:val="DCUSATableText"/>
            </w:pPr>
            <w:r w:rsidRPr="00B83AB0">
              <w:t>Peak-time active kW</w:t>
            </w:r>
          </w:p>
        </w:tc>
        <w:tc>
          <w:tcPr>
            <w:tcW w:w="744" w:type="pct"/>
            <w:shd w:val="clear" w:color="auto" w:fill="E0E0E0"/>
          </w:tcPr>
          <w:p w14:paraId="17362511" w14:textId="77777777" w:rsidR="0041584B" w:rsidRPr="00B83AB0" w:rsidRDefault="0041584B" w:rsidP="0041584B">
            <w:pPr>
              <w:pStyle w:val="DCUSATableText"/>
            </w:pPr>
            <w:r w:rsidRPr="00B83AB0">
              <w:t>Zero</w:t>
            </w:r>
          </w:p>
        </w:tc>
        <w:tc>
          <w:tcPr>
            <w:tcW w:w="744" w:type="pct"/>
            <w:shd w:val="clear" w:color="auto" w:fill="CCFFFF"/>
          </w:tcPr>
          <w:p w14:paraId="1338B35A" w14:textId="77777777" w:rsidR="0041584B" w:rsidRPr="00B83AB0" w:rsidRDefault="0041584B" w:rsidP="0041584B">
            <w:pPr>
              <w:pStyle w:val="DCUSATableText"/>
            </w:pPr>
            <w:r w:rsidRPr="00B83AB0">
              <w:t>Capacity kVA</w:t>
            </w:r>
          </w:p>
        </w:tc>
        <w:tc>
          <w:tcPr>
            <w:tcW w:w="743" w:type="pct"/>
            <w:shd w:val="clear" w:color="auto" w:fill="E0E0E0"/>
          </w:tcPr>
          <w:p w14:paraId="014543B0" w14:textId="77777777" w:rsidR="0041584B" w:rsidRPr="00B83AB0" w:rsidRDefault="0041584B" w:rsidP="0041584B">
            <w:pPr>
              <w:pStyle w:val="DCUSATableText"/>
            </w:pPr>
            <w:r w:rsidRPr="00B83AB0">
              <w:t>Zero</w:t>
            </w:r>
          </w:p>
        </w:tc>
      </w:tr>
      <w:tr w:rsidR="0041584B" w:rsidRPr="00B83AB0" w14:paraId="29B04FCD" w14:textId="77777777" w:rsidTr="0041584B">
        <w:trPr>
          <w:jc w:val="center"/>
        </w:trPr>
        <w:tc>
          <w:tcPr>
            <w:tcW w:w="1277" w:type="pct"/>
            <w:shd w:val="clear" w:color="auto" w:fill="auto"/>
          </w:tcPr>
          <w:p w14:paraId="64AB6E29" w14:textId="77777777" w:rsidR="0041584B" w:rsidRPr="00B83AB0" w:rsidRDefault="0041584B" w:rsidP="0041584B">
            <w:pPr>
              <w:pStyle w:val="DCUSATableText"/>
            </w:pPr>
            <w:r w:rsidRPr="00B83AB0">
              <w:t>Category 1111</w:t>
            </w:r>
          </w:p>
        </w:tc>
        <w:tc>
          <w:tcPr>
            <w:tcW w:w="746" w:type="pct"/>
            <w:shd w:val="clear" w:color="auto" w:fill="FF9900"/>
          </w:tcPr>
          <w:p w14:paraId="1FAE0CCA" w14:textId="77777777" w:rsidR="0041584B" w:rsidRPr="00B83AB0" w:rsidRDefault="0041584B" w:rsidP="0041584B">
            <w:pPr>
              <w:pStyle w:val="DCUSATableText"/>
            </w:pPr>
            <w:r w:rsidRPr="00B83AB0">
              <w:t>Peak-time active kW</w:t>
            </w:r>
          </w:p>
        </w:tc>
        <w:tc>
          <w:tcPr>
            <w:tcW w:w="746" w:type="pct"/>
            <w:shd w:val="clear" w:color="auto" w:fill="FF9900"/>
          </w:tcPr>
          <w:p w14:paraId="732D5874" w14:textId="77777777" w:rsidR="0041584B" w:rsidRPr="00B83AB0" w:rsidRDefault="0041584B" w:rsidP="0041584B">
            <w:pPr>
              <w:pStyle w:val="DCUSATableText"/>
            </w:pPr>
            <w:r w:rsidRPr="00B83AB0">
              <w:t>Peak-time active kW</w:t>
            </w:r>
          </w:p>
        </w:tc>
        <w:tc>
          <w:tcPr>
            <w:tcW w:w="744" w:type="pct"/>
            <w:shd w:val="clear" w:color="auto" w:fill="FF9900"/>
          </w:tcPr>
          <w:p w14:paraId="2DA74763" w14:textId="77777777" w:rsidR="0041584B" w:rsidRPr="00B83AB0" w:rsidRDefault="0041584B" w:rsidP="0041584B">
            <w:pPr>
              <w:pStyle w:val="DCUSATableText"/>
            </w:pPr>
            <w:r w:rsidRPr="00B83AB0">
              <w:t>Peak-time active kW</w:t>
            </w:r>
          </w:p>
        </w:tc>
        <w:tc>
          <w:tcPr>
            <w:tcW w:w="744" w:type="pct"/>
            <w:shd w:val="clear" w:color="auto" w:fill="CCFFFF"/>
          </w:tcPr>
          <w:p w14:paraId="056A7484" w14:textId="77777777" w:rsidR="0041584B" w:rsidRPr="00B83AB0" w:rsidRDefault="0041584B" w:rsidP="0041584B">
            <w:pPr>
              <w:pStyle w:val="DCUSATableText"/>
            </w:pPr>
            <w:r w:rsidRPr="00B83AB0">
              <w:t>Capacity kVA</w:t>
            </w:r>
          </w:p>
        </w:tc>
        <w:tc>
          <w:tcPr>
            <w:tcW w:w="743" w:type="pct"/>
            <w:shd w:val="clear" w:color="auto" w:fill="E0E0E0"/>
          </w:tcPr>
          <w:p w14:paraId="60048D5F" w14:textId="77777777" w:rsidR="0041584B" w:rsidRPr="00B83AB0" w:rsidRDefault="0041584B" w:rsidP="0041584B">
            <w:pPr>
              <w:pStyle w:val="DCUSATableText"/>
            </w:pPr>
            <w:r w:rsidRPr="00B83AB0">
              <w:t>Zero</w:t>
            </w:r>
          </w:p>
        </w:tc>
      </w:tr>
    </w:tbl>
    <w:p w14:paraId="6BF24097" w14:textId="77777777" w:rsidR="0041584B" w:rsidRDefault="0041584B" w:rsidP="0041584B">
      <w:pPr>
        <w:pStyle w:val="BodyText"/>
      </w:pPr>
    </w:p>
    <w:p w14:paraId="47A4C7E2" w14:textId="77777777" w:rsidR="0041584B" w:rsidRPr="00A72035" w:rsidRDefault="0041584B" w:rsidP="0041584B">
      <w:pPr>
        <w:pStyle w:val="Heading2"/>
      </w:pPr>
      <w:r w:rsidRPr="00A72035">
        <w:t>Category 0000 Connectees are deemed not to use any network assets other than sole use assets.</w:t>
      </w:r>
    </w:p>
    <w:p w14:paraId="1794F9A7" w14:textId="77777777" w:rsidR="0041584B" w:rsidRPr="00A72035" w:rsidRDefault="0041584B" w:rsidP="0041584B">
      <w:pPr>
        <w:pStyle w:val="Heading2"/>
      </w:pPr>
      <w:r w:rsidRPr="00A72035">
        <w:t xml:space="preserve">An average network asset value per kVA (in £/kVA) is calculated in respect of each network level.  The average network asset value for the network level of connection is based on the Maximum Import Capacity of the Connectee, and for network levels above on consumption at peak time.  </w:t>
      </w:r>
    </w:p>
    <w:p w14:paraId="493A3942" w14:textId="77777777" w:rsidR="0041584B" w:rsidRPr="00A72035" w:rsidRDefault="0041584B" w:rsidP="0041584B">
      <w:pPr>
        <w:ind w:left="720"/>
        <w:jc w:val="both"/>
      </w:pPr>
      <w:r w:rsidRPr="00A72035">
        <w:t xml:space="preserve">Average network asset value for capacity at level L (£/kVA) = NARL* AE </w:t>
      </w:r>
      <w:proofErr w:type="gramStart"/>
      <w:r w:rsidRPr="00A72035">
        <w:t>/(</w:t>
      </w:r>
      <w:proofErr w:type="gramEnd"/>
      <w:r w:rsidRPr="00A72035">
        <w:t>1 + DL)</w:t>
      </w:r>
    </w:p>
    <w:p w14:paraId="59B37EA7" w14:textId="77777777" w:rsidR="0041584B" w:rsidRPr="00A72035" w:rsidRDefault="0041584B" w:rsidP="0041584B">
      <w:pPr>
        <w:ind w:left="720"/>
        <w:jc w:val="both"/>
      </w:pPr>
      <w:r w:rsidRPr="00A72035">
        <w:lastRenderedPageBreak/>
        <w:t xml:space="preserve">Average network asset value for demand at level L (£/kVA) </w:t>
      </w:r>
      <w:proofErr w:type="gramStart"/>
      <w:r w:rsidRPr="00A72035">
        <w:t>=  NARL</w:t>
      </w:r>
      <w:proofErr w:type="gramEnd"/>
      <w:r w:rsidRPr="00A72035">
        <w:t>* D * LAF</w:t>
      </w:r>
    </w:p>
    <w:p w14:paraId="560EB92A" w14:textId="77777777" w:rsidR="0041584B" w:rsidRPr="00A72035" w:rsidRDefault="0041584B" w:rsidP="0041584B">
      <w:pPr>
        <w:ind w:left="720"/>
        <w:jc w:val="both"/>
      </w:pPr>
      <w:r w:rsidRPr="00A72035">
        <w:t xml:space="preserve">Where: </w:t>
      </w:r>
    </w:p>
    <w:p w14:paraId="0DE25AB3" w14:textId="77777777" w:rsidR="0041584B" w:rsidRPr="00A72035" w:rsidRDefault="0041584B" w:rsidP="0041584B">
      <w:pPr>
        <w:ind w:left="720"/>
        <w:jc w:val="both"/>
      </w:pPr>
      <w:r w:rsidRPr="00A72035">
        <w:t>NAR L is the network asset rate at level L in £/kW based on the 500 MW model</w:t>
      </w:r>
      <w:ins w:id="186" w:author="Hollie Nicholls" w:date="2020-01-14T18:27:00Z">
        <w:r>
          <w:t xml:space="preserve"> calculated as the asset values for that voltage level divided by the product of maximum demand at that voltage level and the loss adjustment factor to that voltage level</w:t>
        </w:r>
      </w:ins>
      <w:r w:rsidRPr="00A72035">
        <w:t>.</w:t>
      </w:r>
    </w:p>
    <w:p w14:paraId="3FBE41B8" w14:textId="77777777" w:rsidR="0041584B" w:rsidRPr="00A72035" w:rsidRDefault="0041584B" w:rsidP="0041584B">
      <w:pPr>
        <w:ind w:left="720"/>
        <w:jc w:val="both"/>
      </w:pPr>
      <w:r w:rsidRPr="00A72035">
        <w:t>DL is the Diversity Allowance from the level exit to the GSP group (from CDCM table 2611).</w:t>
      </w:r>
    </w:p>
    <w:p w14:paraId="00EC0EA2" w14:textId="77777777" w:rsidR="0041584B" w:rsidRPr="00A72035" w:rsidRDefault="0041584B" w:rsidP="0041584B">
      <w:pPr>
        <w:ind w:left="720"/>
        <w:jc w:val="both"/>
      </w:pPr>
      <w:r w:rsidRPr="00A72035">
        <w:t xml:space="preserve">D is the peak time active power consumption </w:t>
      </w:r>
      <w:ins w:id="187" w:author="Hollie Nicholls" w:date="2020-01-14T18:27:00Z">
        <w:r>
          <w:t xml:space="preserve">for each Connectee </w:t>
        </w:r>
      </w:ins>
      <w:r w:rsidRPr="00A72035">
        <w:t xml:space="preserve">in (kW/kVA).  This is calculated as the </w:t>
      </w:r>
      <w:del w:id="188" w:author="Hollie Nicholls" w:date="2020-01-14T18:27:00Z">
        <w:r w:rsidRPr="00A72035" w:rsidDel="0041584B">
          <w:delText>historical peak-time</w:delText>
        </w:r>
      </w:del>
      <w:ins w:id="189" w:author="Hollie Nicholls" w:date="2020-01-14T18:27:00Z">
        <w:r>
          <w:t>super-red</w:t>
        </w:r>
      </w:ins>
      <w:r w:rsidRPr="00A72035">
        <w:t xml:space="preserve"> kW </w:t>
      </w:r>
      <w:ins w:id="190" w:author="Hollie Nicholls" w:date="2020-01-14T18:27:00Z">
        <w:r>
          <w:t xml:space="preserve">import </w:t>
        </w:r>
      </w:ins>
      <w:r w:rsidRPr="00A72035">
        <w:t xml:space="preserve">divided by </w:t>
      </w:r>
      <w:del w:id="191" w:author="Hollie Nicholls" w:date="2020-01-14T18:28:00Z">
        <w:r w:rsidRPr="00A72035" w:rsidDel="0041584B">
          <w:delText xml:space="preserve">historical maximum </w:delText>
        </w:r>
      </w:del>
      <w:r w:rsidRPr="00A72035">
        <w:t>kVA</w:t>
      </w:r>
      <w:ins w:id="192" w:author="Hollie Nicholls" w:date="2020-01-14T18:28:00Z">
        <w:r>
          <w:t xml:space="preserve"> capacity</w:t>
        </w:r>
      </w:ins>
      <w:r w:rsidRPr="00A72035">
        <w:t>.</w:t>
      </w:r>
    </w:p>
    <w:p w14:paraId="7AFA07B5" w14:textId="77777777" w:rsidR="0041584B" w:rsidRPr="00A72035" w:rsidRDefault="0041584B" w:rsidP="0041584B">
      <w:pPr>
        <w:ind w:left="720"/>
        <w:jc w:val="both"/>
      </w:pPr>
      <w:r w:rsidRPr="00A72035">
        <w:t xml:space="preserve">LAF is the loss adjustment factor to transmission from the CDCM for the network level relevant to the EDCM Customer category of that Connectee.  See table </w:t>
      </w:r>
      <w:r>
        <w:t>15.11</w:t>
      </w:r>
      <w:r w:rsidRPr="00A72035">
        <w:t xml:space="preserve"> below for the correspondence between EDCM Customer categories and network levels.  </w:t>
      </w:r>
    </w:p>
    <w:p w14:paraId="6506A70F" w14:textId="77777777" w:rsidR="0041584B" w:rsidRPr="00A72035" w:rsidRDefault="0041584B" w:rsidP="0041584B">
      <w:pPr>
        <w:ind w:left="720"/>
        <w:jc w:val="both"/>
      </w:pPr>
      <w:r w:rsidRPr="00A72035">
        <w:t xml:space="preserve">AE is the active power equivalent of capacity adjusted to transmission (in kW/kVA).  This is calculated by multiplying the power factor in the 500 MW model (0.95) by the loss adjustment factor to transmission for the network level relevant to that Connectee (as above).  </w:t>
      </w:r>
    </w:p>
    <w:p w14:paraId="4B43DD04" w14:textId="77777777" w:rsidR="0041584B" w:rsidRDefault="0041584B" w:rsidP="0041584B">
      <w:pPr>
        <w:pStyle w:val="Caption"/>
      </w:pPr>
      <w:r w:rsidRPr="007E4D35">
        <w:t>Table</w:t>
      </w:r>
      <w:r>
        <w:t xml:space="preserve"> </w:t>
      </w:r>
      <w:r w:rsidRPr="007E4D35">
        <w:t xml:space="preserve">15.11 </w:t>
      </w:r>
      <w:r>
        <w:t>Customer category r</w:t>
      </w:r>
      <w:r w:rsidRPr="007E4D35">
        <w:t>elevant network level for loss adjustment factors</w:t>
      </w:r>
    </w:p>
    <w:tbl>
      <w:tblPr>
        <w:tblStyle w:val="GridTable4-Accent3"/>
        <w:tblW w:w="5000" w:type="pct"/>
        <w:tblLook w:val="0620" w:firstRow="1" w:lastRow="0" w:firstColumn="0" w:lastColumn="0" w:noHBand="1" w:noVBand="1"/>
      </w:tblPr>
      <w:tblGrid>
        <w:gridCol w:w="2404"/>
        <w:gridCol w:w="6615"/>
      </w:tblGrid>
      <w:tr w:rsidR="0041584B" w:rsidRPr="00A72035" w14:paraId="413743F5" w14:textId="77777777" w:rsidTr="0041584B">
        <w:trPr>
          <w:cnfStyle w:val="100000000000" w:firstRow="1" w:lastRow="0" w:firstColumn="0" w:lastColumn="0" w:oddVBand="0" w:evenVBand="0" w:oddHBand="0" w:evenHBand="0" w:firstRowFirstColumn="0" w:firstRowLastColumn="0" w:lastRowFirstColumn="0" w:lastRowLastColumn="0"/>
        </w:trPr>
        <w:tc>
          <w:tcPr>
            <w:tcW w:w="1333" w:type="pct"/>
          </w:tcPr>
          <w:p w14:paraId="0582B1E2" w14:textId="77777777" w:rsidR="0041584B" w:rsidRPr="001F7BF0" w:rsidRDefault="0041584B" w:rsidP="0041584B">
            <w:pPr>
              <w:pStyle w:val="DCUSATabletextnumbers"/>
              <w:rPr>
                <w:b/>
              </w:rPr>
            </w:pPr>
            <w:r w:rsidRPr="001F7BF0">
              <w:rPr>
                <w:b/>
              </w:rPr>
              <w:t>Customer categories</w:t>
            </w:r>
          </w:p>
        </w:tc>
        <w:tc>
          <w:tcPr>
            <w:tcW w:w="3667" w:type="pct"/>
          </w:tcPr>
          <w:p w14:paraId="01EECCE6" w14:textId="77777777" w:rsidR="0041584B" w:rsidRPr="001F7BF0" w:rsidRDefault="0041584B" w:rsidP="0041584B">
            <w:pPr>
              <w:pStyle w:val="DCUSATabletextnumbers"/>
              <w:rPr>
                <w:b/>
              </w:rPr>
            </w:pPr>
            <w:r w:rsidRPr="001F7BF0">
              <w:rPr>
                <w:b/>
              </w:rPr>
              <w:t>Relevant network level for loss adjustment factors</w:t>
            </w:r>
          </w:p>
        </w:tc>
      </w:tr>
      <w:tr w:rsidR="0041584B" w:rsidRPr="00A72035" w14:paraId="33917EBE" w14:textId="77777777" w:rsidTr="0041584B">
        <w:tc>
          <w:tcPr>
            <w:tcW w:w="1333" w:type="pct"/>
          </w:tcPr>
          <w:p w14:paraId="0036F4E3" w14:textId="77777777" w:rsidR="0041584B" w:rsidRPr="00A72035" w:rsidRDefault="0041584B" w:rsidP="0041584B">
            <w:pPr>
              <w:pStyle w:val="DCUSATableText"/>
            </w:pPr>
            <w:r w:rsidRPr="00A72035">
              <w:t>0000</w:t>
            </w:r>
          </w:p>
        </w:tc>
        <w:tc>
          <w:tcPr>
            <w:tcW w:w="3667" w:type="pct"/>
          </w:tcPr>
          <w:p w14:paraId="575D5BA4" w14:textId="77777777" w:rsidR="0041584B" w:rsidRPr="00A72035" w:rsidRDefault="0041584B" w:rsidP="0041584B">
            <w:pPr>
              <w:pStyle w:val="DCUSATableText"/>
            </w:pPr>
            <w:r w:rsidRPr="00A72035">
              <w:t>GSP (the loss adjustment factor is always 1 for this network level)</w:t>
            </w:r>
          </w:p>
        </w:tc>
      </w:tr>
      <w:tr w:rsidR="0041584B" w:rsidRPr="00A72035" w14:paraId="2C7662FC" w14:textId="77777777" w:rsidTr="0041584B">
        <w:tc>
          <w:tcPr>
            <w:tcW w:w="1333" w:type="pct"/>
          </w:tcPr>
          <w:p w14:paraId="6FB810EB" w14:textId="77777777" w:rsidR="0041584B" w:rsidRPr="00A72035" w:rsidRDefault="0041584B" w:rsidP="0041584B">
            <w:pPr>
              <w:pStyle w:val="DCUSATableText"/>
            </w:pPr>
            <w:r w:rsidRPr="00A72035">
              <w:t>1000</w:t>
            </w:r>
          </w:p>
        </w:tc>
        <w:tc>
          <w:tcPr>
            <w:tcW w:w="3667" w:type="pct"/>
          </w:tcPr>
          <w:p w14:paraId="036DF5AB" w14:textId="77777777" w:rsidR="0041584B" w:rsidRPr="00A72035" w:rsidRDefault="0041584B" w:rsidP="0041584B">
            <w:pPr>
              <w:pStyle w:val="DCUSATableText"/>
            </w:pPr>
            <w:r w:rsidRPr="00A72035">
              <w:t>132kV (level 1)</w:t>
            </w:r>
          </w:p>
        </w:tc>
      </w:tr>
      <w:tr w:rsidR="0041584B" w:rsidRPr="00A72035" w14:paraId="05EB9186" w14:textId="77777777" w:rsidTr="0041584B">
        <w:tc>
          <w:tcPr>
            <w:tcW w:w="1333" w:type="pct"/>
          </w:tcPr>
          <w:p w14:paraId="54C02A6C" w14:textId="77777777" w:rsidR="0041584B" w:rsidRPr="00A72035" w:rsidRDefault="0041584B" w:rsidP="0041584B">
            <w:pPr>
              <w:pStyle w:val="DCUSATableText"/>
            </w:pPr>
            <w:r w:rsidRPr="00A72035">
              <w:t>1100 and 0100</w:t>
            </w:r>
          </w:p>
        </w:tc>
        <w:tc>
          <w:tcPr>
            <w:tcW w:w="3667" w:type="pct"/>
          </w:tcPr>
          <w:p w14:paraId="6B285902" w14:textId="77777777" w:rsidR="0041584B" w:rsidRPr="00A72035" w:rsidRDefault="0041584B" w:rsidP="0041584B">
            <w:pPr>
              <w:pStyle w:val="DCUSATableText"/>
            </w:pPr>
            <w:r w:rsidRPr="00A72035">
              <w:t>132kV/EHV (level 2)</w:t>
            </w:r>
          </w:p>
        </w:tc>
      </w:tr>
      <w:tr w:rsidR="0041584B" w:rsidRPr="00A72035" w14:paraId="572AB8D7" w14:textId="77777777" w:rsidTr="0041584B">
        <w:tc>
          <w:tcPr>
            <w:tcW w:w="1333" w:type="pct"/>
          </w:tcPr>
          <w:p w14:paraId="393A7575" w14:textId="77777777" w:rsidR="0041584B" w:rsidRPr="00A72035" w:rsidRDefault="0041584B" w:rsidP="0041584B">
            <w:pPr>
              <w:pStyle w:val="DCUSATableText"/>
            </w:pPr>
            <w:r w:rsidRPr="00A72035">
              <w:t>1110, 0110 and 0010</w:t>
            </w:r>
          </w:p>
        </w:tc>
        <w:tc>
          <w:tcPr>
            <w:tcW w:w="3667" w:type="pct"/>
          </w:tcPr>
          <w:p w14:paraId="12B8D0B0" w14:textId="77777777" w:rsidR="0041584B" w:rsidRPr="00A72035" w:rsidRDefault="0041584B" w:rsidP="0041584B">
            <w:pPr>
              <w:pStyle w:val="DCUSATableText"/>
            </w:pPr>
            <w:r w:rsidRPr="00A72035">
              <w:t>EHV (level 3)</w:t>
            </w:r>
          </w:p>
        </w:tc>
      </w:tr>
      <w:tr w:rsidR="0041584B" w:rsidRPr="00A72035" w14:paraId="314CD6AA" w14:textId="77777777" w:rsidTr="0041584B">
        <w:tc>
          <w:tcPr>
            <w:tcW w:w="1333" w:type="pct"/>
          </w:tcPr>
          <w:p w14:paraId="1D020632" w14:textId="77777777" w:rsidR="0041584B" w:rsidRPr="00A72035" w:rsidRDefault="0041584B" w:rsidP="0041584B">
            <w:pPr>
              <w:pStyle w:val="DCUSATableText"/>
            </w:pPr>
            <w:r w:rsidRPr="00A72035">
              <w:t>1111, 1101, 0101, 0111, 0011 and 0002</w:t>
            </w:r>
          </w:p>
        </w:tc>
        <w:tc>
          <w:tcPr>
            <w:tcW w:w="3667" w:type="pct"/>
          </w:tcPr>
          <w:p w14:paraId="71B469D4" w14:textId="77777777" w:rsidR="0041584B" w:rsidRPr="00A72035" w:rsidRDefault="0041584B" w:rsidP="0041584B">
            <w:pPr>
              <w:pStyle w:val="DCUSATableText"/>
            </w:pPr>
            <w:r w:rsidRPr="00A72035">
              <w:t>EHV/HV (level 4)</w:t>
            </w:r>
          </w:p>
        </w:tc>
      </w:tr>
      <w:tr w:rsidR="0041584B" w:rsidRPr="00A72035" w14:paraId="0F909DB5" w14:textId="77777777" w:rsidTr="0041584B">
        <w:tc>
          <w:tcPr>
            <w:tcW w:w="1333" w:type="pct"/>
          </w:tcPr>
          <w:p w14:paraId="6BD3F9EB" w14:textId="77777777" w:rsidR="0041584B" w:rsidRPr="00A72035" w:rsidRDefault="0041584B" w:rsidP="0041584B">
            <w:pPr>
              <w:pStyle w:val="DCUSATableText"/>
            </w:pPr>
            <w:r w:rsidRPr="00A72035">
              <w:t>1001 and 0001</w:t>
            </w:r>
          </w:p>
        </w:tc>
        <w:tc>
          <w:tcPr>
            <w:tcW w:w="3667" w:type="pct"/>
          </w:tcPr>
          <w:p w14:paraId="3E27951F" w14:textId="77777777" w:rsidR="0041584B" w:rsidRPr="00A72035" w:rsidRDefault="0041584B" w:rsidP="0041584B">
            <w:pPr>
              <w:pStyle w:val="DCUSATableText"/>
            </w:pPr>
            <w:r w:rsidRPr="00A72035">
              <w:t>132kV/HV (level 5)</w:t>
            </w:r>
          </w:p>
        </w:tc>
      </w:tr>
    </w:tbl>
    <w:p w14:paraId="39FEDB42" w14:textId="77777777" w:rsidR="0041584B" w:rsidRPr="00A72035" w:rsidRDefault="0041584B" w:rsidP="0041584B">
      <w:pPr>
        <w:pStyle w:val="Heading2"/>
        <w:spacing w:before="120"/>
      </w:pPr>
      <w:r w:rsidRPr="00A72035">
        <w:t xml:space="preserve">Again, separate site-specific asset values per kVA (in £/kVA) are calculated in respect of each network level.  The asset value for the network level of connection is based on the Maximum Import Capacity of the Connectee, and for network levels above on consumption at peak time.  </w:t>
      </w:r>
    </w:p>
    <w:p w14:paraId="012E36CA" w14:textId="77777777" w:rsidR="0041584B" w:rsidRPr="00A72035" w:rsidRDefault="0041584B" w:rsidP="0041584B">
      <w:pPr>
        <w:ind w:left="720"/>
        <w:jc w:val="both"/>
      </w:pPr>
      <w:r w:rsidRPr="00A72035">
        <w:lastRenderedPageBreak/>
        <w:t>Site-specific asset value for capacity at level L (£/kVA) = NUL * Average network asset value for capacity at level L (£/kVA)</w:t>
      </w:r>
    </w:p>
    <w:p w14:paraId="64F8A59E" w14:textId="77777777" w:rsidR="0041584B" w:rsidRPr="00A72035" w:rsidRDefault="0041584B" w:rsidP="0041584B">
      <w:pPr>
        <w:ind w:left="720"/>
        <w:jc w:val="both"/>
      </w:pPr>
      <w:r w:rsidRPr="00A72035">
        <w:t>Notional asset value for demand at level L (£/kVA) = NUL * Average network asset value for demand at level L (£/kVA)</w:t>
      </w:r>
    </w:p>
    <w:p w14:paraId="31F68E1E" w14:textId="77777777" w:rsidR="0041584B" w:rsidRPr="00A72035" w:rsidRDefault="0041584B" w:rsidP="0041584B">
      <w:pPr>
        <w:ind w:left="720"/>
        <w:jc w:val="both"/>
      </w:pPr>
      <w:r w:rsidRPr="00A72035">
        <w:t xml:space="preserve">Where: </w:t>
      </w:r>
    </w:p>
    <w:p w14:paraId="5AB6F388" w14:textId="77777777" w:rsidR="0041584B" w:rsidRPr="00A72035" w:rsidRDefault="0041584B" w:rsidP="0041584B">
      <w:pPr>
        <w:ind w:left="720"/>
        <w:jc w:val="both"/>
      </w:pPr>
      <w:r w:rsidRPr="00A72035">
        <w:t>NUL is the network use factor for that Connectee at level L, representing the proportion of the average 500 MW model assets that the Connectee is deemed to use at that level. The methodology to calculate these network use factors is set out in Annex 2 of this Schedule.</w:t>
      </w:r>
    </w:p>
    <w:p w14:paraId="37A9920E" w14:textId="77777777" w:rsidR="0041584B" w:rsidRPr="00A72035" w:rsidRDefault="0041584B" w:rsidP="0041584B">
      <w:pPr>
        <w:ind w:left="720"/>
        <w:jc w:val="both"/>
      </w:pPr>
      <w:r w:rsidRPr="00A72035">
        <w:t>Average notional asset value for capacity at level L is the voltage level average calculated as described earlier.</w:t>
      </w:r>
    </w:p>
    <w:p w14:paraId="7F550144" w14:textId="77777777" w:rsidR="0041584B" w:rsidRPr="00A72035" w:rsidRDefault="0041584B" w:rsidP="0041584B">
      <w:pPr>
        <w:ind w:left="720"/>
        <w:jc w:val="both"/>
      </w:pPr>
      <w:r w:rsidRPr="00A72035">
        <w:t>Average notional asset value for demand at level L is the voltage level average calculated as described earlier.</w:t>
      </w:r>
    </w:p>
    <w:p w14:paraId="7B1E9A44" w14:textId="77777777" w:rsidR="0041584B" w:rsidRPr="00A72035" w:rsidRDefault="0041584B" w:rsidP="0041584B">
      <w:pPr>
        <w:pStyle w:val="Heading2"/>
      </w:pPr>
      <w:r w:rsidRPr="00A72035">
        <w:t xml:space="preserve">Network use factors for import charges of a mixed import-export site that is generation-dominated are set to default values.  These default values are equal to the “collars” for each network level calculated as described in section on demand scaling.  Generation-dominated sites are determined according to the rules set out in the LRIC methodology to determine whether a location is to be modelled as a generation site.    </w:t>
      </w:r>
    </w:p>
    <w:p w14:paraId="6011199D" w14:textId="77777777" w:rsidR="0041584B" w:rsidRPr="00A72035" w:rsidRDefault="0041584B" w:rsidP="0041584B">
      <w:pPr>
        <w:pStyle w:val="Heading2"/>
      </w:pPr>
      <w:r w:rsidRPr="00A72035">
        <w:t>The total value of the site-specific shared assets required to serve each Connectee is calculated according to the formula:</w:t>
      </w:r>
    </w:p>
    <w:p w14:paraId="0B108011" w14:textId="77777777" w:rsidR="0041584B" w:rsidRPr="00A72035" w:rsidRDefault="0041584B" w:rsidP="0041584B">
      <w:pPr>
        <w:ind w:left="720"/>
        <w:jc w:val="both"/>
      </w:pPr>
      <w:r w:rsidRPr="00A72035">
        <w:t>TNA = NAC + (NAD * (1 - (Hours in super-red for which not a customer/Annual hours in super-red</w:t>
      </w:r>
      <w:proofErr w:type="gramStart"/>
      <w:r w:rsidRPr="00A72035">
        <w:t>))*</w:t>
      </w:r>
      <w:proofErr w:type="gramEnd"/>
      <w:r w:rsidRPr="00A72035">
        <w:t>(Days in year/(Days in year - Days for which not a customer)))</w:t>
      </w:r>
    </w:p>
    <w:p w14:paraId="130DD276" w14:textId="77777777" w:rsidR="0041584B" w:rsidRPr="00A72035" w:rsidRDefault="0041584B" w:rsidP="0041584B">
      <w:pPr>
        <w:ind w:left="720"/>
        <w:jc w:val="both"/>
      </w:pPr>
      <w:r w:rsidRPr="00A72035">
        <w:t>Where:</w:t>
      </w:r>
    </w:p>
    <w:p w14:paraId="144FBAE2" w14:textId="77777777" w:rsidR="0041584B" w:rsidRPr="00A72035" w:rsidRDefault="0041584B" w:rsidP="0041584B">
      <w:pPr>
        <w:ind w:left="720"/>
        <w:jc w:val="both"/>
      </w:pPr>
      <w:r w:rsidRPr="00A72035">
        <w:t>TNA is the total site-specific network assets in £/kVA required to serve a Connectee.</w:t>
      </w:r>
    </w:p>
    <w:p w14:paraId="51C1248D" w14:textId="77777777" w:rsidR="0041584B" w:rsidRPr="00A72035" w:rsidRDefault="0041584B" w:rsidP="0041584B">
      <w:pPr>
        <w:ind w:left="720"/>
        <w:jc w:val="both"/>
      </w:pPr>
      <w:r w:rsidRPr="00A72035">
        <w:t>NAC is the site-specific asset value in £/kVA for capacity for that Connectee aggregated across all levels.</w:t>
      </w:r>
    </w:p>
    <w:p w14:paraId="79A414C1" w14:textId="77777777" w:rsidR="0041584B" w:rsidRPr="00A72035" w:rsidRDefault="0041584B" w:rsidP="0041584B">
      <w:pPr>
        <w:ind w:left="720"/>
        <w:jc w:val="both"/>
      </w:pPr>
      <w:r w:rsidRPr="00A72035">
        <w:lastRenderedPageBreak/>
        <w:t>NAD is the site-specific asset value in £/kVA for demand for that Connectee aggregated across all levels.</w:t>
      </w:r>
    </w:p>
    <w:p w14:paraId="26BD20A8" w14:textId="77777777" w:rsidR="0041584B" w:rsidRPr="00A72035" w:rsidRDefault="0041584B" w:rsidP="0041584B">
      <w:pPr>
        <w:pStyle w:val="Heading2"/>
      </w:pPr>
      <w:r w:rsidRPr="00A72035">
        <w:t xml:space="preserve">Total site-specific shared assets </w:t>
      </w:r>
      <w:proofErr w:type="gramStart"/>
      <w:r w:rsidRPr="00A72035">
        <w:t>is</w:t>
      </w:r>
      <w:proofErr w:type="gramEnd"/>
      <w:r w:rsidRPr="00A72035">
        <w:t xml:space="preserve"> the aggregate value (in £) of all site-specific shared assets for EDCM Connectees. This is calculated by multiplying TNA by the Maximum Import Capacity (adjusted, if necessary, for Connectees connected for part of the Charging Year), and then aggregating across all EDCM Connectees.</w:t>
      </w:r>
    </w:p>
    <w:p w14:paraId="409AA047" w14:textId="77777777" w:rsidR="0041584B" w:rsidRPr="00A72035" w:rsidRDefault="0041584B" w:rsidP="0041584B">
      <w:pPr>
        <w:pStyle w:val="Heading1"/>
      </w:pPr>
      <w:bookmarkStart w:id="193" w:name="_Toc320876079"/>
      <w:bookmarkStart w:id="194" w:name="_Toc320876702"/>
      <w:bookmarkStart w:id="195" w:name="_Toc325449916"/>
      <w:bookmarkStart w:id="196" w:name="_Toc339284560"/>
      <w:bookmarkStart w:id="197" w:name="_Toc360027734"/>
      <w:bookmarkStart w:id="198" w:name="_Toc360028088"/>
      <w:bookmarkStart w:id="199" w:name="_Toc391559947"/>
      <w:bookmarkStart w:id="200" w:name="_Toc510303067"/>
      <w:bookmarkStart w:id="201" w:name="_Toc513018481"/>
      <w:bookmarkStart w:id="202" w:name="_Toc518333666"/>
      <w:bookmarkStart w:id="203" w:name="_Toc527908522"/>
      <w:r w:rsidRPr="00A72035">
        <w:t>Calculation of the EDCM demand revenue target</w:t>
      </w:r>
      <w:bookmarkEnd w:id="193"/>
      <w:bookmarkEnd w:id="194"/>
      <w:bookmarkEnd w:id="195"/>
      <w:bookmarkEnd w:id="196"/>
      <w:bookmarkEnd w:id="197"/>
      <w:bookmarkEnd w:id="198"/>
      <w:bookmarkEnd w:id="199"/>
      <w:bookmarkEnd w:id="200"/>
      <w:bookmarkEnd w:id="201"/>
      <w:bookmarkEnd w:id="202"/>
      <w:bookmarkEnd w:id="203"/>
    </w:p>
    <w:p w14:paraId="07039611" w14:textId="77777777" w:rsidR="0041584B" w:rsidRPr="005D1494" w:rsidRDefault="0041584B" w:rsidP="0041584B">
      <w:pPr>
        <w:pStyle w:val="Heading2"/>
      </w:pPr>
      <w:r w:rsidRPr="005D1494">
        <w:t>The EDCM demand revenue target is the share of the DNO Party’s Allowed Revenue less any revenue relating to recovery of the DNO Party's Supplier of Last Resort and Eligible Bad Debt pass-through costs (excluding transmission exit charges and net revenue from EDCM generation) that will be recovered from EDCM Connectees through import charges.</w:t>
      </w:r>
    </w:p>
    <w:p w14:paraId="2FA0CE96" w14:textId="77777777" w:rsidR="0041584B" w:rsidRPr="00A72035" w:rsidRDefault="0041584B" w:rsidP="0041584B">
      <w:pPr>
        <w:pStyle w:val="Heading2"/>
      </w:pPr>
      <w:r w:rsidRPr="00A72035">
        <w:t>This section describes the method used to calculate the EDCM demand revenue target.</w:t>
      </w:r>
    </w:p>
    <w:p w14:paraId="4722241D" w14:textId="77777777" w:rsidR="0041584B" w:rsidRPr="00A72035" w:rsidRDefault="0041584B" w:rsidP="0041584B">
      <w:pPr>
        <w:pStyle w:val="Heading2"/>
      </w:pPr>
      <w:r w:rsidRPr="00A72035">
        <w:t>A single contribution rate for network rates is calculated for all EDCM Connectees as follows:</w:t>
      </w:r>
    </w:p>
    <w:p w14:paraId="03D03B4A" w14:textId="77777777" w:rsidR="0041584B" w:rsidRDefault="0041584B" w:rsidP="0041584B">
      <w:pPr>
        <w:ind w:left="720"/>
        <w:jc w:val="both"/>
      </w:pPr>
      <w:r>
        <w:t>Network rates contribution rate (per cent) = NR / (Total site-specific shared assets + Total EDCM sole use assets + EHV assets + HV and LV network assets + HV and LV service model assets)</w:t>
      </w:r>
    </w:p>
    <w:p w14:paraId="667F35AF" w14:textId="77777777" w:rsidR="0041584B" w:rsidRDefault="0041584B" w:rsidP="0041584B">
      <w:pPr>
        <w:ind w:left="720"/>
        <w:jc w:val="both"/>
      </w:pPr>
      <w:r>
        <w:t>Where:</w:t>
      </w:r>
    </w:p>
    <w:p w14:paraId="393B766E" w14:textId="77777777" w:rsidR="0041584B" w:rsidRDefault="0041584B" w:rsidP="0041584B">
      <w:pPr>
        <w:ind w:left="720"/>
        <w:jc w:val="both"/>
      </w:pPr>
      <w:r>
        <w:t>NR is the DNO Party’s total expenditure on network rates.</w:t>
      </w:r>
    </w:p>
    <w:p w14:paraId="393B3D77" w14:textId="77777777" w:rsidR="0041584B" w:rsidRDefault="0041584B" w:rsidP="0041584B">
      <w:pPr>
        <w:ind w:left="720"/>
        <w:jc w:val="both"/>
      </w:pPr>
      <w:r>
        <w:t xml:space="preserve">Total site-specific shared assets </w:t>
      </w:r>
      <w:proofErr w:type="gramStart"/>
      <w:r>
        <w:t>is</w:t>
      </w:r>
      <w:proofErr w:type="gramEnd"/>
      <w:r>
        <w:t xml:space="preserve"> the aggregate value (in £) of all site-specific shared assets for EDCM (Load) Connectees.  </w:t>
      </w:r>
    </w:p>
    <w:p w14:paraId="30B1E076" w14:textId="77777777" w:rsidR="0041584B" w:rsidRDefault="0041584B" w:rsidP="0041584B">
      <w:pPr>
        <w:ind w:left="720"/>
        <w:jc w:val="both"/>
      </w:pPr>
      <w:r>
        <w:t xml:space="preserve">Total EDCM sole use assets is the aggregate sole use asset MEAVs of all </w:t>
      </w:r>
      <w:proofErr w:type="gramStart"/>
      <w:r>
        <w:t>EDCM  Connectees</w:t>
      </w:r>
      <w:proofErr w:type="gramEnd"/>
      <w:r>
        <w:t>, excluding the value of sole use assets associated with exempt export capacity, adjusted for part-year connected Connectees. EHV assets are the aggregate EHV assets in the CDCM model.</w:t>
      </w:r>
    </w:p>
    <w:p w14:paraId="32FCEDBA" w14:textId="77777777" w:rsidR="0041584B" w:rsidRDefault="0041584B" w:rsidP="0041584B">
      <w:pPr>
        <w:ind w:left="720"/>
        <w:jc w:val="both"/>
      </w:pPr>
      <w:r>
        <w:t>HV and LV network assets from the CDCM model.</w:t>
      </w:r>
    </w:p>
    <w:p w14:paraId="2C38D0C3" w14:textId="77777777" w:rsidR="0041584B" w:rsidRDefault="0041584B" w:rsidP="0041584B">
      <w:pPr>
        <w:ind w:left="720"/>
        <w:jc w:val="both"/>
      </w:pPr>
      <w:r>
        <w:lastRenderedPageBreak/>
        <w:t>HV and LV service model assets from the CDCM model.</w:t>
      </w:r>
    </w:p>
    <w:p w14:paraId="1AAD9AAA" w14:textId="77777777" w:rsidR="0041584B" w:rsidRPr="00A72035" w:rsidRDefault="0041584B" w:rsidP="0041584B">
      <w:pPr>
        <w:pStyle w:val="Heading2"/>
      </w:pPr>
      <w:r w:rsidRPr="00A72035">
        <w:t>A single contribution rate for direct operating costs is calculated for all EDCM Connectees as follows:</w:t>
      </w:r>
    </w:p>
    <w:p w14:paraId="11132CB9" w14:textId="77777777" w:rsidR="0041584B" w:rsidRPr="00A72035" w:rsidRDefault="0041584B" w:rsidP="0041584B">
      <w:pPr>
        <w:ind w:left="720"/>
      </w:pPr>
      <w:r w:rsidRPr="00A72035">
        <w:t>Direct operating costs contribution rate (per cent) = DOC / (Total site-specific shared assets + Total EDCM sole use assets + EHV assets + (HV and LV network assets + HV and LV service model assets) / 0.68)</w:t>
      </w:r>
    </w:p>
    <w:p w14:paraId="27A77B31" w14:textId="77777777" w:rsidR="0041584B" w:rsidRPr="00A72035" w:rsidRDefault="0041584B" w:rsidP="0041584B">
      <w:pPr>
        <w:ind w:left="720"/>
      </w:pPr>
      <w:r w:rsidRPr="00A72035">
        <w:t>Where:</w:t>
      </w:r>
    </w:p>
    <w:p w14:paraId="5F2DD34D" w14:textId="77777777" w:rsidR="0041584B" w:rsidRPr="00A72035" w:rsidRDefault="0041584B" w:rsidP="0041584B">
      <w:pPr>
        <w:ind w:left="720"/>
      </w:pPr>
      <w:r w:rsidRPr="00A72035">
        <w:t>DOC is the DNO Party’s total expenditure on direct operating costs.</w:t>
      </w:r>
    </w:p>
    <w:p w14:paraId="7C101C44" w14:textId="77777777" w:rsidR="0041584B" w:rsidRPr="00A72035" w:rsidRDefault="0041584B" w:rsidP="0041584B">
      <w:pPr>
        <w:ind w:left="720"/>
      </w:pPr>
      <w:r w:rsidRPr="00A72035">
        <w:t xml:space="preserve">Total site-specific shared assets </w:t>
      </w:r>
      <w:proofErr w:type="gramStart"/>
      <w:r w:rsidRPr="00A72035">
        <w:t>is</w:t>
      </w:r>
      <w:proofErr w:type="gramEnd"/>
      <w:r w:rsidRPr="00A72035">
        <w:t xml:space="preserve"> the aggregate value (in £) of all site-specific shared assets for EDCM Connectees.  </w:t>
      </w:r>
    </w:p>
    <w:p w14:paraId="1119611B" w14:textId="77777777" w:rsidR="0041584B" w:rsidRPr="00A72035" w:rsidRDefault="0041584B" w:rsidP="0041584B">
      <w:pPr>
        <w:ind w:left="720"/>
      </w:pPr>
      <w:r w:rsidRPr="00A72035">
        <w:t xml:space="preserve">Total EDCM sole use assets is the aggregate sole use asset MEAVs of all </w:t>
      </w:r>
      <w:proofErr w:type="gramStart"/>
      <w:r w:rsidRPr="00A72035">
        <w:t>EDCM  Connectees</w:t>
      </w:r>
      <w:proofErr w:type="gramEnd"/>
      <w:r w:rsidRPr="00A72035">
        <w:t>, excluding the value of sole use assets associated with exempt export capacity, adjusted for part-year connected Connectees.</w:t>
      </w:r>
      <w:r w:rsidRPr="00A72035" w:rsidDel="001F70E5">
        <w:t xml:space="preserve"> </w:t>
      </w:r>
      <w:r w:rsidRPr="00A72035">
        <w:t>EHV assets are the aggregate EHV assets in the CDCM model.</w:t>
      </w:r>
    </w:p>
    <w:p w14:paraId="15AEFACA" w14:textId="77777777" w:rsidR="0041584B" w:rsidRPr="00A72035" w:rsidRDefault="0041584B" w:rsidP="0041584B">
      <w:pPr>
        <w:ind w:left="720"/>
      </w:pPr>
      <w:r w:rsidRPr="00A72035">
        <w:t>HV and LV network assets from the CDCM model.</w:t>
      </w:r>
    </w:p>
    <w:p w14:paraId="74D7D0C6" w14:textId="77777777" w:rsidR="0041584B" w:rsidRPr="00A72035" w:rsidRDefault="0041584B" w:rsidP="0041584B">
      <w:pPr>
        <w:ind w:left="720"/>
      </w:pPr>
      <w:r w:rsidRPr="00A72035">
        <w:t>HV and LV service model assets from the CDCM model.</w:t>
      </w:r>
    </w:p>
    <w:p w14:paraId="16714161" w14:textId="77777777" w:rsidR="0041584B" w:rsidRPr="00A72035" w:rsidRDefault="0041584B" w:rsidP="0041584B">
      <w:pPr>
        <w:ind w:left="720"/>
      </w:pPr>
      <w:r w:rsidRPr="00A72035">
        <w:t>0.68 is the operating intensity factor.</w:t>
      </w:r>
    </w:p>
    <w:p w14:paraId="11E5ED0C" w14:textId="77777777" w:rsidR="0041584B" w:rsidRPr="00A72035" w:rsidRDefault="0041584B" w:rsidP="0041584B">
      <w:pPr>
        <w:pStyle w:val="Heading2"/>
      </w:pPr>
      <w:r w:rsidRPr="00A72035">
        <w:t>A single contribution rate for indirect costs is calculated for all EDCM Connectees as follows:</w:t>
      </w:r>
    </w:p>
    <w:p w14:paraId="3CC3B1C9" w14:textId="77777777" w:rsidR="0041584B" w:rsidRPr="00A72035" w:rsidRDefault="0041584B" w:rsidP="0041584B">
      <w:pPr>
        <w:ind w:left="720"/>
      </w:pPr>
      <w:r w:rsidRPr="00A72035">
        <w:t>Indirect costs contribution rate (per cent) = INDOC / (Total site-specific shared assets + Total EDCM sole use assets + EHV assets + (HV and LV network assets + HV and LV service model assets) / 0.68)</w:t>
      </w:r>
    </w:p>
    <w:p w14:paraId="3A885059" w14:textId="77777777" w:rsidR="0041584B" w:rsidRPr="00A72035" w:rsidRDefault="0041584B" w:rsidP="0041584B">
      <w:pPr>
        <w:ind w:left="720"/>
      </w:pPr>
      <w:r w:rsidRPr="00A72035">
        <w:t>Where:</w:t>
      </w:r>
    </w:p>
    <w:p w14:paraId="1A7F487E" w14:textId="77777777" w:rsidR="0041584B" w:rsidRPr="00A72035" w:rsidRDefault="0041584B" w:rsidP="0041584B">
      <w:pPr>
        <w:ind w:left="720"/>
      </w:pPr>
      <w:r w:rsidRPr="00A72035">
        <w:t>INDOC is the DNO Party’s total expenditure on indirect costs.</w:t>
      </w:r>
    </w:p>
    <w:p w14:paraId="200CBB4E" w14:textId="77777777" w:rsidR="0041584B" w:rsidRPr="00A72035" w:rsidRDefault="0041584B" w:rsidP="0041584B">
      <w:pPr>
        <w:ind w:left="720"/>
      </w:pPr>
      <w:r w:rsidRPr="00A72035">
        <w:lastRenderedPageBreak/>
        <w:t xml:space="preserve">Total site-specific shared assets </w:t>
      </w:r>
      <w:proofErr w:type="gramStart"/>
      <w:r w:rsidRPr="00A72035">
        <w:t>is</w:t>
      </w:r>
      <w:proofErr w:type="gramEnd"/>
      <w:r w:rsidRPr="00A72035">
        <w:t xml:space="preserve"> the aggregate value (in £) of all site-specific shared assets for EDCM Connectees.  </w:t>
      </w:r>
    </w:p>
    <w:p w14:paraId="237A5549" w14:textId="77777777" w:rsidR="0041584B" w:rsidRPr="00A72035" w:rsidRDefault="0041584B" w:rsidP="0041584B">
      <w:pPr>
        <w:ind w:left="720"/>
      </w:pPr>
      <w:r w:rsidRPr="00A72035">
        <w:t>Total EDCM sole use assets is the aggregate sole use asset MEAVs of all EDCM Connectees, excluding the value of sole use assets associated with exempt export capacity, adjusted for part-year connected Connectee. EHV assets are the aggregate EHV assets in the CDCM model.</w:t>
      </w:r>
    </w:p>
    <w:p w14:paraId="2726A2F8" w14:textId="77777777" w:rsidR="0041584B" w:rsidRPr="00A72035" w:rsidRDefault="0041584B" w:rsidP="0041584B">
      <w:pPr>
        <w:ind w:left="720"/>
      </w:pPr>
      <w:r w:rsidRPr="00A72035">
        <w:t>HV and LV network assets from the CDCM model.</w:t>
      </w:r>
    </w:p>
    <w:p w14:paraId="1046C895" w14:textId="77777777" w:rsidR="0041584B" w:rsidRPr="00A72035" w:rsidRDefault="0041584B" w:rsidP="0041584B">
      <w:pPr>
        <w:ind w:left="720"/>
      </w:pPr>
      <w:r w:rsidRPr="00A72035">
        <w:t xml:space="preserve">HV and LV service model assets from the CDCM model. </w:t>
      </w:r>
    </w:p>
    <w:p w14:paraId="0689B05C" w14:textId="77777777" w:rsidR="0041584B" w:rsidRPr="00A72035" w:rsidRDefault="0041584B" w:rsidP="0041584B">
      <w:pPr>
        <w:ind w:left="720"/>
      </w:pPr>
      <w:r w:rsidRPr="00A72035">
        <w:t>0.68 is the operating intensity factor.</w:t>
      </w:r>
    </w:p>
    <w:p w14:paraId="6B3F5DAF" w14:textId="77777777" w:rsidR="0041584B" w:rsidRPr="00A72035" w:rsidRDefault="0041584B" w:rsidP="0041584B">
      <w:pPr>
        <w:pStyle w:val="Heading2"/>
      </w:pPr>
      <w:r w:rsidRPr="00A72035">
        <w:t>Next, a residual revenue contribution rate is calculated as follows:</w:t>
      </w:r>
    </w:p>
    <w:p w14:paraId="78F9FF7A" w14:textId="77777777" w:rsidR="0041584B" w:rsidRPr="00A72035" w:rsidRDefault="0041584B" w:rsidP="0041584B">
      <w:pPr>
        <w:ind w:left="720"/>
      </w:pPr>
      <w:r w:rsidRPr="00A72035">
        <w:t>Residual revenue contribution rate (per cent) = (AR - DOC – INDOC – NR – GCN) / (Total site-specific shared assets + EHV assets + HV and LV network assets)</w:t>
      </w:r>
    </w:p>
    <w:p w14:paraId="29CAE3BB" w14:textId="77777777" w:rsidR="0041584B" w:rsidRPr="00A72035" w:rsidRDefault="0041584B" w:rsidP="0041584B">
      <w:pPr>
        <w:ind w:left="720"/>
      </w:pPr>
      <w:r w:rsidRPr="00A72035">
        <w:t>Where:</w:t>
      </w:r>
    </w:p>
    <w:p w14:paraId="678F52E0" w14:textId="77777777" w:rsidR="0041584B" w:rsidRPr="00A72035" w:rsidRDefault="0041584B" w:rsidP="0041584B">
      <w:pPr>
        <w:ind w:left="720"/>
      </w:pPr>
      <w:r w:rsidRPr="00A72035">
        <w:t>AR is the DNO Party’s total Allowed Revenue excluding transmission exit charges in £/year</w:t>
      </w:r>
      <w:r w:rsidRPr="00CC29E9">
        <w:t xml:space="preserve"> </w:t>
      </w:r>
      <w:r w:rsidRPr="000C44F0">
        <w:t>and excluding any revenue relating to recovery of</w:t>
      </w:r>
      <w:r>
        <w:t xml:space="preserve"> the</w:t>
      </w:r>
      <w:r w:rsidRPr="000C44F0">
        <w:t xml:space="preserve"> </w:t>
      </w:r>
      <w:r w:rsidRPr="00E761AF">
        <w:t>DNO Party</w:t>
      </w:r>
      <w:r>
        <w:t>'s</w:t>
      </w:r>
      <w:r w:rsidRPr="00E761AF">
        <w:t xml:space="preserve"> Supplier of Last Resort</w:t>
      </w:r>
      <w:r w:rsidRPr="00526702">
        <w:t xml:space="preserve"> and Eligible Bad Debt</w:t>
      </w:r>
      <w:r>
        <w:t xml:space="preserve"> </w:t>
      </w:r>
      <w:r w:rsidRPr="000C44F0">
        <w:t>pass-through costs</w:t>
      </w:r>
      <w:r>
        <w:t>.</w:t>
      </w:r>
    </w:p>
    <w:p w14:paraId="006B4255" w14:textId="77777777" w:rsidR="0041584B" w:rsidRPr="00A72035" w:rsidRDefault="0041584B" w:rsidP="0041584B">
      <w:pPr>
        <w:ind w:left="720"/>
      </w:pPr>
      <w:r w:rsidRPr="00A72035">
        <w:t>DOC is the DNO Party’s total expenditure on direct operating costs.</w:t>
      </w:r>
    </w:p>
    <w:p w14:paraId="2DDC5A06" w14:textId="77777777" w:rsidR="0041584B" w:rsidRPr="00A72035" w:rsidRDefault="0041584B" w:rsidP="0041584B">
      <w:pPr>
        <w:ind w:left="720"/>
      </w:pPr>
      <w:r w:rsidRPr="00A72035">
        <w:t>INDOC is the DNO Party’s total expenditure on indirect costs.</w:t>
      </w:r>
    </w:p>
    <w:p w14:paraId="797652EC" w14:textId="77777777" w:rsidR="0041584B" w:rsidRPr="00A72035" w:rsidRDefault="0041584B" w:rsidP="0041584B">
      <w:pPr>
        <w:ind w:left="720"/>
      </w:pPr>
      <w:r w:rsidRPr="00A72035">
        <w:t>NR is the DNO Party’s total expenditure on network rates.</w:t>
      </w:r>
    </w:p>
    <w:p w14:paraId="4B581CA9" w14:textId="77777777" w:rsidR="0041584B" w:rsidRPr="00A72035" w:rsidRDefault="0041584B" w:rsidP="0041584B">
      <w:pPr>
        <w:ind w:left="720"/>
      </w:pPr>
      <w:r w:rsidRPr="00A72035">
        <w:t>GCN is the total forecast net revenue in £/year from the application of EDCM export charges, including the EDCM generation fixed charge.   This amount is estimated by applying the calculated EDCM export charges rounded to the relevant number of decimal points.</w:t>
      </w:r>
    </w:p>
    <w:p w14:paraId="0E505770" w14:textId="77777777" w:rsidR="0041584B" w:rsidRPr="00A72035" w:rsidRDefault="0041584B" w:rsidP="0041584B">
      <w:pPr>
        <w:ind w:left="720"/>
      </w:pPr>
      <w:r w:rsidRPr="00A72035">
        <w:t xml:space="preserve">Total site-specific shared assets </w:t>
      </w:r>
      <w:proofErr w:type="gramStart"/>
      <w:r w:rsidRPr="00A72035">
        <w:t>is</w:t>
      </w:r>
      <w:proofErr w:type="gramEnd"/>
      <w:r w:rsidRPr="00A72035">
        <w:t xml:space="preserve"> the aggregate value (in £) of all site-specific shared assets for EDCM Connectees.    </w:t>
      </w:r>
    </w:p>
    <w:p w14:paraId="3B372793" w14:textId="77777777" w:rsidR="0041584B" w:rsidRPr="00A72035" w:rsidRDefault="0041584B" w:rsidP="0041584B">
      <w:pPr>
        <w:ind w:left="720"/>
      </w:pPr>
      <w:r w:rsidRPr="00A72035">
        <w:lastRenderedPageBreak/>
        <w:t>EHV assets are the aggregate EHV assets in the CDCM model.</w:t>
      </w:r>
    </w:p>
    <w:p w14:paraId="4DF5FB9B" w14:textId="77777777" w:rsidR="0041584B" w:rsidRPr="00A72035" w:rsidRDefault="0041584B" w:rsidP="0041584B">
      <w:pPr>
        <w:ind w:left="720"/>
      </w:pPr>
      <w:r w:rsidRPr="00A72035">
        <w:t>HV and LV network assets from the CDCM model.</w:t>
      </w:r>
    </w:p>
    <w:p w14:paraId="70C254E7" w14:textId="77777777" w:rsidR="0041584B" w:rsidRPr="00A72035" w:rsidRDefault="0041584B" w:rsidP="0041584B">
      <w:pPr>
        <w:pStyle w:val="Heading2"/>
      </w:pPr>
      <w:r w:rsidRPr="00A72035">
        <w:t xml:space="preserve">The contribution rates for network rates, direct costs, indirect costs and residual revenue is converted into a £/year import </w:t>
      </w:r>
      <w:proofErr w:type="gramStart"/>
      <w:r w:rsidRPr="00A72035">
        <w:t>capacity based</w:t>
      </w:r>
      <w:proofErr w:type="gramEnd"/>
      <w:r w:rsidRPr="00A72035">
        <w:t xml:space="preserve"> contribution and a demand sole use asset MEAV based contribution for each EDCM Connectee.</w:t>
      </w:r>
    </w:p>
    <w:p w14:paraId="6A401BD3" w14:textId="77777777" w:rsidR="0041584B" w:rsidRPr="00A72035" w:rsidRDefault="0041584B" w:rsidP="0041584B">
      <w:pPr>
        <w:ind w:left="720"/>
      </w:pPr>
      <w:r w:rsidRPr="00A72035">
        <w:t xml:space="preserve">Import </w:t>
      </w:r>
      <w:proofErr w:type="gramStart"/>
      <w:r w:rsidRPr="00A72035">
        <w:t>capacity based</w:t>
      </w:r>
      <w:proofErr w:type="gramEnd"/>
      <w:r w:rsidRPr="00A72035">
        <w:t xml:space="preserve"> network rates contribution for each Connectee = TNA * NR rate * import capacity</w:t>
      </w:r>
    </w:p>
    <w:p w14:paraId="38785BDF" w14:textId="77777777" w:rsidR="0041584B" w:rsidRPr="00A72035" w:rsidRDefault="0041584B" w:rsidP="0041584B">
      <w:pPr>
        <w:ind w:left="720"/>
      </w:pPr>
      <w:r w:rsidRPr="00A72035">
        <w:t>Import capacity based direct operating costs contribution for each Connectee = TNA * DOC rate * import capacity</w:t>
      </w:r>
    </w:p>
    <w:p w14:paraId="7C695B44" w14:textId="77777777" w:rsidR="0041584B" w:rsidRPr="00A72035" w:rsidRDefault="0041584B" w:rsidP="0041584B">
      <w:pPr>
        <w:ind w:left="720"/>
      </w:pPr>
      <w:r w:rsidRPr="00A72035">
        <w:t>Import capacity based indirect costs contribution for each Connectee = TNA * INDOC rate * import capacity</w:t>
      </w:r>
    </w:p>
    <w:p w14:paraId="70DF3710" w14:textId="77777777" w:rsidR="0041584B" w:rsidRPr="00A72035" w:rsidRDefault="0041584B" w:rsidP="0041584B">
      <w:pPr>
        <w:ind w:left="720"/>
      </w:pPr>
      <w:r w:rsidRPr="00A72035">
        <w:t>Import capacity based residual revenue contribution for each Connectee = TNA * residual revenue rate * import capacity</w:t>
      </w:r>
    </w:p>
    <w:p w14:paraId="3E50484A" w14:textId="77777777" w:rsidR="0041584B" w:rsidRPr="00A72035" w:rsidRDefault="0041584B" w:rsidP="0041584B">
      <w:pPr>
        <w:ind w:left="720"/>
      </w:pPr>
      <w:r w:rsidRPr="00A72035">
        <w:t>Where:</w:t>
      </w:r>
    </w:p>
    <w:p w14:paraId="28F212E1" w14:textId="77777777" w:rsidR="0041584B" w:rsidRPr="00A72035" w:rsidRDefault="0041584B" w:rsidP="0041584B">
      <w:pPr>
        <w:ind w:left="720"/>
      </w:pPr>
      <w:r w:rsidRPr="00A72035">
        <w:t xml:space="preserve">TNA is the total site-specific assets (£/kVA) for that EDCM Connectee.  </w:t>
      </w:r>
    </w:p>
    <w:p w14:paraId="69CB0CF7" w14:textId="77777777" w:rsidR="0041584B" w:rsidRPr="00A72035" w:rsidRDefault="0041584B" w:rsidP="0041584B">
      <w:pPr>
        <w:ind w:left="720"/>
      </w:pPr>
      <w:r w:rsidRPr="00A72035">
        <w:t>NR rate is the network rates contribution rate in per cent.</w:t>
      </w:r>
    </w:p>
    <w:p w14:paraId="2DBD47A8" w14:textId="77777777" w:rsidR="0041584B" w:rsidRPr="00A72035" w:rsidRDefault="0041584B" w:rsidP="0041584B">
      <w:pPr>
        <w:ind w:left="720"/>
      </w:pPr>
      <w:r w:rsidRPr="00A72035">
        <w:t>DOC rate is the direct operating costs contribution rate in per cent.</w:t>
      </w:r>
    </w:p>
    <w:p w14:paraId="5172CF66" w14:textId="77777777" w:rsidR="0041584B" w:rsidRPr="00A72035" w:rsidRDefault="0041584B" w:rsidP="0041584B">
      <w:pPr>
        <w:ind w:left="720"/>
      </w:pPr>
      <w:r w:rsidRPr="00A72035">
        <w:t>INDOC rate is the indirect costs contribution rate in per cent.</w:t>
      </w:r>
    </w:p>
    <w:p w14:paraId="3C8B4DF4" w14:textId="77777777" w:rsidR="0041584B" w:rsidRPr="00A72035" w:rsidRDefault="0041584B" w:rsidP="0041584B">
      <w:pPr>
        <w:ind w:left="720"/>
      </w:pPr>
      <w:r w:rsidRPr="00A72035">
        <w:t>Residual revenue rate is the residual revenue contribution rate in per cent.</w:t>
      </w:r>
    </w:p>
    <w:p w14:paraId="473A5192" w14:textId="77777777" w:rsidR="0041584B" w:rsidRPr="00A72035" w:rsidRDefault="0041584B" w:rsidP="0041584B">
      <w:pPr>
        <w:ind w:left="720"/>
      </w:pPr>
      <w:r w:rsidRPr="00A72035">
        <w:t xml:space="preserve">Import capacity is the Maximum Import Capacity (adjusted, if necessary, if the Connectee is connected for part of the Charging Year) in kVA for that EDCM Connectee.       </w:t>
      </w:r>
    </w:p>
    <w:p w14:paraId="23583644" w14:textId="77777777" w:rsidR="0041584B" w:rsidRPr="00B672C5" w:rsidRDefault="0041584B" w:rsidP="0041584B">
      <w:pPr>
        <w:pStyle w:val="Heading2"/>
      </w:pPr>
      <w:r w:rsidRPr="00B672C5">
        <w:t>The demand sole use asset MEAV based contribution in £/year is calculated as follows:</w:t>
      </w:r>
    </w:p>
    <w:p w14:paraId="0A269B95" w14:textId="77777777" w:rsidR="0041584B" w:rsidRPr="00B672C5" w:rsidRDefault="0041584B" w:rsidP="0041584B">
      <w:pPr>
        <w:ind w:left="720"/>
      </w:pPr>
      <w:r w:rsidRPr="00B672C5">
        <w:t xml:space="preserve">Demand sole use </w:t>
      </w:r>
      <w:proofErr w:type="gramStart"/>
      <w:r w:rsidRPr="00B672C5">
        <w:t>asset based</w:t>
      </w:r>
      <w:proofErr w:type="gramEnd"/>
      <w:r w:rsidRPr="00B672C5">
        <w:t xml:space="preserve"> network rates contribution = S * NR rate</w:t>
      </w:r>
    </w:p>
    <w:p w14:paraId="062B648C" w14:textId="77777777" w:rsidR="0041584B" w:rsidRPr="00B672C5" w:rsidRDefault="0041584B" w:rsidP="0041584B">
      <w:pPr>
        <w:ind w:left="720"/>
      </w:pPr>
      <w:r w:rsidRPr="00B672C5">
        <w:lastRenderedPageBreak/>
        <w:t>Demand sole use asset based direct operating costs contribution = S * DOC rate</w:t>
      </w:r>
    </w:p>
    <w:p w14:paraId="49BCF1ED" w14:textId="77777777" w:rsidR="0041584B" w:rsidRPr="00B672C5" w:rsidRDefault="0041584B" w:rsidP="0041584B">
      <w:pPr>
        <w:ind w:left="720"/>
      </w:pPr>
      <w:r w:rsidRPr="00B672C5">
        <w:t>Demand sole use asset based indirect costs contribution = S * INDOC rate</w:t>
      </w:r>
    </w:p>
    <w:p w14:paraId="7099EB3C" w14:textId="77777777" w:rsidR="0041584B" w:rsidRPr="00B672C5" w:rsidRDefault="0041584B" w:rsidP="0041584B">
      <w:pPr>
        <w:ind w:left="720"/>
      </w:pPr>
      <w:r w:rsidRPr="00B672C5">
        <w:t>Where</w:t>
      </w:r>
    </w:p>
    <w:p w14:paraId="5BE24A57" w14:textId="77777777" w:rsidR="0041584B" w:rsidRPr="00B672C5" w:rsidRDefault="0041584B" w:rsidP="0041584B">
      <w:pPr>
        <w:ind w:left="720"/>
      </w:pPr>
      <w:r w:rsidRPr="00B672C5">
        <w:t>S is the MEAV of demand sole use assets of that EDCM Connectee (adjusted for Connectees connected for part of the Charging Year).</w:t>
      </w:r>
    </w:p>
    <w:p w14:paraId="134ADB07" w14:textId="77777777" w:rsidR="0041584B" w:rsidRPr="00B672C5" w:rsidRDefault="0041584B" w:rsidP="0041584B">
      <w:pPr>
        <w:ind w:left="720"/>
      </w:pPr>
      <w:r w:rsidRPr="00B672C5">
        <w:t>NR rate is the network rates contribution rate in per cent.</w:t>
      </w:r>
    </w:p>
    <w:p w14:paraId="39C152D7" w14:textId="77777777" w:rsidR="0041584B" w:rsidRPr="00B672C5" w:rsidRDefault="0041584B" w:rsidP="0041584B">
      <w:pPr>
        <w:ind w:left="720"/>
      </w:pPr>
      <w:r w:rsidRPr="00B672C5">
        <w:t xml:space="preserve">DOC rate is the direct operating costs contribution rate in per cent. </w:t>
      </w:r>
    </w:p>
    <w:p w14:paraId="4893DDE4" w14:textId="77777777" w:rsidR="0041584B" w:rsidRPr="00B672C5" w:rsidRDefault="0041584B" w:rsidP="0041584B">
      <w:pPr>
        <w:ind w:left="720"/>
      </w:pPr>
      <w:r w:rsidRPr="00B672C5">
        <w:t>INDOC rate is the indirect costs contribution rate in per cent.</w:t>
      </w:r>
    </w:p>
    <w:p w14:paraId="6BB46139" w14:textId="77777777" w:rsidR="0041584B" w:rsidRPr="00B672C5" w:rsidRDefault="0041584B" w:rsidP="0041584B">
      <w:pPr>
        <w:pStyle w:val="Heading2"/>
      </w:pPr>
      <w:r w:rsidRPr="00B672C5">
        <w:t xml:space="preserve">The target contributions from import capacity and sole use assets are aggregated across all EDCM Connectees. </w:t>
      </w:r>
    </w:p>
    <w:p w14:paraId="0202A90B" w14:textId="77777777" w:rsidR="0041584B" w:rsidRDefault="0041584B" w:rsidP="0041584B">
      <w:pPr>
        <w:pStyle w:val="Heading2"/>
      </w:pPr>
      <w:r w:rsidRPr="00B672C5">
        <w:t>The aggregate EDCM demand revenue target is calculated as the sum, across all EDCM demand, of the contributions based on import capacities and demand sole use assets</w:t>
      </w:r>
      <w:r>
        <w:t>, less the total reduction in fixed charges made to EDCM customers under paragraph 17.2. Such fixed charge reduction is to be derived as follows:</w:t>
      </w:r>
    </w:p>
    <w:p w14:paraId="3B1BBCAD" w14:textId="77777777" w:rsidR="0041584B" w:rsidRDefault="0041584B" w:rsidP="0041584B">
      <w:pPr>
        <w:ind w:left="720"/>
      </w:pPr>
      <w:r>
        <w:t>FCR = OMR * (EHV assets + HV and LV network assets) / (Total site-specific shared assets + EHV assets + HV and LV network assets)</w:t>
      </w:r>
    </w:p>
    <w:p w14:paraId="3221FCBC" w14:textId="77777777" w:rsidR="0041584B" w:rsidRDefault="0041584B" w:rsidP="0041584B">
      <w:pPr>
        <w:ind w:left="720"/>
      </w:pPr>
      <w:r>
        <w:t xml:space="preserve">Where </w:t>
      </w:r>
    </w:p>
    <w:p w14:paraId="5CE99881" w14:textId="77777777" w:rsidR="0041584B" w:rsidRDefault="0041584B" w:rsidP="0041584B">
      <w:pPr>
        <w:ind w:left="720"/>
      </w:pPr>
      <w:r>
        <w:t>OMR is the total reduction in fixed charges made to EDCM customers under paragraph 17.2, where the reduction is derived as the aggregated value of the amount each EDCM customer would have paid under paragraph 17.1 less the amount paid under 17.2 for eligible customers.</w:t>
      </w:r>
    </w:p>
    <w:p w14:paraId="088C6F66" w14:textId="77777777" w:rsidR="0041584B" w:rsidRDefault="0041584B" w:rsidP="0041584B">
      <w:pPr>
        <w:pStyle w:val="Heading1"/>
      </w:pPr>
      <w:bookmarkStart w:id="204" w:name="_Toc360027735"/>
      <w:bookmarkStart w:id="205" w:name="_Toc360028089"/>
      <w:bookmarkStart w:id="206" w:name="_Toc391559948"/>
      <w:bookmarkStart w:id="207" w:name="_Toc510303068"/>
      <w:bookmarkStart w:id="208" w:name="_Toc513018482"/>
      <w:bookmarkStart w:id="209" w:name="_Toc518333667"/>
      <w:bookmarkStart w:id="210" w:name="_Toc527908523"/>
      <w:r>
        <w:t>Fixed charges for import and export</w:t>
      </w:r>
      <w:bookmarkEnd w:id="204"/>
      <w:bookmarkEnd w:id="205"/>
      <w:bookmarkEnd w:id="206"/>
      <w:bookmarkEnd w:id="207"/>
      <w:bookmarkEnd w:id="208"/>
      <w:bookmarkEnd w:id="209"/>
      <w:bookmarkEnd w:id="210"/>
    </w:p>
    <w:p w14:paraId="0E9A4A10" w14:textId="77777777" w:rsidR="0041584B" w:rsidRDefault="0041584B" w:rsidP="0041584B">
      <w:pPr>
        <w:pStyle w:val="Heading2"/>
      </w:pPr>
      <w:r>
        <w:t>The contribution rates for network rates and direct operating costs are converted into a p/day fixed charge for the sole use assets of each EDCM Connectee as follows:</w:t>
      </w:r>
    </w:p>
    <w:p w14:paraId="50180F85" w14:textId="77777777" w:rsidR="0041584B" w:rsidRDefault="0041584B" w:rsidP="0041584B">
      <w:pPr>
        <w:ind w:left="720"/>
      </w:pPr>
      <w:r>
        <w:lastRenderedPageBreak/>
        <w:t>Import fixed charge on sole use assets in p/day = 100 / DC * SD * (NR contribution rate + DOC contribution rate)</w:t>
      </w:r>
    </w:p>
    <w:p w14:paraId="461834A3" w14:textId="77777777" w:rsidR="0041584B" w:rsidRDefault="0041584B" w:rsidP="0041584B">
      <w:pPr>
        <w:ind w:left="720"/>
      </w:pPr>
      <w:r>
        <w:t>Export fixed charge on sole use assets in p/day = 100 / DC * SG * (NR contribution rate + DOC contribution rate)</w:t>
      </w:r>
    </w:p>
    <w:p w14:paraId="29A82A75" w14:textId="77777777" w:rsidR="0041584B" w:rsidRDefault="0041584B" w:rsidP="0041584B">
      <w:pPr>
        <w:ind w:left="720"/>
      </w:pPr>
      <w:r>
        <w:t>Where</w:t>
      </w:r>
    </w:p>
    <w:p w14:paraId="33718ACB" w14:textId="77777777" w:rsidR="0041584B" w:rsidRDefault="0041584B" w:rsidP="0041584B">
      <w:pPr>
        <w:ind w:left="720"/>
      </w:pPr>
      <w:r>
        <w:t>DC is the number of days in the Charging Year.</w:t>
      </w:r>
    </w:p>
    <w:p w14:paraId="25E661BE" w14:textId="77777777" w:rsidR="0041584B" w:rsidRDefault="0041584B" w:rsidP="0041584B">
      <w:pPr>
        <w:ind w:left="720"/>
      </w:pPr>
      <w:r>
        <w:t>SD is the MEAV of sole use assets allocated to demand of that EDCM Connectee.</w:t>
      </w:r>
    </w:p>
    <w:p w14:paraId="12408141" w14:textId="77777777" w:rsidR="0041584B" w:rsidRDefault="0041584B" w:rsidP="0041584B">
      <w:pPr>
        <w:ind w:left="720"/>
      </w:pPr>
      <w:r>
        <w:t>SG is the MEAV of sole use assets allocated to generation of that EDCM Connectee excluding the value of sole use assets associated with exempt export capacity.</w:t>
      </w:r>
    </w:p>
    <w:p w14:paraId="4FAB5C2D" w14:textId="77777777" w:rsidR="0041584B" w:rsidRDefault="0041584B" w:rsidP="0041584B">
      <w:pPr>
        <w:ind w:left="720"/>
      </w:pPr>
      <w:r>
        <w:t>NR contribution rate is the network rates contribution rate in per cent.</w:t>
      </w:r>
    </w:p>
    <w:p w14:paraId="7BFC01B6" w14:textId="77777777" w:rsidR="0041584B" w:rsidRDefault="0041584B" w:rsidP="0041584B">
      <w:pPr>
        <w:ind w:left="720"/>
      </w:pPr>
      <w:r>
        <w:t>DOC contribution rate is the direct operating costs contribution rate in per cent.</w:t>
      </w:r>
    </w:p>
    <w:p w14:paraId="0DDA9B61" w14:textId="77777777" w:rsidR="0041584B" w:rsidRDefault="0041584B" w:rsidP="0041584B">
      <w:pPr>
        <w:pStyle w:val="Heading2"/>
      </w:pPr>
      <w:r w:rsidRPr="0039575B">
        <w:t>Where a customer demonstrates with written evidence to the DNO Party (or where the DNO Party has written evidence) that the customer (or its predecessors) made a capitalised O&amp;M payment in respect of a connection to the DNO Party’s network, and the period over which the O&amp;M payment was capitalised remains unexpired, then the import fixed charge will be calculated as set out below (and the calculation for the import fixed charge in paragraph 17.1 will not apply).</w:t>
      </w:r>
    </w:p>
    <w:p w14:paraId="1687A03F" w14:textId="77777777" w:rsidR="0041584B" w:rsidRDefault="0041584B" w:rsidP="0041584B">
      <w:pPr>
        <w:ind w:left="720"/>
      </w:pPr>
      <w:r>
        <w:t>The sole use assets will be split between those where capitalised O&amp;M has been paid and those where it has not, and the fixed charge will be derived as follows:</w:t>
      </w:r>
    </w:p>
    <w:p w14:paraId="6C1B59B7" w14:textId="77777777" w:rsidR="0041584B" w:rsidRPr="00B45405" w:rsidRDefault="0041584B" w:rsidP="0041584B">
      <w:pPr>
        <w:ind w:left="720"/>
        <w:jc w:val="both"/>
        <w:outlineLvl w:val="1"/>
        <w:rPr>
          <w:rFonts w:eastAsia="Calibri" w:cs="Times New Roman"/>
          <w:szCs w:val="24"/>
        </w:rPr>
      </w:pPr>
      <w:r w:rsidRPr="00B45405">
        <w:rPr>
          <w:rFonts w:eastAsia="Calibri" w:cs="Times New Roman"/>
          <w:szCs w:val="24"/>
        </w:rPr>
        <w:t xml:space="preserve">p/day = (((DOC rate + NR rate) * </w:t>
      </w:r>
      <w:proofErr w:type="gramStart"/>
      <w:r w:rsidRPr="00B45405">
        <w:rPr>
          <w:rFonts w:eastAsia="Calibri" w:cs="Times New Roman"/>
          <w:szCs w:val="24"/>
        </w:rPr>
        <w:t>SUA  MEAVU</w:t>
      </w:r>
      <w:proofErr w:type="gramEnd"/>
      <w:r w:rsidRPr="00B45405">
        <w:rPr>
          <w:rFonts w:eastAsia="Calibri" w:cs="Times New Roman"/>
          <w:szCs w:val="24"/>
        </w:rPr>
        <w:t>) + (NR rate * SUA  MEAVP)) / (days in Charging Year) * 100</w:t>
      </w:r>
    </w:p>
    <w:p w14:paraId="704DB099" w14:textId="77777777" w:rsidR="0041584B" w:rsidRPr="00B45405" w:rsidRDefault="0041584B" w:rsidP="0041584B">
      <w:pPr>
        <w:ind w:left="720"/>
        <w:jc w:val="both"/>
        <w:outlineLvl w:val="1"/>
        <w:rPr>
          <w:rFonts w:eastAsia="Calibri" w:cs="Times New Roman"/>
          <w:szCs w:val="24"/>
        </w:rPr>
      </w:pPr>
      <w:r w:rsidRPr="00B45405">
        <w:rPr>
          <w:rFonts w:eastAsia="Calibri" w:cs="Times New Roman"/>
          <w:szCs w:val="24"/>
        </w:rPr>
        <w:t>Where:</w:t>
      </w:r>
    </w:p>
    <w:p w14:paraId="6F7CC5CE" w14:textId="77777777" w:rsidR="0041584B" w:rsidRPr="00B45405" w:rsidRDefault="0041584B" w:rsidP="0041584B">
      <w:pPr>
        <w:widowControl w:val="0"/>
        <w:spacing w:after="0"/>
        <w:ind w:left="720"/>
        <w:jc w:val="both"/>
        <w:rPr>
          <w:rFonts w:eastAsia="Calibri" w:cs="Times New Roman"/>
          <w:szCs w:val="24"/>
          <w:lang w:val="en-US"/>
        </w:rPr>
      </w:pPr>
      <w:r w:rsidRPr="00B45405">
        <w:rPr>
          <w:rFonts w:eastAsia="Calibri" w:cs="Times New Roman"/>
          <w:szCs w:val="24"/>
          <w:lang w:val="en-US"/>
        </w:rPr>
        <w:t>DOC rate is the direct operating costs contribution rate in per cent;</w:t>
      </w:r>
    </w:p>
    <w:p w14:paraId="20BD6327" w14:textId="77777777" w:rsidR="0041584B" w:rsidRPr="00B45405" w:rsidRDefault="0041584B" w:rsidP="0041584B">
      <w:pPr>
        <w:widowControl w:val="0"/>
        <w:spacing w:after="0"/>
        <w:ind w:left="720"/>
        <w:jc w:val="both"/>
        <w:rPr>
          <w:rFonts w:eastAsia="Calibri" w:cs="Times New Roman"/>
          <w:szCs w:val="24"/>
          <w:lang w:val="en-US"/>
        </w:rPr>
      </w:pPr>
      <w:r w:rsidRPr="00B45405">
        <w:rPr>
          <w:rFonts w:eastAsia="Calibri" w:cs="Times New Roman"/>
          <w:szCs w:val="24"/>
          <w:lang w:val="en-US"/>
        </w:rPr>
        <w:t>NR rate is the network rates contribution rate in per cent;</w:t>
      </w:r>
    </w:p>
    <w:p w14:paraId="1C9197A0" w14:textId="77777777" w:rsidR="0041584B" w:rsidRDefault="0041584B" w:rsidP="0041584B">
      <w:pPr>
        <w:ind w:left="720"/>
      </w:pPr>
      <w:r>
        <w:t xml:space="preserve">Where SUA MEAVU is the Modern Equivalent Asset Value of Sole Use Assets where capitalised O&amp;M has not been paid (or the period over which it was to be capitalised has expired); </w:t>
      </w:r>
    </w:p>
    <w:p w14:paraId="1872A168" w14:textId="77777777" w:rsidR="0041584B" w:rsidRDefault="0041584B" w:rsidP="0041584B">
      <w:pPr>
        <w:ind w:left="720"/>
      </w:pPr>
      <w:r>
        <w:lastRenderedPageBreak/>
        <w:t>and SUA MEAVP is the Modern Equivalent Asset Value of Sole Use Assets where capitalised O&amp;M has been paid (and the period over which it was to be capitalised has not expired).</w:t>
      </w:r>
    </w:p>
    <w:p w14:paraId="00A6C2D1" w14:textId="77777777" w:rsidR="0041584B" w:rsidRPr="000A5772" w:rsidRDefault="0041584B" w:rsidP="0041584B">
      <w:pPr>
        <w:pStyle w:val="Heading2"/>
      </w:pPr>
      <w:r w:rsidRPr="0039575B">
        <w:t xml:space="preserve">For customers that are classified as exempt pre-2005 EDCM Distributed Generators (DGs), it is deemed for the purposes of paragraph 17.2 that the customer paid </w:t>
      </w:r>
      <w:r w:rsidRPr="000A5772">
        <w:t>capitalised O&amp;M to be capitalised over a period of 25 years from connection.</w:t>
      </w:r>
    </w:p>
    <w:p w14:paraId="188C699A" w14:textId="77777777" w:rsidR="0041584B" w:rsidRDefault="0041584B" w:rsidP="0041584B">
      <w:pPr>
        <w:pStyle w:val="Heading1"/>
      </w:pPr>
      <w:bookmarkStart w:id="211" w:name="_Toc360027736"/>
      <w:bookmarkStart w:id="212" w:name="_Toc360028090"/>
      <w:bookmarkStart w:id="213" w:name="_Toc391559949"/>
      <w:bookmarkStart w:id="214" w:name="_Toc510303069"/>
      <w:bookmarkStart w:id="215" w:name="_Toc513018483"/>
      <w:bookmarkStart w:id="216" w:name="_Toc518333668"/>
      <w:bookmarkStart w:id="217" w:name="_Toc527908524"/>
      <w:r>
        <w:t>Demand scaling</w:t>
      </w:r>
      <w:bookmarkEnd w:id="211"/>
      <w:bookmarkEnd w:id="212"/>
      <w:bookmarkEnd w:id="213"/>
      <w:bookmarkEnd w:id="214"/>
      <w:bookmarkEnd w:id="215"/>
      <w:bookmarkEnd w:id="216"/>
      <w:bookmarkEnd w:id="217"/>
    </w:p>
    <w:p w14:paraId="5DBBE9B9" w14:textId="77777777" w:rsidR="0041584B" w:rsidRDefault="0041584B" w:rsidP="0041584B">
      <w:pPr>
        <w:pStyle w:val="Heading2"/>
      </w:pPr>
      <w:r>
        <w:t>Demand scaling is the process by which import charges to EDCM Connectees are set so that the forecast notional recovery from the application of those import charges to EDCM Connectees matches the EDCM demand revenue target.</w:t>
      </w:r>
    </w:p>
    <w:p w14:paraId="0D024D11" w14:textId="77777777" w:rsidR="0041584B" w:rsidRDefault="0041584B" w:rsidP="0041584B">
      <w:pPr>
        <w:pStyle w:val="Heading2"/>
      </w:pPr>
      <w:r>
        <w:t>Demand scaling using the site-specific assets approach involves the following steps:</w:t>
      </w:r>
    </w:p>
    <w:p w14:paraId="2C5341B8" w14:textId="77777777" w:rsidR="0041584B" w:rsidRDefault="0041584B" w:rsidP="0041584B">
      <w:pPr>
        <w:pStyle w:val="DCNormParaL3"/>
        <w:numPr>
          <w:ilvl w:val="0"/>
          <w:numId w:val="48"/>
        </w:numPr>
      </w:pPr>
      <w:r>
        <w:t>Calculating adjusted site-specific shared asset values for each Connectee using network use factors that have been subjected to a cap and collar.</w:t>
      </w:r>
    </w:p>
    <w:p w14:paraId="110D00B2" w14:textId="77777777" w:rsidR="0041584B" w:rsidRDefault="0041584B" w:rsidP="0041584B">
      <w:pPr>
        <w:pStyle w:val="DCNormParaL3"/>
        <w:numPr>
          <w:ilvl w:val="0"/>
          <w:numId w:val="48"/>
        </w:numPr>
      </w:pPr>
      <w:r>
        <w:t>Allocation of the direct operating cost and network rates elements in the EDCM demand revenue target to individual EDCM Connectees on the basis of adjusted site-specific assets and sole use assets. [a]</w:t>
      </w:r>
    </w:p>
    <w:p w14:paraId="3AE05FC4" w14:textId="77777777" w:rsidR="0041584B" w:rsidRDefault="0041584B" w:rsidP="0041584B">
      <w:pPr>
        <w:pStyle w:val="DCNormParaL3"/>
        <w:numPr>
          <w:ilvl w:val="0"/>
          <w:numId w:val="48"/>
        </w:numPr>
      </w:pPr>
      <w:r>
        <w:t>Allocation of the indirect cost element in the EDCM demand revenue target to individual EDCM Connectees on the basis of their consumption at the time of the DNO Party’s peak and 50 per cent of Maximum Import Capacity as a p/kVA/day charge. [b]</w:t>
      </w:r>
    </w:p>
    <w:p w14:paraId="4CC6B765" w14:textId="77777777" w:rsidR="0041584B" w:rsidRDefault="0041584B" w:rsidP="0041584B">
      <w:pPr>
        <w:pStyle w:val="DCNormParaL3"/>
        <w:numPr>
          <w:ilvl w:val="0"/>
          <w:numId w:val="48"/>
        </w:numPr>
      </w:pPr>
      <w:r>
        <w:t>Forecasting the notional recoveries from the application of LRIC charges to EDCM Connectee. [c]</w:t>
      </w:r>
    </w:p>
    <w:p w14:paraId="7E768BAF" w14:textId="77777777" w:rsidR="0041584B" w:rsidRDefault="0041584B" w:rsidP="0041584B">
      <w:pPr>
        <w:pStyle w:val="DCNormParaL3"/>
        <w:numPr>
          <w:ilvl w:val="0"/>
          <w:numId w:val="48"/>
        </w:numPr>
      </w:pPr>
      <w:r>
        <w:t>Allocation of 80 per cent of the difference between the EDCM demand revenue target and the sum of a, b and c above on the basis of adjusted site-specific assets.</w:t>
      </w:r>
    </w:p>
    <w:p w14:paraId="24D9AB4B" w14:textId="77777777" w:rsidR="0041584B" w:rsidRDefault="0041584B" w:rsidP="0041584B">
      <w:pPr>
        <w:pStyle w:val="DCNormParaL3"/>
        <w:numPr>
          <w:ilvl w:val="0"/>
          <w:numId w:val="48"/>
        </w:numPr>
      </w:pPr>
      <w:r>
        <w:t xml:space="preserve">Allocation of 20 per cent of the difference between the EDCM demand revenue target and the sum of charges under a, b and c above on the basis of </w:t>
      </w:r>
      <w:r>
        <w:lastRenderedPageBreak/>
        <w:t>consumption at the time of peak and 50 per cent of Maximum Import Capacity as a p/kVA/day fixed adder.</w:t>
      </w:r>
    </w:p>
    <w:p w14:paraId="4D8D1351" w14:textId="77777777" w:rsidR="0041584B" w:rsidRDefault="0041584B" w:rsidP="0041584B">
      <w:pPr>
        <w:pStyle w:val="Heading2"/>
      </w:pPr>
      <w:r>
        <w:t>Adjusted site-specific assets are calculated using network use factor that have been subjected to caps and collars.</w:t>
      </w:r>
    </w:p>
    <w:p w14:paraId="382AF7AC" w14:textId="77777777" w:rsidR="0041584B" w:rsidRDefault="0041584B" w:rsidP="0041584B">
      <w:pPr>
        <w:pStyle w:val="Heading2"/>
      </w:pPr>
      <w:r>
        <w:t>A cap and a collar are calculated for each network level as follows:</w:t>
      </w:r>
    </w:p>
    <w:p w14:paraId="636C54E1" w14:textId="77777777" w:rsidR="0041584B" w:rsidRDefault="0041584B" w:rsidP="0041584B">
      <w:pPr>
        <w:pStyle w:val="DCNormParaL3"/>
        <w:numPr>
          <w:ilvl w:val="0"/>
          <w:numId w:val="49"/>
        </w:numPr>
      </w:pPr>
      <w:r>
        <w:t>In ascending order, list the network use factors for all EDCM Connectees in all DNO Party areas relating to that network level, excluding all the factors that are either equal to zero or 1, or not used, based on the customer categories of each EDCM Connectee.</w:t>
      </w:r>
    </w:p>
    <w:p w14:paraId="4E011BF2" w14:textId="77777777" w:rsidR="0041584B" w:rsidRDefault="0041584B" w:rsidP="0041584B">
      <w:pPr>
        <w:pStyle w:val="DCNormParaL3"/>
        <w:numPr>
          <w:ilvl w:val="0"/>
          <w:numId w:val="49"/>
        </w:numPr>
      </w:pPr>
      <w:r>
        <w:t>Divide the list into two segments, one that contains factors that are lower than 1, and the other than contains the factors that are higher than 1.</w:t>
      </w:r>
    </w:p>
    <w:p w14:paraId="1B99F573" w14:textId="77777777" w:rsidR="0041584B" w:rsidRDefault="0041584B" w:rsidP="0041584B">
      <w:pPr>
        <w:pStyle w:val="DCNormParaL3"/>
        <w:numPr>
          <w:ilvl w:val="0"/>
          <w:numId w:val="49"/>
        </w:numPr>
      </w:pPr>
      <w:r>
        <w:t>Take the list segment containing factors that are lower than 1.  Starting from the lowest factor in this list segment, calculate the factor at the 15th percentile.  This is the collar.</w:t>
      </w:r>
    </w:p>
    <w:p w14:paraId="7C69EAC8" w14:textId="77777777" w:rsidR="0041584B" w:rsidRDefault="0041584B" w:rsidP="0041584B">
      <w:pPr>
        <w:pStyle w:val="DCNormParaL3"/>
        <w:numPr>
          <w:ilvl w:val="0"/>
          <w:numId w:val="49"/>
        </w:numPr>
      </w:pPr>
      <w:r>
        <w:t>Take the list segment containing factors higher than 1.  Starting from the lowest factor in this segment, calculate the factor at the 85th percentile.  This is the cap.</w:t>
      </w:r>
    </w:p>
    <w:p w14:paraId="0660E8BB" w14:textId="77777777" w:rsidR="0041584B" w:rsidRDefault="0041584B" w:rsidP="0041584B">
      <w:pPr>
        <w:pStyle w:val="Heading2"/>
      </w:pPr>
      <w:r>
        <w:t>The same cap and collar would apply in all DNO Party areas to network use factors at that network level.</w:t>
      </w:r>
    </w:p>
    <w:p w14:paraId="4ECCFAF7" w14:textId="77777777" w:rsidR="0041584B" w:rsidRDefault="0041584B" w:rsidP="0041584B">
      <w:pPr>
        <w:pStyle w:val="Heading2"/>
      </w:pPr>
      <w:r w:rsidRPr="001F2F18">
        <w:t xml:space="preserve">The caps and collars are recalculated triennially, with the </w:t>
      </w:r>
      <w:proofErr w:type="gramStart"/>
      <w:r w:rsidRPr="001F2F18">
        <w:t>three year</w:t>
      </w:r>
      <w:proofErr w:type="gramEnd"/>
      <w:r w:rsidRPr="001F2F18">
        <w:t xml:space="preserve"> cycle having being established when caps and collars were calculated when determining 2017/18 charges (in 2015).  In years where a recalculation has not been carried out, the values used remain at the most recently calculated values.</w:t>
      </w:r>
    </w:p>
    <w:p w14:paraId="28C4B5F1" w14:textId="77777777" w:rsidR="0041584B" w:rsidRPr="00B672C5" w:rsidRDefault="0041584B" w:rsidP="0041584B">
      <w:pPr>
        <w:pStyle w:val="Heading2"/>
      </w:pPr>
      <w:r w:rsidRPr="001F2F18">
        <w:t>Where year t is a charging year for which the caps and collars are being recalculated, the caps and collars calculated and used for years t, t+1 and t+2 will be based on applying the calculation detailed in paragraph 18.4 to the average of network use factors which were used in the calculation of charges applicable to years t-3, t-2 and t-1.</w:t>
      </w:r>
    </w:p>
    <w:p w14:paraId="1D849AB8" w14:textId="77777777" w:rsidR="0041584B" w:rsidRPr="00B672C5" w:rsidRDefault="0041584B" w:rsidP="0041584B">
      <w:pPr>
        <w:pStyle w:val="Heading2"/>
      </w:pPr>
      <w:r w:rsidRPr="001F2F18">
        <w:lastRenderedPageBreak/>
        <w:t>18.8</w:t>
      </w:r>
      <w:r w:rsidRPr="001F2F18">
        <w:tab/>
        <w:t>The network use factor caps and collars that are updated in accordance with paragraphs 18.6 and 18.7 will be maintained by the DNO Parties and referenced within the EDCM user manual.</w:t>
      </w:r>
      <w:r w:rsidRPr="00B672C5">
        <w:t xml:space="preserve"> </w:t>
      </w:r>
    </w:p>
    <w:p w14:paraId="03305938" w14:textId="77777777" w:rsidR="0041584B" w:rsidRPr="00B672C5" w:rsidRDefault="0041584B" w:rsidP="0041584B">
      <w:pPr>
        <w:pStyle w:val="Heading2"/>
        <w:spacing w:before="240"/>
      </w:pPr>
      <w:r w:rsidRPr="00B672C5">
        <w:t xml:space="preserve">Separate adjusted site-specific asset values per kVA (in £/kVA) is calculated in respect of each network level.  The asset value for the network level of connection is based on the Maximum Import Capacity of the EDCM Connectee, and for network levels above on consumption at peak time.  </w:t>
      </w:r>
    </w:p>
    <w:p w14:paraId="70DB5AAF" w14:textId="77777777" w:rsidR="0041584B" w:rsidRPr="00B672C5" w:rsidRDefault="0041584B" w:rsidP="0041584B">
      <w:pPr>
        <w:ind w:left="720"/>
      </w:pPr>
      <w:r w:rsidRPr="00B672C5">
        <w:t xml:space="preserve">Adjusted site-specific asset value for capacity at level L (£/kVA) = </w:t>
      </w:r>
      <w:proofErr w:type="spellStart"/>
      <w:r w:rsidRPr="00B672C5">
        <w:t>NUaL</w:t>
      </w:r>
      <w:proofErr w:type="spellEnd"/>
      <w:r w:rsidRPr="00B672C5">
        <w:t xml:space="preserve"> * Average network asset value for capacity at level L (£/kVA)</w:t>
      </w:r>
    </w:p>
    <w:p w14:paraId="2A32E543" w14:textId="77777777" w:rsidR="0041584B" w:rsidRPr="00B672C5" w:rsidRDefault="0041584B" w:rsidP="0041584B">
      <w:pPr>
        <w:ind w:left="720"/>
      </w:pPr>
      <w:r w:rsidRPr="00B672C5">
        <w:t xml:space="preserve">Adjusted site-specific asset value for demand at level L (£/kVA) = </w:t>
      </w:r>
      <w:proofErr w:type="spellStart"/>
      <w:r w:rsidRPr="00B672C5">
        <w:t>NUaL</w:t>
      </w:r>
      <w:proofErr w:type="spellEnd"/>
      <w:r w:rsidRPr="00B672C5">
        <w:t xml:space="preserve"> * Average network asset value for demand at level L (£/kVA)</w:t>
      </w:r>
    </w:p>
    <w:p w14:paraId="7D92054A" w14:textId="77777777" w:rsidR="0041584B" w:rsidRPr="00B672C5" w:rsidRDefault="0041584B" w:rsidP="0041584B">
      <w:pPr>
        <w:ind w:left="720"/>
      </w:pPr>
      <w:r w:rsidRPr="00B672C5">
        <w:t xml:space="preserve">Where: </w:t>
      </w:r>
    </w:p>
    <w:p w14:paraId="65E1F2CC" w14:textId="77777777" w:rsidR="0041584B" w:rsidRPr="00B672C5" w:rsidRDefault="0041584B" w:rsidP="0041584B">
      <w:pPr>
        <w:ind w:left="720"/>
      </w:pPr>
      <w:proofErr w:type="spellStart"/>
      <w:r w:rsidRPr="00B672C5">
        <w:t>NUaL</w:t>
      </w:r>
      <w:proofErr w:type="spellEnd"/>
      <w:r w:rsidRPr="00B672C5">
        <w:t xml:space="preserve"> is the adjusted network use factor for that EDCM Connectee at level L after application of the cap and collar.</w:t>
      </w:r>
    </w:p>
    <w:p w14:paraId="282C7352" w14:textId="77777777" w:rsidR="0041584B" w:rsidRPr="00B672C5" w:rsidRDefault="0041584B" w:rsidP="0041584B">
      <w:pPr>
        <w:ind w:left="720"/>
      </w:pPr>
      <w:r w:rsidRPr="00B672C5">
        <w:t>Average notional asset value for capacity at level L is the voltage level average calculated as described earlier.</w:t>
      </w:r>
    </w:p>
    <w:p w14:paraId="4C50EA41" w14:textId="77777777" w:rsidR="0041584B" w:rsidRPr="00B672C5" w:rsidRDefault="0041584B" w:rsidP="0041584B">
      <w:pPr>
        <w:ind w:left="720"/>
      </w:pPr>
      <w:r w:rsidRPr="00B672C5">
        <w:t>Average notional asset value for demand at level L is the voltage level average calculated as described earlier.</w:t>
      </w:r>
    </w:p>
    <w:p w14:paraId="573794CE" w14:textId="77777777" w:rsidR="0041584B" w:rsidRPr="00B672C5" w:rsidRDefault="0041584B" w:rsidP="0041584B">
      <w:pPr>
        <w:pStyle w:val="Heading2"/>
      </w:pPr>
      <w:r w:rsidRPr="00B672C5">
        <w:t>The total value of the adjusted site-specific shared assets required to serve each EDCM Connectee is calculated according to the formula:</w:t>
      </w:r>
    </w:p>
    <w:p w14:paraId="0A5490D6" w14:textId="77777777" w:rsidR="0041584B" w:rsidRPr="00B672C5" w:rsidRDefault="0041584B" w:rsidP="0041584B">
      <w:pPr>
        <w:ind w:left="720"/>
      </w:pPr>
      <w:proofErr w:type="spellStart"/>
      <w:r w:rsidRPr="00B672C5">
        <w:t>TNAa</w:t>
      </w:r>
      <w:proofErr w:type="spellEnd"/>
      <w:r w:rsidRPr="00B672C5">
        <w:t xml:space="preserve"> = </w:t>
      </w:r>
      <w:proofErr w:type="spellStart"/>
      <w:r w:rsidRPr="00B672C5">
        <w:t>NACa</w:t>
      </w:r>
      <w:proofErr w:type="spellEnd"/>
      <w:r w:rsidRPr="00B672C5">
        <w:t xml:space="preserve"> + (</w:t>
      </w:r>
      <w:proofErr w:type="spellStart"/>
      <w:r w:rsidRPr="00B672C5">
        <w:t>NADa</w:t>
      </w:r>
      <w:proofErr w:type="spellEnd"/>
      <w:r w:rsidRPr="00B672C5">
        <w:t xml:space="preserve"> * (1 - (Hours in super-red for which not a customer/Annual hours in super-red</w:t>
      </w:r>
      <w:proofErr w:type="gramStart"/>
      <w:r w:rsidRPr="00B672C5">
        <w:t>))*</w:t>
      </w:r>
      <w:proofErr w:type="gramEnd"/>
      <w:r w:rsidRPr="00B672C5">
        <w:t xml:space="preserve">(Days in year / (Days in year - Days for which not a customer))) </w:t>
      </w:r>
    </w:p>
    <w:p w14:paraId="694507BB" w14:textId="77777777" w:rsidR="0041584B" w:rsidRPr="00B672C5" w:rsidRDefault="0041584B" w:rsidP="0041584B">
      <w:pPr>
        <w:ind w:left="720"/>
      </w:pPr>
      <w:r w:rsidRPr="00B672C5">
        <w:t>Where:</w:t>
      </w:r>
    </w:p>
    <w:p w14:paraId="18466E4C" w14:textId="77777777" w:rsidR="0041584B" w:rsidRPr="00B672C5" w:rsidRDefault="0041584B" w:rsidP="0041584B">
      <w:pPr>
        <w:ind w:left="720"/>
      </w:pPr>
      <w:proofErr w:type="spellStart"/>
      <w:r w:rsidRPr="00B672C5">
        <w:t>TNAa</w:t>
      </w:r>
      <w:proofErr w:type="spellEnd"/>
      <w:r w:rsidRPr="00B672C5">
        <w:t xml:space="preserve"> is the total adjusted site-specific network assets in £/kVA required to serve </w:t>
      </w:r>
      <w:proofErr w:type="gramStart"/>
      <w:r w:rsidRPr="00B672C5">
        <w:t>a</w:t>
      </w:r>
      <w:proofErr w:type="gramEnd"/>
      <w:r w:rsidRPr="00B672C5">
        <w:t xml:space="preserve"> EDCM Connectee.</w:t>
      </w:r>
    </w:p>
    <w:p w14:paraId="61021986" w14:textId="77777777" w:rsidR="0041584B" w:rsidRPr="00B672C5" w:rsidRDefault="0041584B" w:rsidP="0041584B">
      <w:pPr>
        <w:ind w:left="720"/>
      </w:pPr>
      <w:proofErr w:type="spellStart"/>
      <w:r w:rsidRPr="00B672C5">
        <w:t>NACa</w:t>
      </w:r>
      <w:proofErr w:type="spellEnd"/>
      <w:r w:rsidRPr="00B672C5">
        <w:t xml:space="preserve"> is the adjusted site-specific asset value in £/kVA for capacity for that EDCM Connectee aggregated across all levels.</w:t>
      </w:r>
    </w:p>
    <w:p w14:paraId="289A0133" w14:textId="77777777" w:rsidR="0041584B" w:rsidRPr="00B672C5" w:rsidRDefault="0041584B" w:rsidP="0041584B">
      <w:pPr>
        <w:ind w:left="720"/>
      </w:pPr>
      <w:proofErr w:type="spellStart"/>
      <w:r w:rsidRPr="00B672C5">
        <w:lastRenderedPageBreak/>
        <w:t>NADa</w:t>
      </w:r>
      <w:proofErr w:type="spellEnd"/>
      <w:r w:rsidRPr="00B672C5">
        <w:t xml:space="preserve"> is the adjusted site-specific asset value in £/kVA for demand for that EDCM Connectee aggregated across all levels.</w:t>
      </w:r>
    </w:p>
    <w:p w14:paraId="372CBB00" w14:textId="77777777" w:rsidR="0041584B" w:rsidRPr="00B672C5" w:rsidRDefault="0041584B" w:rsidP="0041584B">
      <w:pPr>
        <w:pStyle w:val="Heading2"/>
      </w:pPr>
      <w:r w:rsidRPr="00B672C5">
        <w:t xml:space="preserve">Total adjusted site-specific shared assets for all EDCM demand is the aggregate value (in £) of all adjusted site-specific shared assets for EDCM Connectees. This is calculated by multiplying </w:t>
      </w:r>
      <w:proofErr w:type="spellStart"/>
      <w:r w:rsidRPr="00B672C5">
        <w:t>TNAa</w:t>
      </w:r>
      <w:proofErr w:type="spellEnd"/>
      <w:r w:rsidRPr="00B672C5">
        <w:t xml:space="preserve"> by the Maximum Import Capacity (adjusted, if necessary, for Connectees connected for part of the Charging Year), and then aggregating across all EDCM demand.</w:t>
      </w:r>
    </w:p>
    <w:p w14:paraId="4A0EAEB0" w14:textId="77777777" w:rsidR="0041584B" w:rsidRPr="00B672C5" w:rsidRDefault="0041584B" w:rsidP="0041584B">
      <w:pPr>
        <w:pStyle w:val="Heading2"/>
      </w:pPr>
      <w:r w:rsidRPr="00B672C5">
        <w:t>The direct cost and network rates allocations to individual demand Connectees is determined in the same way as the contributions to the EDCM demand revenue target was calculated, except that adjusted site-specific assets are used.</w:t>
      </w:r>
    </w:p>
    <w:p w14:paraId="30507EEA" w14:textId="77777777" w:rsidR="0041584B" w:rsidRPr="00B672C5" w:rsidRDefault="0041584B" w:rsidP="0041584B">
      <w:pPr>
        <w:pStyle w:val="Heading2"/>
      </w:pPr>
      <w:r w:rsidRPr="00B672C5">
        <w:t xml:space="preserve">A single </w:t>
      </w:r>
      <w:proofErr w:type="gramStart"/>
      <w:r w:rsidRPr="00B672C5">
        <w:t>asset based</w:t>
      </w:r>
      <w:proofErr w:type="gramEnd"/>
      <w:r w:rsidRPr="00B672C5">
        <w:t xml:space="preserve"> charging rate for network rates is calculated for all EDCM Connectee.  This is calculated as follows:</w:t>
      </w:r>
    </w:p>
    <w:p w14:paraId="1B219CD8" w14:textId="77777777" w:rsidR="0041584B" w:rsidRPr="00B672C5" w:rsidRDefault="0041584B" w:rsidP="0041584B">
      <w:pPr>
        <w:ind w:left="720"/>
      </w:pPr>
      <w:r w:rsidRPr="00B672C5">
        <w:t>Network rates charging rate (per cent) = EDCM NR contribution / (Total adjusted site-specific shared assets)</w:t>
      </w:r>
    </w:p>
    <w:p w14:paraId="738AC908" w14:textId="77777777" w:rsidR="0041584B" w:rsidRPr="00B672C5" w:rsidRDefault="0041584B" w:rsidP="0041584B">
      <w:pPr>
        <w:ind w:left="720"/>
      </w:pPr>
      <w:r w:rsidRPr="00B672C5">
        <w:t>Where:</w:t>
      </w:r>
    </w:p>
    <w:p w14:paraId="2E4F2B72" w14:textId="77777777" w:rsidR="0041584B" w:rsidRPr="00B672C5" w:rsidRDefault="0041584B" w:rsidP="0041584B">
      <w:pPr>
        <w:ind w:left="720"/>
      </w:pPr>
      <w:r w:rsidRPr="00B672C5">
        <w:t xml:space="preserve">EDCM NR contribution is the sum of the import </w:t>
      </w:r>
      <w:proofErr w:type="gramStart"/>
      <w:r w:rsidRPr="00B672C5">
        <w:t>capacity based</w:t>
      </w:r>
      <w:proofErr w:type="gramEnd"/>
      <w:r w:rsidRPr="00B672C5">
        <w:t xml:space="preserve"> network rates contribution from each EDCM Connectee.</w:t>
      </w:r>
    </w:p>
    <w:p w14:paraId="2E4291DA" w14:textId="77777777" w:rsidR="0041584B" w:rsidRPr="00B672C5" w:rsidRDefault="0041584B" w:rsidP="0041584B">
      <w:pPr>
        <w:ind w:left="720"/>
      </w:pPr>
      <w:r w:rsidRPr="00B672C5">
        <w:t xml:space="preserve">Total adjusted site-specific shared assets </w:t>
      </w:r>
      <w:proofErr w:type="gramStart"/>
      <w:r w:rsidRPr="00B672C5">
        <w:t>is</w:t>
      </w:r>
      <w:proofErr w:type="gramEnd"/>
      <w:r w:rsidRPr="00B672C5">
        <w:t xml:space="preserve"> the aggregate value (in £) of all adjusted site-specific shared assets for EDCM Connectees.</w:t>
      </w:r>
    </w:p>
    <w:p w14:paraId="4AE21F14" w14:textId="77777777" w:rsidR="0041584B" w:rsidRPr="001432F3" w:rsidRDefault="0041584B" w:rsidP="0041584B">
      <w:pPr>
        <w:pStyle w:val="Heading2"/>
        <w:rPr>
          <w:rFonts w:eastAsia="Times New Roman"/>
        </w:rPr>
      </w:pPr>
      <w:r w:rsidRPr="001432F3">
        <w:rPr>
          <w:rFonts w:eastAsia="Times New Roman"/>
        </w:rPr>
        <w:t xml:space="preserve">A single </w:t>
      </w:r>
      <w:proofErr w:type="gramStart"/>
      <w:r w:rsidRPr="001432F3">
        <w:rPr>
          <w:rFonts w:eastAsia="Times New Roman"/>
        </w:rPr>
        <w:t>asset based</w:t>
      </w:r>
      <w:proofErr w:type="gramEnd"/>
      <w:r w:rsidRPr="001432F3">
        <w:rPr>
          <w:rFonts w:eastAsia="Times New Roman"/>
        </w:rPr>
        <w:t xml:space="preserve"> charging rate for direct operating costs is calculated for all EDCM Connectees.  This is calculated as follows:</w:t>
      </w:r>
    </w:p>
    <w:p w14:paraId="5FCF15A9" w14:textId="77777777" w:rsidR="0041584B" w:rsidRPr="001432F3" w:rsidRDefault="0041584B" w:rsidP="0041584B">
      <w:pPr>
        <w:ind w:left="720"/>
      </w:pPr>
      <w:r w:rsidRPr="001432F3">
        <w:t>Direct operating costs charging rate (per cent) = EDCM DOC contribution / (Total adjusted site-specific shared assets)</w:t>
      </w:r>
    </w:p>
    <w:p w14:paraId="267ED49B" w14:textId="77777777" w:rsidR="0041584B" w:rsidRPr="001432F3" w:rsidRDefault="0041584B" w:rsidP="0041584B">
      <w:pPr>
        <w:ind w:left="720"/>
      </w:pPr>
      <w:r w:rsidRPr="001432F3">
        <w:t>Where:</w:t>
      </w:r>
    </w:p>
    <w:p w14:paraId="6AAEFA79" w14:textId="77777777" w:rsidR="0041584B" w:rsidRPr="001432F3" w:rsidRDefault="0041584B" w:rsidP="0041584B">
      <w:pPr>
        <w:ind w:left="720"/>
      </w:pPr>
      <w:r w:rsidRPr="001432F3">
        <w:t>EDCM DOC contribution is the sum of the import capacity based direct costs contribution from each EDCM Connectee.</w:t>
      </w:r>
    </w:p>
    <w:p w14:paraId="55CBEEB0" w14:textId="77777777" w:rsidR="0041584B" w:rsidRPr="001432F3" w:rsidRDefault="0041584B" w:rsidP="0041584B">
      <w:pPr>
        <w:ind w:left="720"/>
      </w:pPr>
      <w:r w:rsidRPr="001432F3">
        <w:lastRenderedPageBreak/>
        <w:t xml:space="preserve">Total adjusted site-specific shared assets </w:t>
      </w:r>
      <w:proofErr w:type="gramStart"/>
      <w:r w:rsidRPr="001432F3">
        <w:t>is</w:t>
      </w:r>
      <w:proofErr w:type="gramEnd"/>
      <w:r w:rsidRPr="001432F3">
        <w:t xml:space="preserve"> the aggregate value (in £) of all adjusted site-specific shared assets for EDCM Connectees.</w:t>
      </w:r>
    </w:p>
    <w:p w14:paraId="0B90C403" w14:textId="77777777" w:rsidR="0041584B" w:rsidRDefault="0041584B" w:rsidP="0041584B">
      <w:pPr>
        <w:spacing w:after="0" w:line="240" w:lineRule="auto"/>
        <w:jc w:val="both"/>
        <w:rPr>
          <w:rFonts w:eastAsia="Times New Roman" w:cs="Times New Roman"/>
          <w:szCs w:val="24"/>
        </w:rPr>
      </w:pPr>
    </w:p>
    <w:p w14:paraId="4BBC540C" w14:textId="77777777" w:rsidR="0041584B" w:rsidRPr="001432F3" w:rsidRDefault="0041584B" w:rsidP="0041584B">
      <w:pPr>
        <w:pStyle w:val="Heading2"/>
        <w:rPr>
          <w:rFonts w:eastAsia="Times New Roman"/>
        </w:rPr>
      </w:pPr>
      <w:r w:rsidRPr="001432F3">
        <w:rPr>
          <w:rFonts w:eastAsia="Times New Roman"/>
        </w:rPr>
        <w:t xml:space="preserve">The charging rates for network rates and direct operating costs are converted into p/kVA/day import </w:t>
      </w:r>
      <w:proofErr w:type="gramStart"/>
      <w:r w:rsidRPr="001432F3">
        <w:rPr>
          <w:rFonts w:eastAsia="Times New Roman"/>
        </w:rPr>
        <w:t>capacity based</w:t>
      </w:r>
      <w:proofErr w:type="gramEnd"/>
      <w:r w:rsidRPr="001432F3">
        <w:rPr>
          <w:rFonts w:eastAsia="Times New Roman"/>
        </w:rPr>
        <w:t xml:space="preserve"> charges for each EDCM Connectee.</w:t>
      </w:r>
    </w:p>
    <w:p w14:paraId="12F1299A" w14:textId="77777777" w:rsidR="0041584B" w:rsidRPr="001432F3" w:rsidRDefault="0041584B" w:rsidP="0041584B">
      <w:pPr>
        <w:ind w:left="720"/>
      </w:pPr>
      <w:r w:rsidRPr="001432F3">
        <w:t xml:space="preserve">Network rates and direct costs charge in p/kVA/day = (100 / DC) * </w:t>
      </w:r>
      <w:proofErr w:type="spellStart"/>
      <w:r w:rsidRPr="001432F3">
        <w:t>TNAa</w:t>
      </w:r>
      <w:proofErr w:type="spellEnd"/>
      <w:r w:rsidRPr="001432F3">
        <w:t xml:space="preserve"> * (NR rate + DOC rate)</w:t>
      </w:r>
    </w:p>
    <w:p w14:paraId="48D5B93C" w14:textId="77777777" w:rsidR="0041584B" w:rsidRPr="001432F3" w:rsidRDefault="0041584B" w:rsidP="0041584B">
      <w:pPr>
        <w:ind w:left="720"/>
      </w:pPr>
      <w:r w:rsidRPr="001432F3">
        <w:t>Where:</w:t>
      </w:r>
    </w:p>
    <w:p w14:paraId="4A3006CB" w14:textId="77777777" w:rsidR="0041584B" w:rsidRPr="001432F3" w:rsidRDefault="0041584B" w:rsidP="0041584B">
      <w:pPr>
        <w:ind w:left="720"/>
      </w:pPr>
      <w:r w:rsidRPr="001432F3">
        <w:t>DC is the number of days in the Charging Year.</w:t>
      </w:r>
    </w:p>
    <w:p w14:paraId="2F8164FA" w14:textId="77777777" w:rsidR="0041584B" w:rsidRPr="001432F3" w:rsidRDefault="0041584B" w:rsidP="0041584B">
      <w:pPr>
        <w:ind w:left="720"/>
      </w:pPr>
      <w:proofErr w:type="spellStart"/>
      <w:r w:rsidRPr="001432F3">
        <w:t>TNAa</w:t>
      </w:r>
      <w:proofErr w:type="spellEnd"/>
      <w:r w:rsidRPr="001432F3">
        <w:t xml:space="preserve"> is the total adjusted site-specific assets (£/kVA) for that EDCM Connectee.</w:t>
      </w:r>
    </w:p>
    <w:p w14:paraId="120B8C63" w14:textId="77777777" w:rsidR="0041584B" w:rsidRPr="001432F3" w:rsidRDefault="0041584B" w:rsidP="0041584B">
      <w:pPr>
        <w:ind w:left="720"/>
      </w:pPr>
      <w:r w:rsidRPr="001432F3">
        <w:t>NR rate is the network rates charge rate in per cent.</w:t>
      </w:r>
    </w:p>
    <w:p w14:paraId="601562F7" w14:textId="77777777" w:rsidR="0041584B" w:rsidRPr="001432F3" w:rsidRDefault="0041584B" w:rsidP="0041584B">
      <w:pPr>
        <w:ind w:left="720"/>
      </w:pPr>
      <w:r w:rsidRPr="001432F3">
        <w:t>DOC rate is the direct operating costs charge rate in per cent.</w:t>
      </w:r>
    </w:p>
    <w:p w14:paraId="2F8295FE" w14:textId="77777777" w:rsidR="0041584B" w:rsidRPr="00B672C5" w:rsidRDefault="0041584B" w:rsidP="0041584B">
      <w:pPr>
        <w:pStyle w:val="Heading2"/>
      </w:pPr>
      <w:r w:rsidRPr="00B672C5">
        <w:t xml:space="preserve">A p/kVA/day charging rate for indirect costs </w:t>
      </w:r>
      <w:del w:id="218" w:author="Hollie Nicholls" w:date="2020-01-14T18:28:00Z">
        <w:r w:rsidRPr="00B672C5" w:rsidDel="00C5015B">
          <w:delText xml:space="preserve">for each EDCM Connectee </w:delText>
        </w:r>
      </w:del>
      <w:r w:rsidRPr="00B672C5">
        <w:t xml:space="preserve">is calculated on the basis of historical demand at the time of the DNO Party’s peak and 50 per cent of Maximum Import Capacity of </w:t>
      </w:r>
      <w:del w:id="219" w:author="Hollie Nicholls" w:date="2020-01-14T18:28:00Z">
        <w:r w:rsidRPr="00B672C5" w:rsidDel="00C5015B">
          <w:delText xml:space="preserve">that </w:delText>
        </w:r>
      </w:del>
      <w:ins w:id="220" w:author="Hollie Nicholls" w:date="2020-01-14T18:28:00Z">
        <w:r w:rsidR="00C5015B">
          <w:t>each</w:t>
        </w:r>
        <w:r w:rsidR="00C5015B" w:rsidRPr="00B672C5">
          <w:t xml:space="preserve"> </w:t>
        </w:r>
      </w:ins>
      <w:r w:rsidRPr="00B672C5">
        <w:t>Connectee.</w:t>
      </w:r>
    </w:p>
    <w:p w14:paraId="3FC0F934" w14:textId="77777777" w:rsidR="0041584B" w:rsidRPr="00B672C5" w:rsidRDefault="0041584B" w:rsidP="0041584B">
      <w:pPr>
        <w:ind w:left="720"/>
      </w:pPr>
      <w:r w:rsidRPr="00B672C5">
        <w:t>Indirect cost charging rate in p/kVA/day = 100 / DC * (Aggregate indirect cost contribution) / Volume for scaling</w:t>
      </w:r>
    </w:p>
    <w:p w14:paraId="6925281D" w14:textId="77777777" w:rsidR="0041584B" w:rsidRPr="00B672C5" w:rsidRDefault="0041584B" w:rsidP="0041584B">
      <w:pPr>
        <w:ind w:left="720"/>
      </w:pPr>
      <w:r w:rsidRPr="00B672C5">
        <w:t>Where:</w:t>
      </w:r>
    </w:p>
    <w:p w14:paraId="5180D3C6" w14:textId="77777777" w:rsidR="0041584B" w:rsidRPr="00B672C5" w:rsidRDefault="0041584B" w:rsidP="0041584B">
      <w:pPr>
        <w:ind w:left="720"/>
      </w:pPr>
      <w:r w:rsidRPr="00B672C5">
        <w:t>DC is the number of days in the Charging Year.</w:t>
      </w:r>
    </w:p>
    <w:p w14:paraId="56493AB4" w14:textId="77777777" w:rsidR="0041584B" w:rsidRPr="00B672C5" w:rsidRDefault="0041584B" w:rsidP="0041584B">
      <w:pPr>
        <w:ind w:left="720"/>
      </w:pPr>
      <w:r w:rsidRPr="00B672C5">
        <w:t xml:space="preserve">Volume for scaling is calculated as the sum of (0.5 + coincidence </w:t>
      </w:r>
      <w:proofErr w:type="gramStart"/>
      <w:r w:rsidRPr="00B672C5">
        <w:t>factor)*</w:t>
      </w:r>
      <w:proofErr w:type="gramEnd"/>
      <w:r w:rsidRPr="00B672C5">
        <w:t xml:space="preserve"> import capacity * LDNO factor across all EDCM Connectees.</w:t>
      </w:r>
    </w:p>
    <w:p w14:paraId="525DFB2F" w14:textId="77777777" w:rsidR="0041584B" w:rsidRPr="00B672C5" w:rsidRDefault="0041584B" w:rsidP="0041584B">
      <w:pPr>
        <w:ind w:left="720"/>
      </w:pPr>
      <w:r w:rsidRPr="00B672C5">
        <w:t>Coincidence factor is calculated as the forecast peak-time consumption in kW divided by Maximum Import Capacity in kVA of that Connectee (based on historical data) multiplied by (1 - (Hours in super-red for which not a customer/Annual hours in super-red))*(Days in year/(Days in year - Days for which not a customer))</w:t>
      </w:r>
    </w:p>
    <w:p w14:paraId="7A7A1436" w14:textId="77777777" w:rsidR="0041584B" w:rsidRPr="00B672C5" w:rsidRDefault="0041584B" w:rsidP="0041584B">
      <w:pPr>
        <w:ind w:left="720"/>
      </w:pPr>
      <w:r w:rsidRPr="00B672C5">
        <w:lastRenderedPageBreak/>
        <w:t>Import capacity is the Maximum Import Capacity (adjusted if the Connectee is connected for part of the Charging Year) in kVA for that EDCM Connectee.</w:t>
      </w:r>
    </w:p>
    <w:p w14:paraId="3866492A" w14:textId="77777777" w:rsidR="0041584B" w:rsidRPr="00B672C5" w:rsidRDefault="0041584B" w:rsidP="0041584B">
      <w:pPr>
        <w:ind w:left="720"/>
      </w:pPr>
      <w:r w:rsidRPr="00B672C5">
        <w:t xml:space="preserve">LDNO factor takes the value 0.5 if the EDCM Connectee is connected to a </w:t>
      </w:r>
      <w:r>
        <w:t>LDNO</w:t>
      </w:r>
      <w:r w:rsidRPr="00B672C5">
        <w:t xml:space="preserve">’s network </w:t>
      </w:r>
      <w:ins w:id="221" w:author="Hollie Nicholls" w:date="2020-01-14T18:29:00Z">
        <w:r w:rsidR="00C5015B">
          <w:t xml:space="preserve">and residual revenue contribution rate as defined in paragraph 16.6 is positive, </w:t>
        </w:r>
      </w:ins>
      <w:r w:rsidRPr="00B672C5">
        <w:t>and 1 otherwise.</w:t>
      </w:r>
    </w:p>
    <w:p w14:paraId="47119950" w14:textId="77777777" w:rsidR="0041584B" w:rsidRPr="00B672C5" w:rsidRDefault="0041584B" w:rsidP="0041584B">
      <w:pPr>
        <w:ind w:left="720"/>
      </w:pPr>
      <w:r w:rsidRPr="00B672C5">
        <w:t>Aggregate indirect cost contribution is the sum of the import capacity based and sole use asset based indirect cost contribution from each EDCM Connectee.</w:t>
      </w:r>
    </w:p>
    <w:p w14:paraId="09336FBA" w14:textId="77777777" w:rsidR="0041584B" w:rsidRPr="00B672C5" w:rsidRDefault="0041584B" w:rsidP="0041584B">
      <w:pPr>
        <w:pStyle w:val="Heading2"/>
      </w:pPr>
      <w:r w:rsidRPr="00B672C5">
        <w:t xml:space="preserve">The p/kVA/day charging rate for indirect costs is converted into an import </w:t>
      </w:r>
      <w:proofErr w:type="gramStart"/>
      <w:r w:rsidRPr="00B672C5">
        <w:t>capacity based</w:t>
      </w:r>
      <w:proofErr w:type="gramEnd"/>
      <w:r w:rsidRPr="00B672C5">
        <w:t xml:space="preserve"> charge for each EDCM Connectee as follows:</w:t>
      </w:r>
    </w:p>
    <w:p w14:paraId="1551E7FF" w14:textId="77777777" w:rsidR="0041584B" w:rsidRPr="00B672C5" w:rsidRDefault="0041584B" w:rsidP="0041584B">
      <w:pPr>
        <w:ind w:left="720"/>
      </w:pPr>
      <w:r w:rsidRPr="00B672C5">
        <w:t>Import capacity based INDOC charge in p/kVA/day = Indirect cost charging rate * (0.5 + coincidence factor) * LDNO factor</w:t>
      </w:r>
    </w:p>
    <w:p w14:paraId="023DE8AC" w14:textId="77777777" w:rsidR="0041584B" w:rsidRPr="00B672C5" w:rsidRDefault="0041584B" w:rsidP="0041584B">
      <w:pPr>
        <w:ind w:left="720"/>
      </w:pPr>
      <w:r w:rsidRPr="00B672C5">
        <w:t>Where:</w:t>
      </w:r>
    </w:p>
    <w:p w14:paraId="1C13C975" w14:textId="77777777" w:rsidR="0041584B" w:rsidRPr="00B672C5" w:rsidRDefault="0041584B" w:rsidP="0041584B">
      <w:pPr>
        <w:ind w:left="720"/>
      </w:pPr>
      <w:r w:rsidRPr="00B672C5">
        <w:t>Indirect cost charging rate is the Distribution System-wide p/kVA/day rate calculated as described in the previous paragraph.</w:t>
      </w:r>
    </w:p>
    <w:p w14:paraId="3E243F1C" w14:textId="77777777" w:rsidR="0041584B" w:rsidRPr="00B672C5" w:rsidRDefault="0041584B" w:rsidP="0041584B">
      <w:pPr>
        <w:ind w:left="720"/>
      </w:pPr>
      <w:r w:rsidRPr="00B672C5">
        <w:t>Coincidence factor is calculated as the forecast peak-time consumption in kW divided by Maximum Import Capacity in kVA of that Connectee (based on historical data) multiplied by (1 - (Hours in super-red for which not a customer/Annual hours in super-red))*(Days in year/(Days in year - Days for which not a customer))</w:t>
      </w:r>
    </w:p>
    <w:p w14:paraId="0F95E918" w14:textId="77777777" w:rsidR="0041584B" w:rsidRPr="00B672C5" w:rsidRDefault="0041584B" w:rsidP="0041584B">
      <w:pPr>
        <w:ind w:left="720"/>
      </w:pPr>
      <w:r w:rsidRPr="00B672C5">
        <w:t xml:space="preserve">LDNO factor takes the value 0.5 if the EDCM Connectee is connected to a </w:t>
      </w:r>
      <w:r>
        <w:t>LDNO</w:t>
      </w:r>
      <w:r w:rsidRPr="00B672C5">
        <w:t>’s network</w:t>
      </w:r>
      <w:ins w:id="222" w:author="Hollie Nicholls" w:date="2020-01-14T18:29:00Z">
        <w:r w:rsidR="00C5015B">
          <w:t xml:space="preserve"> and residual revenue contribution rate as defined in paragraph 16.6 is positive,</w:t>
        </w:r>
      </w:ins>
      <w:r w:rsidRPr="00B672C5">
        <w:t xml:space="preserve"> and 1 otherwise.</w:t>
      </w:r>
    </w:p>
    <w:p w14:paraId="051C01FB" w14:textId="77777777" w:rsidR="0041584B" w:rsidRPr="00B672C5" w:rsidRDefault="0041584B" w:rsidP="0041584B">
      <w:pPr>
        <w:pStyle w:val="Heading2"/>
      </w:pPr>
      <w:r w:rsidRPr="00B672C5">
        <w:t>A single asset based residual revenue charging rate is calculated for all EDCM Connectees.  This is calculated as follows:</w:t>
      </w:r>
    </w:p>
    <w:p w14:paraId="1E84BFDF" w14:textId="77777777" w:rsidR="0041584B" w:rsidRPr="00B672C5" w:rsidRDefault="0041584B" w:rsidP="0041584B">
      <w:pPr>
        <w:ind w:left="720"/>
      </w:pPr>
      <w:r w:rsidRPr="00B672C5">
        <w:t xml:space="preserve">Residual revenue charging rate (per cent) = 0.8 * (EDCM demand revenue target – EDCM NR and DOC capacity contribution - Aggregate indirect cost contribution – SU recovery - /LRIC recovery) / </w:t>
      </w:r>
      <w:r>
        <w:t>(</w:t>
      </w:r>
      <w:r w:rsidRPr="00B672C5">
        <w:t>Total adjusted site-specific shared assets</w:t>
      </w:r>
      <w:r>
        <w:t xml:space="preserve"> </w:t>
      </w:r>
      <w:r w:rsidRPr="00105E9A">
        <w:t>– Total adjusted site-specific shared assets for storage sites)</w:t>
      </w:r>
    </w:p>
    <w:p w14:paraId="65C17EA3" w14:textId="77777777" w:rsidR="0041584B" w:rsidRPr="00B672C5" w:rsidRDefault="0041584B" w:rsidP="0041584B">
      <w:pPr>
        <w:ind w:left="720"/>
      </w:pPr>
      <w:r w:rsidRPr="00B672C5">
        <w:lastRenderedPageBreak/>
        <w:t>Where:</w:t>
      </w:r>
    </w:p>
    <w:p w14:paraId="4B242EFF" w14:textId="77777777" w:rsidR="0041584B" w:rsidRPr="00B672C5" w:rsidRDefault="0041584B" w:rsidP="0041584B">
      <w:pPr>
        <w:ind w:left="720"/>
      </w:pPr>
      <w:r w:rsidRPr="00B672C5">
        <w:t xml:space="preserve">EDCM NR and DOC capacity contribution is the sum of the import </w:t>
      </w:r>
      <w:proofErr w:type="gramStart"/>
      <w:r w:rsidRPr="00B672C5">
        <w:t>capacity based</w:t>
      </w:r>
      <w:proofErr w:type="gramEnd"/>
      <w:r w:rsidRPr="00B672C5">
        <w:t xml:space="preserve"> network rates and direct costs contribution from each EDCM Connectee.</w:t>
      </w:r>
    </w:p>
    <w:p w14:paraId="462BC92C" w14:textId="77777777" w:rsidR="0041584B" w:rsidRDefault="0041584B" w:rsidP="0041584B">
      <w:pPr>
        <w:ind w:left="720"/>
      </w:pPr>
      <w:r w:rsidRPr="00B672C5">
        <w:t>Aggregate indirect cost contribution is the sum of the import capacity based and import sole use asset based indirect cost contribution from each EDCM Connectee.</w:t>
      </w:r>
    </w:p>
    <w:p w14:paraId="18D18357" w14:textId="77777777" w:rsidR="0041584B" w:rsidRPr="00B672C5" w:rsidRDefault="0041584B" w:rsidP="0041584B">
      <w:pPr>
        <w:pStyle w:val="DCNormParaL3"/>
        <w:tabs>
          <w:tab w:val="left" w:pos="851"/>
        </w:tabs>
      </w:pPr>
      <w:r>
        <w:t>LRIC</w:t>
      </w:r>
      <w:r w:rsidRPr="00F83406">
        <w:t xml:space="preserve"> recovery is the forecast notional recovery from the application of </w:t>
      </w:r>
      <w:r>
        <w:t>LRIC</w:t>
      </w:r>
      <w:r w:rsidRPr="00F83406">
        <w:t xml:space="preserve"> demand charges (before any rounding) to all EDCM Connectees.</w:t>
      </w:r>
    </w:p>
    <w:p w14:paraId="38A858BA" w14:textId="77777777" w:rsidR="0041584B" w:rsidRPr="00B672C5" w:rsidRDefault="0041584B" w:rsidP="0041584B">
      <w:pPr>
        <w:ind w:left="720"/>
      </w:pPr>
      <w:r w:rsidRPr="00B672C5">
        <w:t>SU recovery is the forecast notional recovery from the application of import fixed charges (before any rounding) for sole use assets relating to EDCM Connectees.</w:t>
      </w:r>
    </w:p>
    <w:p w14:paraId="2D60B349" w14:textId="77777777" w:rsidR="0041584B" w:rsidRDefault="0041584B" w:rsidP="0041584B">
      <w:pPr>
        <w:ind w:left="720"/>
      </w:pPr>
      <w:r w:rsidRPr="00B672C5">
        <w:t xml:space="preserve">Total adjusted site-specific shared assets </w:t>
      </w:r>
      <w:proofErr w:type="gramStart"/>
      <w:r w:rsidRPr="00B672C5">
        <w:t>is</w:t>
      </w:r>
      <w:proofErr w:type="gramEnd"/>
      <w:r w:rsidRPr="00B672C5">
        <w:t xml:space="preserve"> the aggregate value (in £) of all adjusted site-specific shared assets for EDCM (Load) Connectees.</w:t>
      </w:r>
    </w:p>
    <w:p w14:paraId="71CAB795" w14:textId="77777777" w:rsidR="0041584B" w:rsidRPr="00B672C5" w:rsidRDefault="0041584B" w:rsidP="0041584B">
      <w:pPr>
        <w:ind w:left="720"/>
      </w:pPr>
      <w:r w:rsidRPr="00105E9A">
        <w:t xml:space="preserve">Total adjusted site-specific shared assets for storage sites is the aggregate value (in £) of all adjusted site-specific shared assets for EDCM Connectees that are Eligible Electricity Storage Facilities.   </w:t>
      </w:r>
    </w:p>
    <w:p w14:paraId="08F1B496" w14:textId="77777777" w:rsidR="0041584B" w:rsidRPr="00B672C5" w:rsidRDefault="0041584B" w:rsidP="0041584B">
      <w:pPr>
        <w:pStyle w:val="Heading2"/>
      </w:pPr>
      <w:r w:rsidRPr="00B672C5">
        <w:t xml:space="preserve">The </w:t>
      </w:r>
      <w:proofErr w:type="gramStart"/>
      <w:r w:rsidRPr="00B672C5">
        <w:t>asset based</w:t>
      </w:r>
      <w:proofErr w:type="gramEnd"/>
      <w:r w:rsidRPr="00B672C5">
        <w:t xml:space="preserve"> charging rate for residual revenue is converted into a p/kVA/day import capacity based residual revenue charge for each EDCM Connectee</w:t>
      </w:r>
      <w:r w:rsidRPr="00105E9A">
        <w:rPr>
          <w:rFonts w:eastAsia="Calibri"/>
        </w:rPr>
        <w:t xml:space="preserve"> </w:t>
      </w:r>
      <w:r w:rsidRPr="00B555E0">
        <w:rPr>
          <w:rFonts w:eastAsia="Calibri"/>
        </w:rPr>
        <w:t xml:space="preserve">which is not an </w:t>
      </w:r>
      <w:r>
        <w:rPr>
          <w:rFonts w:eastAsia="Calibri"/>
        </w:rPr>
        <w:t xml:space="preserve">Eligible </w:t>
      </w:r>
      <w:r w:rsidRPr="00B555E0">
        <w:rPr>
          <w:rFonts w:eastAsia="Calibri"/>
        </w:rPr>
        <w:t>Electricity Storage Facility</w:t>
      </w:r>
      <w:r w:rsidRPr="00B672C5">
        <w:t>.</w:t>
      </w:r>
    </w:p>
    <w:p w14:paraId="3BA98FDF" w14:textId="77777777" w:rsidR="0041584B" w:rsidRPr="00B672C5" w:rsidRDefault="0041584B" w:rsidP="0041584B">
      <w:pPr>
        <w:ind w:left="720"/>
      </w:pPr>
      <w:r w:rsidRPr="00B672C5">
        <w:t xml:space="preserve">Asset based residual revenue charges in p/kVA/day = (100 / DC) * </w:t>
      </w:r>
      <w:proofErr w:type="spellStart"/>
      <w:r w:rsidRPr="00B672C5">
        <w:t>TNAa</w:t>
      </w:r>
      <w:proofErr w:type="spellEnd"/>
      <w:r w:rsidRPr="00B672C5">
        <w:t xml:space="preserve"> * Residual revenue rate</w:t>
      </w:r>
    </w:p>
    <w:p w14:paraId="73012C62" w14:textId="77777777" w:rsidR="0041584B" w:rsidRPr="00B672C5" w:rsidRDefault="0041584B" w:rsidP="0041584B">
      <w:pPr>
        <w:ind w:left="720"/>
      </w:pPr>
      <w:r w:rsidRPr="00B672C5">
        <w:t>Where:</w:t>
      </w:r>
    </w:p>
    <w:p w14:paraId="0F10ABA8" w14:textId="77777777" w:rsidR="0041584B" w:rsidRPr="00B672C5" w:rsidRDefault="0041584B" w:rsidP="0041584B">
      <w:pPr>
        <w:ind w:left="720"/>
      </w:pPr>
      <w:r w:rsidRPr="00B672C5">
        <w:t>DC is the number of days in the Charging Year.</w:t>
      </w:r>
    </w:p>
    <w:p w14:paraId="0D960FD8" w14:textId="77777777" w:rsidR="0041584B" w:rsidRPr="00B672C5" w:rsidRDefault="0041584B" w:rsidP="0041584B">
      <w:pPr>
        <w:ind w:left="720"/>
      </w:pPr>
      <w:r w:rsidRPr="00B672C5">
        <w:t>TNA is the total site-specific assets (£/kVA) for that EDCM Connectee.</w:t>
      </w:r>
    </w:p>
    <w:p w14:paraId="50EA93B4" w14:textId="77777777" w:rsidR="0041584B" w:rsidRDefault="0041584B" w:rsidP="0041584B">
      <w:pPr>
        <w:ind w:left="720"/>
      </w:pPr>
      <w:r w:rsidRPr="00B672C5">
        <w:t xml:space="preserve">Residual revenue rate is the residual revenue charging rate in per cent. </w:t>
      </w:r>
    </w:p>
    <w:p w14:paraId="5231501C" w14:textId="77777777" w:rsidR="0041584B" w:rsidRPr="00E7492D" w:rsidRDefault="0041584B" w:rsidP="0041584B">
      <w:pPr>
        <w:pStyle w:val="BodyTextIndent"/>
        <w:tabs>
          <w:tab w:val="left" w:pos="851"/>
        </w:tabs>
        <w:ind w:left="851" w:hanging="824"/>
        <w:rPr>
          <w:rFonts w:hAnsi="Times New Roman"/>
        </w:rPr>
      </w:pPr>
      <w:r w:rsidRPr="00B555E0">
        <w:rPr>
          <w:rFonts w:hAnsi="Times New Roman"/>
        </w:rPr>
        <w:t>18.19A</w:t>
      </w:r>
      <w:r w:rsidRPr="00B555E0">
        <w:rPr>
          <w:rFonts w:hAnsi="Times New Roman"/>
        </w:rPr>
        <w:tab/>
      </w:r>
      <w:proofErr w:type="gramStart"/>
      <w:r w:rsidRPr="00B555E0">
        <w:rPr>
          <w:rFonts w:hAnsi="Times New Roman"/>
        </w:rPr>
        <w:t>The</w:t>
      </w:r>
      <w:proofErr w:type="gramEnd"/>
      <w:r w:rsidRPr="00B555E0">
        <w:rPr>
          <w:rFonts w:hAnsi="Times New Roman"/>
        </w:rPr>
        <w:t xml:space="preserve"> asset based residual revenue charge for each EDCM Connectee which is an </w:t>
      </w:r>
      <w:r>
        <w:rPr>
          <w:rFonts w:hAnsi="Times New Roman"/>
        </w:rPr>
        <w:t xml:space="preserve">Eligible </w:t>
      </w:r>
      <w:r w:rsidRPr="00B555E0">
        <w:rPr>
          <w:rFonts w:hAnsi="Times New Roman"/>
        </w:rPr>
        <w:t xml:space="preserve">Electricity Storage Facility </w:t>
      </w:r>
      <w:r>
        <w:rPr>
          <w:rFonts w:hAnsi="Times New Roman"/>
        </w:rPr>
        <w:t>shall be</w:t>
      </w:r>
      <w:r w:rsidRPr="00B555E0">
        <w:rPr>
          <w:rFonts w:hAnsi="Times New Roman"/>
        </w:rPr>
        <w:t xml:space="preserve"> zero.</w:t>
      </w:r>
    </w:p>
    <w:p w14:paraId="48DB1558" w14:textId="77777777" w:rsidR="0041584B" w:rsidRDefault="0041584B" w:rsidP="0041584B">
      <w:pPr>
        <w:pStyle w:val="Heading2"/>
      </w:pPr>
      <w:r w:rsidRPr="00B672C5">
        <w:lastRenderedPageBreak/>
        <w:t>A fixed adder in p/kVA/day for the remaining 20 per cent of residual revenue is calculated as follows:</w:t>
      </w:r>
    </w:p>
    <w:p w14:paraId="17CE9C46" w14:textId="77777777" w:rsidR="0041584B" w:rsidRPr="00B672C5" w:rsidRDefault="0041584B" w:rsidP="0041584B">
      <w:pPr>
        <w:ind w:left="720"/>
      </w:pPr>
      <w:r>
        <w:t>F</w:t>
      </w:r>
      <w:r w:rsidRPr="00B672C5">
        <w:t xml:space="preserve">ixed adder in p/kVA/day = 100 / DC * 0.2 * (EDCM demand revenue target – EDCM NR and DOC capacity contribution - Aggregate indirect cost contribution - SU recovery - LRIC recovery) / </w:t>
      </w:r>
      <w:r>
        <w:t>(</w:t>
      </w:r>
      <w:r w:rsidRPr="00B672C5">
        <w:t>Volume for scaling</w:t>
      </w:r>
      <w:r>
        <w:t xml:space="preserve"> </w:t>
      </w:r>
      <w:r w:rsidRPr="00F83406">
        <w:t>– Volume for scaling for storage sites)</w:t>
      </w:r>
    </w:p>
    <w:p w14:paraId="6C4DF1F5" w14:textId="77777777" w:rsidR="0041584B" w:rsidRPr="00B672C5" w:rsidRDefault="0041584B" w:rsidP="0041584B">
      <w:pPr>
        <w:ind w:left="720"/>
      </w:pPr>
      <w:r w:rsidRPr="00B672C5">
        <w:t>Where:</w:t>
      </w:r>
    </w:p>
    <w:p w14:paraId="05483D9E" w14:textId="77777777" w:rsidR="0041584B" w:rsidRPr="00B672C5" w:rsidRDefault="0041584B" w:rsidP="0041584B">
      <w:pPr>
        <w:ind w:left="720"/>
      </w:pPr>
      <w:r w:rsidRPr="00B672C5">
        <w:t>DC is the number of days in the Charging Year.</w:t>
      </w:r>
    </w:p>
    <w:p w14:paraId="3F708262" w14:textId="77777777" w:rsidR="0041584B" w:rsidRPr="00B672C5" w:rsidRDefault="0041584B" w:rsidP="0041584B">
      <w:pPr>
        <w:ind w:left="720"/>
      </w:pPr>
      <w:r w:rsidRPr="00B672C5">
        <w:t>EDCM demand target is the EDCM demand revenue target calculated as described in the previous section.</w:t>
      </w:r>
    </w:p>
    <w:p w14:paraId="5A46B4FA" w14:textId="77777777" w:rsidR="0041584B" w:rsidRPr="00B672C5" w:rsidRDefault="0041584B" w:rsidP="0041584B">
      <w:pPr>
        <w:ind w:left="720"/>
      </w:pPr>
      <w:r w:rsidRPr="00B672C5">
        <w:t>EDCM NR and DOC capacity contribution is the sum of the import capacity based direct costs contribution from each EDCM Connectee</w:t>
      </w:r>
      <w:del w:id="223" w:author="Hollie Nicholls" w:date="2020-01-14T18:30:00Z">
        <w:r w:rsidRPr="00B672C5" w:rsidDel="00C5015B">
          <w:delText xml:space="preserve"> (from annex 3)</w:delText>
        </w:r>
      </w:del>
      <w:r w:rsidRPr="00B672C5">
        <w:t>.</w:t>
      </w:r>
    </w:p>
    <w:p w14:paraId="6599D0AE" w14:textId="77777777" w:rsidR="0041584B" w:rsidRPr="00B672C5" w:rsidRDefault="0041584B" w:rsidP="0041584B">
      <w:pPr>
        <w:ind w:left="720"/>
      </w:pPr>
      <w:r w:rsidRPr="00B672C5">
        <w:t xml:space="preserve">Aggregate indirect cost contribution is the sum of the import capacity based and import sole use asset based indirect cost contribution </w:t>
      </w:r>
      <w:ins w:id="224" w:author="Hollie Nicholls" w:date="2020-01-14T18:30:00Z">
        <w:r w:rsidR="00C5015B">
          <w:t xml:space="preserve">before any adjustment under clauses 19.7 and 19.8 </w:t>
        </w:r>
      </w:ins>
      <w:r w:rsidRPr="00B672C5">
        <w:t>from each EDCM Connectee</w:t>
      </w:r>
    </w:p>
    <w:p w14:paraId="58E798B3" w14:textId="77777777" w:rsidR="0041584B" w:rsidRPr="00B672C5" w:rsidRDefault="0041584B" w:rsidP="0041584B">
      <w:pPr>
        <w:ind w:left="720"/>
      </w:pPr>
      <w:r w:rsidRPr="00B672C5">
        <w:t xml:space="preserve">SU recovery is the forecast notional recovery from the application of </w:t>
      </w:r>
      <w:r>
        <w:t>demand</w:t>
      </w:r>
      <w:r w:rsidRPr="00B672C5">
        <w:t xml:space="preserve"> fixed charges (before any rounding</w:t>
      </w:r>
      <w:ins w:id="225" w:author="Hollie Nicholls" w:date="2020-01-14T18:30:00Z">
        <w:r w:rsidR="00C5015B">
          <w:t xml:space="preserve"> or any adjustments under clauses 19.7 and 19.</w:t>
        </w:r>
      </w:ins>
      <w:ins w:id="226" w:author="Hollie Nicholls" w:date="2020-01-14T18:31:00Z">
        <w:r w:rsidR="00C5015B">
          <w:t>8</w:t>
        </w:r>
      </w:ins>
      <w:r w:rsidRPr="00B672C5">
        <w:t>) for sole use assets relating to EDCM Connectees.</w:t>
      </w:r>
    </w:p>
    <w:p w14:paraId="47D9DDAC" w14:textId="77777777" w:rsidR="0041584B" w:rsidRPr="00B672C5" w:rsidRDefault="0041584B" w:rsidP="0041584B">
      <w:pPr>
        <w:ind w:left="720"/>
      </w:pPr>
      <w:r w:rsidRPr="00B672C5">
        <w:t xml:space="preserve">LRIC recovery is the forecast notional recovery from the application of LRIC </w:t>
      </w:r>
      <w:r>
        <w:t xml:space="preserve">demand </w:t>
      </w:r>
      <w:r w:rsidRPr="00B672C5">
        <w:t>charges (before any rounding</w:t>
      </w:r>
      <w:ins w:id="227" w:author="Hollie Nicholls" w:date="2020-01-14T18:31:00Z">
        <w:r w:rsidR="00C5015B">
          <w:t xml:space="preserve"> or any adjustments under clauses 19.7 and 19.8</w:t>
        </w:r>
      </w:ins>
      <w:r w:rsidRPr="00B672C5">
        <w:t>) to all EDCM Connectees only.</w:t>
      </w:r>
    </w:p>
    <w:p w14:paraId="0C19F6BD" w14:textId="77777777" w:rsidR="0041584B" w:rsidRDefault="0041584B" w:rsidP="0041584B">
      <w:pPr>
        <w:ind w:left="720"/>
      </w:pPr>
      <w:commentRangeStart w:id="228"/>
      <w:r w:rsidRPr="00B672C5">
        <w:t xml:space="preserve">Volume for scaling is calculated as the sum of (0.5 + coincidence </w:t>
      </w:r>
      <w:proofErr w:type="gramStart"/>
      <w:r w:rsidRPr="00B672C5">
        <w:t>factor)*</w:t>
      </w:r>
      <w:proofErr w:type="gramEnd"/>
      <w:r w:rsidRPr="00B672C5">
        <w:t xml:space="preserve"> import capacity</w:t>
      </w:r>
      <w:r>
        <w:t xml:space="preserve"> </w:t>
      </w:r>
      <w:r w:rsidRPr="00105E9A">
        <w:t>for all EDCM Connectees</w:t>
      </w:r>
      <w:r w:rsidRPr="00B672C5">
        <w:t>.</w:t>
      </w:r>
    </w:p>
    <w:p w14:paraId="5B1B6FAC" w14:textId="77777777" w:rsidR="0041584B" w:rsidRPr="00B672C5" w:rsidRDefault="0041584B" w:rsidP="0041584B">
      <w:pPr>
        <w:pStyle w:val="DCNormParaL3"/>
        <w:tabs>
          <w:tab w:val="left" w:pos="851"/>
        </w:tabs>
        <w:ind w:left="720"/>
      </w:pPr>
      <w:r w:rsidRPr="00F83406">
        <w:t xml:space="preserve">Volume for scaling for storage sites is calculated as the sum of (0.5 + coincidence </w:t>
      </w:r>
      <w:proofErr w:type="gramStart"/>
      <w:r w:rsidRPr="00F83406">
        <w:t>factor)*</w:t>
      </w:r>
      <w:proofErr w:type="gramEnd"/>
      <w:r w:rsidRPr="00F83406">
        <w:t xml:space="preserve"> import capacity for </w:t>
      </w:r>
      <w:r>
        <w:t xml:space="preserve">each </w:t>
      </w:r>
      <w:r w:rsidRPr="00F83406">
        <w:t xml:space="preserve">EDCM Connectee that </w:t>
      </w:r>
      <w:r>
        <w:t>is an</w:t>
      </w:r>
      <w:r w:rsidRPr="00F83406">
        <w:t xml:space="preserve"> </w:t>
      </w:r>
      <w:r>
        <w:t xml:space="preserve">Eligible </w:t>
      </w:r>
      <w:r w:rsidRPr="00F83406">
        <w:t>Electricity Storage Facilit</w:t>
      </w:r>
      <w:r>
        <w:t>y.</w:t>
      </w:r>
      <w:commentRangeEnd w:id="228"/>
      <w:r w:rsidR="00C5015B">
        <w:rPr>
          <w:rStyle w:val="CommentReference"/>
          <w:rFonts w:eastAsia="Times New Roman"/>
          <w:lang w:eastAsia="en-GB"/>
        </w:rPr>
        <w:commentReference w:id="228"/>
      </w:r>
    </w:p>
    <w:p w14:paraId="46981078" w14:textId="77777777" w:rsidR="0041584B" w:rsidRPr="00B672C5" w:rsidRDefault="0041584B" w:rsidP="0041584B">
      <w:pPr>
        <w:ind w:left="720"/>
      </w:pPr>
      <w:r w:rsidRPr="00B672C5">
        <w:lastRenderedPageBreak/>
        <w:t>Coincidence factor is calculated as the forecast peak-time consumption in kW divided by maximum capacity in kVA of that Connectee (based on historical data) multiplied by (1 - (Hours in super-red for which not a customer/Annual hours in super-red))*(Days in year/(Days in year - Days for which not a customer))</w:t>
      </w:r>
    </w:p>
    <w:p w14:paraId="52BCB684" w14:textId="77777777" w:rsidR="0041584B" w:rsidRPr="00B672C5" w:rsidRDefault="0041584B" w:rsidP="0041584B">
      <w:pPr>
        <w:ind w:left="720"/>
      </w:pPr>
      <w:commentRangeStart w:id="229"/>
      <w:r w:rsidRPr="00B672C5">
        <w:t>Import capacity is the Maximum Import Capacity (adjusted if the Connectee is connected for part of the Charging Year) in kVA for that EDCM Connectee.</w:t>
      </w:r>
      <w:commentRangeEnd w:id="229"/>
      <w:r w:rsidR="00C5015B">
        <w:rPr>
          <w:rStyle w:val="CommentReference"/>
          <w:rFonts w:eastAsia="Times New Roman"/>
          <w:lang w:eastAsia="en-GB"/>
        </w:rPr>
        <w:commentReference w:id="229"/>
      </w:r>
    </w:p>
    <w:p w14:paraId="2CB2C783" w14:textId="77777777" w:rsidR="0041584B" w:rsidRPr="00B672C5" w:rsidRDefault="0041584B" w:rsidP="0041584B">
      <w:pPr>
        <w:pStyle w:val="Heading2"/>
      </w:pPr>
      <w:r w:rsidRPr="00B672C5">
        <w:t xml:space="preserve">The fixed adder in p/kVA/day is converted into an import </w:t>
      </w:r>
      <w:proofErr w:type="gramStart"/>
      <w:r w:rsidRPr="00B672C5">
        <w:t>capacity based</w:t>
      </w:r>
      <w:proofErr w:type="gramEnd"/>
      <w:r w:rsidRPr="00B672C5">
        <w:t xml:space="preserve"> charge for each EDCM Connectee </w:t>
      </w:r>
      <w:r w:rsidRPr="00563E9D">
        <w:t xml:space="preserve">which is not </w:t>
      </w:r>
      <w:r>
        <w:t>an</w:t>
      </w:r>
      <w:r w:rsidRPr="00F83406">
        <w:t xml:space="preserve"> </w:t>
      </w:r>
      <w:r>
        <w:t xml:space="preserve">Eligible </w:t>
      </w:r>
      <w:r w:rsidRPr="00F83406">
        <w:t>Electricity Storage Facilit</w:t>
      </w:r>
      <w:r>
        <w:t>y</w:t>
      </w:r>
      <w:r w:rsidRPr="00F83406">
        <w:t xml:space="preserve"> </w:t>
      </w:r>
      <w:r w:rsidRPr="00B672C5">
        <w:t>as follows:</w:t>
      </w:r>
    </w:p>
    <w:p w14:paraId="619CB318" w14:textId="77777777" w:rsidR="0041584B" w:rsidRPr="00B672C5" w:rsidRDefault="0041584B" w:rsidP="0041584B">
      <w:pPr>
        <w:ind w:left="720"/>
        <w:jc w:val="both"/>
      </w:pPr>
      <w:r w:rsidRPr="00B672C5">
        <w:t>Import capacity based fixed adder in p/kVA/day = Fixed adder * (0.5 + coincidence factor)</w:t>
      </w:r>
    </w:p>
    <w:p w14:paraId="538F9CFF" w14:textId="77777777" w:rsidR="0041584B" w:rsidRPr="00B672C5" w:rsidRDefault="0041584B" w:rsidP="0041584B">
      <w:pPr>
        <w:ind w:left="720"/>
        <w:jc w:val="both"/>
      </w:pPr>
      <w:r w:rsidRPr="00B672C5">
        <w:t>Where:</w:t>
      </w:r>
    </w:p>
    <w:p w14:paraId="4786D773" w14:textId="77777777" w:rsidR="0041584B" w:rsidRPr="00B672C5" w:rsidRDefault="0041584B" w:rsidP="0041584B">
      <w:pPr>
        <w:ind w:left="720"/>
        <w:jc w:val="both"/>
      </w:pPr>
      <w:r w:rsidRPr="00B672C5">
        <w:t>Fixed adder is the Distribution System-wide p/kVA/day fixed adder calculated as described in the previous paragraph.</w:t>
      </w:r>
    </w:p>
    <w:p w14:paraId="1B043770" w14:textId="77777777" w:rsidR="0041584B" w:rsidRDefault="0041584B" w:rsidP="0041584B">
      <w:pPr>
        <w:ind w:left="720"/>
        <w:jc w:val="both"/>
      </w:pPr>
      <w:r w:rsidRPr="00B672C5">
        <w:t xml:space="preserve">Coincidence factor is calculated as the forecast peak-time consumption in kW divided by Maximum Import Capacity in kVA of that Connectee (based on historical data) multiplied by (1 - (Hours in super-red for which not a customer/Annual hours in super-red))*(Days in year/(Days in year - Days for which not a customer)). </w:t>
      </w:r>
    </w:p>
    <w:p w14:paraId="0BCF834E" w14:textId="77777777" w:rsidR="0041584B" w:rsidRPr="00E7492D" w:rsidRDefault="0041584B" w:rsidP="0041584B">
      <w:pPr>
        <w:pStyle w:val="BodyTextIndent"/>
        <w:tabs>
          <w:tab w:val="left" w:pos="851"/>
        </w:tabs>
        <w:ind w:left="851" w:hanging="823"/>
        <w:rPr>
          <w:rFonts w:hAnsi="Times New Roman"/>
        </w:rPr>
      </w:pPr>
      <w:r w:rsidRPr="009958A0">
        <w:rPr>
          <w:rFonts w:hAnsi="Times New Roman"/>
        </w:rPr>
        <w:t>18.21A</w:t>
      </w:r>
      <w:r w:rsidRPr="009958A0">
        <w:rPr>
          <w:rFonts w:hAnsi="Times New Roman"/>
        </w:rPr>
        <w:tab/>
      </w:r>
      <w:proofErr w:type="gramStart"/>
      <w:r w:rsidRPr="009958A0">
        <w:rPr>
          <w:rFonts w:hAnsi="Times New Roman"/>
        </w:rPr>
        <w:t>The</w:t>
      </w:r>
      <w:proofErr w:type="gramEnd"/>
      <w:r w:rsidRPr="009958A0">
        <w:rPr>
          <w:rFonts w:hAnsi="Times New Roman"/>
        </w:rPr>
        <w:t xml:space="preserve"> fixed adder for </w:t>
      </w:r>
      <w:r>
        <w:rPr>
          <w:rFonts w:hAnsi="Times New Roman"/>
        </w:rPr>
        <w:t xml:space="preserve">each EDCM Connectee </w:t>
      </w:r>
      <w:r w:rsidRPr="009958A0">
        <w:rPr>
          <w:rFonts w:hAnsi="Times New Roman"/>
        </w:rPr>
        <w:t xml:space="preserve">that </w:t>
      </w:r>
      <w:r>
        <w:rPr>
          <w:rFonts w:hAnsi="Times New Roman"/>
        </w:rPr>
        <w:t>is an Eligible Electricity Storage Facility shall be</w:t>
      </w:r>
      <w:r w:rsidRPr="009958A0">
        <w:rPr>
          <w:rFonts w:hAnsi="Times New Roman"/>
        </w:rPr>
        <w:t xml:space="preserve"> zero</w:t>
      </w:r>
      <w:r>
        <w:rPr>
          <w:rFonts w:hAnsi="Times New Roman"/>
        </w:rPr>
        <w:t>.</w:t>
      </w:r>
    </w:p>
    <w:p w14:paraId="32ED02FB" w14:textId="77777777" w:rsidR="0041584B" w:rsidRPr="00B672C5" w:rsidRDefault="0041584B" w:rsidP="0041584B">
      <w:pPr>
        <w:pStyle w:val="Heading1"/>
      </w:pPr>
      <w:bookmarkStart w:id="230" w:name="_Toc320876081"/>
      <w:bookmarkStart w:id="231" w:name="_Toc320876704"/>
      <w:bookmarkStart w:id="232" w:name="_Toc325449918"/>
      <w:bookmarkStart w:id="233" w:name="_Toc339284562"/>
      <w:bookmarkStart w:id="234" w:name="_Toc360027737"/>
      <w:bookmarkStart w:id="235" w:name="_Toc360028091"/>
      <w:bookmarkStart w:id="236" w:name="_Toc391559950"/>
      <w:bookmarkStart w:id="237" w:name="_Toc510303070"/>
      <w:bookmarkStart w:id="238" w:name="_Toc513018484"/>
      <w:bookmarkStart w:id="239" w:name="_Toc518333669"/>
      <w:bookmarkStart w:id="240" w:name="_Toc527908525"/>
      <w:r w:rsidRPr="00B672C5">
        <w:t>Application of EDCM charges for EDCM Connectees</w:t>
      </w:r>
      <w:bookmarkEnd w:id="230"/>
      <w:bookmarkEnd w:id="231"/>
      <w:bookmarkEnd w:id="232"/>
      <w:bookmarkEnd w:id="233"/>
      <w:bookmarkEnd w:id="234"/>
      <w:bookmarkEnd w:id="235"/>
      <w:bookmarkEnd w:id="236"/>
      <w:bookmarkEnd w:id="237"/>
      <w:bookmarkEnd w:id="238"/>
      <w:bookmarkEnd w:id="239"/>
      <w:bookmarkEnd w:id="240"/>
    </w:p>
    <w:p w14:paraId="49982123" w14:textId="77777777" w:rsidR="0041584B" w:rsidRPr="00B672C5" w:rsidRDefault="0041584B" w:rsidP="0041584B">
      <w:pPr>
        <w:pStyle w:val="Heading2"/>
      </w:pPr>
      <w:r w:rsidRPr="00B672C5">
        <w:t xml:space="preserve">The tariff application rules for the EDCM are the same as for the CDCM wherever possible. </w:t>
      </w:r>
      <w:ins w:id="241" w:author="Hollie Nicholls" w:date="2020-01-14T18:33:00Z">
        <w:r w:rsidR="00C5015B">
          <w:t xml:space="preserve">Once all other calculations have been carried out, </w:t>
        </w:r>
      </w:ins>
      <w:del w:id="242" w:author="Hollie Nicholls" w:date="2020-01-14T18:33:00Z">
        <w:r w:rsidRPr="00B672C5" w:rsidDel="00C5015B">
          <w:delText>E</w:delText>
        </w:r>
      </w:del>
      <w:ins w:id="243" w:author="Hollie Nicholls" w:date="2020-01-14T18:33:00Z">
        <w:r w:rsidR="00C5015B">
          <w:t>e</w:t>
        </w:r>
      </w:ins>
      <w:r w:rsidRPr="00B672C5">
        <w:t>ach component of each tariff is rounded to the nearest value with no more than three decimal places in the case of unit rates expressed in p/kWh, and with no more than two decimal places in the case of fixed and capacity charges expressed in p/day and p/kVA/day respectively.</w:t>
      </w:r>
    </w:p>
    <w:p w14:paraId="6C3C2044" w14:textId="77777777" w:rsidR="0041584B" w:rsidRPr="00B672C5" w:rsidRDefault="0041584B" w:rsidP="0041584B">
      <w:pPr>
        <w:pStyle w:val="Heading2"/>
      </w:pPr>
      <w:r w:rsidRPr="00B672C5">
        <w:t xml:space="preserve">The part of EDCM portfolio tariffs (for </w:t>
      </w:r>
      <w:r>
        <w:t>LDNO</w:t>
      </w:r>
      <w:r w:rsidRPr="00B672C5">
        <w:t xml:space="preserve"> networks and Distribution Licence exempt networks) that is based on CDCM tariffs will be billed like CDCM tariffs.</w:t>
      </w:r>
    </w:p>
    <w:p w14:paraId="59AEC7C3" w14:textId="77777777" w:rsidR="0041584B" w:rsidRPr="00B672C5" w:rsidRDefault="0041584B" w:rsidP="0041584B">
      <w:pPr>
        <w:pStyle w:val="Heading2"/>
      </w:pPr>
      <w:r w:rsidRPr="00B672C5">
        <w:lastRenderedPageBreak/>
        <w:t xml:space="preserve">Final EDCM demand charges will have: </w:t>
      </w:r>
    </w:p>
    <w:p w14:paraId="213275CF" w14:textId="77777777" w:rsidR="0041584B" w:rsidRPr="00A36378" w:rsidRDefault="0041584B" w:rsidP="0041584B">
      <w:pPr>
        <w:pStyle w:val="ListParagraph"/>
        <w:numPr>
          <w:ilvl w:val="0"/>
          <w:numId w:val="69"/>
        </w:numPr>
      </w:pPr>
      <w:r w:rsidRPr="00A36378">
        <w:t xml:space="preserve">an import fixed charge on sole use assets (in p/day) </w:t>
      </w:r>
    </w:p>
    <w:p w14:paraId="27DE443E" w14:textId="77777777" w:rsidR="0041584B" w:rsidRPr="00AD174D" w:rsidRDefault="0041584B" w:rsidP="0041584B">
      <w:pPr>
        <w:pStyle w:val="ListParagraph"/>
        <w:numPr>
          <w:ilvl w:val="0"/>
          <w:numId w:val="69"/>
        </w:numPr>
      </w:pPr>
      <w:r w:rsidRPr="00A36378">
        <w:t xml:space="preserve">an import capacity charge in (p/kVA/day) </w:t>
      </w:r>
    </w:p>
    <w:p w14:paraId="14ECC14A" w14:textId="77777777" w:rsidR="0041584B" w:rsidRPr="00155B7E" w:rsidRDefault="0041584B" w:rsidP="0041584B">
      <w:pPr>
        <w:pStyle w:val="ListParagraph"/>
        <w:numPr>
          <w:ilvl w:val="0"/>
          <w:numId w:val="69"/>
        </w:numPr>
      </w:pPr>
      <w:r w:rsidRPr="00155B7E">
        <w:t xml:space="preserve">an import super-red unit rate charge (in p/kWh) </w:t>
      </w:r>
    </w:p>
    <w:p w14:paraId="59BFE14A" w14:textId="77777777" w:rsidR="0041584B" w:rsidRPr="00155B7E" w:rsidRDefault="0041584B" w:rsidP="0041584B">
      <w:pPr>
        <w:pStyle w:val="ListParagraph"/>
        <w:numPr>
          <w:ilvl w:val="0"/>
          <w:numId w:val="69"/>
        </w:numPr>
      </w:pPr>
      <w:r w:rsidRPr="00155B7E">
        <w:t>an exceeded import capacity charge (in p/kVA/day).</w:t>
      </w:r>
    </w:p>
    <w:p w14:paraId="3132B092" w14:textId="77777777" w:rsidR="0041584B" w:rsidRPr="00B672C5" w:rsidRDefault="0041584B" w:rsidP="0041584B">
      <w:pPr>
        <w:pStyle w:val="Heading2"/>
      </w:pPr>
      <w:r w:rsidRPr="00B672C5">
        <w:t>The import fixed charge on sole use assets in p/day is applied to each EDCM Connectee.</w:t>
      </w:r>
    </w:p>
    <w:p w14:paraId="00AC9EF8" w14:textId="77777777" w:rsidR="0041584B" w:rsidRPr="00B672C5" w:rsidRDefault="0041584B" w:rsidP="0041584B">
      <w:pPr>
        <w:pStyle w:val="Heading2"/>
      </w:pPr>
      <w:r w:rsidRPr="00B672C5">
        <w:t>The final EDCM import capacity charge for each EDCM Connectee in p/kVA/day would be calculated as follows:</w:t>
      </w:r>
    </w:p>
    <w:p w14:paraId="795B3FF8" w14:textId="77777777" w:rsidR="0041584B" w:rsidRPr="00B672C5" w:rsidRDefault="0041584B" w:rsidP="0041584B">
      <w:pPr>
        <w:ind w:left="720"/>
      </w:pPr>
      <w:r w:rsidRPr="00B672C5">
        <w:t>EDCM import capacity charge (p/kVA/day) = [LRIC p/kVA/day capacity charge] + [Transmission exit charge p/kVA/day] + [Network rates and direct costs charge in p/kVA/day] + [Indirect costs charge in p/kVA/day] + [Asset based residual revenue charges in p/kVA/day] + [Single fixed adder in p/kVA/day]</w:t>
      </w:r>
    </w:p>
    <w:p w14:paraId="3CB20FEC" w14:textId="77777777" w:rsidR="0041584B" w:rsidRPr="00B672C5" w:rsidRDefault="0041584B" w:rsidP="0041584B">
      <w:pPr>
        <w:pStyle w:val="Heading2"/>
      </w:pPr>
      <w:r w:rsidRPr="00B672C5">
        <w:t>The final EDCM super-red unit rate in p/kWh is the LRIC super-red unit rate as calculated as described earlier in this document.</w:t>
      </w:r>
    </w:p>
    <w:p w14:paraId="1619954C" w14:textId="77777777" w:rsidR="0041584B" w:rsidRPr="00B672C5" w:rsidRDefault="0041584B" w:rsidP="0041584B">
      <w:pPr>
        <w:pStyle w:val="Heading2"/>
      </w:pPr>
      <w:r w:rsidRPr="00B672C5">
        <w:t xml:space="preserve">If the EDCM import capacity charge (p/kVA/day) calculated above is negative and the </w:t>
      </w:r>
      <w:proofErr w:type="spellStart"/>
      <w:r w:rsidRPr="00B672C5">
        <w:t>Connectee’s</w:t>
      </w:r>
      <w:proofErr w:type="spellEnd"/>
      <w:r w:rsidRPr="00B672C5">
        <w:t xml:space="preserve"> average kW/kVA </w:t>
      </w:r>
      <w:del w:id="244" w:author="Hollie Nicholls" w:date="2020-01-14T18:34:00Z">
        <w:r w:rsidRPr="00B672C5" w:rsidDel="00C5015B">
          <w:delText xml:space="preserve">(adjusted for part year) </w:delText>
        </w:r>
      </w:del>
      <w:r w:rsidRPr="00B672C5">
        <w:t>is not equal to zero, the final EDCM super-red unit rate is adjusted as follows:</w:t>
      </w:r>
    </w:p>
    <w:p w14:paraId="6E813FCD" w14:textId="77777777" w:rsidR="0041584B" w:rsidRPr="00B672C5" w:rsidRDefault="0041584B" w:rsidP="0041584B">
      <w:pPr>
        <w:ind w:left="720"/>
      </w:pPr>
      <w:r w:rsidRPr="00B672C5">
        <w:t xml:space="preserve">Adjusted LRIC super-red unit rate in p/kWh = [LRIC super-red rate in p/kWh] + ([EDCM import capacity charge (p/kVA/day)] * ([Days in the Charging Year] – [Days for which not a customer]) / [Average kW/kVA] / ([hours in the super-red time band] - [Hours in super-red for which not a customer])) </w:t>
      </w:r>
    </w:p>
    <w:p w14:paraId="6F798857" w14:textId="77777777" w:rsidR="0041584B" w:rsidRPr="00B672C5" w:rsidRDefault="0041584B" w:rsidP="0041584B">
      <w:pPr>
        <w:pStyle w:val="Heading2"/>
      </w:pPr>
      <w:r w:rsidRPr="00B672C5">
        <w:t>Finally, any remaining negative import</w:t>
      </w:r>
      <w:r>
        <w:t xml:space="preserve"> </w:t>
      </w:r>
      <w:r w:rsidRPr="00B672C5">
        <w:t>super-red unit rates or import capacity charges are set to zero.</w:t>
      </w:r>
    </w:p>
    <w:p w14:paraId="24706EF6" w14:textId="77777777" w:rsidR="0041584B" w:rsidRPr="00B672C5" w:rsidRDefault="0041584B" w:rsidP="0041584B">
      <w:pPr>
        <w:pStyle w:val="Heading2"/>
        <w:keepNext/>
      </w:pPr>
      <w:r w:rsidRPr="00B672C5">
        <w:t>Final EDCM export charges will have:</w:t>
      </w:r>
    </w:p>
    <w:p w14:paraId="085DA8DD" w14:textId="77777777" w:rsidR="0041584B" w:rsidRPr="00C96E40" w:rsidRDefault="0041584B" w:rsidP="0041584B">
      <w:pPr>
        <w:pStyle w:val="ListParagraph"/>
        <w:numPr>
          <w:ilvl w:val="0"/>
          <w:numId w:val="73"/>
        </w:numPr>
        <w:ind w:left="1094" w:hanging="357"/>
        <w:contextualSpacing w:val="0"/>
      </w:pPr>
      <w:r w:rsidRPr="00C96E40">
        <w:t>An export fixed charge on sole use assets (in p/day)</w:t>
      </w:r>
    </w:p>
    <w:p w14:paraId="0C23E36E" w14:textId="77777777" w:rsidR="0041584B" w:rsidRPr="00C96E40" w:rsidRDefault="0041584B" w:rsidP="0041584B">
      <w:pPr>
        <w:pStyle w:val="ListParagraph"/>
        <w:numPr>
          <w:ilvl w:val="0"/>
          <w:numId w:val="73"/>
        </w:numPr>
        <w:ind w:left="1094" w:hanging="357"/>
        <w:contextualSpacing w:val="0"/>
      </w:pPr>
      <w:r w:rsidRPr="00C96E40">
        <w:t>An export capacity charge (in p/kVA/day)</w:t>
      </w:r>
      <w:del w:id="245" w:author="Hollie Nicholls" w:date="2020-01-14T18:34:00Z">
        <w:r w:rsidRPr="00C96E40" w:rsidDel="00C5015B">
          <w:delText>, which might include transmission exit credits to qualifying generators.</w:delText>
        </w:r>
      </w:del>
    </w:p>
    <w:p w14:paraId="57D8AED4" w14:textId="77777777" w:rsidR="0041584B" w:rsidRPr="00C96E40" w:rsidRDefault="0041584B" w:rsidP="0041584B">
      <w:pPr>
        <w:pStyle w:val="ListParagraph"/>
        <w:numPr>
          <w:ilvl w:val="0"/>
          <w:numId w:val="73"/>
        </w:numPr>
        <w:ind w:left="1094" w:hanging="357"/>
        <w:contextualSpacing w:val="0"/>
      </w:pPr>
      <w:r w:rsidRPr="00C96E40">
        <w:lastRenderedPageBreak/>
        <w:t>An export super-red unit rate (in p/kWh)</w:t>
      </w:r>
    </w:p>
    <w:p w14:paraId="2EB7D9E0" w14:textId="77777777" w:rsidR="0041584B" w:rsidRPr="00C96E40" w:rsidRDefault="0041584B" w:rsidP="0041584B">
      <w:pPr>
        <w:pStyle w:val="ListParagraph"/>
        <w:numPr>
          <w:ilvl w:val="0"/>
          <w:numId w:val="73"/>
        </w:numPr>
        <w:ind w:left="1094" w:hanging="357"/>
        <w:contextualSpacing w:val="0"/>
      </w:pPr>
      <w:r w:rsidRPr="00C96E40">
        <w:t>An exceeded export capacity charge (in p/kVA/day)</w:t>
      </w:r>
    </w:p>
    <w:p w14:paraId="5E2E3E90" w14:textId="77777777" w:rsidR="0041584B" w:rsidRPr="00B672C5" w:rsidRDefault="0041584B" w:rsidP="0041584B">
      <w:pPr>
        <w:pStyle w:val="Heading2"/>
      </w:pPr>
      <w:r w:rsidRPr="00B672C5">
        <w:t xml:space="preserve">The export capacity charge (in p/kVA/day) is applied to the Chargeable Export Capacity of EDCM Connectees.  </w:t>
      </w:r>
    </w:p>
    <w:p w14:paraId="2F231280" w14:textId="77777777" w:rsidR="0041584B" w:rsidRPr="00B672C5" w:rsidRDefault="0041584B" w:rsidP="0041584B">
      <w:pPr>
        <w:pStyle w:val="Heading2"/>
      </w:pPr>
      <w:r w:rsidRPr="00B672C5">
        <w:t>The export super-red unit rate (in p/kWh) is applied to active power units exported during the DNO Party’s super-red time band.</w:t>
      </w:r>
    </w:p>
    <w:p w14:paraId="6F897976" w14:textId="77777777" w:rsidR="0041584B" w:rsidRPr="00B672C5" w:rsidRDefault="0041584B" w:rsidP="0041584B">
      <w:pPr>
        <w:pStyle w:val="Heading1"/>
      </w:pPr>
      <w:bookmarkStart w:id="246" w:name="_Toc320876082"/>
      <w:bookmarkStart w:id="247" w:name="_Toc320876705"/>
      <w:bookmarkStart w:id="248" w:name="_Toc325449919"/>
      <w:bookmarkStart w:id="249" w:name="_Toc339284563"/>
      <w:bookmarkStart w:id="250" w:name="_Toc360027738"/>
      <w:bookmarkStart w:id="251" w:name="_Toc360028092"/>
      <w:bookmarkStart w:id="252" w:name="_Toc391559951"/>
      <w:bookmarkStart w:id="253" w:name="_Toc510303071"/>
      <w:bookmarkStart w:id="254" w:name="_Toc513018485"/>
      <w:bookmarkStart w:id="255" w:name="_Toc518333670"/>
      <w:bookmarkStart w:id="256" w:name="_Toc527908526"/>
      <w:r w:rsidRPr="00B672C5">
        <w:t>Exceeded capacity charges</w:t>
      </w:r>
      <w:bookmarkEnd w:id="246"/>
      <w:bookmarkEnd w:id="247"/>
      <w:bookmarkEnd w:id="248"/>
      <w:bookmarkEnd w:id="249"/>
      <w:bookmarkEnd w:id="250"/>
      <w:bookmarkEnd w:id="251"/>
      <w:bookmarkEnd w:id="252"/>
      <w:bookmarkEnd w:id="253"/>
      <w:bookmarkEnd w:id="254"/>
      <w:bookmarkEnd w:id="255"/>
      <w:bookmarkEnd w:id="256"/>
    </w:p>
    <w:p w14:paraId="08059038" w14:textId="77777777" w:rsidR="0041584B" w:rsidRPr="00B672C5" w:rsidRDefault="0041584B" w:rsidP="0041584B">
      <w:pPr>
        <w:pStyle w:val="Heading2"/>
      </w:pPr>
      <w:r w:rsidRPr="00B672C5">
        <w:t>Where a Connectee uses additional capacity over and above the Maximum Import Capacity or Maximum Export Capacity without authorisation, the excess is classed as exceeded capacity.</w:t>
      </w:r>
    </w:p>
    <w:p w14:paraId="587A5AA2" w14:textId="77777777" w:rsidR="0041584B" w:rsidRPr="00B672C5" w:rsidRDefault="0041584B" w:rsidP="0041584B">
      <w:pPr>
        <w:pStyle w:val="Heading2"/>
      </w:pPr>
      <w:r w:rsidRPr="00B672C5">
        <w:t>For the purposes of determining capacity used, the following formula is used for each half hour:</w:t>
      </w:r>
    </w:p>
    <w:p w14:paraId="68F3CBB8" w14:textId="77777777" w:rsidR="0041584B" w:rsidRPr="00B672C5" w:rsidRDefault="0041584B" w:rsidP="0041584B">
      <w:pPr>
        <w:pStyle w:val="DCNormParaL3"/>
      </w:pPr>
      <w:r w:rsidRPr="00B672C5">
        <w:t>Import capacity used = 2 * (</w:t>
      </w:r>
      <w:proofErr w:type="gramStart"/>
      <w:r w:rsidRPr="00B672C5">
        <w:t>SQRT(</w:t>
      </w:r>
      <w:proofErr w:type="gramEnd"/>
      <w:r w:rsidRPr="00B672C5">
        <w:t>AI^2 + MAX(RI,RE)^2))</w:t>
      </w:r>
    </w:p>
    <w:p w14:paraId="6BDB4DFF" w14:textId="77777777" w:rsidR="0041584B" w:rsidRPr="00B672C5" w:rsidRDefault="0041584B" w:rsidP="0041584B">
      <w:pPr>
        <w:pStyle w:val="DCNormParaL3"/>
      </w:pPr>
      <w:r w:rsidRPr="00B672C5">
        <w:t>Where:</w:t>
      </w:r>
    </w:p>
    <w:p w14:paraId="574C2F04" w14:textId="77777777" w:rsidR="0041584B" w:rsidRPr="00B672C5" w:rsidRDefault="0041584B" w:rsidP="0041584B">
      <w:pPr>
        <w:pStyle w:val="DCNormParaL3"/>
      </w:pPr>
      <w:r w:rsidRPr="00B672C5">
        <w:t>AI = Import consumption in kWh</w:t>
      </w:r>
    </w:p>
    <w:p w14:paraId="20B47E34" w14:textId="77777777" w:rsidR="0041584B" w:rsidRPr="00B672C5" w:rsidRDefault="0041584B" w:rsidP="0041584B">
      <w:pPr>
        <w:pStyle w:val="DCNormParaL3"/>
      </w:pPr>
      <w:r w:rsidRPr="00B672C5">
        <w:t xml:space="preserve">RI = Reactive import in </w:t>
      </w:r>
      <w:proofErr w:type="spellStart"/>
      <w:r w:rsidRPr="00B672C5">
        <w:t>kVArh</w:t>
      </w:r>
      <w:proofErr w:type="spellEnd"/>
    </w:p>
    <w:p w14:paraId="475A4AE3" w14:textId="77777777" w:rsidR="0041584B" w:rsidRPr="00B672C5" w:rsidRDefault="0041584B" w:rsidP="0041584B">
      <w:pPr>
        <w:pStyle w:val="DCNormParaL3"/>
      </w:pPr>
      <w:r w:rsidRPr="00B672C5">
        <w:t xml:space="preserve">RE = Reactive export in </w:t>
      </w:r>
      <w:proofErr w:type="spellStart"/>
      <w:r w:rsidRPr="00B672C5">
        <w:t>kVArh</w:t>
      </w:r>
      <w:proofErr w:type="spellEnd"/>
    </w:p>
    <w:p w14:paraId="6DF7B091" w14:textId="77777777" w:rsidR="0041584B" w:rsidRPr="00B672C5" w:rsidRDefault="0041584B" w:rsidP="0041584B">
      <w:pPr>
        <w:pStyle w:val="DCNormParaL3"/>
      </w:pPr>
      <w:r w:rsidRPr="00B672C5">
        <w:t>Export capacity used = 2 * (</w:t>
      </w:r>
      <w:proofErr w:type="gramStart"/>
      <w:r w:rsidRPr="00B672C5">
        <w:t>SQRT(</w:t>
      </w:r>
      <w:proofErr w:type="gramEnd"/>
      <w:r w:rsidRPr="00B672C5">
        <w:t>AE^2 + MAX(RI,RE)^2))</w:t>
      </w:r>
    </w:p>
    <w:p w14:paraId="523D9D2A" w14:textId="77777777" w:rsidR="0041584B" w:rsidRPr="00B672C5" w:rsidRDefault="0041584B" w:rsidP="0041584B">
      <w:pPr>
        <w:pStyle w:val="DCNormParaL3"/>
      </w:pPr>
      <w:r w:rsidRPr="00B672C5">
        <w:t>Where:</w:t>
      </w:r>
    </w:p>
    <w:p w14:paraId="20C34314" w14:textId="77777777" w:rsidR="0041584B" w:rsidRPr="00B672C5" w:rsidRDefault="0041584B" w:rsidP="0041584B">
      <w:pPr>
        <w:pStyle w:val="DCNormParaL3"/>
      </w:pPr>
      <w:r w:rsidRPr="00B672C5">
        <w:t>AE = Import consumption in kWh</w:t>
      </w:r>
    </w:p>
    <w:p w14:paraId="7DF1228A" w14:textId="77777777" w:rsidR="0041584B" w:rsidRPr="00B672C5" w:rsidRDefault="0041584B" w:rsidP="0041584B">
      <w:pPr>
        <w:pStyle w:val="DCNormParaL3"/>
      </w:pPr>
      <w:r w:rsidRPr="00B672C5">
        <w:t xml:space="preserve">RI = Reactive import in </w:t>
      </w:r>
      <w:proofErr w:type="spellStart"/>
      <w:r w:rsidRPr="00B672C5">
        <w:t>kVArh</w:t>
      </w:r>
      <w:proofErr w:type="spellEnd"/>
    </w:p>
    <w:p w14:paraId="26C704E4" w14:textId="77777777" w:rsidR="0041584B" w:rsidRPr="00B672C5" w:rsidRDefault="0041584B" w:rsidP="0041584B">
      <w:pPr>
        <w:pStyle w:val="DCNormParaL3"/>
      </w:pPr>
      <w:r w:rsidRPr="00B672C5">
        <w:t xml:space="preserve">RE = Reactive export in </w:t>
      </w:r>
      <w:proofErr w:type="spellStart"/>
      <w:r w:rsidRPr="00B672C5">
        <w:t>kVArh</w:t>
      </w:r>
      <w:proofErr w:type="spellEnd"/>
    </w:p>
    <w:p w14:paraId="3C1362F0" w14:textId="77777777" w:rsidR="0041584B" w:rsidRPr="00B672C5" w:rsidRDefault="0041584B" w:rsidP="0041584B">
      <w:pPr>
        <w:pStyle w:val="Heading2"/>
      </w:pPr>
      <w:r w:rsidRPr="00B672C5">
        <w:lastRenderedPageBreak/>
        <w:t xml:space="preserve">For the purposes of calculating exceeded capacity for import charges, any reactive flows during half hours when there is no active power import would not be </w:t>
      </w:r>
      <w:proofErr w:type="gramStart"/>
      <w:r w:rsidRPr="00B672C5">
        <w:t>taken into account</w:t>
      </w:r>
      <w:proofErr w:type="gramEnd"/>
      <w:r w:rsidRPr="00B672C5">
        <w:t xml:space="preserve">.  </w:t>
      </w:r>
    </w:p>
    <w:p w14:paraId="4EC76F4C" w14:textId="77777777" w:rsidR="0041584B" w:rsidRPr="00B672C5" w:rsidRDefault="0041584B" w:rsidP="0041584B">
      <w:pPr>
        <w:pStyle w:val="Heading2"/>
      </w:pPr>
      <w:r w:rsidRPr="00B672C5">
        <w:t xml:space="preserve">For the purposes of calculating exceeded capacity for export charges, any reactive flows during half hours when there is no active power export will not be </w:t>
      </w:r>
      <w:proofErr w:type="gramStart"/>
      <w:r w:rsidRPr="00B672C5">
        <w:t>taken into account</w:t>
      </w:r>
      <w:proofErr w:type="gramEnd"/>
      <w:r w:rsidRPr="00B672C5">
        <w:t>.</w:t>
      </w:r>
    </w:p>
    <w:p w14:paraId="540595D8" w14:textId="77777777" w:rsidR="0041584B" w:rsidRPr="00B672C5" w:rsidRDefault="0041584B" w:rsidP="0041584B">
      <w:pPr>
        <w:pStyle w:val="Heading2"/>
      </w:pPr>
      <w:r w:rsidRPr="00B672C5">
        <w:t xml:space="preserve">Any reactive flows associated with a site which operates subject to grid code requirements for generation or sites providing voltage control at the request of the DNO Party would not be </w:t>
      </w:r>
      <w:proofErr w:type="gramStart"/>
      <w:r w:rsidRPr="00B672C5">
        <w:t>taken into account</w:t>
      </w:r>
      <w:proofErr w:type="gramEnd"/>
      <w:r w:rsidRPr="00B672C5">
        <w:t xml:space="preserve"> when calculating import or export capacity used.  </w:t>
      </w:r>
    </w:p>
    <w:p w14:paraId="75525423" w14:textId="77777777" w:rsidR="00C5015B" w:rsidRDefault="00C5015B" w:rsidP="0041584B">
      <w:pPr>
        <w:pStyle w:val="Heading2"/>
        <w:rPr>
          <w:ins w:id="257" w:author="Hollie Nicholls" w:date="2020-01-14T18:34:00Z"/>
        </w:rPr>
      </w:pPr>
      <w:ins w:id="258" w:author="Hollie Nicholls" w:date="2020-01-14T18:34:00Z">
        <w:r>
          <w:t xml:space="preserve">(i) </w:t>
        </w:r>
      </w:ins>
      <w:r w:rsidR="0041584B" w:rsidRPr="00B672C5">
        <w:t xml:space="preserve">For Connectees other than those that have an agreement with the DNO, the terms of which require them, for the purposes of P2/6 compliance, to export power during </w:t>
      </w:r>
      <w:proofErr w:type="spellStart"/>
      <w:r w:rsidR="0041584B" w:rsidRPr="00B672C5">
        <w:t>supergrid</w:t>
      </w:r>
      <w:proofErr w:type="spellEnd"/>
      <w:r w:rsidR="0041584B" w:rsidRPr="00B672C5">
        <w:t xml:space="preserve"> transformer (SGT) outage conditions, the exceeded portion of the export capacity is charged at the same rate as the capacity that is within the Maximum Export Capacity. </w:t>
      </w:r>
    </w:p>
    <w:p w14:paraId="7272A64B" w14:textId="77777777" w:rsidR="00C5015B" w:rsidRDefault="00C5015B" w:rsidP="00C5015B">
      <w:pPr>
        <w:pStyle w:val="Heading2"/>
        <w:numPr>
          <w:ilvl w:val="0"/>
          <w:numId w:val="0"/>
        </w:numPr>
        <w:ind w:left="720"/>
        <w:rPr>
          <w:ins w:id="259" w:author="Hollie Nicholls" w:date="2020-01-14T18:36:00Z"/>
        </w:rPr>
        <w:pPrChange w:id="260" w:author="Hollie Nicholls" w:date="2020-01-14T18:36:00Z">
          <w:pPr>
            <w:pStyle w:val="Heading2"/>
            <w:numPr>
              <w:ilvl w:val="0"/>
              <w:numId w:val="0"/>
            </w:numPr>
            <w:ind w:left="0" w:firstLine="0"/>
          </w:pPr>
        </w:pPrChange>
      </w:pPr>
      <w:ins w:id="261" w:author="Hollie Nicholls" w:date="2020-01-14T18:35:00Z">
        <w:r>
          <w:t>(ii) For Connectees which have an agreement with the DNO, the terms of which require them, for the purposes of P2/6 compliance, to export power during (SGT) outage</w:t>
        </w:r>
      </w:ins>
      <w:ins w:id="262" w:author="Hollie Nicholls" w:date="2020-01-14T18:36:00Z">
        <w:r>
          <w:t xml:space="preserve"> conditions, the exceeded portion of the export capacity is charges at the capacity rate before the adjustment specified in clause 10.3 is applied. </w:t>
        </w:r>
      </w:ins>
    </w:p>
    <w:p w14:paraId="33627485" w14:textId="77777777" w:rsidR="0041584B" w:rsidRPr="00B672C5" w:rsidRDefault="0041584B" w:rsidP="00C5015B">
      <w:pPr>
        <w:pStyle w:val="Heading2"/>
        <w:numPr>
          <w:ilvl w:val="0"/>
          <w:numId w:val="0"/>
        </w:numPr>
        <w:pPrChange w:id="263" w:author="Hollie Nicholls" w:date="2020-01-14T18:35:00Z">
          <w:pPr>
            <w:pStyle w:val="Heading2"/>
          </w:pPr>
        </w:pPrChange>
      </w:pPr>
      <w:r w:rsidRPr="00B672C5">
        <w:t xml:space="preserve">This is charged for the duration of the month in which the breach occurs.  </w:t>
      </w:r>
    </w:p>
    <w:p w14:paraId="631CF419" w14:textId="77777777" w:rsidR="0041584B" w:rsidRPr="00B672C5" w:rsidRDefault="0041584B" w:rsidP="0041584B">
      <w:pPr>
        <w:pStyle w:val="Heading2"/>
      </w:pPr>
      <w:r w:rsidRPr="00B672C5">
        <w:t>For Connectees other than those with DSM agreements, the exceeded portion of the import capacity is charged at the same rate as the capacity that is within the Maximum Import Capacity. This is charged for the duration of the month in which the breach occurs.</w:t>
      </w:r>
    </w:p>
    <w:p w14:paraId="68CD3E7E" w14:textId="77777777" w:rsidR="0041584B" w:rsidRPr="00B672C5" w:rsidRDefault="0041584B" w:rsidP="0041584B">
      <w:pPr>
        <w:pStyle w:val="Heading2"/>
      </w:pPr>
      <w:r w:rsidRPr="00B672C5">
        <w:t xml:space="preserve">Sites subject to DSM arrangements would normally pay the DSM-adjusted capacity charge for capacity usage up to their Maximum Import Capacities.  </w:t>
      </w:r>
    </w:p>
    <w:p w14:paraId="24E358B1" w14:textId="77777777" w:rsidR="0041584B" w:rsidRPr="00075432" w:rsidRDefault="0041584B" w:rsidP="0041584B">
      <w:pPr>
        <w:pStyle w:val="Heading2"/>
      </w:pPr>
      <w:r w:rsidRPr="00075432">
        <w:t>If sites with DSM agreements were to exceed their maximum import capacities, the exceeded portion of the capacity will be charged at a different rate.  This will be charged for the duration of the month in which the breach occurs.   This charge for exceeded capacity (in p/kVA/day) would be determined as follows;</w:t>
      </w:r>
    </w:p>
    <w:p w14:paraId="40CE4DE0" w14:textId="77777777" w:rsidR="0041584B" w:rsidRPr="00075432" w:rsidRDefault="0041584B" w:rsidP="0041584B">
      <w:pPr>
        <w:ind w:left="720"/>
      </w:pPr>
      <w:r w:rsidRPr="00075432">
        <w:lastRenderedPageBreak/>
        <w:t>[Exceeded capacity charge in p/kVA/day] = [Import capacity charge p/kVA/day] + (([LRIC capacity charge p/kVA/day] + ([LRIC super-red rate p/kWh] * [Average kW/kVA adjusted for part year] * [</w:t>
      </w:r>
      <w:ins w:id="264" w:author="Hollie Nicholls" w:date="2020-01-14T18:37:00Z">
        <w:r w:rsidR="00C5015B">
          <w:t xml:space="preserve">number of </w:t>
        </w:r>
      </w:ins>
      <w:r w:rsidRPr="00075432">
        <w:t>super-red hours</w:t>
      </w:r>
      <w:ins w:id="265" w:author="Hollie Nicholls" w:date="2020-01-14T18:37:00Z">
        <w:r w:rsidR="00C5015B">
          <w:t xml:space="preserve"> connected</w:t>
        </w:r>
      </w:ins>
      <w:r w:rsidRPr="00075432">
        <w:t>] / ([days in Charging Year] – [Days for which not a customer]))) * (1 - ([chargeable capacity]/ [Maximum Import Capacity]))</w:t>
      </w:r>
    </w:p>
    <w:p w14:paraId="458E6078" w14:textId="77777777" w:rsidR="0041584B" w:rsidRPr="00075432" w:rsidRDefault="0041584B" w:rsidP="0041584B">
      <w:pPr>
        <w:ind w:left="720"/>
      </w:pPr>
      <w:r w:rsidRPr="00075432">
        <w:t xml:space="preserve">Where: </w:t>
      </w:r>
    </w:p>
    <w:p w14:paraId="0217AA1F" w14:textId="77777777" w:rsidR="0041584B" w:rsidRPr="00075432" w:rsidRDefault="0041584B" w:rsidP="0041584B">
      <w:pPr>
        <w:ind w:left="720"/>
      </w:pPr>
      <w:r w:rsidRPr="00075432">
        <w:t>The LRIC super-red unit rate and LRIC capacity charges in the equation above are the charges before any adjustments for DSM have been made.</w:t>
      </w:r>
    </w:p>
    <w:p w14:paraId="60E62886" w14:textId="77777777" w:rsidR="0041584B" w:rsidRDefault="0041584B" w:rsidP="0041584B">
      <w:pPr>
        <w:spacing w:after="200" w:line="276" w:lineRule="auto"/>
      </w:pPr>
      <w:r>
        <w:br w:type="page"/>
      </w:r>
    </w:p>
    <w:p w14:paraId="78AD7E89" w14:textId="77777777" w:rsidR="0041584B" w:rsidRPr="00075432" w:rsidRDefault="0041584B" w:rsidP="0041584B">
      <w:pPr>
        <w:pStyle w:val="Heading1"/>
      </w:pPr>
      <w:bookmarkStart w:id="266" w:name="_Toc320876083"/>
      <w:bookmarkStart w:id="267" w:name="_Toc320876706"/>
      <w:bookmarkStart w:id="268" w:name="_Toc325449920"/>
      <w:bookmarkStart w:id="269" w:name="_Toc339284564"/>
      <w:bookmarkStart w:id="270" w:name="_Toc360027739"/>
      <w:bookmarkStart w:id="271" w:name="_Toc360028093"/>
      <w:bookmarkStart w:id="272" w:name="_Toc391559952"/>
      <w:bookmarkStart w:id="273" w:name="_Toc510303072"/>
      <w:bookmarkStart w:id="274" w:name="_Toc513018486"/>
      <w:bookmarkStart w:id="275" w:name="_Toc518333671"/>
      <w:bookmarkStart w:id="276" w:name="_Toc527908527"/>
      <w:r w:rsidRPr="00075432">
        <w:lastRenderedPageBreak/>
        <w:t>Application of EDCM import charge components</w:t>
      </w:r>
      <w:bookmarkEnd w:id="266"/>
      <w:bookmarkEnd w:id="267"/>
      <w:bookmarkEnd w:id="268"/>
      <w:bookmarkEnd w:id="269"/>
      <w:bookmarkEnd w:id="270"/>
      <w:bookmarkEnd w:id="271"/>
      <w:bookmarkEnd w:id="272"/>
      <w:bookmarkEnd w:id="273"/>
      <w:bookmarkEnd w:id="274"/>
      <w:bookmarkEnd w:id="275"/>
      <w:bookmarkEnd w:id="276"/>
    </w:p>
    <w:p w14:paraId="32DC4728" w14:textId="77777777" w:rsidR="0041584B" w:rsidRPr="001F2F18" w:rsidRDefault="0041584B" w:rsidP="0041584B">
      <w:pPr>
        <w:pStyle w:val="Heading2"/>
        <w:rPr>
          <w:b/>
        </w:rPr>
      </w:pPr>
      <w:r w:rsidRPr="00A80F7D">
        <w:t xml:space="preserve">Table </w:t>
      </w:r>
      <w:r>
        <w:t>21.1</w:t>
      </w:r>
      <w:r w:rsidRPr="00A80F7D">
        <w:t xml:space="preserve"> summarises the method of application of import charge components.</w:t>
      </w:r>
    </w:p>
    <w:p w14:paraId="47A286E6" w14:textId="77777777" w:rsidR="0041584B" w:rsidRPr="00A71592" w:rsidRDefault="0041584B" w:rsidP="0041584B">
      <w:pPr>
        <w:pStyle w:val="Caption"/>
      </w:pPr>
      <w:r w:rsidRPr="00A71592">
        <w:t xml:space="preserve">Table </w:t>
      </w:r>
      <w:r>
        <w:t>21.1</w:t>
      </w:r>
      <w:r w:rsidRPr="00A71592">
        <w:t xml:space="preserve"> Application of EDCM import charge components</w:t>
      </w:r>
    </w:p>
    <w:tbl>
      <w:tblPr>
        <w:tblStyle w:val="GridTable4-Accent3"/>
        <w:tblW w:w="0" w:type="auto"/>
        <w:tblLook w:val="0620" w:firstRow="1" w:lastRow="0" w:firstColumn="0" w:lastColumn="0" w:noHBand="1" w:noVBand="1"/>
      </w:tblPr>
      <w:tblGrid>
        <w:gridCol w:w="2790"/>
        <w:gridCol w:w="646"/>
        <w:gridCol w:w="755"/>
        <w:gridCol w:w="646"/>
        <w:gridCol w:w="4182"/>
      </w:tblGrid>
      <w:tr w:rsidR="0041584B" w:rsidRPr="00A80F7D" w14:paraId="3877380A" w14:textId="77777777" w:rsidTr="0041584B">
        <w:trPr>
          <w:cnfStyle w:val="100000000000" w:firstRow="1" w:lastRow="0" w:firstColumn="0" w:lastColumn="0" w:oddVBand="0" w:evenVBand="0" w:oddHBand="0" w:evenHBand="0" w:firstRowFirstColumn="0" w:firstRowLastColumn="0" w:lastRowFirstColumn="0" w:lastRowLastColumn="0"/>
        </w:trPr>
        <w:tc>
          <w:tcPr>
            <w:tcW w:w="3479" w:type="dxa"/>
            <w:gridSpan w:val="2"/>
            <w:vAlign w:val="center"/>
          </w:tcPr>
          <w:p w14:paraId="411DF654" w14:textId="77777777" w:rsidR="0041584B" w:rsidRPr="00A80F7D" w:rsidRDefault="0041584B" w:rsidP="0041584B">
            <w:pPr>
              <w:pStyle w:val="DCUSATabletextnumbers"/>
              <w:rPr>
                <w:b/>
              </w:rPr>
            </w:pPr>
            <w:r w:rsidRPr="00A80F7D">
              <w:rPr>
                <w:b/>
              </w:rPr>
              <w:t>Tariff component</w:t>
            </w:r>
          </w:p>
        </w:tc>
        <w:tc>
          <w:tcPr>
            <w:tcW w:w="1283" w:type="dxa"/>
            <w:gridSpan w:val="2"/>
            <w:vAlign w:val="center"/>
          </w:tcPr>
          <w:p w14:paraId="357FC703" w14:textId="77777777" w:rsidR="0041584B" w:rsidRPr="00A80F7D" w:rsidRDefault="0041584B" w:rsidP="0041584B">
            <w:pPr>
              <w:pStyle w:val="DCUSATabletextnumbers"/>
              <w:rPr>
                <w:b/>
              </w:rPr>
            </w:pPr>
            <w:r w:rsidRPr="00A80F7D">
              <w:rPr>
                <w:b/>
              </w:rPr>
              <w:t>Unit</w:t>
            </w:r>
          </w:p>
        </w:tc>
        <w:tc>
          <w:tcPr>
            <w:tcW w:w="4257" w:type="dxa"/>
            <w:vAlign w:val="center"/>
          </w:tcPr>
          <w:p w14:paraId="02029769" w14:textId="77777777" w:rsidR="0041584B" w:rsidRPr="00A80F7D" w:rsidRDefault="0041584B" w:rsidP="0041584B">
            <w:pPr>
              <w:pStyle w:val="DCUSATabletextnumbers"/>
              <w:rPr>
                <w:b/>
              </w:rPr>
            </w:pPr>
            <w:r w:rsidRPr="00A80F7D">
              <w:rPr>
                <w:b/>
              </w:rPr>
              <w:t>Application</w:t>
            </w:r>
          </w:p>
        </w:tc>
      </w:tr>
      <w:tr w:rsidR="0041584B" w:rsidRPr="00A80F7D" w14:paraId="16BE8C6F" w14:textId="77777777" w:rsidTr="0041584B">
        <w:tc>
          <w:tcPr>
            <w:tcW w:w="2830" w:type="dxa"/>
          </w:tcPr>
          <w:p w14:paraId="50ADA782" w14:textId="77777777" w:rsidR="0041584B" w:rsidRPr="00A80F7D" w:rsidRDefault="0041584B" w:rsidP="0041584B">
            <w:pPr>
              <w:pStyle w:val="DCUSATableText"/>
            </w:pPr>
            <w:r w:rsidRPr="00A80F7D">
              <w:t>Import fixed charge</w:t>
            </w:r>
          </w:p>
        </w:tc>
        <w:tc>
          <w:tcPr>
            <w:tcW w:w="1276" w:type="dxa"/>
            <w:gridSpan w:val="2"/>
          </w:tcPr>
          <w:p w14:paraId="310008D5" w14:textId="77777777" w:rsidR="0041584B" w:rsidRPr="00A80F7D" w:rsidRDefault="0041584B" w:rsidP="0041584B">
            <w:pPr>
              <w:pStyle w:val="DCUSATableText"/>
            </w:pPr>
            <w:r w:rsidRPr="00A80F7D">
              <w:t>p/day</w:t>
            </w:r>
          </w:p>
        </w:tc>
        <w:tc>
          <w:tcPr>
            <w:tcW w:w="4913" w:type="dxa"/>
            <w:gridSpan w:val="2"/>
          </w:tcPr>
          <w:p w14:paraId="695FAEB7" w14:textId="77777777" w:rsidR="0041584B" w:rsidRPr="00A80F7D" w:rsidRDefault="0041584B" w:rsidP="0041584B">
            <w:pPr>
              <w:pStyle w:val="DCUSATableText"/>
            </w:pPr>
            <w:r w:rsidRPr="00A80F7D">
              <w:t>Applied as a fixed charge.</w:t>
            </w:r>
          </w:p>
        </w:tc>
      </w:tr>
      <w:tr w:rsidR="0041584B" w:rsidRPr="00A80F7D" w14:paraId="4A31ABFA" w14:textId="77777777" w:rsidTr="0041584B">
        <w:tc>
          <w:tcPr>
            <w:tcW w:w="2830" w:type="dxa"/>
          </w:tcPr>
          <w:p w14:paraId="271E2BA8" w14:textId="77777777" w:rsidR="0041584B" w:rsidRPr="00A80F7D" w:rsidRDefault="0041584B" w:rsidP="0041584B">
            <w:pPr>
              <w:pStyle w:val="DCUSATableText"/>
            </w:pPr>
            <w:r w:rsidRPr="00A80F7D">
              <w:t>Import capacity charge</w:t>
            </w:r>
          </w:p>
        </w:tc>
        <w:tc>
          <w:tcPr>
            <w:tcW w:w="1276" w:type="dxa"/>
            <w:gridSpan w:val="2"/>
          </w:tcPr>
          <w:p w14:paraId="4B7DA1C0" w14:textId="77777777" w:rsidR="0041584B" w:rsidRPr="00A80F7D" w:rsidRDefault="0041584B" w:rsidP="0041584B">
            <w:pPr>
              <w:pStyle w:val="DCUSATableText"/>
            </w:pPr>
            <w:r w:rsidRPr="00A80F7D">
              <w:t>p/kVA/day</w:t>
            </w:r>
          </w:p>
        </w:tc>
        <w:tc>
          <w:tcPr>
            <w:tcW w:w="4913" w:type="dxa"/>
            <w:gridSpan w:val="2"/>
          </w:tcPr>
          <w:p w14:paraId="2DB314CC" w14:textId="77777777" w:rsidR="0041584B" w:rsidRPr="00A80F7D" w:rsidRDefault="0041584B" w:rsidP="0041584B">
            <w:pPr>
              <w:pStyle w:val="DCUSATableText"/>
            </w:pPr>
            <w:r w:rsidRPr="00A80F7D">
              <w:t xml:space="preserve">Applied to the Maximum Import Capacity. </w:t>
            </w:r>
          </w:p>
        </w:tc>
      </w:tr>
      <w:tr w:rsidR="0041584B" w:rsidRPr="00A80F7D" w14:paraId="1143229B" w14:textId="77777777" w:rsidTr="0041584B">
        <w:tc>
          <w:tcPr>
            <w:tcW w:w="2830" w:type="dxa"/>
          </w:tcPr>
          <w:p w14:paraId="6E9F75CD" w14:textId="77777777" w:rsidR="0041584B" w:rsidRPr="00A80F7D" w:rsidRDefault="0041584B" w:rsidP="0041584B">
            <w:pPr>
              <w:pStyle w:val="DCUSATableText"/>
            </w:pPr>
            <w:r w:rsidRPr="00A80F7D">
              <w:t>Exceeded import capacity charge</w:t>
            </w:r>
          </w:p>
        </w:tc>
        <w:tc>
          <w:tcPr>
            <w:tcW w:w="1276" w:type="dxa"/>
            <w:gridSpan w:val="2"/>
          </w:tcPr>
          <w:p w14:paraId="76772D75" w14:textId="77777777" w:rsidR="0041584B" w:rsidRPr="00A80F7D" w:rsidRDefault="0041584B" w:rsidP="0041584B">
            <w:pPr>
              <w:pStyle w:val="DCUSATableText"/>
            </w:pPr>
            <w:r w:rsidRPr="00A80F7D">
              <w:t>p/kVA/day</w:t>
            </w:r>
          </w:p>
        </w:tc>
        <w:tc>
          <w:tcPr>
            <w:tcW w:w="4913" w:type="dxa"/>
            <w:gridSpan w:val="2"/>
          </w:tcPr>
          <w:p w14:paraId="5517E899" w14:textId="77777777" w:rsidR="0041584B" w:rsidRPr="00A80F7D" w:rsidRDefault="0041584B" w:rsidP="0041584B">
            <w:pPr>
              <w:pStyle w:val="DCUSATableText"/>
            </w:pPr>
            <w:r w:rsidRPr="00A80F7D">
              <w:t>Applied to exceeded capacity for the duration of the month in which the breach occurs (except for sites which operates subject to grid code requirements for generation)</w:t>
            </w:r>
          </w:p>
        </w:tc>
      </w:tr>
      <w:tr w:rsidR="0041584B" w:rsidRPr="00A80F7D" w14:paraId="179FB856" w14:textId="77777777" w:rsidTr="0041584B">
        <w:tc>
          <w:tcPr>
            <w:tcW w:w="2830" w:type="dxa"/>
          </w:tcPr>
          <w:p w14:paraId="579352CC" w14:textId="77777777" w:rsidR="0041584B" w:rsidRPr="00A80F7D" w:rsidRDefault="0041584B" w:rsidP="0041584B">
            <w:pPr>
              <w:pStyle w:val="DCUSATableText"/>
            </w:pPr>
            <w:r w:rsidRPr="00A80F7D">
              <w:t>Import super-red unit rate</w:t>
            </w:r>
          </w:p>
        </w:tc>
        <w:tc>
          <w:tcPr>
            <w:tcW w:w="1276" w:type="dxa"/>
            <w:gridSpan w:val="2"/>
          </w:tcPr>
          <w:p w14:paraId="49DC48AE" w14:textId="77777777" w:rsidR="0041584B" w:rsidRPr="00A80F7D" w:rsidRDefault="0041584B" w:rsidP="0041584B">
            <w:pPr>
              <w:pStyle w:val="DCUSATableText"/>
            </w:pPr>
            <w:r w:rsidRPr="00A80F7D">
              <w:t>p/kWh</w:t>
            </w:r>
          </w:p>
        </w:tc>
        <w:tc>
          <w:tcPr>
            <w:tcW w:w="4913" w:type="dxa"/>
            <w:gridSpan w:val="2"/>
          </w:tcPr>
          <w:p w14:paraId="22DD1C9F" w14:textId="77777777" w:rsidR="0041584B" w:rsidRPr="00A80F7D" w:rsidRDefault="0041584B" w:rsidP="0041584B">
            <w:pPr>
              <w:pStyle w:val="DCUSATableText"/>
            </w:pPr>
            <w:r w:rsidRPr="00A80F7D">
              <w:t>Applied to active power units consumed during the DNO Party’s super-red time band.</w:t>
            </w:r>
          </w:p>
        </w:tc>
      </w:tr>
    </w:tbl>
    <w:p w14:paraId="656F7409" w14:textId="77777777" w:rsidR="0041584B" w:rsidRDefault="0041584B" w:rsidP="0041584B">
      <w:pPr>
        <w:pStyle w:val="Heading2"/>
        <w:spacing w:before="240"/>
        <w:rPr>
          <w:rFonts w:eastAsia="Times New Roman"/>
        </w:rPr>
      </w:pPr>
      <w:r w:rsidRPr="00A80F7D">
        <w:rPr>
          <w:rFonts w:eastAsia="Times New Roman"/>
        </w:rPr>
        <w:t>Table</w:t>
      </w:r>
      <w:r>
        <w:rPr>
          <w:rFonts w:eastAsia="Times New Roman"/>
        </w:rPr>
        <w:t xml:space="preserve"> 21.2</w:t>
      </w:r>
      <w:r w:rsidRPr="00A80F7D">
        <w:rPr>
          <w:rFonts w:eastAsia="Times New Roman"/>
        </w:rPr>
        <w:t xml:space="preserve"> summarises the method of application of export charge components.</w:t>
      </w:r>
    </w:p>
    <w:p w14:paraId="7FC37154" w14:textId="77777777" w:rsidR="0041584B" w:rsidRPr="00A80F7D" w:rsidRDefault="0041584B" w:rsidP="0041584B">
      <w:pPr>
        <w:pStyle w:val="Caption"/>
      </w:pPr>
      <w:r w:rsidRPr="00A80F7D">
        <w:t>Table</w:t>
      </w:r>
      <w:r w:rsidRPr="00C70D7F">
        <w:t xml:space="preserve"> </w:t>
      </w:r>
      <w:r>
        <w:t>21.2</w:t>
      </w:r>
      <w:r w:rsidRPr="00A80F7D">
        <w:t xml:space="preserve"> Application of EDCM export charge components</w:t>
      </w:r>
    </w:p>
    <w:tbl>
      <w:tblPr>
        <w:tblStyle w:val="GridTable4-Accent3"/>
        <w:tblW w:w="0" w:type="auto"/>
        <w:jc w:val="center"/>
        <w:tblLook w:val="0620" w:firstRow="1" w:lastRow="0" w:firstColumn="0" w:lastColumn="0" w:noHBand="1" w:noVBand="1"/>
      </w:tblPr>
      <w:tblGrid>
        <w:gridCol w:w="2405"/>
        <w:gridCol w:w="1418"/>
        <w:gridCol w:w="5196"/>
      </w:tblGrid>
      <w:tr w:rsidR="0041584B" w:rsidRPr="00A80F7D" w14:paraId="284123B5" w14:textId="77777777" w:rsidTr="0041584B">
        <w:trPr>
          <w:cnfStyle w:val="100000000000" w:firstRow="1" w:lastRow="0" w:firstColumn="0" w:lastColumn="0" w:oddVBand="0" w:evenVBand="0" w:oddHBand="0" w:evenHBand="0" w:firstRowFirstColumn="0" w:firstRowLastColumn="0" w:lastRowFirstColumn="0" w:lastRowLastColumn="0"/>
          <w:jc w:val="center"/>
        </w:trPr>
        <w:tc>
          <w:tcPr>
            <w:tcW w:w="2405" w:type="dxa"/>
          </w:tcPr>
          <w:p w14:paraId="07DFB195" w14:textId="77777777" w:rsidR="0041584B" w:rsidRPr="00484D41" w:rsidRDefault="0041584B" w:rsidP="0041584B">
            <w:pPr>
              <w:pStyle w:val="DCUSATabletextnumbers"/>
              <w:rPr>
                <w:b/>
              </w:rPr>
            </w:pPr>
            <w:r w:rsidRPr="00484D41">
              <w:rPr>
                <w:b/>
              </w:rPr>
              <w:t>Tariff component</w:t>
            </w:r>
          </w:p>
        </w:tc>
        <w:tc>
          <w:tcPr>
            <w:tcW w:w="1418" w:type="dxa"/>
          </w:tcPr>
          <w:p w14:paraId="2BAC6398" w14:textId="77777777" w:rsidR="0041584B" w:rsidRPr="00484D41" w:rsidRDefault="0041584B" w:rsidP="0041584B">
            <w:pPr>
              <w:pStyle w:val="DCUSATabletextnumbers"/>
              <w:rPr>
                <w:b/>
              </w:rPr>
            </w:pPr>
            <w:r w:rsidRPr="00484D41">
              <w:rPr>
                <w:b/>
              </w:rPr>
              <w:t>Unit</w:t>
            </w:r>
          </w:p>
        </w:tc>
        <w:tc>
          <w:tcPr>
            <w:tcW w:w="5196" w:type="dxa"/>
          </w:tcPr>
          <w:p w14:paraId="0F75761E" w14:textId="77777777" w:rsidR="0041584B" w:rsidRPr="00484D41" w:rsidRDefault="0041584B" w:rsidP="0041584B">
            <w:pPr>
              <w:pStyle w:val="DCUSATabletextnumbers"/>
              <w:rPr>
                <w:b/>
              </w:rPr>
            </w:pPr>
            <w:r w:rsidRPr="00484D41">
              <w:rPr>
                <w:b/>
              </w:rPr>
              <w:t>Application</w:t>
            </w:r>
          </w:p>
        </w:tc>
      </w:tr>
      <w:tr w:rsidR="0041584B" w:rsidRPr="00A80F7D" w14:paraId="15225A47" w14:textId="77777777" w:rsidTr="0041584B">
        <w:trPr>
          <w:jc w:val="center"/>
        </w:trPr>
        <w:tc>
          <w:tcPr>
            <w:tcW w:w="2405" w:type="dxa"/>
          </w:tcPr>
          <w:p w14:paraId="6603A32E" w14:textId="77777777" w:rsidR="0041584B" w:rsidRPr="00A80F7D" w:rsidRDefault="0041584B" w:rsidP="0041584B">
            <w:pPr>
              <w:pStyle w:val="DCUSATableText"/>
            </w:pPr>
            <w:r w:rsidRPr="00A80F7D">
              <w:t>Export fixed charge</w:t>
            </w:r>
          </w:p>
        </w:tc>
        <w:tc>
          <w:tcPr>
            <w:tcW w:w="1418" w:type="dxa"/>
          </w:tcPr>
          <w:p w14:paraId="3498000A" w14:textId="77777777" w:rsidR="0041584B" w:rsidRPr="00A80F7D" w:rsidRDefault="0041584B" w:rsidP="0041584B">
            <w:pPr>
              <w:pStyle w:val="DCUSATableText"/>
            </w:pPr>
            <w:r w:rsidRPr="00A80F7D">
              <w:t>p/day</w:t>
            </w:r>
          </w:p>
        </w:tc>
        <w:tc>
          <w:tcPr>
            <w:tcW w:w="5196" w:type="dxa"/>
          </w:tcPr>
          <w:p w14:paraId="464661CA" w14:textId="77777777" w:rsidR="0041584B" w:rsidRPr="00A80F7D" w:rsidRDefault="0041584B" w:rsidP="0041584B">
            <w:pPr>
              <w:pStyle w:val="DCUSATableText"/>
            </w:pPr>
            <w:r w:rsidRPr="00A80F7D">
              <w:t>Applied as a fixed charge.</w:t>
            </w:r>
          </w:p>
        </w:tc>
      </w:tr>
      <w:tr w:rsidR="0041584B" w:rsidRPr="00A80F7D" w14:paraId="03C6A8A5" w14:textId="77777777" w:rsidTr="0041584B">
        <w:trPr>
          <w:jc w:val="center"/>
        </w:trPr>
        <w:tc>
          <w:tcPr>
            <w:tcW w:w="2405" w:type="dxa"/>
          </w:tcPr>
          <w:p w14:paraId="61EE0BBD" w14:textId="77777777" w:rsidR="0041584B" w:rsidRPr="00A80F7D" w:rsidRDefault="0041584B" w:rsidP="0041584B">
            <w:pPr>
              <w:pStyle w:val="DCUSATableText"/>
            </w:pPr>
            <w:r w:rsidRPr="00A80F7D">
              <w:t>Export capacity charge</w:t>
            </w:r>
          </w:p>
        </w:tc>
        <w:tc>
          <w:tcPr>
            <w:tcW w:w="1418" w:type="dxa"/>
          </w:tcPr>
          <w:p w14:paraId="04454979" w14:textId="77777777" w:rsidR="0041584B" w:rsidRPr="00A80F7D" w:rsidRDefault="0041584B" w:rsidP="0041584B">
            <w:pPr>
              <w:pStyle w:val="DCUSATableText"/>
            </w:pPr>
            <w:r w:rsidRPr="00A80F7D">
              <w:t>p/kVA/day</w:t>
            </w:r>
          </w:p>
        </w:tc>
        <w:tc>
          <w:tcPr>
            <w:tcW w:w="5196" w:type="dxa"/>
          </w:tcPr>
          <w:p w14:paraId="71206B70" w14:textId="77777777" w:rsidR="0041584B" w:rsidRPr="00A80F7D" w:rsidRDefault="0041584B" w:rsidP="0041584B">
            <w:pPr>
              <w:pStyle w:val="DCUSATableText"/>
            </w:pPr>
            <w:r w:rsidRPr="00A80F7D">
              <w:t xml:space="preserve">Applied to the Chargeable Export Capacity.   </w:t>
            </w:r>
          </w:p>
        </w:tc>
      </w:tr>
      <w:tr w:rsidR="0041584B" w:rsidRPr="00A80F7D" w14:paraId="3724D5CF" w14:textId="77777777" w:rsidTr="0041584B">
        <w:trPr>
          <w:jc w:val="center"/>
        </w:trPr>
        <w:tc>
          <w:tcPr>
            <w:tcW w:w="2405" w:type="dxa"/>
          </w:tcPr>
          <w:p w14:paraId="77406647" w14:textId="77777777" w:rsidR="0041584B" w:rsidRPr="00A80F7D" w:rsidRDefault="0041584B" w:rsidP="0041584B">
            <w:pPr>
              <w:pStyle w:val="DCUSATableText"/>
            </w:pPr>
            <w:r w:rsidRPr="00A80F7D">
              <w:t>Exceeded export capacity charge</w:t>
            </w:r>
          </w:p>
        </w:tc>
        <w:tc>
          <w:tcPr>
            <w:tcW w:w="1418" w:type="dxa"/>
          </w:tcPr>
          <w:p w14:paraId="7CA0B5AA" w14:textId="77777777" w:rsidR="0041584B" w:rsidRPr="00A80F7D" w:rsidRDefault="0041584B" w:rsidP="0041584B">
            <w:pPr>
              <w:pStyle w:val="DCUSATableText"/>
            </w:pPr>
            <w:r w:rsidRPr="00A80F7D">
              <w:t>p/kVA/day</w:t>
            </w:r>
          </w:p>
        </w:tc>
        <w:tc>
          <w:tcPr>
            <w:tcW w:w="5196" w:type="dxa"/>
          </w:tcPr>
          <w:p w14:paraId="3C662EF9" w14:textId="77777777" w:rsidR="0041584B" w:rsidRPr="00A80F7D" w:rsidRDefault="0041584B" w:rsidP="0041584B">
            <w:pPr>
              <w:pStyle w:val="DCUSATableText"/>
            </w:pPr>
            <w:r w:rsidRPr="00A80F7D">
              <w:t>Applied to exceeded capacity for the duration of the month in which the breach occurs (except for sites which operates subject to grid code requirements for generation)</w:t>
            </w:r>
          </w:p>
        </w:tc>
      </w:tr>
      <w:tr w:rsidR="0041584B" w:rsidRPr="00A80F7D" w14:paraId="2B383916" w14:textId="77777777" w:rsidTr="0041584B">
        <w:trPr>
          <w:jc w:val="center"/>
        </w:trPr>
        <w:tc>
          <w:tcPr>
            <w:tcW w:w="2405" w:type="dxa"/>
          </w:tcPr>
          <w:p w14:paraId="1B2B2764" w14:textId="77777777" w:rsidR="0041584B" w:rsidRPr="00A80F7D" w:rsidRDefault="0041584B" w:rsidP="0041584B">
            <w:pPr>
              <w:pStyle w:val="DCUSATableText"/>
            </w:pPr>
            <w:r w:rsidRPr="00A80F7D">
              <w:t>Export super-red unit rate</w:t>
            </w:r>
          </w:p>
        </w:tc>
        <w:tc>
          <w:tcPr>
            <w:tcW w:w="1418" w:type="dxa"/>
          </w:tcPr>
          <w:p w14:paraId="6192DBDA" w14:textId="77777777" w:rsidR="0041584B" w:rsidRPr="00A80F7D" w:rsidRDefault="0041584B" w:rsidP="0041584B">
            <w:pPr>
              <w:pStyle w:val="DCUSATableText"/>
            </w:pPr>
            <w:r w:rsidRPr="00A80F7D">
              <w:t>p/kWh</w:t>
            </w:r>
          </w:p>
        </w:tc>
        <w:tc>
          <w:tcPr>
            <w:tcW w:w="5196" w:type="dxa"/>
          </w:tcPr>
          <w:p w14:paraId="5A0920B2" w14:textId="77777777" w:rsidR="0041584B" w:rsidRPr="00A80F7D" w:rsidRDefault="0041584B" w:rsidP="0041584B">
            <w:pPr>
              <w:pStyle w:val="DCUSATableText"/>
            </w:pPr>
            <w:r w:rsidRPr="00A80F7D">
              <w:t>Applied to active power units exported during the DNO Party’s super-red time band.</w:t>
            </w:r>
          </w:p>
        </w:tc>
      </w:tr>
    </w:tbl>
    <w:p w14:paraId="26F2D477" w14:textId="77777777" w:rsidR="0041584B" w:rsidRPr="00A61217" w:rsidRDefault="0041584B" w:rsidP="0041584B">
      <w:bookmarkStart w:id="277" w:name="_Toc320876084"/>
      <w:bookmarkStart w:id="278" w:name="_Toc320876707"/>
      <w:bookmarkStart w:id="279" w:name="_Toc325449921"/>
      <w:bookmarkStart w:id="280" w:name="_Toc339284565"/>
      <w:bookmarkStart w:id="281" w:name="_Toc360027740"/>
      <w:bookmarkStart w:id="282" w:name="_Toc360028094"/>
      <w:bookmarkStart w:id="283" w:name="_Toc391559953"/>
      <w:bookmarkStart w:id="284" w:name="_Toc510303073"/>
      <w:bookmarkStart w:id="285" w:name="_Toc513018487"/>
      <w:bookmarkStart w:id="286" w:name="_Toc518333672"/>
      <w:bookmarkStart w:id="287" w:name="_Toc527908528"/>
    </w:p>
    <w:p w14:paraId="4CCD9A0B" w14:textId="77777777" w:rsidR="0041584B" w:rsidRPr="00A80F7D" w:rsidRDefault="0041584B" w:rsidP="0041584B">
      <w:pPr>
        <w:pStyle w:val="Heading1"/>
        <w:rPr>
          <w:rFonts w:eastAsia="Times New Roman"/>
        </w:rPr>
      </w:pPr>
      <w:r w:rsidRPr="00A80F7D">
        <w:rPr>
          <w:rFonts w:eastAsia="Times New Roman"/>
        </w:rPr>
        <w:t>Charges for new Connectees</w:t>
      </w:r>
      <w:bookmarkEnd w:id="277"/>
      <w:bookmarkEnd w:id="278"/>
      <w:bookmarkEnd w:id="279"/>
      <w:bookmarkEnd w:id="280"/>
      <w:bookmarkEnd w:id="281"/>
      <w:bookmarkEnd w:id="282"/>
      <w:bookmarkEnd w:id="283"/>
      <w:bookmarkEnd w:id="284"/>
      <w:bookmarkEnd w:id="285"/>
      <w:bookmarkEnd w:id="286"/>
      <w:bookmarkEnd w:id="287"/>
    </w:p>
    <w:p w14:paraId="069B7669" w14:textId="77777777" w:rsidR="0041584B" w:rsidRPr="00075432" w:rsidRDefault="0041584B" w:rsidP="0041584B">
      <w:pPr>
        <w:pStyle w:val="Heading2"/>
      </w:pPr>
      <w:r w:rsidRPr="00075432">
        <w:t>New Connectees could connect at any time between the publication of EDCM charges for the new Charging Year and the end of that Charging Year.</w:t>
      </w:r>
    </w:p>
    <w:p w14:paraId="151A4887" w14:textId="77777777" w:rsidR="0041584B" w:rsidRPr="00075432" w:rsidRDefault="0041584B" w:rsidP="0041584B">
      <w:pPr>
        <w:pStyle w:val="Heading2"/>
      </w:pPr>
      <w:r w:rsidRPr="00075432">
        <w:t>If the connection of such Connectees had been anticipated before the publication of charges, the DNO Party would have included forecast data relating to the new Connectee in both the power flow model and the EDCM tariff model.  The resulting tariff is applied to the new Connectee, on a pro-rata basis if the price is produced during the Charging Year.</w:t>
      </w:r>
    </w:p>
    <w:p w14:paraId="2C5D273B" w14:textId="77777777" w:rsidR="0041584B" w:rsidRPr="00075432" w:rsidRDefault="0041584B" w:rsidP="0041584B">
      <w:pPr>
        <w:pStyle w:val="Heading2"/>
      </w:pPr>
      <w:r w:rsidRPr="00075432">
        <w:lastRenderedPageBreak/>
        <w:t>If prices need to be produced for new connections that had not been anticipated at the time of calculating EDCM charges for that Charging Year, the DNO Party will:</w:t>
      </w:r>
    </w:p>
    <w:p w14:paraId="0CB6C127" w14:textId="77777777" w:rsidR="0041584B" w:rsidRPr="00075432" w:rsidRDefault="0041584B" w:rsidP="0041584B">
      <w:pPr>
        <w:pStyle w:val="DCNormParaL3"/>
        <w:numPr>
          <w:ilvl w:val="0"/>
          <w:numId w:val="50"/>
        </w:numPr>
        <w:jc w:val="both"/>
      </w:pPr>
      <w:r w:rsidRPr="00075432">
        <w:t>Seek indicative load profile information from the new Connectee, failing that, make a reasonable estimate;</w:t>
      </w:r>
    </w:p>
    <w:p w14:paraId="5A1CA9EB" w14:textId="77777777" w:rsidR="0041584B" w:rsidRPr="00075432" w:rsidRDefault="0041584B" w:rsidP="0041584B">
      <w:pPr>
        <w:pStyle w:val="DCNormParaL3"/>
        <w:numPr>
          <w:ilvl w:val="0"/>
          <w:numId w:val="50"/>
        </w:numPr>
        <w:jc w:val="both"/>
      </w:pPr>
      <w:r w:rsidRPr="00075432">
        <w:t>Run the power flow model after including the new Connectee to produce a full set of charges 1 and 2, including for the new Connectee;</w:t>
      </w:r>
    </w:p>
    <w:p w14:paraId="18AF716B" w14:textId="77777777" w:rsidR="0041584B" w:rsidRPr="00075432" w:rsidRDefault="0041584B" w:rsidP="0041584B">
      <w:pPr>
        <w:pStyle w:val="DCNormParaL3"/>
        <w:numPr>
          <w:ilvl w:val="0"/>
          <w:numId w:val="50"/>
        </w:numPr>
        <w:jc w:val="both"/>
      </w:pPr>
      <w:r w:rsidRPr="00075432">
        <w:t xml:space="preserve">Include the new </w:t>
      </w:r>
      <w:proofErr w:type="spellStart"/>
      <w:r w:rsidRPr="00075432">
        <w:t>Connectee’s</w:t>
      </w:r>
      <w:proofErr w:type="spellEnd"/>
      <w:r w:rsidRPr="00075432">
        <w:t xml:space="preserve"> details, including marginal charges from (a) in the EDCM tariff model, to produce a full set of new charges;</w:t>
      </w:r>
    </w:p>
    <w:p w14:paraId="1D9ECF91" w14:textId="77777777" w:rsidR="0041584B" w:rsidRPr="00075432" w:rsidRDefault="0041584B" w:rsidP="0041584B">
      <w:pPr>
        <w:pStyle w:val="DCNormParaL3"/>
        <w:numPr>
          <w:ilvl w:val="0"/>
          <w:numId w:val="50"/>
        </w:numPr>
        <w:jc w:val="both"/>
      </w:pPr>
      <w:r w:rsidRPr="00075432">
        <w:t>Use the tariff relating to the new Connectee to calculate charges; and</w:t>
      </w:r>
    </w:p>
    <w:p w14:paraId="708DC244" w14:textId="77777777" w:rsidR="0041584B" w:rsidRPr="00075432" w:rsidRDefault="0041584B" w:rsidP="0041584B">
      <w:pPr>
        <w:pStyle w:val="DCNormParaL3"/>
        <w:numPr>
          <w:ilvl w:val="0"/>
          <w:numId w:val="50"/>
        </w:numPr>
        <w:jc w:val="both"/>
      </w:pPr>
      <w:r w:rsidRPr="00075432">
        <w:t xml:space="preserve">Charges relating to the current year for existing Connectees would not change as a result. </w:t>
      </w:r>
    </w:p>
    <w:p w14:paraId="0962ADAE" w14:textId="77777777" w:rsidR="0041584B" w:rsidRPr="00075432" w:rsidRDefault="0041584B" w:rsidP="0041584B">
      <w:pPr>
        <w:pStyle w:val="Heading2"/>
      </w:pPr>
      <w:r w:rsidRPr="00075432">
        <w:t>If a Connectee were to change their maximum import or export capacity at any time between the publication of EDCM charges for the Charging Year and the end of the Charging Year, the published tariff rates would continue to apply for the duration of the Charging Year.</w:t>
      </w:r>
    </w:p>
    <w:p w14:paraId="29ADB32B" w14:textId="77777777" w:rsidR="0041584B" w:rsidRPr="00075432" w:rsidRDefault="0041584B" w:rsidP="0041584B">
      <w:pPr>
        <w:pStyle w:val="Heading2"/>
        <w:numPr>
          <w:ilvl w:val="0"/>
          <w:numId w:val="0"/>
        </w:numPr>
      </w:pPr>
    </w:p>
    <w:p w14:paraId="07BF52FD" w14:textId="77777777" w:rsidR="0041584B" w:rsidRDefault="0041584B" w:rsidP="0041584B">
      <w:pPr>
        <w:pStyle w:val="Heading1"/>
      </w:pPr>
      <w:bookmarkStart w:id="288" w:name="_Toc320876085"/>
      <w:bookmarkStart w:id="289" w:name="_Toc320876708"/>
      <w:bookmarkStart w:id="290" w:name="_Toc325449922"/>
      <w:bookmarkStart w:id="291" w:name="_Toc339284566"/>
      <w:bookmarkStart w:id="292" w:name="_Toc360027741"/>
      <w:bookmarkStart w:id="293" w:name="_Toc360028095"/>
      <w:bookmarkStart w:id="294" w:name="_Toc391559954"/>
      <w:bookmarkStart w:id="295" w:name="_Toc510303074"/>
      <w:bookmarkStart w:id="296" w:name="_Toc513018488"/>
      <w:bookmarkStart w:id="297" w:name="_Toc518333673"/>
      <w:bookmarkStart w:id="298" w:name="_Toc527908529"/>
      <w:r w:rsidRPr="00075432">
        <w:t>DNO to DNO charges</w:t>
      </w:r>
      <w:bookmarkEnd w:id="288"/>
      <w:bookmarkEnd w:id="289"/>
      <w:bookmarkEnd w:id="290"/>
      <w:bookmarkEnd w:id="291"/>
      <w:bookmarkEnd w:id="292"/>
      <w:bookmarkEnd w:id="293"/>
      <w:bookmarkEnd w:id="294"/>
      <w:bookmarkEnd w:id="295"/>
      <w:bookmarkEnd w:id="296"/>
      <w:bookmarkEnd w:id="297"/>
      <w:bookmarkEnd w:id="298"/>
    </w:p>
    <w:p w14:paraId="51DF69A2" w14:textId="77777777" w:rsidR="0041584B" w:rsidRPr="00075432" w:rsidRDefault="0041584B" w:rsidP="0041584B">
      <w:pPr>
        <w:pStyle w:val="Heading2"/>
      </w:pPr>
      <w:r w:rsidRPr="00075432">
        <w:t>In the case of DNO Party to DNO Party interconnections, the interconnections are categorised into four types:</w:t>
      </w:r>
    </w:p>
    <w:p w14:paraId="02E44EC3" w14:textId="77777777" w:rsidR="0041584B" w:rsidRPr="00075432" w:rsidRDefault="0041584B" w:rsidP="0041584B">
      <w:pPr>
        <w:pStyle w:val="Heading5"/>
        <w:ind w:left="1418"/>
        <w:jc w:val="both"/>
      </w:pPr>
      <w:r w:rsidRPr="00075432">
        <w:lastRenderedPageBreak/>
        <w:t>The interconnector between the DNO Parties is normally closed (active), and there is an identifiable benefit from the existence of the interconnection to one DNO Party only. The other DNO Party does not benefit from the interconnection.</w:t>
      </w:r>
    </w:p>
    <w:p w14:paraId="0BAE3954" w14:textId="77777777" w:rsidR="0041584B" w:rsidRPr="00075432" w:rsidRDefault="0041584B" w:rsidP="0041584B">
      <w:pPr>
        <w:pStyle w:val="Heading5"/>
        <w:ind w:left="1418"/>
        <w:jc w:val="both"/>
      </w:pPr>
      <w:r w:rsidRPr="00075432">
        <w:t xml:space="preserve">The interconnector is normally closed (active), and there is either an identifiable benefit to both DNO Parties, </w:t>
      </w:r>
      <w:proofErr w:type="gramStart"/>
      <w:r w:rsidRPr="00075432">
        <w:t>or</w:t>
      </w:r>
      <w:proofErr w:type="gramEnd"/>
      <w:r w:rsidRPr="00075432">
        <w:t xml:space="preserve"> no clear benefit to either DNO Party.</w:t>
      </w:r>
    </w:p>
    <w:p w14:paraId="35D9FE9F" w14:textId="77777777" w:rsidR="0041584B" w:rsidRPr="00075432" w:rsidRDefault="0041584B" w:rsidP="0041584B">
      <w:pPr>
        <w:pStyle w:val="Heading5"/>
        <w:ind w:left="1418"/>
        <w:jc w:val="both"/>
      </w:pPr>
      <w:r w:rsidRPr="00075432">
        <w:t>The interconnector is normally open, and the interconnection exists only to provide backup under certain conditions to either DNO Party.</w:t>
      </w:r>
    </w:p>
    <w:p w14:paraId="0709DF97" w14:textId="77777777" w:rsidR="0041584B" w:rsidRPr="00075432" w:rsidRDefault="0041584B" w:rsidP="0041584B">
      <w:pPr>
        <w:pStyle w:val="Heading5"/>
        <w:ind w:left="1418"/>
        <w:jc w:val="both"/>
      </w:pPr>
      <w:r w:rsidRPr="00075432">
        <w:t>All other interconnections between DNO Parties.</w:t>
      </w:r>
    </w:p>
    <w:p w14:paraId="20D35323" w14:textId="77777777" w:rsidR="0041584B" w:rsidRPr="00075432" w:rsidRDefault="0041584B" w:rsidP="0041584B">
      <w:pPr>
        <w:pStyle w:val="Heading2"/>
      </w:pPr>
      <w:r w:rsidRPr="00075432">
        <w:t>In all cases of type (a), the benefitting DNO Party will be treated as being equivalent to an EDCM Connectee connected to the other DNO Party’s network.  The DNO Party providing the benefit will calculate and apply EDCM import charges, except charges for sole use assets. as applicable to the other DNO Party.  Export charges or credits will not apply.</w:t>
      </w:r>
    </w:p>
    <w:p w14:paraId="662930CA" w14:textId="77777777" w:rsidR="0041584B" w:rsidRDefault="0041584B" w:rsidP="0041584B">
      <w:pPr>
        <w:pStyle w:val="Heading2"/>
      </w:pPr>
      <w:r w:rsidRPr="00075432">
        <w:t>In the case of type (b) interconnections, each DNO Party will treat the other as an EDCM Connectee.  Normal EDCM import charges, except charges for sole use assets, will apply. Export charges or credits will not apply.</w:t>
      </w:r>
    </w:p>
    <w:p w14:paraId="5541B5BC" w14:textId="77777777" w:rsidR="0041584B" w:rsidRPr="00075432" w:rsidRDefault="0041584B" w:rsidP="0041584B">
      <w:pPr>
        <w:pStyle w:val="Heading2"/>
      </w:pPr>
      <w:r w:rsidRPr="00075432">
        <w:t>Type (c) interconnections are typically covered by special arrangements between DNO Parties.  Use of system charges are agreed between DNO Parties and applied outside the EDCM model.</w:t>
      </w:r>
    </w:p>
    <w:p w14:paraId="54E5CCE8" w14:textId="77777777" w:rsidR="0041584B" w:rsidRDefault="0041584B" w:rsidP="0041584B">
      <w:pPr>
        <w:pStyle w:val="Heading2"/>
      </w:pPr>
      <w:r w:rsidRPr="00075432">
        <w:t>In every other case, each DNO Party applies import charges to the other as a normal EDCM Connectee, as with type (b) interconnections.</w:t>
      </w:r>
      <w:r>
        <w:br w:type="page"/>
      </w:r>
    </w:p>
    <w:p w14:paraId="0EF2B16F" w14:textId="77777777" w:rsidR="0041584B" w:rsidRDefault="0041584B" w:rsidP="0041584B">
      <w:pPr>
        <w:pStyle w:val="Heading1"/>
      </w:pPr>
      <w:bookmarkStart w:id="299" w:name="_Toc320876086"/>
      <w:bookmarkStart w:id="300" w:name="_Toc320876709"/>
      <w:bookmarkStart w:id="301" w:name="_Toc325449923"/>
      <w:bookmarkStart w:id="302" w:name="_Toc339284567"/>
      <w:bookmarkStart w:id="303" w:name="_Toc360027742"/>
      <w:bookmarkStart w:id="304" w:name="_Toc360028096"/>
      <w:bookmarkStart w:id="305" w:name="_Toc391559955"/>
      <w:bookmarkStart w:id="306" w:name="_Toc510303075"/>
      <w:bookmarkStart w:id="307" w:name="_Toc513018489"/>
      <w:bookmarkStart w:id="308" w:name="_Toc518333674"/>
      <w:bookmarkStart w:id="309" w:name="_Toc527908530"/>
      <w:r w:rsidRPr="00075432">
        <w:lastRenderedPageBreak/>
        <w:t>LDNO charging</w:t>
      </w:r>
      <w:bookmarkEnd w:id="299"/>
      <w:bookmarkEnd w:id="300"/>
      <w:bookmarkEnd w:id="301"/>
      <w:bookmarkEnd w:id="302"/>
      <w:bookmarkEnd w:id="303"/>
      <w:bookmarkEnd w:id="304"/>
      <w:bookmarkEnd w:id="305"/>
      <w:bookmarkEnd w:id="306"/>
      <w:bookmarkEnd w:id="307"/>
      <w:bookmarkEnd w:id="308"/>
      <w:bookmarkEnd w:id="309"/>
      <w:r w:rsidRPr="00075432">
        <w:t xml:space="preserve"> </w:t>
      </w:r>
    </w:p>
    <w:p w14:paraId="0F8D97F0" w14:textId="77777777" w:rsidR="0041584B" w:rsidRPr="00075432" w:rsidRDefault="0041584B" w:rsidP="0041584B">
      <w:pPr>
        <w:pStyle w:val="Heading2"/>
      </w:pPr>
      <w:r>
        <w:t>LDNOs</w:t>
      </w:r>
      <w:r w:rsidRPr="00075432">
        <w:t xml:space="preserve"> with Distribution Systems that serve Connectees that fall within the scope of the CDCM would have their charges based on standard discount percentages applied to the CDCM all-the-way end user charges.</w:t>
      </w:r>
    </w:p>
    <w:p w14:paraId="460A96E6" w14:textId="77777777" w:rsidR="0041584B" w:rsidRPr="004B52FF" w:rsidRDefault="0041584B" w:rsidP="0041584B">
      <w:pPr>
        <w:pStyle w:val="DCNormParaL3"/>
        <w:jc w:val="both"/>
      </w:pPr>
      <w:r w:rsidRPr="004B52FF">
        <w:t xml:space="preserve">A LDNO with a Distribution System that qualifies as a CDCM “Designated Property” according to the definition set out in condition 13A.6 of the Distribution Licence is eligible for portfolio discounts calculated using the price control disaggregation model </w:t>
      </w:r>
      <w:r w:rsidRPr="005D1494">
        <w:t>provided for under Schedule 29, with any subsequent adjustment applied in respect of the DNO Party's Supplier of Last Resort and Eligible Bad Debt pass-through costs as described in paragraphs 100 to 104 of the CDCM</w:t>
      </w:r>
      <w:r w:rsidRPr="004B52FF">
        <w:t>.</w:t>
      </w:r>
    </w:p>
    <w:p w14:paraId="1F4BBEB0" w14:textId="77777777" w:rsidR="0041584B" w:rsidRPr="005D1494" w:rsidRDefault="0041584B" w:rsidP="0041584B">
      <w:pPr>
        <w:pStyle w:val="DCNormParaL3"/>
        <w:jc w:val="both"/>
      </w:pPr>
      <w:r w:rsidRPr="005D1494">
        <w:t xml:space="preserve">A LDNO with a Distribution System that qualifies as an EDCM “Designated EHV Property” according to the definition set out in condition 13B.6 of the Distribution Licence is are eligible for discounts calculated using the price control disaggregation model </w:t>
      </w:r>
      <w:r w:rsidRPr="005D1494">
        <w:rPr>
          <w:rFonts w:cs="Times New Roman"/>
          <w:szCs w:val="24"/>
        </w:rPr>
        <w:t>provided for under Schedule 29</w:t>
      </w:r>
      <w:r w:rsidRPr="005D1494">
        <w:rPr>
          <w:rFonts w:eastAsia="Calibri"/>
          <w:szCs w:val="24"/>
        </w:rPr>
        <w:t xml:space="preserve">, </w:t>
      </w:r>
      <w:r w:rsidRPr="005D1494">
        <w:rPr>
          <w:szCs w:val="24"/>
        </w:rPr>
        <w:t>with any subsequent adjustment applied in respect of the DNO Party's Supplier of Last Resort</w:t>
      </w:r>
      <w:r w:rsidRPr="005D1494">
        <w:t xml:space="preserve"> and Eligible Bad Debt</w:t>
      </w:r>
      <w:r w:rsidRPr="005D1494">
        <w:rPr>
          <w:szCs w:val="24"/>
        </w:rPr>
        <w:t xml:space="preserve"> pass-through costs as described in paragraphs 100 to 104 of the CDCM</w:t>
      </w:r>
      <w:r w:rsidRPr="005D1494">
        <w:t>.</w:t>
      </w:r>
    </w:p>
    <w:p w14:paraId="37DF2434" w14:textId="77777777" w:rsidR="0041584B" w:rsidRPr="00075432" w:rsidRDefault="0041584B" w:rsidP="0041584B">
      <w:pPr>
        <w:pStyle w:val="Heading2"/>
      </w:pPr>
      <w:r w:rsidRPr="00075432">
        <w:t xml:space="preserve">A </w:t>
      </w:r>
      <w:r>
        <w:t>LDNO</w:t>
      </w:r>
      <w:r w:rsidRPr="00075432">
        <w:t xml:space="preserve"> with a Distribution System that qualifies as an EDCM “Designated EHV Property” could itself have Connectees who would fall under the scope of the EDCM.  Since the EDCM is a locational charging method, the host DNO Party would calculate EDCM charges at the DNO Party’s boundary for each EDCM-like Connectee on the </w:t>
      </w:r>
      <w:r>
        <w:t xml:space="preserve">LDNO’s </w:t>
      </w:r>
      <w:r w:rsidRPr="002252CA">
        <w:t>Distribution System</w:t>
      </w:r>
      <w:r w:rsidRPr="00075432">
        <w:t>.  No discounts are calculated for such EDCM Connectees as the DNO Party’s charges are based only on the specific site’s equivalent use of the DNO Party’s Distribution System.</w:t>
      </w:r>
    </w:p>
    <w:p w14:paraId="067CB690" w14:textId="77777777" w:rsidR="0041584B" w:rsidRDefault="0041584B" w:rsidP="0041584B">
      <w:pPr>
        <w:spacing w:after="200" w:line="276" w:lineRule="auto"/>
        <w:rPr>
          <w:rFonts w:eastAsiaTheme="majorEastAsia" w:cstheme="majorBidi"/>
          <w:szCs w:val="26"/>
        </w:rPr>
      </w:pPr>
      <w:r>
        <w:br w:type="page"/>
      </w:r>
    </w:p>
    <w:p w14:paraId="7974535A" w14:textId="77777777" w:rsidR="0041584B" w:rsidRPr="00F51B0B" w:rsidRDefault="0041584B" w:rsidP="0041584B">
      <w:pPr>
        <w:pStyle w:val="Heading1"/>
      </w:pPr>
      <w:bookmarkStart w:id="310" w:name="_Toc510303076"/>
      <w:bookmarkStart w:id="311" w:name="_Toc513018490"/>
      <w:bookmarkStart w:id="312" w:name="_Toc518333675"/>
      <w:bookmarkStart w:id="313" w:name="_Toc527908531"/>
      <w:r w:rsidRPr="00593B20">
        <w:lastRenderedPageBreak/>
        <w:t>Calculation of LDNO Discounts</w:t>
      </w:r>
      <w:bookmarkEnd w:id="310"/>
      <w:bookmarkEnd w:id="311"/>
      <w:bookmarkEnd w:id="312"/>
      <w:bookmarkEnd w:id="313"/>
    </w:p>
    <w:p w14:paraId="7EAEA7DE" w14:textId="77777777" w:rsidR="0041584B" w:rsidRDefault="0041584B" w:rsidP="0041584B">
      <w:pPr>
        <w:pStyle w:val="Heading2"/>
      </w:pPr>
      <w:r>
        <w:t>The discount percentages are determined in accordance with Schedule 29, which is deemed to form part of this EDCM (as if it were set out herein).</w:t>
      </w:r>
    </w:p>
    <w:p w14:paraId="0D6AD960" w14:textId="77777777" w:rsidR="0041584B" w:rsidRDefault="0041584B" w:rsidP="0041584B">
      <w:pPr>
        <w:pStyle w:val="Heading2"/>
      </w:pPr>
      <w:r>
        <w:t xml:space="preserve">In each case, the discount applied to all CDCM tariff components. Discount percentages are capped </w:t>
      </w:r>
      <w:del w:id="314" w:author="Hollie Nicholls" w:date="2020-01-14T18:37:00Z">
        <w:r w:rsidDel="00C5015B">
          <w:delText>to</w:delText>
        </w:r>
      </w:del>
      <w:ins w:id="315" w:author="Hollie Nicholls" w:date="2020-01-14T18:37:00Z">
        <w:r w:rsidR="00C5015B">
          <w:t>at</w:t>
        </w:r>
      </w:ins>
      <w:r>
        <w:t xml:space="preserve"> 100 per cent.</w:t>
      </w:r>
    </w:p>
    <w:p w14:paraId="5721F6BD" w14:textId="77777777" w:rsidR="0041584B" w:rsidRDefault="0041584B" w:rsidP="0041584B">
      <w:pPr>
        <w:pStyle w:val="Heading2"/>
      </w:pPr>
      <w:r w:rsidRPr="00CC29E9">
        <w:rPr>
          <w:rFonts w:eastAsia="Calibri"/>
          <w:szCs w:val="22"/>
        </w:rPr>
        <w:t xml:space="preserve">Supplier of Last Resort </w:t>
      </w:r>
      <w:r>
        <w:t xml:space="preserve">pass-through costs are allocated </w:t>
      </w:r>
      <w:r w:rsidRPr="00E761AF">
        <w:t>by applying a fixed charge adder (p/day) to the following customer groups, a</w:t>
      </w:r>
      <w:r>
        <w:t>s calculated under paragraph 102</w:t>
      </w:r>
      <w:r w:rsidRPr="00E761AF">
        <w:t xml:space="preserve"> of </w:t>
      </w:r>
      <w:r>
        <w:t>the CDCM:</w:t>
      </w:r>
    </w:p>
    <w:p w14:paraId="4D0399B6" w14:textId="77777777" w:rsidR="0041584B" w:rsidRDefault="0041584B" w:rsidP="0041584B">
      <w:pPr>
        <w:pStyle w:val="ListParagraph"/>
        <w:numPr>
          <w:ilvl w:val="0"/>
          <w:numId w:val="95"/>
        </w:numPr>
        <w:contextualSpacing w:val="0"/>
        <w:jc w:val="both"/>
      </w:pPr>
      <w:r>
        <w:t xml:space="preserve">LDNO </w:t>
      </w:r>
      <w:proofErr w:type="spellStart"/>
      <w:r>
        <w:t>HVplus</w:t>
      </w:r>
      <w:proofErr w:type="spellEnd"/>
      <w:r>
        <w:t>: Domestic Aggregated;</w:t>
      </w:r>
    </w:p>
    <w:p w14:paraId="1E2CA7EC" w14:textId="77777777" w:rsidR="0041584B" w:rsidRDefault="0041584B" w:rsidP="0041584B">
      <w:pPr>
        <w:pStyle w:val="ListParagraph"/>
        <w:numPr>
          <w:ilvl w:val="0"/>
          <w:numId w:val="95"/>
        </w:numPr>
        <w:contextualSpacing w:val="0"/>
        <w:jc w:val="both"/>
      </w:pPr>
      <w:r>
        <w:t>LDNO EHV: Domestic Aggregated;</w:t>
      </w:r>
    </w:p>
    <w:p w14:paraId="3232C32E" w14:textId="77777777" w:rsidR="0041584B" w:rsidRDefault="0041584B" w:rsidP="0041584B">
      <w:pPr>
        <w:pStyle w:val="ListParagraph"/>
        <w:numPr>
          <w:ilvl w:val="0"/>
          <w:numId w:val="95"/>
        </w:numPr>
        <w:contextualSpacing w:val="0"/>
        <w:jc w:val="both"/>
      </w:pPr>
      <w:r>
        <w:t>LDNO 132kV/EHV: Domestic Aggregated;</w:t>
      </w:r>
    </w:p>
    <w:p w14:paraId="60768943" w14:textId="77777777" w:rsidR="0041584B" w:rsidRDefault="0041584B" w:rsidP="0041584B">
      <w:pPr>
        <w:pStyle w:val="ListParagraph"/>
        <w:numPr>
          <w:ilvl w:val="0"/>
          <w:numId w:val="95"/>
        </w:numPr>
        <w:contextualSpacing w:val="0"/>
        <w:jc w:val="both"/>
      </w:pPr>
      <w:r>
        <w:t>LDNO 132kV: Domestic Aggregated;</w:t>
      </w:r>
    </w:p>
    <w:p w14:paraId="3E7CA91B" w14:textId="77777777" w:rsidR="0041584B" w:rsidRDefault="0041584B" w:rsidP="0041584B">
      <w:pPr>
        <w:pStyle w:val="ListParagraph"/>
        <w:numPr>
          <w:ilvl w:val="0"/>
          <w:numId w:val="95"/>
        </w:numPr>
        <w:contextualSpacing w:val="0"/>
        <w:jc w:val="both"/>
      </w:pPr>
      <w:r>
        <w:t>LDNO 0000: Domestic Aggregated.</w:t>
      </w:r>
    </w:p>
    <w:p w14:paraId="4F703B83" w14:textId="77777777" w:rsidR="0041584B" w:rsidRPr="00F51B0B" w:rsidRDefault="0041584B" w:rsidP="0041584B">
      <w:pPr>
        <w:pStyle w:val="Heading2"/>
      </w:pPr>
      <w:r w:rsidRPr="00C9424C">
        <w:t>Eligible Bad Debt pass-through costs are allocated by applying a fixed charge adder (p/day) to all metered demand tariffs excluding ‘related MPAN’ tariffs, as calculated under paragraph 103 of Schedule 16</w:t>
      </w:r>
      <w:r>
        <w:t>.</w:t>
      </w:r>
    </w:p>
    <w:p w14:paraId="1FA7EE1A" w14:textId="77777777" w:rsidR="0041584B" w:rsidRPr="00F92F21" w:rsidRDefault="0041584B" w:rsidP="0041584B">
      <w:pPr>
        <w:pStyle w:val="Heading2"/>
        <w:rPr>
          <w:b/>
        </w:rPr>
      </w:pPr>
      <w:r>
        <w:t>Not used</w:t>
      </w:r>
      <w:r>
        <w:rPr>
          <w:b/>
        </w:rPr>
        <w:t>.</w:t>
      </w:r>
    </w:p>
    <w:p w14:paraId="0866294D" w14:textId="77777777" w:rsidR="0041584B" w:rsidRPr="00F51B0B" w:rsidRDefault="0041584B" w:rsidP="0041584B">
      <w:pPr>
        <w:pStyle w:val="Heading2"/>
      </w:pPr>
      <w:r>
        <w:t>Not used.</w:t>
      </w:r>
      <w:r w:rsidRPr="00742D7A">
        <w:t xml:space="preserve"> </w:t>
      </w:r>
    </w:p>
    <w:p w14:paraId="524B17E2" w14:textId="77777777" w:rsidR="0041584B" w:rsidRDefault="0041584B" w:rsidP="0041584B">
      <w:pPr>
        <w:pStyle w:val="Heading2"/>
      </w:pPr>
      <w:r>
        <w:t>Not used</w:t>
      </w:r>
      <w:r w:rsidRPr="00F51B0B">
        <w:t>.</w:t>
      </w:r>
    </w:p>
    <w:p w14:paraId="25E019B0" w14:textId="77777777" w:rsidR="0041584B" w:rsidRPr="00F51B0B" w:rsidRDefault="0041584B" w:rsidP="0041584B">
      <w:pPr>
        <w:pStyle w:val="Heading2"/>
      </w:pPr>
      <w:r>
        <w:t>Not used</w:t>
      </w:r>
      <w:r w:rsidRPr="00F51B0B">
        <w:t xml:space="preserve">. </w:t>
      </w:r>
    </w:p>
    <w:p w14:paraId="21462D96" w14:textId="77777777" w:rsidR="0041584B" w:rsidRPr="00F51B0B" w:rsidRDefault="0041584B" w:rsidP="0041584B">
      <w:pPr>
        <w:pStyle w:val="Heading2"/>
      </w:pPr>
      <w:r>
        <w:t>Not used</w:t>
      </w:r>
      <w:r w:rsidRPr="00F51B0B">
        <w:t>.</w:t>
      </w:r>
    </w:p>
    <w:p w14:paraId="1C4F9342" w14:textId="77777777" w:rsidR="0041584B" w:rsidRPr="00F51B0B" w:rsidRDefault="0041584B" w:rsidP="0041584B">
      <w:pPr>
        <w:pStyle w:val="Heading2"/>
      </w:pPr>
      <w:r>
        <w:t>Not used.</w:t>
      </w:r>
    </w:p>
    <w:p w14:paraId="33D1148F" w14:textId="77777777" w:rsidR="0041584B" w:rsidRPr="00F51B0B" w:rsidRDefault="0041584B" w:rsidP="0041584B">
      <w:pPr>
        <w:pStyle w:val="Heading2"/>
      </w:pPr>
      <w:r>
        <w:t>Not used</w:t>
      </w:r>
      <w:r w:rsidRPr="00F51B0B">
        <w:t>.</w:t>
      </w:r>
    </w:p>
    <w:p w14:paraId="770E73A9" w14:textId="77777777" w:rsidR="0041584B" w:rsidRPr="00B60CAC" w:rsidRDefault="0041584B" w:rsidP="0041584B">
      <w:pPr>
        <w:pStyle w:val="Heading2"/>
        <w:autoSpaceDE w:val="0"/>
        <w:autoSpaceDN w:val="0"/>
        <w:adjustRightInd w:val="0"/>
        <w:ind w:right="-9"/>
        <w:rPr>
          <w:rFonts w:cs="Times New Roman"/>
          <w:szCs w:val="24"/>
        </w:rPr>
      </w:pPr>
      <w:r>
        <w:lastRenderedPageBreak/>
        <w:t>Not used</w:t>
      </w:r>
      <w:r w:rsidRPr="0059246E">
        <w:t>.</w:t>
      </w:r>
    </w:p>
    <w:p w14:paraId="0077FFB4" w14:textId="77777777" w:rsidR="0041584B" w:rsidRPr="00F51B0B" w:rsidRDefault="0041584B" w:rsidP="0041584B">
      <w:pPr>
        <w:pStyle w:val="Heading2"/>
      </w:pPr>
      <w:r>
        <w:t>Not used</w:t>
      </w:r>
      <w:r w:rsidRPr="0059246E">
        <w:t>.</w:t>
      </w:r>
      <w:r>
        <w:t xml:space="preserve"> </w:t>
      </w:r>
    </w:p>
    <w:p w14:paraId="16993FAF" w14:textId="77777777" w:rsidR="0041584B" w:rsidRPr="00171E17" w:rsidRDefault="0041584B" w:rsidP="0041584B">
      <w:pPr>
        <w:pStyle w:val="Heading2"/>
        <w:rPr>
          <w:rFonts w:cs="Times New Roman"/>
          <w:b/>
          <w:szCs w:val="24"/>
        </w:rPr>
      </w:pPr>
      <w:r>
        <w:t>Not used.</w:t>
      </w:r>
    </w:p>
    <w:p w14:paraId="102CE542" w14:textId="77777777" w:rsidR="0041584B" w:rsidRPr="001613FA" w:rsidRDefault="0041584B" w:rsidP="0041584B">
      <w:pPr>
        <w:pStyle w:val="Heading2"/>
      </w:pPr>
      <w:r>
        <w:t>Not used.</w:t>
      </w:r>
    </w:p>
    <w:p w14:paraId="2563DB4C" w14:textId="77777777" w:rsidR="0041584B" w:rsidRDefault="0041584B" w:rsidP="0041584B">
      <w:pPr>
        <w:pStyle w:val="Heading2"/>
      </w:pPr>
      <w:r>
        <w:t>Not used.</w:t>
      </w:r>
      <w:r w:rsidRPr="001613FA">
        <w:t xml:space="preserve"> </w:t>
      </w:r>
    </w:p>
    <w:p w14:paraId="02E0CB4B" w14:textId="77777777" w:rsidR="0041584B" w:rsidRPr="001613FA" w:rsidRDefault="0041584B" w:rsidP="0041584B">
      <w:pPr>
        <w:pStyle w:val="Heading2"/>
      </w:pPr>
      <w:r>
        <w:t>Not used</w:t>
      </w:r>
      <w:r w:rsidRPr="001613FA">
        <w:t>.</w:t>
      </w:r>
    </w:p>
    <w:p w14:paraId="04E39B75" w14:textId="77777777" w:rsidR="0041584B" w:rsidRDefault="0041584B" w:rsidP="0041584B">
      <w:pPr>
        <w:pStyle w:val="Heading2"/>
      </w:pPr>
      <w:r>
        <w:t>Not used</w:t>
      </w:r>
      <w:r w:rsidRPr="001613FA">
        <w:t>.</w:t>
      </w:r>
    </w:p>
    <w:p w14:paraId="2ACF90DE" w14:textId="77777777" w:rsidR="0041584B" w:rsidRPr="001613FA" w:rsidRDefault="0041584B" w:rsidP="0041584B">
      <w:pPr>
        <w:pStyle w:val="Heading2"/>
      </w:pPr>
      <w:r>
        <w:t>Not used.</w:t>
      </w:r>
    </w:p>
    <w:p w14:paraId="77F54DB2" w14:textId="77777777" w:rsidR="0041584B" w:rsidRPr="001613FA" w:rsidRDefault="0041584B" w:rsidP="0041584B">
      <w:pPr>
        <w:pStyle w:val="Heading1"/>
      </w:pPr>
      <w:bookmarkStart w:id="316" w:name="_Toc320876088"/>
      <w:bookmarkStart w:id="317" w:name="_Toc320876711"/>
      <w:bookmarkStart w:id="318" w:name="_Toc325449925"/>
      <w:bookmarkStart w:id="319" w:name="_Toc339284569"/>
      <w:bookmarkStart w:id="320" w:name="_Toc360027744"/>
      <w:bookmarkStart w:id="321" w:name="_Toc360028098"/>
      <w:bookmarkStart w:id="322" w:name="_Toc391559957"/>
      <w:bookmarkStart w:id="323" w:name="_Toc510303077"/>
      <w:bookmarkStart w:id="324" w:name="_Toc513018491"/>
      <w:bookmarkStart w:id="325" w:name="_Toc518333676"/>
      <w:bookmarkStart w:id="326" w:name="_Toc527908532"/>
      <w:r w:rsidRPr="001613FA">
        <w:t>Portfolio EDCM tariffs for Connectees in the EDCM</w:t>
      </w:r>
      <w:bookmarkEnd w:id="316"/>
      <w:bookmarkEnd w:id="317"/>
      <w:bookmarkEnd w:id="318"/>
      <w:bookmarkEnd w:id="319"/>
      <w:bookmarkEnd w:id="320"/>
      <w:bookmarkEnd w:id="321"/>
      <w:bookmarkEnd w:id="322"/>
      <w:bookmarkEnd w:id="323"/>
      <w:bookmarkEnd w:id="324"/>
      <w:bookmarkEnd w:id="325"/>
      <w:bookmarkEnd w:id="326"/>
    </w:p>
    <w:p w14:paraId="18B28FB1" w14:textId="77777777" w:rsidR="0041584B" w:rsidRPr="001613FA" w:rsidRDefault="0041584B" w:rsidP="0041584B">
      <w:pPr>
        <w:pStyle w:val="Heading2"/>
      </w:pPr>
      <w:r w:rsidRPr="001613FA">
        <w:t xml:space="preserve">For Connectees on a </w:t>
      </w:r>
      <w:r>
        <w:t>LDNO’s</w:t>
      </w:r>
      <w:r w:rsidRPr="001613FA">
        <w:t xml:space="preserve"> Distribution System that would be covered by the EDCM if they were on the DNO Party’s Distribution System, the EDCM is applied to calculate a portfolio EDCM charge/credit for each such Connectee.  </w:t>
      </w:r>
    </w:p>
    <w:p w14:paraId="153F2DAE" w14:textId="77777777" w:rsidR="0041584B" w:rsidRPr="001613FA" w:rsidRDefault="0041584B" w:rsidP="0041584B">
      <w:pPr>
        <w:pStyle w:val="Heading2"/>
      </w:pPr>
      <w:r w:rsidRPr="001613FA">
        <w:t xml:space="preserve">These EDCM portfolio charges would be calculated as if each EDCM Connectee on the </w:t>
      </w:r>
      <w:r>
        <w:t>LDNO’s</w:t>
      </w:r>
      <w:r w:rsidRPr="002252CA">
        <w:t xml:space="preserve"> </w:t>
      </w:r>
      <w:r w:rsidRPr="001613FA">
        <w:t xml:space="preserve">Distribution System were notionally connected at the boundary between the DNO Party and the </w:t>
      </w:r>
      <w:r>
        <w:t>LDNO;</w:t>
      </w:r>
      <w:r w:rsidRPr="00503D2F">
        <w:t xml:space="preserve"> except for LDNO UMS tariffs, which are charged by reference to the voltage of the Points of Connection that provide the majority of the energised domestic connections for the LDNO in the GSP Group (or, where there is no such majority, on such other reasonable basis as the DNO Party determines)</w:t>
      </w:r>
      <w:r w:rsidRPr="001613FA">
        <w:t>. Both EDCM import and export charges will apply.</w:t>
      </w:r>
    </w:p>
    <w:p w14:paraId="33C81E6A" w14:textId="77777777" w:rsidR="0041584B" w:rsidRPr="001613FA" w:rsidRDefault="0041584B" w:rsidP="0041584B">
      <w:pPr>
        <w:pStyle w:val="Heading2"/>
      </w:pPr>
      <w:r w:rsidRPr="001613FA">
        <w:t xml:space="preserve">For the purposes of calculating the boundary-equivalent portfolio EDCM tariffs, each EDCM Connectee on the </w:t>
      </w:r>
      <w:r>
        <w:t>LDNO’s</w:t>
      </w:r>
      <w:r w:rsidRPr="002252CA">
        <w:t xml:space="preserve"> </w:t>
      </w:r>
      <w:r w:rsidRPr="001613FA">
        <w:t xml:space="preserve">Distribution System would be assigned the demand Connectee category </w:t>
      </w:r>
      <w:r>
        <w:t>determined by reference</w:t>
      </w:r>
      <w:r w:rsidRPr="001613FA">
        <w:t xml:space="preserve"> to </w:t>
      </w:r>
      <w:r>
        <w:t>that LDNO</w:t>
      </w:r>
      <w:r w:rsidRPr="002252CA">
        <w:t xml:space="preserve"> </w:t>
      </w:r>
      <w:r w:rsidRPr="001613FA">
        <w:t>Distribution System</w:t>
      </w:r>
      <w:r>
        <w:t>’s Point of Common Coupling. The demand Connectee category is assigned as per Table 3 in paragraph 15.6</w:t>
      </w:r>
      <w:r w:rsidRPr="001613FA">
        <w:t xml:space="preserve">. </w:t>
      </w:r>
    </w:p>
    <w:p w14:paraId="1F4396CF" w14:textId="77777777" w:rsidR="0041584B" w:rsidRPr="001613FA" w:rsidRDefault="0041584B" w:rsidP="0041584B">
      <w:pPr>
        <w:pStyle w:val="Heading2"/>
      </w:pPr>
      <w:r w:rsidRPr="001613FA">
        <w:lastRenderedPageBreak/>
        <w:t xml:space="preserve">Such Connectees would attract charges (credits) in respect of any reinforcements caused (avoided) on the DNO Party’s Distribution System only, i.e. any network Branches that are on the </w:t>
      </w:r>
      <w:r>
        <w:t>LDNO’s</w:t>
      </w:r>
      <w:r w:rsidRPr="003C7183">
        <w:t xml:space="preserve"> </w:t>
      </w:r>
      <w:r w:rsidRPr="001613FA">
        <w:t xml:space="preserve">Distribution System would be attributed a zero LRIC charge/credit.  </w:t>
      </w:r>
    </w:p>
    <w:p w14:paraId="7EFD55EB" w14:textId="77777777" w:rsidR="0041584B" w:rsidRPr="001613FA" w:rsidRDefault="0041584B" w:rsidP="0041584B">
      <w:pPr>
        <w:pStyle w:val="Heading2"/>
      </w:pPr>
      <w:r w:rsidRPr="001613FA">
        <w:t xml:space="preserve">The setting of final charges to Embedded Designated EHV Properties including the calculation of charges for assets used on the </w:t>
      </w:r>
      <w:r>
        <w:t>LDNO’s</w:t>
      </w:r>
      <w:r w:rsidRPr="003C7183">
        <w:t xml:space="preserve"> </w:t>
      </w:r>
      <w:r w:rsidRPr="001613FA">
        <w:t xml:space="preserve">Distribution System will be established by the </w:t>
      </w:r>
      <w:r>
        <w:t>LDNO</w:t>
      </w:r>
      <w:r w:rsidRPr="001613FA">
        <w:t xml:space="preserve">. </w:t>
      </w:r>
    </w:p>
    <w:p w14:paraId="57D60697" w14:textId="77777777" w:rsidR="0041584B" w:rsidRPr="001613FA" w:rsidRDefault="0041584B" w:rsidP="0041584B">
      <w:pPr>
        <w:pStyle w:val="Heading2"/>
      </w:pPr>
      <w:r w:rsidRPr="001613FA">
        <w:t xml:space="preserve">All EDCM charges would be calculated using “boundary equivalent” data provided by the </w:t>
      </w:r>
      <w:r>
        <w:t>LDNO</w:t>
      </w:r>
      <w:r w:rsidRPr="001613FA">
        <w:t xml:space="preserve"> to the host DNO Party for each Embedded Designated EHV Property.  For the purposes of the EDCM, boundary equivalent data should be what the </w:t>
      </w:r>
      <w:r>
        <w:t>LDNO</w:t>
      </w:r>
      <w:r w:rsidRPr="001613FA">
        <w:t xml:space="preserve"> has allowed for at the DNO Party - </w:t>
      </w:r>
      <w:r>
        <w:t>LDNO</w:t>
      </w:r>
      <w:r w:rsidRPr="001613FA">
        <w:t xml:space="preserve"> boundary, for each EDCM Connectee, after taking into consideration the diversity and losses within the </w:t>
      </w:r>
      <w:r>
        <w:t>LDNO’s</w:t>
      </w:r>
      <w:r w:rsidRPr="003C7183">
        <w:t xml:space="preserve"> </w:t>
      </w:r>
      <w:r w:rsidRPr="001613FA">
        <w:t>Distribution System.  Data relating to CDCM end users must be considered for the purposes of calculating boundary equivalent data in order to cater for the effect of diversity and losses.</w:t>
      </w:r>
    </w:p>
    <w:p w14:paraId="48C7B030" w14:textId="77777777" w:rsidR="0041584B" w:rsidRPr="001613FA" w:rsidRDefault="0041584B" w:rsidP="0041584B">
      <w:pPr>
        <w:pStyle w:val="Heading2"/>
      </w:pPr>
      <w:r w:rsidRPr="001613FA">
        <w:t>The EDCM will include in the charges for Embedded Designated EHV Properties a fixed charge relating to any assets on the DNO Party’s Distribution System</w:t>
      </w:r>
      <w:r>
        <w:t xml:space="preserve"> that are for</w:t>
      </w:r>
      <w:r w:rsidRPr="003C7183">
        <w:t xml:space="preserve"> the sole use of a LDNO Party's Distribution System.  The assets on the DNO Party’s network that are for the sole use of a LDNO Distribution System are defined as the assets in which only consumption or output associated with Embedded customers on the LDNO Distribution System can directly alter the power flow in the asset, taking into consideration all possible credible running arrangements, i.e. all assets between the asset ownership boundary and the LDNO Distribution System’s Point of Common Coupling are considered as sole use assets.</w:t>
      </w:r>
      <w:r w:rsidRPr="001613FA">
        <w:t xml:space="preserve"> These fixed charges would be calculated in the same way as it would be for EDCM Connectees connected directly to the host DNO Party’s Distribution System.  </w:t>
      </w:r>
    </w:p>
    <w:p w14:paraId="2FBEF968" w14:textId="77777777" w:rsidR="0041584B" w:rsidRPr="001613FA" w:rsidRDefault="0041584B" w:rsidP="0041584B">
      <w:pPr>
        <w:pStyle w:val="Heading2"/>
      </w:pPr>
      <w:r w:rsidRPr="001613FA">
        <w:lastRenderedPageBreak/>
        <w:t>In calculating charges for assets on the DNO Party’s Distribution System that are for the sole use of a</w:t>
      </w:r>
      <w:r>
        <w:t xml:space="preserve"> LDNO’s</w:t>
      </w:r>
      <w:r w:rsidRPr="003C7183">
        <w:t xml:space="preserve"> </w:t>
      </w:r>
      <w:r w:rsidRPr="001613FA">
        <w:t xml:space="preserve">Distribution System, DNO Party’s will charge only for the proportion of sole use assets deemed to be used by Embedded Designated EHV Properties.  This proportion will be calculated, in respect of each Embedded Designated EHV Properties, as the ratio of the boundary equivalent capacity of that Connectee to the capacity at the </w:t>
      </w:r>
      <w:r>
        <w:t>LDNO</w:t>
      </w:r>
      <w:r w:rsidRPr="001613FA">
        <w:t xml:space="preserve"> - DNO Party boundary.</w:t>
      </w:r>
    </w:p>
    <w:p w14:paraId="4C72C7B3" w14:textId="77777777" w:rsidR="0041584B" w:rsidRPr="001613FA" w:rsidRDefault="0041584B" w:rsidP="0041584B">
      <w:pPr>
        <w:pStyle w:val="Heading2"/>
      </w:pPr>
      <w:r w:rsidRPr="001613FA">
        <w:t xml:space="preserve">If there are no Embedded Designated EHV Properties on the </w:t>
      </w:r>
      <w:r>
        <w:t>LDNO’s</w:t>
      </w:r>
      <w:r w:rsidRPr="003C7183">
        <w:t xml:space="preserve"> </w:t>
      </w:r>
      <w:r w:rsidRPr="001613FA">
        <w:t>Distribution System, no sole use asset charges would apply.</w:t>
      </w:r>
    </w:p>
    <w:p w14:paraId="6A63EB5A" w14:textId="77777777" w:rsidR="0041584B" w:rsidRPr="001613FA" w:rsidRDefault="0041584B" w:rsidP="0041584B">
      <w:pPr>
        <w:pStyle w:val="Heading2"/>
      </w:pPr>
      <w:r w:rsidRPr="001613FA">
        <w:t xml:space="preserve">Demand scaling would be applied as normal to any EDCM portfolio tariff in respect of an EDCM Connectee.  For the purposes of scaling, all EDCM Connectees connected to the </w:t>
      </w:r>
      <w:r>
        <w:t>LDNO’s</w:t>
      </w:r>
      <w:r w:rsidRPr="003C7183">
        <w:t xml:space="preserve"> </w:t>
      </w:r>
      <w:r w:rsidRPr="001613FA">
        <w:t>Distribution System will be treated as notional EDCM Connectees connected to the DNO Party’s Distribution System</w:t>
      </w:r>
      <w:r>
        <w:t xml:space="preserve"> </w:t>
      </w:r>
      <w:r w:rsidRPr="003C7183">
        <w:t>with a Point of Common Coupling</w:t>
      </w:r>
      <w:r w:rsidRPr="001613FA">
        <w:t xml:space="preserve"> at the </w:t>
      </w:r>
      <w:r>
        <w:t>LDNO</w:t>
      </w:r>
      <w:r w:rsidRPr="003C7183">
        <w:t xml:space="preserve"> </w:t>
      </w:r>
      <w:r w:rsidRPr="001613FA">
        <w:t>Distribution System</w:t>
      </w:r>
      <w:r>
        <w:t>’s Point of Common Coupling</w:t>
      </w:r>
      <w:r w:rsidRPr="001613FA">
        <w:t>.</w:t>
      </w:r>
    </w:p>
    <w:p w14:paraId="1648C6EC" w14:textId="77777777" w:rsidR="0041584B" w:rsidRPr="001613FA" w:rsidRDefault="0041584B" w:rsidP="0041584B">
      <w:pPr>
        <w:pStyle w:val="Heading2"/>
      </w:pPr>
      <w:r w:rsidRPr="001613FA">
        <w:t xml:space="preserve">For EDCM Connectees connected to the </w:t>
      </w:r>
      <w:r>
        <w:t>LDNO’s</w:t>
      </w:r>
      <w:r w:rsidRPr="003C7183">
        <w:t xml:space="preserve"> </w:t>
      </w:r>
      <w:r w:rsidRPr="001613FA">
        <w:t xml:space="preserve">Distribution System, the capacity-based charge for the DNO Party’s indirect costs </w:t>
      </w:r>
      <w:ins w:id="327" w:author="Hollie Nicholls" w:date="2020-01-14T18:37:00Z">
        <w:r w:rsidR="00C5015B">
          <w:t xml:space="preserve">(as per paragraph 18.8) </w:t>
        </w:r>
      </w:ins>
      <w:r w:rsidRPr="00114911">
        <w:t>and the 20% share of residual revenue</w:t>
      </w:r>
      <w:ins w:id="328" w:author="Hollie Nicholls" w:date="2020-01-14T18:37:00Z">
        <w:r w:rsidR="00C5015B">
          <w:t xml:space="preserve"> (as per paragraph 18</w:t>
        </w:r>
      </w:ins>
      <w:ins w:id="329" w:author="Hollie Nicholls" w:date="2020-01-14T18:38:00Z">
        <w:r w:rsidR="00C5015B">
          <w:t>.20)</w:t>
        </w:r>
      </w:ins>
      <w:r w:rsidRPr="00114911">
        <w:t xml:space="preserve"> that is applied as a fixed adder,</w:t>
      </w:r>
      <w:r>
        <w:t xml:space="preserve"> </w:t>
      </w:r>
      <w:r w:rsidRPr="001613FA">
        <w:t>would be scaled down by a factor of 50 per cent</w:t>
      </w:r>
      <w:r>
        <w:t>,</w:t>
      </w:r>
      <w:r w:rsidRPr="00114911">
        <w:t xml:space="preserve"> however, the scaling </w:t>
      </w:r>
      <w:del w:id="330" w:author="Hollie Nicholls" w:date="2020-01-14T18:38:00Z">
        <w:r w:rsidRPr="00114911" w:rsidDel="00C5015B">
          <w:delText>down will not apply where the residual revenue is negative</w:delText>
        </w:r>
      </w:del>
      <w:ins w:id="331" w:author="Hollie Nicholls" w:date="2020-01-14T18:38:00Z">
        <w:r w:rsidR="00C5015B">
          <w:t>will only apply where the residual revenue contribution rate as defined in paragraph 16.6 is positi</w:t>
        </w:r>
        <w:bookmarkStart w:id="332" w:name="_GoBack"/>
        <w:bookmarkEnd w:id="332"/>
        <w:r w:rsidR="00C5015B">
          <w:t>ve</w:t>
        </w:r>
      </w:ins>
      <w:r w:rsidRPr="001613FA">
        <w:t>.</w:t>
      </w:r>
    </w:p>
    <w:p w14:paraId="0103FC71" w14:textId="77777777" w:rsidR="0041584B" w:rsidRPr="001613FA" w:rsidRDefault="0041584B" w:rsidP="0041584B">
      <w:pPr>
        <w:pStyle w:val="Heading1"/>
      </w:pPr>
      <w:bookmarkStart w:id="333" w:name="_Toc320876089"/>
      <w:bookmarkStart w:id="334" w:name="_Toc320876712"/>
      <w:bookmarkStart w:id="335" w:name="_Toc325449926"/>
      <w:bookmarkStart w:id="336" w:name="_Toc339284570"/>
      <w:bookmarkStart w:id="337" w:name="_Toc360027745"/>
      <w:bookmarkStart w:id="338" w:name="_Toc360028099"/>
      <w:bookmarkStart w:id="339" w:name="_Toc391559958"/>
      <w:bookmarkStart w:id="340" w:name="_Toc510303078"/>
      <w:bookmarkStart w:id="341" w:name="_Toc513018492"/>
      <w:bookmarkStart w:id="342" w:name="_Toc518333677"/>
      <w:bookmarkStart w:id="343" w:name="_Toc527908533"/>
      <w:r w:rsidRPr="001613FA">
        <w:t>Offshore networks charging</w:t>
      </w:r>
      <w:bookmarkEnd w:id="333"/>
      <w:bookmarkEnd w:id="334"/>
      <w:bookmarkEnd w:id="335"/>
      <w:bookmarkEnd w:id="336"/>
      <w:bookmarkEnd w:id="337"/>
      <w:bookmarkEnd w:id="338"/>
      <w:bookmarkEnd w:id="339"/>
      <w:bookmarkEnd w:id="340"/>
      <w:bookmarkEnd w:id="341"/>
      <w:bookmarkEnd w:id="342"/>
      <w:bookmarkEnd w:id="343"/>
    </w:p>
    <w:p w14:paraId="10F83114" w14:textId="77777777" w:rsidR="0041584B" w:rsidRPr="001613FA" w:rsidRDefault="0041584B" w:rsidP="0041584B">
      <w:pPr>
        <w:pStyle w:val="Heading2"/>
      </w:pPr>
      <w:r w:rsidRPr="001613FA">
        <w:t>The DNO Party will treat offshore networks connected to the DNO Party as if they were EDCM Connectees.</w:t>
      </w:r>
    </w:p>
    <w:p w14:paraId="1C7F7E52" w14:textId="77777777" w:rsidR="0041584B" w:rsidRPr="001613FA" w:rsidRDefault="0041584B" w:rsidP="0041584B">
      <w:pPr>
        <w:pStyle w:val="Heading2"/>
      </w:pPr>
      <w:r w:rsidRPr="001613FA">
        <w:t>The DNO Party will apply the EDCM to calculate an import charge and an export charge based on capacity at the boundary and power flow data metered at the boundary.</w:t>
      </w:r>
    </w:p>
    <w:p w14:paraId="621DDBA7" w14:textId="77777777" w:rsidR="0041584B" w:rsidRPr="001613FA" w:rsidRDefault="0041584B" w:rsidP="0041584B">
      <w:pPr>
        <w:pStyle w:val="Heading2"/>
      </w:pPr>
      <w:r w:rsidRPr="001613FA">
        <w:t>Any sole use assets specific to the offshore network are charged as a p/day sole use asset charge calculated as applicable to a normal EDCM Connectee.</w:t>
      </w:r>
    </w:p>
    <w:p w14:paraId="2E807F48" w14:textId="77777777" w:rsidR="0041584B" w:rsidRPr="001613FA" w:rsidRDefault="0041584B" w:rsidP="0041584B">
      <w:pPr>
        <w:pStyle w:val="Heading2"/>
      </w:pPr>
      <w:r w:rsidRPr="001613FA">
        <w:t xml:space="preserve">Demand scaling will also be applied. </w:t>
      </w:r>
    </w:p>
    <w:p w14:paraId="129FB4A4" w14:textId="77777777" w:rsidR="0041584B" w:rsidRPr="001613FA" w:rsidRDefault="0041584B" w:rsidP="0041584B">
      <w:pPr>
        <w:pStyle w:val="Heading1"/>
      </w:pPr>
      <w:bookmarkStart w:id="344" w:name="_Toc320876090"/>
      <w:bookmarkStart w:id="345" w:name="_Toc320876713"/>
      <w:bookmarkStart w:id="346" w:name="_Toc325449927"/>
      <w:bookmarkStart w:id="347" w:name="_Toc339284571"/>
      <w:bookmarkStart w:id="348" w:name="_Toc360027746"/>
      <w:bookmarkStart w:id="349" w:name="_Toc360028100"/>
      <w:bookmarkStart w:id="350" w:name="_Toc391559959"/>
      <w:bookmarkStart w:id="351" w:name="_Toc510303079"/>
      <w:bookmarkStart w:id="352" w:name="_Toc513018493"/>
      <w:bookmarkStart w:id="353" w:name="_Toc518333678"/>
      <w:bookmarkStart w:id="354" w:name="_Toc527908534"/>
      <w:r w:rsidRPr="001613FA">
        <w:lastRenderedPageBreak/>
        <w:t>DNO Party to unlicensed networks</w:t>
      </w:r>
      <w:bookmarkEnd w:id="344"/>
      <w:bookmarkEnd w:id="345"/>
      <w:bookmarkEnd w:id="346"/>
      <w:bookmarkEnd w:id="347"/>
      <w:bookmarkEnd w:id="348"/>
      <w:bookmarkEnd w:id="349"/>
      <w:bookmarkEnd w:id="350"/>
      <w:bookmarkEnd w:id="351"/>
      <w:bookmarkEnd w:id="352"/>
      <w:bookmarkEnd w:id="353"/>
      <w:bookmarkEnd w:id="354"/>
    </w:p>
    <w:p w14:paraId="13E1B5FF" w14:textId="77777777" w:rsidR="0041584B" w:rsidRPr="001613FA" w:rsidRDefault="0041584B" w:rsidP="0041584B">
      <w:pPr>
        <w:pStyle w:val="Heading2"/>
      </w:pPr>
      <w:r w:rsidRPr="001613FA">
        <w:t xml:space="preserve">Unlicensed networks have a choice.  If they are part of the Total System under the Balancing and Settlement Code with the network open to supply competition, and if they are party to the DCUSA, and have accepted the obligations to provide the necessary data, they can, if they wish, be treated as </w:t>
      </w:r>
      <w:r>
        <w:t>LDNOs</w:t>
      </w:r>
      <w:r w:rsidRPr="001613FA">
        <w:t>.</w:t>
      </w:r>
    </w:p>
    <w:p w14:paraId="550FB6E0" w14:textId="77777777" w:rsidR="0041584B" w:rsidRPr="001613FA" w:rsidRDefault="0041584B" w:rsidP="0041584B">
      <w:pPr>
        <w:pStyle w:val="Heading2"/>
      </w:pPr>
      <w:r w:rsidRPr="001613FA">
        <w:t xml:space="preserve">Otherwise, the DNO Party applies the EDCM to calculate an import charge and an export charge based on capacity and power flow data metered at the boundary.  Any sole use assets specific to the unlicensed network are charged as a p/day sole use asset charge calculated as applicable to a normal EDCM Connectee.  </w:t>
      </w:r>
    </w:p>
    <w:p w14:paraId="56E794E7" w14:textId="77777777" w:rsidR="0041584B" w:rsidRPr="001613FA" w:rsidRDefault="0041584B" w:rsidP="0041584B">
      <w:pPr>
        <w:pStyle w:val="Heading1"/>
      </w:pPr>
      <w:bookmarkStart w:id="355" w:name="_Toc320876091"/>
      <w:bookmarkStart w:id="356" w:name="_Toc320876714"/>
      <w:bookmarkStart w:id="357" w:name="_Toc325449928"/>
      <w:bookmarkStart w:id="358" w:name="_Toc339284572"/>
      <w:bookmarkStart w:id="359" w:name="_Toc360027747"/>
      <w:bookmarkStart w:id="360" w:name="_Toc360028101"/>
      <w:bookmarkStart w:id="361" w:name="_Toc391559960"/>
      <w:bookmarkStart w:id="362" w:name="_Toc510303080"/>
      <w:bookmarkStart w:id="363" w:name="_Toc513018494"/>
      <w:bookmarkStart w:id="364" w:name="_Toc518333679"/>
      <w:bookmarkStart w:id="365" w:name="_Toc527908535"/>
      <w:r w:rsidRPr="001613FA">
        <w:t>Derivation of ‘Network Use Factors’</w:t>
      </w:r>
      <w:bookmarkEnd w:id="355"/>
      <w:bookmarkEnd w:id="356"/>
      <w:bookmarkEnd w:id="357"/>
      <w:bookmarkEnd w:id="358"/>
      <w:bookmarkEnd w:id="359"/>
      <w:bookmarkEnd w:id="360"/>
      <w:bookmarkEnd w:id="361"/>
      <w:bookmarkEnd w:id="362"/>
      <w:bookmarkEnd w:id="363"/>
      <w:bookmarkEnd w:id="364"/>
      <w:bookmarkEnd w:id="365"/>
    </w:p>
    <w:p w14:paraId="0D48407B" w14:textId="77777777" w:rsidR="0041584B" w:rsidRPr="001613FA" w:rsidRDefault="0041584B" w:rsidP="0041584B">
      <w:pPr>
        <w:pStyle w:val="DCSubHeading1Level2"/>
      </w:pPr>
      <w:r w:rsidRPr="001613FA">
        <w:t>Step 1:</w:t>
      </w:r>
    </w:p>
    <w:p w14:paraId="27DE6B01" w14:textId="77777777" w:rsidR="0041584B" w:rsidRPr="001613FA" w:rsidRDefault="0041584B" w:rsidP="0041584B">
      <w:pPr>
        <w:pStyle w:val="Heading2"/>
      </w:pPr>
      <w:proofErr w:type="spellStart"/>
      <w:r w:rsidRPr="001613FA">
        <w:t>Powerflow</w:t>
      </w:r>
      <w:proofErr w:type="spellEnd"/>
      <w:r w:rsidRPr="001613FA">
        <w:t xml:space="preserve"> analysis is used to determine the change in </w:t>
      </w:r>
      <w:proofErr w:type="spellStart"/>
      <w:r w:rsidRPr="001613FA">
        <w:t>powerflow</w:t>
      </w:r>
      <w:proofErr w:type="spellEnd"/>
      <w:r w:rsidRPr="001613FA">
        <w:t xml:space="preserve"> in each Branch (in MW) that is caused by a change in load (in MW) at each node in the EHV network model, that represents either EDCM demand or CDCM demand at the EHV/HV boundary. </w:t>
      </w:r>
    </w:p>
    <w:p w14:paraId="1ABBC14F" w14:textId="77777777" w:rsidR="0041584B" w:rsidRPr="001613FA" w:rsidRDefault="0041584B" w:rsidP="0041584B">
      <w:pPr>
        <w:pStyle w:val="Heading2"/>
      </w:pPr>
      <w:r w:rsidRPr="001613FA">
        <w:t xml:space="preserve">In essence, a change in load of X MW is applied at the node under consideration and changes in </w:t>
      </w:r>
      <w:proofErr w:type="spellStart"/>
      <w:r w:rsidRPr="001613FA">
        <w:t>powerflow</w:t>
      </w:r>
      <w:proofErr w:type="spellEnd"/>
      <w:r w:rsidRPr="001613FA">
        <w:t xml:space="preserve"> in each network Branch are identified. If the change in </w:t>
      </w:r>
      <w:proofErr w:type="spellStart"/>
      <w:r w:rsidRPr="001613FA">
        <w:t>powerflow</w:t>
      </w:r>
      <w:proofErr w:type="spellEnd"/>
      <w:r w:rsidRPr="001613FA">
        <w:t xml:space="preserve"> in a particular Branch is Y MW, as a result in the change in load at the node under consideration, then the ‘Change In Branch Flow per Change In Demand’ is given </w:t>
      </w:r>
      <w:proofErr w:type="gramStart"/>
      <w:r w:rsidRPr="001613FA">
        <w:t>by:-</w:t>
      </w:r>
      <w:proofErr w:type="gramEnd"/>
    </w:p>
    <w:p w14:paraId="2FF3B32A" w14:textId="77777777" w:rsidR="0041584B" w:rsidRPr="001613FA" w:rsidRDefault="0041584B" w:rsidP="0041584B">
      <w:pPr>
        <w:ind w:firstLine="720"/>
      </w:pPr>
      <w:r w:rsidRPr="001613FA">
        <w:t xml:space="preserve">Abs (Y/X) </w:t>
      </w:r>
      <w:r w:rsidRPr="001613FA">
        <w:tab/>
        <w:t xml:space="preserve"> (MW Branch flow per MW of demand at node)</w:t>
      </w:r>
    </w:p>
    <w:p w14:paraId="332D2654" w14:textId="77777777" w:rsidR="0041584B" w:rsidRPr="001613FA" w:rsidRDefault="0041584B" w:rsidP="0041584B">
      <w:pPr>
        <w:pStyle w:val="Heading2"/>
      </w:pPr>
      <w:r w:rsidRPr="001613FA">
        <w:t xml:space="preserve">The effects of a change in demand at each node, upon the </w:t>
      </w:r>
      <w:proofErr w:type="spellStart"/>
      <w:r w:rsidRPr="001613FA">
        <w:t>powerflows</w:t>
      </w:r>
      <w:proofErr w:type="spellEnd"/>
      <w:r w:rsidRPr="001613FA">
        <w:t xml:space="preserve"> in Branches, are evaluated for each node in turn. </w:t>
      </w:r>
    </w:p>
    <w:p w14:paraId="662436B6" w14:textId="77777777" w:rsidR="0041584B" w:rsidRPr="001613FA" w:rsidRDefault="0041584B" w:rsidP="0041584B">
      <w:pPr>
        <w:pStyle w:val="Heading2"/>
      </w:pPr>
      <w:r w:rsidRPr="001613FA">
        <w:t xml:space="preserve">The method of evaluating the ‘Change in Branch Flow per Change in Demand’ shall be the Incremental Method, described below: </w:t>
      </w:r>
    </w:p>
    <w:p w14:paraId="1653C7ED" w14:textId="77777777" w:rsidR="0041584B" w:rsidRPr="001613FA" w:rsidRDefault="0041584B" w:rsidP="0041584B">
      <w:pPr>
        <w:pStyle w:val="Heading1"/>
      </w:pPr>
      <w:bookmarkStart w:id="366" w:name="_Toc320876092"/>
      <w:bookmarkStart w:id="367" w:name="_Toc320876715"/>
      <w:bookmarkStart w:id="368" w:name="_Toc325449929"/>
      <w:bookmarkStart w:id="369" w:name="_Toc339284573"/>
      <w:bookmarkStart w:id="370" w:name="_Toc360027748"/>
      <w:bookmarkStart w:id="371" w:name="_Toc360028102"/>
      <w:bookmarkStart w:id="372" w:name="_Toc391559961"/>
      <w:bookmarkStart w:id="373" w:name="_Toc510303081"/>
      <w:bookmarkStart w:id="374" w:name="_Toc513018495"/>
      <w:bookmarkStart w:id="375" w:name="_Toc518333680"/>
      <w:bookmarkStart w:id="376" w:name="_Toc527908536"/>
      <w:r w:rsidRPr="001613FA">
        <w:lastRenderedPageBreak/>
        <w:t>Incremental Method:</w:t>
      </w:r>
      <w:bookmarkEnd w:id="366"/>
      <w:bookmarkEnd w:id="367"/>
      <w:bookmarkEnd w:id="368"/>
      <w:bookmarkEnd w:id="369"/>
      <w:bookmarkEnd w:id="370"/>
      <w:bookmarkEnd w:id="371"/>
      <w:bookmarkEnd w:id="372"/>
      <w:bookmarkEnd w:id="373"/>
      <w:bookmarkEnd w:id="374"/>
      <w:bookmarkEnd w:id="375"/>
      <w:bookmarkEnd w:id="376"/>
    </w:p>
    <w:p w14:paraId="2729807A" w14:textId="77777777" w:rsidR="0041584B" w:rsidRPr="001613FA" w:rsidRDefault="0041584B" w:rsidP="0041584B">
      <w:pPr>
        <w:pStyle w:val="Heading2"/>
      </w:pPr>
      <w:r w:rsidRPr="001613FA">
        <w:t xml:space="preserve">Establish the ‘base case’ </w:t>
      </w:r>
      <w:proofErr w:type="spellStart"/>
      <w:r w:rsidRPr="001613FA">
        <w:t>powerflow</w:t>
      </w:r>
      <w:proofErr w:type="spellEnd"/>
      <w:r w:rsidRPr="001613FA">
        <w:t xml:space="preserve"> in each Branch using a network model constructed with demand data used to represent the Maximum Demand Scenario analysed in the marginal cost calculation, using Maximum Demand Data that represents the regulatory year that use of system charges are being calculated for. </w:t>
      </w:r>
    </w:p>
    <w:p w14:paraId="7E3296B1" w14:textId="77777777" w:rsidR="0041584B" w:rsidRPr="001613FA" w:rsidRDefault="0041584B" w:rsidP="0041584B">
      <w:pPr>
        <w:pStyle w:val="Heading2"/>
      </w:pPr>
      <w:r w:rsidRPr="001613FA">
        <w:t xml:space="preserve">Apply a 0.1MW (at 0.95 lagging </w:t>
      </w:r>
      <w:proofErr w:type="spellStart"/>
      <w:r w:rsidRPr="001613FA">
        <w:t>p.f</w:t>
      </w:r>
      <w:proofErr w:type="spellEnd"/>
      <w:r w:rsidRPr="001613FA">
        <w:t xml:space="preserve">.) increment to each node, in turn, in the EHV network model (at nodes that represent either an EDCM Connectee or CDCM demand at the EHV/HV boundary) and identify the change in </w:t>
      </w:r>
      <w:proofErr w:type="spellStart"/>
      <w:r w:rsidRPr="001613FA">
        <w:t>powerflow</w:t>
      </w:r>
      <w:proofErr w:type="spellEnd"/>
      <w:r w:rsidRPr="001613FA">
        <w:t xml:space="preserve"> (in MW) in all Branches where the change exceeds both 1kVA and 0.01% of the ‘base case’ </w:t>
      </w:r>
      <w:proofErr w:type="spellStart"/>
      <w:r w:rsidRPr="001613FA">
        <w:t>powerflow</w:t>
      </w:r>
      <w:proofErr w:type="spellEnd"/>
      <w:r w:rsidRPr="001613FA">
        <w:t xml:space="preserve"> in the Branch. The change in Branch flow corresponding to a 0.1MW increment at a node can be evaluated by actual application of an increment to the network model, or through the use of sensitivity coefficients. Prior to the application of the increment all the transformer </w:t>
      </w:r>
      <w:proofErr w:type="gramStart"/>
      <w:r w:rsidRPr="001613FA">
        <w:t>tap</w:t>
      </w:r>
      <w:proofErr w:type="gramEnd"/>
      <w:r w:rsidRPr="001613FA">
        <w:t xml:space="preserve"> positions, distributed generation outputs and switched shunt values are fixed to the values determined in the ‘base case’ </w:t>
      </w:r>
      <w:proofErr w:type="spellStart"/>
      <w:r w:rsidRPr="001613FA">
        <w:t>powerflow</w:t>
      </w:r>
      <w:proofErr w:type="spellEnd"/>
      <w:r w:rsidRPr="001613FA">
        <w:t xml:space="preserve"> to prevent change in their values when analysing the power flows with the increment applied.</w:t>
      </w:r>
    </w:p>
    <w:p w14:paraId="75CC045A" w14:textId="77777777" w:rsidR="0041584B" w:rsidRPr="001613FA" w:rsidRDefault="0041584B" w:rsidP="0041584B">
      <w:pPr>
        <w:pStyle w:val="Heading2"/>
      </w:pPr>
      <w:r w:rsidRPr="001613FA">
        <w:t>This calculation is performed upon the Authorised Network Model and only considers normal running arrangements.</w:t>
      </w:r>
    </w:p>
    <w:p w14:paraId="2ECFDADF" w14:textId="77777777" w:rsidR="0041584B" w:rsidRPr="001613FA" w:rsidRDefault="0041584B" w:rsidP="0041584B">
      <w:pPr>
        <w:pStyle w:val="DCSubHeading1Level2"/>
      </w:pPr>
      <w:r w:rsidRPr="001613FA">
        <w:t>Step 2:</w:t>
      </w:r>
    </w:p>
    <w:p w14:paraId="770C5F52" w14:textId="77777777" w:rsidR="0041584B" w:rsidRPr="001613FA" w:rsidRDefault="0041584B" w:rsidP="0041584B">
      <w:pPr>
        <w:pStyle w:val="Heading2"/>
      </w:pPr>
      <w:r w:rsidRPr="001613FA">
        <w:t xml:space="preserve">The ‘MW usage’ of each Branch by a given nodal demand is determined by multiplying the relevant value of ‘Change In Branch Flow per Change In Demand’ (derived in step 1) by the demand at the node (MW) as used in the Maximum Demand Scenario for the marginal cost calculation, using the Maximum Demand Data that represents the regulatory year that use of system charges are being calculated for. This will always be a positive quantity. </w:t>
      </w:r>
    </w:p>
    <w:p w14:paraId="30B1C37A" w14:textId="77777777" w:rsidR="0041584B" w:rsidRPr="001613FA" w:rsidRDefault="0041584B" w:rsidP="0041584B">
      <w:pPr>
        <w:pStyle w:val="DCSubHeading1Level2"/>
      </w:pPr>
      <w:r w:rsidRPr="001613FA">
        <w:t>Step 3:</w:t>
      </w:r>
    </w:p>
    <w:p w14:paraId="2EA4EE5F" w14:textId="77777777" w:rsidR="0041584B" w:rsidRPr="001613FA" w:rsidRDefault="0041584B" w:rsidP="0041584B">
      <w:pPr>
        <w:pStyle w:val="Heading2"/>
      </w:pPr>
      <w:r w:rsidRPr="001613FA">
        <w:t>For each Branch, the ‘total MW usage’ of the Branch by all nodal demands is determined by summating the ‘MW usage of the Branch’ by each node (as determined in step 2).</w:t>
      </w:r>
    </w:p>
    <w:p w14:paraId="08597E31" w14:textId="77777777" w:rsidR="0041584B" w:rsidRPr="001613FA" w:rsidRDefault="0041584B" w:rsidP="0041584B">
      <w:pPr>
        <w:pStyle w:val="DCSubHeading1Level2"/>
      </w:pPr>
      <w:r w:rsidRPr="001613FA">
        <w:lastRenderedPageBreak/>
        <w:t>Step 4:</w:t>
      </w:r>
    </w:p>
    <w:p w14:paraId="6C4AE2CF" w14:textId="77777777" w:rsidR="0041584B" w:rsidRDefault="0041584B" w:rsidP="0041584B">
      <w:pPr>
        <w:pStyle w:val="Heading2"/>
      </w:pPr>
      <w:r w:rsidRPr="001613FA">
        <w:t xml:space="preserve">Each nodal demand’s proportionate usage of a Branch is determined </w:t>
      </w:r>
      <w:r w:rsidRPr="00006A06">
        <w:rPr>
          <w:rFonts w:cs="Times New Roman"/>
          <w:szCs w:val="24"/>
        </w:rPr>
        <w:t>using</w:t>
      </w:r>
      <w:r w:rsidRPr="00DD2ECD">
        <w:rPr>
          <w:rFonts w:cs="Times New Roman"/>
          <w:szCs w:val="24"/>
        </w:rPr>
        <w:t xml:space="preserve"> the equation below: </w:t>
      </w:r>
    </w:p>
    <w:p w14:paraId="0FEC0435" w14:textId="77777777" w:rsidR="0041584B" w:rsidRPr="00DD2ECD" w:rsidRDefault="0041584B" w:rsidP="0041584B">
      <w:pPr>
        <w:pStyle w:val="Default"/>
        <w:spacing w:after="240" w:line="360" w:lineRule="auto"/>
        <w:ind w:left="720"/>
        <w:jc w:val="both"/>
        <w:rPr>
          <w:rFonts w:ascii="Times New Roman" w:hAnsi="Times New Roman" w:cs="Times New Roman"/>
          <w:color w:val="auto"/>
        </w:rPr>
      </w:pPr>
      <w:proofErr w:type="spellStart"/>
      <w:r w:rsidRPr="00DD2ECD">
        <w:rPr>
          <w:rFonts w:ascii="Times New Roman" w:hAnsi="Times New Roman" w:cs="Times New Roman"/>
          <w:color w:val="auto"/>
        </w:rPr>
        <w:t>Alloc</w:t>
      </w:r>
      <w:proofErr w:type="spellEnd"/>
      <w:r w:rsidRPr="00DD2ECD">
        <w:rPr>
          <w:rFonts w:ascii="Times New Roman" w:hAnsi="Times New Roman" w:cs="Times New Roman"/>
          <w:color w:val="auto"/>
        </w:rPr>
        <w:t xml:space="preserve"> (£/year) = ([MW usage] / [Total MW usage]) * (Abs [Max contingency flow] / [Rating]) * AMEAV </w:t>
      </w:r>
    </w:p>
    <w:p w14:paraId="6C6A1308" w14:textId="77777777" w:rsidR="0041584B" w:rsidRPr="00DD2ECD" w:rsidRDefault="0041584B" w:rsidP="0041584B">
      <w:pPr>
        <w:pStyle w:val="Default"/>
        <w:spacing w:after="240" w:line="360" w:lineRule="auto"/>
        <w:ind w:left="720"/>
        <w:jc w:val="both"/>
        <w:rPr>
          <w:rFonts w:ascii="Times New Roman" w:hAnsi="Times New Roman" w:cs="Times New Roman"/>
          <w:color w:val="auto"/>
        </w:rPr>
      </w:pPr>
      <w:r w:rsidRPr="00DD2ECD">
        <w:rPr>
          <w:rFonts w:ascii="Times New Roman" w:hAnsi="Times New Roman" w:cs="Times New Roman"/>
          <w:color w:val="auto"/>
        </w:rPr>
        <w:t xml:space="preserve">If the Branch is “generation-dominated”, or (2 * Abs [Base flow load]) ≤ Abs ([Base flow] - [Base flow load]), then use: </w:t>
      </w:r>
    </w:p>
    <w:p w14:paraId="3C69196F" w14:textId="77777777" w:rsidR="0041584B" w:rsidRPr="00DD2ECD" w:rsidRDefault="0041584B" w:rsidP="0041584B">
      <w:pPr>
        <w:pStyle w:val="Default"/>
        <w:spacing w:after="240" w:line="360" w:lineRule="auto"/>
        <w:ind w:left="720"/>
        <w:jc w:val="both"/>
        <w:rPr>
          <w:rFonts w:ascii="Times New Roman" w:hAnsi="Times New Roman" w:cs="Times New Roman"/>
          <w:color w:val="auto"/>
        </w:rPr>
      </w:pPr>
      <w:proofErr w:type="spellStart"/>
      <w:r w:rsidRPr="00DD2ECD">
        <w:rPr>
          <w:rFonts w:ascii="Times New Roman" w:hAnsi="Times New Roman" w:cs="Times New Roman"/>
          <w:color w:val="auto"/>
        </w:rPr>
        <w:t>Alloc</w:t>
      </w:r>
      <w:proofErr w:type="spellEnd"/>
      <w:r w:rsidRPr="00DD2ECD">
        <w:rPr>
          <w:rFonts w:ascii="Times New Roman" w:hAnsi="Times New Roman" w:cs="Times New Roman"/>
          <w:color w:val="auto"/>
        </w:rPr>
        <w:t xml:space="preserve"> (£/year) = ([MW usage] / [Total MW usage]) * (Abs [Max contingency flow] / [Rating]) * Abs ([Base flow load] / [Base flow]) * AMEAV </w:t>
      </w:r>
    </w:p>
    <w:p w14:paraId="27019729" w14:textId="77777777" w:rsidR="0041584B" w:rsidRPr="00DD2ECD" w:rsidRDefault="0041584B" w:rsidP="0041584B">
      <w:pPr>
        <w:pStyle w:val="Default"/>
        <w:spacing w:after="240" w:line="360" w:lineRule="auto"/>
        <w:ind w:firstLine="720"/>
        <w:jc w:val="both"/>
        <w:rPr>
          <w:rFonts w:ascii="Times New Roman" w:hAnsi="Times New Roman" w:cs="Times New Roman"/>
          <w:color w:val="auto"/>
        </w:rPr>
      </w:pPr>
      <w:r w:rsidRPr="00DD2ECD">
        <w:rPr>
          <w:rFonts w:ascii="Times New Roman" w:hAnsi="Times New Roman" w:cs="Times New Roman"/>
          <w:color w:val="auto"/>
        </w:rPr>
        <w:t xml:space="preserve">Where: </w:t>
      </w:r>
    </w:p>
    <w:p w14:paraId="0310BF96" w14:textId="77777777" w:rsidR="0041584B" w:rsidRPr="00DD2ECD" w:rsidRDefault="0041584B" w:rsidP="0041584B">
      <w:pPr>
        <w:pStyle w:val="Default"/>
        <w:numPr>
          <w:ilvl w:val="0"/>
          <w:numId w:val="29"/>
        </w:numPr>
        <w:spacing w:after="240" w:line="360" w:lineRule="auto"/>
        <w:jc w:val="both"/>
        <w:rPr>
          <w:rFonts w:ascii="Times New Roman" w:hAnsi="Times New Roman" w:cs="Times New Roman"/>
          <w:color w:val="auto"/>
        </w:rPr>
      </w:pPr>
      <w:proofErr w:type="spellStart"/>
      <w:r w:rsidRPr="00DD2ECD">
        <w:rPr>
          <w:rFonts w:ascii="Times New Roman" w:hAnsi="Times New Roman" w:cs="Times New Roman"/>
          <w:color w:val="auto"/>
        </w:rPr>
        <w:t>Alloc</w:t>
      </w:r>
      <w:proofErr w:type="spellEnd"/>
      <w:r w:rsidRPr="00DD2ECD">
        <w:rPr>
          <w:rFonts w:ascii="Times New Roman" w:hAnsi="Times New Roman" w:cs="Times New Roman"/>
          <w:color w:val="auto"/>
        </w:rPr>
        <w:t xml:space="preserve"> </w:t>
      </w:r>
      <w:r>
        <w:rPr>
          <w:rFonts w:ascii="Times New Roman" w:hAnsi="Times New Roman" w:cs="Times New Roman"/>
          <w:color w:val="auto"/>
        </w:rPr>
        <w:tab/>
      </w:r>
      <w:r w:rsidRPr="00DD2ECD">
        <w:rPr>
          <w:rFonts w:ascii="Times New Roman" w:hAnsi="Times New Roman" w:cs="Times New Roman"/>
          <w:color w:val="auto"/>
        </w:rPr>
        <w:t xml:space="preserve">is the allocation of the AMEAV of the asset to a demand user in £/year </w:t>
      </w:r>
    </w:p>
    <w:p w14:paraId="3492A01B" w14:textId="77777777" w:rsidR="0041584B" w:rsidRPr="00DD2ECD" w:rsidRDefault="0041584B" w:rsidP="0041584B">
      <w:pPr>
        <w:pStyle w:val="Default"/>
        <w:numPr>
          <w:ilvl w:val="0"/>
          <w:numId w:val="29"/>
        </w:numPr>
        <w:spacing w:after="240" w:line="360" w:lineRule="auto"/>
        <w:jc w:val="both"/>
        <w:rPr>
          <w:rFonts w:ascii="Times New Roman" w:hAnsi="Times New Roman" w:cs="Times New Roman"/>
          <w:color w:val="auto"/>
        </w:rPr>
      </w:pPr>
      <w:r w:rsidRPr="00DD2ECD">
        <w:rPr>
          <w:rFonts w:ascii="Times New Roman" w:hAnsi="Times New Roman" w:cs="Times New Roman"/>
          <w:color w:val="auto"/>
        </w:rPr>
        <w:t xml:space="preserve">MW </w:t>
      </w:r>
      <w:r>
        <w:rPr>
          <w:rFonts w:ascii="Times New Roman" w:hAnsi="Times New Roman" w:cs="Times New Roman"/>
          <w:color w:val="auto"/>
        </w:rPr>
        <w:tab/>
      </w:r>
      <w:r w:rsidRPr="00DD2ECD">
        <w:rPr>
          <w:rFonts w:ascii="Times New Roman" w:hAnsi="Times New Roman" w:cs="Times New Roman"/>
          <w:color w:val="auto"/>
        </w:rPr>
        <w:t xml:space="preserve">usage is the absolute value of the “MW usage” of the asset attributable to that demand user (expressed in MW) </w:t>
      </w:r>
    </w:p>
    <w:p w14:paraId="7814F1A4" w14:textId="77777777" w:rsidR="0041584B" w:rsidRPr="00DD2ECD" w:rsidRDefault="0041584B" w:rsidP="0041584B">
      <w:pPr>
        <w:pStyle w:val="Default"/>
        <w:numPr>
          <w:ilvl w:val="0"/>
          <w:numId w:val="29"/>
        </w:numPr>
        <w:spacing w:after="240" w:line="360" w:lineRule="auto"/>
        <w:jc w:val="both"/>
        <w:rPr>
          <w:rFonts w:ascii="Times New Roman" w:hAnsi="Times New Roman" w:cs="Times New Roman"/>
          <w:color w:val="auto"/>
        </w:rPr>
      </w:pPr>
      <w:r w:rsidRPr="00DD2ECD">
        <w:rPr>
          <w:rFonts w:ascii="Times New Roman" w:hAnsi="Times New Roman" w:cs="Times New Roman"/>
          <w:color w:val="auto"/>
        </w:rPr>
        <w:t xml:space="preserve">Total MW usage is the sum of the absolute values of the “MW usage” of all demand users of that asset (expressed in MW) </w:t>
      </w:r>
    </w:p>
    <w:p w14:paraId="56871C82" w14:textId="77777777" w:rsidR="0041584B" w:rsidRPr="00DD2ECD" w:rsidRDefault="0041584B" w:rsidP="0041584B">
      <w:pPr>
        <w:pStyle w:val="Default"/>
        <w:numPr>
          <w:ilvl w:val="0"/>
          <w:numId w:val="29"/>
        </w:numPr>
        <w:spacing w:after="240" w:line="360" w:lineRule="auto"/>
        <w:jc w:val="both"/>
        <w:rPr>
          <w:rFonts w:ascii="Times New Roman" w:hAnsi="Times New Roman" w:cs="Times New Roman"/>
          <w:color w:val="auto"/>
        </w:rPr>
      </w:pPr>
      <w:r w:rsidRPr="00DD2ECD">
        <w:rPr>
          <w:rFonts w:ascii="Times New Roman" w:hAnsi="Times New Roman" w:cs="Times New Roman"/>
          <w:color w:val="auto"/>
        </w:rPr>
        <w:t xml:space="preserve">Max contingency flow is the maximum post-contingent flow through the asset in MVA. The maximum post-contingency asset flows may be extracted from the ‘locational’ analyses. </w:t>
      </w:r>
    </w:p>
    <w:p w14:paraId="185D91DA" w14:textId="77777777" w:rsidR="0041584B" w:rsidRPr="00DD2ECD" w:rsidRDefault="0041584B" w:rsidP="0041584B">
      <w:pPr>
        <w:pStyle w:val="Default"/>
        <w:numPr>
          <w:ilvl w:val="0"/>
          <w:numId w:val="29"/>
        </w:numPr>
        <w:spacing w:after="240" w:line="360" w:lineRule="auto"/>
        <w:jc w:val="both"/>
        <w:rPr>
          <w:rFonts w:ascii="Times New Roman" w:hAnsi="Times New Roman" w:cs="Times New Roman"/>
          <w:color w:val="auto"/>
        </w:rPr>
      </w:pPr>
      <w:r w:rsidRPr="00DD2ECD">
        <w:rPr>
          <w:rFonts w:ascii="Times New Roman" w:hAnsi="Times New Roman" w:cs="Times New Roman"/>
          <w:color w:val="auto"/>
        </w:rPr>
        <w:t xml:space="preserve">Rating </w:t>
      </w:r>
      <w:r>
        <w:rPr>
          <w:rFonts w:ascii="Times New Roman" w:hAnsi="Times New Roman" w:cs="Times New Roman"/>
          <w:color w:val="auto"/>
        </w:rPr>
        <w:tab/>
      </w:r>
      <w:r w:rsidRPr="00DD2ECD">
        <w:rPr>
          <w:rFonts w:ascii="Times New Roman" w:hAnsi="Times New Roman" w:cs="Times New Roman"/>
          <w:color w:val="auto"/>
        </w:rPr>
        <w:t xml:space="preserve">is the unadjusted rated capacity of the asset in MVA </w:t>
      </w:r>
    </w:p>
    <w:p w14:paraId="58B11DE1" w14:textId="77777777" w:rsidR="0041584B" w:rsidRPr="00DD2ECD" w:rsidRDefault="0041584B" w:rsidP="0041584B">
      <w:pPr>
        <w:pStyle w:val="Default"/>
        <w:numPr>
          <w:ilvl w:val="0"/>
          <w:numId w:val="29"/>
        </w:numPr>
        <w:spacing w:after="240" w:line="360" w:lineRule="auto"/>
        <w:jc w:val="both"/>
        <w:rPr>
          <w:rFonts w:ascii="Times New Roman" w:hAnsi="Times New Roman" w:cs="Times New Roman"/>
          <w:color w:val="auto"/>
        </w:rPr>
      </w:pPr>
      <w:r w:rsidRPr="00DD2ECD">
        <w:rPr>
          <w:rFonts w:ascii="Times New Roman" w:hAnsi="Times New Roman" w:cs="Times New Roman"/>
          <w:color w:val="auto"/>
        </w:rPr>
        <w:t>Base flow load is the algebraic sum of power flows through the Branch due to demand only in MW</w:t>
      </w:r>
      <w:r>
        <w:rPr>
          <w:rFonts w:ascii="Times New Roman" w:hAnsi="Times New Roman" w:cs="Times New Roman"/>
          <w:color w:val="auto"/>
        </w:rPr>
        <w:t>.</w:t>
      </w:r>
      <w:r w:rsidRPr="00DD2ECD">
        <w:rPr>
          <w:rFonts w:ascii="Times New Roman" w:hAnsi="Times New Roman" w:cs="Times New Roman"/>
          <w:color w:val="auto"/>
        </w:rPr>
        <w:t xml:space="preserve"> </w:t>
      </w:r>
    </w:p>
    <w:p w14:paraId="1DD417BC" w14:textId="77777777" w:rsidR="0041584B" w:rsidRPr="00DD2ECD" w:rsidRDefault="0041584B" w:rsidP="0041584B">
      <w:pPr>
        <w:pStyle w:val="Default"/>
        <w:numPr>
          <w:ilvl w:val="0"/>
          <w:numId w:val="29"/>
        </w:numPr>
        <w:spacing w:after="240" w:line="360" w:lineRule="auto"/>
        <w:jc w:val="both"/>
        <w:rPr>
          <w:rFonts w:ascii="Times New Roman" w:hAnsi="Times New Roman" w:cs="Times New Roman"/>
          <w:color w:val="auto"/>
        </w:rPr>
      </w:pPr>
      <w:r w:rsidRPr="00DD2ECD">
        <w:rPr>
          <w:rFonts w:ascii="Times New Roman" w:hAnsi="Times New Roman" w:cs="Times New Roman"/>
          <w:color w:val="auto"/>
        </w:rPr>
        <w:t>Base flow is the aggregate power flow through the Branch under normal network operation in MW</w:t>
      </w:r>
      <w:r>
        <w:rPr>
          <w:rFonts w:ascii="Times New Roman" w:hAnsi="Times New Roman" w:cs="Times New Roman"/>
          <w:color w:val="auto"/>
        </w:rPr>
        <w:t>.</w:t>
      </w:r>
      <w:r w:rsidRPr="00DD2ECD">
        <w:rPr>
          <w:rFonts w:ascii="Times New Roman" w:hAnsi="Times New Roman" w:cs="Times New Roman"/>
          <w:color w:val="auto"/>
        </w:rPr>
        <w:t xml:space="preserve"> </w:t>
      </w:r>
    </w:p>
    <w:p w14:paraId="6C9F3659" w14:textId="77777777" w:rsidR="0041584B" w:rsidRPr="00DD2ECD" w:rsidRDefault="0041584B" w:rsidP="0041584B">
      <w:pPr>
        <w:pStyle w:val="Default"/>
        <w:numPr>
          <w:ilvl w:val="0"/>
          <w:numId w:val="29"/>
        </w:numPr>
        <w:spacing w:after="240" w:line="360" w:lineRule="auto"/>
        <w:jc w:val="both"/>
        <w:rPr>
          <w:rFonts w:ascii="Times New Roman" w:hAnsi="Times New Roman" w:cs="Times New Roman"/>
          <w:color w:val="auto"/>
        </w:rPr>
      </w:pPr>
      <w:r w:rsidRPr="00DD2ECD">
        <w:rPr>
          <w:rFonts w:ascii="Times New Roman" w:hAnsi="Times New Roman" w:cs="Times New Roman"/>
          <w:color w:val="auto"/>
        </w:rPr>
        <w:t xml:space="preserve">AMEAV is the </w:t>
      </w:r>
      <w:proofErr w:type="spellStart"/>
      <w:r w:rsidRPr="00DD2ECD">
        <w:rPr>
          <w:rFonts w:ascii="Times New Roman" w:hAnsi="Times New Roman" w:cs="Times New Roman"/>
          <w:color w:val="auto"/>
        </w:rPr>
        <w:t>annualised</w:t>
      </w:r>
      <w:proofErr w:type="spellEnd"/>
      <w:r w:rsidRPr="00DD2ECD">
        <w:rPr>
          <w:rFonts w:ascii="Times New Roman" w:hAnsi="Times New Roman" w:cs="Times New Roman"/>
          <w:color w:val="auto"/>
        </w:rPr>
        <w:t xml:space="preserve"> modern equivalent asset value in £/year of that asset</w:t>
      </w:r>
      <w:r>
        <w:rPr>
          <w:rFonts w:ascii="Times New Roman" w:hAnsi="Times New Roman" w:cs="Times New Roman"/>
          <w:color w:val="auto"/>
        </w:rPr>
        <w:t>.</w:t>
      </w:r>
      <w:r w:rsidRPr="00DD2ECD">
        <w:rPr>
          <w:rFonts w:ascii="Times New Roman" w:hAnsi="Times New Roman" w:cs="Times New Roman"/>
          <w:color w:val="auto"/>
        </w:rPr>
        <w:t xml:space="preserve"> </w:t>
      </w:r>
    </w:p>
    <w:p w14:paraId="32F4F73C" w14:textId="77777777" w:rsidR="0041584B" w:rsidRPr="00DD2ECD" w:rsidRDefault="0041584B" w:rsidP="0041584B">
      <w:pPr>
        <w:pStyle w:val="Default"/>
        <w:numPr>
          <w:ilvl w:val="0"/>
          <w:numId w:val="29"/>
        </w:numPr>
        <w:spacing w:after="240" w:line="360" w:lineRule="auto"/>
        <w:jc w:val="both"/>
        <w:rPr>
          <w:rFonts w:ascii="Times New Roman" w:hAnsi="Times New Roman" w:cs="Times New Roman"/>
          <w:color w:val="auto"/>
        </w:rPr>
      </w:pPr>
      <w:r w:rsidRPr="00DD2ECD">
        <w:rPr>
          <w:rFonts w:ascii="Times New Roman" w:hAnsi="Times New Roman" w:cs="Times New Roman"/>
          <w:color w:val="auto"/>
        </w:rPr>
        <w:lastRenderedPageBreak/>
        <w:t xml:space="preserve">The ratio ([Max contingency flow] / [Rating]) is called the asset </w:t>
      </w:r>
      <w:proofErr w:type="spellStart"/>
      <w:r w:rsidRPr="00DD2ECD">
        <w:rPr>
          <w:rFonts w:ascii="Times New Roman" w:hAnsi="Times New Roman" w:cs="Times New Roman"/>
          <w:color w:val="auto"/>
        </w:rPr>
        <w:t>utilisation</w:t>
      </w:r>
      <w:proofErr w:type="spellEnd"/>
      <w:r w:rsidRPr="00DD2ECD">
        <w:rPr>
          <w:rFonts w:ascii="Times New Roman" w:hAnsi="Times New Roman" w:cs="Times New Roman"/>
          <w:color w:val="auto"/>
        </w:rPr>
        <w:t xml:space="preserve"> factor and it is capped at 1. </w:t>
      </w:r>
    </w:p>
    <w:p w14:paraId="7ABD78DB" w14:textId="77777777" w:rsidR="0041584B" w:rsidRDefault="0041584B" w:rsidP="0041584B">
      <w:pPr>
        <w:pStyle w:val="Heading2"/>
        <w:numPr>
          <w:ilvl w:val="0"/>
          <w:numId w:val="0"/>
        </w:numPr>
        <w:ind w:left="720"/>
      </w:pPr>
      <w:r w:rsidRPr="009F537D">
        <w:t xml:space="preserve">The quantity (Abs [Max </w:t>
      </w:r>
      <w:r w:rsidRPr="00FA71ED">
        <w:t>contingency</w:t>
      </w:r>
      <w:r w:rsidRPr="009F537D">
        <w:t xml:space="preserve"> flow] / [Rating]) * Abs ([Base flow load] / [Base flow]) is called the load utilisation factor</w:t>
      </w:r>
      <w:r>
        <w:t>.</w:t>
      </w:r>
    </w:p>
    <w:p w14:paraId="51D27560" w14:textId="77777777" w:rsidR="0041584B" w:rsidRPr="001613FA" w:rsidRDefault="0041584B" w:rsidP="0041584B">
      <w:pPr>
        <w:pStyle w:val="Heading2"/>
      </w:pPr>
      <w:r w:rsidRPr="001613FA">
        <w:t>Sole use assets are not to be included in the calculation of the MEAV of the Branches and consequently some Branches may have an MEAV of zero.</w:t>
      </w:r>
    </w:p>
    <w:p w14:paraId="11EDBB9F" w14:textId="77777777" w:rsidR="0041584B" w:rsidRPr="001613FA" w:rsidRDefault="0041584B" w:rsidP="0041584B">
      <w:pPr>
        <w:pStyle w:val="DCSubHeading1Level2"/>
      </w:pPr>
      <w:r w:rsidRPr="001613FA">
        <w:t>Step 5:</w:t>
      </w:r>
    </w:p>
    <w:p w14:paraId="68436AC5" w14:textId="77777777" w:rsidR="0041584B" w:rsidRPr="001613FA" w:rsidRDefault="0041584B" w:rsidP="0041584B">
      <w:pPr>
        <w:pStyle w:val="Heading2"/>
      </w:pPr>
      <w:r w:rsidRPr="001613FA">
        <w:t xml:space="preserve">For each node, the £/annum ‘usage’ of Branches (calculated in Step 4) of the same voltage level, by the demand at the node, are summated to create a total £/annum for each voltage level for the nodal demand. The considered voltage levels correspond to those used in the CDCM and include voltage levels that represent transformation between two voltages. These voltage levels are ‘132kV’, ‘132kV/EHV’, ‘EHV’, ‘EHV/HV’ and ‘132kV/HV’. </w:t>
      </w:r>
    </w:p>
    <w:p w14:paraId="7D64079E" w14:textId="77777777" w:rsidR="0041584B" w:rsidRPr="001613FA" w:rsidRDefault="0041584B" w:rsidP="0041584B">
      <w:pPr>
        <w:pStyle w:val="Heading2"/>
      </w:pPr>
      <w:r w:rsidRPr="001613FA">
        <w:t xml:space="preserve">For each node where EDCM demand is present, the total £/annum ‘usage’ of Branches of each voltage level, for the node, is divided by the demand at the node (in kW), as used in the Maximum Demand Scenario, to create a £/kW/annum total usage of Branches at each voltage level by the particular node. This shall be the numerator in the network use factor, for a particular voltage level, for the EDCM demand node. </w:t>
      </w:r>
    </w:p>
    <w:p w14:paraId="01852280" w14:textId="77777777" w:rsidR="0041584B" w:rsidRPr="001613FA" w:rsidRDefault="0041584B" w:rsidP="0041584B">
      <w:pPr>
        <w:pStyle w:val="Heading2"/>
      </w:pPr>
      <w:r w:rsidRPr="001613FA">
        <w:t xml:space="preserve">For all nodes where CDCM demand is present, and the CDCM demand is considered to be ‘dominant’ at the node (CDCM demand shall be considered to be ‘dominant’ where the DNO Party estimates that the maximum demand associated with all CDCM demand at the node exceeds the maximum demand associated with all EDCM demand at the node), the £/annum ‘usages’ of Branches at each voltage level (calculated in Step 4) are summated to create a total £/annum ‘usage’ for all  CDCM dominated nodes. The CDCM demand ‘using’ each voltage level is determined by summating the nodal demands of all CDCM dominated nodes that have </w:t>
      </w:r>
      <w:proofErr w:type="gramStart"/>
      <w:r w:rsidRPr="001613FA">
        <w:t>non zero</w:t>
      </w:r>
      <w:proofErr w:type="gramEnd"/>
      <w:r w:rsidRPr="001613FA">
        <w:t xml:space="preserve"> £/annum ‘usages’ at the particular voltage level. The average £/kW/annum network usage by CDCM dominated nodes is derived for each voltage level by dividing the total £/annum usage (at the voltage level by CDCM dominated nodes) by the total CDCM demand ‘using’ the voltage level. This provides the denominators used for the network use factors.</w:t>
      </w:r>
    </w:p>
    <w:p w14:paraId="6B8943C4" w14:textId="77777777" w:rsidR="0041584B" w:rsidRPr="001613FA" w:rsidRDefault="0041584B" w:rsidP="0041584B">
      <w:pPr>
        <w:pStyle w:val="Heading2"/>
      </w:pPr>
      <w:r w:rsidRPr="001613FA">
        <w:lastRenderedPageBreak/>
        <w:t xml:space="preserve">The network use factor, at each voltage level, for each node where EDCM demand is present therefore is the £/kW/annum for the nodal demand at the appropriate voltage level, divided by the corresponding average £/kW/annum for the same voltage level determined for CDCM dominated nodes. </w:t>
      </w:r>
    </w:p>
    <w:p w14:paraId="0BF9AA0C" w14:textId="77777777" w:rsidR="0041584B" w:rsidRDefault="0041584B" w:rsidP="0041584B">
      <w:pPr>
        <w:pStyle w:val="DCSubHeading2Level2"/>
        <w:ind w:left="0"/>
      </w:pPr>
      <w:r>
        <w:br w:type="page"/>
      </w:r>
    </w:p>
    <w:p w14:paraId="03FD4656" w14:textId="77777777" w:rsidR="0041584B" w:rsidRPr="00B87636" w:rsidRDefault="0041584B" w:rsidP="0041584B">
      <w:pPr>
        <w:pStyle w:val="DCHeading1"/>
      </w:pPr>
      <w:bookmarkStart w:id="377" w:name="_Toc360028103"/>
      <w:bookmarkStart w:id="378" w:name="_Toc391559962"/>
      <w:bookmarkStart w:id="379" w:name="_Toc510303082"/>
      <w:bookmarkStart w:id="380" w:name="_Toc513018496"/>
      <w:bookmarkStart w:id="381" w:name="_Toc518333681"/>
      <w:bookmarkStart w:id="382" w:name="_Toc527908537"/>
      <w:bookmarkStart w:id="383" w:name="_Ref269303635"/>
      <w:bookmarkStart w:id="384" w:name="_Toc269721198"/>
      <w:r w:rsidRPr="00B87636">
        <w:lastRenderedPageBreak/>
        <w:t>SCHEDULE 18 – EHV CHARGING METHODOLOGY (LRIC MODEL)</w:t>
      </w:r>
      <w:bookmarkEnd w:id="377"/>
      <w:bookmarkEnd w:id="378"/>
      <w:bookmarkEnd w:id="379"/>
      <w:bookmarkEnd w:id="380"/>
      <w:bookmarkEnd w:id="381"/>
      <w:bookmarkEnd w:id="382"/>
    </w:p>
    <w:p w14:paraId="267FF8A8" w14:textId="77777777" w:rsidR="0041584B" w:rsidRPr="001613FA" w:rsidRDefault="0041584B" w:rsidP="0041584B">
      <w:pPr>
        <w:pStyle w:val="DCSubHeading1Level2"/>
        <w:jc w:val="center"/>
      </w:pPr>
      <w:bookmarkStart w:id="385" w:name="Annex1"/>
      <w:r w:rsidRPr="001613FA">
        <w:t>Annex 1</w:t>
      </w:r>
      <w:bookmarkEnd w:id="385"/>
      <w:r w:rsidRPr="001613FA">
        <w:t xml:space="preserve"> – Implementation Guide</w:t>
      </w:r>
    </w:p>
    <w:p w14:paraId="16730D57" w14:textId="77777777" w:rsidR="0041584B" w:rsidRPr="00C96E40" w:rsidRDefault="0041584B" w:rsidP="0041584B">
      <w:pPr>
        <w:pStyle w:val="Heading1"/>
        <w:numPr>
          <w:ilvl w:val="0"/>
          <w:numId w:val="74"/>
        </w:numPr>
      </w:pPr>
      <w:bookmarkStart w:id="386" w:name="_Toc264575184"/>
      <w:bookmarkStart w:id="387" w:name="_Toc268553668"/>
      <w:bookmarkStart w:id="388" w:name="_Toc269379853"/>
      <w:bookmarkStart w:id="389" w:name="_Toc269720502"/>
      <w:bookmarkStart w:id="390" w:name="_Toc269721199"/>
      <w:bookmarkStart w:id="391" w:name="_Toc320876093"/>
      <w:bookmarkStart w:id="392" w:name="_Toc320876716"/>
      <w:bookmarkStart w:id="393" w:name="_Toc325449930"/>
      <w:bookmarkStart w:id="394" w:name="_Toc339284574"/>
      <w:bookmarkStart w:id="395" w:name="_Toc360027750"/>
      <w:bookmarkStart w:id="396" w:name="_Toc360028104"/>
      <w:bookmarkStart w:id="397" w:name="_Toc391559963"/>
      <w:bookmarkStart w:id="398" w:name="_Toc510303083"/>
      <w:bookmarkStart w:id="399" w:name="_Toc513018497"/>
      <w:bookmarkStart w:id="400" w:name="_Toc518333682"/>
      <w:bookmarkStart w:id="401" w:name="_Toc527908538"/>
      <w:bookmarkEnd w:id="383"/>
      <w:bookmarkEnd w:id="384"/>
      <w:r w:rsidRPr="00C96E40">
        <w:t>Scope</w:t>
      </w:r>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p>
    <w:p w14:paraId="56D380F2" w14:textId="77777777" w:rsidR="0041584B" w:rsidRPr="001613FA" w:rsidRDefault="0041584B" w:rsidP="0041584B">
      <w:pPr>
        <w:pStyle w:val="Heading2"/>
      </w:pPr>
      <w:r w:rsidRPr="001613FA">
        <w:t>This Annex describes the definitions, input and output data, and the power flow analysis process required to model the DNO Party’s Distribution System to enable the LRIC methodology to be implemented as set out in the EDCM.</w:t>
      </w:r>
    </w:p>
    <w:p w14:paraId="0B06A28D" w14:textId="77777777" w:rsidR="0041584B" w:rsidRPr="001613FA" w:rsidRDefault="0041584B" w:rsidP="0041584B">
      <w:pPr>
        <w:pStyle w:val="Heading1"/>
        <w:ind w:left="142"/>
      </w:pPr>
      <w:bookmarkStart w:id="402" w:name="_Toc268553669"/>
      <w:bookmarkStart w:id="403" w:name="_Toc269379854"/>
      <w:bookmarkStart w:id="404" w:name="_Toc269720503"/>
      <w:bookmarkStart w:id="405" w:name="_Toc269721200"/>
      <w:bookmarkStart w:id="406" w:name="_Toc320876094"/>
      <w:bookmarkStart w:id="407" w:name="_Toc320876717"/>
      <w:bookmarkStart w:id="408" w:name="_Toc325449931"/>
      <w:bookmarkStart w:id="409" w:name="_Toc339284575"/>
      <w:bookmarkStart w:id="410" w:name="_Toc360027751"/>
      <w:bookmarkStart w:id="411" w:name="_Toc360028105"/>
      <w:bookmarkStart w:id="412" w:name="_Toc391559964"/>
      <w:bookmarkStart w:id="413" w:name="_Toc510303084"/>
      <w:bookmarkStart w:id="414" w:name="_Toc513018498"/>
      <w:bookmarkStart w:id="415" w:name="_Toc518333683"/>
      <w:bookmarkStart w:id="416" w:name="_Toc527908539"/>
      <w:r w:rsidRPr="001613FA">
        <w:t>Power Systems Analysis</w:t>
      </w:r>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p>
    <w:p w14:paraId="1896BE83" w14:textId="77777777" w:rsidR="0041584B" w:rsidRPr="001613FA" w:rsidRDefault="0041584B" w:rsidP="0041584B">
      <w:pPr>
        <w:pStyle w:val="DCSubHeading1Level2"/>
      </w:pPr>
      <w:bookmarkStart w:id="417" w:name="_Toc268553670"/>
      <w:bookmarkStart w:id="418" w:name="_Toc269379855"/>
      <w:bookmarkStart w:id="419" w:name="_Toc269720504"/>
      <w:bookmarkStart w:id="420" w:name="_Toc269721201"/>
      <w:r w:rsidRPr="001613FA">
        <w:t>Power Flow Analysis Tools</w:t>
      </w:r>
      <w:bookmarkEnd w:id="417"/>
      <w:bookmarkEnd w:id="418"/>
      <w:bookmarkEnd w:id="419"/>
      <w:bookmarkEnd w:id="420"/>
    </w:p>
    <w:p w14:paraId="6A175F69" w14:textId="77777777" w:rsidR="0041584B" w:rsidRPr="001613FA" w:rsidRDefault="0041584B" w:rsidP="0041584B">
      <w:pPr>
        <w:pStyle w:val="Heading2"/>
      </w:pPr>
      <w:r w:rsidRPr="001613FA">
        <w:t>The DNO Parties use a variety of software tools to model their respective Distribution Systems for the purposes of operating and planning their Distribution Systems.</w:t>
      </w:r>
    </w:p>
    <w:p w14:paraId="1DB42559" w14:textId="77777777" w:rsidR="0041584B" w:rsidRPr="001613FA" w:rsidRDefault="0041584B" w:rsidP="0041584B">
      <w:pPr>
        <w:pStyle w:val="Heading2"/>
      </w:pPr>
      <w:r w:rsidRPr="001613FA">
        <w:t>The Authority and the DNO Parties have agreed that it is not appropriate to prescribe which software tool is used for the analysis of the Distribution Systems, as it is for each DNO Party to satisfy itself that it is using the appropriate tools for planning and operation of its Distribution System.</w:t>
      </w:r>
    </w:p>
    <w:p w14:paraId="230997E2" w14:textId="77777777" w:rsidR="0041584B" w:rsidRPr="001613FA" w:rsidRDefault="0041584B" w:rsidP="0041584B">
      <w:pPr>
        <w:pStyle w:val="Heading2"/>
      </w:pPr>
      <w:r w:rsidRPr="001613FA">
        <w:t xml:space="preserve">The DNO Parties routinely analyse their Distribution Systems using power system analysis tools to identify where limitations exist on the network; this information is used to plan reinforcement. The DNO Parties hold current representations of their Distribution Systems within their respective power system analysis tools for this analysis.  The aim of using power flow analysis for pricing purposes is to replicate the reinforcement assessment process to determine the costs of future reinforcement of the DNO Party’s Distribution System.  Analysing the Distribution System at this level of granularity enables the creation of Nodal costs that can be used to convey cost messages at the Nodal level if desirable. </w:t>
      </w:r>
    </w:p>
    <w:p w14:paraId="421476B1" w14:textId="77777777" w:rsidR="0041584B" w:rsidRPr="001613FA" w:rsidRDefault="0041584B" w:rsidP="0041584B">
      <w:pPr>
        <w:pStyle w:val="DCSubHeading1Level2"/>
      </w:pPr>
      <w:bookmarkStart w:id="421" w:name="_Toc268553671"/>
      <w:bookmarkStart w:id="422" w:name="_Toc269379856"/>
      <w:bookmarkStart w:id="423" w:name="_Toc269720505"/>
      <w:bookmarkStart w:id="424" w:name="_Toc269721202"/>
      <w:r w:rsidRPr="001613FA">
        <w:lastRenderedPageBreak/>
        <w:t xml:space="preserve">Power Flow Analysis for </w:t>
      </w:r>
      <w:bookmarkEnd w:id="421"/>
      <w:bookmarkEnd w:id="422"/>
      <w:bookmarkEnd w:id="423"/>
      <w:bookmarkEnd w:id="424"/>
      <w:r w:rsidRPr="001613FA">
        <w:t>Incremental Costing</w:t>
      </w:r>
    </w:p>
    <w:p w14:paraId="261A49FB" w14:textId="77777777" w:rsidR="0041584B" w:rsidRPr="001613FA" w:rsidRDefault="0041584B" w:rsidP="0041584B">
      <w:pPr>
        <w:pStyle w:val="Heading2"/>
      </w:pPr>
      <w:r w:rsidRPr="001613FA">
        <w:t>Planning of a Distribution System (to satisfy the requirements of the Act and the Distribution Licences) using a power system analysis tool requires the development of a network model which represents the actual Distribution System and the application of a set of demand data that represent the demands that the network will be required to deliver whilst satisfying the nationally defined security standard, ER P2/6.</w:t>
      </w:r>
    </w:p>
    <w:p w14:paraId="5994E851" w14:textId="77777777" w:rsidR="0041584B" w:rsidRPr="001613FA" w:rsidRDefault="0041584B" w:rsidP="0041584B">
      <w:pPr>
        <w:pStyle w:val="Heading2"/>
      </w:pPr>
      <w:r w:rsidRPr="001613FA">
        <w:t>These following sections describe the definitions, input data, and the power flow analysis process required to model the DNO Party’s Distribution System for incremental costing purposes. The calculation of reinforcement cost and the main outputs are discussed at the end of this Annex.</w:t>
      </w:r>
    </w:p>
    <w:p w14:paraId="40A145DD" w14:textId="77777777" w:rsidR="0041584B" w:rsidRPr="001613FA" w:rsidRDefault="0041584B" w:rsidP="0041584B">
      <w:pPr>
        <w:pStyle w:val="Heading1"/>
      </w:pPr>
      <w:bookmarkStart w:id="425" w:name="_Toc268553672"/>
      <w:bookmarkStart w:id="426" w:name="_Toc269379857"/>
      <w:bookmarkStart w:id="427" w:name="_Toc269720506"/>
      <w:bookmarkStart w:id="428" w:name="_Toc269721203"/>
      <w:bookmarkStart w:id="429" w:name="_Toc320876095"/>
      <w:bookmarkStart w:id="430" w:name="_Toc320876718"/>
      <w:bookmarkStart w:id="431" w:name="_Toc325449932"/>
      <w:bookmarkStart w:id="432" w:name="_Toc339284576"/>
      <w:bookmarkStart w:id="433" w:name="_Toc360027752"/>
      <w:bookmarkStart w:id="434" w:name="_Toc360028106"/>
      <w:bookmarkStart w:id="435" w:name="_Toc391559965"/>
      <w:bookmarkStart w:id="436" w:name="_Toc510303085"/>
      <w:bookmarkStart w:id="437" w:name="_Toc513018499"/>
      <w:bookmarkStart w:id="438" w:name="_Toc518333684"/>
      <w:bookmarkStart w:id="439" w:name="_Toc527908540"/>
      <w:r w:rsidRPr="001613FA">
        <w:t>Definitions</w:t>
      </w:r>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p>
    <w:p w14:paraId="06021258" w14:textId="77777777" w:rsidR="0041584B" w:rsidRPr="001613FA" w:rsidRDefault="0041584B" w:rsidP="0041584B">
      <w:pPr>
        <w:pStyle w:val="Heading2"/>
      </w:pPr>
      <w:r w:rsidRPr="001613FA">
        <w:t xml:space="preserve">In this Schedule 18, unless the context otherwise requires, the expressions below shall have the meanings set out below. </w:t>
      </w:r>
    </w:p>
    <w:tbl>
      <w:tblPr>
        <w:tblW w:w="0" w:type="auto"/>
        <w:tblInd w:w="648" w:type="dxa"/>
        <w:tblLook w:val="01E0" w:firstRow="1" w:lastRow="1" w:firstColumn="1" w:lastColumn="1" w:noHBand="0" w:noVBand="0"/>
      </w:tblPr>
      <w:tblGrid>
        <w:gridCol w:w="2475"/>
        <w:gridCol w:w="5906"/>
      </w:tblGrid>
      <w:tr w:rsidR="0041584B" w:rsidRPr="00061A99" w14:paraId="2662F22B" w14:textId="77777777" w:rsidTr="0041584B">
        <w:tc>
          <w:tcPr>
            <w:tcW w:w="2475" w:type="dxa"/>
          </w:tcPr>
          <w:p w14:paraId="18867264" w14:textId="77777777" w:rsidR="0041584B" w:rsidRPr="000C767B" w:rsidRDefault="0041584B" w:rsidP="0041584B">
            <w:pPr>
              <w:pStyle w:val="DCUSATabletextnumbers"/>
            </w:pPr>
            <w:r w:rsidRPr="000C767B">
              <w:t>Term</w:t>
            </w:r>
          </w:p>
        </w:tc>
        <w:tc>
          <w:tcPr>
            <w:tcW w:w="5906" w:type="dxa"/>
          </w:tcPr>
          <w:p w14:paraId="78DF378C" w14:textId="77777777" w:rsidR="0041584B" w:rsidRPr="000C767B" w:rsidRDefault="0041584B" w:rsidP="0041584B">
            <w:pPr>
              <w:pStyle w:val="DCUSATabletextnumbers"/>
            </w:pPr>
            <w:r w:rsidRPr="000C767B">
              <w:t>Definition</w:t>
            </w:r>
          </w:p>
        </w:tc>
      </w:tr>
      <w:tr w:rsidR="0041584B" w:rsidRPr="00061A99" w14:paraId="384EA943" w14:textId="77777777" w:rsidTr="0041584B">
        <w:tc>
          <w:tcPr>
            <w:tcW w:w="2475" w:type="dxa"/>
          </w:tcPr>
          <w:p w14:paraId="3CF11C49" w14:textId="77777777" w:rsidR="0041584B" w:rsidRPr="00061A99" w:rsidRDefault="0041584B" w:rsidP="0041584B">
            <w:pPr>
              <w:pStyle w:val="DCUSATabletextnumbers"/>
            </w:pPr>
            <w:r w:rsidRPr="00061A99">
              <w:t>Active Power</w:t>
            </w:r>
          </w:p>
        </w:tc>
        <w:tc>
          <w:tcPr>
            <w:tcW w:w="5906" w:type="dxa"/>
          </w:tcPr>
          <w:p w14:paraId="08D6ECFF" w14:textId="77777777" w:rsidR="0041584B" w:rsidRPr="00061A99" w:rsidRDefault="0041584B" w:rsidP="0041584B">
            <w:pPr>
              <w:pStyle w:val="DCUSATableText"/>
              <w:spacing w:after="240" w:line="360" w:lineRule="auto"/>
              <w:ind w:left="113"/>
            </w:pPr>
            <w:r w:rsidRPr="00061A99">
              <w:t>The product of the voltage, current and cosine of the phase angle between them, measured in watts.</w:t>
            </w:r>
          </w:p>
        </w:tc>
      </w:tr>
      <w:tr w:rsidR="0041584B" w:rsidRPr="00061A99" w14:paraId="31E94AAF" w14:textId="77777777" w:rsidTr="0041584B">
        <w:tc>
          <w:tcPr>
            <w:tcW w:w="2475" w:type="dxa"/>
          </w:tcPr>
          <w:p w14:paraId="3CC032C7" w14:textId="77777777" w:rsidR="0041584B" w:rsidRPr="00061A99" w:rsidRDefault="0041584B" w:rsidP="0041584B">
            <w:pPr>
              <w:pStyle w:val="DCUSATabletextnumbers"/>
            </w:pPr>
            <w:r w:rsidRPr="00061A99">
              <w:t>Allowed Revenue</w:t>
            </w:r>
          </w:p>
        </w:tc>
        <w:tc>
          <w:tcPr>
            <w:tcW w:w="5906" w:type="dxa"/>
          </w:tcPr>
          <w:p w14:paraId="3468C20D" w14:textId="77777777" w:rsidR="0041584B" w:rsidRPr="00061A99" w:rsidRDefault="0041584B" w:rsidP="0041584B">
            <w:pPr>
              <w:pStyle w:val="DCUSATableText"/>
              <w:spacing w:after="240" w:line="360" w:lineRule="auto"/>
              <w:ind w:left="113"/>
            </w:pPr>
            <w:r w:rsidRPr="00061A99">
              <w:t>The amount of revenue that the DNO Party can earn on its regulated business in accordance the special conditions within the DNO Party’s Distribution Licence.</w:t>
            </w:r>
          </w:p>
        </w:tc>
      </w:tr>
      <w:tr w:rsidR="0041584B" w:rsidRPr="00061A99" w14:paraId="41B91F8E" w14:textId="77777777" w:rsidTr="0041584B">
        <w:tc>
          <w:tcPr>
            <w:tcW w:w="2475" w:type="dxa"/>
          </w:tcPr>
          <w:p w14:paraId="5DE2ECDF" w14:textId="77777777" w:rsidR="0041584B" w:rsidRPr="00061A99" w:rsidRDefault="0041584B" w:rsidP="0041584B">
            <w:pPr>
              <w:pStyle w:val="DCUSATabletextnumbers"/>
            </w:pPr>
            <w:r w:rsidRPr="00061A99">
              <w:t>Authorised Network Model</w:t>
            </w:r>
          </w:p>
          <w:p w14:paraId="65A603EC" w14:textId="77777777" w:rsidR="0041584B" w:rsidRPr="00061A99" w:rsidRDefault="0041584B" w:rsidP="0041584B">
            <w:pPr>
              <w:pStyle w:val="DCUSATabletextnumbers"/>
            </w:pPr>
          </w:p>
        </w:tc>
        <w:tc>
          <w:tcPr>
            <w:tcW w:w="5906" w:type="dxa"/>
          </w:tcPr>
          <w:p w14:paraId="2CF15791" w14:textId="77777777" w:rsidR="0041584B" w:rsidRPr="00061A99" w:rsidRDefault="0041584B" w:rsidP="0041584B">
            <w:pPr>
              <w:pStyle w:val="DCUSATableText"/>
              <w:spacing w:after="240" w:line="360" w:lineRule="auto"/>
              <w:ind w:left="113"/>
            </w:pPr>
            <w:r w:rsidRPr="00061A99">
              <w:t xml:space="preserve">The model that represents the DNO Party’s entire EHV network (from the GSP level down to and including the HV busbar at the EHV/HV transformation level), as described in Paragraph </w:t>
            </w:r>
            <w:r>
              <w:fldChar w:fldCharType="begin"/>
            </w:r>
            <w:r>
              <w:instrText xml:space="preserve"> REF _Ref277945109 \w \h  \* MERGEFORMAT </w:instrText>
            </w:r>
            <w:r>
              <w:fldChar w:fldCharType="separate"/>
            </w:r>
            <w:r>
              <w:t>2.7(a)</w:t>
            </w:r>
            <w:r>
              <w:fldChar w:fldCharType="end"/>
            </w:r>
            <w:r w:rsidRPr="00061A99">
              <w:t xml:space="preserve">and section 4 of this Annex 1. </w:t>
            </w:r>
          </w:p>
        </w:tc>
      </w:tr>
      <w:tr w:rsidR="0041584B" w:rsidRPr="00061A99" w14:paraId="67378DFD" w14:textId="77777777" w:rsidTr="0041584B">
        <w:tc>
          <w:tcPr>
            <w:tcW w:w="2475" w:type="dxa"/>
          </w:tcPr>
          <w:p w14:paraId="75FC682B" w14:textId="77777777" w:rsidR="0041584B" w:rsidRPr="00061A99" w:rsidRDefault="0041584B" w:rsidP="0041584B">
            <w:pPr>
              <w:pStyle w:val="DCUSATabletextnumbers"/>
            </w:pPr>
            <w:r w:rsidRPr="00061A99">
              <w:lastRenderedPageBreak/>
              <w:t>Base Case Analysis</w:t>
            </w:r>
          </w:p>
        </w:tc>
        <w:tc>
          <w:tcPr>
            <w:tcW w:w="5906" w:type="dxa"/>
          </w:tcPr>
          <w:p w14:paraId="6F3534CD" w14:textId="77777777" w:rsidR="0041584B" w:rsidRPr="00061A99" w:rsidRDefault="0041584B" w:rsidP="0041584B">
            <w:pPr>
              <w:pStyle w:val="DCUSATableText"/>
              <w:spacing w:after="240" w:line="360" w:lineRule="auto"/>
              <w:ind w:left="113"/>
            </w:pPr>
            <w:r w:rsidRPr="00061A99">
              <w:t>The analysis to determine the utilisation of the Authorised Network Model under Normal Running Arrangements.  Note the Base Case Analysis is performed for each demand scenario (the Maximum Demand Scenario and the Minimum Demand Scenario).</w:t>
            </w:r>
          </w:p>
        </w:tc>
      </w:tr>
      <w:tr w:rsidR="0041584B" w:rsidRPr="00061A99" w14:paraId="731A7520" w14:textId="77777777" w:rsidTr="0041584B">
        <w:tc>
          <w:tcPr>
            <w:tcW w:w="2475" w:type="dxa"/>
          </w:tcPr>
          <w:p w14:paraId="594F03F1" w14:textId="77777777" w:rsidR="0041584B" w:rsidRPr="00061A99" w:rsidRDefault="0041584B" w:rsidP="0041584B">
            <w:pPr>
              <w:pStyle w:val="DCUSATabletextnumbers"/>
            </w:pPr>
            <w:r w:rsidRPr="00061A99">
              <w:t>Base Case Flows</w:t>
            </w:r>
          </w:p>
        </w:tc>
        <w:tc>
          <w:tcPr>
            <w:tcW w:w="5906" w:type="dxa"/>
          </w:tcPr>
          <w:p w14:paraId="47571702" w14:textId="77777777" w:rsidR="0041584B" w:rsidRPr="00061A99" w:rsidRDefault="0041584B" w:rsidP="0041584B">
            <w:pPr>
              <w:pStyle w:val="DCUSATableText"/>
              <w:spacing w:after="240" w:line="360" w:lineRule="auto"/>
              <w:ind w:left="113"/>
            </w:pPr>
            <w:r w:rsidRPr="00061A99">
              <w:t xml:space="preserve">The power flows in each Branch as determined under Base Case Analysis. Base Case </w:t>
            </w:r>
            <w:proofErr w:type="spellStart"/>
            <w:r w:rsidRPr="00061A99">
              <w:t>Flowb</w:t>
            </w:r>
            <w:proofErr w:type="spellEnd"/>
            <w:r w:rsidRPr="00061A99">
              <w:t xml:space="preserve"> is the power flow in Branch b.  Note a separate set of Base Case Flows is determined for each demand scenario (the Maximum Demand Scenario and the Minimum Demand Scenario).</w:t>
            </w:r>
          </w:p>
        </w:tc>
      </w:tr>
      <w:tr w:rsidR="0041584B" w:rsidRPr="00061A99" w14:paraId="41D82F39" w14:textId="77777777" w:rsidTr="0041584B">
        <w:tc>
          <w:tcPr>
            <w:tcW w:w="2475" w:type="dxa"/>
          </w:tcPr>
          <w:p w14:paraId="590C3ED1" w14:textId="77777777" w:rsidR="0041584B" w:rsidRPr="00061A99" w:rsidRDefault="0041584B" w:rsidP="0041584B">
            <w:pPr>
              <w:pStyle w:val="DCUSATabletextnumbers"/>
            </w:pPr>
            <w:r w:rsidRPr="00061A99">
              <w:t>Branch</w:t>
            </w:r>
          </w:p>
          <w:p w14:paraId="45D2AADF" w14:textId="77777777" w:rsidR="0041584B" w:rsidRPr="00061A99" w:rsidRDefault="0041584B" w:rsidP="0041584B">
            <w:pPr>
              <w:pStyle w:val="DCUSATabletextnumbers"/>
            </w:pPr>
          </w:p>
        </w:tc>
        <w:tc>
          <w:tcPr>
            <w:tcW w:w="5906" w:type="dxa"/>
          </w:tcPr>
          <w:p w14:paraId="3DF209C6" w14:textId="77777777" w:rsidR="0041584B" w:rsidRPr="00061A99" w:rsidRDefault="0041584B" w:rsidP="0041584B">
            <w:pPr>
              <w:pStyle w:val="DCUSATableText"/>
              <w:spacing w:after="240" w:line="360" w:lineRule="auto"/>
              <w:ind w:left="113"/>
            </w:pPr>
            <w:r w:rsidRPr="00061A99">
              <w:t>A representation of an asset, collection of assets or part of an asset of the DNO Party’s EHV network through which Active Power flows as a consequence of supply to or export from a Connectee or busbar on the DNO Party’s HV or EHV networks. A Branch must only be connected between two Nodes. A Branch should conform to the following:</w:t>
            </w:r>
          </w:p>
          <w:p w14:paraId="096DC5D4" w14:textId="77777777" w:rsidR="0041584B" w:rsidRPr="00061A99" w:rsidRDefault="0041584B" w:rsidP="0041584B">
            <w:pPr>
              <w:pStyle w:val="DCUSATableTextbulletpt"/>
              <w:spacing w:after="240" w:line="360" w:lineRule="auto"/>
            </w:pPr>
            <w:r w:rsidRPr="00061A99">
              <w:t>there can be more than one Branch between the same two Nodes;</w:t>
            </w:r>
          </w:p>
          <w:p w14:paraId="534B01C6" w14:textId="77777777" w:rsidR="0041584B" w:rsidRPr="00061A99" w:rsidRDefault="0041584B" w:rsidP="0041584B">
            <w:pPr>
              <w:pStyle w:val="DCUSATableTextbulletpt"/>
              <w:spacing w:after="240" w:line="360" w:lineRule="auto"/>
            </w:pPr>
            <w:r w:rsidRPr="00061A99">
              <w:t>a three winding transformer may be represented by three Branches (one Branch for each of the windings) configured in a star formation;</w:t>
            </w:r>
          </w:p>
          <w:p w14:paraId="7F8FE5C3" w14:textId="77777777" w:rsidR="0041584B" w:rsidRPr="00061A99" w:rsidRDefault="0041584B" w:rsidP="0041584B">
            <w:pPr>
              <w:pStyle w:val="DCUSATableTextbulletpt"/>
              <w:spacing w:after="240" w:line="360" w:lineRule="auto"/>
            </w:pPr>
            <w:r w:rsidRPr="00061A99">
              <w:t>the Active Power flowing out of one end of a Branch should equal the Active Power flowing into the other end of the Branch less any losses within the Branch;</w:t>
            </w:r>
          </w:p>
          <w:p w14:paraId="4E6E6C11" w14:textId="77777777" w:rsidR="0041584B" w:rsidRPr="00061A99" w:rsidRDefault="0041584B" w:rsidP="0041584B">
            <w:pPr>
              <w:pStyle w:val="DCUSATableTextbulletpt"/>
              <w:spacing w:after="240" w:line="360" w:lineRule="auto"/>
            </w:pPr>
            <w:r w:rsidRPr="00061A99">
              <w:t>shunt reactors and capacitors are not Branches;</w:t>
            </w:r>
          </w:p>
          <w:p w14:paraId="7D349653" w14:textId="77777777" w:rsidR="0041584B" w:rsidRPr="00061A99" w:rsidRDefault="0041584B" w:rsidP="0041584B">
            <w:pPr>
              <w:pStyle w:val="DCUSATableTextbulletpt"/>
              <w:spacing w:after="240" w:line="360" w:lineRule="auto"/>
            </w:pPr>
            <w:r w:rsidRPr="00061A99">
              <w:t>earthing transformers, resistors and reactors are not Branches; and</w:t>
            </w:r>
          </w:p>
          <w:p w14:paraId="6577D94C" w14:textId="77777777" w:rsidR="0041584B" w:rsidRPr="00061A99" w:rsidRDefault="0041584B" w:rsidP="0041584B">
            <w:pPr>
              <w:pStyle w:val="DCUSATableTextbulletpt"/>
              <w:spacing w:after="240" w:line="360" w:lineRule="auto"/>
            </w:pPr>
            <w:r w:rsidRPr="00061A99">
              <w:lastRenderedPageBreak/>
              <w:t>a Branch may constitute a collection of assets e.g. a circuit constituting overhead lines and cables. When combining assets into a Branch, there is a need to consider the reinforcement solution for the Branch in the next stages for the incremental costing calculation.</w:t>
            </w:r>
          </w:p>
        </w:tc>
      </w:tr>
      <w:tr w:rsidR="0041584B" w:rsidRPr="00061A99" w14:paraId="7910BDB5" w14:textId="77777777" w:rsidTr="0041584B">
        <w:tc>
          <w:tcPr>
            <w:tcW w:w="2475" w:type="dxa"/>
          </w:tcPr>
          <w:p w14:paraId="1D9865CA" w14:textId="77777777" w:rsidR="0041584B" w:rsidRPr="00061A99" w:rsidRDefault="0041584B" w:rsidP="0041584B">
            <w:pPr>
              <w:pStyle w:val="DCUSATabletextnumbers"/>
            </w:pPr>
            <w:r w:rsidRPr="00061A99">
              <w:lastRenderedPageBreak/>
              <w:t>Branch Rating</w:t>
            </w:r>
          </w:p>
        </w:tc>
        <w:tc>
          <w:tcPr>
            <w:tcW w:w="5906" w:type="dxa"/>
          </w:tcPr>
          <w:p w14:paraId="7A85C62E" w14:textId="77777777" w:rsidR="0041584B" w:rsidRPr="00061A99" w:rsidRDefault="0041584B" w:rsidP="0041584B">
            <w:pPr>
              <w:pStyle w:val="DCUSATableText"/>
              <w:spacing w:after="240" w:line="360" w:lineRule="auto"/>
              <w:ind w:left="113"/>
            </w:pPr>
            <w:r w:rsidRPr="00061A99">
              <w:t>The branch ratings selected for the Authorised Network Model should be derived by appropriate consideration of the time of day/ season/ general nature of load profile (i.e. continuous, cyclic etc.) represented within the model.</w:t>
            </w:r>
          </w:p>
        </w:tc>
      </w:tr>
      <w:tr w:rsidR="0041584B" w:rsidRPr="00061A99" w14:paraId="01CC60AA" w14:textId="77777777" w:rsidTr="0041584B">
        <w:tc>
          <w:tcPr>
            <w:tcW w:w="2475" w:type="dxa"/>
          </w:tcPr>
          <w:p w14:paraId="124AB148" w14:textId="77777777" w:rsidR="0041584B" w:rsidRPr="00061A99" w:rsidRDefault="0041584B" w:rsidP="0041584B">
            <w:pPr>
              <w:pStyle w:val="DCUSATabletextnumbers"/>
            </w:pPr>
            <w:r w:rsidRPr="00061A99">
              <w:t>Bulk Supply Point (BSP)</w:t>
            </w:r>
          </w:p>
        </w:tc>
        <w:tc>
          <w:tcPr>
            <w:tcW w:w="5906" w:type="dxa"/>
          </w:tcPr>
          <w:p w14:paraId="567FD99E" w14:textId="77777777" w:rsidR="0041584B" w:rsidRPr="00061A99" w:rsidRDefault="0041584B" w:rsidP="0041584B">
            <w:pPr>
              <w:pStyle w:val="DCUSATableText"/>
              <w:spacing w:after="240" w:line="360" w:lineRule="auto"/>
              <w:ind w:left="113"/>
            </w:pPr>
            <w:r w:rsidRPr="00061A99">
              <w:t>A supply point on the DNO Party’s Distribution System representing an EHV/EHV transformation level e.g. 132/33kV.</w:t>
            </w:r>
          </w:p>
        </w:tc>
      </w:tr>
      <w:tr w:rsidR="0041584B" w:rsidRPr="00061A99" w14:paraId="2C1843C2" w14:textId="77777777" w:rsidTr="0041584B">
        <w:tc>
          <w:tcPr>
            <w:tcW w:w="2475" w:type="dxa"/>
          </w:tcPr>
          <w:p w14:paraId="18A4FA34" w14:textId="77777777" w:rsidR="0041584B" w:rsidRPr="00061A99" w:rsidRDefault="0041584B" w:rsidP="0041584B">
            <w:pPr>
              <w:pStyle w:val="DCUSATabletextnumbers"/>
            </w:pPr>
            <w:r w:rsidRPr="00061A99">
              <w:t>Charging Year</w:t>
            </w:r>
          </w:p>
        </w:tc>
        <w:tc>
          <w:tcPr>
            <w:tcW w:w="5906" w:type="dxa"/>
          </w:tcPr>
          <w:p w14:paraId="0C1F6953" w14:textId="77777777" w:rsidR="0041584B" w:rsidRPr="00061A99" w:rsidRDefault="0041584B" w:rsidP="0041584B">
            <w:pPr>
              <w:pStyle w:val="DCUSATableText"/>
              <w:spacing w:after="240" w:line="360" w:lineRule="auto"/>
              <w:ind w:left="113"/>
            </w:pPr>
            <w:r w:rsidRPr="00061A99">
              <w:t>The financial year (</w:t>
            </w:r>
            <w:proofErr w:type="gramStart"/>
            <w:r w:rsidRPr="00061A99">
              <w:t>12 month</w:t>
            </w:r>
            <w:proofErr w:type="gramEnd"/>
            <w:r w:rsidRPr="00061A99">
              <w:t xml:space="preserve"> period ending on a 31st March) for which charges and credits are being calculated.</w:t>
            </w:r>
          </w:p>
        </w:tc>
      </w:tr>
      <w:tr w:rsidR="0041584B" w:rsidRPr="00061A99" w14:paraId="3DB71191" w14:textId="77777777" w:rsidTr="0041584B">
        <w:tc>
          <w:tcPr>
            <w:tcW w:w="2475" w:type="dxa"/>
          </w:tcPr>
          <w:p w14:paraId="39EC4291" w14:textId="77777777" w:rsidR="0041584B" w:rsidRPr="00061A99" w:rsidRDefault="0041584B" w:rsidP="0041584B">
            <w:pPr>
              <w:pStyle w:val="DCUSATabletextnumbers"/>
            </w:pPr>
            <w:r w:rsidRPr="00061A99">
              <w:t>Circuit</w:t>
            </w:r>
          </w:p>
        </w:tc>
        <w:tc>
          <w:tcPr>
            <w:tcW w:w="5906" w:type="dxa"/>
          </w:tcPr>
          <w:p w14:paraId="37C28D64" w14:textId="77777777" w:rsidR="0041584B" w:rsidRPr="00061A99" w:rsidRDefault="0041584B" w:rsidP="0041584B">
            <w:pPr>
              <w:pStyle w:val="DCUSATableText"/>
              <w:spacing w:after="240" w:line="360" w:lineRule="auto"/>
              <w:ind w:left="113"/>
            </w:pPr>
            <w:r w:rsidRPr="00061A99">
              <w:t>The part of a Distribution System between two or more circuit breakers, switches and/or fuses inclusive. For the avoidance of doubt a circuit can contain a number of Branches and Nodes. A Circuit may include transformers, reactors, cables and overhead lines.  Busbars are not considered as Circuits.</w:t>
            </w:r>
          </w:p>
        </w:tc>
      </w:tr>
      <w:tr w:rsidR="0041584B" w:rsidRPr="00061A99" w14:paraId="7C9525ED" w14:textId="77777777" w:rsidTr="0041584B">
        <w:tc>
          <w:tcPr>
            <w:tcW w:w="2475" w:type="dxa"/>
          </w:tcPr>
          <w:p w14:paraId="3329B228" w14:textId="77777777" w:rsidR="0041584B" w:rsidRPr="00061A99" w:rsidRDefault="0041584B" w:rsidP="0041584B">
            <w:pPr>
              <w:pStyle w:val="DCUSATabletextnumbers"/>
              <w:rPr>
                <w:highlight w:val="yellow"/>
              </w:rPr>
            </w:pPr>
            <w:r w:rsidRPr="00061A99">
              <w:t>Circuit Branch</w:t>
            </w:r>
          </w:p>
        </w:tc>
        <w:tc>
          <w:tcPr>
            <w:tcW w:w="5906" w:type="dxa"/>
          </w:tcPr>
          <w:p w14:paraId="61A47123" w14:textId="77777777" w:rsidR="0041584B" w:rsidRPr="00061A99" w:rsidRDefault="0041584B" w:rsidP="0041584B">
            <w:pPr>
              <w:pStyle w:val="DCUSATableText"/>
              <w:spacing w:after="240" w:line="360" w:lineRule="auto"/>
              <w:ind w:left="113"/>
              <w:rPr>
                <w:highlight w:val="yellow"/>
              </w:rPr>
            </w:pPr>
            <w:r w:rsidRPr="00061A99">
              <w:t>A categorisation, used in the derivation of Branch reinforcement costs, for Branches that represent an interconnection (or part of an interconnection) between substations and which operate at a single voltage level.</w:t>
            </w:r>
          </w:p>
        </w:tc>
      </w:tr>
      <w:tr w:rsidR="0041584B" w:rsidRPr="00061A99" w14:paraId="32A07A62" w14:textId="77777777" w:rsidTr="0041584B">
        <w:tc>
          <w:tcPr>
            <w:tcW w:w="2475" w:type="dxa"/>
          </w:tcPr>
          <w:p w14:paraId="00DCE99E" w14:textId="77777777" w:rsidR="0041584B" w:rsidRPr="00061A99" w:rsidRDefault="0041584B" w:rsidP="0041584B">
            <w:pPr>
              <w:pStyle w:val="DCUSATabletextnumbers"/>
            </w:pPr>
            <w:r w:rsidRPr="00061A99">
              <w:t>Connection Node</w:t>
            </w:r>
          </w:p>
        </w:tc>
        <w:tc>
          <w:tcPr>
            <w:tcW w:w="5906" w:type="dxa"/>
          </w:tcPr>
          <w:p w14:paraId="35FAF0E5" w14:textId="77777777" w:rsidR="0041584B" w:rsidRPr="00061A99" w:rsidRDefault="0041584B" w:rsidP="0041584B">
            <w:pPr>
              <w:pStyle w:val="DCUSATableText"/>
              <w:spacing w:after="240" w:line="360" w:lineRule="auto"/>
              <w:ind w:left="113"/>
            </w:pPr>
            <w:r w:rsidRPr="00061A99">
              <w:t>A Node which is a point of connection to one of the following:</w:t>
            </w:r>
          </w:p>
          <w:p w14:paraId="76F85842" w14:textId="77777777" w:rsidR="0041584B" w:rsidRPr="00061A99" w:rsidRDefault="0041584B" w:rsidP="0041584B">
            <w:pPr>
              <w:pStyle w:val="DCUSATableTextbulletpt"/>
              <w:spacing w:after="240" w:line="360" w:lineRule="auto"/>
            </w:pPr>
            <w:r w:rsidRPr="00061A99">
              <w:lastRenderedPageBreak/>
              <w:t>an Entry Point or the Sole Use Assets connecting the Entry Point; or</w:t>
            </w:r>
          </w:p>
          <w:p w14:paraId="305EC3D4" w14:textId="77777777" w:rsidR="0041584B" w:rsidRPr="00061A99" w:rsidRDefault="0041584B" w:rsidP="0041584B">
            <w:pPr>
              <w:pStyle w:val="DCUSATableTextbulletpt"/>
              <w:spacing w:after="240" w:line="360" w:lineRule="auto"/>
            </w:pPr>
            <w:r w:rsidRPr="00061A99">
              <w:t>an Exit Point or the Sole Use Assets connecting the Exit Point; or</w:t>
            </w:r>
          </w:p>
          <w:p w14:paraId="3E8B6C90" w14:textId="77777777" w:rsidR="0041584B" w:rsidRPr="00061A99" w:rsidRDefault="0041584B" w:rsidP="0041584B">
            <w:pPr>
              <w:pStyle w:val="DCUSATableTextbulletpt"/>
              <w:spacing w:after="240" w:line="360" w:lineRule="auto"/>
            </w:pPr>
            <w:r w:rsidRPr="00061A99">
              <w:t xml:space="preserve">the DNO Party’s HV network; or </w:t>
            </w:r>
          </w:p>
          <w:p w14:paraId="05D0B445" w14:textId="77777777" w:rsidR="0041584B" w:rsidRPr="00061A99" w:rsidRDefault="0041584B" w:rsidP="0041584B">
            <w:pPr>
              <w:pStyle w:val="DCUSATableTextbulletpt"/>
              <w:spacing w:after="240" w:line="360" w:lineRule="auto"/>
            </w:pPr>
            <w:r w:rsidRPr="00061A99">
              <w:t>a Distribution System of another DNO Party or IDNO Party.</w:t>
            </w:r>
          </w:p>
        </w:tc>
      </w:tr>
      <w:tr w:rsidR="0041584B" w:rsidRPr="00061A99" w14:paraId="53567C5A" w14:textId="77777777" w:rsidTr="0041584B">
        <w:tc>
          <w:tcPr>
            <w:tcW w:w="2475" w:type="dxa"/>
          </w:tcPr>
          <w:p w14:paraId="5183C7BC" w14:textId="77777777" w:rsidR="0041584B" w:rsidRPr="00061A99" w:rsidRDefault="0041584B" w:rsidP="0041584B">
            <w:pPr>
              <w:pStyle w:val="DCUSATabletextnumbers"/>
            </w:pPr>
            <w:r w:rsidRPr="00061A99">
              <w:lastRenderedPageBreak/>
              <w:t>Contingency Analysis</w:t>
            </w:r>
          </w:p>
        </w:tc>
        <w:tc>
          <w:tcPr>
            <w:tcW w:w="5906" w:type="dxa"/>
          </w:tcPr>
          <w:p w14:paraId="479251BC" w14:textId="77777777" w:rsidR="0041584B" w:rsidRPr="00061A99" w:rsidRDefault="0041584B" w:rsidP="0041584B">
            <w:pPr>
              <w:pStyle w:val="DCUSATableText"/>
              <w:spacing w:after="240" w:line="360" w:lineRule="auto"/>
              <w:ind w:left="113"/>
            </w:pPr>
            <w:r w:rsidRPr="00061A99">
              <w:t>The analysis to determine the effect on power flow on the Authorised Network Model under N-1 Contingencies. Note that Contingency Analysis is performed for each demand scenario (the Maximum Demand Scenario and the Minimum Demand Scenario).</w:t>
            </w:r>
          </w:p>
        </w:tc>
      </w:tr>
      <w:tr w:rsidR="0041584B" w:rsidRPr="00061A99" w14:paraId="20545C3A" w14:textId="77777777" w:rsidTr="0041584B">
        <w:tc>
          <w:tcPr>
            <w:tcW w:w="2475" w:type="dxa"/>
          </w:tcPr>
          <w:p w14:paraId="37ED677B" w14:textId="77777777" w:rsidR="0041584B" w:rsidRPr="00061A99" w:rsidRDefault="0041584B" w:rsidP="0041584B">
            <w:pPr>
              <w:pStyle w:val="DCUSATabletextnumbers"/>
            </w:pPr>
            <w:r w:rsidRPr="00061A99">
              <w:t>Diversity Allowance</w:t>
            </w:r>
          </w:p>
        </w:tc>
        <w:tc>
          <w:tcPr>
            <w:tcW w:w="5906" w:type="dxa"/>
          </w:tcPr>
          <w:p w14:paraId="29A7AAE8" w14:textId="77777777" w:rsidR="0041584B" w:rsidRPr="00061A99" w:rsidRDefault="0041584B" w:rsidP="0041584B">
            <w:r w:rsidRPr="00061A99">
              <w:t>The extent, expressed as a percentage, to which the sum of the maximum load across all assets in the modelled network level is expected to exceed the simultaneous maximum load for the network level as a whole.</w:t>
            </w:r>
          </w:p>
        </w:tc>
      </w:tr>
      <w:tr w:rsidR="0041584B" w:rsidRPr="00061A99" w14:paraId="64F809A9" w14:textId="77777777" w:rsidTr="0041584B">
        <w:tc>
          <w:tcPr>
            <w:tcW w:w="2475" w:type="dxa"/>
          </w:tcPr>
          <w:p w14:paraId="5F62DDA8" w14:textId="77777777" w:rsidR="0041584B" w:rsidRPr="00061A99" w:rsidRDefault="0041584B" w:rsidP="0041584B">
            <w:pPr>
              <w:pStyle w:val="DCUSATabletextnumbers"/>
              <w:rPr>
                <w:highlight w:val="yellow"/>
              </w:rPr>
            </w:pPr>
            <w:r w:rsidRPr="00061A99">
              <w:t>Diversity Factor</w:t>
            </w:r>
          </w:p>
        </w:tc>
        <w:tc>
          <w:tcPr>
            <w:tcW w:w="5906" w:type="dxa"/>
          </w:tcPr>
          <w:p w14:paraId="6EDE65E6" w14:textId="77777777" w:rsidR="0041584B" w:rsidRPr="00061A99" w:rsidRDefault="0041584B" w:rsidP="0041584B">
            <w:pPr>
              <w:rPr>
                <w:highlight w:val="yellow"/>
              </w:rPr>
            </w:pPr>
            <w:r w:rsidRPr="00061A99">
              <w:t>A scaling factor calculated as the ratio of the maximum demand observed at a given location on the network and the aggregate of the individual maximum demands observed at multiple locations connected downstream (i.e. further from source) of the given location, taking account of losses.  Such factors provide a means of recognising that the maximum demands observed at individual locations (e.g. substations at a given voltage level) on a section of network may not be coincident. Details of the calculation of Diversity Factors are set out in section 5.11 (Diversity Factors) of Annex 1.</w:t>
            </w:r>
          </w:p>
        </w:tc>
      </w:tr>
      <w:tr w:rsidR="0041584B" w:rsidRPr="00061A99" w14:paraId="060D933F" w14:textId="77777777" w:rsidTr="0041584B">
        <w:tc>
          <w:tcPr>
            <w:tcW w:w="2475" w:type="dxa"/>
          </w:tcPr>
          <w:p w14:paraId="1A9781D2" w14:textId="77777777" w:rsidR="0041584B" w:rsidRPr="00061A99" w:rsidRDefault="0041584B" w:rsidP="0041584B">
            <w:pPr>
              <w:pStyle w:val="DCUSATabletextnumbers"/>
            </w:pPr>
            <w:r w:rsidRPr="00061A99">
              <w:t>EDCM</w:t>
            </w:r>
          </w:p>
        </w:tc>
        <w:tc>
          <w:tcPr>
            <w:tcW w:w="5906" w:type="dxa"/>
          </w:tcPr>
          <w:p w14:paraId="415C1E92" w14:textId="77777777" w:rsidR="0041584B" w:rsidRPr="00061A99" w:rsidRDefault="0041584B" w:rsidP="0041584B">
            <w:r w:rsidRPr="00061A99">
              <w:t xml:space="preserve">has the meaning given to that expression in Paragraph </w:t>
            </w:r>
            <w:proofErr w:type="gramStart"/>
            <w:r w:rsidRPr="00061A99">
              <w:t>1.</w:t>
            </w:r>
            <w:proofErr w:type="gramEnd"/>
          </w:p>
        </w:tc>
      </w:tr>
      <w:tr w:rsidR="0041584B" w:rsidRPr="00061A99" w14:paraId="67532317" w14:textId="77777777" w:rsidTr="0041584B">
        <w:tc>
          <w:tcPr>
            <w:tcW w:w="2475" w:type="dxa"/>
          </w:tcPr>
          <w:p w14:paraId="51D680F2" w14:textId="77777777" w:rsidR="0041584B" w:rsidRPr="00061A99" w:rsidRDefault="0041584B" w:rsidP="0041584B">
            <w:pPr>
              <w:pStyle w:val="DCUSATabletextnumbers"/>
            </w:pPr>
            <w:r w:rsidRPr="00061A99">
              <w:lastRenderedPageBreak/>
              <w:t>EDCM Connectee</w:t>
            </w:r>
          </w:p>
        </w:tc>
        <w:tc>
          <w:tcPr>
            <w:tcW w:w="5906" w:type="dxa"/>
          </w:tcPr>
          <w:p w14:paraId="2D1DB26F" w14:textId="77777777" w:rsidR="0041584B" w:rsidRPr="00061A99" w:rsidRDefault="0041584B" w:rsidP="0041584B">
            <w:r w:rsidRPr="00061A99">
              <w:t xml:space="preserve">means a Connectee whose Connected Installation is a Designated EHV Property as defined in Standard Conditions 50A.11 and 13B.6 of the DNO Party’s Distribution Licence.  </w:t>
            </w:r>
          </w:p>
        </w:tc>
      </w:tr>
      <w:tr w:rsidR="0041584B" w:rsidRPr="00061A99" w14:paraId="3602F21C" w14:textId="77777777" w:rsidTr="0041584B">
        <w:tc>
          <w:tcPr>
            <w:tcW w:w="2475" w:type="dxa"/>
          </w:tcPr>
          <w:p w14:paraId="7B76103B" w14:textId="77777777" w:rsidR="0041584B" w:rsidRPr="00061A99" w:rsidRDefault="0041584B" w:rsidP="0041584B">
            <w:pPr>
              <w:pStyle w:val="DCUSATabletextnumbers"/>
            </w:pPr>
            <w:r w:rsidRPr="00061A99">
              <w:t>EHV</w:t>
            </w:r>
          </w:p>
        </w:tc>
        <w:tc>
          <w:tcPr>
            <w:tcW w:w="5906" w:type="dxa"/>
          </w:tcPr>
          <w:p w14:paraId="7B599054" w14:textId="77777777" w:rsidR="0041584B" w:rsidRPr="00061A99" w:rsidRDefault="0041584B" w:rsidP="0041584B">
            <w:r w:rsidRPr="00061A99">
              <w:t>Extra High Voltage.</w:t>
            </w:r>
          </w:p>
        </w:tc>
      </w:tr>
      <w:tr w:rsidR="0041584B" w:rsidRPr="00061A99" w14:paraId="55B985E7" w14:textId="77777777" w:rsidTr="0041584B">
        <w:tc>
          <w:tcPr>
            <w:tcW w:w="2475" w:type="dxa"/>
          </w:tcPr>
          <w:p w14:paraId="2A0EDEEF" w14:textId="77777777" w:rsidR="0041584B" w:rsidRPr="00061A99" w:rsidRDefault="0041584B" w:rsidP="0041584B">
            <w:pPr>
              <w:pStyle w:val="DCUSATabletextnumbers"/>
            </w:pPr>
            <w:r w:rsidRPr="00AC6EC1">
              <w:t>Electricity Storage</w:t>
            </w:r>
          </w:p>
        </w:tc>
        <w:tc>
          <w:tcPr>
            <w:tcW w:w="5906" w:type="dxa"/>
          </w:tcPr>
          <w:p w14:paraId="178B4A99" w14:textId="77777777" w:rsidR="0041584B" w:rsidRPr="00061A99" w:rsidRDefault="0041584B" w:rsidP="0041584B">
            <w:r w:rsidRPr="00AC6EC1">
              <w:rPr>
                <w:szCs w:val="24"/>
              </w:rPr>
              <w:t xml:space="preserve">is the conversion of electrical energy into a form of energy, which can be stored, the storing of that energy, and the subsequent reconversion of that energy back into electrical </w:t>
            </w:r>
            <w:proofErr w:type="gramStart"/>
            <w:r w:rsidRPr="00AC6EC1">
              <w:rPr>
                <w:szCs w:val="24"/>
              </w:rPr>
              <w:t>energy</w:t>
            </w:r>
            <w:r>
              <w:rPr>
                <w:szCs w:val="24"/>
              </w:rPr>
              <w:t>.</w:t>
            </w:r>
            <w:proofErr w:type="gramEnd"/>
          </w:p>
        </w:tc>
      </w:tr>
      <w:tr w:rsidR="0041584B" w:rsidRPr="00061A99" w14:paraId="27E16A9A" w14:textId="77777777" w:rsidTr="0041584B">
        <w:tc>
          <w:tcPr>
            <w:tcW w:w="2475" w:type="dxa"/>
          </w:tcPr>
          <w:p w14:paraId="4952E335" w14:textId="77777777" w:rsidR="0041584B" w:rsidRPr="00061A99" w:rsidRDefault="0041584B" w:rsidP="0041584B">
            <w:pPr>
              <w:pStyle w:val="DCUSATabletextnumbers"/>
            </w:pPr>
            <w:r w:rsidRPr="00305D9D">
              <w:rPr>
                <w:lang w:val="en-US"/>
              </w:rPr>
              <w:t>Eligible Bad Debt</w:t>
            </w:r>
          </w:p>
        </w:tc>
        <w:tc>
          <w:tcPr>
            <w:tcW w:w="5906" w:type="dxa"/>
          </w:tcPr>
          <w:p w14:paraId="0BE33E80" w14:textId="77777777" w:rsidR="0041584B" w:rsidRPr="00061A99" w:rsidRDefault="0041584B" w:rsidP="0041584B">
            <w:r>
              <w:rPr>
                <w:rFonts w:eastAsia="Calibri"/>
                <w:lang w:val="en-US"/>
              </w:rPr>
              <w:t>has the meaning given to 'Valid Bad Debt' in the DNO Party's Distribution</w:t>
            </w:r>
            <w:r w:rsidRPr="00C903F7">
              <w:rPr>
                <w:rFonts w:eastAsia="Calibri"/>
              </w:rPr>
              <w:t xml:space="preserve"> </w:t>
            </w:r>
            <w:proofErr w:type="gramStart"/>
            <w:r w:rsidRPr="00C903F7">
              <w:rPr>
                <w:rFonts w:eastAsia="Calibri"/>
              </w:rPr>
              <w:t>Licence</w:t>
            </w:r>
            <w:r>
              <w:rPr>
                <w:rFonts w:eastAsia="Calibri"/>
                <w:lang w:val="en-US"/>
              </w:rPr>
              <w:t>.</w:t>
            </w:r>
            <w:proofErr w:type="gramEnd"/>
            <w:r w:rsidRPr="00C903F7">
              <w:rPr>
                <w:rFonts w:eastAsia="Calibri"/>
                <w:lang w:val="en-US"/>
              </w:rPr>
              <w:t xml:space="preserve"> For the avoidance of doubt, Eligible Bad Debt pass-through costs include </w:t>
            </w:r>
            <w:r>
              <w:rPr>
                <w:rFonts w:eastAsia="Calibri"/>
                <w:lang w:val="en-US"/>
              </w:rPr>
              <w:t xml:space="preserve">the </w:t>
            </w:r>
            <w:r w:rsidRPr="00C903F7">
              <w:rPr>
                <w:rFonts w:eastAsia="Calibri"/>
                <w:lang w:val="en-US"/>
              </w:rPr>
              <w:t>DNO Party</w:t>
            </w:r>
            <w:r>
              <w:rPr>
                <w:rFonts w:eastAsia="Calibri"/>
                <w:lang w:val="en-US"/>
              </w:rPr>
              <w:t>'s</w:t>
            </w:r>
            <w:r w:rsidRPr="00C903F7">
              <w:rPr>
                <w:rFonts w:eastAsia="Calibri"/>
                <w:lang w:val="en-US"/>
              </w:rPr>
              <w:t xml:space="preserve"> </w:t>
            </w:r>
            <w:r>
              <w:rPr>
                <w:rFonts w:eastAsia="Calibri"/>
                <w:lang w:val="en-US"/>
              </w:rPr>
              <w:t>b</w:t>
            </w:r>
            <w:r w:rsidRPr="00C903F7">
              <w:rPr>
                <w:rFonts w:eastAsia="Calibri"/>
                <w:lang w:val="en-US"/>
              </w:rPr>
              <w:t xml:space="preserve">ad </w:t>
            </w:r>
            <w:r>
              <w:rPr>
                <w:rFonts w:eastAsia="Calibri"/>
                <w:lang w:val="en-US"/>
              </w:rPr>
              <w:t>d</w:t>
            </w:r>
            <w:r w:rsidRPr="00C903F7">
              <w:rPr>
                <w:rFonts w:eastAsia="Calibri"/>
                <w:lang w:val="en-US"/>
              </w:rPr>
              <w:t xml:space="preserve">ebt and </w:t>
            </w:r>
            <w:r>
              <w:rPr>
                <w:rFonts w:eastAsia="Calibri"/>
                <w:lang w:val="en-US"/>
              </w:rPr>
              <w:t>b</w:t>
            </w:r>
            <w:r w:rsidRPr="00C903F7">
              <w:rPr>
                <w:rFonts w:eastAsia="Calibri"/>
                <w:lang w:val="en-US"/>
              </w:rPr>
              <w:t xml:space="preserve">ad </w:t>
            </w:r>
            <w:r>
              <w:rPr>
                <w:rFonts w:eastAsia="Calibri"/>
                <w:lang w:val="en-US"/>
              </w:rPr>
              <w:t>d</w:t>
            </w:r>
            <w:r w:rsidRPr="00C903F7">
              <w:rPr>
                <w:rFonts w:eastAsia="Calibri"/>
                <w:lang w:val="en-US"/>
              </w:rPr>
              <w:t xml:space="preserve">ebt which the DNO Party is recovering on behalf of </w:t>
            </w:r>
            <w:r>
              <w:rPr>
                <w:rFonts w:eastAsia="Calibri"/>
                <w:lang w:val="en-US"/>
              </w:rPr>
              <w:t>L</w:t>
            </w:r>
            <w:r w:rsidRPr="00C903F7">
              <w:rPr>
                <w:rFonts w:eastAsia="Calibri"/>
                <w:lang w:val="en-US"/>
              </w:rPr>
              <w:t>DNOs</w:t>
            </w:r>
            <w:r>
              <w:rPr>
                <w:rFonts w:eastAsia="Calibri"/>
                <w:lang w:val="en-US"/>
              </w:rPr>
              <w:t>.</w:t>
            </w:r>
          </w:p>
        </w:tc>
      </w:tr>
      <w:tr w:rsidR="0041584B" w:rsidRPr="00061A99" w14:paraId="7C442967" w14:textId="77777777" w:rsidTr="0041584B">
        <w:tc>
          <w:tcPr>
            <w:tcW w:w="2475" w:type="dxa"/>
          </w:tcPr>
          <w:p w14:paraId="0DC34EF8" w14:textId="77777777" w:rsidR="0041584B" w:rsidRPr="00305D9D" w:rsidRDefault="0041584B" w:rsidP="0041584B">
            <w:pPr>
              <w:pStyle w:val="DCUSATabletextnumbers"/>
              <w:rPr>
                <w:lang w:val="en-US"/>
              </w:rPr>
            </w:pPr>
            <w:r>
              <w:t xml:space="preserve">Eligible </w:t>
            </w:r>
            <w:r w:rsidRPr="00C4643F">
              <w:t>Electricity Storage Facility</w:t>
            </w:r>
          </w:p>
        </w:tc>
        <w:tc>
          <w:tcPr>
            <w:tcW w:w="5906" w:type="dxa"/>
          </w:tcPr>
          <w:p w14:paraId="18B93C57" w14:textId="77777777" w:rsidR="0041584B" w:rsidRPr="00E44D07" w:rsidRDefault="0041584B" w:rsidP="0041584B">
            <w:pPr>
              <w:tabs>
                <w:tab w:val="left" w:pos="1701"/>
              </w:tabs>
              <w:jc w:val="both"/>
              <w:rPr>
                <w:szCs w:val="24"/>
              </w:rPr>
            </w:pPr>
            <w:r w:rsidRPr="00AC6EC1">
              <w:rPr>
                <w:szCs w:val="24"/>
              </w:rPr>
              <w:t xml:space="preserve">means a facility </w:t>
            </w:r>
            <w:r>
              <w:rPr>
                <w:szCs w:val="24"/>
              </w:rPr>
              <w:t xml:space="preserve">at which Electricity Storage occurs, and </w:t>
            </w:r>
            <w:r w:rsidRPr="00DD0D0B">
              <w:t>i</w:t>
            </w:r>
            <w:r w:rsidRPr="00C8395D">
              <w:rPr>
                <w:szCs w:val="24"/>
              </w:rPr>
              <w:t>f</w:t>
            </w:r>
            <w:r w:rsidRPr="0010481E">
              <w:rPr>
                <w:szCs w:val="24"/>
              </w:rPr>
              <w:t xml:space="preserve"> registered in </w:t>
            </w:r>
            <w:r>
              <w:rPr>
                <w:szCs w:val="24"/>
              </w:rPr>
              <w:t>an MPAS Registration System:</w:t>
            </w:r>
          </w:p>
          <w:p w14:paraId="154C8A95" w14:textId="77777777" w:rsidR="0041584B" w:rsidRPr="001F7BF0" w:rsidRDefault="0041584B" w:rsidP="0041584B">
            <w:pPr>
              <w:pStyle w:val="DCUSATableTexta"/>
              <w:numPr>
                <w:ilvl w:val="0"/>
                <w:numId w:val="104"/>
              </w:numPr>
              <w:spacing w:before="0" w:after="240" w:line="360" w:lineRule="auto"/>
              <w:jc w:val="both"/>
              <w:rPr>
                <w:rFonts w:cs="Times New Roman"/>
              </w:rPr>
            </w:pPr>
            <w:r w:rsidRPr="00E7492D">
              <w:rPr>
                <w:rFonts w:cs="Times New Roman"/>
              </w:rPr>
              <w:t xml:space="preserve">has an export MPAN and an import MPAN with associated metering equipment which only measure </w:t>
            </w:r>
            <w:r w:rsidRPr="001F7BF0">
              <w:rPr>
                <w:rFonts w:cs="Times New Roman"/>
              </w:rPr>
              <w:t xml:space="preserve">export from Electricity Storage and import for or directly relating to Electricity Storage (and not export from another source or import for another activity); </w:t>
            </w:r>
          </w:p>
          <w:p w14:paraId="346D39B7" w14:textId="77777777" w:rsidR="0041584B" w:rsidRPr="00BD3FAA" w:rsidRDefault="0041584B" w:rsidP="0041584B">
            <w:pPr>
              <w:pStyle w:val="DCUSATableTexta"/>
              <w:spacing w:before="0" w:after="240" w:line="360" w:lineRule="auto"/>
              <w:jc w:val="both"/>
              <w:rPr>
                <w:rFonts w:cs="Times New Roman"/>
              </w:rPr>
            </w:pPr>
            <w:r w:rsidRPr="009E44AD">
              <w:rPr>
                <w:rFonts w:cs="Times New Roman"/>
                <w:szCs w:val="24"/>
              </w:rPr>
              <w:t xml:space="preserve">all metering </w:t>
            </w:r>
            <w:r w:rsidRPr="009E44AD">
              <w:rPr>
                <w:rFonts w:cs="Times New Roman"/>
              </w:rPr>
              <w:t>equipment referred to in point (a) above</w:t>
            </w:r>
            <w:r w:rsidRPr="009E44AD">
              <w:rPr>
                <w:rFonts w:cs="Times New Roman"/>
                <w:szCs w:val="24"/>
              </w:rPr>
              <w:t xml:space="preserve"> </w:t>
            </w:r>
            <w:r w:rsidRPr="009E44AD">
              <w:rPr>
                <w:rFonts w:cs="Times New Roman"/>
              </w:rPr>
              <w:t>is CT metering; and</w:t>
            </w:r>
          </w:p>
          <w:p w14:paraId="5D4BF52D" w14:textId="77777777" w:rsidR="0041584B" w:rsidRDefault="0041584B" w:rsidP="0041584B">
            <w:pPr>
              <w:pStyle w:val="DCUSATableTexta"/>
              <w:spacing w:before="0" w:after="240" w:line="360" w:lineRule="auto"/>
              <w:jc w:val="both"/>
              <w:rPr>
                <w:rFonts w:cs="Times New Roman"/>
              </w:rPr>
            </w:pPr>
            <w:r>
              <w:rPr>
                <w:rFonts w:cs="Times New Roman"/>
              </w:rPr>
              <w:t xml:space="preserve">is subject to </w:t>
            </w:r>
            <w:r w:rsidRPr="00BD3FAA">
              <w:rPr>
                <w:rFonts w:cs="Times New Roman"/>
              </w:rPr>
              <w:t xml:space="preserve">certification </w:t>
            </w:r>
            <w:r>
              <w:rPr>
                <w:rFonts w:cs="Times New Roman"/>
              </w:rPr>
              <w:t xml:space="preserve">from a Supplier Party </w:t>
            </w:r>
            <w:r w:rsidRPr="00BD3FAA">
              <w:rPr>
                <w:rFonts w:cs="Times New Roman"/>
              </w:rPr>
              <w:t>that the facility meets the above criteria</w:t>
            </w:r>
            <w:r>
              <w:rPr>
                <w:rFonts w:cs="Times New Roman"/>
              </w:rPr>
              <w:t xml:space="preserve">, which certificate has been </w:t>
            </w:r>
            <w:r w:rsidRPr="009E44AD">
              <w:rPr>
                <w:rFonts w:cs="Times New Roman"/>
              </w:rPr>
              <w:t>provide</w:t>
            </w:r>
            <w:r>
              <w:rPr>
                <w:rFonts w:cs="Times New Roman"/>
              </w:rPr>
              <w:t>d</w:t>
            </w:r>
            <w:r w:rsidRPr="009E44AD">
              <w:rPr>
                <w:rFonts w:cs="Times New Roman"/>
              </w:rPr>
              <w:t xml:space="preserve"> </w:t>
            </w:r>
            <w:r>
              <w:rPr>
                <w:rFonts w:cs="Times New Roman"/>
              </w:rPr>
              <w:t xml:space="preserve">to </w:t>
            </w:r>
            <w:r w:rsidRPr="009E44AD">
              <w:rPr>
                <w:rFonts w:cs="Times New Roman"/>
              </w:rPr>
              <w:t>the DNO/IDNO Party</w:t>
            </w:r>
            <w:r>
              <w:rPr>
                <w:rFonts w:cs="Times New Roman"/>
              </w:rPr>
              <w:t>;</w:t>
            </w:r>
          </w:p>
          <w:p w14:paraId="46099511" w14:textId="77777777" w:rsidR="0041584B" w:rsidRDefault="0041584B" w:rsidP="0041584B">
            <w:pPr>
              <w:pStyle w:val="DCUSATableTexta"/>
              <w:numPr>
                <w:ilvl w:val="0"/>
                <w:numId w:val="0"/>
              </w:numPr>
              <w:spacing w:before="0" w:after="240" w:line="360" w:lineRule="auto"/>
            </w:pPr>
            <w:r>
              <w:t xml:space="preserve">or, if </w:t>
            </w:r>
            <w:r w:rsidRPr="0010481E">
              <w:rPr>
                <w:rFonts w:cs="Times New Roman"/>
                <w:szCs w:val="24"/>
              </w:rPr>
              <w:t xml:space="preserve">registered in </w:t>
            </w:r>
            <w:r w:rsidRPr="0020627B">
              <w:t>CMRS</w:t>
            </w:r>
            <w:r>
              <w:t>:</w:t>
            </w:r>
          </w:p>
          <w:p w14:paraId="78A87F38" w14:textId="77777777" w:rsidR="0041584B" w:rsidRDefault="0041584B" w:rsidP="0041584B">
            <w:pPr>
              <w:pStyle w:val="DCUSATableTexta"/>
              <w:numPr>
                <w:ilvl w:val="4"/>
                <w:numId w:val="17"/>
              </w:numPr>
              <w:spacing w:before="0" w:after="240" w:line="360" w:lineRule="auto"/>
            </w:pPr>
            <w:r>
              <w:lastRenderedPageBreak/>
              <w:t xml:space="preserve">has an import Metering System and export Metering System </w:t>
            </w:r>
            <w:r w:rsidRPr="009E44AD">
              <w:rPr>
                <w:rFonts w:cs="Times New Roman"/>
              </w:rPr>
              <w:t xml:space="preserve">which only measure </w:t>
            </w:r>
            <w:r>
              <w:rPr>
                <w:rFonts w:cs="Times New Roman"/>
              </w:rPr>
              <w:t xml:space="preserve">export from Electricity Storage and import for or directly relating to </w:t>
            </w:r>
            <w:r w:rsidRPr="009E44AD">
              <w:rPr>
                <w:rFonts w:cs="Times New Roman"/>
              </w:rPr>
              <w:t>Electricity Storage</w:t>
            </w:r>
            <w:r>
              <w:rPr>
                <w:rFonts w:cs="Times New Roman"/>
              </w:rPr>
              <w:t xml:space="preserve"> (and not export from another source or import for another activity)</w:t>
            </w:r>
            <w:r>
              <w:t xml:space="preserve">; </w:t>
            </w:r>
          </w:p>
          <w:p w14:paraId="73258392" w14:textId="77777777" w:rsidR="0041584B" w:rsidRDefault="0041584B" w:rsidP="0041584B">
            <w:pPr>
              <w:pStyle w:val="DCUSATableTexta"/>
              <w:numPr>
                <w:ilvl w:val="4"/>
                <w:numId w:val="17"/>
              </w:numPr>
              <w:spacing w:before="0" w:after="240" w:line="360" w:lineRule="auto"/>
            </w:pPr>
            <w:r>
              <w:rPr>
                <w:szCs w:val="24"/>
              </w:rPr>
              <w:t xml:space="preserve">all metering </w:t>
            </w:r>
            <w:r>
              <w:t>equipment referred to in point (a) above</w:t>
            </w:r>
            <w:r>
              <w:rPr>
                <w:szCs w:val="24"/>
              </w:rPr>
              <w:t xml:space="preserve"> </w:t>
            </w:r>
            <w:r>
              <w:t>is CT metering; and</w:t>
            </w:r>
          </w:p>
          <w:p w14:paraId="01357E8A" w14:textId="77777777" w:rsidR="0041584B" w:rsidRDefault="0041584B" w:rsidP="0041584B">
            <w:pPr>
              <w:rPr>
                <w:rFonts w:eastAsia="Calibri"/>
                <w:lang w:val="en-US"/>
              </w:rPr>
            </w:pPr>
            <w:r w:rsidRPr="00F82A7A">
              <w:rPr>
                <w:rFonts w:cs="Times New Roman"/>
              </w:rPr>
              <w:t>is subject to certification from the customer that the facility meets the above criteria, which certificate has been provided to the DNO/IDNO Party.</w:t>
            </w:r>
          </w:p>
        </w:tc>
      </w:tr>
      <w:tr w:rsidR="0041584B" w:rsidRPr="00061A99" w14:paraId="48EA1299" w14:textId="77777777" w:rsidTr="0041584B">
        <w:tc>
          <w:tcPr>
            <w:tcW w:w="2475" w:type="dxa"/>
          </w:tcPr>
          <w:p w14:paraId="5DF55A3D" w14:textId="77777777" w:rsidR="0041584B" w:rsidRPr="00061A99" w:rsidRDefault="0041584B" w:rsidP="0041584B">
            <w:pPr>
              <w:pStyle w:val="DCUSATabletextnumbers"/>
            </w:pPr>
            <w:r w:rsidRPr="00061A99">
              <w:lastRenderedPageBreak/>
              <w:t>Embedded</w:t>
            </w:r>
          </w:p>
        </w:tc>
        <w:tc>
          <w:tcPr>
            <w:tcW w:w="5906" w:type="dxa"/>
          </w:tcPr>
          <w:p w14:paraId="2893CB46" w14:textId="77777777" w:rsidR="0041584B" w:rsidRPr="00061A99" w:rsidRDefault="0041584B" w:rsidP="0041584B">
            <w:r w:rsidRPr="00061A99">
              <w:t xml:space="preserve">means connected to a </w:t>
            </w:r>
            <w:r>
              <w:t>LDNO’s</w:t>
            </w:r>
            <w:r w:rsidRPr="00061A99">
              <w:t xml:space="preserve"> Distribution System.</w:t>
            </w:r>
          </w:p>
        </w:tc>
      </w:tr>
      <w:tr w:rsidR="0041584B" w:rsidRPr="00061A99" w14:paraId="19693904" w14:textId="77777777" w:rsidTr="0041584B">
        <w:tc>
          <w:tcPr>
            <w:tcW w:w="2475" w:type="dxa"/>
          </w:tcPr>
          <w:p w14:paraId="56D84D13" w14:textId="77777777" w:rsidR="0041584B" w:rsidRPr="00061A99" w:rsidRDefault="0041584B" w:rsidP="0041584B">
            <w:pPr>
              <w:pStyle w:val="DCUSATabletextnumbers"/>
            </w:pPr>
            <w:r w:rsidRPr="00061A99">
              <w:t>ER P2/6</w:t>
            </w:r>
          </w:p>
        </w:tc>
        <w:tc>
          <w:tcPr>
            <w:tcW w:w="5906" w:type="dxa"/>
          </w:tcPr>
          <w:p w14:paraId="4311B568" w14:textId="77777777" w:rsidR="0041584B" w:rsidRPr="00061A99" w:rsidRDefault="0041584B" w:rsidP="0041584B">
            <w:r w:rsidRPr="00061A99">
              <w:t>Energy Network Association’s Engineering Recommendation P2/6 which is the planning standard for security of supply to be used by the DNO Parties.</w:t>
            </w:r>
          </w:p>
        </w:tc>
      </w:tr>
      <w:tr w:rsidR="0041584B" w:rsidRPr="00061A99" w14:paraId="7BA77D7D" w14:textId="77777777" w:rsidTr="0041584B">
        <w:tc>
          <w:tcPr>
            <w:tcW w:w="2475" w:type="dxa"/>
          </w:tcPr>
          <w:p w14:paraId="74BD06F2" w14:textId="77777777" w:rsidR="0041584B" w:rsidRPr="00061A99" w:rsidRDefault="0041584B" w:rsidP="0041584B">
            <w:pPr>
              <w:pStyle w:val="DCUSATabletextnumbers"/>
            </w:pPr>
            <w:r w:rsidRPr="00061A99">
              <w:t>ETR 130</w:t>
            </w:r>
          </w:p>
        </w:tc>
        <w:tc>
          <w:tcPr>
            <w:tcW w:w="5906" w:type="dxa"/>
          </w:tcPr>
          <w:p w14:paraId="12C07079" w14:textId="77777777" w:rsidR="0041584B" w:rsidRPr="00061A99" w:rsidRDefault="0041584B" w:rsidP="0041584B">
            <w:r w:rsidRPr="00061A99">
              <w:t>Energy Network Association’s Engineering Technical Report 130 which is the Application Guide for assessing the capacity of Distribution Systems to which Generation Installations are connected.</w:t>
            </w:r>
          </w:p>
        </w:tc>
      </w:tr>
      <w:tr w:rsidR="0041584B" w:rsidRPr="00061A99" w14:paraId="71955946" w14:textId="77777777" w:rsidTr="0041584B">
        <w:tc>
          <w:tcPr>
            <w:tcW w:w="2475" w:type="dxa"/>
          </w:tcPr>
          <w:p w14:paraId="638612B4" w14:textId="77777777" w:rsidR="0041584B" w:rsidRPr="00061A99" w:rsidRDefault="0041584B" w:rsidP="0041584B">
            <w:pPr>
              <w:pStyle w:val="DCUSATabletextnumbers"/>
            </w:pPr>
            <w:r w:rsidRPr="00061A99">
              <w:t>Extra High Voltage (EHV)</w:t>
            </w:r>
          </w:p>
        </w:tc>
        <w:tc>
          <w:tcPr>
            <w:tcW w:w="5906" w:type="dxa"/>
          </w:tcPr>
          <w:p w14:paraId="29886B9E" w14:textId="77777777" w:rsidR="0041584B" w:rsidRPr="00061A99" w:rsidRDefault="0041584B" w:rsidP="0041584B">
            <w:r w:rsidRPr="00061A99">
              <w:t>Refers to voltages operating at 22kV or higher.</w:t>
            </w:r>
          </w:p>
        </w:tc>
      </w:tr>
      <w:tr w:rsidR="0041584B" w:rsidRPr="00061A99" w14:paraId="2BAF8F96" w14:textId="77777777" w:rsidTr="0041584B">
        <w:tc>
          <w:tcPr>
            <w:tcW w:w="2475" w:type="dxa"/>
          </w:tcPr>
          <w:p w14:paraId="098EBA36" w14:textId="77777777" w:rsidR="0041584B" w:rsidRPr="0009765B" w:rsidRDefault="0041584B" w:rsidP="0041584B">
            <w:pPr>
              <w:pStyle w:val="DCUSATabletextnumbers"/>
            </w:pPr>
            <w:r w:rsidRPr="0009765B">
              <w:t>Forecast Business Plan Questionnaire or FBPQ</w:t>
            </w:r>
          </w:p>
        </w:tc>
        <w:tc>
          <w:tcPr>
            <w:tcW w:w="5906" w:type="dxa"/>
          </w:tcPr>
          <w:p w14:paraId="438A4CC2" w14:textId="77777777" w:rsidR="0041584B" w:rsidRPr="0009765B" w:rsidRDefault="0041584B" w:rsidP="0041584B">
            <w:pPr>
              <w:rPr>
                <w:rFonts w:cs="Times New Roman"/>
              </w:rPr>
            </w:pPr>
            <w:r w:rsidRPr="0009765B">
              <w:rPr>
                <w:rFonts w:cs="Times New Roman"/>
              </w:rPr>
              <w:t>means the questionnaire that the DNO Party is required to submit under the Regulatory Instructions and Guidance issued by the Authority under the DNO Party's Distribution Licence.</w:t>
            </w:r>
          </w:p>
        </w:tc>
      </w:tr>
      <w:tr w:rsidR="0041584B" w:rsidRPr="00061A99" w14:paraId="39C790DA" w14:textId="77777777" w:rsidTr="0041584B">
        <w:tc>
          <w:tcPr>
            <w:tcW w:w="2475" w:type="dxa"/>
          </w:tcPr>
          <w:p w14:paraId="0924308F" w14:textId="77777777" w:rsidR="0041584B" w:rsidRPr="00061A99" w:rsidRDefault="0041584B" w:rsidP="0041584B">
            <w:pPr>
              <w:pStyle w:val="DCUSATabletextnumbers"/>
            </w:pPr>
            <w:r w:rsidRPr="00061A99">
              <w:t>Generation Coincidence Factor</w:t>
            </w:r>
          </w:p>
        </w:tc>
        <w:tc>
          <w:tcPr>
            <w:tcW w:w="5906" w:type="dxa"/>
          </w:tcPr>
          <w:p w14:paraId="4C6780DE" w14:textId="77777777" w:rsidR="0041584B" w:rsidRPr="00061A99" w:rsidRDefault="0041584B" w:rsidP="0041584B">
            <w:r w:rsidRPr="00061A99">
              <w:t>A factor which is calculated for each Grid Supply Point (or group of normally interconnected Grid Supply Points) and applied to Network Demand Data (Generation) in the Minimum Demand Scenario, to reflect the coincidence of generation export.</w:t>
            </w:r>
          </w:p>
        </w:tc>
      </w:tr>
      <w:tr w:rsidR="0041584B" w:rsidRPr="00061A99" w14:paraId="0FAAF724" w14:textId="77777777" w:rsidTr="0041584B">
        <w:tc>
          <w:tcPr>
            <w:tcW w:w="2475" w:type="dxa"/>
          </w:tcPr>
          <w:p w14:paraId="380CCA9F" w14:textId="77777777" w:rsidR="0041584B" w:rsidRPr="00061A99" w:rsidRDefault="0041584B" w:rsidP="0041584B">
            <w:pPr>
              <w:pStyle w:val="DCUSATabletextnumbers"/>
            </w:pPr>
            <w:r w:rsidRPr="00061A99">
              <w:lastRenderedPageBreak/>
              <w:t>Grid Supply Point (GSP)</w:t>
            </w:r>
          </w:p>
        </w:tc>
        <w:tc>
          <w:tcPr>
            <w:tcW w:w="5906" w:type="dxa"/>
          </w:tcPr>
          <w:p w14:paraId="5DC5FDEB" w14:textId="77777777" w:rsidR="0041584B" w:rsidRPr="00061A99" w:rsidRDefault="0041584B" w:rsidP="0041584B">
            <w:r w:rsidRPr="00061A99">
              <w:t>A point of supply from the National Electricity Transmission System to the DNO Party’s Distribution System.</w:t>
            </w:r>
          </w:p>
        </w:tc>
      </w:tr>
      <w:tr w:rsidR="0041584B" w:rsidRPr="00061A99" w14:paraId="73477657" w14:textId="77777777" w:rsidTr="0041584B">
        <w:tc>
          <w:tcPr>
            <w:tcW w:w="2475" w:type="dxa"/>
          </w:tcPr>
          <w:p w14:paraId="2CD7E098" w14:textId="77777777" w:rsidR="0041584B" w:rsidRPr="00061A99" w:rsidRDefault="0041584B" w:rsidP="0041584B">
            <w:pPr>
              <w:pStyle w:val="DCUSATabletextnumbers"/>
            </w:pPr>
            <w:r w:rsidRPr="00061A99">
              <w:t>High Voltage (HV)</w:t>
            </w:r>
          </w:p>
        </w:tc>
        <w:tc>
          <w:tcPr>
            <w:tcW w:w="5906" w:type="dxa"/>
          </w:tcPr>
          <w:p w14:paraId="70CFE9C1" w14:textId="77777777" w:rsidR="0041584B" w:rsidRPr="00061A99" w:rsidRDefault="0041584B" w:rsidP="0041584B">
            <w:r w:rsidRPr="00061A99">
              <w:t>Refers to voltages operating above 1000 volts but lower than 22kV.</w:t>
            </w:r>
          </w:p>
        </w:tc>
      </w:tr>
      <w:tr w:rsidR="0041584B" w:rsidRPr="00061A99" w14:paraId="5CD5DAF2" w14:textId="77777777" w:rsidTr="0041584B">
        <w:tc>
          <w:tcPr>
            <w:tcW w:w="2475" w:type="dxa"/>
          </w:tcPr>
          <w:p w14:paraId="1793D0BC" w14:textId="77777777" w:rsidR="0041584B" w:rsidRPr="00061A99" w:rsidRDefault="0041584B" w:rsidP="0041584B">
            <w:pPr>
              <w:pStyle w:val="DCUSATabletextnumbers"/>
            </w:pPr>
            <w:r w:rsidRPr="00061A99">
              <w:br w:type="page"/>
              <w:t>Incremented Flow Analysis</w:t>
            </w:r>
          </w:p>
        </w:tc>
        <w:tc>
          <w:tcPr>
            <w:tcW w:w="5906" w:type="dxa"/>
          </w:tcPr>
          <w:p w14:paraId="1CBB69C8" w14:textId="77777777" w:rsidR="0041584B" w:rsidRPr="00061A99" w:rsidRDefault="0041584B" w:rsidP="0041584B">
            <w:r w:rsidRPr="00061A99">
              <w:t>The analysis to determine the effects of a demand increment or decrement at a Node on each Branch of the Authorised Network Model under Normal Running Arrangements. Note the Incremented Flow Analysis is performed for each demand scenario (the Maximum Demand Scenario and the Minimum Demand Scenario).</w:t>
            </w:r>
          </w:p>
        </w:tc>
      </w:tr>
      <w:tr w:rsidR="0041584B" w:rsidRPr="00061A99" w14:paraId="58CFEBD3" w14:textId="77777777" w:rsidTr="0041584B">
        <w:tc>
          <w:tcPr>
            <w:tcW w:w="2475" w:type="dxa"/>
          </w:tcPr>
          <w:p w14:paraId="133D6616" w14:textId="77777777" w:rsidR="0041584B" w:rsidRPr="00061A99" w:rsidRDefault="0041584B" w:rsidP="0041584B">
            <w:pPr>
              <w:pStyle w:val="DCUSATabletextnumbers"/>
            </w:pPr>
            <w:r w:rsidRPr="00061A99">
              <w:t>Incremented Flows</w:t>
            </w:r>
          </w:p>
        </w:tc>
        <w:tc>
          <w:tcPr>
            <w:tcW w:w="5906" w:type="dxa"/>
          </w:tcPr>
          <w:p w14:paraId="35820A3F" w14:textId="77777777" w:rsidR="0041584B" w:rsidRPr="00061A99" w:rsidRDefault="0041584B" w:rsidP="0041584B">
            <w:r w:rsidRPr="00061A99">
              <w:t xml:space="preserve">The new power flows in each Branch as a consequence of the effect of a specified increment of demand at each Node.  A separate set of Incremented Flows is produced for each demand scenario.  The specified increment of demand at each Node may be different for each demand scenario.  Incremented </w:t>
            </w:r>
            <w:proofErr w:type="spellStart"/>
            <w:r w:rsidRPr="00061A99">
              <w:t>Flownb</w:t>
            </w:r>
            <w:proofErr w:type="spellEnd"/>
            <w:r w:rsidRPr="00061A99">
              <w:t xml:space="preserve"> is the new power flow in Branch b as a result of a change of demand at Node n.</w:t>
            </w:r>
          </w:p>
        </w:tc>
      </w:tr>
      <w:tr w:rsidR="0041584B" w:rsidRPr="00061A99" w14:paraId="30E868CD" w14:textId="77777777" w:rsidTr="0041584B">
        <w:tc>
          <w:tcPr>
            <w:tcW w:w="2475" w:type="dxa"/>
          </w:tcPr>
          <w:p w14:paraId="3B96EECB" w14:textId="77777777" w:rsidR="0041584B" w:rsidRPr="00061A99" w:rsidRDefault="0041584B" w:rsidP="0041584B">
            <w:pPr>
              <w:pStyle w:val="DCUSATabletextnumbers"/>
            </w:pPr>
            <w:r w:rsidRPr="00061A99">
              <w:t>Iterative Approach</w:t>
            </w:r>
          </w:p>
        </w:tc>
        <w:tc>
          <w:tcPr>
            <w:tcW w:w="5906" w:type="dxa"/>
          </w:tcPr>
          <w:p w14:paraId="2853C63A" w14:textId="77777777" w:rsidR="0041584B" w:rsidRPr="00061A99" w:rsidRDefault="0041584B" w:rsidP="0041584B">
            <w:r w:rsidRPr="00061A99">
              <w:t xml:space="preserve">A numerical approach for the calculation of Incremented Flows. The approach is described in section </w:t>
            </w:r>
            <w:r>
              <w:fldChar w:fldCharType="begin"/>
            </w:r>
            <w:r>
              <w:instrText xml:space="preserve"> REF _Ref277945373 \w \h  \* MERGEFORMAT </w:instrText>
            </w:r>
            <w:r>
              <w:fldChar w:fldCharType="separate"/>
            </w:r>
            <w:r>
              <w:t>6.21</w:t>
            </w:r>
            <w:r>
              <w:fldChar w:fldCharType="end"/>
            </w:r>
            <w:r w:rsidRPr="00061A99">
              <w:t xml:space="preserve"> (</w:t>
            </w:r>
            <w:r>
              <w:fldChar w:fldCharType="begin"/>
            </w:r>
            <w:r>
              <w:instrText xml:space="preserve"> REF IterativeApproach \h  \* MERGEFORMAT </w:instrText>
            </w:r>
            <w:r>
              <w:fldChar w:fldCharType="separate"/>
            </w:r>
            <w:r w:rsidRPr="00C9700A">
              <w:t>Iterative Approach</w:t>
            </w:r>
            <w:r>
              <w:fldChar w:fldCharType="end"/>
            </w:r>
            <w:r w:rsidRPr="00061A99">
              <w:t xml:space="preserve">) of </w:t>
            </w:r>
            <w:r>
              <w:fldChar w:fldCharType="begin"/>
            </w:r>
            <w:r>
              <w:instrText xml:space="preserve"> REF Annex1 \h  \* MERGEFORMAT </w:instrText>
            </w:r>
            <w:r>
              <w:fldChar w:fldCharType="separate"/>
            </w:r>
            <w:r w:rsidRPr="001613FA">
              <w:t>Annex 1</w:t>
            </w:r>
            <w:r>
              <w:fldChar w:fldCharType="end"/>
            </w:r>
            <w:r w:rsidRPr="00061A99">
              <w:t>.</w:t>
            </w:r>
          </w:p>
        </w:tc>
      </w:tr>
      <w:tr w:rsidR="0041584B" w:rsidRPr="00061A99" w14:paraId="3821448F" w14:textId="77777777" w:rsidTr="0041584B">
        <w:tc>
          <w:tcPr>
            <w:tcW w:w="2475" w:type="dxa"/>
          </w:tcPr>
          <w:p w14:paraId="5F09501F" w14:textId="77777777" w:rsidR="0041584B" w:rsidRPr="00061A99" w:rsidRDefault="0041584B" w:rsidP="0041584B">
            <w:pPr>
              <w:pStyle w:val="DCUSATabletextnumbers"/>
            </w:pPr>
            <w:r w:rsidRPr="00061A99">
              <w:t>kV</w:t>
            </w:r>
          </w:p>
        </w:tc>
        <w:tc>
          <w:tcPr>
            <w:tcW w:w="5906" w:type="dxa"/>
          </w:tcPr>
          <w:p w14:paraId="03539254" w14:textId="77777777" w:rsidR="0041584B" w:rsidRPr="00061A99" w:rsidRDefault="0041584B" w:rsidP="0041584B">
            <w:r w:rsidRPr="00061A99">
              <w:t>Kilovolt (1,000 Volts): a unit of voltage.</w:t>
            </w:r>
          </w:p>
        </w:tc>
      </w:tr>
      <w:tr w:rsidR="0041584B" w:rsidRPr="00061A99" w14:paraId="76D63E3C" w14:textId="77777777" w:rsidTr="0041584B">
        <w:tc>
          <w:tcPr>
            <w:tcW w:w="2475" w:type="dxa"/>
          </w:tcPr>
          <w:p w14:paraId="6F4FE396" w14:textId="77777777" w:rsidR="0041584B" w:rsidRPr="00061A99" w:rsidRDefault="0041584B" w:rsidP="0041584B">
            <w:pPr>
              <w:pStyle w:val="DCUSATabletextnumbers"/>
            </w:pPr>
            <w:r w:rsidRPr="00061A99">
              <w:t>kVA</w:t>
            </w:r>
          </w:p>
        </w:tc>
        <w:tc>
          <w:tcPr>
            <w:tcW w:w="5906" w:type="dxa"/>
          </w:tcPr>
          <w:p w14:paraId="66DAE6D4" w14:textId="77777777" w:rsidR="0041584B" w:rsidRPr="00061A99" w:rsidRDefault="0041584B" w:rsidP="0041584B">
            <w:r w:rsidRPr="00061A99">
              <w:t>Kilo Volt Ampere: a unit of network capacity.</w:t>
            </w:r>
          </w:p>
        </w:tc>
      </w:tr>
      <w:tr w:rsidR="0041584B" w:rsidRPr="00061A99" w14:paraId="406B0C07" w14:textId="77777777" w:rsidTr="0041584B">
        <w:tc>
          <w:tcPr>
            <w:tcW w:w="2475" w:type="dxa"/>
          </w:tcPr>
          <w:p w14:paraId="141E813B" w14:textId="77777777" w:rsidR="0041584B" w:rsidRPr="00061A99" w:rsidRDefault="0041584B" w:rsidP="0041584B">
            <w:pPr>
              <w:pStyle w:val="DCUSATabletextnumbers"/>
            </w:pPr>
            <w:proofErr w:type="spellStart"/>
            <w:r w:rsidRPr="00061A99">
              <w:t>kVAr</w:t>
            </w:r>
            <w:proofErr w:type="spellEnd"/>
          </w:p>
        </w:tc>
        <w:tc>
          <w:tcPr>
            <w:tcW w:w="5906" w:type="dxa"/>
          </w:tcPr>
          <w:p w14:paraId="71506A9B" w14:textId="77777777" w:rsidR="0041584B" w:rsidRPr="00061A99" w:rsidRDefault="0041584B" w:rsidP="0041584B">
            <w:r w:rsidRPr="00061A99">
              <w:t>Kilo Volt Ampere reactive: a unit of reactive power flow.</w:t>
            </w:r>
          </w:p>
          <w:p w14:paraId="3516A2A9" w14:textId="77777777" w:rsidR="0041584B" w:rsidRPr="00061A99" w:rsidRDefault="0041584B" w:rsidP="0041584B">
            <w:r w:rsidRPr="00061A99">
              <w:t xml:space="preserve">The network capacity used by a flow of A kW and B </w:t>
            </w:r>
            <w:proofErr w:type="spellStart"/>
            <w:r w:rsidRPr="00061A99">
              <w:t>kVAr</w:t>
            </w:r>
            <w:proofErr w:type="spellEnd"/>
            <w:r w:rsidRPr="00061A99">
              <w:t xml:space="preserve"> is SQRT(A^2+B^2) kVA.</w:t>
            </w:r>
          </w:p>
        </w:tc>
      </w:tr>
      <w:tr w:rsidR="0041584B" w:rsidRPr="00061A99" w14:paraId="4F734CC0" w14:textId="77777777" w:rsidTr="0041584B">
        <w:tc>
          <w:tcPr>
            <w:tcW w:w="2475" w:type="dxa"/>
          </w:tcPr>
          <w:p w14:paraId="65B95231" w14:textId="77777777" w:rsidR="0041584B" w:rsidRPr="00061A99" w:rsidRDefault="0041584B" w:rsidP="0041584B">
            <w:pPr>
              <w:pStyle w:val="DCUSATabletextnumbers"/>
            </w:pPr>
            <w:proofErr w:type="spellStart"/>
            <w:r w:rsidRPr="00061A99">
              <w:lastRenderedPageBreak/>
              <w:t>kVArh</w:t>
            </w:r>
            <w:proofErr w:type="spellEnd"/>
          </w:p>
        </w:tc>
        <w:tc>
          <w:tcPr>
            <w:tcW w:w="5906" w:type="dxa"/>
          </w:tcPr>
          <w:p w14:paraId="1192FFFD" w14:textId="77777777" w:rsidR="0041584B" w:rsidRPr="00061A99" w:rsidRDefault="0041584B" w:rsidP="0041584B">
            <w:r w:rsidRPr="00061A99">
              <w:t xml:space="preserve">kVA reactive hour: a unit of total reactive power flow over a period of time.  Reactive power meters usually register </w:t>
            </w:r>
            <w:proofErr w:type="spellStart"/>
            <w:r w:rsidRPr="00061A99">
              <w:t>kVArh</w:t>
            </w:r>
            <w:proofErr w:type="spellEnd"/>
            <w:r w:rsidRPr="00061A99">
              <w:t>.</w:t>
            </w:r>
          </w:p>
        </w:tc>
      </w:tr>
      <w:tr w:rsidR="0041584B" w:rsidRPr="00061A99" w14:paraId="438386FE" w14:textId="77777777" w:rsidTr="0041584B">
        <w:tc>
          <w:tcPr>
            <w:tcW w:w="2475" w:type="dxa"/>
          </w:tcPr>
          <w:p w14:paraId="1554324D" w14:textId="77777777" w:rsidR="0041584B" w:rsidRPr="00061A99" w:rsidRDefault="0041584B" w:rsidP="0041584B">
            <w:pPr>
              <w:pStyle w:val="DCUSATabletextnumbers"/>
            </w:pPr>
            <w:r w:rsidRPr="00061A99">
              <w:t>kW</w:t>
            </w:r>
          </w:p>
        </w:tc>
        <w:tc>
          <w:tcPr>
            <w:tcW w:w="5906" w:type="dxa"/>
          </w:tcPr>
          <w:p w14:paraId="5A1A7190" w14:textId="77777777" w:rsidR="0041584B" w:rsidRPr="00061A99" w:rsidRDefault="0041584B" w:rsidP="0041584B">
            <w:r w:rsidRPr="00061A99">
              <w:t>Kilowatt (1,000 Watts): a unit of power flow.</w:t>
            </w:r>
          </w:p>
        </w:tc>
      </w:tr>
      <w:tr w:rsidR="0041584B" w:rsidRPr="00061A99" w14:paraId="3E339B66" w14:textId="77777777" w:rsidTr="0041584B">
        <w:tc>
          <w:tcPr>
            <w:tcW w:w="2475" w:type="dxa"/>
          </w:tcPr>
          <w:p w14:paraId="27DE8468" w14:textId="77777777" w:rsidR="0041584B" w:rsidRPr="00061A99" w:rsidRDefault="0041584B" w:rsidP="0041584B">
            <w:pPr>
              <w:pStyle w:val="DCUSATabletextnumbers"/>
            </w:pPr>
            <w:r w:rsidRPr="00061A99">
              <w:t>kWh</w:t>
            </w:r>
          </w:p>
        </w:tc>
        <w:tc>
          <w:tcPr>
            <w:tcW w:w="5906" w:type="dxa"/>
          </w:tcPr>
          <w:p w14:paraId="1E8A6439" w14:textId="77777777" w:rsidR="0041584B" w:rsidRPr="00061A99" w:rsidRDefault="0041584B" w:rsidP="0041584B">
            <w:r w:rsidRPr="00061A99">
              <w:t xml:space="preserve">Kilowatt hour: a unit of energy.  Meters usually register kWh. </w:t>
            </w:r>
          </w:p>
        </w:tc>
      </w:tr>
      <w:tr w:rsidR="0041584B" w:rsidRPr="00061A99" w14:paraId="1DCB5776" w14:textId="77777777" w:rsidTr="0041584B">
        <w:tc>
          <w:tcPr>
            <w:tcW w:w="2475" w:type="dxa"/>
          </w:tcPr>
          <w:p w14:paraId="5CDD76D6" w14:textId="77777777" w:rsidR="0041584B" w:rsidRPr="00061A99" w:rsidRDefault="0041584B" w:rsidP="0041584B">
            <w:pPr>
              <w:pStyle w:val="DCUSATabletextnumbers"/>
            </w:pPr>
            <w:r w:rsidRPr="002165F7">
              <w:t xml:space="preserve">LDNO </w:t>
            </w:r>
          </w:p>
        </w:tc>
        <w:tc>
          <w:tcPr>
            <w:tcW w:w="5906" w:type="dxa"/>
          </w:tcPr>
          <w:p w14:paraId="3724E754" w14:textId="77777777" w:rsidR="0041584B" w:rsidRPr="00061A99" w:rsidRDefault="0041584B" w:rsidP="0041584B">
            <w:r w:rsidRPr="002165F7">
              <w:rPr>
                <w:rFonts w:cs="Times New Roman"/>
                <w:szCs w:val="24"/>
              </w:rPr>
              <w:t>refers to a licensed distribution network operator, meaning an IDNO Party or a DNO Party operating an electricity distribution system outside of its Distribution Services Area.</w:t>
            </w:r>
          </w:p>
        </w:tc>
      </w:tr>
      <w:tr w:rsidR="0041584B" w:rsidRPr="00061A99" w14:paraId="2F05D1D6" w14:textId="77777777" w:rsidTr="0041584B">
        <w:tc>
          <w:tcPr>
            <w:tcW w:w="2475" w:type="dxa"/>
          </w:tcPr>
          <w:p w14:paraId="1CE70A75" w14:textId="77777777" w:rsidR="0041584B" w:rsidRPr="00061A99" w:rsidRDefault="0041584B" w:rsidP="0041584B">
            <w:pPr>
              <w:pStyle w:val="DCUSATabletextnumbers"/>
            </w:pPr>
            <w:r w:rsidRPr="00061A99">
              <w:t>Long Term Development Statement (LTDS)</w:t>
            </w:r>
          </w:p>
        </w:tc>
        <w:tc>
          <w:tcPr>
            <w:tcW w:w="5906" w:type="dxa"/>
          </w:tcPr>
          <w:p w14:paraId="6688F402" w14:textId="77777777" w:rsidR="0041584B" w:rsidRPr="00061A99" w:rsidRDefault="0041584B" w:rsidP="0041584B">
            <w:r w:rsidRPr="00061A99">
              <w:t xml:space="preserve">The </w:t>
            </w:r>
            <w:proofErr w:type="gramStart"/>
            <w:r w:rsidRPr="00061A99">
              <w:t>Long Term</w:t>
            </w:r>
            <w:proofErr w:type="gramEnd"/>
            <w:r w:rsidRPr="00061A99">
              <w:t xml:space="preserve"> Development Statement as detailed by Licence Condition 25 of the Distribution Licences.</w:t>
            </w:r>
          </w:p>
        </w:tc>
      </w:tr>
      <w:tr w:rsidR="0041584B" w:rsidRPr="00061A99" w14:paraId="48F8DC1A" w14:textId="77777777" w:rsidTr="0041584B">
        <w:tc>
          <w:tcPr>
            <w:tcW w:w="2475" w:type="dxa"/>
          </w:tcPr>
          <w:p w14:paraId="0D4FC1CE" w14:textId="77777777" w:rsidR="0041584B" w:rsidRPr="00061A99" w:rsidRDefault="0041584B" w:rsidP="0041584B">
            <w:pPr>
              <w:pStyle w:val="DCUSATabletextnumbers"/>
            </w:pPr>
            <w:r w:rsidRPr="00061A99">
              <w:t>LRIC</w:t>
            </w:r>
          </w:p>
        </w:tc>
        <w:tc>
          <w:tcPr>
            <w:tcW w:w="5906" w:type="dxa"/>
          </w:tcPr>
          <w:p w14:paraId="47CAC51E" w14:textId="77777777" w:rsidR="0041584B" w:rsidRPr="00061A99" w:rsidRDefault="0041584B" w:rsidP="0041584B">
            <w:r w:rsidRPr="00061A99">
              <w:t xml:space="preserve">Has the meaning given to that expression in Paragraph </w:t>
            </w:r>
            <w:r>
              <w:fldChar w:fldCharType="begin"/>
            </w:r>
            <w:r>
              <w:instrText xml:space="preserve"> REF _Ref277945502 \w \h  \* MERGEFORMAT </w:instrText>
            </w:r>
            <w:r>
              <w:fldChar w:fldCharType="separate"/>
            </w:r>
            <w:r>
              <w:t>2.1</w:t>
            </w:r>
            <w:r>
              <w:fldChar w:fldCharType="end"/>
            </w:r>
            <w:r w:rsidRPr="00061A99">
              <w:t>.</w:t>
            </w:r>
          </w:p>
        </w:tc>
      </w:tr>
      <w:tr w:rsidR="0041584B" w:rsidRPr="00061A99" w14:paraId="642B6F63" w14:textId="77777777" w:rsidTr="0041584B">
        <w:tc>
          <w:tcPr>
            <w:tcW w:w="2475" w:type="dxa"/>
          </w:tcPr>
          <w:p w14:paraId="0E20A0DF" w14:textId="77777777" w:rsidR="0041584B" w:rsidRPr="00061A99" w:rsidRDefault="0041584B" w:rsidP="0041584B">
            <w:pPr>
              <w:pStyle w:val="DCUSATabletextnumbers"/>
            </w:pPr>
            <w:r w:rsidRPr="00061A99">
              <w:t>LV</w:t>
            </w:r>
          </w:p>
        </w:tc>
        <w:tc>
          <w:tcPr>
            <w:tcW w:w="5906" w:type="dxa"/>
          </w:tcPr>
          <w:p w14:paraId="14C8532C" w14:textId="77777777" w:rsidR="0041584B" w:rsidRPr="00061A99" w:rsidRDefault="0041584B" w:rsidP="0041584B">
            <w:r w:rsidRPr="00061A99">
              <w:t>Nominal voltages of less than 1kV.</w:t>
            </w:r>
          </w:p>
        </w:tc>
      </w:tr>
      <w:tr w:rsidR="0041584B" w:rsidRPr="00061A99" w14:paraId="147BCF98" w14:textId="77777777" w:rsidTr="0041584B">
        <w:tc>
          <w:tcPr>
            <w:tcW w:w="2475" w:type="dxa"/>
          </w:tcPr>
          <w:p w14:paraId="715D0FD7" w14:textId="77777777" w:rsidR="0041584B" w:rsidRPr="00061A99" w:rsidRDefault="0041584B" w:rsidP="0041584B">
            <w:pPr>
              <w:pStyle w:val="DCUSATabletextnumbers"/>
            </w:pPr>
            <w:r w:rsidRPr="00061A99">
              <w:t>Maximum Contingency Flows</w:t>
            </w:r>
          </w:p>
        </w:tc>
        <w:tc>
          <w:tcPr>
            <w:tcW w:w="5906" w:type="dxa"/>
          </w:tcPr>
          <w:p w14:paraId="1A359402" w14:textId="77777777" w:rsidR="0041584B" w:rsidRPr="00061A99" w:rsidRDefault="0041584B" w:rsidP="0041584B">
            <w:r w:rsidRPr="00061A99">
              <w:t xml:space="preserve">The maximum power flows in each Branch as determined under Contingency Analysis. Maximum Contingency </w:t>
            </w:r>
            <w:proofErr w:type="spellStart"/>
            <w:r w:rsidRPr="00061A99">
              <w:t>Flowb</w:t>
            </w:r>
            <w:proofErr w:type="spellEnd"/>
            <w:r w:rsidRPr="00061A99">
              <w:t xml:space="preserve"> is the maximum power flow in Branch b under all N-1 Contingencies for the demand scenario.  Note a separate set of Maximum Contingency Flows is determined for each demand scenario (the Maximum Demand Scenario and the Minimum Demand Scenario).</w:t>
            </w:r>
          </w:p>
        </w:tc>
      </w:tr>
      <w:tr w:rsidR="0041584B" w:rsidRPr="00061A99" w14:paraId="0A0C4F84" w14:textId="77777777" w:rsidTr="0041584B">
        <w:tc>
          <w:tcPr>
            <w:tcW w:w="2475" w:type="dxa"/>
          </w:tcPr>
          <w:p w14:paraId="6CD7BCE7" w14:textId="77777777" w:rsidR="0041584B" w:rsidRPr="00061A99" w:rsidRDefault="0041584B" w:rsidP="0041584B">
            <w:pPr>
              <w:pStyle w:val="DCUSATabletextnumbers"/>
            </w:pPr>
            <w:r w:rsidRPr="00061A99">
              <w:t>Maximum Demand Data</w:t>
            </w:r>
          </w:p>
        </w:tc>
        <w:tc>
          <w:tcPr>
            <w:tcW w:w="5906" w:type="dxa"/>
          </w:tcPr>
          <w:p w14:paraId="2B76DD16" w14:textId="77777777" w:rsidR="0041584B" w:rsidRPr="00061A99" w:rsidRDefault="0041584B" w:rsidP="0041584B">
            <w:r w:rsidRPr="00061A99">
              <w:t xml:space="preserve">The Network Demand Data that is applied to the Maximum Demand Scenario. The construction of Maximum Demand Data is described in section </w:t>
            </w:r>
            <w:r>
              <w:fldChar w:fldCharType="begin"/>
            </w:r>
            <w:r>
              <w:instrText xml:space="preserve"> REF _Ref277072928 \r \h  \* MERGEFORMAT </w:instrText>
            </w:r>
            <w:r>
              <w:fldChar w:fldCharType="separate"/>
            </w:r>
            <w:r>
              <w:t>5.31</w:t>
            </w:r>
            <w:r>
              <w:fldChar w:fldCharType="end"/>
            </w:r>
            <w:r w:rsidRPr="00061A99">
              <w:t xml:space="preserve"> (</w:t>
            </w:r>
            <w:r>
              <w:fldChar w:fldCharType="begin"/>
            </w:r>
            <w:r>
              <w:instrText xml:space="preserve"> REF _Ref269306096 \h  \* MERGEFORMAT </w:instrText>
            </w:r>
            <w:r>
              <w:fldChar w:fldCharType="separate"/>
            </w:r>
            <w:r w:rsidRPr="00A74D0F">
              <w:t>Maximum Demand Data for the Authorised Network Model</w:t>
            </w:r>
            <w:r>
              <w:fldChar w:fldCharType="end"/>
            </w:r>
            <w:r w:rsidRPr="00061A99">
              <w:t xml:space="preserve">) of </w:t>
            </w:r>
            <w:r>
              <w:fldChar w:fldCharType="begin"/>
            </w:r>
            <w:r>
              <w:instrText xml:space="preserve"> REF Annex1 \h  \* MERGEFORMAT </w:instrText>
            </w:r>
            <w:r>
              <w:fldChar w:fldCharType="separate"/>
            </w:r>
            <w:r w:rsidRPr="001613FA">
              <w:t>Annex 1</w:t>
            </w:r>
            <w:r>
              <w:fldChar w:fldCharType="end"/>
            </w:r>
            <w:r w:rsidRPr="00061A99">
              <w:t>.</w:t>
            </w:r>
          </w:p>
        </w:tc>
      </w:tr>
      <w:tr w:rsidR="0041584B" w:rsidRPr="00061A99" w14:paraId="31F5D901" w14:textId="77777777" w:rsidTr="0041584B">
        <w:tc>
          <w:tcPr>
            <w:tcW w:w="2475" w:type="dxa"/>
          </w:tcPr>
          <w:p w14:paraId="1553291D" w14:textId="77777777" w:rsidR="0041584B" w:rsidRPr="00061A99" w:rsidRDefault="0041584B" w:rsidP="0041584B">
            <w:pPr>
              <w:pStyle w:val="DCUSATabletextnumbers"/>
            </w:pPr>
            <w:r w:rsidRPr="00061A99">
              <w:lastRenderedPageBreak/>
              <w:t>Maximum Demand Scenario</w:t>
            </w:r>
          </w:p>
        </w:tc>
        <w:tc>
          <w:tcPr>
            <w:tcW w:w="5906" w:type="dxa"/>
          </w:tcPr>
          <w:p w14:paraId="325CECD1" w14:textId="77777777" w:rsidR="0041584B" w:rsidRPr="00061A99" w:rsidRDefault="0041584B" w:rsidP="0041584B">
            <w:r w:rsidRPr="00061A99">
              <w:t>The analysis scenario of the Authorised Network Model populated with demands that reflect maximum loading conditions.</w:t>
            </w:r>
          </w:p>
        </w:tc>
      </w:tr>
      <w:tr w:rsidR="0041584B" w:rsidRPr="00061A99" w14:paraId="19DE2A7C" w14:textId="77777777" w:rsidTr="0041584B">
        <w:tc>
          <w:tcPr>
            <w:tcW w:w="2475" w:type="dxa"/>
          </w:tcPr>
          <w:p w14:paraId="3F92D55A" w14:textId="77777777" w:rsidR="0041584B" w:rsidRPr="00061A99" w:rsidRDefault="0041584B" w:rsidP="0041584B">
            <w:pPr>
              <w:pStyle w:val="DCUSATabletextnumbers"/>
            </w:pPr>
            <w:r w:rsidRPr="00061A99">
              <w:t>Minimum Demand Data</w:t>
            </w:r>
          </w:p>
        </w:tc>
        <w:tc>
          <w:tcPr>
            <w:tcW w:w="5906" w:type="dxa"/>
          </w:tcPr>
          <w:p w14:paraId="7F0FBD4D" w14:textId="77777777" w:rsidR="0041584B" w:rsidRPr="00061A99" w:rsidRDefault="0041584B" w:rsidP="0041584B">
            <w:r w:rsidRPr="00061A99">
              <w:t xml:space="preserve">The Network Demand Data that is applied to the Minimum Demand Scenario.  The construction of Minimum Demand Data is described in section </w:t>
            </w:r>
            <w:r>
              <w:fldChar w:fldCharType="begin"/>
            </w:r>
            <w:r>
              <w:instrText xml:space="preserve"> REF _Ref277072973 \w \h  \* MERGEFORMAT </w:instrText>
            </w:r>
            <w:r>
              <w:fldChar w:fldCharType="separate"/>
            </w:r>
            <w:r>
              <w:t>5.37</w:t>
            </w:r>
            <w:r>
              <w:fldChar w:fldCharType="end"/>
            </w:r>
            <w:r w:rsidRPr="00061A99">
              <w:t xml:space="preserve"> (</w:t>
            </w:r>
            <w:r>
              <w:fldChar w:fldCharType="begin"/>
            </w:r>
            <w:r>
              <w:instrText xml:space="preserve"> REF MinimumDemandDatafortheANM \h  \* MERGEFORMAT </w:instrText>
            </w:r>
            <w:r>
              <w:fldChar w:fldCharType="separate"/>
            </w:r>
            <w:r w:rsidRPr="00A74D0F">
              <w:t>Minimum Demand Data for the Authorised Network Model</w:t>
            </w:r>
            <w:r>
              <w:fldChar w:fldCharType="end"/>
            </w:r>
            <w:r w:rsidRPr="00061A99">
              <w:t xml:space="preserve">) of </w:t>
            </w:r>
            <w:r>
              <w:fldChar w:fldCharType="begin"/>
            </w:r>
            <w:r>
              <w:instrText xml:space="preserve"> REF Annex1 \h  \* MERGEFORMAT </w:instrText>
            </w:r>
            <w:r>
              <w:fldChar w:fldCharType="separate"/>
            </w:r>
            <w:r w:rsidRPr="001613FA">
              <w:t>Annex 1</w:t>
            </w:r>
            <w:r>
              <w:fldChar w:fldCharType="end"/>
            </w:r>
            <w:r w:rsidRPr="00061A99">
              <w:t>.</w:t>
            </w:r>
          </w:p>
        </w:tc>
      </w:tr>
      <w:tr w:rsidR="0041584B" w:rsidRPr="00061A99" w14:paraId="29487600" w14:textId="77777777" w:rsidTr="0041584B">
        <w:tc>
          <w:tcPr>
            <w:tcW w:w="2475" w:type="dxa"/>
          </w:tcPr>
          <w:p w14:paraId="7B10A618" w14:textId="77777777" w:rsidR="0041584B" w:rsidRPr="00061A99" w:rsidRDefault="0041584B" w:rsidP="0041584B">
            <w:pPr>
              <w:pStyle w:val="DCUSATabletextnumbers"/>
            </w:pPr>
            <w:r w:rsidRPr="00061A99">
              <w:t>Minimum Demand Scenario</w:t>
            </w:r>
          </w:p>
        </w:tc>
        <w:tc>
          <w:tcPr>
            <w:tcW w:w="5906" w:type="dxa"/>
          </w:tcPr>
          <w:p w14:paraId="48C0D8C2" w14:textId="77777777" w:rsidR="0041584B" w:rsidRPr="00061A99" w:rsidRDefault="0041584B" w:rsidP="0041584B">
            <w:r w:rsidRPr="00061A99">
              <w:t>The analysis scenario of the Authorised Network Model populated with demands that reflect minimum loading conditions.</w:t>
            </w:r>
          </w:p>
        </w:tc>
      </w:tr>
      <w:tr w:rsidR="0041584B" w:rsidRPr="00061A99" w14:paraId="38136909" w14:textId="77777777" w:rsidTr="0041584B">
        <w:tc>
          <w:tcPr>
            <w:tcW w:w="2475" w:type="dxa"/>
          </w:tcPr>
          <w:p w14:paraId="5BE3AA93" w14:textId="77777777" w:rsidR="0041584B" w:rsidRPr="00061A99" w:rsidRDefault="0041584B" w:rsidP="0041584B">
            <w:pPr>
              <w:pStyle w:val="DCUSATabletextnumbers"/>
            </w:pPr>
            <w:r w:rsidRPr="00061A99">
              <w:t>MVA</w:t>
            </w:r>
          </w:p>
        </w:tc>
        <w:tc>
          <w:tcPr>
            <w:tcW w:w="5906" w:type="dxa"/>
          </w:tcPr>
          <w:p w14:paraId="4813BBAB" w14:textId="77777777" w:rsidR="0041584B" w:rsidRPr="00061A99" w:rsidRDefault="0041584B" w:rsidP="0041584B">
            <w:r w:rsidRPr="00061A99">
              <w:t>Mega Volt Ampere (1,000 kVA): a unit of network capacity.</w:t>
            </w:r>
          </w:p>
        </w:tc>
      </w:tr>
      <w:tr w:rsidR="0041584B" w:rsidRPr="00061A99" w14:paraId="269CC89C" w14:textId="77777777" w:rsidTr="0041584B">
        <w:tc>
          <w:tcPr>
            <w:tcW w:w="2475" w:type="dxa"/>
          </w:tcPr>
          <w:p w14:paraId="5BB156E9" w14:textId="77777777" w:rsidR="0041584B" w:rsidRPr="00061A99" w:rsidRDefault="0041584B" w:rsidP="0041584B">
            <w:pPr>
              <w:pStyle w:val="DCUSATabletextnumbers"/>
            </w:pPr>
            <w:r w:rsidRPr="00061A99">
              <w:t>MW</w:t>
            </w:r>
          </w:p>
        </w:tc>
        <w:tc>
          <w:tcPr>
            <w:tcW w:w="5906" w:type="dxa"/>
          </w:tcPr>
          <w:p w14:paraId="3D5FFDEA" w14:textId="77777777" w:rsidR="0041584B" w:rsidRPr="00061A99" w:rsidRDefault="0041584B" w:rsidP="0041584B">
            <w:r w:rsidRPr="00061A99">
              <w:t>Megawatt (1,000 kW): a unit of power flow.</w:t>
            </w:r>
          </w:p>
        </w:tc>
      </w:tr>
      <w:tr w:rsidR="0041584B" w:rsidRPr="00061A99" w14:paraId="75E2E86C" w14:textId="77777777" w:rsidTr="0041584B">
        <w:tc>
          <w:tcPr>
            <w:tcW w:w="2475" w:type="dxa"/>
          </w:tcPr>
          <w:p w14:paraId="67C8D0E7" w14:textId="77777777" w:rsidR="0041584B" w:rsidRPr="00061A99" w:rsidRDefault="0041584B" w:rsidP="0041584B">
            <w:pPr>
              <w:pStyle w:val="DCUSATabletextnumbers"/>
            </w:pPr>
            <w:r w:rsidRPr="00061A99">
              <w:t>MWh</w:t>
            </w:r>
          </w:p>
        </w:tc>
        <w:tc>
          <w:tcPr>
            <w:tcW w:w="5906" w:type="dxa"/>
          </w:tcPr>
          <w:p w14:paraId="1E030BA8" w14:textId="77777777" w:rsidR="0041584B" w:rsidRPr="00061A99" w:rsidRDefault="0041584B" w:rsidP="0041584B">
            <w:r w:rsidRPr="00061A99">
              <w:t>Megawatt hour (1,000 kWh): a unit of energy.  Energy trading is usually conducted in MWh.</w:t>
            </w:r>
          </w:p>
        </w:tc>
      </w:tr>
      <w:tr w:rsidR="0041584B" w:rsidRPr="00061A99" w14:paraId="3ADB5124" w14:textId="77777777" w:rsidTr="0041584B">
        <w:tc>
          <w:tcPr>
            <w:tcW w:w="2475" w:type="dxa"/>
          </w:tcPr>
          <w:p w14:paraId="1CFB6083" w14:textId="77777777" w:rsidR="0041584B" w:rsidRPr="00061A99" w:rsidRDefault="0041584B" w:rsidP="0041584B">
            <w:pPr>
              <w:pStyle w:val="DCUSATabletextnumbers"/>
            </w:pPr>
            <w:r w:rsidRPr="00061A99">
              <w:t>N-1 Contingency</w:t>
            </w:r>
          </w:p>
        </w:tc>
        <w:tc>
          <w:tcPr>
            <w:tcW w:w="5906" w:type="dxa"/>
          </w:tcPr>
          <w:p w14:paraId="72B23D01" w14:textId="77777777" w:rsidR="0041584B" w:rsidRPr="00061A99" w:rsidRDefault="0041584B" w:rsidP="0041584B">
            <w:r w:rsidRPr="00061A99">
              <w:t>An N-1 Contingency considers an N-1 Event occurring on the Authorised Network Model and models the consequential network actions and where appropriate constraints on Connectee demands to ensure that the flow on each Branch is within its rated capacity and so is ER P2/6 compliant.</w:t>
            </w:r>
          </w:p>
        </w:tc>
      </w:tr>
      <w:tr w:rsidR="0041584B" w:rsidRPr="00061A99" w14:paraId="7864A5B0" w14:textId="77777777" w:rsidTr="0041584B">
        <w:tc>
          <w:tcPr>
            <w:tcW w:w="2475" w:type="dxa"/>
          </w:tcPr>
          <w:p w14:paraId="0AC49CA3" w14:textId="77777777" w:rsidR="0041584B" w:rsidRPr="00061A99" w:rsidRDefault="0041584B" w:rsidP="0041584B">
            <w:pPr>
              <w:pStyle w:val="DCUSATabletextnumbers"/>
            </w:pPr>
            <w:r w:rsidRPr="00061A99">
              <w:t>N-1 Event</w:t>
            </w:r>
          </w:p>
        </w:tc>
        <w:tc>
          <w:tcPr>
            <w:tcW w:w="5906" w:type="dxa"/>
          </w:tcPr>
          <w:p w14:paraId="33B9C26D" w14:textId="77777777" w:rsidR="0041584B" w:rsidRPr="00061A99" w:rsidRDefault="0041584B" w:rsidP="0041584B">
            <w:r w:rsidRPr="00061A99">
              <w:t xml:space="preserve">An N-1 Event is a First Circuit Outage (FCO) as explained in ER P2/6.  It signifies a fault or arranged outage on the network which would result in a section of the network defined by the relevant protection scheme to sectionalise and isolate the faulty section, or isolate the section to be worked on for maintenance, resulting in zero power flow in the affected network. N-1 Events should consider an outage of a complete Circuit and only consider faults or </w:t>
            </w:r>
            <w:r w:rsidRPr="00061A99">
              <w:lastRenderedPageBreak/>
              <w:t>arranged outages occurring with the network initially running under Normal Running Arrangements.</w:t>
            </w:r>
          </w:p>
        </w:tc>
      </w:tr>
      <w:tr w:rsidR="0041584B" w:rsidRPr="00061A99" w14:paraId="16EC60A7" w14:textId="77777777" w:rsidTr="0041584B">
        <w:tc>
          <w:tcPr>
            <w:tcW w:w="2475" w:type="dxa"/>
          </w:tcPr>
          <w:p w14:paraId="483545D3" w14:textId="77777777" w:rsidR="0041584B" w:rsidRPr="00061A99" w:rsidRDefault="0041584B" w:rsidP="0041584B">
            <w:pPr>
              <w:pStyle w:val="DCUSATabletextnumbers"/>
            </w:pPr>
            <w:r w:rsidRPr="00061A99">
              <w:lastRenderedPageBreak/>
              <w:t xml:space="preserve">National Electricity Transmission System </w:t>
            </w:r>
          </w:p>
        </w:tc>
        <w:tc>
          <w:tcPr>
            <w:tcW w:w="5906" w:type="dxa"/>
          </w:tcPr>
          <w:p w14:paraId="3EC49747" w14:textId="77777777" w:rsidR="0041584B" w:rsidRPr="00061A99" w:rsidRDefault="0041584B" w:rsidP="0041584B">
            <w:r w:rsidRPr="00061A99">
              <w:t>Has the meaning given to that expression in the CUSC</w:t>
            </w:r>
          </w:p>
        </w:tc>
      </w:tr>
      <w:tr w:rsidR="0041584B" w:rsidRPr="00061A99" w14:paraId="74750C75" w14:textId="77777777" w:rsidTr="0041584B">
        <w:tc>
          <w:tcPr>
            <w:tcW w:w="2475" w:type="dxa"/>
          </w:tcPr>
          <w:p w14:paraId="0544A2B0" w14:textId="77777777" w:rsidR="0041584B" w:rsidRPr="00061A99" w:rsidRDefault="0041584B" w:rsidP="0041584B">
            <w:pPr>
              <w:pStyle w:val="DCUSATabletextnumbers"/>
            </w:pPr>
            <w:bookmarkStart w:id="440" w:name="_Toc269379858"/>
            <w:bookmarkStart w:id="441" w:name="_Toc269720507"/>
            <w:bookmarkStart w:id="442" w:name="_Toc269721204"/>
            <w:r w:rsidRPr="00061A99">
              <w:t>Negative Load Injection</w:t>
            </w:r>
            <w:bookmarkEnd w:id="440"/>
            <w:bookmarkEnd w:id="441"/>
            <w:bookmarkEnd w:id="442"/>
          </w:p>
        </w:tc>
        <w:tc>
          <w:tcPr>
            <w:tcW w:w="5906" w:type="dxa"/>
          </w:tcPr>
          <w:p w14:paraId="3522005F" w14:textId="77777777" w:rsidR="0041584B" w:rsidRPr="00061A99" w:rsidRDefault="0041584B" w:rsidP="0041584B">
            <w:bookmarkStart w:id="443" w:name="_Toc269379859"/>
            <w:bookmarkStart w:id="444" w:name="_Toc269720508"/>
            <w:bookmarkStart w:id="445" w:name="_Toc269721205"/>
            <w:r w:rsidRPr="00061A99">
              <w:t>Negative Load Injection is a negative value of load calculated and applied to a source substation within the network model to represent the effects of diversity between associated downstream demands upon the actual demand observed at the source substation.</w:t>
            </w:r>
            <w:bookmarkEnd w:id="443"/>
            <w:bookmarkEnd w:id="444"/>
            <w:bookmarkEnd w:id="445"/>
          </w:p>
        </w:tc>
      </w:tr>
      <w:tr w:rsidR="0041584B" w:rsidRPr="00061A99" w14:paraId="06C76057" w14:textId="77777777" w:rsidTr="0041584B">
        <w:tc>
          <w:tcPr>
            <w:tcW w:w="2475" w:type="dxa"/>
          </w:tcPr>
          <w:p w14:paraId="496BDD70" w14:textId="77777777" w:rsidR="0041584B" w:rsidRPr="00061A99" w:rsidRDefault="0041584B" w:rsidP="0041584B">
            <w:pPr>
              <w:pStyle w:val="DCUSATabletextnumbers"/>
            </w:pPr>
            <w:bookmarkStart w:id="446" w:name="_Toc269379860"/>
            <w:bookmarkStart w:id="447" w:name="_Toc269720509"/>
            <w:bookmarkStart w:id="448" w:name="_Toc269721206"/>
            <w:r w:rsidRPr="00061A99">
              <w:t>Net Diversity Factor</w:t>
            </w:r>
            <w:bookmarkEnd w:id="446"/>
            <w:bookmarkEnd w:id="447"/>
            <w:bookmarkEnd w:id="448"/>
            <w:r w:rsidRPr="00061A99">
              <w:t xml:space="preserve"> </w:t>
            </w:r>
          </w:p>
        </w:tc>
        <w:tc>
          <w:tcPr>
            <w:tcW w:w="5906" w:type="dxa"/>
          </w:tcPr>
          <w:p w14:paraId="4A1AF21F" w14:textId="77777777" w:rsidR="0041584B" w:rsidRPr="00061A99" w:rsidRDefault="0041584B" w:rsidP="0041584B">
            <w:bookmarkStart w:id="449" w:name="_Toc269379861"/>
            <w:bookmarkStart w:id="450" w:name="_Toc269720510"/>
            <w:bookmarkStart w:id="451" w:name="_Toc269721207"/>
            <w:r w:rsidRPr="00061A99">
              <w:t>A scaling factor that represents the diversity between the maximum demands observed at substations at different levels of a network, which may be derived by multiplying Diversity Factors representing the diversity between interim levels.</w:t>
            </w:r>
            <w:bookmarkEnd w:id="449"/>
            <w:bookmarkEnd w:id="450"/>
            <w:bookmarkEnd w:id="451"/>
          </w:p>
        </w:tc>
      </w:tr>
      <w:tr w:rsidR="0041584B" w:rsidRPr="00061A99" w14:paraId="18BBF163" w14:textId="77777777" w:rsidTr="0041584B">
        <w:tc>
          <w:tcPr>
            <w:tcW w:w="2475" w:type="dxa"/>
          </w:tcPr>
          <w:p w14:paraId="29C78B40" w14:textId="77777777" w:rsidR="0041584B" w:rsidRPr="00061A99" w:rsidRDefault="0041584B" w:rsidP="0041584B">
            <w:pPr>
              <w:pStyle w:val="DCUSATabletextnumbers"/>
            </w:pPr>
            <w:r w:rsidRPr="00061A99">
              <w:t>network</w:t>
            </w:r>
          </w:p>
        </w:tc>
        <w:tc>
          <w:tcPr>
            <w:tcW w:w="5906" w:type="dxa"/>
          </w:tcPr>
          <w:p w14:paraId="6735DF14" w14:textId="77777777" w:rsidR="0041584B" w:rsidRPr="00061A99" w:rsidRDefault="0041584B" w:rsidP="0041584B">
            <w:r w:rsidRPr="00061A99">
              <w:t>This is a reference to the DNO Party’s Distribution System, or to a particular part of that Distribution System.</w:t>
            </w:r>
          </w:p>
        </w:tc>
      </w:tr>
      <w:tr w:rsidR="0041584B" w:rsidRPr="00061A99" w14:paraId="6CB799C9" w14:textId="77777777" w:rsidTr="0041584B">
        <w:tc>
          <w:tcPr>
            <w:tcW w:w="2475" w:type="dxa"/>
          </w:tcPr>
          <w:p w14:paraId="7D2824C0" w14:textId="77777777" w:rsidR="0041584B" w:rsidRPr="00061A99" w:rsidRDefault="0041584B" w:rsidP="0041584B">
            <w:pPr>
              <w:pStyle w:val="DCUSATabletextnumbers"/>
            </w:pPr>
            <w:r w:rsidRPr="00061A99">
              <w:t>Network Demand Data</w:t>
            </w:r>
          </w:p>
        </w:tc>
        <w:tc>
          <w:tcPr>
            <w:tcW w:w="5906" w:type="dxa"/>
          </w:tcPr>
          <w:p w14:paraId="0816C606" w14:textId="77777777" w:rsidR="0041584B" w:rsidRPr="00061A99" w:rsidRDefault="0041584B" w:rsidP="0041584B">
            <w:r w:rsidRPr="00061A99">
              <w:t xml:space="preserve">This is the load and generation which is used to populate the Authorised Network Model. Network Demand Data is constructed of Network Demand Data (Load) and Network Demand Data (Generation). A description of Network Demand Data is given in section </w:t>
            </w:r>
            <w:r>
              <w:fldChar w:fldCharType="begin"/>
            </w:r>
            <w:r>
              <w:instrText xml:space="preserve"> REF _Ref277946634 \r \h  \* MERGEFORMAT </w:instrText>
            </w:r>
            <w:r>
              <w:fldChar w:fldCharType="separate"/>
            </w:r>
            <w:r>
              <w:t>5</w:t>
            </w:r>
            <w:r>
              <w:fldChar w:fldCharType="end"/>
            </w:r>
            <w:r w:rsidRPr="00061A99">
              <w:t xml:space="preserve"> of (</w:t>
            </w:r>
            <w:r>
              <w:fldChar w:fldCharType="begin"/>
            </w:r>
            <w:r>
              <w:instrText xml:space="preserve"> REF _Ref248280034 \h  \* MERGEFORMAT </w:instrText>
            </w:r>
            <w:r>
              <w:fldChar w:fldCharType="separate"/>
            </w:r>
            <w:r w:rsidRPr="00061A99">
              <w:t>Network Demand Data</w:t>
            </w:r>
            <w:r>
              <w:fldChar w:fldCharType="end"/>
            </w:r>
            <w:r w:rsidRPr="00061A99">
              <w:t xml:space="preserve">) of </w:t>
            </w:r>
            <w:r>
              <w:fldChar w:fldCharType="begin"/>
            </w:r>
            <w:r>
              <w:instrText xml:space="preserve"> REF Annex1 \h  \* MERGEFORMAT </w:instrText>
            </w:r>
            <w:r>
              <w:fldChar w:fldCharType="separate"/>
            </w:r>
            <w:r w:rsidRPr="001613FA">
              <w:t>Annex 1</w:t>
            </w:r>
            <w:r>
              <w:fldChar w:fldCharType="end"/>
            </w:r>
            <w:r w:rsidRPr="00061A99">
              <w:t>.</w:t>
            </w:r>
          </w:p>
        </w:tc>
      </w:tr>
      <w:tr w:rsidR="0041584B" w:rsidRPr="00061A99" w14:paraId="06CA3E4E" w14:textId="77777777" w:rsidTr="0041584B">
        <w:tc>
          <w:tcPr>
            <w:tcW w:w="2475" w:type="dxa"/>
          </w:tcPr>
          <w:p w14:paraId="5A93AA68" w14:textId="77777777" w:rsidR="0041584B" w:rsidRPr="00061A99" w:rsidRDefault="0041584B" w:rsidP="0041584B">
            <w:pPr>
              <w:pStyle w:val="DCUSATabletextnumbers"/>
            </w:pPr>
            <w:r w:rsidRPr="00061A99">
              <w:t>Network Demand Data (Generation)</w:t>
            </w:r>
          </w:p>
          <w:p w14:paraId="6DFD3151" w14:textId="77777777" w:rsidR="0041584B" w:rsidRPr="00061A99" w:rsidRDefault="0041584B" w:rsidP="0041584B">
            <w:pPr>
              <w:pStyle w:val="DCUSATabletextnumbers"/>
            </w:pPr>
          </w:p>
        </w:tc>
        <w:tc>
          <w:tcPr>
            <w:tcW w:w="5906" w:type="dxa"/>
          </w:tcPr>
          <w:p w14:paraId="2559F2F4" w14:textId="77777777" w:rsidR="0041584B" w:rsidRPr="00061A99" w:rsidRDefault="0041584B" w:rsidP="0041584B">
            <w:r w:rsidRPr="00061A99">
              <w:t>Generation export applied within the Authorised Network Model at Nodes representing the Entry Point for each EDCM Connectee with an agreed Maximum Export Capacity, factored according to ER P2/6 or coincidence with other generation export, where appropriate.</w:t>
            </w:r>
          </w:p>
        </w:tc>
      </w:tr>
      <w:tr w:rsidR="0041584B" w:rsidRPr="00061A99" w14:paraId="1F453DFC" w14:textId="77777777" w:rsidTr="0041584B">
        <w:tc>
          <w:tcPr>
            <w:tcW w:w="2475" w:type="dxa"/>
          </w:tcPr>
          <w:p w14:paraId="17C4EAA3" w14:textId="77777777" w:rsidR="0041584B" w:rsidRPr="00061A99" w:rsidRDefault="0041584B" w:rsidP="0041584B">
            <w:pPr>
              <w:pStyle w:val="DCUSATabletextnumbers"/>
            </w:pPr>
            <w:r w:rsidRPr="00061A99">
              <w:t>Network Demand Data (Load)</w:t>
            </w:r>
          </w:p>
        </w:tc>
        <w:tc>
          <w:tcPr>
            <w:tcW w:w="5906" w:type="dxa"/>
          </w:tcPr>
          <w:p w14:paraId="786A40CF" w14:textId="77777777" w:rsidR="0041584B" w:rsidRPr="00061A99" w:rsidRDefault="0041584B" w:rsidP="0041584B">
            <w:r w:rsidRPr="00061A99">
              <w:t xml:space="preserve">The load applied within the Authorised Network Model at Nodes representing the Exit Point for each EDCM </w:t>
            </w:r>
            <w:r w:rsidRPr="00061A99">
              <w:lastRenderedPageBreak/>
              <w:t>Connectee and/or the lower voltage busbars at each EHV/HV substation.</w:t>
            </w:r>
          </w:p>
        </w:tc>
      </w:tr>
      <w:tr w:rsidR="0041584B" w:rsidRPr="00061A99" w14:paraId="52220A8A" w14:textId="77777777" w:rsidTr="0041584B">
        <w:tc>
          <w:tcPr>
            <w:tcW w:w="2475" w:type="dxa"/>
          </w:tcPr>
          <w:p w14:paraId="3E67BEE5" w14:textId="77777777" w:rsidR="0041584B" w:rsidRPr="00061A99" w:rsidRDefault="0041584B" w:rsidP="0041584B">
            <w:pPr>
              <w:pStyle w:val="DCUSATabletextnumbers"/>
            </w:pPr>
            <w:r w:rsidRPr="00061A99">
              <w:lastRenderedPageBreak/>
              <w:t>network level</w:t>
            </w:r>
          </w:p>
        </w:tc>
        <w:tc>
          <w:tcPr>
            <w:tcW w:w="5906" w:type="dxa"/>
          </w:tcPr>
          <w:p w14:paraId="2D132292" w14:textId="77777777" w:rsidR="0041584B" w:rsidRPr="00061A99" w:rsidRDefault="0041584B" w:rsidP="0041584B">
            <w:r w:rsidRPr="00061A99">
              <w:t>The network is modelled as a stack of circuit and transformation levels between supplies at LV and the National Electricity Transmission System. A network level is any circuit or transformation level in that stack. An additional network level is used for transmission exit.</w:t>
            </w:r>
          </w:p>
        </w:tc>
      </w:tr>
      <w:tr w:rsidR="0041584B" w:rsidRPr="00061A99" w14:paraId="60C3F216" w14:textId="77777777" w:rsidTr="0041584B">
        <w:tc>
          <w:tcPr>
            <w:tcW w:w="2475" w:type="dxa"/>
          </w:tcPr>
          <w:p w14:paraId="7EFB1F41" w14:textId="77777777" w:rsidR="0041584B" w:rsidRPr="00061A99" w:rsidRDefault="0041584B" w:rsidP="0041584B">
            <w:pPr>
              <w:pStyle w:val="DCUSATabletextnumbers"/>
            </w:pPr>
            <w:r w:rsidRPr="00061A99">
              <w:t>Node</w:t>
            </w:r>
          </w:p>
        </w:tc>
        <w:tc>
          <w:tcPr>
            <w:tcW w:w="5906" w:type="dxa"/>
          </w:tcPr>
          <w:p w14:paraId="02EAF9A0" w14:textId="77777777" w:rsidR="0041584B" w:rsidRPr="00061A99" w:rsidRDefault="0041584B" w:rsidP="0041584B">
            <w:pPr>
              <w:pStyle w:val="DCUSATableText"/>
              <w:spacing w:after="240" w:line="360" w:lineRule="auto"/>
            </w:pPr>
            <w:r w:rsidRPr="00061A99">
              <w:t>A representation of a point on the DNO Party’s EHV network that is a point of connection between a Branch and one or more of the following:</w:t>
            </w:r>
          </w:p>
          <w:p w14:paraId="0B773017" w14:textId="77777777" w:rsidR="0041584B" w:rsidRPr="00061A99" w:rsidRDefault="0041584B" w:rsidP="0041584B">
            <w:pPr>
              <w:pStyle w:val="DCUSATableTextbulletpt"/>
              <w:spacing w:after="240" w:line="360" w:lineRule="auto"/>
            </w:pPr>
            <w:r w:rsidRPr="00061A99">
              <w:t>another Branch; or</w:t>
            </w:r>
          </w:p>
          <w:p w14:paraId="767CA856" w14:textId="77777777" w:rsidR="0041584B" w:rsidRPr="00061A99" w:rsidRDefault="0041584B" w:rsidP="0041584B">
            <w:pPr>
              <w:pStyle w:val="DCUSATableTextbulletpt"/>
              <w:spacing w:after="240" w:line="360" w:lineRule="auto"/>
            </w:pPr>
            <w:r w:rsidRPr="00061A99">
              <w:t>an Entry Point or the Sole Use Assets connecting the Entry Point; or</w:t>
            </w:r>
          </w:p>
          <w:p w14:paraId="2752F51A" w14:textId="77777777" w:rsidR="0041584B" w:rsidRPr="00061A99" w:rsidRDefault="0041584B" w:rsidP="0041584B">
            <w:pPr>
              <w:pStyle w:val="DCUSATableTextbulletpt"/>
              <w:spacing w:after="240" w:line="360" w:lineRule="auto"/>
            </w:pPr>
            <w:r w:rsidRPr="00061A99">
              <w:t>an Exit Point or the Sole Use Assets connecting the Exit Point; or</w:t>
            </w:r>
          </w:p>
          <w:p w14:paraId="3491B98B" w14:textId="77777777" w:rsidR="0041584B" w:rsidRPr="00061A99" w:rsidRDefault="0041584B" w:rsidP="0041584B">
            <w:pPr>
              <w:pStyle w:val="DCUSATableTextbulletpt"/>
              <w:spacing w:after="240" w:line="360" w:lineRule="auto"/>
            </w:pPr>
            <w:r w:rsidRPr="00061A99">
              <w:t xml:space="preserve">the DNO Party’s HV network; or </w:t>
            </w:r>
          </w:p>
          <w:p w14:paraId="5587CDD4" w14:textId="77777777" w:rsidR="0041584B" w:rsidRPr="00061A99" w:rsidRDefault="0041584B" w:rsidP="0041584B">
            <w:pPr>
              <w:pStyle w:val="DCUSATableTextbulletpt"/>
              <w:spacing w:after="240" w:line="360" w:lineRule="auto"/>
            </w:pPr>
            <w:r w:rsidRPr="00061A99">
              <w:t xml:space="preserve">the Distribution System of another DNO Party or IDNO Party; or </w:t>
            </w:r>
          </w:p>
          <w:p w14:paraId="55F03108" w14:textId="77777777" w:rsidR="0041584B" w:rsidRPr="00061A99" w:rsidRDefault="0041584B" w:rsidP="0041584B">
            <w:pPr>
              <w:pStyle w:val="DCUSATableTextbulletpt"/>
              <w:spacing w:after="240" w:line="360" w:lineRule="auto"/>
            </w:pPr>
            <w:r w:rsidRPr="00061A99">
              <w:t>the National Electricity Transmission System,</w:t>
            </w:r>
          </w:p>
          <w:p w14:paraId="7A95D2C6" w14:textId="77777777" w:rsidR="0041584B" w:rsidRPr="00061A99" w:rsidRDefault="0041584B" w:rsidP="0041584B">
            <w:pPr>
              <w:pStyle w:val="DCUSATableTextbulletpt"/>
              <w:spacing w:after="240" w:line="360" w:lineRule="auto"/>
            </w:pPr>
            <w:r w:rsidRPr="00061A99">
              <w:t>and “Nodal” shall be construed accordingly.</w:t>
            </w:r>
          </w:p>
        </w:tc>
      </w:tr>
      <w:tr w:rsidR="0041584B" w:rsidRPr="00061A99" w14:paraId="047F1936" w14:textId="77777777" w:rsidTr="0041584B">
        <w:tc>
          <w:tcPr>
            <w:tcW w:w="2475" w:type="dxa"/>
          </w:tcPr>
          <w:p w14:paraId="582B0F15" w14:textId="77777777" w:rsidR="0041584B" w:rsidRPr="00061A99" w:rsidRDefault="0041584B" w:rsidP="0041584B">
            <w:pPr>
              <w:pStyle w:val="DCUSATabletextnumbers"/>
            </w:pPr>
            <w:r w:rsidRPr="00061A99">
              <w:t>Normal Running Arrangements</w:t>
            </w:r>
          </w:p>
        </w:tc>
        <w:tc>
          <w:tcPr>
            <w:tcW w:w="5906" w:type="dxa"/>
          </w:tcPr>
          <w:p w14:paraId="06EE7159" w14:textId="77777777" w:rsidR="0041584B" w:rsidRPr="00061A99" w:rsidRDefault="0041584B" w:rsidP="0041584B">
            <w:pPr>
              <w:pStyle w:val="DCUSATableText"/>
              <w:spacing w:after="240" w:line="360" w:lineRule="auto"/>
            </w:pPr>
            <w:r w:rsidRPr="00061A99">
              <w:t>The DNO Party’s network with no system outages i.e. with no planned outages (e.g. for maintenance) and no unplanned outages (e.g. subsequent to a fault).</w:t>
            </w:r>
          </w:p>
        </w:tc>
      </w:tr>
      <w:tr w:rsidR="0041584B" w:rsidRPr="00061A99" w14:paraId="20A16C22" w14:textId="77777777" w:rsidTr="0041584B">
        <w:tc>
          <w:tcPr>
            <w:tcW w:w="2475" w:type="dxa"/>
          </w:tcPr>
          <w:p w14:paraId="1AF6D0BC" w14:textId="77777777" w:rsidR="0041584B" w:rsidRPr="00061A99" w:rsidRDefault="0041584B" w:rsidP="0041584B">
            <w:pPr>
              <w:pStyle w:val="DCUSATabletextnumbers"/>
            </w:pPr>
            <w:r w:rsidRPr="00061A99">
              <w:lastRenderedPageBreak/>
              <w:t>Off-Peak Charge</w:t>
            </w:r>
          </w:p>
        </w:tc>
        <w:tc>
          <w:tcPr>
            <w:tcW w:w="5906" w:type="dxa"/>
          </w:tcPr>
          <w:p w14:paraId="09B284E8" w14:textId="77777777" w:rsidR="0041584B" w:rsidRPr="00061A99" w:rsidRDefault="0041584B" w:rsidP="0041584B">
            <w:pPr>
              <w:pStyle w:val="DCUSATableText"/>
              <w:spacing w:after="240" w:line="360" w:lineRule="auto"/>
            </w:pPr>
            <w:r w:rsidRPr="00061A99">
              <w:t xml:space="preserve">The Nodal marginal charge (£/kVA/annum) calculated for the Minimum Demand Scenario. The calculation of this Nodal marginal charge is discussed in section </w:t>
            </w:r>
            <w:r>
              <w:fldChar w:fldCharType="begin"/>
            </w:r>
            <w:r>
              <w:instrText xml:space="preserve"> REF _Ref253697146 \r \h  \* MERGEFORMAT </w:instrText>
            </w:r>
            <w:r>
              <w:fldChar w:fldCharType="separate"/>
            </w:r>
            <w:r>
              <w:t>8</w:t>
            </w:r>
            <w:r>
              <w:fldChar w:fldCharType="end"/>
            </w:r>
            <w:r w:rsidRPr="00061A99">
              <w:t xml:space="preserve"> (</w:t>
            </w:r>
            <w:r>
              <w:fldChar w:fldCharType="begin"/>
            </w:r>
            <w:r>
              <w:instrText xml:space="preserve"> REF _Ref253697146 \h  \* MERGEFORMAT </w:instrText>
            </w:r>
            <w:r>
              <w:fldChar w:fldCharType="separate"/>
            </w:r>
            <w:r w:rsidRPr="00DE5C6C">
              <w:t>Output results</w:t>
            </w:r>
            <w:r>
              <w:fldChar w:fldCharType="end"/>
            </w:r>
            <w:r w:rsidRPr="00061A99">
              <w:t xml:space="preserve">) of </w:t>
            </w:r>
            <w:r>
              <w:fldChar w:fldCharType="begin"/>
            </w:r>
            <w:r>
              <w:instrText xml:space="preserve"> REF Annex1 \h  \* MERGEFORMAT </w:instrText>
            </w:r>
            <w:r>
              <w:fldChar w:fldCharType="separate"/>
            </w:r>
            <w:r w:rsidRPr="001613FA">
              <w:t>Annex 1</w:t>
            </w:r>
            <w:r>
              <w:fldChar w:fldCharType="end"/>
            </w:r>
            <w:r w:rsidRPr="00061A99">
              <w:t>.</w:t>
            </w:r>
          </w:p>
        </w:tc>
      </w:tr>
      <w:tr w:rsidR="0041584B" w:rsidRPr="00061A99" w14:paraId="0EE7778E" w14:textId="77777777" w:rsidTr="0041584B">
        <w:tc>
          <w:tcPr>
            <w:tcW w:w="2475" w:type="dxa"/>
          </w:tcPr>
          <w:p w14:paraId="6BBE2280" w14:textId="77777777" w:rsidR="0041584B" w:rsidRPr="00061A99" w:rsidRDefault="0041584B" w:rsidP="0041584B">
            <w:pPr>
              <w:pStyle w:val="DCUSATabletextnumbers"/>
            </w:pPr>
            <w:r w:rsidRPr="00061A99">
              <w:t>Peak Charge</w:t>
            </w:r>
          </w:p>
        </w:tc>
        <w:tc>
          <w:tcPr>
            <w:tcW w:w="5906" w:type="dxa"/>
          </w:tcPr>
          <w:p w14:paraId="783E73A5" w14:textId="77777777" w:rsidR="0041584B" w:rsidRPr="00061A99" w:rsidRDefault="0041584B" w:rsidP="0041584B">
            <w:pPr>
              <w:pStyle w:val="DCUSATableText"/>
              <w:spacing w:after="240" w:line="360" w:lineRule="auto"/>
            </w:pPr>
            <w:r w:rsidRPr="00061A99">
              <w:t xml:space="preserve">The Nodal marginal charge (£/kVA/annum) calculated for the Maximum Demand Scenario. The calculation of this Nodal marginal charge is discussed in section </w:t>
            </w:r>
            <w:r>
              <w:fldChar w:fldCharType="begin"/>
            </w:r>
            <w:r>
              <w:instrText xml:space="preserve"> REF _Ref253697146 \r \h  \* MERGEFORMAT </w:instrText>
            </w:r>
            <w:r>
              <w:fldChar w:fldCharType="separate"/>
            </w:r>
            <w:r>
              <w:t>8</w:t>
            </w:r>
            <w:r>
              <w:fldChar w:fldCharType="end"/>
            </w:r>
            <w:r w:rsidRPr="00061A99">
              <w:t xml:space="preserve"> (</w:t>
            </w:r>
            <w:r>
              <w:fldChar w:fldCharType="begin"/>
            </w:r>
            <w:r>
              <w:instrText xml:space="preserve"> REF _Ref253697146 \h  \* MERGEFORMAT </w:instrText>
            </w:r>
            <w:r>
              <w:fldChar w:fldCharType="separate"/>
            </w:r>
            <w:r w:rsidRPr="00DE5C6C">
              <w:t>Output results</w:t>
            </w:r>
            <w:r>
              <w:fldChar w:fldCharType="end"/>
            </w:r>
            <w:r w:rsidRPr="00061A99">
              <w:t xml:space="preserve">) of </w:t>
            </w:r>
            <w:r>
              <w:fldChar w:fldCharType="begin"/>
            </w:r>
            <w:r>
              <w:instrText xml:space="preserve"> REF Annex1 \h  \* MERGEFORMAT </w:instrText>
            </w:r>
            <w:r>
              <w:fldChar w:fldCharType="separate"/>
            </w:r>
            <w:r w:rsidRPr="001613FA">
              <w:t>Annex 1</w:t>
            </w:r>
            <w:r>
              <w:fldChar w:fldCharType="end"/>
            </w:r>
            <w:r w:rsidRPr="00061A99">
              <w:t>.</w:t>
            </w:r>
          </w:p>
        </w:tc>
      </w:tr>
      <w:tr w:rsidR="0041584B" w:rsidRPr="00061A99" w14:paraId="7334F942" w14:textId="77777777" w:rsidTr="0041584B">
        <w:tc>
          <w:tcPr>
            <w:tcW w:w="2475" w:type="dxa"/>
          </w:tcPr>
          <w:p w14:paraId="60E24ABD" w14:textId="77777777" w:rsidR="0041584B" w:rsidRPr="00061A99" w:rsidRDefault="0041584B" w:rsidP="0041584B">
            <w:pPr>
              <w:pStyle w:val="DCUSATabletextnumbers"/>
            </w:pPr>
            <w:r w:rsidRPr="00061A99">
              <w:t>Point of Common Coupling</w:t>
            </w:r>
          </w:p>
        </w:tc>
        <w:tc>
          <w:tcPr>
            <w:tcW w:w="5906" w:type="dxa"/>
          </w:tcPr>
          <w:p w14:paraId="645A31CA" w14:textId="77777777" w:rsidR="0041584B" w:rsidRPr="00061A99" w:rsidRDefault="0041584B" w:rsidP="0041584B">
            <w:pPr>
              <w:pStyle w:val="DCUSATableText"/>
              <w:spacing w:after="240" w:line="360" w:lineRule="auto"/>
            </w:pPr>
            <w:r w:rsidRPr="00061A99">
              <w:t>The Point of Common Coupling for a particular single Connectee is the point on the network where the power flow associated with the single Connectee under consideration, may under some (or all) possible arrangements interact with the power flows associated with other Connectees, taking into account all possible credible running arrangements.</w:t>
            </w:r>
          </w:p>
        </w:tc>
      </w:tr>
      <w:tr w:rsidR="0041584B" w:rsidRPr="00061A99" w14:paraId="0B9BE400" w14:textId="77777777" w:rsidTr="0041584B">
        <w:tc>
          <w:tcPr>
            <w:tcW w:w="2475" w:type="dxa"/>
          </w:tcPr>
          <w:p w14:paraId="524B41E0" w14:textId="77777777" w:rsidR="0041584B" w:rsidRPr="00061A99" w:rsidRDefault="0041584B" w:rsidP="0041584B">
            <w:pPr>
              <w:pStyle w:val="DCUSATabletextnumbers"/>
            </w:pPr>
            <w:r w:rsidRPr="00061A99">
              <w:t>Power factor</w:t>
            </w:r>
          </w:p>
        </w:tc>
        <w:tc>
          <w:tcPr>
            <w:tcW w:w="5906" w:type="dxa"/>
          </w:tcPr>
          <w:p w14:paraId="2C2B139B" w14:textId="77777777" w:rsidR="0041584B" w:rsidRPr="00061A99" w:rsidRDefault="0041584B" w:rsidP="0041584B">
            <w:pPr>
              <w:pStyle w:val="DCUSATableText"/>
              <w:spacing w:after="240" w:line="360" w:lineRule="auto"/>
            </w:pPr>
            <w:r w:rsidRPr="00061A99">
              <w:t>The ratio of energy transported (kW) to network capacity used (kVA).</w:t>
            </w:r>
          </w:p>
        </w:tc>
      </w:tr>
      <w:tr w:rsidR="0041584B" w:rsidRPr="00061A99" w14:paraId="39A404B0" w14:textId="77777777" w:rsidTr="0041584B">
        <w:tc>
          <w:tcPr>
            <w:tcW w:w="2475" w:type="dxa"/>
          </w:tcPr>
          <w:p w14:paraId="76867A6F" w14:textId="77777777" w:rsidR="0041584B" w:rsidRPr="00061A99" w:rsidRDefault="0041584B" w:rsidP="0041584B">
            <w:pPr>
              <w:pStyle w:val="DCUSATabletextnumbers"/>
            </w:pPr>
            <w:r w:rsidRPr="00061A99">
              <w:t>Portfolio tariff</w:t>
            </w:r>
          </w:p>
        </w:tc>
        <w:tc>
          <w:tcPr>
            <w:tcW w:w="5906" w:type="dxa"/>
          </w:tcPr>
          <w:p w14:paraId="2013FB7F" w14:textId="77777777" w:rsidR="0041584B" w:rsidRPr="00061A99" w:rsidRDefault="0041584B" w:rsidP="0041584B">
            <w:pPr>
              <w:pStyle w:val="DCUSATableText"/>
              <w:spacing w:after="240" w:line="360" w:lineRule="auto"/>
            </w:pPr>
            <w:r w:rsidRPr="00061A99">
              <w:t>A tariff for use of the network by another DNO/IDNO Party where charges are linked to flows out of/into the other DNO/IDNO Party’s network from its Connectees or further nested networks.</w:t>
            </w:r>
          </w:p>
        </w:tc>
      </w:tr>
      <w:tr w:rsidR="0041584B" w:rsidRPr="00061A99" w14:paraId="3CCF7F3B" w14:textId="77777777" w:rsidTr="0041584B">
        <w:tc>
          <w:tcPr>
            <w:tcW w:w="2475" w:type="dxa"/>
          </w:tcPr>
          <w:p w14:paraId="6454ADB3" w14:textId="77777777" w:rsidR="0041584B" w:rsidRPr="00061A99" w:rsidRDefault="0041584B" w:rsidP="0041584B">
            <w:pPr>
              <w:pStyle w:val="DCUSATabletextnumbers"/>
            </w:pPr>
            <w:r w:rsidRPr="00061A99">
              <w:t>Reactive Power</w:t>
            </w:r>
          </w:p>
        </w:tc>
        <w:tc>
          <w:tcPr>
            <w:tcW w:w="5906" w:type="dxa"/>
          </w:tcPr>
          <w:p w14:paraId="1F989D19" w14:textId="77777777" w:rsidR="0041584B" w:rsidRPr="00061A99" w:rsidRDefault="0041584B" w:rsidP="0041584B">
            <w:pPr>
              <w:pStyle w:val="DCUSATableText"/>
              <w:spacing w:after="240" w:line="360" w:lineRule="auto"/>
            </w:pPr>
            <w:r w:rsidRPr="00061A99">
              <w:t xml:space="preserve">The product of the voltage and current and the sine of the phase angle between them, measured in units of voltamperes reactive. </w:t>
            </w:r>
          </w:p>
        </w:tc>
      </w:tr>
      <w:tr w:rsidR="0041584B" w:rsidRPr="00061A99" w14:paraId="4B3AB77A" w14:textId="77777777" w:rsidTr="0041584B">
        <w:tc>
          <w:tcPr>
            <w:tcW w:w="2475" w:type="dxa"/>
          </w:tcPr>
          <w:p w14:paraId="7F50C848" w14:textId="77777777" w:rsidR="0041584B" w:rsidRPr="00061A99" w:rsidRDefault="0041584B" w:rsidP="0041584B">
            <w:pPr>
              <w:pStyle w:val="DCUSATabletextnumbers"/>
            </w:pPr>
            <w:r w:rsidRPr="00061A99">
              <w:t>Recovery Factor</w:t>
            </w:r>
          </w:p>
        </w:tc>
        <w:tc>
          <w:tcPr>
            <w:tcW w:w="5906" w:type="dxa"/>
          </w:tcPr>
          <w:p w14:paraId="592067CB" w14:textId="77777777" w:rsidR="0041584B" w:rsidRPr="00061A99" w:rsidRDefault="0041584B" w:rsidP="0041584B">
            <w:pPr>
              <w:pStyle w:val="DCUSATableText"/>
              <w:spacing w:after="240" w:line="360" w:lineRule="auto"/>
            </w:pPr>
            <w:r w:rsidRPr="00061A99">
              <w:t xml:space="preserve">A factor which is applied to the Branch incremental costs to limit the level of Branch cost recovery to </w:t>
            </w:r>
            <w:proofErr w:type="gramStart"/>
            <w:r w:rsidRPr="00061A99">
              <w:t>being</w:t>
            </w:r>
            <w:proofErr w:type="gramEnd"/>
            <w:r w:rsidRPr="00061A99">
              <w:t xml:space="preserve"> no greater than the actual reinforcement cost of the Branch.</w:t>
            </w:r>
          </w:p>
        </w:tc>
      </w:tr>
      <w:tr w:rsidR="0041584B" w:rsidRPr="00061A99" w14:paraId="6B56B12F" w14:textId="77777777" w:rsidTr="0041584B">
        <w:tc>
          <w:tcPr>
            <w:tcW w:w="2475" w:type="dxa"/>
          </w:tcPr>
          <w:p w14:paraId="269DB045" w14:textId="77777777" w:rsidR="0041584B" w:rsidRPr="00061A99" w:rsidRDefault="0041584B" w:rsidP="0041584B">
            <w:pPr>
              <w:pStyle w:val="DCUSATabletextnumbers"/>
            </w:pPr>
            <w:r w:rsidRPr="00061A99">
              <w:t>Regulatory Year</w:t>
            </w:r>
          </w:p>
        </w:tc>
        <w:tc>
          <w:tcPr>
            <w:tcW w:w="5906" w:type="dxa"/>
          </w:tcPr>
          <w:p w14:paraId="0A7FFE98" w14:textId="77777777" w:rsidR="0041584B" w:rsidRPr="00061A99" w:rsidRDefault="0041584B" w:rsidP="0041584B">
            <w:pPr>
              <w:pStyle w:val="DCUSATableText"/>
              <w:spacing w:after="240" w:line="360" w:lineRule="auto"/>
            </w:pPr>
            <w:r w:rsidRPr="00061A99">
              <w:t xml:space="preserve">Has the meaning given to that expression in the DNO Party’s Distribution </w:t>
            </w:r>
            <w:proofErr w:type="gramStart"/>
            <w:r w:rsidRPr="00061A99">
              <w:t>Licence.</w:t>
            </w:r>
            <w:proofErr w:type="gramEnd"/>
          </w:p>
        </w:tc>
      </w:tr>
      <w:tr w:rsidR="0041584B" w:rsidRPr="00061A99" w14:paraId="356E150D" w14:textId="77777777" w:rsidTr="0041584B">
        <w:tc>
          <w:tcPr>
            <w:tcW w:w="2475" w:type="dxa"/>
          </w:tcPr>
          <w:p w14:paraId="77D8391A" w14:textId="77777777" w:rsidR="0041584B" w:rsidRPr="00061A99" w:rsidRDefault="0041584B" w:rsidP="0041584B">
            <w:pPr>
              <w:pStyle w:val="DCUSATabletextnumbers"/>
            </w:pPr>
            <w:r w:rsidRPr="00061A99">
              <w:lastRenderedPageBreak/>
              <w:t>RRP</w:t>
            </w:r>
          </w:p>
        </w:tc>
        <w:tc>
          <w:tcPr>
            <w:tcW w:w="5906" w:type="dxa"/>
          </w:tcPr>
          <w:p w14:paraId="3D13A357" w14:textId="77777777" w:rsidR="0041584B" w:rsidRPr="00061A99" w:rsidRDefault="0041584B" w:rsidP="0041584B">
            <w:pPr>
              <w:pStyle w:val="DCUSATableText"/>
              <w:spacing w:after="240" w:line="360" w:lineRule="auto"/>
            </w:pPr>
            <w:r w:rsidRPr="00061A99">
              <w:t>Regulatory reporting pack, a dataset produced each year by each DNO Party for the Authority.</w:t>
            </w:r>
          </w:p>
        </w:tc>
      </w:tr>
      <w:tr w:rsidR="0041584B" w:rsidRPr="00061A99" w14:paraId="1C7C413B" w14:textId="77777777" w:rsidTr="0041584B">
        <w:tc>
          <w:tcPr>
            <w:tcW w:w="2475" w:type="dxa"/>
          </w:tcPr>
          <w:p w14:paraId="5B2A6265" w14:textId="77777777" w:rsidR="0041584B" w:rsidRPr="00061A99" w:rsidRDefault="0041584B" w:rsidP="0041584B">
            <w:pPr>
              <w:pStyle w:val="DCUSATabletextnumbers"/>
            </w:pPr>
            <w:r w:rsidRPr="00061A99">
              <w:t>Scaling Factor</w:t>
            </w:r>
          </w:p>
        </w:tc>
        <w:tc>
          <w:tcPr>
            <w:tcW w:w="5906" w:type="dxa"/>
          </w:tcPr>
          <w:p w14:paraId="040DB242" w14:textId="77777777" w:rsidR="0041584B" w:rsidRPr="00061A99" w:rsidRDefault="0041584B" w:rsidP="0041584B">
            <w:pPr>
              <w:pStyle w:val="DCUSATableText"/>
              <w:spacing w:after="240" w:line="360" w:lineRule="auto"/>
            </w:pPr>
            <w:r w:rsidRPr="00061A99">
              <w:t>A factor which is calculated for each Grid Supply Point (or group of normally interconnected Grid Supply Points) to calculate the Network Demand Data (Load) element of the Minimum Demand Data.</w:t>
            </w:r>
          </w:p>
        </w:tc>
      </w:tr>
      <w:tr w:rsidR="0041584B" w:rsidRPr="00061A99" w14:paraId="50743242" w14:textId="77777777" w:rsidTr="0041584B">
        <w:tc>
          <w:tcPr>
            <w:tcW w:w="2475" w:type="dxa"/>
          </w:tcPr>
          <w:p w14:paraId="65DF3133" w14:textId="77777777" w:rsidR="0041584B" w:rsidRPr="00061A99" w:rsidRDefault="0041584B" w:rsidP="0041584B">
            <w:pPr>
              <w:pStyle w:val="DCUSATabletextnumbers"/>
              <w:rPr>
                <w:highlight w:val="red"/>
              </w:rPr>
            </w:pPr>
            <w:r w:rsidRPr="00061A99">
              <w:t>Security Factor</w:t>
            </w:r>
          </w:p>
        </w:tc>
        <w:tc>
          <w:tcPr>
            <w:tcW w:w="5906" w:type="dxa"/>
          </w:tcPr>
          <w:p w14:paraId="3E6F5748" w14:textId="77777777" w:rsidR="0041584B" w:rsidRPr="00061A99" w:rsidRDefault="0041584B" w:rsidP="0041584B">
            <w:pPr>
              <w:pStyle w:val="DCUSATableText"/>
              <w:spacing w:after="240" w:line="360" w:lineRule="auto"/>
            </w:pPr>
            <w:r w:rsidRPr="00061A99">
              <w:t xml:space="preserve">These describe the change in utilisation of Branches between the Maximum Contingency Flows determined by Contingency Analysis and the Base Case Flows determined by Base Case Analysis. Section </w:t>
            </w:r>
            <w:r>
              <w:fldChar w:fldCharType="begin"/>
            </w:r>
            <w:r>
              <w:instrText xml:space="preserve"> REF _Ref277946965 \r \h  \* MERGEFORMAT </w:instrText>
            </w:r>
            <w:r>
              <w:fldChar w:fldCharType="separate"/>
            </w:r>
            <w:r>
              <w:t>6.6</w:t>
            </w:r>
            <w:r>
              <w:fldChar w:fldCharType="end"/>
            </w:r>
            <w:r w:rsidRPr="00061A99">
              <w:t xml:space="preserve"> (</w:t>
            </w:r>
            <w:r>
              <w:fldChar w:fldCharType="begin"/>
            </w:r>
            <w:r>
              <w:instrText xml:space="preserve"> REF SecurityFactorCalculation \h  \* MERGEFORMAT </w:instrText>
            </w:r>
            <w:r>
              <w:fldChar w:fldCharType="separate"/>
            </w:r>
            <w:r w:rsidRPr="00A74D0F">
              <w:t>Security Factor Calculation</w:t>
            </w:r>
            <w:r>
              <w:fldChar w:fldCharType="end"/>
            </w:r>
            <w:r w:rsidRPr="00061A99">
              <w:t xml:space="preserve">) of </w:t>
            </w:r>
            <w:r>
              <w:fldChar w:fldCharType="begin"/>
            </w:r>
            <w:r>
              <w:instrText xml:space="preserve"> REF Annex1 \h  \* MERGEFORMAT </w:instrText>
            </w:r>
            <w:r>
              <w:fldChar w:fldCharType="separate"/>
            </w:r>
            <w:r w:rsidRPr="001613FA">
              <w:t>Annex 1</w:t>
            </w:r>
            <w:r>
              <w:fldChar w:fldCharType="end"/>
            </w:r>
            <w:r w:rsidRPr="00061A99">
              <w:t xml:space="preserve"> describes how Security Factors are calculated.</w:t>
            </w:r>
          </w:p>
        </w:tc>
      </w:tr>
      <w:tr w:rsidR="0041584B" w:rsidRPr="00061A99" w14:paraId="69296C1C" w14:textId="77777777" w:rsidTr="0041584B">
        <w:tc>
          <w:tcPr>
            <w:tcW w:w="2475" w:type="dxa"/>
          </w:tcPr>
          <w:p w14:paraId="14B8E44C" w14:textId="77777777" w:rsidR="0041584B" w:rsidRPr="00061A99" w:rsidRDefault="0041584B" w:rsidP="0041584B">
            <w:pPr>
              <w:pStyle w:val="DCUSATabletextnumbers"/>
            </w:pPr>
            <w:r w:rsidRPr="00061A99">
              <w:t>Sensitivity Coefficients Approach</w:t>
            </w:r>
          </w:p>
        </w:tc>
        <w:tc>
          <w:tcPr>
            <w:tcW w:w="5906" w:type="dxa"/>
          </w:tcPr>
          <w:p w14:paraId="141AF4AE" w14:textId="77777777" w:rsidR="0041584B" w:rsidRPr="00061A99" w:rsidRDefault="0041584B" w:rsidP="0041584B">
            <w:pPr>
              <w:pStyle w:val="DCUSATableText"/>
              <w:spacing w:after="240" w:line="360" w:lineRule="auto"/>
            </w:pPr>
            <w:r w:rsidRPr="00061A99">
              <w:t xml:space="preserve">An analytical approach for the calculation of Incremented Flows, which approach is described in section </w:t>
            </w:r>
            <w:r>
              <w:fldChar w:fldCharType="begin"/>
            </w:r>
            <w:r>
              <w:instrText xml:space="preserve"> REF _Ref277947147 \w \h  \* MERGEFORMAT </w:instrText>
            </w:r>
            <w:r>
              <w:fldChar w:fldCharType="separate"/>
            </w:r>
            <w:r>
              <w:t>6.23</w:t>
            </w:r>
            <w:r>
              <w:fldChar w:fldCharType="end"/>
            </w:r>
            <w:r w:rsidRPr="00061A99">
              <w:t xml:space="preserve"> (</w:t>
            </w:r>
            <w:r>
              <w:fldChar w:fldCharType="begin"/>
            </w:r>
            <w:r>
              <w:instrText xml:space="preserve"> REF SensitivityCoefficientsApproach \h  \* MERGEFORMAT </w:instrText>
            </w:r>
            <w:r>
              <w:fldChar w:fldCharType="separate"/>
            </w:r>
            <w:r w:rsidRPr="00C9700A">
              <w:t>Sensitivity Coefficients Approach</w:t>
            </w:r>
            <w:r>
              <w:fldChar w:fldCharType="end"/>
            </w:r>
            <w:r w:rsidRPr="00061A99">
              <w:t xml:space="preserve">) of </w:t>
            </w:r>
            <w:r>
              <w:fldChar w:fldCharType="begin"/>
            </w:r>
            <w:r>
              <w:instrText xml:space="preserve"> REF Annex1 \h  \* MERGEFORMAT </w:instrText>
            </w:r>
            <w:r>
              <w:fldChar w:fldCharType="separate"/>
            </w:r>
            <w:r w:rsidRPr="001613FA">
              <w:t>Annex 1</w:t>
            </w:r>
            <w:r>
              <w:fldChar w:fldCharType="end"/>
            </w:r>
            <w:r w:rsidRPr="00061A99">
              <w:t>.</w:t>
            </w:r>
          </w:p>
        </w:tc>
      </w:tr>
      <w:tr w:rsidR="0041584B" w:rsidRPr="00061A99" w14:paraId="2D0FC4E4" w14:textId="77777777" w:rsidTr="0041584B">
        <w:tc>
          <w:tcPr>
            <w:tcW w:w="2475" w:type="dxa"/>
          </w:tcPr>
          <w:p w14:paraId="75255126" w14:textId="77777777" w:rsidR="0041584B" w:rsidRPr="00061A99" w:rsidRDefault="0041584B" w:rsidP="0041584B">
            <w:pPr>
              <w:pStyle w:val="DCUSATabletextnumbers"/>
            </w:pPr>
            <w:r w:rsidRPr="00061A99">
              <w:t>Seven Year Statement</w:t>
            </w:r>
          </w:p>
        </w:tc>
        <w:tc>
          <w:tcPr>
            <w:tcW w:w="5906" w:type="dxa"/>
          </w:tcPr>
          <w:p w14:paraId="33A71CFC" w14:textId="77777777" w:rsidR="0041584B" w:rsidRPr="00061A99" w:rsidRDefault="0041584B" w:rsidP="0041584B">
            <w:pPr>
              <w:pStyle w:val="DCUSATableText"/>
              <w:spacing w:after="240" w:line="360" w:lineRule="auto"/>
            </w:pPr>
            <w:r w:rsidRPr="00061A99">
              <w:t>This is the statement of that name required to be produced by the National Electricity Transmission System Operator under its Licence in respect of the whole of Great Britain. The statement includes information on demand, generation, plant margins, the characteristics of the existing and planned National Electricity Transmission System, its expected performance and capability now and in the future.</w:t>
            </w:r>
          </w:p>
        </w:tc>
      </w:tr>
      <w:tr w:rsidR="0041584B" w:rsidRPr="00061A99" w14:paraId="6787B65E" w14:textId="77777777" w:rsidTr="0041584B">
        <w:tc>
          <w:tcPr>
            <w:tcW w:w="2475" w:type="dxa"/>
          </w:tcPr>
          <w:p w14:paraId="51013465" w14:textId="77777777" w:rsidR="0041584B" w:rsidRPr="00061A99" w:rsidRDefault="0041584B" w:rsidP="0041584B">
            <w:pPr>
              <w:pStyle w:val="DCUSATabletextnumbers"/>
            </w:pPr>
            <w:r w:rsidRPr="00061A99">
              <w:t>Sole Use Assets</w:t>
            </w:r>
          </w:p>
        </w:tc>
        <w:tc>
          <w:tcPr>
            <w:tcW w:w="5906" w:type="dxa"/>
          </w:tcPr>
          <w:p w14:paraId="3643F12A" w14:textId="77777777" w:rsidR="0041584B" w:rsidRPr="00061A99" w:rsidRDefault="0041584B" w:rsidP="0041584B">
            <w:pPr>
              <w:pStyle w:val="DCUSATableText"/>
              <w:spacing w:after="240" w:line="360" w:lineRule="auto"/>
            </w:pPr>
            <w:r w:rsidRPr="00061A99">
              <w:t xml:space="preserve">Sole Use Assets are assets in which only the consumption or output associated with a single Connectee can directly alter the power flow in the asset, taking into consideration all possible credible running arrangements, i.e. all assets between the </w:t>
            </w:r>
            <w:proofErr w:type="spellStart"/>
            <w:r w:rsidRPr="00061A99">
              <w:t>Connectee's</w:t>
            </w:r>
            <w:proofErr w:type="spellEnd"/>
            <w:r w:rsidRPr="00061A99">
              <w:t xml:space="preserve"> Entry/Exit Point(s) and the Point(s) of Common Coupling with the general network.</w:t>
            </w:r>
          </w:p>
        </w:tc>
      </w:tr>
      <w:tr w:rsidR="0041584B" w:rsidRPr="00061A99" w14:paraId="119019A6" w14:textId="77777777" w:rsidTr="0041584B">
        <w:tc>
          <w:tcPr>
            <w:tcW w:w="2475" w:type="dxa"/>
          </w:tcPr>
          <w:p w14:paraId="5C6C1362" w14:textId="77777777" w:rsidR="0041584B" w:rsidRPr="00061A99" w:rsidRDefault="0041584B" w:rsidP="0041584B">
            <w:pPr>
              <w:pStyle w:val="DCUSATabletextnumbers"/>
            </w:pPr>
            <w:r w:rsidRPr="001F62FA">
              <w:lastRenderedPageBreak/>
              <w:t>Supplier of Last Resort</w:t>
            </w:r>
          </w:p>
        </w:tc>
        <w:tc>
          <w:tcPr>
            <w:tcW w:w="5906" w:type="dxa"/>
          </w:tcPr>
          <w:p w14:paraId="39306B45" w14:textId="77777777" w:rsidR="0041584B" w:rsidRPr="00061A99" w:rsidRDefault="0041584B" w:rsidP="0041584B">
            <w:pPr>
              <w:pStyle w:val="DCUSATableText"/>
              <w:spacing w:after="240" w:line="360" w:lineRule="auto"/>
            </w:pPr>
            <w:r w:rsidRPr="001F62FA">
              <w:rPr>
                <w:lang w:val="en-US"/>
              </w:rPr>
              <w:t xml:space="preserve">a supply licensee to which a Last Resort Supply Direction applies, </w:t>
            </w:r>
            <w:r>
              <w:rPr>
                <w:lang w:val="en-US"/>
              </w:rPr>
              <w:t>where</w:t>
            </w:r>
            <w:r w:rsidRPr="001F62FA">
              <w:rPr>
                <w:lang w:val="en-US"/>
              </w:rPr>
              <w:t xml:space="preserve"> Last Resort Supply Direction has the meaning given to that expression in the Supply</w:t>
            </w:r>
            <w:r w:rsidRPr="00AD5EF2">
              <w:t xml:space="preserve"> Licence</w:t>
            </w:r>
            <w:r>
              <w:rPr>
                <w:lang w:val="en-US"/>
              </w:rPr>
              <w:t>.</w:t>
            </w:r>
          </w:p>
        </w:tc>
      </w:tr>
      <w:tr w:rsidR="0041584B" w:rsidRPr="00061A99" w14:paraId="6363857D" w14:textId="77777777" w:rsidTr="0041584B">
        <w:tc>
          <w:tcPr>
            <w:tcW w:w="2475" w:type="dxa"/>
          </w:tcPr>
          <w:p w14:paraId="6034B824" w14:textId="77777777" w:rsidR="0041584B" w:rsidRPr="00061A99" w:rsidRDefault="0041584B" w:rsidP="0041584B">
            <w:pPr>
              <w:pStyle w:val="DCUSATabletextnumbers"/>
            </w:pPr>
            <w:r w:rsidRPr="00061A99">
              <w:t>System simultaneous maximum load</w:t>
            </w:r>
          </w:p>
        </w:tc>
        <w:tc>
          <w:tcPr>
            <w:tcW w:w="5906" w:type="dxa"/>
          </w:tcPr>
          <w:p w14:paraId="618917D1" w14:textId="77777777" w:rsidR="0041584B" w:rsidRPr="00061A99" w:rsidRDefault="0041584B" w:rsidP="0041584B">
            <w:pPr>
              <w:pStyle w:val="DCUSATableText"/>
              <w:spacing w:after="240" w:line="360" w:lineRule="auto"/>
            </w:pPr>
            <w:r w:rsidRPr="00061A99">
              <w:t>The maximum load for the GSP Group as a whole.</w:t>
            </w:r>
          </w:p>
        </w:tc>
      </w:tr>
      <w:tr w:rsidR="0041584B" w:rsidRPr="00061A99" w14:paraId="13E2A9FC" w14:textId="77777777" w:rsidTr="0041584B">
        <w:tc>
          <w:tcPr>
            <w:tcW w:w="2475" w:type="dxa"/>
          </w:tcPr>
          <w:p w14:paraId="7C050112" w14:textId="77777777" w:rsidR="0041584B" w:rsidRPr="00061A99" w:rsidRDefault="0041584B" w:rsidP="0041584B">
            <w:pPr>
              <w:pStyle w:val="DCUSATabletextnumbers"/>
              <w:rPr>
                <w:highlight w:val="yellow"/>
              </w:rPr>
            </w:pPr>
            <w:r w:rsidRPr="00061A99">
              <w:t>Transformer Branch</w:t>
            </w:r>
          </w:p>
        </w:tc>
        <w:tc>
          <w:tcPr>
            <w:tcW w:w="5906" w:type="dxa"/>
          </w:tcPr>
          <w:p w14:paraId="6707089F" w14:textId="77777777" w:rsidR="0041584B" w:rsidRPr="00061A99" w:rsidRDefault="0041584B" w:rsidP="0041584B">
            <w:pPr>
              <w:pStyle w:val="DCUSATableText"/>
              <w:spacing w:after="240" w:line="360" w:lineRule="auto"/>
              <w:rPr>
                <w:highlight w:val="yellow"/>
              </w:rPr>
            </w:pPr>
            <w:r w:rsidRPr="00061A99">
              <w:t>A categorisation used in the derivation of Branch reinforcement costs, for Branches that represent transformation between different voltage levels.</w:t>
            </w:r>
          </w:p>
        </w:tc>
      </w:tr>
      <w:tr w:rsidR="0041584B" w:rsidRPr="00061A99" w14:paraId="457DAED6" w14:textId="77777777" w:rsidTr="0041584B">
        <w:tc>
          <w:tcPr>
            <w:tcW w:w="2475" w:type="dxa"/>
          </w:tcPr>
          <w:p w14:paraId="799FE370" w14:textId="77777777" w:rsidR="0041584B" w:rsidRPr="00061A99" w:rsidRDefault="0041584B" w:rsidP="0041584B">
            <w:pPr>
              <w:pStyle w:val="DCUSATabletextnumbers"/>
            </w:pPr>
            <w:r w:rsidRPr="00061A99">
              <w:t>unit</w:t>
            </w:r>
          </w:p>
        </w:tc>
        <w:tc>
          <w:tcPr>
            <w:tcW w:w="5906" w:type="dxa"/>
          </w:tcPr>
          <w:p w14:paraId="05E5370D" w14:textId="77777777" w:rsidR="0041584B" w:rsidRPr="00061A99" w:rsidRDefault="0041584B" w:rsidP="0041584B">
            <w:pPr>
              <w:pStyle w:val="DCUSATableText"/>
              <w:spacing w:after="240" w:line="360" w:lineRule="auto"/>
            </w:pPr>
            <w:r w:rsidRPr="00061A99">
              <w:t>Where the context permits, the word unit refers to kWh.</w:t>
            </w:r>
          </w:p>
        </w:tc>
      </w:tr>
      <w:tr w:rsidR="0041584B" w:rsidRPr="00061A99" w14:paraId="70DB3E80" w14:textId="77777777" w:rsidTr="0041584B">
        <w:tc>
          <w:tcPr>
            <w:tcW w:w="2475" w:type="dxa"/>
          </w:tcPr>
          <w:p w14:paraId="01A91BAA" w14:textId="77777777" w:rsidR="0041584B" w:rsidRPr="00061A99" w:rsidRDefault="0041584B" w:rsidP="0041584B">
            <w:pPr>
              <w:pStyle w:val="DCUSATabletextnumbers"/>
            </w:pPr>
            <w:r w:rsidRPr="00061A99">
              <w:t>unit rate</w:t>
            </w:r>
          </w:p>
        </w:tc>
        <w:tc>
          <w:tcPr>
            <w:tcW w:w="5906" w:type="dxa"/>
          </w:tcPr>
          <w:p w14:paraId="4F970D04" w14:textId="77777777" w:rsidR="0041584B" w:rsidRPr="00061A99" w:rsidRDefault="0041584B" w:rsidP="0041584B">
            <w:pPr>
              <w:pStyle w:val="DCUSATableText"/>
              <w:spacing w:after="240" w:line="360" w:lineRule="auto"/>
            </w:pPr>
            <w:r w:rsidRPr="00061A99">
              <w:t>A charging or payment rate based on units distributed or units generated.  Unit rates are expressed in p/kWh.  Tariffs applied to multi-rate meters and/or using several time bands for charging have several unit rates.</w:t>
            </w:r>
          </w:p>
        </w:tc>
      </w:tr>
    </w:tbl>
    <w:p w14:paraId="25F996F5" w14:textId="77777777" w:rsidR="0041584B" w:rsidRDefault="0041584B" w:rsidP="0041584B">
      <w:r>
        <w:br w:type="page"/>
      </w:r>
    </w:p>
    <w:p w14:paraId="7321028D" w14:textId="77777777" w:rsidR="0041584B" w:rsidRPr="00061A99" w:rsidRDefault="0041584B" w:rsidP="0041584B">
      <w:pPr>
        <w:pStyle w:val="Heading1"/>
      </w:pPr>
      <w:bookmarkStart w:id="452" w:name="_Toc268553673"/>
      <w:bookmarkStart w:id="453" w:name="_Toc269379862"/>
      <w:bookmarkStart w:id="454" w:name="_Toc269720511"/>
      <w:bookmarkStart w:id="455" w:name="_Toc269721208"/>
      <w:bookmarkStart w:id="456" w:name="_Ref277947272"/>
      <w:bookmarkStart w:id="457" w:name="_Toc320876096"/>
      <w:bookmarkStart w:id="458" w:name="_Toc320876719"/>
      <w:bookmarkStart w:id="459" w:name="_Toc325449933"/>
      <w:bookmarkStart w:id="460" w:name="_Toc339284577"/>
      <w:bookmarkStart w:id="461" w:name="_Toc360027753"/>
      <w:bookmarkStart w:id="462" w:name="_Toc360028107"/>
      <w:bookmarkStart w:id="463" w:name="_Toc391559966"/>
      <w:bookmarkStart w:id="464" w:name="_Toc510303086"/>
      <w:bookmarkStart w:id="465" w:name="_Toc513018500"/>
      <w:bookmarkStart w:id="466" w:name="_Toc518333685"/>
      <w:bookmarkStart w:id="467" w:name="_Toc527908541"/>
      <w:r w:rsidRPr="00061A99">
        <w:lastRenderedPageBreak/>
        <w:t>Network Modelling</w:t>
      </w:r>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p>
    <w:p w14:paraId="546BDB59" w14:textId="77777777" w:rsidR="0041584B" w:rsidRPr="00061A99" w:rsidRDefault="0041584B" w:rsidP="0041584B">
      <w:pPr>
        <w:pStyle w:val="Heading2"/>
      </w:pPr>
      <w:r w:rsidRPr="00061A99">
        <w:t xml:space="preserve">This section </w:t>
      </w:r>
      <w:r>
        <w:fldChar w:fldCharType="begin"/>
      </w:r>
      <w:r>
        <w:instrText xml:space="preserve"> REF _Ref277947272 \w \h  \* MERGEFORMAT </w:instrText>
      </w:r>
      <w:r>
        <w:fldChar w:fldCharType="separate"/>
      </w:r>
      <w:r>
        <w:t>4</w:t>
      </w:r>
      <w:r>
        <w:fldChar w:fldCharType="end"/>
      </w:r>
      <w:r w:rsidRPr="00061A99">
        <w:t xml:space="preserve"> describes the input data required to model the DNO Party’s Distribution System for pricing purposes.  </w:t>
      </w:r>
    </w:p>
    <w:p w14:paraId="48CAD68C" w14:textId="77777777" w:rsidR="0041584B" w:rsidRPr="00061A99" w:rsidRDefault="0041584B" w:rsidP="0041584B">
      <w:pPr>
        <w:pStyle w:val="DCSubHeading1Level2"/>
      </w:pPr>
      <w:bookmarkStart w:id="468" w:name="_Toc268553674"/>
      <w:bookmarkStart w:id="469" w:name="_Ref269303599"/>
      <w:bookmarkStart w:id="470" w:name="_Toc269379863"/>
      <w:bookmarkStart w:id="471" w:name="_Toc269720512"/>
      <w:bookmarkStart w:id="472" w:name="_Toc269721209"/>
      <w:r w:rsidRPr="00061A99">
        <w:t>Authorised Network Model</w:t>
      </w:r>
      <w:bookmarkEnd w:id="468"/>
      <w:bookmarkEnd w:id="469"/>
      <w:bookmarkEnd w:id="470"/>
      <w:bookmarkEnd w:id="471"/>
      <w:bookmarkEnd w:id="472"/>
    </w:p>
    <w:p w14:paraId="2895A44F" w14:textId="77777777" w:rsidR="0041584B" w:rsidRPr="00061A99" w:rsidRDefault="0041584B" w:rsidP="0041584B">
      <w:pPr>
        <w:pStyle w:val="Heading2"/>
      </w:pPr>
      <w:r w:rsidRPr="00061A99">
        <w:t xml:space="preserve">This is the network model that represents the DNO Party’s entire EHV network, from the GSP level down to and including the HV busbar at the EHV/HV transformation level and includes all authorised (i.e. sanctioned by the DNO Party) reinforcement, replacement, diversion and new connection works that are anticipated to be constructed and operational at the time of Maximum Demand in the year for which the Use of System Charges are being calculated. </w:t>
      </w:r>
    </w:p>
    <w:p w14:paraId="0FCD3050" w14:textId="77777777" w:rsidR="0041584B" w:rsidRPr="00061A99" w:rsidRDefault="0041584B" w:rsidP="0041584B">
      <w:pPr>
        <w:pStyle w:val="Heading2"/>
      </w:pPr>
      <w:r w:rsidRPr="00061A99">
        <w:t xml:space="preserve">Due to the timings difference between the publication of the LTDS and the creation and publication of Use of System Charges, the Authorised Network Model may contain revised assumptions to the LTDS information. Where a part of a single authorised network project is expected to be commissioned and operational in the year for which Use of System Charges are to be calculated then the DNO Party may, if appropriate, model the fully completed network project. </w:t>
      </w:r>
    </w:p>
    <w:p w14:paraId="4DC316B9" w14:textId="77777777" w:rsidR="0041584B" w:rsidRPr="00061A99" w:rsidRDefault="0041584B" w:rsidP="0041584B">
      <w:pPr>
        <w:pStyle w:val="Heading2"/>
      </w:pPr>
      <w:r w:rsidRPr="00061A99">
        <w:t>The Authorised Network Model may be constructed so that power flow analysis may be conducted separately upon individual Grid Supply Points (or groups of normally interconnected Grid Supply Points) provided that there is no transfer of demand, or interconnection, with adjacent Grid Supply Points considered in the analysis of contingency conditions.</w:t>
      </w:r>
    </w:p>
    <w:p w14:paraId="504B90BF" w14:textId="77777777" w:rsidR="0041584B" w:rsidRPr="00061A99" w:rsidRDefault="0041584B" w:rsidP="0041584B">
      <w:pPr>
        <w:pStyle w:val="Heading2"/>
      </w:pPr>
      <w:r w:rsidRPr="00061A99">
        <w:t>A representation of the National Electricity Transmission System shall be included in the model. The complexity of the representation will be dependent on the level of interconnection of Grid Supply Points via the DNO Party’s EHV network. The representation may be:</w:t>
      </w:r>
    </w:p>
    <w:p w14:paraId="7DFCCB8C" w14:textId="77777777" w:rsidR="0041584B" w:rsidRPr="00061A99" w:rsidRDefault="0041584B" w:rsidP="0041584B">
      <w:pPr>
        <w:pStyle w:val="Heading5"/>
        <w:ind w:left="1418"/>
        <w:jc w:val="both"/>
      </w:pPr>
      <w:r w:rsidRPr="00061A99">
        <w:lastRenderedPageBreak/>
        <w:t>a simple generator infeed at the Grid Supply Point; or</w:t>
      </w:r>
    </w:p>
    <w:p w14:paraId="6619A3BB" w14:textId="77777777" w:rsidR="0041584B" w:rsidRPr="00061A99" w:rsidRDefault="0041584B" w:rsidP="0041584B">
      <w:pPr>
        <w:pStyle w:val="Heading5"/>
        <w:ind w:left="1418"/>
        <w:jc w:val="both"/>
      </w:pPr>
      <w:r w:rsidRPr="00061A99">
        <w:t>the use of equivalent circuits to model the interconnections of the Grid Supply Points via the National Electricity Transmission System; or</w:t>
      </w:r>
    </w:p>
    <w:p w14:paraId="00AB301A" w14:textId="77777777" w:rsidR="0041584B" w:rsidRPr="00061A99" w:rsidRDefault="0041584B" w:rsidP="0041584B">
      <w:pPr>
        <w:pStyle w:val="Heading5"/>
        <w:ind w:left="1418"/>
        <w:jc w:val="both"/>
      </w:pPr>
      <w:r w:rsidRPr="00061A99">
        <w:t>a full replication of the National Electricity Transmission System electrically local to the DNO Party’s Distribution System; or</w:t>
      </w:r>
    </w:p>
    <w:p w14:paraId="42610FE4" w14:textId="77777777" w:rsidR="0041584B" w:rsidRPr="00061A99" w:rsidRDefault="0041584B" w:rsidP="0041584B">
      <w:pPr>
        <w:pStyle w:val="Heading5"/>
        <w:ind w:left="1418"/>
        <w:jc w:val="both"/>
      </w:pPr>
      <w:r w:rsidRPr="00061A99">
        <w:t>a full replication of the whole of the National Electricity Transmission System.</w:t>
      </w:r>
    </w:p>
    <w:p w14:paraId="20AB6B62" w14:textId="77777777" w:rsidR="0041584B" w:rsidRPr="00061A99" w:rsidRDefault="0041584B" w:rsidP="0041584B">
      <w:pPr>
        <w:pStyle w:val="Heading5"/>
        <w:ind w:left="1418"/>
        <w:jc w:val="both"/>
      </w:pPr>
      <w:r w:rsidRPr="00061A99">
        <w:t>The method of representation should be carefully selected in order to produce a suitable representation of the flows into the DNO Party’s EHV network from the National Electricity Transmission System during both Normal Running Arrangements and N-1 Contingency scenarios.</w:t>
      </w:r>
    </w:p>
    <w:p w14:paraId="6B434D77" w14:textId="77777777" w:rsidR="0041584B" w:rsidRPr="00061A99" w:rsidRDefault="0041584B" w:rsidP="0041584B">
      <w:pPr>
        <w:pStyle w:val="Heading2"/>
      </w:pPr>
      <w:r w:rsidRPr="00061A99">
        <w:t>Where there is a connection between the DNO Party’s EHV network and an IDNO Party’s EHV network (or another DNO Party’s EHV network), these can be represented either by an Exit Point or an Entry Point in a similar manner to that of an EDCM Connectee. In the event that the IDNO Party’s (or other DNO Party’s) network derives its supply from several different connection points on the DNO Party’s Distribution System it may become necessary to model some or all of the IDNO Party’s (or other DNO Party’s) network to ensure that the flows at the boundary are representative of those expected under Normal Running Arrangements and Contingency scenarios.  </w:t>
      </w:r>
    </w:p>
    <w:p w14:paraId="0FFFB749" w14:textId="77777777" w:rsidR="0041584B" w:rsidRPr="00061A99" w:rsidRDefault="0041584B" w:rsidP="0041584B">
      <w:pPr>
        <w:pStyle w:val="Heading2"/>
      </w:pPr>
      <w:r w:rsidRPr="00061A99">
        <w:lastRenderedPageBreak/>
        <w:t xml:space="preserve">The Authorised Network Model can be modelled so that it </w:t>
      </w:r>
      <w:proofErr w:type="gramStart"/>
      <w:r w:rsidRPr="00061A99">
        <w:t>takes into account</w:t>
      </w:r>
      <w:proofErr w:type="gramEnd"/>
      <w:r w:rsidRPr="00061A99">
        <w:t xml:space="preserve"> every different section of a Circuit, including individual underground cables and overhead line sections, with each different type forming a separate Branch in the model connected between two Nodes. However, this approach can lead to known issues associated with the non-convergence to a power flow solution of models with large numbers of Nodes and large numbers of Branches with very small impedances. It is acceptable to model a single Branch to represent a composite of multiple subcomponents of cable and overhead line. The impedance of a composite Branch can be calculated from the types of subcomponent that make up the overall Circuit length. The rating of a composite Branch can be obtained by examining the rating of all the Branch subcomponents and the lowest rating will be used as the limiting section that overloads first. For underground cables the impedance/rating is dependent upon the construction type of the cable, cross sectional area of the conductor, conductor material, whether the cable is laid directly in the ground or in ducts. Similarly, for overhead lines the impedance/ rating is dependent upon the construction type of the overhead line structures (to take account of the relative positions of the conductors), the conductor material/type and </w:t>
      </w:r>
      <w:proofErr w:type="gramStart"/>
      <w:r w:rsidRPr="00061A99">
        <w:t>cross sectional</w:t>
      </w:r>
      <w:proofErr w:type="gramEnd"/>
      <w:r w:rsidRPr="00061A99">
        <w:t xml:space="preserve"> area. This information can then be used to determine the Branch impedance and minimum component rating applied to the Branch in the network model.</w:t>
      </w:r>
    </w:p>
    <w:p w14:paraId="6027121B" w14:textId="77777777" w:rsidR="0041584B" w:rsidRDefault="0041584B" w:rsidP="0041584B">
      <w:pPr>
        <w:pStyle w:val="Heading2"/>
      </w:pPr>
      <w:r w:rsidRPr="00061A99">
        <w:t>As an example, if Figure 2 below represents the actual network, the approach described above to produce the EHV network model would reduce it to a Nodal model representation as shown in Figure 3 below.</w:t>
      </w:r>
    </w:p>
    <w:p w14:paraId="55EE848D" w14:textId="77777777" w:rsidR="0041584B" w:rsidRPr="00061A99" w:rsidRDefault="0041584B" w:rsidP="0041584B">
      <w:pPr>
        <w:pStyle w:val="Heading2"/>
      </w:pPr>
      <w:r>
        <w:t xml:space="preserve">Table 4.9 </w:t>
      </w:r>
      <w:r w:rsidRPr="00061A99">
        <w:t xml:space="preserve">shows an example of the data held relating to Figure 2 with the individual subsections being cross referenced to each Branch. </w:t>
      </w:r>
      <w:r>
        <w:t>Table 4.9A</w:t>
      </w:r>
      <w:r w:rsidRPr="00061A99">
        <w:t xml:space="preserve"> lists the parameters used for the Nodal model shown in Figure 3.</w:t>
      </w:r>
    </w:p>
    <w:p w14:paraId="3A6000E5" w14:textId="77777777" w:rsidR="0041584B" w:rsidRPr="00A61217" w:rsidRDefault="0041584B" w:rsidP="0041584B">
      <w:pPr>
        <w:pStyle w:val="Caption"/>
      </w:pPr>
      <w:r w:rsidRPr="00A61217">
        <w:rPr>
          <w:noProof/>
        </w:rPr>
        <w:lastRenderedPageBreak/>
        <mc:AlternateContent>
          <mc:Choice Requires="wpc">
            <w:drawing>
              <wp:anchor distT="0" distB="0" distL="114300" distR="114300" simplePos="0" relativeHeight="251659264" behindDoc="0" locked="0" layoutInCell="1" allowOverlap="1" wp14:anchorId="09D7AE51" wp14:editId="32470A48">
                <wp:simplePos x="0" y="0"/>
                <wp:positionH relativeFrom="column">
                  <wp:posOffset>182832</wp:posOffset>
                </wp:positionH>
                <wp:positionV relativeFrom="page">
                  <wp:posOffset>1219200</wp:posOffset>
                </wp:positionV>
                <wp:extent cx="3347085" cy="3309620"/>
                <wp:effectExtent l="0" t="0" r="24765" b="24130"/>
                <wp:wrapTopAndBottom/>
                <wp:docPr id="982" name="Canvas 7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w="9525" cap="flat" cmpd="sng" algn="ctr">
                          <a:solidFill>
                            <a:srgbClr val="000000"/>
                          </a:solidFill>
                          <a:prstDash val="solid"/>
                          <a:miter lim="800000"/>
                          <a:headEnd type="none" w="med" len="med"/>
                          <a:tailEnd type="none" w="med" len="med"/>
                        </a:ln>
                      </wpc:whole>
                      <wps:wsp>
                        <wps:cNvPr id="249" name="Freeform 74"/>
                        <wps:cNvSpPr>
                          <a:spLocks noEditPoints="1"/>
                        </wps:cNvSpPr>
                        <wps:spPr bwMode="auto">
                          <a:xfrm>
                            <a:off x="856216" y="2031334"/>
                            <a:ext cx="7600" cy="548709"/>
                          </a:xfrm>
                          <a:custGeom>
                            <a:avLst/>
                            <a:gdLst>
                              <a:gd name="T0" fmla="*/ 7620 w 16"/>
                              <a:gd name="T1" fmla="*/ 26670 h 1152"/>
                              <a:gd name="T2" fmla="*/ 0 w 16"/>
                              <a:gd name="T3" fmla="*/ 26670 h 1152"/>
                              <a:gd name="T4" fmla="*/ 3810 w 16"/>
                              <a:gd name="T5" fmla="*/ 0 h 1152"/>
                              <a:gd name="T6" fmla="*/ 7620 w 16"/>
                              <a:gd name="T7" fmla="*/ 57150 h 1152"/>
                              <a:gd name="T8" fmla="*/ 3810 w 16"/>
                              <a:gd name="T9" fmla="*/ 83820 h 1152"/>
                              <a:gd name="T10" fmla="*/ 0 w 16"/>
                              <a:gd name="T11" fmla="*/ 57150 h 1152"/>
                              <a:gd name="T12" fmla="*/ 7620 w 16"/>
                              <a:gd name="T13" fmla="*/ 57150 h 1152"/>
                              <a:gd name="T14" fmla="*/ 7620 w 16"/>
                              <a:gd name="T15" fmla="*/ 133350 h 1152"/>
                              <a:gd name="T16" fmla="*/ 0 w 16"/>
                              <a:gd name="T17" fmla="*/ 133350 h 1152"/>
                              <a:gd name="T18" fmla="*/ 3810 w 16"/>
                              <a:gd name="T19" fmla="*/ 106680 h 1152"/>
                              <a:gd name="T20" fmla="*/ 7620 w 16"/>
                              <a:gd name="T21" fmla="*/ 163830 h 1152"/>
                              <a:gd name="T22" fmla="*/ 3810 w 16"/>
                              <a:gd name="T23" fmla="*/ 190500 h 1152"/>
                              <a:gd name="T24" fmla="*/ 0 w 16"/>
                              <a:gd name="T25" fmla="*/ 163830 h 1152"/>
                              <a:gd name="T26" fmla="*/ 7620 w 16"/>
                              <a:gd name="T27" fmla="*/ 163830 h 1152"/>
                              <a:gd name="T28" fmla="*/ 7620 w 16"/>
                              <a:gd name="T29" fmla="*/ 240030 h 1152"/>
                              <a:gd name="T30" fmla="*/ 0 w 16"/>
                              <a:gd name="T31" fmla="*/ 240030 h 1152"/>
                              <a:gd name="T32" fmla="*/ 3810 w 16"/>
                              <a:gd name="T33" fmla="*/ 213360 h 1152"/>
                              <a:gd name="T34" fmla="*/ 7620 w 16"/>
                              <a:gd name="T35" fmla="*/ 270510 h 1152"/>
                              <a:gd name="T36" fmla="*/ 3810 w 16"/>
                              <a:gd name="T37" fmla="*/ 297180 h 1152"/>
                              <a:gd name="T38" fmla="*/ 0 w 16"/>
                              <a:gd name="T39" fmla="*/ 270510 h 1152"/>
                              <a:gd name="T40" fmla="*/ 7620 w 16"/>
                              <a:gd name="T41" fmla="*/ 270510 h 1152"/>
                              <a:gd name="T42" fmla="*/ 7620 w 16"/>
                              <a:gd name="T43" fmla="*/ 346710 h 1152"/>
                              <a:gd name="T44" fmla="*/ 0 w 16"/>
                              <a:gd name="T45" fmla="*/ 346710 h 1152"/>
                              <a:gd name="T46" fmla="*/ 3810 w 16"/>
                              <a:gd name="T47" fmla="*/ 320040 h 1152"/>
                              <a:gd name="T48" fmla="*/ 7620 w 16"/>
                              <a:gd name="T49" fmla="*/ 377190 h 1152"/>
                              <a:gd name="T50" fmla="*/ 3810 w 16"/>
                              <a:gd name="T51" fmla="*/ 403860 h 1152"/>
                              <a:gd name="T52" fmla="*/ 0 w 16"/>
                              <a:gd name="T53" fmla="*/ 377190 h 1152"/>
                              <a:gd name="T54" fmla="*/ 7620 w 16"/>
                              <a:gd name="T55" fmla="*/ 377190 h 1152"/>
                              <a:gd name="T56" fmla="*/ 7620 w 16"/>
                              <a:gd name="T57" fmla="*/ 453390 h 1152"/>
                              <a:gd name="T58" fmla="*/ 0 w 16"/>
                              <a:gd name="T59" fmla="*/ 453390 h 1152"/>
                              <a:gd name="T60" fmla="*/ 3810 w 16"/>
                              <a:gd name="T61" fmla="*/ 426720 h 1152"/>
                              <a:gd name="T62" fmla="*/ 7620 w 16"/>
                              <a:gd name="T63" fmla="*/ 483870 h 1152"/>
                              <a:gd name="T64" fmla="*/ 3810 w 16"/>
                              <a:gd name="T65" fmla="*/ 510540 h 1152"/>
                              <a:gd name="T66" fmla="*/ 0 w 16"/>
                              <a:gd name="T67" fmla="*/ 483870 h 1152"/>
                              <a:gd name="T68" fmla="*/ 7620 w 16"/>
                              <a:gd name="T69" fmla="*/ 483870 h 1152"/>
                              <a:gd name="T70" fmla="*/ 7620 w 16"/>
                              <a:gd name="T71" fmla="*/ 544830 h 1152"/>
                              <a:gd name="T72" fmla="*/ 0 w 16"/>
                              <a:gd name="T73" fmla="*/ 544830 h 1152"/>
                              <a:gd name="T74" fmla="*/ 3810 w 16"/>
                              <a:gd name="T75" fmla="*/ 533400 h 1152"/>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Lst>
                            <a:ahLst/>
                            <a:cxnLst>
                              <a:cxn ang="T76">
                                <a:pos x="T0" y="T1"/>
                              </a:cxn>
                              <a:cxn ang="T77">
                                <a:pos x="T2" y="T3"/>
                              </a:cxn>
                              <a:cxn ang="T78">
                                <a:pos x="T4" y="T5"/>
                              </a:cxn>
                              <a:cxn ang="T79">
                                <a:pos x="T6" y="T7"/>
                              </a:cxn>
                              <a:cxn ang="T80">
                                <a:pos x="T8" y="T9"/>
                              </a:cxn>
                              <a:cxn ang="T81">
                                <a:pos x="T10" y="T11"/>
                              </a:cxn>
                              <a:cxn ang="T82">
                                <a:pos x="T12" y="T13"/>
                              </a:cxn>
                              <a:cxn ang="T83">
                                <a:pos x="T14" y="T15"/>
                              </a:cxn>
                              <a:cxn ang="T84">
                                <a:pos x="T16" y="T17"/>
                              </a:cxn>
                              <a:cxn ang="T85">
                                <a:pos x="T18" y="T19"/>
                              </a:cxn>
                              <a:cxn ang="T86">
                                <a:pos x="T20" y="T21"/>
                              </a:cxn>
                              <a:cxn ang="T87">
                                <a:pos x="T22" y="T23"/>
                              </a:cxn>
                              <a:cxn ang="T88">
                                <a:pos x="T24" y="T25"/>
                              </a:cxn>
                              <a:cxn ang="T89">
                                <a:pos x="T26" y="T27"/>
                              </a:cxn>
                              <a:cxn ang="T90">
                                <a:pos x="T28" y="T29"/>
                              </a:cxn>
                              <a:cxn ang="T91">
                                <a:pos x="T30" y="T31"/>
                              </a:cxn>
                              <a:cxn ang="T92">
                                <a:pos x="T32" y="T33"/>
                              </a:cxn>
                              <a:cxn ang="T93">
                                <a:pos x="T34" y="T35"/>
                              </a:cxn>
                              <a:cxn ang="T94">
                                <a:pos x="T36" y="T37"/>
                              </a:cxn>
                              <a:cxn ang="T95">
                                <a:pos x="T38" y="T39"/>
                              </a:cxn>
                              <a:cxn ang="T96">
                                <a:pos x="T40" y="T41"/>
                              </a:cxn>
                              <a:cxn ang="T97">
                                <a:pos x="T42" y="T43"/>
                              </a:cxn>
                              <a:cxn ang="T98">
                                <a:pos x="T44" y="T45"/>
                              </a:cxn>
                              <a:cxn ang="T99">
                                <a:pos x="T46" y="T47"/>
                              </a:cxn>
                              <a:cxn ang="T100">
                                <a:pos x="T48" y="T49"/>
                              </a:cxn>
                              <a:cxn ang="T101">
                                <a:pos x="T50" y="T51"/>
                              </a:cxn>
                              <a:cxn ang="T102">
                                <a:pos x="T52" y="T53"/>
                              </a:cxn>
                              <a:cxn ang="T103">
                                <a:pos x="T54" y="T55"/>
                              </a:cxn>
                              <a:cxn ang="T104">
                                <a:pos x="T56" y="T57"/>
                              </a:cxn>
                              <a:cxn ang="T105">
                                <a:pos x="T58" y="T59"/>
                              </a:cxn>
                              <a:cxn ang="T106">
                                <a:pos x="T60" y="T61"/>
                              </a:cxn>
                              <a:cxn ang="T107">
                                <a:pos x="T62" y="T63"/>
                              </a:cxn>
                              <a:cxn ang="T108">
                                <a:pos x="T64" y="T65"/>
                              </a:cxn>
                              <a:cxn ang="T109">
                                <a:pos x="T66" y="T67"/>
                              </a:cxn>
                              <a:cxn ang="T110">
                                <a:pos x="T68" y="T69"/>
                              </a:cxn>
                              <a:cxn ang="T111">
                                <a:pos x="T70" y="T71"/>
                              </a:cxn>
                              <a:cxn ang="T112">
                                <a:pos x="T72" y="T73"/>
                              </a:cxn>
                              <a:cxn ang="T113">
                                <a:pos x="T74" y="T75"/>
                              </a:cxn>
                            </a:cxnLst>
                            <a:rect l="0" t="0" r="r" b="b"/>
                            <a:pathLst>
                              <a:path w="16" h="1152">
                                <a:moveTo>
                                  <a:pt x="16" y="8"/>
                                </a:moveTo>
                                <a:lnTo>
                                  <a:pt x="16" y="56"/>
                                </a:lnTo>
                                <a:cubicBezTo>
                                  <a:pt x="16" y="61"/>
                                  <a:pt x="13" y="64"/>
                                  <a:pt x="8" y="64"/>
                                </a:cubicBezTo>
                                <a:cubicBezTo>
                                  <a:pt x="4" y="64"/>
                                  <a:pt x="0" y="61"/>
                                  <a:pt x="0" y="56"/>
                                </a:cubicBezTo>
                                <a:lnTo>
                                  <a:pt x="0" y="8"/>
                                </a:lnTo>
                                <a:cubicBezTo>
                                  <a:pt x="0" y="4"/>
                                  <a:pt x="4" y="0"/>
                                  <a:pt x="8" y="0"/>
                                </a:cubicBezTo>
                                <a:cubicBezTo>
                                  <a:pt x="13" y="0"/>
                                  <a:pt x="16" y="4"/>
                                  <a:pt x="16" y="8"/>
                                </a:cubicBezTo>
                                <a:close/>
                                <a:moveTo>
                                  <a:pt x="16" y="120"/>
                                </a:moveTo>
                                <a:lnTo>
                                  <a:pt x="16" y="168"/>
                                </a:lnTo>
                                <a:cubicBezTo>
                                  <a:pt x="16" y="173"/>
                                  <a:pt x="13" y="176"/>
                                  <a:pt x="8" y="176"/>
                                </a:cubicBezTo>
                                <a:cubicBezTo>
                                  <a:pt x="4" y="176"/>
                                  <a:pt x="0" y="173"/>
                                  <a:pt x="0" y="168"/>
                                </a:cubicBezTo>
                                <a:lnTo>
                                  <a:pt x="0" y="120"/>
                                </a:lnTo>
                                <a:cubicBezTo>
                                  <a:pt x="0" y="116"/>
                                  <a:pt x="4" y="112"/>
                                  <a:pt x="8" y="112"/>
                                </a:cubicBezTo>
                                <a:cubicBezTo>
                                  <a:pt x="13" y="112"/>
                                  <a:pt x="16" y="116"/>
                                  <a:pt x="16" y="120"/>
                                </a:cubicBezTo>
                                <a:close/>
                                <a:moveTo>
                                  <a:pt x="16" y="232"/>
                                </a:moveTo>
                                <a:lnTo>
                                  <a:pt x="16" y="280"/>
                                </a:lnTo>
                                <a:cubicBezTo>
                                  <a:pt x="16" y="285"/>
                                  <a:pt x="13" y="288"/>
                                  <a:pt x="8" y="288"/>
                                </a:cubicBezTo>
                                <a:cubicBezTo>
                                  <a:pt x="4" y="288"/>
                                  <a:pt x="0" y="285"/>
                                  <a:pt x="0" y="280"/>
                                </a:cubicBezTo>
                                <a:lnTo>
                                  <a:pt x="0" y="232"/>
                                </a:lnTo>
                                <a:cubicBezTo>
                                  <a:pt x="0" y="228"/>
                                  <a:pt x="4" y="224"/>
                                  <a:pt x="8" y="224"/>
                                </a:cubicBezTo>
                                <a:cubicBezTo>
                                  <a:pt x="13" y="224"/>
                                  <a:pt x="16" y="228"/>
                                  <a:pt x="16" y="232"/>
                                </a:cubicBezTo>
                                <a:close/>
                                <a:moveTo>
                                  <a:pt x="16" y="344"/>
                                </a:moveTo>
                                <a:lnTo>
                                  <a:pt x="16" y="392"/>
                                </a:lnTo>
                                <a:cubicBezTo>
                                  <a:pt x="16" y="397"/>
                                  <a:pt x="13" y="400"/>
                                  <a:pt x="8" y="400"/>
                                </a:cubicBezTo>
                                <a:cubicBezTo>
                                  <a:pt x="4" y="400"/>
                                  <a:pt x="0" y="397"/>
                                  <a:pt x="0" y="392"/>
                                </a:cubicBezTo>
                                <a:lnTo>
                                  <a:pt x="0" y="344"/>
                                </a:lnTo>
                                <a:cubicBezTo>
                                  <a:pt x="0" y="340"/>
                                  <a:pt x="4" y="336"/>
                                  <a:pt x="8" y="336"/>
                                </a:cubicBezTo>
                                <a:cubicBezTo>
                                  <a:pt x="13" y="336"/>
                                  <a:pt x="16" y="340"/>
                                  <a:pt x="16" y="344"/>
                                </a:cubicBezTo>
                                <a:close/>
                                <a:moveTo>
                                  <a:pt x="16" y="456"/>
                                </a:moveTo>
                                <a:lnTo>
                                  <a:pt x="16" y="504"/>
                                </a:lnTo>
                                <a:cubicBezTo>
                                  <a:pt x="16" y="509"/>
                                  <a:pt x="13" y="512"/>
                                  <a:pt x="8" y="512"/>
                                </a:cubicBezTo>
                                <a:cubicBezTo>
                                  <a:pt x="4" y="512"/>
                                  <a:pt x="0" y="509"/>
                                  <a:pt x="0" y="504"/>
                                </a:cubicBezTo>
                                <a:lnTo>
                                  <a:pt x="0" y="456"/>
                                </a:lnTo>
                                <a:cubicBezTo>
                                  <a:pt x="0" y="452"/>
                                  <a:pt x="4" y="448"/>
                                  <a:pt x="8" y="448"/>
                                </a:cubicBezTo>
                                <a:cubicBezTo>
                                  <a:pt x="13" y="448"/>
                                  <a:pt x="16" y="452"/>
                                  <a:pt x="16" y="456"/>
                                </a:cubicBezTo>
                                <a:close/>
                                <a:moveTo>
                                  <a:pt x="16" y="568"/>
                                </a:moveTo>
                                <a:lnTo>
                                  <a:pt x="16" y="616"/>
                                </a:lnTo>
                                <a:cubicBezTo>
                                  <a:pt x="16" y="621"/>
                                  <a:pt x="13" y="624"/>
                                  <a:pt x="8" y="624"/>
                                </a:cubicBezTo>
                                <a:cubicBezTo>
                                  <a:pt x="4" y="624"/>
                                  <a:pt x="0" y="621"/>
                                  <a:pt x="0" y="616"/>
                                </a:cubicBezTo>
                                <a:lnTo>
                                  <a:pt x="0" y="568"/>
                                </a:lnTo>
                                <a:cubicBezTo>
                                  <a:pt x="0" y="564"/>
                                  <a:pt x="4" y="560"/>
                                  <a:pt x="8" y="560"/>
                                </a:cubicBezTo>
                                <a:cubicBezTo>
                                  <a:pt x="13" y="560"/>
                                  <a:pt x="16" y="564"/>
                                  <a:pt x="16" y="568"/>
                                </a:cubicBezTo>
                                <a:close/>
                                <a:moveTo>
                                  <a:pt x="16" y="680"/>
                                </a:moveTo>
                                <a:lnTo>
                                  <a:pt x="16" y="728"/>
                                </a:lnTo>
                                <a:cubicBezTo>
                                  <a:pt x="16" y="733"/>
                                  <a:pt x="13" y="736"/>
                                  <a:pt x="8" y="736"/>
                                </a:cubicBezTo>
                                <a:cubicBezTo>
                                  <a:pt x="4" y="736"/>
                                  <a:pt x="0" y="733"/>
                                  <a:pt x="0" y="728"/>
                                </a:cubicBezTo>
                                <a:lnTo>
                                  <a:pt x="0" y="680"/>
                                </a:lnTo>
                                <a:cubicBezTo>
                                  <a:pt x="0" y="676"/>
                                  <a:pt x="4" y="672"/>
                                  <a:pt x="8" y="672"/>
                                </a:cubicBezTo>
                                <a:cubicBezTo>
                                  <a:pt x="13" y="672"/>
                                  <a:pt x="16" y="676"/>
                                  <a:pt x="16" y="680"/>
                                </a:cubicBezTo>
                                <a:close/>
                                <a:moveTo>
                                  <a:pt x="16" y="792"/>
                                </a:moveTo>
                                <a:lnTo>
                                  <a:pt x="16" y="840"/>
                                </a:lnTo>
                                <a:cubicBezTo>
                                  <a:pt x="16" y="845"/>
                                  <a:pt x="13" y="848"/>
                                  <a:pt x="8" y="848"/>
                                </a:cubicBezTo>
                                <a:cubicBezTo>
                                  <a:pt x="4" y="848"/>
                                  <a:pt x="0" y="845"/>
                                  <a:pt x="0" y="840"/>
                                </a:cubicBezTo>
                                <a:lnTo>
                                  <a:pt x="0" y="792"/>
                                </a:lnTo>
                                <a:cubicBezTo>
                                  <a:pt x="0" y="788"/>
                                  <a:pt x="4" y="784"/>
                                  <a:pt x="8" y="784"/>
                                </a:cubicBezTo>
                                <a:cubicBezTo>
                                  <a:pt x="13" y="784"/>
                                  <a:pt x="16" y="788"/>
                                  <a:pt x="16" y="792"/>
                                </a:cubicBezTo>
                                <a:close/>
                                <a:moveTo>
                                  <a:pt x="16" y="904"/>
                                </a:moveTo>
                                <a:lnTo>
                                  <a:pt x="16" y="952"/>
                                </a:lnTo>
                                <a:cubicBezTo>
                                  <a:pt x="16" y="957"/>
                                  <a:pt x="13" y="960"/>
                                  <a:pt x="8" y="960"/>
                                </a:cubicBezTo>
                                <a:cubicBezTo>
                                  <a:pt x="4" y="960"/>
                                  <a:pt x="0" y="957"/>
                                  <a:pt x="0" y="952"/>
                                </a:cubicBezTo>
                                <a:lnTo>
                                  <a:pt x="0" y="904"/>
                                </a:lnTo>
                                <a:cubicBezTo>
                                  <a:pt x="0" y="900"/>
                                  <a:pt x="4" y="896"/>
                                  <a:pt x="8" y="896"/>
                                </a:cubicBezTo>
                                <a:cubicBezTo>
                                  <a:pt x="13" y="896"/>
                                  <a:pt x="16" y="900"/>
                                  <a:pt x="16" y="904"/>
                                </a:cubicBezTo>
                                <a:close/>
                                <a:moveTo>
                                  <a:pt x="16" y="1016"/>
                                </a:moveTo>
                                <a:lnTo>
                                  <a:pt x="16" y="1064"/>
                                </a:lnTo>
                                <a:cubicBezTo>
                                  <a:pt x="16" y="1069"/>
                                  <a:pt x="13" y="1072"/>
                                  <a:pt x="8" y="1072"/>
                                </a:cubicBezTo>
                                <a:cubicBezTo>
                                  <a:pt x="4" y="1072"/>
                                  <a:pt x="0" y="1069"/>
                                  <a:pt x="0" y="1064"/>
                                </a:cubicBezTo>
                                <a:lnTo>
                                  <a:pt x="0" y="1016"/>
                                </a:lnTo>
                                <a:cubicBezTo>
                                  <a:pt x="0" y="1012"/>
                                  <a:pt x="4" y="1008"/>
                                  <a:pt x="8" y="1008"/>
                                </a:cubicBezTo>
                                <a:cubicBezTo>
                                  <a:pt x="13" y="1008"/>
                                  <a:pt x="16" y="1012"/>
                                  <a:pt x="16" y="1016"/>
                                </a:cubicBezTo>
                                <a:close/>
                                <a:moveTo>
                                  <a:pt x="16" y="1128"/>
                                </a:moveTo>
                                <a:lnTo>
                                  <a:pt x="16" y="1144"/>
                                </a:lnTo>
                                <a:cubicBezTo>
                                  <a:pt x="16" y="1149"/>
                                  <a:pt x="13" y="1152"/>
                                  <a:pt x="8" y="1152"/>
                                </a:cubicBezTo>
                                <a:cubicBezTo>
                                  <a:pt x="4" y="1152"/>
                                  <a:pt x="0" y="1149"/>
                                  <a:pt x="0" y="1144"/>
                                </a:cubicBezTo>
                                <a:lnTo>
                                  <a:pt x="0" y="1128"/>
                                </a:lnTo>
                                <a:cubicBezTo>
                                  <a:pt x="0" y="1124"/>
                                  <a:pt x="4" y="1120"/>
                                  <a:pt x="8" y="1120"/>
                                </a:cubicBezTo>
                                <a:cubicBezTo>
                                  <a:pt x="13" y="1120"/>
                                  <a:pt x="16" y="1124"/>
                                  <a:pt x="16" y="1128"/>
                                </a:cubicBezTo>
                                <a:close/>
                              </a:path>
                            </a:pathLst>
                          </a:custGeom>
                          <a:solidFill>
                            <a:srgbClr val="000000"/>
                          </a:solidFill>
                          <a:ln w="9525">
                            <a:solidFill>
                              <a:srgbClr val="000000"/>
                            </a:solidFill>
                            <a:bevel/>
                            <a:headEnd/>
                            <a:tailEnd/>
                          </a:ln>
                        </wps:spPr>
                        <wps:bodyPr rot="0" vert="horz" wrap="square" lIns="91440" tIns="45720" rIns="91440" bIns="45720" anchor="t" anchorCtr="0" upright="1">
                          <a:noAutofit/>
                        </wps:bodyPr>
                      </wps:wsp>
                      <wpg:wgp>
                        <wpg:cNvPr id="250" name="Group 75"/>
                        <wpg:cNvGrpSpPr>
                          <a:grpSpLocks/>
                        </wpg:cNvGrpSpPr>
                        <wpg:grpSpPr bwMode="auto">
                          <a:xfrm>
                            <a:off x="818267" y="1972770"/>
                            <a:ext cx="61002" cy="61001"/>
                            <a:chOff x="1223" y="3773"/>
                            <a:chExt cx="120" cy="120"/>
                          </a:xfrm>
                        </wpg:grpSpPr>
                        <wps:wsp>
                          <wps:cNvPr id="251" name="Oval 76"/>
                          <wps:cNvSpPr>
                            <a:spLocks noChangeArrowheads="1"/>
                          </wps:cNvSpPr>
                          <wps:spPr bwMode="auto">
                            <a:xfrm>
                              <a:off x="1223" y="3773"/>
                              <a:ext cx="120" cy="120"/>
                            </a:xfrm>
                            <a:prstGeom prst="ellipse">
                              <a:avLst/>
                            </a:pr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52" name="Oval 77"/>
                          <wps:cNvSpPr>
                            <a:spLocks noChangeArrowheads="1"/>
                          </wps:cNvSpPr>
                          <wps:spPr bwMode="auto">
                            <a:xfrm>
                              <a:off x="1223" y="3773"/>
                              <a:ext cx="120" cy="120"/>
                            </a:xfrm>
                            <a:prstGeom prst="ellipse">
                              <a:avLst/>
                            </a:prstGeom>
                            <a:noFill/>
                            <a:ln w="952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253" name="Line 78"/>
                        <wps:cNvCnPr/>
                        <wps:spPr bwMode="auto">
                          <a:xfrm flipV="1">
                            <a:off x="850880" y="450808"/>
                            <a:ext cx="7600" cy="1546926"/>
                          </a:xfrm>
                          <a:prstGeom prst="line">
                            <a:avLst/>
                          </a:prstGeom>
                          <a:noFill/>
                          <a:ln w="9525" cap="rnd">
                            <a:solidFill>
                              <a:srgbClr val="000000"/>
                            </a:solidFill>
                            <a:round/>
                            <a:headEnd/>
                            <a:tailEnd/>
                          </a:ln>
                          <a:extLst>
                            <a:ext uri="{909E8E84-426E-40DD-AFC4-6F175D3DCCD1}">
                              <a14:hiddenFill xmlns:a14="http://schemas.microsoft.com/office/drawing/2010/main">
                                <a:noFill/>
                              </a14:hiddenFill>
                            </a:ext>
                          </a:extLst>
                        </wps:spPr>
                        <wps:bodyPr/>
                      </wps:wsp>
                      <wpg:wgp>
                        <wpg:cNvPr id="254" name="Group 79"/>
                        <wpg:cNvGrpSpPr>
                          <a:grpSpLocks/>
                        </wpg:cNvGrpSpPr>
                        <wpg:grpSpPr bwMode="auto">
                          <a:xfrm>
                            <a:off x="1104204" y="1212820"/>
                            <a:ext cx="61002" cy="61001"/>
                            <a:chOff x="1238" y="2258"/>
                            <a:chExt cx="120" cy="120"/>
                          </a:xfrm>
                        </wpg:grpSpPr>
                        <wps:wsp>
                          <wps:cNvPr id="255" name="Oval 80"/>
                          <wps:cNvSpPr>
                            <a:spLocks noChangeArrowheads="1"/>
                          </wps:cNvSpPr>
                          <wps:spPr bwMode="auto">
                            <a:xfrm>
                              <a:off x="1238" y="2258"/>
                              <a:ext cx="120" cy="120"/>
                            </a:xfrm>
                            <a:prstGeom prst="ellipse">
                              <a:avLst/>
                            </a:pr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15" name="Oval 81"/>
                          <wps:cNvSpPr>
                            <a:spLocks noChangeArrowheads="1"/>
                          </wps:cNvSpPr>
                          <wps:spPr bwMode="auto">
                            <a:xfrm>
                              <a:off x="1238" y="2258"/>
                              <a:ext cx="120" cy="120"/>
                            </a:xfrm>
                            <a:prstGeom prst="ellipse">
                              <a:avLst/>
                            </a:prstGeom>
                            <a:noFill/>
                            <a:ln w="952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25" name="Line 82"/>
                        <wps:cNvCnPr/>
                        <wps:spPr bwMode="auto">
                          <a:xfrm>
                            <a:off x="847080" y="1247121"/>
                            <a:ext cx="563214" cy="0"/>
                          </a:xfrm>
                          <a:prstGeom prst="line">
                            <a:avLst/>
                          </a:prstGeom>
                          <a:noFill/>
                          <a:ln w="9525" cap="rnd">
                            <a:solidFill>
                              <a:srgbClr val="000000"/>
                            </a:solidFill>
                            <a:round/>
                            <a:headEnd/>
                            <a:tailEnd/>
                          </a:ln>
                          <a:extLst>
                            <a:ext uri="{909E8E84-426E-40DD-AFC4-6F175D3DCCD1}">
                              <a14:hiddenFill xmlns:a14="http://schemas.microsoft.com/office/drawing/2010/main">
                                <a:noFill/>
                              </a14:hiddenFill>
                            </a:ext>
                          </a:extLst>
                        </wps:spPr>
                        <wps:bodyPr/>
                      </wps:wsp>
                      <wpg:wgp>
                        <wpg:cNvPr id="126" name="Group 83"/>
                        <wpg:cNvGrpSpPr>
                          <a:grpSpLocks/>
                        </wpg:cNvGrpSpPr>
                        <wpg:grpSpPr bwMode="auto">
                          <a:xfrm>
                            <a:off x="1692943" y="1212820"/>
                            <a:ext cx="60902" cy="61001"/>
                            <a:chOff x="2303" y="2258"/>
                            <a:chExt cx="120" cy="120"/>
                          </a:xfrm>
                        </wpg:grpSpPr>
                        <wps:wsp>
                          <wps:cNvPr id="127" name="Oval 84"/>
                          <wps:cNvSpPr>
                            <a:spLocks noChangeArrowheads="1"/>
                          </wps:cNvSpPr>
                          <wps:spPr bwMode="auto">
                            <a:xfrm>
                              <a:off x="2303" y="2258"/>
                              <a:ext cx="120" cy="120"/>
                            </a:xfrm>
                            <a:prstGeom prst="ellipse">
                              <a:avLst/>
                            </a:pr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36" name="Oval 85"/>
                          <wps:cNvSpPr>
                            <a:spLocks noChangeArrowheads="1"/>
                          </wps:cNvSpPr>
                          <wps:spPr bwMode="auto">
                            <a:xfrm>
                              <a:off x="2303" y="2258"/>
                              <a:ext cx="120" cy="120"/>
                            </a:xfrm>
                            <a:prstGeom prst="ellipse">
                              <a:avLst/>
                            </a:prstGeom>
                            <a:noFill/>
                            <a:ln w="952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37" name="Freeform 86"/>
                        <wps:cNvSpPr>
                          <a:spLocks noEditPoints="1"/>
                        </wps:cNvSpPr>
                        <wps:spPr bwMode="auto">
                          <a:xfrm>
                            <a:off x="1366939" y="1241183"/>
                            <a:ext cx="350509" cy="7600"/>
                          </a:xfrm>
                          <a:custGeom>
                            <a:avLst/>
                            <a:gdLst>
                              <a:gd name="T0" fmla="*/ 3810 w 736"/>
                              <a:gd name="T1" fmla="*/ 0 h 16"/>
                              <a:gd name="T2" fmla="*/ 26670 w 736"/>
                              <a:gd name="T3" fmla="*/ 0 h 16"/>
                              <a:gd name="T4" fmla="*/ 30480 w 736"/>
                              <a:gd name="T5" fmla="*/ 3810 h 16"/>
                              <a:gd name="T6" fmla="*/ 26670 w 736"/>
                              <a:gd name="T7" fmla="*/ 7620 h 16"/>
                              <a:gd name="T8" fmla="*/ 3810 w 736"/>
                              <a:gd name="T9" fmla="*/ 7620 h 16"/>
                              <a:gd name="T10" fmla="*/ 0 w 736"/>
                              <a:gd name="T11" fmla="*/ 3810 h 16"/>
                              <a:gd name="T12" fmla="*/ 3810 w 736"/>
                              <a:gd name="T13" fmla="*/ 0 h 16"/>
                              <a:gd name="T14" fmla="*/ 57150 w 736"/>
                              <a:gd name="T15" fmla="*/ 0 h 16"/>
                              <a:gd name="T16" fmla="*/ 80010 w 736"/>
                              <a:gd name="T17" fmla="*/ 0 h 16"/>
                              <a:gd name="T18" fmla="*/ 83820 w 736"/>
                              <a:gd name="T19" fmla="*/ 3810 h 16"/>
                              <a:gd name="T20" fmla="*/ 80010 w 736"/>
                              <a:gd name="T21" fmla="*/ 7620 h 16"/>
                              <a:gd name="T22" fmla="*/ 57150 w 736"/>
                              <a:gd name="T23" fmla="*/ 7620 h 16"/>
                              <a:gd name="T24" fmla="*/ 53340 w 736"/>
                              <a:gd name="T25" fmla="*/ 3810 h 16"/>
                              <a:gd name="T26" fmla="*/ 57150 w 736"/>
                              <a:gd name="T27" fmla="*/ 0 h 16"/>
                              <a:gd name="T28" fmla="*/ 110490 w 736"/>
                              <a:gd name="T29" fmla="*/ 0 h 16"/>
                              <a:gd name="T30" fmla="*/ 133350 w 736"/>
                              <a:gd name="T31" fmla="*/ 0 h 16"/>
                              <a:gd name="T32" fmla="*/ 137160 w 736"/>
                              <a:gd name="T33" fmla="*/ 3810 h 16"/>
                              <a:gd name="T34" fmla="*/ 133350 w 736"/>
                              <a:gd name="T35" fmla="*/ 7620 h 16"/>
                              <a:gd name="T36" fmla="*/ 110490 w 736"/>
                              <a:gd name="T37" fmla="*/ 7620 h 16"/>
                              <a:gd name="T38" fmla="*/ 106680 w 736"/>
                              <a:gd name="T39" fmla="*/ 3810 h 16"/>
                              <a:gd name="T40" fmla="*/ 110490 w 736"/>
                              <a:gd name="T41" fmla="*/ 0 h 16"/>
                              <a:gd name="T42" fmla="*/ 163830 w 736"/>
                              <a:gd name="T43" fmla="*/ 0 h 16"/>
                              <a:gd name="T44" fmla="*/ 186690 w 736"/>
                              <a:gd name="T45" fmla="*/ 0 h 16"/>
                              <a:gd name="T46" fmla="*/ 190500 w 736"/>
                              <a:gd name="T47" fmla="*/ 3810 h 16"/>
                              <a:gd name="T48" fmla="*/ 186690 w 736"/>
                              <a:gd name="T49" fmla="*/ 7620 h 16"/>
                              <a:gd name="T50" fmla="*/ 163830 w 736"/>
                              <a:gd name="T51" fmla="*/ 7620 h 16"/>
                              <a:gd name="T52" fmla="*/ 160020 w 736"/>
                              <a:gd name="T53" fmla="*/ 3810 h 16"/>
                              <a:gd name="T54" fmla="*/ 163830 w 736"/>
                              <a:gd name="T55" fmla="*/ 0 h 16"/>
                              <a:gd name="T56" fmla="*/ 217170 w 736"/>
                              <a:gd name="T57" fmla="*/ 0 h 16"/>
                              <a:gd name="T58" fmla="*/ 240030 w 736"/>
                              <a:gd name="T59" fmla="*/ 0 h 16"/>
                              <a:gd name="T60" fmla="*/ 243840 w 736"/>
                              <a:gd name="T61" fmla="*/ 3810 h 16"/>
                              <a:gd name="T62" fmla="*/ 240030 w 736"/>
                              <a:gd name="T63" fmla="*/ 7620 h 16"/>
                              <a:gd name="T64" fmla="*/ 217170 w 736"/>
                              <a:gd name="T65" fmla="*/ 7620 h 16"/>
                              <a:gd name="T66" fmla="*/ 213360 w 736"/>
                              <a:gd name="T67" fmla="*/ 3810 h 16"/>
                              <a:gd name="T68" fmla="*/ 217170 w 736"/>
                              <a:gd name="T69" fmla="*/ 0 h 16"/>
                              <a:gd name="T70" fmla="*/ 270510 w 736"/>
                              <a:gd name="T71" fmla="*/ 0 h 16"/>
                              <a:gd name="T72" fmla="*/ 293370 w 736"/>
                              <a:gd name="T73" fmla="*/ 0 h 16"/>
                              <a:gd name="T74" fmla="*/ 297180 w 736"/>
                              <a:gd name="T75" fmla="*/ 3810 h 16"/>
                              <a:gd name="T76" fmla="*/ 293370 w 736"/>
                              <a:gd name="T77" fmla="*/ 7620 h 16"/>
                              <a:gd name="T78" fmla="*/ 270510 w 736"/>
                              <a:gd name="T79" fmla="*/ 7620 h 16"/>
                              <a:gd name="T80" fmla="*/ 266700 w 736"/>
                              <a:gd name="T81" fmla="*/ 3810 h 16"/>
                              <a:gd name="T82" fmla="*/ 270510 w 736"/>
                              <a:gd name="T83" fmla="*/ 0 h 16"/>
                              <a:gd name="T84" fmla="*/ 323850 w 736"/>
                              <a:gd name="T85" fmla="*/ 0 h 16"/>
                              <a:gd name="T86" fmla="*/ 346710 w 736"/>
                              <a:gd name="T87" fmla="*/ 0 h 16"/>
                              <a:gd name="T88" fmla="*/ 350520 w 736"/>
                              <a:gd name="T89" fmla="*/ 3810 h 16"/>
                              <a:gd name="T90" fmla="*/ 346710 w 736"/>
                              <a:gd name="T91" fmla="*/ 7620 h 16"/>
                              <a:gd name="T92" fmla="*/ 323850 w 736"/>
                              <a:gd name="T93" fmla="*/ 7620 h 16"/>
                              <a:gd name="T94" fmla="*/ 320040 w 736"/>
                              <a:gd name="T95" fmla="*/ 3810 h 16"/>
                              <a:gd name="T96" fmla="*/ 323850 w 736"/>
                              <a:gd name="T97" fmla="*/ 0 h 1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Lst>
                            <a:ahLst/>
                            <a:cxnLst>
                              <a:cxn ang="T98">
                                <a:pos x="T0" y="T1"/>
                              </a:cxn>
                              <a:cxn ang="T99">
                                <a:pos x="T2" y="T3"/>
                              </a:cxn>
                              <a:cxn ang="T100">
                                <a:pos x="T4" y="T5"/>
                              </a:cxn>
                              <a:cxn ang="T101">
                                <a:pos x="T6" y="T7"/>
                              </a:cxn>
                              <a:cxn ang="T102">
                                <a:pos x="T8" y="T9"/>
                              </a:cxn>
                              <a:cxn ang="T103">
                                <a:pos x="T10" y="T11"/>
                              </a:cxn>
                              <a:cxn ang="T104">
                                <a:pos x="T12" y="T13"/>
                              </a:cxn>
                              <a:cxn ang="T105">
                                <a:pos x="T14" y="T15"/>
                              </a:cxn>
                              <a:cxn ang="T106">
                                <a:pos x="T16" y="T17"/>
                              </a:cxn>
                              <a:cxn ang="T107">
                                <a:pos x="T18" y="T19"/>
                              </a:cxn>
                              <a:cxn ang="T108">
                                <a:pos x="T20" y="T21"/>
                              </a:cxn>
                              <a:cxn ang="T109">
                                <a:pos x="T22" y="T23"/>
                              </a:cxn>
                              <a:cxn ang="T110">
                                <a:pos x="T24" y="T25"/>
                              </a:cxn>
                              <a:cxn ang="T111">
                                <a:pos x="T26" y="T27"/>
                              </a:cxn>
                              <a:cxn ang="T112">
                                <a:pos x="T28" y="T29"/>
                              </a:cxn>
                              <a:cxn ang="T113">
                                <a:pos x="T30" y="T31"/>
                              </a:cxn>
                              <a:cxn ang="T114">
                                <a:pos x="T32" y="T33"/>
                              </a:cxn>
                              <a:cxn ang="T115">
                                <a:pos x="T34" y="T35"/>
                              </a:cxn>
                              <a:cxn ang="T116">
                                <a:pos x="T36" y="T37"/>
                              </a:cxn>
                              <a:cxn ang="T117">
                                <a:pos x="T38" y="T39"/>
                              </a:cxn>
                              <a:cxn ang="T118">
                                <a:pos x="T40" y="T41"/>
                              </a:cxn>
                              <a:cxn ang="T119">
                                <a:pos x="T42" y="T43"/>
                              </a:cxn>
                              <a:cxn ang="T120">
                                <a:pos x="T44" y="T45"/>
                              </a:cxn>
                              <a:cxn ang="T121">
                                <a:pos x="T46" y="T47"/>
                              </a:cxn>
                              <a:cxn ang="T122">
                                <a:pos x="T48" y="T49"/>
                              </a:cxn>
                              <a:cxn ang="T123">
                                <a:pos x="T50" y="T51"/>
                              </a:cxn>
                              <a:cxn ang="T124">
                                <a:pos x="T52" y="T53"/>
                              </a:cxn>
                              <a:cxn ang="T125">
                                <a:pos x="T54" y="T55"/>
                              </a:cxn>
                              <a:cxn ang="T126">
                                <a:pos x="T56" y="T57"/>
                              </a:cxn>
                              <a:cxn ang="T127">
                                <a:pos x="T58" y="T59"/>
                              </a:cxn>
                              <a:cxn ang="T128">
                                <a:pos x="T60" y="T61"/>
                              </a:cxn>
                              <a:cxn ang="T129">
                                <a:pos x="T62" y="T63"/>
                              </a:cxn>
                              <a:cxn ang="T130">
                                <a:pos x="T64" y="T65"/>
                              </a:cxn>
                              <a:cxn ang="T131">
                                <a:pos x="T66" y="T67"/>
                              </a:cxn>
                              <a:cxn ang="T132">
                                <a:pos x="T68" y="T69"/>
                              </a:cxn>
                              <a:cxn ang="T133">
                                <a:pos x="T70" y="T71"/>
                              </a:cxn>
                              <a:cxn ang="T134">
                                <a:pos x="T72" y="T73"/>
                              </a:cxn>
                              <a:cxn ang="T135">
                                <a:pos x="T74" y="T75"/>
                              </a:cxn>
                              <a:cxn ang="T136">
                                <a:pos x="T76" y="T77"/>
                              </a:cxn>
                              <a:cxn ang="T137">
                                <a:pos x="T78" y="T79"/>
                              </a:cxn>
                              <a:cxn ang="T138">
                                <a:pos x="T80" y="T81"/>
                              </a:cxn>
                              <a:cxn ang="T139">
                                <a:pos x="T82" y="T83"/>
                              </a:cxn>
                              <a:cxn ang="T140">
                                <a:pos x="T84" y="T85"/>
                              </a:cxn>
                              <a:cxn ang="T141">
                                <a:pos x="T86" y="T87"/>
                              </a:cxn>
                              <a:cxn ang="T142">
                                <a:pos x="T88" y="T89"/>
                              </a:cxn>
                              <a:cxn ang="T143">
                                <a:pos x="T90" y="T91"/>
                              </a:cxn>
                              <a:cxn ang="T144">
                                <a:pos x="T92" y="T93"/>
                              </a:cxn>
                              <a:cxn ang="T145">
                                <a:pos x="T94" y="T95"/>
                              </a:cxn>
                              <a:cxn ang="T146">
                                <a:pos x="T96" y="T97"/>
                              </a:cxn>
                            </a:cxnLst>
                            <a:rect l="0" t="0" r="r" b="b"/>
                            <a:pathLst>
                              <a:path w="736" h="16">
                                <a:moveTo>
                                  <a:pt x="8" y="0"/>
                                </a:moveTo>
                                <a:lnTo>
                                  <a:pt x="56" y="0"/>
                                </a:lnTo>
                                <a:cubicBezTo>
                                  <a:pt x="61" y="0"/>
                                  <a:pt x="64" y="4"/>
                                  <a:pt x="64" y="8"/>
                                </a:cubicBezTo>
                                <a:cubicBezTo>
                                  <a:pt x="64" y="13"/>
                                  <a:pt x="61" y="16"/>
                                  <a:pt x="56" y="16"/>
                                </a:cubicBezTo>
                                <a:lnTo>
                                  <a:pt x="8" y="16"/>
                                </a:lnTo>
                                <a:cubicBezTo>
                                  <a:pt x="4" y="16"/>
                                  <a:pt x="0" y="13"/>
                                  <a:pt x="0" y="8"/>
                                </a:cubicBezTo>
                                <a:cubicBezTo>
                                  <a:pt x="0" y="4"/>
                                  <a:pt x="4" y="0"/>
                                  <a:pt x="8" y="0"/>
                                </a:cubicBezTo>
                                <a:close/>
                                <a:moveTo>
                                  <a:pt x="120" y="0"/>
                                </a:moveTo>
                                <a:lnTo>
                                  <a:pt x="168" y="0"/>
                                </a:lnTo>
                                <a:cubicBezTo>
                                  <a:pt x="173" y="0"/>
                                  <a:pt x="176" y="4"/>
                                  <a:pt x="176" y="8"/>
                                </a:cubicBezTo>
                                <a:cubicBezTo>
                                  <a:pt x="176" y="13"/>
                                  <a:pt x="173" y="16"/>
                                  <a:pt x="168" y="16"/>
                                </a:cubicBezTo>
                                <a:lnTo>
                                  <a:pt x="120" y="16"/>
                                </a:lnTo>
                                <a:cubicBezTo>
                                  <a:pt x="116" y="16"/>
                                  <a:pt x="112" y="13"/>
                                  <a:pt x="112" y="8"/>
                                </a:cubicBezTo>
                                <a:cubicBezTo>
                                  <a:pt x="112" y="4"/>
                                  <a:pt x="116" y="0"/>
                                  <a:pt x="120" y="0"/>
                                </a:cubicBezTo>
                                <a:close/>
                                <a:moveTo>
                                  <a:pt x="232" y="0"/>
                                </a:moveTo>
                                <a:lnTo>
                                  <a:pt x="280" y="0"/>
                                </a:lnTo>
                                <a:cubicBezTo>
                                  <a:pt x="285" y="0"/>
                                  <a:pt x="288" y="4"/>
                                  <a:pt x="288" y="8"/>
                                </a:cubicBezTo>
                                <a:cubicBezTo>
                                  <a:pt x="288" y="13"/>
                                  <a:pt x="285" y="16"/>
                                  <a:pt x="280" y="16"/>
                                </a:cubicBezTo>
                                <a:lnTo>
                                  <a:pt x="232" y="16"/>
                                </a:lnTo>
                                <a:cubicBezTo>
                                  <a:pt x="228" y="16"/>
                                  <a:pt x="224" y="13"/>
                                  <a:pt x="224" y="8"/>
                                </a:cubicBezTo>
                                <a:cubicBezTo>
                                  <a:pt x="224" y="4"/>
                                  <a:pt x="228" y="0"/>
                                  <a:pt x="232" y="0"/>
                                </a:cubicBezTo>
                                <a:close/>
                                <a:moveTo>
                                  <a:pt x="344" y="0"/>
                                </a:moveTo>
                                <a:lnTo>
                                  <a:pt x="392" y="0"/>
                                </a:lnTo>
                                <a:cubicBezTo>
                                  <a:pt x="397" y="0"/>
                                  <a:pt x="400" y="4"/>
                                  <a:pt x="400" y="8"/>
                                </a:cubicBezTo>
                                <a:cubicBezTo>
                                  <a:pt x="400" y="13"/>
                                  <a:pt x="397" y="16"/>
                                  <a:pt x="392" y="16"/>
                                </a:cubicBezTo>
                                <a:lnTo>
                                  <a:pt x="344" y="16"/>
                                </a:lnTo>
                                <a:cubicBezTo>
                                  <a:pt x="340" y="16"/>
                                  <a:pt x="336" y="13"/>
                                  <a:pt x="336" y="8"/>
                                </a:cubicBezTo>
                                <a:cubicBezTo>
                                  <a:pt x="336" y="4"/>
                                  <a:pt x="340" y="0"/>
                                  <a:pt x="344" y="0"/>
                                </a:cubicBezTo>
                                <a:close/>
                                <a:moveTo>
                                  <a:pt x="456" y="0"/>
                                </a:moveTo>
                                <a:lnTo>
                                  <a:pt x="504" y="0"/>
                                </a:lnTo>
                                <a:cubicBezTo>
                                  <a:pt x="509" y="0"/>
                                  <a:pt x="512" y="4"/>
                                  <a:pt x="512" y="8"/>
                                </a:cubicBezTo>
                                <a:cubicBezTo>
                                  <a:pt x="512" y="13"/>
                                  <a:pt x="509" y="16"/>
                                  <a:pt x="504" y="16"/>
                                </a:cubicBezTo>
                                <a:lnTo>
                                  <a:pt x="456" y="16"/>
                                </a:lnTo>
                                <a:cubicBezTo>
                                  <a:pt x="452" y="16"/>
                                  <a:pt x="448" y="13"/>
                                  <a:pt x="448" y="8"/>
                                </a:cubicBezTo>
                                <a:cubicBezTo>
                                  <a:pt x="448" y="4"/>
                                  <a:pt x="452" y="0"/>
                                  <a:pt x="456" y="0"/>
                                </a:cubicBezTo>
                                <a:close/>
                                <a:moveTo>
                                  <a:pt x="568" y="0"/>
                                </a:moveTo>
                                <a:lnTo>
                                  <a:pt x="616" y="0"/>
                                </a:lnTo>
                                <a:cubicBezTo>
                                  <a:pt x="621" y="0"/>
                                  <a:pt x="624" y="4"/>
                                  <a:pt x="624" y="8"/>
                                </a:cubicBezTo>
                                <a:cubicBezTo>
                                  <a:pt x="624" y="13"/>
                                  <a:pt x="621" y="16"/>
                                  <a:pt x="616" y="16"/>
                                </a:cubicBezTo>
                                <a:lnTo>
                                  <a:pt x="568" y="16"/>
                                </a:lnTo>
                                <a:cubicBezTo>
                                  <a:pt x="564" y="16"/>
                                  <a:pt x="560" y="13"/>
                                  <a:pt x="560" y="8"/>
                                </a:cubicBezTo>
                                <a:cubicBezTo>
                                  <a:pt x="560" y="4"/>
                                  <a:pt x="564" y="0"/>
                                  <a:pt x="568" y="0"/>
                                </a:cubicBezTo>
                                <a:close/>
                                <a:moveTo>
                                  <a:pt x="680" y="0"/>
                                </a:moveTo>
                                <a:lnTo>
                                  <a:pt x="728" y="0"/>
                                </a:lnTo>
                                <a:cubicBezTo>
                                  <a:pt x="733" y="0"/>
                                  <a:pt x="736" y="4"/>
                                  <a:pt x="736" y="8"/>
                                </a:cubicBezTo>
                                <a:cubicBezTo>
                                  <a:pt x="736" y="13"/>
                                  <a:pt x="733" y="16"/>
                                  <a:pt x="728" y="16"/>
                                </a:cubicBezTo>
                                <a:lnTo>
                                  <a:pt x="680" y="16"/>
                                </a:lnTo>
                                <a:cubicBezTo>
                                  <a:pt x="676" y="16"/>
                                  <a:pt x="672" y="13"/>
                                  <a:pt x="672" y="8"/>
                                </a:cubicBezTo>
                                <a:cubicBezTo>
                                  <a:pt x="672" y="4"/>
                                  <a:pt x="676" y="0"/>
                                  <a:pt x="680" y="0"/>
                                </a:cubicBezTo>
                                <a:close/>
                              </a:path>
                            </a:pathLst>
                          </a:custGeom>
                          <a:solidFill>
                            <a:srgbClr val="000000"/>
                          </a:solidFill>
                          <a:ln w="9525">
                            <a:solidFill>
                              <a:srgbClr val="000000"/>
                            </a:solidFill>
                            <a:bevel/>
                            <a:headEnd/>
                            <a:tailEnd/>
                          </a:ln>
                        </wps:spPr>
                        <wps:bodyPr rot="0" vert="horz" wrap="square" lIns="91440" tIns="45720" rIns="91440" bIns="45720" anchor="t" anchorCtr="0" upright="1">
                          <a:noAutofit/>
                        </wps:bodyPr>
                      </wps:wsp>
                      <wpg:wgp>
                        <wpg:cNvPr id="138" name="Group 87"/>
                        <wpg:cNvGrpSpPr>
                          <a:grpSpLocks/>
                        </wpg:cNvGrpSpPr>
                        <wpg:grpSpPr bwMode="auto">
                          <a:xfrm>
                            <a:off x="1997610" y="1212820"/>
                            <a:ext cx="61002" cy="61001"/>
                            <a:chOff x="3008" y="2258"/>
                            <a:chExt cx="120" cy="120"/>
                          </a:xfrm>
                        </wpg:grpSpPr>
                        <wps:wsp>
                          <wps:cNvPr id="139" name="Oval 88"/>
                          <wps:cNvSpPr>
                            <a:spLocks noChangeArrowheads="1"/>
                          </wps:cNvSpPr>
                          <wps:spPr bwMode="auto">
                            <a:xfrm>
                              <a:off x="3008" y="2258"/>
                              <a:ext cx="120" cy="120"/>
                            </a:xfrm>
                            <a:prstGeom prst="ellipse">
                              <a:avLst/>
                            </a:pr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40" name="Oval 89"/>
                          <wps:cNvSpPr>
                            <a:spLocks noChangeArrowheads="1"/>
                          </wps:cNvSpPr>
                          <wps:spPr bwMode="auto">
                            <a:xfrm>
                              <a:off x="3008" y="2258"/>
                              <a:ext cx="120" cy="120"/>
                            </a:xfrm>
                            <a:prstGeom prst="ellipse">
                              <a:avLst/>
                            </a:prstGeom>
                            <a:noFill/>
                            <a:ln w="952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41" name="Line 90"/>
                        <wps:cNvCnPr/>
                        <wps:spPr bwMode="auto">
                          <a:xfrm>
                            <a:off x="1747610" y="1243321"/>
                            <a:ext cx="266707" cy="0"/>
                          </a:xfrm>
                          <a:prstGeom prst="line">
                            <a:avLst/>
                          </a:prstGeom>
                          <a:noFill/>
                          <a:ln w="9525" cap="rnd">
                            <a:solidFill>
                              <a:srgbClr val="000000"/>
                            </a:solidFill>
                            <a:round/>
                            <a:headEnd/>
                            <a:tailEnd/>
                          </a:ln>
                          <a:extLst>
                            <a:ext uri="{909E8E84-426E-40DD-AFC4-6F175D3DCCD1}">
                              <a14:hiddenFill xmlns:a14="http://schemas.microsoft.com/office/drawing/2010/main">
                                <a:noFill/>
                              </a14:hiddenFill>
                            </a:ext>
                          </a:extLst>
                        </wps:spPr>
                        <wps:bodyPr/>
                      </wps:wsp>
                      <wpg:wgp>
                        <wpg:cNvPr id="142" name="Group 91"/>
                        <wpg:cNvGrpSpPr>
                          <a:grpSpLocks/>
                        </wpg:cNvGrpSpPr>
                        <wpg:grpSpPr bwMode="auto">
                          <a:xfrm>
                            <a:off x="721377" y="2576843"/>
                            <a:ext cx="259007" cy="380306"/>
                            <a:chOff x="1028" y="4943"/>
                            <a:chExt cx="510" cy="750"/>
                          </a:xfrm>
                        </wpg:grpSpPr>
                        <wps:wsp>
                          <wps:cNvPr id="143" name="Oval 92"/>
                          <wps:cNvSpPr>
                            <a:spLocks noChangeArrowheads="1"/>
                          </wps:cNvSpPr>
                          <wps:spPr bwMode="auto">
                            <a:xfrm>
                              <a:off x="1028" y="4943"/>
                              <a:ext cx="510" cy="510"/>
                            </a:xfrm>
                            <a:prstGeom prst="ellipse">
                              <a:avLst/>
                            </a:prstGeom>
                            <a:noFill/>
                            <a:ln w="952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4" name="Oval 93"/>
                          <wps:cNvSpPr>
                            <a:spLocks noChangeArrowheads="1"/>
                          </wps:cNvSpPr>
                          <wps:spPr bwMode="auto">
                            <a:xfrm>
                              <a:off x="1028" y="5183"/>
                              <a:ext cx="510" cy="510"/>
                            </a:xfrm>
                            <a:prstGeom prst="ellipse">
                              <a:avLst/>
                            </a:prstGeom>
                            <a:noFill/>
                            <a:ln w="952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145" name="Group 94"/>
                        <wpg:cNvGrpSpPr>
                          <a:grpSpLocks/>
                        </wpg:cNvGrpSpPr>
                        <wpg:grpSpPr bwMode="auto">
                          <a:xfrm>
                            <a:off x="2067759" y="1108160"/>
                            <a:ext cx="381010" cy="259104"/>
                            <a:chOff x="3638" y="2078"/>
                            <a:chExt cx="750" cy="510"/>
                          </a:xfrm>
                        </wpg:grpSpPr>
                        <wps:wsp>
                          <wps:cNvPr id="146" name="Oval 95"/>
                          <wps:cNvSpPr>
                            <a:spLocks noChangeArrowheads="1"/>
                          </wps:cNvSpPr>
                          <wps:spPr bwMode="auto">
                            <a:xfrm>
                              <a:off x="3878" y="2078"/>
                              <a:ext cx="510" cy="510"/>
                            </a:xfrm>
                            <a:prstGeom prst="ellipse">
                              <a:avLst/>
                            </a:prstGeom>
                            <a:noFill/>
                            <a:ln w="952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7" name="Oval 96"/>
                          <wps:cNvSpPr>
                            <a:spLocks noChangeArrowheads="1"/>
                          </wps:cNvSpPr>
                          <wps:spPr bwMode="auto">
                            <a:xfrm>
                              <a:off x="3638" y="2078"/>
                              <a:ext cx="510" cy="510"/>
                            </a:xfrm>
                            <a:prstGeom prst="ellipse">
                              <a:avLst/>
                            </a:prstGeom>
                            <a:noFill/>
                            <a:ln w="952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148" name="Group 97"/>
                        <wpg:cNvGrpSpPr>
                          <a:grpSpLocks/>
                        </wpg:cNvGrpSpPr>
                        <wpg:grpSpPr bwMode="auto">
                          <a:xfrm>
                            <a:off x="789878" y="298405"/>
                            <a:ext cx="152404" cy="152403"/>
                            <a:chOff x="1163" y="458"/>
                            <a:chExt cx="300" cy="300"/>
                          </a:xfrm>
                        </wpg:grpSpPr>
                        <wps:wsp>
                          <wps:cNvPr id="149" name="Line 98"/>
                          <wps:cNvCnPr/>
                          <wps:spPr bwMode="auto">
                            <a:xfrm flipV="1">
                              <a:off x="1163" y="458"/>
                              <a:ext cx="300" cy="300"/>
                            </a:xfrm>
                            <a:prstGeom prst="line">
                              <a:avLst/>
                            </a:prstGeom>
                            <a:noFill/>
                            <a:ln w="9525" cap="rnd">
                              <a:solidFill>
                                <a:srgbClr val="000000"/>
                              </a:solidFill>
                              <a:round/>
                              <a:headEnd/>
                              <a:tailEnd/>
                            </a:ln>
                            <a:extLst>
                              <a:ext uri="{909E8E84-426E-40DD-AFC4-6F175D3DCCD1}">
                                <a14:hiddenFill xmlns:a14="http://schemas.microsoft.com/office/drawing/2010/main">
                                  <a:noFill/>
                                </a14:hiddenFill>
                              </a:ext>
                            </a:extLst>
                          </wps:spPr>
                          <wps:bodyPr/>
                        </wps:wsp>
                        <wps:wsp>
                          <wps:cNvPr id="150" name="Line 99"/>
                          <wps:cNvCnPr/>
                          <wps:spPr bwMode="auto">
                            <a:xfrm>
                              <a:off x="1163" y="458"/>
                              <a:ext cx="300" cy="300"/>
                            </a:xfrm>
                            <a:prstGeom prst="line">
                              <a:avLst/>
                            </a:prstGeom>
                            <a:noFill/>
                            <a:ln w="9525" cap="rnd">
                              <a:solidFill>
                                <a:srgbClr val="000000"/>
                              </a:solidFill>
                              <a:round/>
                              <a:headEnd/>
                              <a:tailEnd/>
                            </a:ln>
                            <a:extLst>
                              <a:ext uri="{909E8E84-426E-40DD-AFC4-6F175D3DCCD1}">
                                <a14:hiddenFill xmlns:a14="http://schemas.microsoft.com/office/drawing/2010/main">
                                  <a:noFill/>
                                </a14:hiddenFill>
                              </a:ext>
                            </a:extLst>
                          </wps:spPr>
                          <wps:bodyPr/>
                        </wps:wsp>
                      </wpg:wgp>
                      <wps:wsp>
                        <wps:cNvPr id="151" name="Line 100"/>
                        <wps:cNvCnPr/>
                        <wps:spPr bwMode="auto">
                          <a:xfrm flipV="1">
                            <a:off x="868005" y="222204"/>
                            <a:ext cx="0" cy="76201"/>
                          </a:xfrm>
                          <a:prstGeom prst="line">
                            <a:avLst/>
                          </a:prstGeom>
                          <a:noFill/>
                          <a:ln w="9525" cap="rnd">
                            <a:solidFill>
                              <a:srgbClr val="000000"/>
                            </a:solidFill>
                            <a:round/>
                            <a:headEnd/>
                            <a:tailEnd/>
                          </a:ln>
                          <a:extLst>
                            <a:ext uri="{909E8E84-426E-40DD-AFC4-6F175D3DCCD1}">
                              <a14:hiddenFill xmlns:a14="http://schemas.microsoft.com/office/drawing/2010/main">
                                <a:noFill/>
                              </a14:hiddenFill>
                            </a:ext>
                          </a:extLst>
                        </wps:spPr>
                        <wps:bodyPr/>
                      </wps:wsp>
                      <wps:wsp>
                        <wps:cNvPr id="152" name="Line 101"/>
                        <wps:cNvCnPr/>
                        <wps:spPr bwMode="auto">
                          <a:xfrm>
                            <a:off x="568973" y="199303"/>
                            <a:ext cx="792420" cy="0"/>
                          </a:xfrm>
                          <a:prstGeom prst="line">
                            <a:avLst/>
                          </a:prstGeom>
                          <a:noFill/>
                          <a:ln w="9525" cap="rnd">
                            <a:solidFill>
                              <a:srgbClr val="000000"/>
                            </a:solidFill>
                            <a:round/>
                            <a:headEnd/>
                            <a:tailEnd/>
                          </a:ln>
                          <a:extLst>
                            <a:ext uri="{909E8E84-426E-40DD-AFC4-6F175D3DCCD1}">
                              <a14:hiddenFill xmlns:a14="http://schemas.microsoft.com/office/drawing/2010/main">
                                <a:noFill/>
                              </a14:hiddenFill>
                            </a:ext>
                          </a:extLst>
                        </wps:spPr>
                        <wps:bodyPr/>
                      </wps:wsp>
                      <wps:wsp>
                        <wps:cNvPr id="153" name="Rectangle 102"/>
                        <wps:cNvSpPr>
                          <a:spLocks noChangeArrowheads="1"/>
                        </wps:cNvSpPr>
                        <wps:spPr bwMode="auto">
                          <a:xfrm>
                            <a:off x="0" y="0"/>
                            <a:ext cx="576580"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04E4EC" w14:textId="77777777" w:rsidR="0041584B" w:rsidRPr="00566744" w:rsidRDefault="0041584B" w:rsidP="0041584B">
                              <w:pPr>
                                <w:rPr>
                                  <w:rFonts w:ascii="Arial" w:hAnsi="Arial" w:cs="Arial"/>
                                  <w:sz w:val="16"/>
                                </w:rPr>
                              </w:pPr>
                              <w:r w:rsidRPr="00566744">
                                <w:rPr>
                                  <w:rFonts w:ascii="Arial" w:hAnsi="Arial" w:cs="Arial"/>
                                  <w:color w:val="000000"/>
                                  <w:sz w:val="16"/>
                                  <w:lang w:val="en-US"/>
                                </w:rPr>
                                <w:t xml:space="preserve">Substation </w:t>
                              </w:r>
                              <w:r>
                                <w:rPr>
                                  <w:rFonts w:ascii="Arial" w:hAnsi="Arial" w:cs="Arial"/>
                                  <w:color w:val="000000"/>
                                  <w:sz w:val="16"/>
                                  <w:lang w:val="en-US"/>
                                </w:rPr>
                                <w:t>A</w:t>
                              </w:r>
                            </w:p>
                          </w:txbxContent>
                        </wps:txbx>
                        <wps:bodyPr rot="0" vert="horz" wrap="none" lIns="0" tIns="0" rIns="0" bIns="0" anchor="t" anchorCtr="0" upright="1">
                          <a:spAutoFit/>
                        </wps:bodyPr>
                      </wps:wsp>
                      <wps:wsp>
                        <wps:cNvPr id="154" name="Rectangle 103"/>
                        <wps:cNvSpPr>
                          <a:spLocks noChangeArrowheads="1"/>
                        </wps:cNvSpPr>
                        <wps:spPr bwMode="auto">
                          <a:xfrm>
                            <a:off x="968562" y="2955927"/>
                            <a:ext cx="582295"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E55BA3" w14:textId="77777777" w:rsidR="0041584B" w:rsidRPr="00566744" w:rsidRDefault="0041584B" w:rsidP="0041584B">
                              <w:pPr>
                                <w:rPr>
                                  <w:rFonts w:ascii="Arial" w:hAnsi="Arial" w:cs="Arial"/>
                                  <w:sz w:val="16"/>
                                </w:rPr>
                              </w:pPr>
                              <w:r w:rsidRPr="00566744">
                                <w:rPr>
                                  <w:rFonts w:ascii="Arial" w:hAnsi="Arial" w:cs="Arial"/>
                                  <w:color w:val="000000"/>
                                  <w:sz w:val="16"/>
                                  <w:lang w:val="en-US"/>
                                </w:rPr>
                                <w:t>Substation C</w:t>
                              </w:r>
                            </w:p>
                          </w:txbxContent>
                        </wps:txbx>
                        <wps:bodyPr rot="0" vert="horz" wrap="none" lIns="0" tIns="0" rIns="0" bIns="0" anchor="t" anchorCtr="0" upright="1">
                          <a:spAutoFit/>
                        </wps:bodyPr>
                      </wps:wsp>
                      <wps:wsp>
                        <wps:cNvPr id="155" name="Rectangle 104"/>
                        <wps:cNvSpPr>
                          <a:spLocks noChangeArrowheads="1"/>
                        </wps:cNvSpPr>
                        <wps:spPr bwMode="auto">
                          <a:xfrm>
                            <a:off x="117503" y="568758"/>
                            <a:ext cx="594360"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7225B7" w14:textId="77777777" w:rsidR="0041584B" w:rsidRPr="00566744" w:rsidRDefault="0041584B" w:rsidP="0041584B">
                              <w:pPr>
                                <w:rPr>
                                  <w:rFonts w:ascii="Arial" w:hAnsi="Arial" w:cs="Arial"/>
                                  <w:sz w:val="16"/>
                                </w:rPr>
                              </w:pPr>
                              <w:r w:rsidRPr="00566744">
                                <w:rPr>
                                  <w:rFonts w:ascii="Arial" w:hAnsi="Arial" w:cs="Arial"/>
                                  <w:color w:val="000000"/>
                                  <w:sz w:val="16"/>
                                  <w:lang w:val="en-US"/>
                                </w:rPr>
                                <w:t>5km 150mm</w:t>
                              </w:r>
                              <w:r w:rsidRPr="00554903">
                                <w:rPr>
                                  <w:rFonts w:ascii="Arial" w:hAnsi="Arial" w:cs="Arial"/>
                                  <w:color w:val="000000"/>
                                  <w:sz w:val="16"/>
                                  <w:vertAlign w:val="superscript"/>
                                  <w:lang w:val="en-US"/>
                                </w:rPr>
                                <w:t>2</w:t>
                              </w:r>
                            </w:p>
                          </w:txbxContent>
                        </wps:txbx>
                        <wps:bodyPr rot="0" vert="horz" wrap="none" lIns="0" tIns="0" rIns="0" bIns="0" anchor="t" anchorCtr="0" upright="1">
                          <a:spAutoFit/>
                        </wps:bodyPr>
                      </wps:wsp>
                      <wps:wsp>
                        <wps:cNvPr id="156" name="Rectangle 105"/>
                        <wps:cNvSpPr>
                          <a:spLocks noChangeArrowheads="1"/>
                        </wps:cNvSpPr>
                        <wps:spPr bwMode="auto">
                          <a:xfrm>
                            <a:off x="155604" y="698176"/>
                            <a:ext cx="429260"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99C0D2" w14:textId="77777777" w:rsidR="0041584B" w:rsidRPr="00566744" w:rsidRDefault="0041584B" w:rsidP="0041584B">
                              <w:pPr>
                                <w:rPr>
                                  <w:rFonts w:ascii="Arial" w:hAnsi="Arial" w:cs="Arial"/>
                                  <w:sz w:val="16"/>
                                </w:rPr>
                              </w:pPr>
                              <w:r w:rsidRPr="00566744">
                                <w:rPr>
                                  <w:rFonts w:ascii="Arial" w:hAnsi="Arial" w:cs="Arial"/>
                                  <w:color w:val="000000"/>
                                  <w:sz w:val="16"/>
                                  <w:lang w:val="en-US"/>
                                </w:rPr>
                                <w:t>HDC O/H</w:t>
                              </w:r>
                            </w:p>
                          </w:txbxContent>
                        </wps:txbx>
                        <wps:bodyPr rot="0" vert="horz" wrap="none" lIns="0" tIns="0" rIns="0" bIns="0" anchor="t" anchorCtr="0" upright="1">
                          <a:spAutoFit/>
                        </wps:bodyPr>
                      </wps:wsp>
                      <wps:wsp>
                        <wps:cNvPr id="157" name="Rectangle 106"/>
                        <wps:cNvSpPr>
                          <a:spLocks noChangeArrowheads="1"/>
                        </wps:cNvSpPr>
                        <wps:spPr bwMode="auto">
                          <a:xfrm>
                            <a:off x="60302" y="827622"/>
                            <a:ext cx="587375"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27BB9D" w14:textId="77777777" w:rsidR="0041584B" w:rsidRPr="00566744" w:rsidRDefault="0041584B" w:rsidP="0041584B">
                              <w:pPr>
                                <w:rPr>
                                  <w:rFonts w:ascii="Arial" w:hAnsi="Arial" w:cs="Arial"/>
                                  <w:sz w:val="16"/>
                                </w:rPr>
                              </w:pPr>
                              <w:r w:rsidRPr="00566744">
                                <w:rPr>
                                  <w:rFonts w:ascii="Arial" w:hAnsi="Arial" w:cs="Arial"/>
                                  <w:color w:val="000000"/>
                                  <w:sz w:val="16"/>
                                  <w:lang w:val="en-US"/>
                                </w:rPr>
                                <w:t>(rating 600A)</w:t>
                              </w:r>
                            </w:p>
                          </w:txbxContent>
                        </wps:txbx>
                        <wps:bodyPr rot="0" vert="horz" wrap="none" lIns="0" tIns="0" rIns="0" bIns="0" anchor="t" anchorCtr="0" upright="1">
                          <a:spAutoFit/>
                        </wps:bodyPr>
                      </wps:wsp>
                      <wps:wsp>
                        <wps:cNvPr id="158" name="Rectangle 107"/>
                        <wps:cNvSpPr>
                          <a:spLocks noChangeArrowheads="1"/>
                        </wps:cNvSpPr>
                        <wps:spPr bwMode="auto">
                          <a:xfrm>
                            <a:off x="1788145" y="65973"/>
                            <a:ext cx="276860"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8A9CB7" w14:textId="77777777" w:rsidR="0041584B" w:rsidRPr="00566744" w:rsidRDefault="0041584B" w:rsidP="0041584B">
                              <w:pPr>
                                <w:rPr>
                                  <w:rFonts w:ascii="Arial" w:hAnsi="Arial" w:cs="Arial"/>
                                  <w:sz w:val="16"/>
                                </w:rPr>
                              </w:pPr>
                              <w:r w:rsidRPr="00566744">
                                <w:rPr>
                                  <w:rFonts w:ascii="Arial" w:hAnsi="Arial" w:cs="Arial"/>
                                  <w:color w:val="000000"/>
                                  <w:sz w:val="16"/>
                                  <w:lang w:val="en-US"/>
                                </w:rPr>
                                <w:t>0.4km</w:t>
                              </w:r>
                            </w:p>
                          </w:txbxContent>
                        </wps:txbx>
                        <wps:bodyPr rot="0" vert="horz" wrap="none" lIns="0" tIns="0" rIns="0" bIns="0" anchor="t" anchorCtr="0" upright="1">
                          <a:spAutoFit/>
                        </wps:bodyPr>
                      </wps:wsp>
                      <wps:wsp>
                        <wps:cNvPr id="159" name="Rectangle 108"/>
                        <wps:cNvSpPr>
                          <a:spLocks noChangeArrowheads="1"/>
                        </wps:cNvSpPr>
                        <wps:spPr bwMode="auto">
                          <a:xfrm>
                            <a:off x="1788145" y="181519"/>
                            <a:ext cx="650875"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BD1E58" w14:textId="77777777" w:rsidR="0041584B" w:rsidRPr="00566744" w:rsidRDefault="0041584B" w:rsidP="0041584B">
                              <w:pPr>
                                <w:rPr>
                                  <w:rFonts w:ascii="Arial" w:hAnsi="Arial" w:cs="Arial"/>
                                  <w:sz w:val="16"/>
                                </w:rPr>
                              </w:pPr>
                              <w:r>
                                <w:rPr>
                                  <w:rFonts w:ascii="Arial" w:hAnsi="Arial" w:cs="Arial"/>
                                  <w:color w:val="000000"/>
                                  <w:sz w:val="16"/>
                                  <w:lang w:val="en-US"/>
                                </w:rPr>
                                <w:t>100 mm</w:t>
                              </w:r>
                              <w:r w:rsidRPr="00E76C29">
                                <w:rPr>
                                  <w:rFonts w:ascii="Arial" w:hAnsi="Arial" w:cs="Arial"/>
                                  <w:color w:val="000000"/>
                                  <w:sz w:val="16"/>
                                  <w:vertAlign w:val="superscript"/>
                                  <w:lang w:val="en-US"/>
                                </w:rPr>
                                <w:t>2</w:t>
                              </w:r>
                              <w:r w:rsidRPr="00566744">
                                <w:rPr>
                                  <w:rFonts w:ascii="Arial" w:hAnsi="Arial" w:cs="Arial"/>
                                  <w:color w:val="000000"/>
                                  <w:sz w:val="16"/>
                                  <w:lang w:val="en-US"/>
                                </w:rPr>
                                <w:t xml:space="preserve"> </w:t>
                              </w:r>
                              <w:r>
                                <w:rPr>
                                  <w:rFonts w:ascii="Arial" w:hAnsi="Arial" w:cs="Arial"/>
                                  <w:color w:val="000000"/>
                                  <w:sz w:val="16"/>
                                  <w:lang w:val="en-US"/>
                                </w:rPr>
                                <w:t>HDC</w:t>
                              </w:r>
                            </w:p>
                          </w:txbxContent>
                        </wps:txbx>
                        <wps:bodyPr rot="0" vert="horz" wrap="none" lIns="0" tIns="0" rIns="0" bIns="0" anchor="t" anchorCtr="0" upright="1">
                          <a:spAutoFit/>
                        </wps:bodyPr>
                      </wps:wsp>
                      <wps:wsp>
                        <wps:cNvPr id="960" name="Rectangle 109"/>
                        <wps:cNvSpPr>
                          <a:spLocks noChangeArrowheads="1"/>
                        </wps:cNvSpPr>
                        <wps:spPr bwMode="auto">
                          <a:xfrm>
                            <a:off x="1789473" y="310086"/>
                            <a:ext cx="180975"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CF425B" w14:textId="77777777" w:rsidR="0041584B" w:rsidRPr="00566744" w:rsidRDefault="0041584B" w:rsidP="0041584B">
                              <w:pPr>
                                <w:rPr>
                                  <w:rFonts w:ascii="Arial" w:hAnsi="Arial" w:cs="Arial"/>
                                  <w:sz w:val="16"/>
                                </w:rPr>
                              </w:pPr>
                              <w:r w:rsidRPr="00566744">
                                <w:rPr>
                                  <w:rFonts w:ascii="Arial" w:hAnsi="Arial" w:cs="Arial"/>
                                  <w:color w:val="000000"/>
                                  <w:sz w:val="16"/>
                                  <w:lang w:val="en-US"/>
                                </w:rPr>
                                <w:t>O/H</w:t>
                              </w:r>
                            </w:p>
                          </w:txbxContent>
                        </wps:txbx>
                        <wps:bodyPr rot="0" vert="horz" wrap="none" lIns="0" tIns="0" rIns="0" bIns="0" anchor="t" anchorCtr="0" upright="1">
                          <a:spAutoFit/>
                        </wps:bodyPr>
                      </wps:wsp>
                      <wps:wsp>
                        <wps:cNvPr id="961" name="Rectangle 110"/>
                        <wps:cNvSpPr>
                          <a:spLocks noChangeArrowheads="1"/>
                        </wps:cNvSpPr>
                        <wps:spPr bwMode="auto">
                          <a:xfrm>
                            <a:off x="1975577" y="310086"/>
                            <a:ext cx="587375"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46E2C5" w14:textId="77777777" w:rsidR="0041584B" w:rsidRPr="00566744" w:rsidRDefault="0041584B" w:rsidP="0041584B">
                              <w:pPr>
                                <w:rPr>
                                  <w:rFonts w:ascii="Arial" w:hAnsi="Arial" w:cs="Arial"/>
                                  <w:sz w:val="16"/>
                                </w:rPr>
                              </w:pPr>
                              <w:r w:rsidRPr="00566744">
                                <w:rPr>
                                  <w:rFonts w:ascii="Arial" w:hAnsi="Arial" w:cs="Arial"/>
                                  <w:color w:val="000000"/>
                                  <w:sz w:val="16"/>
                                  <w:lang w:val="en-US"/>
                                </w:rPr>
                                <w:t>(rating 475A</w:t>
                              </w:r>
                              <w:r>
                                <w:rPr>
                                  <w:rFonts w:ascii="Arial" w:hAnsi="Arial" w:cs="Arial"/>
                                  <w:color w:val="000000"/>
                                  <w:sz w:val="16"/>
                                  <w:lang w:val="en-US"/>
                                </w:rPr>
                                <w:t xml:space="preserve">) </w:t>
                              </w:r>
                            </w:p>
                          </w:txbxContent>
                        </wps:txbx>
                        <wps:bodyPr rot="0" vert="horz" wrap="none" lIns="0" tIns="0" rIns="0" bIns="0" anchor="t" anchorCtr="0" upright="1">
                          <a:spAutoFit/>
                        </wps:bodyPr>
                      </wps:wsp>
                      <wps:wsp>
                        <wps:cNvPr id="962" name="Rectangle 111"/>
                        <wps:cNvSpPr>
                          <a:spLocks noChangeArrowheads="1"/>
                        </wps:cNvSpPr>
                        <wps:spPr bwMode="auto">
                          <a:xfrm>
                            <a:off x="1727244" y="1284634"/>
                            <a:ext cx="276860"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1B82E7" w14:textId="77777777" w:rsidR="0041584B" w:rsidRPr="00566744" w:rsidRDefault="0041584B" w:rsidP="0041584B">
                              <w:pPr>
                                <w:rPr>
                                  <w:rFonts w:ascii="Arial" w:hAnsi="Arial" w:cs="Arial"/>
                                  <w:sz w:val="16"/>
                                </w:rPr>
                              </w:pPr>
                              <w:r w:rsidRPr="00566744">
                                <w:rPr>
                                  <w:rFonts w:ascii="Arial" w:hAnsi="Arial" w:cs="Arial"/>
                                  <w:color w:val="000000"/>
                                  <w:sz w:val="16"/>
                                  <w:lang w:val="en-US"/>
                                </w:rPr>
                                <w:t>0.2km</w:t>
                              </w:r>
                            </w:p>
                          </w:txbxContent>
                        </wps:txbx>
                        <wps:bodyPr rot="0" vert="horz" wrap="none" lIns="0" tIns="0" rIns="0" bIns="0" anchor="t" anchorCtr="0" upright="1">
                          <a:spAutoFit/>
                        </wps:bodyPr>
                      </wps:wsp>
                      <wps:wsp>
                        <wps:cNvPr id="963" name="Rectangle 112"/>
                        <wps:cNvSpPr>
                          <a:spLocks noChangeArrowheads="1"/>
                        </wps:cNvSpPr>
                        <wps:spPr bwMode="auto">
                          <a:xfrm>
                            <a:off x="1727244" y="1429352"/>
                            <a:ext cx="220345"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B644DC" w14:textId="77777777" w:rsidR="0041584B" w:rsidRPr="00566744" w:rsidRDefault="0041584B" w:rsidP="0041584B">
                              <w:pPr>
                                <w:rPr>
                                  <w:rFonts w:ascii="Arial" w:hAnsi="Arial" w:cs="Arial"/>
                                  <w:sz w:val="16"/>
                                </w:rPr>
                              </w:pPr>
                              <w:r w:rsidRPr="00566744">
                                <w:rPr>
                                  <w:rFonts w:ascii="Arial" w:hAnsi="Arial" w:cs="Arial"/>
                                  <w:color w:val="000000"/>
                                  <w:sz w:val="16"/>
                                  <w:lang w:val="en-US"/>
                                </w:rPr>
                                <w:t>0.3in</w:t>
                              </w:r>
                            </w:p>
                          </w:txbxContent>
                        </wps:txbx>
                        <wps:bodyPr rot="0" vert="horz" wrap="none" lIns="0" tIns="0" rIns="0" bIns="0" anchor="t" anchorCtr="0" upright="1">
                          <a:spAutoFit/>
                        </wps:bodyPr>
                      </wps:wsp>
                      <wps:wsp>
                        <wps:cNvPr id="964" name="Rectangle 113"/>
                        <wps:cNvSpPr>
                          <a:spLocks noChangeArrowheads="1"/>
                        </wps:cNvSpPr>
                        <wps:spPr bwMode="auto">
                          <a:xfrm>
                            <a:off x="1939949" y="1414152"/>
                            <a:ext cx="56515"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A507A6" w14:textId="77777777" w:rsidR="0041584B" w:rsidRPr="00566744" w:rsidRDefault="0041584B" w:rsidP="0041584B">
                              <w:pPr>
                                <w:rPr>
                                  <w:rFonts w:ascii="Arial" w:hAnsi="Arial" w:cs="Arial"/>
                                  <w:sz w:val="16"/>
                                </w:rPr>
                              </w:pPr>
                              <w:r w:rsidRPr="00566744">
                                <w:rPr>
                                  <w:rFonts w:ascii="Arial" w:hAnsi="Arial" w:cs="Arial"/>
                                  <w:color w:val="000000"/>
                                  <w:sz w:val="16"/>
                                  <w:lang w:val="en-US"/>
                                </w:rPr>
                                <w:t>2</w:t>
                              </w:r>
                            </w:p>
                          </w:txbxContent>
                        </wps:txbx>
                        <wps:bodyPr rot="0" vert="horz" wrap="none" lIns="0" tIns="0" rIns="0" bIns="0" anchor="t" anchorCtr="0" upright="1">
                          <a:spAutoFit/>
                        </wps:bodyPr>
                      </wps:wsp>
                      <wps:wsp>
                        <wps:cNvPr id="965" name="Rectangle 114"/>
                        <wps:cNvSpPr>
                          <a:spLocks noChangeArrowheads="1"/>
                        </wps:cNvSpPr>
                        <wps:spPr bwMode="auto">
                          <a:xfrm>
                            <a:off x="1978050" y="1429352"/>
                            <a:ext cx="158115"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5ED1DF" w14:textId="77777777" w:rsidR="0041584B" w:rsidRPr="00566744" w:rsidRDefault="0041584B" w:rsidP="0041584B">
                              <w:pPr>
                                <w:rPr>
                                  <w:rFonts w:ascii="Arial" w:hAnsi="Arial" w:cs="Arial"/>
                                  <w:sz w:val="16"/>
                                </w:rPr>
                              </w:pPr>
                              <w:r>
                                <w:rPr>
                                  <w:rFonts w:ascii="Arial" w:hAnsi="Arial" w:cs="Arial"/>
                                  <w:color w:val="000000"/>
                                  <w:sz w:val="16"/>
                                  <w:lang w:val="en-US"/>
                                </w:rPr>
                                <w:t xml:space="preserve"> </w:t>
                              </w:r>
                              <w:r w:rsidRPr="00566744">
                                <w:rPr>
                                  <w:rFonts w:ascii="Arial" w:hAnsi="Arial" w:cs="Arial"/>
                                  <w:color w:val="000000"/>
                                  <w:sz w:val="16"/>
                                  <w:lang w:val="en-US"/>
                                </w:rPr>
                                <w:t>Cu</w:t>
                              </w:r>
                            </w:p>
                          </w:txbxContent>
                        </wps:txbx>
                        <wps:bodyPr rot="0" vert="horz" wrap="none" lIns="0" tIns="0" rIns="0" bIns="0" anchor="t" anchorCtr="0" upright="1">
                          <a:spAutoFit/>
                        </wps:bodyPr>
                      </wps:wsp>
                      <wps:wsp>
                        <wps:cNvPr id="966" name="Rectangle 115"/>
                        <wps:cNvSpPr>
                          <a:spLocks noChangeArrowheads="1"/>
                        </wps:cNvSpPr>
                        <wps:spPr bwMode="auto">
                          <a:xfrm>
                            <a:off x="1727244" y="1558198"/>
                            <a:ext cx="180975"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249FCC" w14:textId="77777777" w:rsidR="0041584B" w:rsidRPr="00566744" w:rsidRDefault="0041584B" w:rsidP="0041584B">
                              <w:pPr>
                                <w:rPr>
                                  <w:rFonts w:ascii="Arial" w:hAnsi="Arial" w:cs="Arial"/>
                                  <w:sz w:val="16"/>
                                </w:rPr>
                              </w:pPr>
                              <w:r w:rsidRPr="00566744">
                                <w:rPr>
                                  <w:rFonts w:ascii="Arial" w:hAnsi="Arial" w:cs="Arial"/>
                                  <w:color w:val="000000"/>
                                  <w:sz w:val="16"/>
                                  <w:lang w:val="en-US"/>
                                </w:rPr>
                                <w:t>U/G</w:t>
                              </w:r>
                            </w:p>
                          </w:txbxContent>
                        </wps:txbx>
                        <wps:bodyPr rot="0" vert="horz" wrap="none" lIns="0" tIns="0" rIns="0" bIns="0" anchor="t" anchorCtr="0" upright="1">
                          <a:spAutoFit/>
                        </wps:bodyPr>
                      </wps:wsp>
                      <wps:wsp>
                        <wps:cNvPr id="967" name="Rectangle 116"/>
                        <wps:cNvSpPr>
                          <a:spLocks noChangeArrowheads="1"/>
                        </wps:cNvSpPr>
                        <wps:spPr bwMode="auto">
                          <a:xfrm>
                            <a:off x="1727244" y="1687644"/>
                            <a:ext cx="615950"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BDE04E" w14:textId="77777777" w:rsidR="0041584B" w:rsidRPr="00566744" w:rsidRDefault="0041584B" w:rsidP="0041584B">
                              <w:pPr>
                                <w:rPr>
                                  <w:rFonts w:ascii="Arial" w:hAnsi="Arial" w:cs="Arial"/>
                                  <w:sz w:val="16"/>
                                </w:rPr>
                              </w:pPr>
                              <w:r w:rsidRPr="00566744">
                                <w:rPr>
                                  <w:rFonts w:ascii="Arial" w:hAnsi="Arial" w:cs="Arial"/>
                                  <w:color w:val="000000"/>
                                  <w:sz w:val="16"/>
                                  <w:lang w:val="en-US"/>
                                </w:rPr>
                                <w:t>(rating</w:t>
                              </w:r>
                              <w:r>
                                <w:rPr>
                                  <w:rFonts w:ascii="Arial" w:hAnsi="Arial" w:cs="Arial"/>
                                  <w:color w:val="000000"/>
                                  <w:sz w:val="16"/>
                                  <w:lang w:val="en-US"/>
                                </w:rPr>
                                <w:t xml:space="preserve"> 500 A)</w:t>
                              </w:r>
                              <w:r w:rsidRPr="00566744">
                                <w:rPr>
                                  <w:rFonts w:ascii="Arial" w:hAnsi="Arial" w:cs="Arial"/>
                                  <w:color w:val="000000"/>
                                  <w:sz w:val="16"/>
                                  <w:lang w:val="en-US"/>
                                </w:rPr>
                                <w:t xml:space="preserve"> </w:t>
                              </w:r>
                            </w:p>
                          </w:txbxContent>
                        </wps:txbx>
                        <wps:bodyPr rot="0" vert="horz" wrap="none" lIns="0" tIns="0" rIns="0" bIns="0" anchor="t" anchorCtr="0" upright="1">
                          <a:spAutoFit/>
                        </wps:bodyPr>
                      </wps:wsp>
                      <wps:wsp>
                        <wps:cNvPr id="968" name="Rectangle 117"/>
                        <wps:cNvSpPr>
                          <a:spLocks noChangeArrowheads="1"/>
                        </wps:cNvSpPr>
                        <wps:spPr bwMode="auto">
                          <a:xfrm>
                            <a:off x="2358026" y="580130"/>
                            <a:ext cx="276860"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7017B5" w14:textId="77777777" w:rsidR="0041584B" w:rsidRPr="00566744" w:rsidRDefault="0041584B" w:rsidP="0041584B">
                              <w:pPr>
                                <w:rPr>
                                  <w:rFonts w:ascii="Arial" w:hAnsi="Arial" w:cs="Arial"/>
                                  <w:sz w:val="16"/>
                                </w:rPr>
                              </w:pPr>
                              <w:r w:rsidRPr="00566744">
                                <w:rPr>
                                  <w:rFonts w:ascii="Arial" w:hAnsi="Arial" w:cs="Arial"/>
                                  <w:color w:val="000000"/>
                                  <w:sz w:val="16"/>
                                  <w:lang w:val="en-US"/>
                                </w:rPr>
                                <w:t>1.5km</w:t>
                              </w:r>
                            </w:p>
                          </w:txbxContent>
                        </wps:txbx>
                        <wps:bodyPr rot="0" vert="horz" wrap="none" lIns="0" tIns="0" rIns="0" bIns="0" anchor="t" anchorCtr="0" upright="1">
                          <a:spAutoFit/>
                        </wps:bodyPr>
                      </wps:wsp>
                      <wps:wsp>
                        <wps:cNvPr id="969" name="Rectangle 118"/>
                        <wps:cNvSpPr>
                          <a:spLocks noChangeArrowheads="1"/>
                        </wps:cNvSpPr>
                        <wps:spPr bwMode="auto">
                          <a:xfrm>
                            <a:off x="2358026" y="692687"/>
                            <a:ext cx="276860"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B82D8F" w14:textId="77777777" w:rsidR="0041584B" w:rsidRPr="00566744" w:rsidRDefault="0041584B" w:rsidP="0041584B">
                              <w:pPr>
                                <w:rPr>
                                  <w:rFonts w:ascii="Arial" w:hAnsi="Arial" w:cs="Arial"/>
                                  <w:sz w:val="16"/>
                                </w:rPr>
                              </w:pPr>
                              <w:r w:rsidRPr="00566744">
                                <w:rPr>
                                  <w:rFonts w:ascii="Arial" w:hAnsi="Arial" w:cs="Arial"/>
                                  <w:color w:val="000000"/>
                                  <w:sz w:val="16"/>
                                  <w:lang w:val="en-US"/>
                                </w:rPr>
                                <w:t>0.15in</w:t>
                              </w:r>
                            </w:p>
                          </w:txbxContent>
                        </wps:txbx>
                        <wps:bodyPr rot="0" vert="horz" wrap="none" lIns="0" tIns="0" rIns="0" bIns="0" anchor="t" anchorCtr="0" upright="1">
                          <a:spAutoFit/>
                        </wps:bodyPr>
                      </wps:wsp>
                      <wps:wsp>
                        <wps:cNvPr id="970" name="Rectangle 119"/>
                        <wps:cNvSpPr>
                          <a:spLocks noChangeArrowheads="1"/>
                        </wps:cNvSpPr>
                        <wps:spPr bwMode="auto">
                          <a:xfrm>
                            <a:off x="2634933" y="670317"/>
                            <a:ext cx="56515"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1A5848" w14:textId="77777777" w:rsidR="0041584B" w:rsidRPr="00566744" w:rsidRDefault="0041584B" w:rsidP="0041584B">
                              <w:pPr>
                                <w:rPr>
                                  <w:rFonts w:ascii="Arial" w:hAnsi="Arial" w:cs="Arial"/>
                                  <w:sz w:val="16"/>
                                </w:rPr>
                              </w:pPr>
                              <w:r w:rsidRPr="00566744">
                                <w:rPr>
                                  <w:rFonts w:ascii="Arial" w:hAnsi="Arial" w:cs="Arial"/>
                                  <w:color w:val="000000"/>
                                  <w:sz w:val="16"/>
                                  <w:lang w:val="en-US"/>
                                </w:rPr>
                                <w:t>2</w:t>
                              </w:r>
                            </w:p>
                          </w:txbxContent>
                        </wps:txbx>
                        <wps:bodyPr rot="0" vert="horz" wrap="none" lIns="0" tIns="0" rIns="0" bIns="0" anchor="t" anchorCtr="0" upright="1">
                          <a:spAutoFit/>
                        </wps:bodyPr>
                      </wps:wsp>
                      <wps:wsp>
                        <wps:cNvPr id="971" name="Rectangle 120"/>
                        <wps:cNvSpPr>
                          <a:spLocks noChangeArrowheads="1"/>
                        </wps:cNvSpPr>
                        <wps:spPr bwMode="auto">
                          <a:xfrm>
                            <a:off x="2701534" y="684585"/>
                            <a:ext cx="248920"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097BB5" w14:textId="77777777" w:rsidR="0041584B" w:rsidRPr="00566744" w:rsidRDefault="0041584B" w:rsidP="0041584B">
                              <w:pPr>
                                <w:rPr>
                                  <w:rFonts w:ascii="Arial" w:hAnsi="Arial" w:cs="Arial"/>
                                  <w:sz w:val="16"/>
                                </w:rPr>
                              </w:pPr>
                              <w:r w:rsidRPr="00566744">
                                <w:rPr>
                                  <w:rFonts w:ascii="Arial" w:hAnsi="Arial" w:cs="Arial"/>
                                  <w:color w:val="000000"/>
                                  <w:sz w:val="16"/>
                                  <w:lang w:val="en-US"/>
                                </w:rPr>
                                <w:t xml:space="preserve"> HDC </w:t>
                              </w:r>
                            </w:p>
                          </w:txbxContent>
                        </wps:txbx>
                        <wps:bodyPr rot="0" vert="horz" wrap="none" lIns="0" tIns="0" rIns="0" bIns="0" anchor="t" anchorCtr="0" upright="1">
                          <a:spAutoFit/>
                        </wps:bodyPr>
                      </wps:wsp>
                      <wps:wsp>
                        <wps:cNvPr id="972" name="Rectangle 121"/>
                        <wps:cNvSpPr>
                          <a:spLocks noChangeArrowheads="1"/>
                        </wps:cNvSpPr>
                        <wps:spPr bwMode="auto">
                          <a:xfrm>
                            <a:off x="2352433" y="806750"/>
                            <a:ext cx="796290"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EAF4DE" w14:textId="77777777" w:rsidR="0041584B" w:rsidRPr="00566744" w:rsidRDefault="0041584B" w:rsidP="0041584B">
                              <w:pPr>
                                <w:rPr>
                                  <w:rFonts w:ascii="Arial" w:hAnsi="Arial" w:cs="Arial"/>
                                  <w:sz w:val="16"/>
                                </w:rPr>
                              </w:pPr>
                              <w:r w:rsidRPr="00566744">
                                <w:rPr>
                                  <w:rFonts w:ascii="Arial" w:hAnsi="Arial" w:cs="Arial"/>
                                  <w:color w:val="000000"/>
                                  <w:sz w:val="16"/>
                                  <w:lang w:val="en-US"/>
                                </w:rPr>
                                <w:t>O/H (rating</w:t>
                              </w:r>
                              <w:r>
                                <w:rPr>
                                  <w:rFonts w:ascii="Arial" w:hAnsi="Arial" w:cs="Arial"/>
                                  <w:color w:val="000000"/>
                                  <w:sz w:val="16"/>
                                  <w:lang w:val="en-US"/>
                                </w:rPr>
                                <w:t xml:space="preserve"> 450A)</w:t>
                              </w:r>
                              <w:r w:rsidRPr="00566744">
                                <w:rPr>
                                  <w:rFonts w:ascii="Arial" w:hAnsi="Arial" w:cs="Arial"/>
                                  <w:color w:val="000000"/>
                                  <w:sz w:val="16"/>
                                  <w:lang w:val="en-US"/>
                                </w:rPr>
                                <w:t xml:space="preserve"> </w:t>
                              </w:r>
                            </w:p>
                          </w:txbxContent>
                        </wps:txbx>
                        <wps:bodyPr rot="0" vert="horz" wrap="none" lIns="0" tIns="0" rIns="0" bIns="0" anchor="t" anchorCtr="0" upright="1">
                          <a:spAutoFit/>
                        </wps:bodyPr>
                      </wps:wsp>
                      <wps:wsp>
                        <wps:cNvPr id="973" name="Rectangle 122"/>
                        <wps:cNvSpPr>
                          <a:spLocks noChangeArrowheads="1"/>
                        </wps:cNvSpPr>
                        <wps:spPr bwMode="auto">
                          <a:xfrm>
                            <a:off x="395610" y="1379879"/>
                            <a:ext cx="649605"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2F696E" w14:textId="77777777" w:rsidR="0041584B" w:rsidRPr="00566744" w:rsidRDefault="0041584B" w:rsidP="0041584B">
                              <w:pPr>
                                <w:rPr>
                                  <w:rFonts w:ascii="Arial" w:hAnsi="Arial" w:cs="Arial"/>
                                  <w:sz w:val="16"/>
                                </w:rPr>
                              </w:pPr>
                              <w:r w:rsidRPr="00566744">
                                <w:rPr>
                                  <w:rFonts w:ascii="Arial" w:hAnsi="Arial" w:cs="Arial"/>
                                  <w:color w:val="000000"/>
                                  <w:sz w:val="16"/>
                                  <w:lang w:val="en-US"/>
                                </w:rPr>
                                <w:t>6km</w:t>
                              </w:r>
                            </w:p>
                          </w:txbxContent>
                        </wps:txbx>
                        <wps:bodyPr rot="0" vert="horz" wrap="square" lIns="0" tIns="0" rIns="0" bIns="0" anchor="t" anchorCtr="0" upright="1">
                          <a:spAutoFit/>
                        </wps:bodyPr>
                      </wps:wsp>
                      <wps:wsp>
                        <wps:cNvPr id="974" name="Rectangle 123"/>
                        <wps:cNvSpPr>
                          <a:spLocks noChangeArrowheads="1"/>
                        </wps:cNvSpPr>
                        <wps:spPr bwMode="auto">
                          <a:xfrm>
                            <a:off x="51988" y="1558198"/>
                            <a:ext cx="589280"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6F1459" w14:textId="77777777" w:rsidR="0041584B" w:rsidRPr="00566744" w:rsidRDefault="0041584B" w:rsidP="0041584B">
                              <w:pPr>
                                <w:rPr>
                                  <w:rFonts w:ascii="Arial" w:hAnsi="Arial" w:cs="Arial"/>
                                  <w:sz w:val="16"/>
                                </w:rPr>
                              </w:pPr>
                              <w:r w:rsidRPr="00566744">
                                <w:rPr>
                                  <w:rFonts w:ascii="Arial" w:hAnsi="Arial" w:cs="Arial"/>
                                  <w:color w:val="000000"/>
                                  <w:sz w:val="16"/>
                                  <w:lang w:val="en-US"/>
                                </w:rPr>
                                <w:t xml:space="preserve"> </w:t>
                              </w:r>
                              <w:r>
                                <w:rPr>
                                  <w:rFonts w:ascii="Arial" w:hAnsi="Arial" w:cs="Arial"/>
                                  <w:color w:val="000000"/>
                                  <w:sz w:val="16"/>
                                  <w:lang w:val="en-US"/>
                                </w:rPr>
                                <w:t>0.15 in</w:t>
                              </w:r>
                              <w:r w:rsidRPr="00BE1360">
                                <w:rPr>
                                  <w:rFonts w:ascii="Arial" w:hAnsi="Arial" w:cs="Arial"/>
                                  <w:color w:val="000000"/>
                                  <w:sz w:val="16"/>
                                  <w:vertAlign w:val="superscript"/>
                                  <w:lang w:val="en-US"/>
                                </w:rPr>
                                <w:t>2</w:t>
                              </w:r>
                              <w:r w:rsidRPr="00566744">
                                <w:rPr>
                                  <w:rFonts w:ascii="Arial" w:hAnsi="Arial" w:cs="Arial"/>
                                  <w:color w:val="000000"/>
                                  <w:sz w:val="16"/>
                                  <w:lang w:val="en-US"/>
                                </w:rPr>
                                <w:t>HDC</w:t>
                              </w:r>
                              <w:r>
                                <w:rPr>
                                  <w:rFonts w:ascii="Arial" w:hAnsi="Arial" w:cs="Arial"/>
                                  <w:color w:val="000000"/>
                                  <w:sz w:val="16"/>
                                  <w:lang w:val="en-US"/>
                                </w:rPr>
                                <w:t xml:space="preserve"> </w:t>
                              </w:r>
                              <w:r w:rsidRPr="00566744">
                                <w:rPr>
                                  <w:rFonts w:ascii="Arial" w:hAnsi="Arial" w:cs="Arial"/>
                                  <w:color w:val="000000"/>
                                  <w:sz w:val="16"/>
                                  <w:lang w:val="en-US"/>
                                </w:rPr>
                                <w:t xml:space="preserve"> </w:t>
                              </w:r>
                            </w:p>
                          </w:txbxContent>
                        </wps:txbx>
                        <wps:bodyPr rot="0" vert="horz" wrap="none" lIns="0" tIns="0" rIns="0" bIns="0" anchor="t" anchorCtr="0" upright="1">
                          <a:spAutoFit/>
                        </wps:bodyPr>
                      </wps:wsp>
                      <wps:wsp>
                        <wps:cNvPr id="975" name="Rectangle 124"/>
                        <wps:cNvSpPr>
                          <a:spLocks noChangeArrowheads="1"/>
                        </wps:cNvSpPr>
                        <wps:spPr bwMode="auto">
                          <a:xfrm>
                            <a:off x="59452" y="1735917"/>
                            <a:ext cx="497205"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912D2E" w14:textId="77777777" w:rsidR="0041584B" w:rsidRPr="00566744" w:rsidRDefault="0041584B" w:rsidP="0041584B">
                              <w:pPr>
                                <w:rPr>
                                  <w:rFonts w:ascii="Arial" w:hAnsi="Arial" w:cs="Arial"/>
                                  <w:sz w:val="16"/>
                                </w:rPr>
                              </w:pPr>
                              <w:r w:rsidRPr="00566744">
                                <w:rPr>
                                  <w:rFonts w:ascii="Arial" w:hAnsi="Arial" w:cs="Arial"/>
                                  <w:color w:val="000000"/>
                                  <w:sz w:val="16"/>
                                  <w:lang w:val="en-US"/>
                                </w:rPr>
                                <w:t xml:space="preserve">O/H (rating </w:t>
                              </w:r>
                            </w:p>
                          </w:txbxContent>
                        </wps:txbx>
                        <wps:bodyPr rot="0" vert="horz" wrap="none" lIns="0" tIns="0" rIns="0" bIns="0" anchor="t" anchorCtr="0" upright="1">
                          <a:spAutoFit/>
                        </wps:bodyPr>
                      </wps:wsp>
                      <wps:wsp>
                        <wps:cNvPr id="976" name="Rectangle 125"/>
                        <wps:cNvSpPr>
                          <a:spLocks noChangeArrowheads="1"/>
                        </wps:cNvSpPr>
                        <wps:spPr bwMode="auto">
                          <a:xfrm>
                            <a:off x="561266" y="1735917"/>
                            <a:ext cx="271145"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44BDFC" w14:textId="77777777" w:rsidR="0041584B" w:rsidRPr="00566744" w:rsidRDefault="0041584B" w:rsidP="0041584B">
                              <w:pPr>
                                <w:rPr>
                                  <w:rFonts w:ascii="Arial" w:hAnsi="Arial" w:cs="Arial"/>
                                  <w:sz w:val="16"/>
                                </w:rPr>
                              </w:pPr>
                              <w:r w:rsidRPr="00566744">
                                <w:rPr>
                                  <w:rFonts w:ascii="Arial" w:hAnsi="Arial" w:cs="Arial"/>
                                  <w:color w:val="000000"/>
                                  <w:sz w:val="16"/>
                                  <w:lang w:val="en-US"/>
                                </w:rPr>
                                <w:t>450A)</w:t>
                              </w:r>
                            </w:p>
                          </w:txbxContent>
                        </wps:txbx>
                        <wps:bodyPr rot="0" vert="horz" wrap="none" lIns="0" tIns="0" rIns="0" bIns="0" anchor="t" anchorCtr="0" upright="1">
                          <a:spAutoFit/>
                        </wps:bodyPr>
                      </wps:wsp>
                      <wps:wsp>
                        <wps:cNvPr id="977" name="Rectangle 126"/>
                        <wps:cNvSpPr>
                          <a:spLocks noChangeArrowheads="1"/>
                        </wps:cNvSpPr>
                        <wps:spPr bwMode="auto">
                          <a:xfrm>
                            <a:off x="900866" y="2030382"/>
                            <a:ext cx="276860"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51FA92" w14:textId="77777777" w:rsidR="0041584B" w:rsidRPr="00566744" w:rsidRDefault="0041584B" w:rsidP="0041584B">
                              <w:pPr>
                                <w:rPr>
                                  <w:rFonts w:ascii="Arial" w:hAnsi="Arial" w:cs="Arial"/>
                                  <w:sz w:val="16"/>
                                </w:rPr>
                              </w:pPr>
                              <w:r w:rsidRPr="00566744">
                                <w:rPr>
                                  <w:rFonts w:ascii="Arial" w:hAnsi="Arial" w:cs="Arial"/>
                                  <w:color w:val="000000"/>
                                  <w:sz w:val="16"/>
                                  <w:lang w:val="en-US"/>
                                </w:rPr>
                                <w:t>0.2km</w:t>
                              </w:r>
                            </w:p>
                          </w:txbxContent>
                        </wps:txbx>
                        <wps:bodyPr rot="0" vert="horz" wrap="none" lIns="0" tIns="0" rIns="0" bIns="0" anchor="t" anchorCtr="0" upright="1">
                          <a:spAutoFit/>
                        </wps:bodyPr>
                      </wps:wsp>
                      <wps:wsp>
                        <wps:cNvPr id="978" name="Rectangle 127"/>
                        <wps:cNvSpPr>
                          <a:spLocks noChangeArrowheads="1"/>
                        </wps:cNvSpPr>
                        <wps:spPr bwMode="auto">
                          <a:xfrm>
                            <a:off x="879269" y="2170028"/>
                            <a:ext cx="553720"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FEF775" w14:textId="77777777" w:rsidR="0041584B" w:rsidRPr="00566744" w:rsidRDefault="0041584B" w:rsidP="0041584B">
                              <w:pPr>
                                <w:rPr>
                                  <w:rFonts w:ascii="Arial" w:hAnsi="Arial" w:cs="Arial"/>
                                  <w:sz w:val="16"/>
                                </w:rPr>
                              </w:pPr>
                              <w:r w:rsidRPr="00566744">
                                <w:rPr>
                                  <w:rFonts w:ascii="Arial" w:hAnsi="Arial" w:cs="Arial"/>
                                  <w:color w:val="000000"/>
                                  <w:sz w:val="16"/>
                                  <w:lang w:val="en-US"/>
                                </w:rPr>
                                <w:t>185mm</w:t>
                              </w:r>
                              <w:r>
                                <w:rPr>
                                  <w:rFonts w:ascii="Arial" w:hAnsi="Arial" w:cs="Arial"/>
                                  <w:color w:val="000000"/>
                                  <w:sz w:val="16"/>
                                  <w:lang w:val="en-US"/>
                                </w:rPr>
                                <w:t xml:space="preserve"> </w:t>
                              </w:r>
                              <w:r w:rsidRPr="003E7779">
                                <w:rPr>
                                  <w:rFonts w:ascii="Arial" w:hAnsi="Arial" w:cs="Arial"/>
                                  <w:color w:val="000000"/>
                                  <w:sz w:val="16"/>
                                  <w:vertAlign w:val="superscript"/>
                                  <w:lang w:val="en-US"/>
                                </w:rPr>
                                <w:t>2</w:t>
                              </w:r>
                              <w:r>
                                <w:rPr>
                                  <w:rFonts w:ascii="Arial" w:hAnsi="Arial" w:cs="Arial"/>
                                  <w:color w:val="000000"/>
                                  <w:sz w:val="16"/>
                                  <w:vertAlign w:val="superscript"/>
                                  <w:lang w:val="en-US"/>
                                </w:rPr>
                                <w:t>-</w:t>
                              </w:r>
                              <w:r>
                                <w:rPr>
                                  <w:rFonts w:ascii="Arial" w:hAnsi="Arial" w:cs="Arial"/>
                                  <w:color w:val="000000"/>
                                  <w:sz w:val="16"/>
                                  <w:lang w:val="en-US"/>
                                </w:rPr>
                                <w:t>Cu</w:t>
                              </w:r>
                            </w:p>
                          </w:txbxContent>
                        </wps:txbx>
                        <wps:bodyPr rot="0" vert="horz" wrap="none" lIns="0" tIns="0" rIns="0" bIns="0" anchor="t" anchorCtr="0" upright="1">
                          <a:spAutoFit/>
                        </wps:bodyPr>
                      </wps:wsp>
                      <wps:wsp>
                        <wps:cNvPr id="979" name="Rectangle 128"/>
                        <wps:cNvSpPr>
                          <a:spLocks noChangeArrowheads="1"/>
                        </wps:cNvSpPr>
                        <wps:spPr bwMode="auto">
                          <a:xfrm>
                            <a:off x="911851" y="2329389"/>
                            <a:ext cx="824865" cy="1865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7385AC" w14:textId="77777777" w:rsidR="0041584B" w:rsidRPr="00566744" w:rsidRDefault="0041584B" w:rsidP="0041584B">
                              <w:pPr>
                                <w:rPr>
                                  <w:rFonts w:ascii="Arial" w:hAnsi="Arial" w:cs="Arial"/>
                                  <w:sz w:val="16"/>
                                </w:rPr>
                              </w:pPr>
                              <w:r w:rsidRPr="00566744">
                                <w:rPr>
                                  <w:rFonts w:ascii="Arial" w:hAnsi="Arial" w:cs="Arial"/>
                                  <w:color w:val="000000"/>
                                  <w:sz w:val="16"/>
                                  <w:lang w:val="en-US"/>
                                </w:rPr>
                                <w:t>U/G (rating</w:t>
                              </w:r>
                              <w:r>
                                <w:rPr>
                                  <w:rFonts w:ascii="Arial" w:hAnsi="Arial" w:cs="Arial"/>
                                  <w:color w:val="000000"/>
                                  <w:sz w:val="16"/>
                                  <w:lang w:val="en-US"/>
                                </w:rPr>
                                <w:t xml:space="preserve"> 550 A)</w:t>
                              </w:r>
                              <w:r w:rsidRPr="00566744">
                                <w:rPr>
                                  <w:rFonts w:ascii="Arial" w:hAnsi="Arial" w:cs="Arial"/>
                                  <w:color w:val="000000"/>
                                  <w:sz w:val="16"/>
                                  <w:lang w:val="en-US"/>
                                </w:rPr>
                                <w:t xml:space="preserve"> </w:t>
                              </w:r>
                            </w:p>
                          </w:txbxContent>
                        </wps:txbx>
                        <wps:bodyPr rot="0" vert="horz" wrap="none" lIns="0" tIns="0" rIns="0" bIns="0" anchor="t" anchorCtr="0" upright="1">
                          <a:noAutofit/>
                        </wps:bodyPr>
                      </wps:wsp>
                      <wps:wsp>
                        <wps:cNvPr id="980" name="Freeform 129"/>
                        <wps:cNvSpPr>
                          <a:spLocks noEditPoints="1"/>
                        </wps:cNvSpPr>
                        <wps:spPr bwMode="auto">
                          <a:xfrm>
                            <a:off x="1225866" y="462921"/>
                            <a:ext cx="775420" cy="752513"/>
                          </a:xfrm>
                          <a:custGeom>
                            <a:avLst/>
                            <a:gdLst>
                              <a:gd name="T0" fmla="*/ 773430 w 1628"/>
                              <a:gd name="T1" fmla="*/ 9054 h 1579"/>
                              <a:gd name="T2" fmla="*/ 28099 w 1628"/>
                              <a:gd name="T3" fmla="*/ 732936 h 1579"/>
                              <a:gd name="T4" fmla="*/ 20955 w 1628"/>
                              <a:gd name="T5" fmla="*/ 732460 h 1579"/>
                              <a:gd name="T6" fmla="*/ 20955 w 1628"/>
                              <a:gd name="T7" fmla="*/ 725312 h 1579"/>
                              <a:gd name="T8" fmla="*/ 766286 w 1628"/>
                              <a:gd name="T9" fmla="*/ 1906 h 1579"/>
                              <a:gd name="T10" fmla="*/ 773430 w 1628"/>
                              <a:gd name="T11" fmla="*/ 1906 h 1579"/>
                              <a:gd name="T12" fmla="*/ 773430 w 1628"/>
                              <a:gd name="T13" fmla="*/ 9054 h 1579"/>
                              <a:gd name="T14" fmla="*/ 65246 w 1628"/>
                              <a:gd name="T15" fmla="*/ 731983 h 1579"/>
                              <a:gd name="T16" fmla="*/ 0 w 1628"/>
                              <a:gd name="T17" fmla="*/ 752475 h 1579"/>
                              <a:gd name="T18" fmla="*/ 22860 w 1628"/>
                              <a:gd name="T19" fmla="*/ 688141 h 1579"/>
                              <a:gd name="T20" fmla="*/ 65246 w 1628"/>
                              <a:gd name="T21" fmla="*/ 731983 h 1579"/>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628" h="1579">
                                <a:moveTo>
                                  <a:pt x="1624" y="19"/>
                                </a:moveTo>
                                <a:lnTo>
                                  <a:pt x="59" y="1538"/>
                                </a:lnTo>
                                <a:cubicBezTo>
                                  <a:pt x="55" y="1542"/>
                                  <a:pt x="48" y="1542"/>
                                  <a:pt x="44" y="1537"/>
                                </a:cubicBezTo>
                                <a:cubicBezTo>
                                  <a:pt x="40" y="1533"/>
                                  <a:pt x="40" y="1526"/>
                                  <a:pt x="44" y="1522"/>
                                </a:cubicBezTo>
                                <a:lnTo>
                                  <a:pt x="1609" y="4"/>
                                </a:lnTo>
                                <a:cubicBezTo>
                                  <a:pt x="1613" y="0"/>
                                  <a:pt x="1620" y="0"/>
                                  <a:pt x="1624" y="4"/>
                                </a:cubicBezTo>
                                <a:cubicBezTo>
                                  <a:pt x="1628" y="8"/>
                                  <a:pt x="1628" y="15"/>
                                  <a:pt x="1624" y="19"/>
                                </a:cubicBezTo>
                                <a:close/>
                                <a:moveTo>
                                  <a:pt x="137" y="1536"/>
                                </a:moveTo>
                                <a:lnTo>
                                  <a:pt x="0" y="1579"/>
                                </a:lnTo>
                                <a:lnTo>
                                  <a:pt x="48" y="1444"/>
                                </a:lnTo>
                                <a:lnTo>
                                  <a:pt x="137" y="1536"/>
                                </a:lnTo>
                                <a:close/>
                              </a:path>
                            </a:pathLst>
                          </a:custGeom>
                          <a:solidFill>
                            <a:srgbClr val="000000"/>
                          </a:solidFill>
                          <a:ln w="9525">
                            <a:solidFill>
                              <a:srgbClr val="000000"/>
                            </a:solidFill>
                            <a:bevel/>
                            <a:headEnd/>
                            <a:tailEnd/>
                          </a:ln>
                        </wps:spPr>
                        <wps:bodyPr rot="0" vert="horz" wrap="square" lIns="91440" tIns="45720" rIns="91440" bIns="45720" anchor="t" anchorCtr="0" upright="1">
                          <a:noAutofit/>
                        </wps:bodyPr>
                      </wps:wsp>
                      <wps:wsp>
                        <wps:cNvPr id="981" name="Freeform 130"/>
                        <wps:cNvSpPr>
                          <a:spLocks noEditPoints="1"/>
                        </wps:cNvSpPr>
                        <wps:spPr bwMode="auto">
                          <a:xfrm>
                            <a:off x="1848447" y="632411"/>
                            <a:ext cx="487712" cy="565209"/>
                          </a:xfrm>
                          <a:custGeom>
                            <a:avLst/>
                            <a:gdLst>
                              <a:gd name="T0" fmla="*/ 486482 w 1628"/>
                              <a:gd name="T1" fmla="*/ 6800 h 1579"/>
                              <a:gd name="T2" fmla="*/ 17674 w 1628"/>
                              <a:gd name="T3" fmla="*/ 550475 h 1579"/>
                              <a:gd name="T4" fmla="*/ 13181 w 1628"/>
                              <a:gd name="T5" fmla="*/ 550118 h 1579"/>
                              <a:gd name="T6" fmla="*/ 13181 w 1628"/>
                              <a:gd name="T7" fmla="*/ 544749 h 1579"/>
                              <a:gd name="T8" fmla="*/ 481988 w 1628"/>
                              <a:gd name="T9" fmla="*/ 1432 h 1579"/>
                              <a:gd name="T10" fmla="*/ 486482 w 1628"/>
                              <a:gd name="T11" fmla="*/ 1432 h 1579"/>
                              <a:gd name="T12" fmla="*/ 486482 w 1628"/>
                              <a:gd name="T13" fmla="*/ 6800 h 1579"/>
                              <a:gd name="T14" fmla="*/ 41039 w 1628"/>
                              <a:gd name="T15" fmla="*/ 549760 h 1579"/>
                              <a:gd name="T16" fmla="*/ 0 w 1628"/>
                              <a:gd name="T17" fmla="*/ 565150 h 1579"/>
                              <a:gd name="T18" fmla="*/ 14379 w 1628"/>
                              <a:gd name="T19" fmla="*/ 516831 h 1579"/>
                              <a:gd name="T20" fmla="*/ 41039 w 1628"/>
                              <a:gd name="T21" fmla="*/ 549760 h 1579"/>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628" h="1579">
                                <a:moveTo>
                                  <a:pt x="1624" y="19"/>
                                </a:moveTo>
                                <a:lnTo>
                                  <a:pt x="59" y="1538"/>
                                </a:lnTo>
                                <a:cubicBezTo>
                                  <a:pt x="55" y="1542"/>
                                  <a:pt x="48" y="1542"/>
                                  <a:pt x="44" y="1537"/>
                                </a:cubicBezTo>
                                <a:cubicBezTo>
                                  <a:pt x="40" y="1533"/>
                                  <a:pt x="40" y="1526"/>
                                  <a:pt x="44" y="1522"/>
                                </a:cubicBezTo>
                                <a:lnTo>
                                  <a:pt x="1609" y="4"/>
                                </a:lnTo>
                                <a:cubicBezTo>
                                  <a:pt x="1613" y="0"/>
                                  <a:pt x="1620" y="0"/>
                                  <a:pt x="1624" y="4"/>
                                </a:cubicBezTo>
                                <a:cubicBezTo>
                                  <a:pt x="1628" y="8"/>
                                  <a:pt x="1628" y="15"/>
                                  <a:pt x="1624" y="19"/>
                                </a:cubicBezTo>
                                <a:close/>
                                <a:moveTo>
                                  <a:pt x="137" y="1536"/>
                                </a:moveTo>
                                <a:lnTo>
                                  <a:pt x="0" y="1579"/>
                                </a:lnTo>
                                <a:lnTo>
                                  <a:pt x="48" y="1444"/>
                                </a:lnTo>
                                <a:lnTo>
                                  <a:pt x="137" y="1536"/>
                                </a:lnTo>
                                <a:close/>
                              </a:path>
                            </a:pathLst>
                          </a:custGeom>
                          <a:solidFill>
                            <a:srgbClr val="000000"/>
                          </a:solidFill>
                          <a:ln w="9525">
                            <a:solidFill>
                              <a:srgbClr val="000000"/>
                            </a:solidFill>
                            <a:bevel/>
                            <a:headEnd/>
                            <a:tailEnd/>
                          </a:ln>
                        </wps:spPr>
                        <wps:bodyPr rot="0" vert="horz" wrap="square" lIns="91440" tIns="45720" rIns="91440" bIns="45720" anchor="t" anchorCtr="0" upright="1">
                          <a:noAutofit/>
                        </wps:bodyPr>
                      </wps:wsp>
                    </wpc:wpc>
                  </a:graphicData>
                </a:graphic>
                <wp14:sizeRelH relativeFrom="margin">
                  <wp14:pctWidth>0</wp14:pctWidth>
                </wp14:sizeRelH>
                <wp14:sizeRelV relativeFrom="margin">
                  <wp14:pctHeight>0</wp14:pctHeight>
                </wp14:sizeRelV>
              </wp:anchor>
            </w:drawing>
          </mc:Choice>
          <mc:Fallback>
            <w:pict>
              <v:group w14:anchorId="09D7AE51" id="Canvas 72" o:spid="_x0000_s1026" editas="canvas" style="position:absolute;left:0;text-align:left;margin-left:14.4pt;margin-top:96pt;width:263.55pt;height:260.6pt;z-index:251659264;mso-position-vertical-relative:page;mso-width-relative:margin;mso-height-relative:margin" coordsize="33470,33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">
                <v:shape id="_x0000_s1027" type="#_x0000_t75" style="position:absolute;width:33470;height:33096;visibility:visible;mso-wrap-style:square" stroked="t">
                  <v:fill o:detectmouseclick="t"/>
                  <v:path o:connecttype="none"/>
                </v:shape>
                <v:shape id="Freeform 74" o:spid="_x0000_s1028" style="position:absolute;left:8562;top:20313;width:76;height:5487;visibility:visible;mso-wrap-style:square;v-text-anchor:top" coordsize="16,1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" path="m16,8r,48c16,61,13,64,8,64,4,64,,61,,56l,8c,4,4,,8,v5,,8,4,8,8xm16,120r,48c16,173,13,176,8,176,4,176,,173,,168l,120v,-4,4,-8,8,-8c13,112,16,116,16,120xm16,232r,48c16,285,13,288,8,288,4,288,,285,,280l,232v,-4,4,-8,8,-8c13,224,16,228,16,232xm16,344r,48c16,397,13,400,8,400,4,400,,397,,392l,344v,-4,4,-8,8,-8c13,336,16,340,16,344xm16,456r,48c16,509,13,512,8,512,4,512,,509,,504l,456v,-4,4,-8,8,-8c13,448,16,452,16,456xm16,568r,48c16,621,13,624,8,624,4,624,,621,,616l,568v,-4,4,-8,8,-8c13,560,16,564,16,568xm16,680r,48c16,733,13,736,8,736,4,736,,733,,728l,680v,-4,4,-8,8,-8c13,672,16,676,16,680xm16,792r,48c16,845,13,848,8,848,4,848,,845,,840l,792v,-4,4,-8,8,-8c13,784,16,788,16,792xm16,904r,48c16,957,13,960,8,960,4,960,,957,,952l,904v,-4,4,-8,8,-8c13,896,16,900,16,904xm16,1016r,48c16,1069,13,1072,8,1072v-4,,-8,-3,-8,-8l,1016v,-4,4,-8,8,-8c13,1008,16,1012,16,1016xm16,1128r,16c16,1149,13,1152,8,1152v-4,,-8,-3,-8,-8l,1128v,-4,4,-8,8,-8c13,1120,16,1124,16,1128xe" fillcolor="black">
                  <v:stroke joinstyle="bevel"/>
                  <v:path arrowok="t" o:connecttype="custom" o:connectlocs="3619500,12703185;0,12703185;1809750,0;3619500,27221111;1809750,39924295;0,27221111;3619500,27221111;3619500,63515925;0,63515925;1809750,50812740;3619500,78033850;1809750,90737035;0,78033850;3619500,78033850;3619500,114328664;0,114328664;1809750,101625479;3619500,128846590;1809750,141549775;0,128846590;3619500,128846590;3619500,165141404;0,165141404;1809750,152438219;3619500,179659330;1809750,192362515;0,179659330;3619500,179659330;3619500,215954144;0,215954144;1809750,203250959;3619500,230472069;1809750,243175254;0,230472069;3619500,230472069;3619500,259507921;0,259507921;1809750,254063698" o:connectangles="0,0,0,0,0,0,0,0,0,0,0,0,0,0,0,0,0,0,0,0,0,0,0,0,0,0,0,0,0,0,0,0,0,0,0,0,0,0"/>
                  <o:lock v:ext="edit" verticies="t"/>
                </v:shape>
                <v:group id="Group 75" o:spid="_x0000_s1029" style="position:absolute;left:8182;top:19727;width:610;height:610" coordorigin="1223,3773" coordsize="120,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">
                  <v:oval id="Oval 76" o:spid="_x0000_s1030" style="position:absolute;left:1223;top:3773;width:120;height:1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" fillcolor="black" strokeweight="0"/>
                  <v:oval id="Oval 77" o:spid="_x0000_s1031" style="position:absolute;left:1223;top:3773;width:120;height:1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" filled="f">
                    <v:stroke endcap="round"/>
                  </v:oval>
                </v:group>
                <v:line id="Line 78" o:spid="_x0000_s1032" style="position:absolute;flip:y;visibility:visible;mso-wrap-style:square" from="8508,4508" to="8584,199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">
                  <v:stroke endcap="round"/>
                </v:line>
                <v:group id="Group 79" o:spid="_x0000_s1033" style="position:absolute;left:11042;top:12128;width:610;height:610" coordorigin="1238,2258" coordsize="120,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">
                  <v:oval id="Oval 80" o:spid="_x0000_s1034" style="position:absolute;left:1238;top:2258;width:120;height:1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" fillcolor="black" strokeweight="0"/>
                  <v:oval id="Oval 81" o:spid="_x0000_s1035" style="position:absolute;left:1238;top:2258;width:120;height:1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" filled="f">
                    <v:stroke endcap="round"/>
                  </v:oval>
                </v:group>
                <v:line id="Line 82" o:spid="_x0000_s1036" style="position:absolute;visibility:visible;mso-wrap-style:square" from="8470,12471" to="14102,124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">
                  <v:stroke endcap="round"/>
                </v:line>
                <v:group id="Group 83" o:spid="_x0000_s1037" style="position:absolute;left:16929;top:12128;width:609;height:610" coordorigin="2303,2258" coordsize="120,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">
                  <v:oval id="Oval 84" o:spid="_x0000_s1038" style="position:absolute;left:2303;top:2258;width:120;height:1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" fillcolor="black" strokeweight="0"/>
                  <v:oval id="Oval 85" o:spid="_x0000_s1039" style="position:absolute;left:2303;top:2258;width:120;height:1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" filled="f">
                    <v:stroke endcap="round"/>
                  </v:oval>
                </v:group>
                <v:shape id="Freeform 86" o:spid="_x0000_s1040" style="position:absolute;left:13669;top:12411;width:3505;height:76;visibility:visible;mso-wrap-style:square;v-text-anchor:top" coordsize="736,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" path="m8,l56,v5,,8,4,8,8c64,13,61,16,56,16l8,16c4,16,,13,,8,,4,4,,8,xm120,r48,c173,,176,4,176,8v,5,-3,8,-8,8l120,16v-4,,-8,-3,-8,-8c112,4,116,,120,xm232,r48,c285,,288,4,288,8v,5,-3,8,-8,8l232,16v-4,,-8,-3,-8,-8c224,4,228,,232,xm344,r48,c397,,400,4,400,8v,5,-3,8,-8,8l344,16v-4,,-8,-3,-8,-8c336,4,340,,344,xm456,r48,c509,,512,4,512,8v,5,-3,8,-8,8l456,16v-4,,-8,-3,-8,-8c448,4,452,,456,xm568,r48,c621,,624,4,624,8v,5,-3,8,-8,8l568,16v-4,,-8,-3,-8,-8c560,4,564,,568,xm680,r48,c733,,736,4,736,8v,5,-3,8,-8,8l680,16v-4,,-8,-3,-8,-8c672,4,676,,680,xe" fillcolor="black">
                  <v:stroke joinstyle="bevel"/>
                  <v:path arrowok="t" o:connecttype="custom" o:connectlocs="1814456,0;12701189,0;14515644,1809750;12701189,3619500;1814456,3619500;0,1809750;1814456,0;27216833,0;38103567,0;39918022,1809750;38103567,3619500;27216833,3619500;25402378,1809750;27216833,0;52619211,0;63505944,0;65320400,1809750;63505944,3619500;52619211,3619500;50804756,1809750;52619211,0;78021589,0;88908322,0;90722778,1809750;88908322,3619500;78021589,3619500;76207133,1809750;78021589,0;103423967,0;114310700,0;116125156,1809750;114310700,3619500;103423967,3619500;101609511,1809750;103423967,0;128826345,0;139713078,0;141527533,1809750;139713078,3619500;128826345,3619500;127011889,1809750;128826345,0;154228722,0;165115456,0;166929911,1809750;165115456,3619500;154228722,3619500;152414267,1809750;154228722,0" o:connectangles="0,0,0,0,0,0,0,0,0,0,0,0,0,0,0,0,0,0,0,0,0,0,0,0,0,0,0,0,0,0,0,0,0,0,0,0,0,0,0,0,0,0,0,0,0,0,0,0,0"/>
                  <o:lock v:ext="edit" verticies="t"/>
                </v:shape>
                <v:group id="Group 87" o:spid="_x0000_s1041" style="position:absolute;left:19976;top:12128;width:610;height:610" coordorigin="3008,2258" coordsize="120,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">
                  <v:oval id="Oval 88" o:spid="_x0000_s1042" style="position:absolute;left:3008;top:2258;width:120;height:1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" fillcolor="black" strokeweight="0"/>
                  <v:oval id="Oval 89" o:spid="_x0000_s1043" style="position:absolute;left:3008;top:2258;width:120;height:1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" filled="f">
                    <v:stroke endcap="round"/>
                  </v:oval>
                </v:group>
                <v:line id="Line 90" o:spid="_x0000_s1044" style="position:absolute;visibility:visible;mso-wrap-style:square" from="17476,12433" to="20143,124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">
                  <v:stroke endcap="round"/>
                </v:line>
                <v:group id="Group 91" o:spid="_x0000_s1045" style="position:absolute;left:7213;top:25768;width:2590;height:3803" coordorigin="1028,4943" coordsize="510,7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">
                  <v:oval id="Oval 92" o:spid="_x0000_s1046" style="position:absolute;left:1028;top:4943;width:510;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" filled="f">
                    <v:stroke endcap="round"/>
                  </v:oval>
                  <v:oval id="Oval 93" o:spid="_x0000_s1047" style="position:absolute;left:1028;top:5183;width:510;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" filled="f">
                    <v:stroke endcap="round"/>
                  </v:oval>
                </v:group>
                <v:group id="Group 94" o:spid="_x0000_s1048" style="position:absolute;left:20677;top:11081;width:3810;height:2591" coordorigin="3638,2078" coordsize="750,5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">
                  <v:oval id="Oval 95" o:spid="_x0000_s1049" style="position:absolute;left:3878;top:2078;width:510;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" filled="f">
                    <v:stroke endcap="round"/>
                  </v:oval>
                  <v:oval id="Oval 96" o:spid="_x0000_s1050" style="position:absolute;left:3638;top:2078;width:510;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" filled="f">
                    <v:stroke endcap="round"/>
                  </v:oval>
                </v:group>
                <v:group id="Group 97" o:spid="_x0000_s1051" style="position:absolute;left:7898;top:2984;width:1524;height:1524" coordorigin="1163,458" coordsize="300,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">
                  <v:line id="Line 98" o:spid="_x0000_s1052" style="position:absolute;flip:y;visibility:visible;mso-wrap-style:square" from="1163,458" to="1463,7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">
                    <v:stroke endcap="round"/>
                  </v:line>
                  <v:line id="Line 99" o:spid="_x0000_s1053" style="position:absolute;visibility:visible;mso-wrap-style:square" from="1163,458" to="1463,7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">
                    <v:stroke endcap="round"/>
                  </v:line>
                </v:group>
                <v:line id="Line 100" o:spid="_x0000_s1054" style="position:absolute;flip:y;visibility:visible;mso-wrap-style:square" from="8680,2222" to="8680,29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">
                  <v:stroke endcap="round"/>
                </v:line>
                <v:line id="Line 101" o:spid="_x0000_s1055" style="position:absolute;visibility:visible;mso-wrap-style:square" from="5689,1993" to="13613,19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">
                  <v:stroke endcap="round"/>
                </v:line>
                <v:rect id="Rectangle 102" o:spid="_x0000_s1056" style="position:absolute;width:5765;height:3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" filled="f" stroked="f">
                  <v:textbox style="mso-fit-shape-to-text:t" inset="0,0,0,0">
                    <w:txbxContent>
                      <w:p w14:paraId="3A04E4EC" w14:textId="77777777" w:rsidR="0041584B" w:rsidRPr="00566744" w:rsidRDefault="0041584B" w:rsidP="0041584B">
                        <w:pPr>
                          <w:rPr>
                            <w:rFonts w:ascii="Arial" w:hAnsi="Arial" w:cs="Arial"/>
                            <w:sz w:val="16"/>
                          </w:rPr>
                        </w:pPr>
                        <w:r w:rsidRPr="00566744">
                          <w:rPr>
                            <w:rFonts w:ascii="Arial" w:hAnsi="Arial" w:cs="Arial"/>
                            <w:color w:val="000000"/>
                            <w:sz w:val="16"/>
                            <w:lang w:val="en-US"/>
                          </w:rPr>
                          <w:t xml:space="preserve">Substation </w:t>
                        </w:r>
                        <w:r>
                          <w:rPr>
                            <w:rFonts w:ascii="Arial" w:hAnsi="Arial" w:cs="Arial"/>
                            <w:color w:val="000000"/>
                            <w:sz w:val="16"/>
                            <w:lang w:val="en-US"/>
                          </w:rPr>
                          <w:t>A</w:t>
                        </w:r>
                      </w:p>
                    </w:txbxContent>
                  </v:textbox>
                </v:rect>
                <v:rect id="Rectangle 103" o:spid="_x0000_s1057" style="position:absolute;left:9685;top:29559;width:5823;height:3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" filled="f" stroked="f">
                  <v:textbox style="mso-fit-shape-to-text:t" inset="0,0,0,0">
                    <w:txbxContent>
                      <w:p w14:paraId="66E55BA3" w14:textId="77777777" w:rsidR="0041584B" w:rsidRPr="00566744" w:rsidRDefault="0041584B" w:rsidP="0041584B">
                        <w:pPr>
                          <w:rPr>
                            <w:rFonts w:ascii="Arial" w:hAnsi="Arial" w:cs="Arial"/>
                            <w:sz w:val="16"/>
                          </w:rPr>
                        </w:pPr>
                        <w:r w:rsidRPr="00566744">
                          <w:rPr>
                            <w:rFonts w:ascii="Arial" w:hAnsi="Arial" w:cs="Arial"/>
                            <w:color w:val="000000"/>
                            <w:sz w:val="16"/>
                            <w:lang w:val="en-US"/>
                          </w:rPr>
                          <w:t>Substation C</w:t>
                        </w:r>
                      </w:p>
                    </w:txbxContent>
                  </v:textbox>
                </v:rect>
                <v:rect id="Rectangle 104" o:spid="_x0000_s1058" style="position:absolute;left:1175;top:5687;width:5943;height:327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" filled="f" stroked="f">
                  <v:textbox style="mso-fit-shape-to-text:t" inset="0,0,0,0">
                    <w:txbxContent>
                      <w:p w14:paraId="067225B7" w14:textId="77777777" w:rsidR="0041584B" w:rsidRPr="00566744" w:rsidRDefault="0041584B" w:rsidP="0041584B">
                        <w:pPr>
                          <w:rPr>
                            <w:rFonts w:ascii="Arial" w:hAnsi="Arial" w:cs="Arial"/>
                            <w:sz w:val="16"/>
                          </w:rPr>
                        </w:pPr>
                        <w:r w:rsidRPr="00566744">
                          <w:rPr>
                            <w:rFonts w:ascii="Arial" w:hAnsi="Arial" w:cs="Arial"/>
                            <w:color w:val="000000"/>
                            <w:sz w:val="16"/>
                            <w:lang w:val="en-US"/>
                          </w:rPr>
                          <w:t>5km 150mm</w:t>
                        </w:r>
                        <w:r w:rsidRPr="00554903">
                          <w:rPr>
                            <w:rFonts w:ascii="Arial" w:hAnsi="Arial" w:cs="Arial"/>
                            <w:color w:val="000000"/>
                            <w:sz w:val="16"/>
                            <w:vertAlign w:val="superscript"/>
                            <w:lang w:val="en-US"/>
                          </w:rPr>
                          <w:t>2</w:t>
                        </w:r>
                      </w:p>
                    </w:txbxContent>
                  </v:textbox>
                </v:rect>
                <v:rect id="Rectangle 105" o:spid="_x0000_s1059" style="position:absolute;left:1556;top:6981;width:4292;height:327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" filled="f" stroked="f">
                  <v:textbox style="mso-fit-shape-to-text:t" inset="0,0,0,0">
                    <w:txbxContent>
                      <w:p w14:paraId="5C99C0D2" w14:textId="77777777" w:rsidR="0041584B" w:rsidRPr="00566744" w:rsidRDefault="0041584B" w:rsidP="0041584B">
                        <w:pPr>
                          <w:rPr>
                            <w:rFonts w:ascii="Arial" w:hAnsi="Arial" w:cs="Arial"/>
                            <w:sz w:val="16"/>
                          </w:rPr>
                        </w:pPr>
                        <w:r w:rsidRPr="00566744">
                          <w:rPr>
                            <w:rFonts w:ascii="Arial" w:hAnsi="Arial" w:cs="Arial"/>
                            <w:color w:val="000000"/>
                            <w:sz w:val="16"/>
                            <w:lang w:val="en-US"/>
                          </w:rPr>
                          <w:t>HDC O/H</w:t>
                        </w:r>
                      </w:p>
                    </w:txbxContent>
                  </v:textbox>
                </v:rect>
                <v:rect id="Rectangle 106" o:spid="_x0000_s1060" style="position:absolute;left:603;top:8276;width:5873;height:3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" filled="f" stroked="f">
                  <v:textbox style="mso-fit-shape-to-text:t" inset="0,0,0,0">
                    <w:txbxContent>
                      <w:p w14:paraId="0A27BB9D" w14:textId="77777777" w:rsidR="0041584B" w:rsidRPr="00566744" w:rsidRDefault="0041584B" w:rsidP="0041584B">
                        <w:pPr>
                          <w:rPr>
                            <w:rFonts w:ascii="Arial" w:hAnsi="Arial" w:cs="Arial"/>
                            <w:sz w:val="16"/>
                          </w:rPr>
                        </w:pPr>
                        <w:r w:rsidRPr="00566744">
                          <w:rPr>
                            <w:rFonts w:ascii="Arial" w:hAnsi="Arial" w:cs="Arial"/>
                            <w:color w:val="000000"/>
                            <w:sz w:val="16"/>
                            <w:lang w:val="en-US"/>
                          </w:rPr>
                          <w:t>(rating 600A)</w:t>
                        </w:r>
                      </w:p>
                    </w:txbxContent>
                  </v:textbox>
                </v:rect>
                <v:rect id="Rectangle 107" o:spid="_x0000_s1061" style="position:absolute;left:17881;top:659;width:2769;height:327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" filled="f" stroked="f">
                  <v:textbox style="mso-fit-shape-to-text:t" inset="0,0,0,0">
                    <w:txbxContent>
                      <w:p w14:paraId="2D8A9CB7" w14:textId="77777777" w:rsidR="0041584B" w:rsidRPr="00566744" w:rsidRDefault="0041584B" w:rsidP="0041584B">
                        <w:pPr>
                          <w:rPr>
                            <w:rFonts w:ascii="Arial" w:hAnsi="Arial" w:cs="Arial"/>
                            <w:sz w:val="16"/>
                          </w:rPr>
                        </w:pPr>
                        <w:r w:rsidRPr="00566744">
                          <w:rPr>
                            <w:rFonts w:ascii="Arial" w:hAnsi="Arial" w:cs="Arial"/>
                            <w:color w:val="000000"/>
                            <w:sz w:val="16"/>
                            <w:lang w:val="en-US"/>
                          </w:rPr>
                          <w:t>0.4km</w:t>
                        </w:r>
                      </w:p>
                    </w:txbxContent>
                  </v:textbox>
                </v:rect>
                <v:rect id="Rectangle 108" o:spid="_x0000_s1062" style="position:absolute;left:17881;top:1815;width:6509;height:3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" filled="f" stroked="f">
                  <v:textbox style="mso-fit-shape-to-text:t" inset="0,0,0,0">
                    <w:txbxContent>
                      <w:p w14:paraId="6EBD1E58" w14:textId="77777777" w:rsidR="0041584B" w:rsidRPr="00566744" w:rsidRDefault="0041584B" w:rsidP="0041584B">
                        <w:pPr>
                          <w:rPr>
                            <w:rFonts w:ascii="Arial" w:hAnsi="Arial" w:cs="Arial"/>
                            <w:sz w:val="16"/>
                          </w:rPr>
                        </w:pPr>
                        <w:r>
                          <w:rPr>
                            <w:rFonts w:ascii="Arial" w:hAnsi="Arial" w:cs="Arial"/>
                            <w:color w:val="000000"/>
                            <w:sz w:val="16"/>
                            <w:lang w:val="en-US"/>
                          </w:rPr>
                          <w:t>100 mm</w:t>
                        </w:r>
                        <w:r w:rsidRPr="00E76C29">
                          <w:rPr>
                            <w:rFonts w:ascii="Arial" w:hAnsi="Arial" w:cs="Arial"/>
                            <w:color w:val="000000"/>
                            <w:sz w:val="16"/>
                            <w:vertAlign w:val="superscript"/>
                            <w:lang w:val="en-US"/>
                          </w:rPr>
                          <w:t>2</w:t>
                        </w:r>
                        <w:r w:rsidRPr="00566744">
                          <w:rPr>
                            <w:rFonts w:ascii="Arial" w:hAnsi="Arial" w:cs="Arial"/>
                            <w:color w:val="000000"/>
                            <w:sz w:val="16"/>
                            <w:lang w:val="en-US"/>
                          </w:rPr>
                          <w:t xml:space="preserve"> </w:t>
                        </w:r>
                        <w:r>
                          <w:rPr>
                            <w:rFonts w:ascii="Arial" w:hAnsi="Arial" w:cs="Arial"/>
                            <w:color w:val="000000"/>
                            <w:sz w:val="16"/>
                            <w:lang w:val="en-US"/>
                          </w:rPr>
                          <w:t>HDC</w:t>
                        </w:r>
                      </w:p>
                    </w:txbxContent>
                  </v:textbox>
                </v:rect>
                <v:rect id="Rectangle 109" o:spid="_x0000_s1063" style="position:absolute;left:17894;top:3100;width:1810;height:327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" filled="f" stroked="f">
                  <v:textbox style="mso-fit-shape-to-text:t" inset="0,0,0,0">
                    <w:txbxContent>
                      <w:p w14:paraId="4ACF425B" w14:textId="77777777" w:rsidR="0041584B" w:rsidRPr="00566744" w:rsidRDefault="0041584B" w:rsidP="0041584B">
                        <w:pPr>
                          <w:rPr>
                            <w:rFonts w:ascii="Arial" w:hAnsi="Arial" w:cs="Arial"/>
                            <w:sz w:val="16"/>
                          </w:rPr>
                        </w:pPr>
                        <w:r w:rsidRPr="00566744">
                          <w:rPr>
                            <w:rFonts w:ascii="Arial" w:hAnsi="Arial" w:cs="Arial"/>
                            <w:color w:val="000000"/>
                            <w:sz w:val="16"/>
                            <w:lang w:val="en-US"/>
                          </w:rPr>
                          <w:t>O/H</w:t>
                        </w:r>
                      </w:p>
                    </w:txbxContent>
                  </v:textbox>
                </v:rect>
                <v:rect id="Rectangle 110" o:spid="_x0000_s1064" style="position:absolute;left:19755;top:3100;width:5874;height:327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" filled="f" stroked="f">
                  <v:textbox style="mso-fit-shape-to-text:t" inset="0,0,0,0">
                    <w:txbxContent>
                      <w:p w14:paraId="5E46E2C5" w14:textId="77777777" w:rsidR="0041584B" w:rsidRPr="00566744" w:rsidRDefault="0041584B" w:rsidP="0041584B">
                        <w:pPr>
                          <w:rPr>
                            <w:rFonts w:ascii="Arial" w:hAnsi="Arial" w:cs="Arial"/>
                            <w:sz w:val="16"/>
                          </w:rPr>
                        </w:pPr>
                        <w:r w:rsidRPr="00566744">
                          <w:rPr>
                            <w:rFonts w:ascii="Arial" w:hAnsi="Arial" w:cs="Arial"/>
                            <w:color w:val="000000"/>
                            <w:sz w:val="16"/>
                            <w:lang w:val="en-US"/>
                          </w:rPr>
                          <w:t>(rating 475A</w:t>
                        </w:r>
                        <w:r>
                          <w:rPr>
                            <w:rFonts w:ascii="Arial" w:hAnsi="Arial" w:cs="Arial"/>
                            <w:color w:val="000000"/>
                            <w:sz w:val="16"/>
                            <w:lang w:val="en-US"/>
                          </w:rPr>
                          <w:t xml:space="preserve">) </w:t>
                        </w:r>
                      </w:p>
                    </w:txbxContent>
                  </v:textbox>
                </v:rect>
                <v:rect id="Rectangle 111" o:spid="_x0000_s1065" style="position:absolute;left:17272;top:12846;width:2769;height:3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" filled="f" stroked="f">
                  <v:textbox style="mso-fit-shape-to-text:t" inset="0,0,0,0">
                    <w:txbxContent>
                      <w:p w14:paraId="411B82E7" w14:textId="77777777" w:rsidR="0041584B" w:rsidRPr="00566744" w:rsidRDefault="0041584B" w:rsidP="0041584B">
                        <w:pPr>
                          <w:rPr>
                            <w:rFonts w:ascii="Arial" w:hAnsi="Arial" w:cs="Arial"/>
                            <w:sz w:val="16"/>
                          </w:rPr>
                        </w:pPr>
                        <w:r w:rsidRPr="00566744">
                          <w:rPr>
                            <w:rFonts w:ascii="Arial" w:hAnsi="Arial" w:cs="Arial"/>
                            <w:color w:val="000000"/>
                            <w:sz w:val="16"/>
                            <w:lang w:val="en-US"/>
                          </w:rPr>
                          <w:t>0.2km</w:t>
                        </w:r>
                      </w:p>
                    </w:txbxContent>
                  </v:textbox>
                </v:rect>
                <v:rect id="Rectangle 112" o:spid="_x0000_s1066" style="position:absolute;left:17272;top:14293;width:2203;height:327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" filled="f" stroked="f">
                  <v:textbox style="mso-fit-shape-to-text:t" inset="0,0,0,0">
                    <w:txbxContent>
                      <w:p w14:paraId="73B644DC" w14:textId="77777777" w:rsidR="0041584B" w:rsidRPr="00566744" w:rsidRDefault="0041584B" w:rsidP="0041584B">
                        <w:pPr>
                          <w:rPr>
                            <w:rFonts w:ascii="Arial" w:hAnsi="Arial" w:cs="Arial"/>
                            <w:sz w:val="16"/>
                          </w:rPr>
                        </w:pPr>
                        <w:r w:rsidRPr="00566744">
                          <w:rPr>
                            <w:rFonts w:ascii="Arial" w:hAnsi="Arial" w:cs="Arial"/>
                            <w:color w:val="000000"/>
                            <w:sz w:val="16"/>
                            <w:lang w:val="en-US"/>
                          </w:rPr>
                          <w:t>0.3in</w:t>
                        </w:r>
                      </w:p>
                    </w:txbxContent>
                  </v:textbox>
                </v:rect>
                <v:rect id="Rectangle 113" o:spid="_x0000_s1067" style="position:absolute;left:19399;top:14141;width:565;height:327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" filled="f" stroked="f">
                  <v:textbox style="mso-fit-shape-to-text:t" inset="0,0,0,0">
                    <w:txbxContent>
                      <w:p w14:paraId="72A507A6" w14:textId="77777777" w:rsidR="0041584B" w:rsidRPr="00566744" w:rsidRDefault="0041584B" w:rsidP="0041584B">
                        <w:pPr>
                          <w:rPr>
                            <w:rFonts w:ascii="Arial" w:hAnsi="Arial" w:cs="Arial"/>
                            <w:sz w:val="16"/>
                          </w:rPr>
                        </w:pPr>
                        <w:r w:rsidRPr="00566744">
                          <w:rPr>
                            <w:rFonts w:ascii="Arial" w:hAnsi="Arial" w:cs="Arial"/>
                            <w:color w:val="000000"/>
                            <w:sz w:val="16"/>
                            <w:lang w:val="en-US"/>
                          </w:rPr>
                          <w:t>2</w:t>
                        </w:r>
                      </w:p>
                    </w:txbxContent>
                  </v:textbox>
                </v:rect>
                <v:rect id="Rectangle 114" o:spid="_x0000_s1068" style="position:absolute;left:19780;top:14293;width:1581;height:327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" filled="f" stroked="f">
                  <v:textbox style="mso-fit-shape-to-text:t" inset="0,0,0,0">
                    <w:txbxContent>
                      <w:p w14:paraId="295ED1DF" w14:textId="77777777" w:rsidR="0041584B" w:rsidRPr="00566744" w:rsidRDefault="0041584B" w:rsidP="0041584B">
                        <w:pPr>
                          <w:rPr>
                            <w:rFonts w:ascii="Arial" w:hAnsi="Arial" w:cs="Arial"/>
                            <w:sz w:val="16"/>
                          </w:rPr>
                        </w:pPr>
                        <w:r>
                          <w:rPr>
                            <w:rFonts w:ascii="Arial" w:hAnsi="Arial" w:cs="Arial"/>
                            <w:color w:val="000000"/>
                            <w:sz w:val="16"/>
                            <w:lang w:val="en-US"/>
                          </w:rPr>
                          <w:t xml:space="preserve"> </w:t>
                        </w:r>
                        <w:r w:rsidRPr="00566744">
                          <w:rPr>
                            <w:rFonts w:ascii="Arial" w:hAnsi="Arial" w:cs="Arial"/>
                            <w:color w:val="000000"/>
                            <w:sz w:val="16"/>
                            <w:lang w:val="en-US"/>
                          </w:rPr>
                          <w:t>Cu</w:t>
                        </w:r>
                      </w:p>
                    </w:txbxContent>
                  </v:textbox>
                </v:rect>
                <v:rect id="Rectangle 115" o:spid="_x0000_s1069" style="position:absolute;left:17272;top:15581;width:1810;height:327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" filled="f" stroked="f">
                  <v:textbox style="mso-fit-shape-to-text:t" inset="0,0,0,0">
                    <w:txbxContent>
                      <w:p w14:paraId="3F249FCC" w14:textId="77777777" w:rsidR="0041584B" w:rsidRPr="00566744" w:rsidRDefault="0041584B" w:rsidP="0041584B">
                        <w:pPr>
                          <w:rPr>
                            <w:rFonts w:ascii="Arial" w:hAnsi="Arial" w:cs="Arial"/>
                            <w:sz w:val="16"/>
                          </w:rPr>
                        </w:pPr>
                        <w:r w:rsidRPr="00566744">
                          <w:rPr>
                            <w:rFonts w:ascii="Arial" w:hAnsi="Arial" w:cs="Arial"/>
                            <w:color w:val="000000"/>
                            <w:sz w:val="16"/>
                            <w:lang w:val="en-US"/>
                          </w:rPr>
                          <w:t>U/G</w:t>
                        </w:r>
                      </w:p>
                    </w:txbxContent>
                  </v:textbox>
                </v:rect>
                <v:rect id="Rectangle 116" o:spid="_x0000_s1070" style="position:absolute;left:17272;top:16876;width:6159;height:327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" filled="f" stroked="f">
                  <v:textbox style="mso-fit-shape-to-text:t" inset="0,0,0,0">
                    <w:txbxContent>
                      <w:p w14:paraId="28BDE04E" w14:textId="77777777" w:rsidR="0041584B" w:rsidRPr="00566744" w:rsidRDefault="0041584B" w:rsidP="0041584B">
                        <w:pPr>
                          <w:rPr>
                            <w:rFonts w:ascii="Arial" w:hAnsi="Arial" w:cs="Arial"/>
                            <w:sz w:val="16"/>
                          </w:rPr>
                        </w:pPr>
                        <w:r w:rsidRPr="00566744">
                          <w:rPr>
                            <w:rFonts w:ascii="Arial" w:hAnsi="Arial" w:cs="Arial"/>
                            <w:color w:val="000000"/>
                            <w:sz w:val="16"/>
                            <w:lang w:val="en-US"/>
                          </w:rPr>
                          <w:t>(rating</w:t>
                        </w:r>
                        <w:r>
                          <w:rPr>
                            <w:rFonts w:ascii="Arial" w:hAnsi="Arial" w:cs="Arial"/>
                            <w:color w:val="000000"/>
                            <w:sz w:val="16"/>
                            <w:lang w:val="en-US"/>
                          </w:rPr>
                          <w:t xml:space="preserve"> 500 A)</w:t>
                        </w:r>
                        <w:r w:rsidRPr="00566744">
                          <w:rPr>
                            <w:rFonts w:ascii="Arial" w:hAnsi="Arial" w:cs="Arial"/>
                            <w:color w:val="000000"/>
                            <w:sz w:val="16"/>
                            <w:lang w:val="en-US"/>
                          </w:rPr>
                          <w:t xml:space="preserve"> </w:t>
                        </w:r>
                      </w:p>
                    </w:txbxContent>
                  </v:textbox>
                </v:rect>
                <v:rect id="Rectangle 117" o:spid="_x0000_s1071" style="position:absolute;left:23580;top:5801;width:2768;height:3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" filled="f" stroked="f">
                  <v:textbox style="mso-fit-shape-to-text:t" inset="0,0,0,0">
                    <w:txbxContent>
                      <w:p w14:paraId="627017B5" w14:textId="77777777" w:rsidR="0041584B" w:rsidRPr="00566744" w:rsidRDefault="0041584B" w:rsidP="0041584B">
                        <w:pPr>
                          <w:rPr>
                            <w:rFonts w:ascii="Arial" w:hAnsi="Arial" w:cs="Arial"/>
                            <w:sz w:val="16"/>
                          </w:rPr>
                        </w:pPr>
                        <w:r w:rsidRPr="00566744">
                          <w:rPr>
                            <w:rFonts w:ascii="Arial" w:hAnsi="Arial" w:cs="Arial"/>
                            <w:color w:val="000000"/>
                            <w:sz w:val="16"/>
                            <w:lang w:val="en-US"/>
                          </w:rPr>
                          <w:t>1.5km</w:t>
                        </w:r>
                      </w:p>
                    </w:txbxContent>
                  </v:textbox>
                </v:rect>
                <v:rect id="Rectangle 118" o:spid="_x0000_s1072" style="position:absolute;left:23580;top:6926;width:2768;height:327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" filled="f" stroked="f">
                  <v:textbox style="mso-fit-shape-to-text:t" inset="0,0,0,0">
                    <w:txbxContent>
                      <w:p w14:paraId="1FB82D8F" w14:textId="77777777" w:rsidR="0041584B" w:rsidRPr="00566744" w:rsidRDefault="0041584B" w:rsidP="0041584B">
                        <w:pPr>
                          <w:rPr>
                            <w:rFonts w:ascii="Arial" w:hAnsi="Arial" w:cs="Arial"/>
                            <w:sz w:val="16"/>
                          </w:rPr>
                        </w:pPr>
                        <w:r w:rsidRPr="00566744">
                          <w:rPr>
                            <w:rFonts w:ascii="Arial" w:hAnsi="Arial" w:cs="Arial"/>
                            <w:color w:val="000000"/>
                            <w:sz w:val="16"/>
                            <w:lang w:val="en-US"/>
                          </w:rPr>
                          <w:t>0.15in</w:t>
                        </w:r>
                      </w:p>
                    </w:txbxContent>
                  </v:textbox>
                </v:rect>
                <v:rect id="Rectangle 119" o:spid="_x0000_s1073" style="position:absolute;left:26349;top:6703;width:565;height:3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" filled="f" stroked="f">
                  <v:textbox style="mso-fit-shape-to-text:t" inset="0,0,0,0">
                    <w:txbxContent>
                      <w:p w14:paraId="7F1A5848" w14:textId="77777777" w:rsidR="0041584B" w:rsidRPr="00566744" w:rsidRDefault="0041584B" w:rsidP="0041584B">
                        <w:pPr>
                          <w:rPr>
                            <w:rFonts w:ascii="Arial" w:hAnsi="Arial" w:cs="Arial"/>
                            <w:sz w:val="16"/>
                          </w:rPr>
                        </w:pPr>
                        <w:r w:rsidRPr="00566744">
                          <w:rPr>
                            <w:rFonts w:ascii="Arial" w:hAnsi="Arial" w:cs="Arial"/>
                            <w:color w:val="000000"/>
                            <w:sz w:val="16"/>
                            <w:lang w:val="en-US"/>
                          </w:rPr>
                          <w:t>2</w:t>
                        </w:r>
                      </w:p>
                    </w:txbxContent>
                  </v:textbox>
                </v:rect>
                <v:rect id="Rectangle 120" o:spid="_x0000_s1074" style="position:absolute;left:27015;top:6845;width:2489;height:327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" filled="f" stroked="f">
                  <v:textbox style="mso-fit-shape-to-text:t" inset="0,0,0,0">
                    <w:txbxContent>
                      <w:p w14:paraId="5E097BB5" w14:textId="77777777" w:rsidR="0041584B" w:rsidRPr="00566744" w:rsidRDefault="0041584B" w:rsidP="0041584B">
                        <w:pPr>
                          <w:rPr>
                            <w:rFonts w:ascii="Arial" w:hAnsi="Arial" w:cs="Arial"/>
                            <w:sz w:val="16"/>
                          </w:rPr>
                        </w:pPr>
                        <w:r w:rsidRPr="00566744">
                          <w:rPr>
                            <w:rFonts w:ascii="Arial" w:hAnsi="Arial" w:cs="Arial"/>
                            <w:color w:val="000000"/>
                            <w:sz w:val="16"/>
                            <w:lang w:val="en-US"/>
                          </w:rPr>
                          <w:t xml:space="preserve"> HDC </w:t>
                        </w:r>
                      </w:p>
                    </w:txbxContent>
                  </v:textbox>
                </v:rect>
                <v:rect id="Rectangle 121" o:spid="_x0000_s1075" style="position:absolute;left:23524;top:8067;width:7963;height:327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" filled="f" stroked="f">
                  <v:textbox style="mso-fit-shape-to-text:t" inset="0,0,0,0">
                    <w:txbxContent>
                      <w:p w14:paraId="02EAF4DE" w14:textId="77777777" w:rsidR="0041584B" w:rsidRPr="00566744" w:rsidRDefault="0041584B" w:rsidP="0041584B">
                        <w:pPr>
                          <w:rPr>
                            <w:rFonts w:ascii="Arial" w:hAnsi="Arial" w:cs="Arial"/>
                            <w:sz w:val="16"/>
                          </w:rPr>
                        </w:pPr>
                        <w:r w:rsidRPr="00566744">
                          <w:rPr>
                            <w:rFonts w:ascii="Arial" w:hAnsi="Arial" w:cs="Arial"/>
                            <w:color w:val="000000"/>
                            <w:sz w:val="16"/>
                            <w:lang w:val="en-US"/>
                          </w:rPr>
                          <w:t>O/H (rating</w:t>
                        </w:r>
                        <w:r>
                          <w:rPr>
                            <w:rFonts w:ascii="Arial" w:hAnsi="Arial" w:cs="Arial"/>
                            <w:color w:val="000000"/>
                            <w:sz w:val="16"/>
                            <w:lang w:val="en-US"/>
                          </w:rPr>
                          <w:t xml:space="preserve"> 450A)</w:t>
                        </w:r>
                        <w:r w:rsidRPr="00566744">
                          <w:rPr>
                            <w:rFonts w:ascii="Arial" w:hAnsi="Arial" w:cs="Arial"/>
                            <w:color w:val="000000"/>
                            <w:sz w:val="16"/>
                            <w:lang w:val="en-US"/>
                          </w:rPr>
                          <w:t xml:space="preserve"> </w:t>
                        </w:r>
                      </w:p>
                    </w:txbxContent>
                  </v:textbox>
                </v:rect>
                <v:rect id="Rectangle 122" o:spid="_x0000_s1076" style="position:absolute;left:3956;top:13798;width:6496;height:3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" filled="f" stroked="f">
                  <v:textbox style="mso-fit-shape-to-text:t" inset="0,0,0,0">
                    <w:txbxContent>
                      <w:p w14:paraId="1A2F696E" w14:textId="77777777" w:rsidR="0041584B" w:rsidRPr="00566744" w:rsidRDefault="0041584B" w:rsidP="0041584B">
                        <w:pPr>
                          <w:rPr>
                            <w:rFonts w:ascii="Arial" w:hAnsi="Arial" w:cs="Arial"/>
                            <w:sz w:val="16"/>
                          </w:rPr>
                        </w:pPr>
                        <w:r w:rsidRPr="00566744">
                          <w:rPr>
                            <w:rFonts w:ascii="Arial" w:hAnsi="Arial" w:cs="Arial"/>
                            <w:color w:val="000000"/>
                            <w:sz w:val="16"/>
                            <w:lang w:val="en-US"/>
                          </w:rPr>
                          <w:t>6km</w:t>
                        </w:r>
                      </w:p>
                    </w:txbxContent>
                  </v:textbox>
                </v:rect>
                <v:rect id="Rectangle 123" o:spid="_x0000_s1077" style="position:absolute;left:519;top:15581;width:5893;height:327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" filled="f" stroked="f">
                  <v:textbox style="mso-fit-shape-to-text:t" inset="0,0,0,0">
                    <w:txbxContent>
                      <w:p w14:paraId="346F1459" w14:textId="77777777" w:rsidR="0041584B" w:rsidRPr="00566744" w:rsidRDefault="0041584B" w:rsidP="0041584B">
                        <w:pPr>
                          <w:rPr>
                            <w:rFonts w:ascii="Arial" w:hAnsi="Arial" w:cs="Arial"/>
                            <w:sz w:val="16"/>
                          </w:rPr>
                        </w:pPr>
                        <w:r w:rsidRPr="00566744">
                          <w:rPr>
                            <w:rFonts w:ascii="Arial" w:hAnsi="Arial" w:cs="Arial"/>
                            <w:color w:val="000000"/>
                            <w:sz w:val="16"/>
                            <w:lang w:val="en-US"/>
                          </w:rPr>
                          <w:t xml:space="preserve"> </w:t>
                        </w:r>
                        <w:r>
                          <w:rPr>
                            <w:rFonts w:ascii="Arial" w:hAnsi="Arial" w:cs="Arial"/>
                            <w:color w:val="000000"/>
                            <w:sz w:val="16"/>
                            <w:lang w:val="en-US"/>
                          </w:rPr>
                          <w:t>0.15 in</w:t>
                        </w:r>
                        <w:r w:rsidRPr="00BE1360">
                          <w:rPr>
                            <w:rFonts w:ascii="Arial" w:hAnsi="Arial" w:cs="Arial"/>
                            <w:color w:val="000000"/>
                            <w:sz w:val="16"/>
                            <w:vertAlign w:val="superscript"/>
                            <w:lang w:val="en-US"/>
                          </w:rPr>
                          <w:t>2</w:t>
                        </w:r>
                        <w:r w:rsidRPr="00566744">
                          <w:rPr>
                            <w:rFonts w:ascii="Arial" w:hAnsi="Arial" w:cs="Arial"/>
                            <w:color w:val="000000"/>
                            <w:sz w:val="16"/>
                            <w:lang w:val="en-US"/>
                          </w:rPr>
                          <w:t>HDC</w:t>
                        </w:r>
                        <w:r>
                          <w:rPr>
                            <w:rFonts w:ascii="Arial" w:hAnsi="Arial" w:cs="Arial"/>
                            <w:color w:val="000000"/>
                            <w:sz w:val="16"/>
                            <w:lang w:val="en-US"/>
                          </w:rPr>
                          <w:t xml:space="preserve"> </w:t>
                        </w:r>
                        <w:r w:rsidRPr="00566744">
                          <w:rPr>
                            <w:rFonts w:ascii="Arial" w:hAnsi="Arial" w:cs="Arial"/>
                            <w:color w:val="000000"/>
                            <w:sz w:val="16"/>
                            <w:lang w:val="en-US"/>
                          </w:rPr>
                          <w:t xml:space="preserve"> </w:t>
                        </w:r>
                      </w:p>
                    </w:txbxContent>
                  </v:textbox>
                </v:rect>
                <v:rect id="Rectangle 124" o:spid="_x0000_s1078" style="position:absolute;left:594;top:17359;width:4972;height:3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" filled="f" stroked="f">
                  <v:textbox style="mso-fit-shape-to-text:t" inset="0,0,0,0">
                    <w:txbxContent>
                      <w:p w14:paraId="6B912D2E" w14:textId="77777777" w:rsidR="0041584B" w:rsidRPr="00566744" w:rsidRDefault="0041584B" w:rsidP="0041584B">
                        <w:pPr>
                          <w:rPr>
                            <w:rFonts w:ascii="Arial" w:hAnsi="Arial" w:cs="Arial"/>
                            <w:sz w:val="16"/>
                          </w:rPr>
                        </w:pPr>
                        <w:r w:rsidRPr="00566744">
                          <w:rPr>
                            <w:rFonts w:ascii="Arial" w:hAnsi="Arial" w:cs="Arial"/>
                            <w:color w:val="000000"/>
                            <w:sz w:val="16"/>
                            <w:lang w:val="en-US"/>
                          </w:rPr>
                          <w:t xml:space="preserve">O/H (rating </w:t>
                        </w:r>
                      </w:p>
                    </w:txbxContent>
                  </v:textbox>
                </v:rect>
                <v:rect id="Rectangle 125" o:spid="_x0000_s1079" style="position:absolute;left:5612;top:17359;width:2712;height:3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" filled="f" stroked="f">
                  <v:textbox style="mso-fit-shape-to-text:t" inset="0,0,0,0">
                    <w:txbxContent>
                      <w:p w14:paraId="1B44BDFC" w14:textId="77777777" w:rsidR="0041584B" w:rsidRPr="00566744" w:rsidRDefault="0041584B" w:rsidP="0041584B">
                        <w:pPr>
                          <w:rPr>
                            <w:rFonts w:ascii="Arial" w:hAnsi="Arial" w:cs="Arial"/>
                            <w:sz w:val="16"/>
                          </w:rPr>
                        </w:pPr>
                        <w:r w:rsidRPr="00566744">
                          <w:rPr>
                            <w:rFonts w:ascii="Arial" w:hAnsi="Arial" w:cs="Arial"/>
                            <w:color w:val="000000"/>
                            <w:sz w:val="16"/>
                            <w:lang w:val="en-US"/>
                          </w:rPr>
                          <w:t>450A)</w:t>
                        </w:r>
                      </w:p>
                    </w:txbxContent>
                  </v:textbox>
                </v:rect>
                <v:rect id="Rectangle 126" o:spid="_x0000_s1080" style="position:absolute;left:9008;top:20303;width:2769;height:327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" filled="f" stroked="f">
                  <v:textbox style="mso-fit-shape-to-text:t" inset="0,0,0,0">
                    <w:txbxContent>
                      <w:p w14:paraId="2551FA92" w14:textId="77777777" w:rsidR="0041584B" w:rsidRPr="00566744" w:rsidRDefault="0041584B" w:rsidP="0041584B">
                        <w:pPr>
                          <w:rPr>
                            <w:rFonts w:ascii="Arial" w:hAnsi="Arial" w:cs="Arial"/>
                            <w:sz w:val="16"/>
                          </w:rPr>
                        </w:pPr>
                        <w:r w:rsidRPr="00566744">
                          <w:rPr>
                            <w:rFonts w:ascii="Arial" w:hAnsi="Arial" w:cs="Arial"/>
                            <w:color w:val="000000"/>
                            <w:sz w:val="16"/>
                            <w:lang w:val="en-US"/>
                          </w:rPr>
                          <w:t>0.2km</w:t>
                        </w:r>
                      </w:p>
                    </w:txbxContent>
                  </v:textbox>
                </v:rect>
                <v:rect id="Rectangle 127" o:spid="_x0000_s1081" style="position:absolute;left:8792;top:21700;width:5537;height:3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" filled="f" stroked="f">
                  <v:textbox style="mso-fit-shape-to-text:t" inset="0,0,0,0">
                    <w:txbxContent>
                      <w:p w14:paraId="72FEF775" w14:textId="77777777" w:rsidR="0041584B" w:rsidRPr="00566744" w:rsidRDefault="0041584B" w:rsidP="0041584B">
                        <w:pPr>
                          <w:rPr>
                            <w:rFonts w:ascii="Arial" w:hAnsi="Arial" w:cs="Arial"/>
                            <w:sz w:val="16"/>
                          </w:rPr>
                        </w:pPr>
                        <w:r w:rsidRPr="00566744">
                          <w:rPr>
                            <w:rFonts w:ascii="Arial" w:hAnsi="Arial" w:cs="Arial"/>
                            <w:color w:val="000000"/>
                            <w:sz w:val="16"/>
                            <w:lang w:val="en-US"/>
                          </w:rPr>
                          <w:t>185mm</w:t>
                        </w:r>
                        <w:r>
                          <w:rPr>
                            <w:rFonts w:ascii="Arial" w:hAnsi="Arial" w:cs="Arial"/>
                            <w:color w:val="000000"/>
                            <w:sz w:val="16"/>
                            <w:lang w:val="en-US"/>
                          </w:rPr>
                          <w:t xml:space="preserve"> </w:t>
                        </w:r>
                        <w:r w:rsidRPr="003E7779">
                          <w:rPr>
                            <w:rFonts w:ascii="Arial" w:hAnsi="Arial" w:cs="Arial"/>
                            <w:color w:val="000000"/>
                            <w:sz w:val="16"/>
                            <w:vertAlign w:val="superscript"/>
                            <w:lang w:val="en-US"/>
                          </w:rPr>
                          <w:t>2</w:t>
                        </w:r>
                        <w:r>
                          <w:rPr>
                            <w:rFonts w:ascii="Arial" w:hAnsi="Arial" w:cs="Arial"/>
                            <w:color w:val="000000"/>
                            <w:sz w:val="16"/>
                            <w:vertAlign w:val="superscript"/>
                            <w:lang w:val="en-US"/>
                          </w:rPr>
                          <w:t>-</w:t>
                        </w:r>
                        <w:r>
                          <w:rPr>
                            <w:rFonts w:ascii="Arial" w:hAnsi="Arial" w:cs="Arial"/>
                            <w:color w:val="000000"/>
                            <w:sz w:val="16"/>
                            <w:lang w:val="en-US"/>
                          </w:rPr>
                          <w:t>Cu</w:t>
                        </w:r>
                      </w:p>
                    </w:txbxContent>
                  </v:textbox>
                </v:rect>
                <v:rect id="Rectangle 128" o:spid="_x0000_s1082" style="position:absolute;left:9118;top:23293;width:8249;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" filled="f" stroked="f">
                  <v:textbox inset="0,0,0,0">
                    <w:txbxContent>
                      <w:p w14:paraId="4A7385AC" w14:textId="77777777" w:rsidR="0041584B" w:rsidRPr="00566744" w:rsidRDefault="0041584B" w:rsidP="0041584B">
                        <w:pPr>
                          <w:rPr>
                            <w:rFonts w:ascii="Arial" w:hAnsi="Arial" w:cs="Arial"/>
                            <w:sz w:val="16"/>
                          </w:rPr>
                        </w:pPr>
                        <w:r w:rsidRPr="00566744">
                          <w:rPr>
                            <w:rFonts w:ascii="Arial" w:hAnsi="Arial" w:cs="Arial"/>
                            <w:color w:val="000000"/>
                            <w:sz w:val="16"/>
                            <w:lang w:val="en-US"/>
                          </w:rPr>
                          <w:t>U/G (rating</w:t>
                        </w:r>
                        <w:r>
                          <w:rPr>
                            <w:rFonts w:ascii="Arial" w:hAnsi="Arial" w:cs="Arial"/>
                            <w:color w:val="000000"/>
                            <w:sz w:val="16"/>
                            <w:lang w:val="en-US"/>
                          </w:rPr>
                          <w:t xml:space="preserve"> 550 A)</w:t>
                        </w:r>
                        <w:r w:rsidRPr="00566744">
                          <w:rPr>
                            <w:rFonts w:ascii="Arial" w:hAnsi="Arial" w:cs="Arial"/>
                            <w:color w:val="000000"/>
                            <w:sz w:val="16"/>
                            <w:lang w:val="en-US"/>
                          </w:rPr>
                          <w:t xml:space="preserve"> </w:t>
                        </w:r>
                      </w:p>
                    </w:txbxContent>
                  </v:textbox>
                </v:rect>
                <v:shape id="Freeform 129" o:spid="_x0000_s1083" style="position:absolute;left:12258;top:4629;width:7754;height:7525;visibility:visible;mso-wrap-style:square;v-text-anchor:top" coordsize="1628,15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" path="m1624,19l59,1538v-4,4,-11,4,-15,-1c40,1533,40,1526,44,1522l1609,4v4,-4,11,-4,15,c1628,8,1628,15,1624,19xm137,1536l,1579,48,1444r89,92xe" fillcolor="black">
                  <v:stroke joinstyle="bevel"/>
                  <v:path arrowok="t" o:connecttype="custom" o:connectlocs="368386419,4314916;13383616,349299473;9980913,349072623;9980913,345666060;364983716,908353;368386419,908353;368386419,4314916;31076814,348845297;0,358611285;10888269,327951266;31076814,348845297" o:connectangles="0,0,0,0,0,0,0,0,0,0,0"/>
                  <o:lock v:ext="edit" verticies="t"/>
                </v:shape>
                <v:shape id="Freeform 130" o:spid="_x0000_s1084" style="position:absolute;left:18484;top:6324;width:4877;height:5652;visibility:visible;mso-wrap-style:square;v-text-anchor:top" coordsize="1628,15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" path="m1624,19l59,1538v-4,4,-11,4,-15,-1c40,1533,40,1526,44,1522l1609,4v4,-4,11,-4,15,c1628,8,1628,15,1624,19xm137,1536l,1579,48,1444r89,92xe" fillcolor="black">
                  <v:stroke joinstyle="bevel"/>
                  <v:path arrowok="t" o:connecttype="custom" o:connectlocs="145739011,2434086;5294731,197044601;3948730,196916811;3948730,194994957;144392710,512590;145739011,512590;145739011,2434086;12294357,196788664;0,202297572;4307623,185001604;12294357,196788664" o:connectangles="0,0,0,0,0,0,0,0,0,0,0"/>
                  <o:lock v:ext="edit" verticies="t"/>
                </v:shape>
                <w10:wrap type="topAndBottom" anchory="page"/>
              </v:group>
            </w:pict>
          </mc:Fallback>
        </mc:AlternateContent>
      </w:r>
      <w:r w:rsidRPr="00A61217">
        <w:t>Figure 2 - An example of a section of network to be converted into a model.</w:t>
      </w:r>
    </w:p>
    <w:p w14:paraId="100F2BB5" w14:textId="77777777" w:rsidR="0041584B" w:rsidRDefault="0041584B" w:rsidP="0041584B">
      <w:pPr>
        <w:pStyle w:val="Caption"/>
        <w:ind w:right="-57"/>
        <w:jc w:val="left"/>
        <w:rPr>
          <w:noProof/>
        </w:rPr>
      </w:pPr>
    </w:p>
    <w:p w14:paraId="310C826A" w14:textId="77777777" w:rsidR="0041584B" w:rsidRPr="00C70D7F" w:rsidRDefault="0041584B" w:rsidP="0041584B">
      <w:pPr>
        <w:pStyle w:val="Caption"/>
        <w:ind w:right="-57"/>
        <w:jc w:val="left"/>
      </w:pPr>
      <w:r>
        <w:rPr>
          <w:noProof/>
          <w:lang w:eastAsia="en-GB"/>
        </w:rPr>
        <w:drawing>
          <wp:anchor distT="0" distB="0" distL="114300" distR="114300" simplePos="0" relativeHeight="251666432" behindDoc="0" locked="0" layoutInCell="1" allowOverlap="1" wp14:anchorId="6A62301D" wp14:editId="53DCBF12">
            <wp:simplePos x="0" y="0"/>
            <wp:positionH relativeFrom="column">
              <wp:posOffset>66040</wp:posOffset>
            </wp:positionH>
            <wp:positionV relativeFrom="paragraph">
              <wp:posOffset>386080</wp:posOffset>
            </wp:positionV>
            <wp:extent cx="3228975" cy="3228975"/>
            <wp:effectExtent l="0" t="0" r="0" b="0"/>
            <wp:wrapTopAndBottom/>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3228975" cy="32289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70D7F">
        <w:rPr>
          <w:noProof/>
        </w:rPr>
        <w:t xml:space="preserve">Figure </w:t>
      </w:r>
      <w:r>
        <w:rPr>
          <w:noProof/>
        </w:rPr>
        <w:t>3</w:t>
      </w:r>
      <w:r w:rsidRPr="00C70D7F">
        <w:t xml:space="preserve"> - The resultant Nodal model which represents the example network in Figure 2.</w:t>
      </w:r>
    </w:p>
    <w:p w14:paraId="47F3F72C" w14:textId="77777777" w:rsidR="0041584B" w:rsidRDefault="0041584B" w:rsidP="0041584B">
      <w:pPr>
        <w:pStyle w:val="DCSubHeading2Level2"/>
        <w:keepLines/>
        <w:spacing w:after="0"/>
        <w:ind w:left="0"/>
        <w:rPr>
          <w:b/>
        </w:rPr>
      </w:pPr>
      <w:bookmarkStart w:id="473" w:name="_Ref247787138"/>
      <w:bookmarkStart w:id="474" w:name="_Toc253698458"/>
      <w:r>
        <w:rPr>
          <w:b/>
        </w:rPr>
        <w:br w:type="page"/>
      </w:r>
    </w:p>
    <w:p w14:paraId="755E2494" w14:textId="77777777" w:rsidR="0041584B" w:rsidRPr="0031739F" w:rsidRDefault="0041584B" w:rsidP="0041584B">
      <w:pPr>
        <w:pStyle w:val="Caption"/>
      </w:pPr>
      <w:r w:rsidRPr="0031739F">
        <w:lastRenderedPageBreak/>
        <w:t xml:space="preserve">Table </w:t>
      </w:r>
      <w:r>
        <w:t>4.</w:t>
      </w:r>
      <w:r w:rsidRPr="0031739F">
        <w:t>9</w:t>
      </w:r>
      <w:bookmarkEnd w:id="473"/>
      <w:r w:rsidRPr="0031739F">
        <w:t xml:space="preserve"> - An example of the information held separately relating to Figure 2 which is used to provide the minimum composite branch rating</w:t>
      </w:r>
      <w:bookmarkEnd w:id="474"/>
      <w:r w:rsidRPr="0031739F">
        <w:t>.</w:t>
      </w:r>
    </w:p>
    <w:tbl>
      <w:tblPr>
        <w:tblStyle w:val="GridTable4-Accent3"/>
        <w:tblW w:w="9889" w:type="dxa"/>
        <w:tblLook w:val="0620" w:firstRow="1" w:lastRow="0" w:firstColumn="0" w:lastColumn="0" w:noHBand="1" w:noVBand="1"/>
      </w:tblPr>
      <w:tblGrid>
        <w:gridCol w:w="1980"/>
        <w:gridCol w:w="963"/>
        <w:gridCol w:w="2608"/>
        <w:gridCol w:w="1276"/>
        <w:gridCol w:w="992"/>
        <w:gridCol w:w="1097"/>
        <w:gridCol w:w="996"/>
      </w:tblGrid>
      <w:tr w:rsidR="0041584B" w:rsidRPr="00C70D7F" w14:paraId="5E873F5C" w14:textId="77777777" w:rsidTr="0041584B">
        <w:trPr>
          <w:cnfStyle w:val="100000000000" w:firstRow="1" w:lastRow="0" w:firstColumn="0" w:lastColumn="0" w:oddVBand="0" w:evenVBand="0" w:oddHBand="0" w:evenHBand="0" w:firstRowFirstColumn="0" w:firstRowLastColumn="0" w:lastRowFirstColumn="0" w:lastRowLastColumn="0"/>
          <w:trHeight w:val="255"/>
        </w:trPr>
        <w:tc>
          <w:tcPr>
            <w:tcW w:w="1980" w:type="dxa"/>
            <w:noWrap/>
          </w:tcPr>
          <w:p w14:paraId="37AE3A8D" w14:textId="77777777" w:rsidR="0041584B" w:rsidRPr="00C70D7F" w:rsidRDefault="0041584B" w:rsidP="0041584B">
            <w:pPr>
              <w:pStyle w:val="DCUSATabletextnumbers"/>
              <w:rPr>
                <w:b/>
              </w:rPr>
            </w:pPr>
            <w:r w:rsidRPr="00C70D7F">
              <w:rPr>
                <w:b/>
              </w:rPr>
              <w:t>Branch</w:t>
            </w:r>
          </w:p>
        </w:tc>
        <w:tc>
          <w:tcPr>
            <w:tcW w:w="919" w:type="dxa"/>
            <w:noWrap/>
          </w:tcPr>
          <w:p w14:paraId="32090592" w14:textId="77777777" w:rsidR="0041584B" w:rsidRPr="00C70D7F" w:rsidRDefault="0041584B" w:rsidP="0041584B">
            <w:pPr>
              <w:pStyle w:val="DCUSATabletextnumbers"/>
              <w:rPr>
                <w:b/>
              </w:rPr>
            </w:pPr>
            <w:r w:rsidRPr="00C70D7F">
              <w:rPr>
                <w:b/>
              </w:rPr>
              <w:t>Line Section</w:t>
            </w:r>
          </w:p>
        </w:tc>
        <w:tc>
          <w:tcPr>
            <w:tcW w:w="2608" w:type="dxa"/>
            <w:noWrap/>
          </w:tcPr>
          <w:p w14:paraId="1F277D6B" w14:textId="77777777" w:rsidR="0041584B" w:rsidRPr="00C70D7F" w:rsidRDefault="0041584B" w:rsidP="0041584B">
            <w:pPr>
              <w:pStyle w:val="DCUSATabletextnumbers"/>
              <w:rPr>
                <w:b/>
              </w:rPr>
            </w:pPr>
            <w:r w:rsidRPr="00C70D7F">
              <w:rPr>
                <w:b/>
              </w:rPr>
              <w:t>Type</w:t>
            </w:r>
          </w:p>
        </w:tc>
        <w:tc>
          <w:tcPr>
            <w:tcW w:w="1276" w:type="dxa"/>
            <w:noWrap/>
          </w:tcPr>
          <w:p w14:paraId="4903415F" w14:textId="77777777" w:rsidR="0041584B" w:rsidRPr="00C70D7F" w:rsidRDefault="0041584B" w:rsidP="0041584B">
            <w:pPr>
              <w:pStyle w:val="DCUSATabletextnumbers"/>
              <w:rPr>
                <w:b/>
              </w:rPr>
            </w:pPr>
            <w:r w:rsidRPr="00C70D7F">
              <w:rPr>
                <w:b/>
              </w:rPr>
              <w:t>Length</w:t>
            </w:r>
          </w:p>
        </w:tc>
        <w:tc>
          <w:tcPr>
            <w:tcW w:w="992" w:type="dxa"/>
            <w:noWrap/>
          </w:tcPr>
          <w:p w14:paraId="1CEFA8A3" w14:textId="77777777" w:rsidR="0041584B" w:rsidRPr="00C70D7F" w:rsidRDefault="0041584B" w:rsidP="0041584B">
            <w:pPr>
              <w:pStyle w:val="DCUSATabletextnumbers"/>
              <w:rPr>
                <w:b/>
              </w:rPr>
            </w:pPr>
            <w:r w:rsidRPr="00C70D7F">
              <w:rPr>
                <w:b/>
              </w:rPr>
              <w:t>Rating</w:t>
            </w:r>
          </w:p>
        </w:tc>
        <w:tc>
          <w:tcPr>
            <w:tcW w:w="1106" w:type="dxa"/>
          </w:tcPr>
          <w:p w14:paraId="312547DD" w14:textId="77777777" w:rsidR="0041584B" w:rsidRPr="00C70D7F" w:rsidRDefault="0041584B" w:rsidP="0041584B">
            <w:pPr>
              <w:pStyle w:val="DCUSATabletextnumbers"/>
              <w:rPr>
                <w:b/>
              </w:rPr>
            </w:pPr>
            <w:r w:rsidRPr="00C70D7F">
              <w:rPr>
                <w:b/>
              </w:rPr>
              <w:t>R(</w:t>
            </w:r>
            <w:proofErr w:type="spellStart"/>
            <w:r w:rsidRPr="00C70D7F">
              <w:rPr>
                <w:b/>
              </w:rPr>
              <w:t>p.u</w:t>
            </w:r>
            <w:proofErr w:type="spellEnd"/>
            <w:r w:rsidRPr="00C70D7F">
              <w:rPr>
                <w:b/>
              </w:rPr>
              <w:t>.)</w:t>
            </w:r>
            <w:r w:rsidRPr="00C70D7F">
              <w:rPr>
                <w:rStyle w:val="FootnoteReference"/>
                <w:b/>
              </w:rPr>
              <w:footnoteReference w:id="11"/>
            </w:r>
          </w:p>
        </w:tc>
        <w:tc>
          <w:tcPr>
            <w:tcW w:w="1008" w:type="dxa"/>
          </w:tcPr>
          <w:p w14:paraId="7E42AA2B" w14:textId="77777777" w:rsidR="0041584B" w:rsidRPr="00C70D7F" w:rsidRDefault="0041584B" w:rsidP="0041584B">
            <w:pPr>
              <w:pStyle w:val="DCUSATabletextnumbers"/>
              <w:rPr>
                <w:b/>
              </w:rPr>
            </w:pPr>
            <w:r w:rsidRPr="00C70D7F">
              <w:rPr>
                <w:b/>
              </w:rPr>
              <w:t>X(</w:t>
            </w:r>
            <w:proofErr w:type="spellStart"/>
            <w:r w:rsidRPr="00C70D7F">
              <w:rPr>
                <w:b/>
              </w:rPr>
              <w:t>p.u</w:t>
            </w:r>
            <w:proofErr w:type="spellEnd"/>
            <w:r w:rsidRPr="00C70D7F">
              <w:rPr>
                <w:b/>
              </w:rPr>
              <w:t>.)</w:t>
            </w:r>
          </w:p>
        </w:tc>
      </w:tr>
      <w:tr w:rsidR="0041584B" w:rsidRPr="00C70D7F" w14:paraId="7FBA2547" w14:textId="77777777" w:rsidTr="0041584B">
        <w:trPr>
          <w:trHeight w:val="285"/>
        </w:trPr>
        <w:tc>
          <w:tcPr>
            <w:tcW w:w="1980" w:type="dxa"/>
            <w:noWrap/>
          </w:tcPr>
          <w:p w14:paraId="0596A37D" w14:textId="77777777" w:rsidR="0041584B" w:rsidRPr="00C70D7F" w:rsidRDefault="0041584B" w:rsidP="0041584B">
            <w:pPr>
              <w:pStyle w:val="DCUSATableText"/>
            </w:pPr>
            <w:r w:rsidRPr="00C70D7F">
              <w:t>Node 1 to Node 2</w:t>
            </w:r>
          </w:p>
        </w:tc>
        <w:tc>
          <w:tcPr>
            <w:tcW w:w="919" w:type="dxa"/>
            <w:noWrap/>
          </w:tcPr>
          <w:p w14:paraId="7F0A9792" w14:textId="77777777" w:rsidR="0041584B" w:rsidRPr="00C70D7F" w:rsidRDefault="0041584B" w:rsidP="0041584B">
            <w:pPr>
              <w:pStyle w:val="DCUSATableText"/>
            </w:pPr>
            <w:r w:rsidRPr="00C70D7F">
              <w:t>1</w:t>
            </w:r>
          </w:p>
        </w:tc>
        <w:tc>
          <w:tcPr>
            <w:tcW w:w="2608" w:type="dxa"/>
            <w:noWrap/>
          </w:tcPr>
          <w:p w14:paraId="5465BFD6" w14:textId="77777777" w:rsidR="0041584B" w:rsidRPr="00C70D7F" w:rsidRDefault="0041584B" w:rsidP="0041584B">
            <w:pPr>
              <w:pStyle w:val="DCUSATableText"/>
            </w:pPr>
            <w:r w:rsidRPr="00C70D7F">
              <w:t>150mm</w:t>
            </w:r>
            <w:r w:rsidRPr="00C70D7F">
              <w:rPr>
                <w:vertAlign w:val="superscript"/>
              </w:rPr>
              <w:t>2</w:t>
            </w:r>
            <w:r w:rsidRPr="00C70D7F">
              <w:t xml:space="preserve"> HDC O/H</w:t>
            </w:r>
          </w:p>
        </w:tc>
        <w:tc>
          <w:tcPr>
            <w:tcW w:w="1276" w:type="dxa"/>
            <w:noWrap/>
          </w:tcPr>
          <w:p w14:paraId="5E7D6210" w14:textId="77777777" w:rsidR="0041584B" w:rsidRPr="00C70D7F" w:rsidRDefault="0041584B" w:rsidP="0041584B">
            <w:pPr>
              <w:pStyle w:val="DCUSATableText"/>
            </w:pPr>
            <w:r w:rsidRPr="00C70D7F">
              <w:t>5km</w:t>
            </w:r>
          </w:p>
        </w:tc>
        <w:tc>
          <w:tcPr>
            <w:tcW w:w="992" w:type="dxa"/>
            <w:noWrap/>
          </w:tcPr>
          <w:p w14:paraId="0B27DA2E" w14:textId="77777777" w:rsidR="0041584B" w:rsidRPr="00C70D7F" w:rsidRDefault="0041584B" w:rsidP="0041584B">
            <w:pPr>
              <w:pStyle w:val="DCUSATableText"/>
            </w:pPr>
            <w:r w:rsidRPr="00C70D7F">
              <w:t>600A</w:t>
            </w:r>
          </w:p>
        </w:tc>
        <w:tc>
          <w:tcPr>
            <w:tcW w:w="1106" w:type="dxa"/>
          </w:tcPr>
          <w:p w14:paraId="12E9CC70" w14:textId="77777777" w:rsidR="0041584B" w:rsidRPr="00C70D7F" w:rsidRDefault="0041584B" w:rsidP="0041584B">
            <w:pPr>
              <w:pStyle w:val="DCUSATableText"/>
            </w:pPr>
            <w:r w:rsidRPr="00C70D7F">
              <w:t>0.001</w:t>
            </w:r>
          </w:p>
        </w:tc>
        <w:tc>
          <w:tcPr>
            <w:tcW w:w="1008" w:type="dxa"/>
          </w:tcPr>
          <w:p w14:paraId="2E54A13B" w14:textId="77777777" w:rsidR="0041584B" w:rsidRPr="00C70D7F" w:rsidRDefault="0041584B" w:rsidP="0041584B">
            <w:pPr>
              <w:pStyle w:val="DCUSATableText"/>
            </w:pPr>
            <w:r w:rsidRPr="00C70D7F">
              <w:t>0.01</w:t>
            </w:r>
          </w:p>
        </w:tc>
      </w:tr>
      <w:tr w:rsidR="0041584B" w:rsidRPr="00C70D7F" w14:paraId="7420B704" w14:textId="77777777" w:rsidTr="0041584B">
        <w:trPr>
          <w:trHeight w:val="285"/>
        </w:trPr>
        <w:tc>
          <w:tcPr>
            <w:tcW w:w="1980" w:type="dxa"/>
            <w:noWrap/>
          </w:tcPr>
          <w:p w14:paraId="2335149F" w14:textId="77777777" w:rsidR="0041584B" w:rsidRPr="00C70D7F" w:rsidRDefault="0041584B" w:rsidP="0041584B">
            <w:pPr>
              <w:pStyle w:val="DCUSATableText"/>
            </w:pPr>
            <w:r w:rsidRPr="00C70D7F">
              <w:t>Node 2 to Node 3</w:t>
            </w:r>
          </w:p>
        </w:tc>
        <w:tc>
          <w:tcPr>
            <w:tcW w:w="919" w:type="dxa"/>
            <w:noWrap/>
          </w:tcPr>
          <w:p w14:paraId="4664ED1B" w14:textId="77777777" w:rsidR="0041584B" w:rsidRPr="00C70D7F" w:rsidRDefault="0041584B" w:rsidP="0041584B">
            <w:pPr>
              <w:pStyle w:val="DCUSATableText"/>
            </w:pPr>
            <w:r w:rsidRPr="00C70D7F">
              <w:t>1</w:t>
            </w:r>
          </w:p>
        </w:tc>
        <w:tc>
          <w:tcPr>
            <w:tcW w:w="2608" w:type="dxa"/>
            <w:noWrap/>
          </w:tcPr>
          <w:p w14:paraId="28E8FA61" w14:textId="77777777" w:rsidR="0041584B" w:rsidRPr="00C70D7F" w:rsidRDefault="0041584B" w:rsidP="0041584B">
            <w:pPr>
              <w:pStyle w:val="DCUSATableText"/>
            </w:pPr>
            <w:r w:rsidRPr="00C70D7F">
              <w:t>0.15in</w:t>
            </w:r>
            <w:r w:rsidRPr="00C70D7F">
              <w:rPr>
                <w:vertAlign w:val="superscript"/>
              </w:rPr>
              <w:t>2</w:t>
            </w:r>
            <w:r w:rsidRPr="00C70D7F">
              <w:t xml:space="preserve"> HDC O/H</w:t>
            </w:r>
          </w:p>
        </w:tc>
        <w:tc>
          <w:tcPr>
            <w:tcW w:w="1276" w:type="dxa"/>
            <w:noWrap/>
          </w:tcPr>
          <w:p w14:paraId="0CDA1F5A" w14:textId="77777777" w:rsidR="0041584B" w:rsidRPr="00C70D7F" w:rsidRDefault="0041584B" w:rsidP="0041584B">
            <w:pPr>
              <w:pStyle w:val="DCUSATableText"/>
            </w:pPr>
            <w:r w:rsidRPr="00C70D7F">
              <w:t>6km</w:t>
            </w:r>
          </w:p>
        </w:tc>
        <w:tc>
          <w:tcPr>
            <w:tcW w:w="992" w:type="dxa"/>
            <w:noWrap/>
          </w:tcPr>
          <w:p w14:paraId="26F17772" w14:textId="77777777" w:rsidR="0041584B" w:rsidRPr="00C70D7F" w:rsidRDefault="0041584B" w:rsidP="0041584B">
            <w:pPr>
              <w:pStyle w:val="DCUSATableText"/>
            </w:pPr>
            <w:r w:rsidRPr="00C70D7F">
              <w:t>450A</w:t>
            </w:r>
          </w:p>
        </w:tc>
        <w:tc>
          <w:tcPr>
            <w:tcW w:w="1106" w:type="dxa"/>
          </w:tcPr>
          <w:p w14:paraId="1880094A" w14:textId="77777777" w:rsidR="0041584B" w:rsidRPr="00C70D7F" w:rsidRDefault="0041584B" w:rsidP="0041584B">
            <w:pPr>
              <w:pStyle w:val="DCUSATableText"/>
            </w:pPr>
            <w:r w:rsidRPr="00C70D7F">
              <w:t>0.0018</w:t>
            </w:r>
          </w:p>
        </w:tc>
        <w:tc>
          <w:tcPr>
            <w:tcW w:w="1008" w:type="dxa"/>
          </w:tcPr>
          <w:p w14:paraId="02F10A31" w14:textId="77777777" w:rsidR="0041584B" w:rsidRPr="00C70D7F" w:rsidRDefault="0041584B" w:rsidP="0041584B">
            <w:pPr>
              <w:pStyle w:val="DCUSATableText"/>
            </w:pPr>
            <w:r w:rsidRPr="00C70D7F">
              <w:t>0.0054</w:t>
            </w:r>
          </w:p>
        </w:tc>
      </w:tr>
      <w:tr w:rsidR="0041584B" w:rsidRPr="00C70D7F" w14:paraId="56EAD792" w14:textId="77777777" w:rsidTr="0041584B">
        <w:trPr>
          <w:trHeight w:val="285"/>
        </w:trPr>
        <w:tc>
          <w:tcPr>
            <w:tcW w:w="1980" w:type="dxa"/>
            <w:noWrap/>
          </w:tcPr>
          <w:p w14:paraId="2619FDA8" w14:textId="77777777" w:rsidR="0041584B" w:rsidRPr="00C70D7F" w:rsidRDefault="0041584B" w:rsidP="0041584B">
            <w:pPr>
              <w:pStyle w:val="DCUSATableText"/>
            </w:pPr>
            <w:r w:rsidRPr="00C70D7F">
              <w:t>Node 2 to Node 3</w:t>
            </w:r>
          </w:p>
        </w:tc>
        <w:tc>
          <w:tcPr>
            <w:tcW w:w="919" w:type="dxa"/>
            <w:noWrap/>
          </w:tcPr>
          <w:p w14:paraId="4E24E17C" w14:textId="77777777" w:rsidR="0041584B" w:rsidRPr="00C70D7F" w:rsidRDefault="0041584B" w:rsidP="0041584B">
            <w:pPr>
              <w:pStyle w:val="DCUSATableText"/>
            </w:pPr>
            <w:r w:rsidRPr="00C70D7F">
              <w:t>2</w:t>
            </w:r>
          </w:p>
        </w:tc>
        <w:tc>
          <w:tcPr>
            <w:tcW w:w="2608" w:type="dxa"/>
            <w:noWrap/>
          </w:tcPr>
          <w:p w14:paraId="77EB2883" w14:textId="77777777" w:rsidR="0041584B" w:rsidRPr="00C70D7F" w:rsidRDefault="0041584B" w:rsidP="0041584B">
            <w:pPr>
              <w:pStyle w:val="DCUSATableText"/>
            </w:pPr>
            <w:r w:rsidRPr="00C70D7F">
              <w:t>185mm</w:t>
            </w:r>
            <w:r w:rsidRPr="00C70D7F">
              <w:rPr>
                <w:vertAlign w:val="superscript"/>
              </w:rPr>
              <w:t>2</w:t>
            </w:r>
            <w:r w:rsidRPr="00C70D7F">
              <w:t xml:space="preserve"> Cu U/G</w:t>
            </w:r>
          </w:p>
        </w:tc>
        <w:tc>
          <w:tcPr>
            <w:tcW w:w="1276" w:type="dxa"/>
            <w:noWrap/>
          </w:tcPr>
          <w:p w14:paraId="137E1AF6" w14:textId="77777777" w:rsidR="0041584B" w:rsidRPr="00C70D7F" w:rsidRDefault="0041584B" w:rsidP="0041584B">
            <w:pPr>
              <w:pStyle w:val="DCUSATableText"/>
            </w:pPr>
            <w:r w:rsidRPr="00C70D7F">
              <w:t>0.2km</w:t>
            </w:r>
          </w:p>
        </w:tc>
        <w:tc>
          <w:tcPr>
            <w:tcW w:w="992" w:type="dxa"/>
            <w:noWrap/>
          </w:tcPr>
          <w:p w14:paraId="67DCFC19" w14:textId="77777777" w:rsidR="0041584B" w:rsidRPr="00C70D7F" w:rsidRDefault="0041584B" w:rsidP="0041584B">
            <w:pPr>
              <w:pStyle w:val="DCUSATableText"/>
            </w:pPr>
            <w:r w:rsidRPr="00C70D7F">
              <w:t>550A</w:t>
            </w:r>
          </w:p>
        </w:tc>
        <w:tc>
          <w:tcPr>
            <w:tcW w:w="1106" w:type="dxa"/>
          </w:tcPr>
          <w:p w14:paraId="23C035C8" w14:textId="77777777" w:rsidR="0041584B" w:rsidRPr="00C70D7F" w:rsidRDefault="0041584B" w:rsidP="0041584B">
            <w:pPr>
              <w:pStyle w:val="DCUSATableText"/>
            </w:pPr>
            <w:r w:rsidRPr="00C70D7F">
              <w:t>0.00003</w:t>
            </w:r>
          </w:p>
        </w:tc>
        <w:tc>
          <w:tcPr>
            <w:tcW w:w="1008" w:type="dxa"/>
          </w:tcPr>
          <w:p w14:paraId="1FDC064F" w14:textId="77777777" w:rsidR="0041584B" w:rsidRPr="00C70D7F" w:rsidRDefault="0041584B" w:rsidP="0041584B">
            <w:pPr>
              <w:pStyle w:val="DCUSATableText"/>
            </w:pPr>
            <w:r w:rsidRPr="00C70D7F">
              <w:t>0.0003</w:t>
            </w:r>
          </w:p>
        </w:tc>
      </w:tr>
      <w:tr w:rsidR="0041584B" w:rsidRPr="00C70D7F" w14:paraId="7DBFAE03" w14:textId="77777777" w:rsidTr="0041584B">
        <w:trPr>
          <w:trHeight w:val="285"/>
        </w:trPr>
        <w:tc>
          <w:tcPr>
            <w:tcW w:w="1980" w:type="dxa"/>
            <w:noWrap/>
          </w:tcPr>
          <w:p w14:paraId="0A5CD1D6" w14:textId="77777777" w:rsidR="0041584B" w:rsidRPr="00C70D7F" w:rsidRDefault="0041584B" w:rsidP="0041584B">
            <w:pPr>
              <w:pStyle w:val="DCUSATableText"/>
            </w:pPr>
            <w:r w:rsidRPr="00C70D7F">
              <w:t>Node 2 to Node 5</w:t>
            </w:r>
          </w:p>
        </w:tc>
        <w:tc>
          <w:tcPr>
            <w:tcW w:w="919" w:type="dxa"/>
            <w:noWrap/>
          </w:tcPr>
          <w:p w14:paraId="25EAB165" w14:textId="77777777" w:rsidR="0041584B" w:rsidRPr="00C70D7F" w:rsidRDefault="0041584B" w:rsidP="0041584B">
            <w:pPr>
              <w:pStyle w:val="DCUSATableText"/>
            </w:pPr>
            <w:r w:rsidRPr="00C70D7F">
              <w:t>1</w:t>
            </w:r>
          </w:p>
        </w:tc>
        <w:tc>
          <w:tcPr>
            <w:tcW w:w="2608" w:type="dxa"/>
            <w:noWrap/>
          </w:tcPr>
          <w:p w14:paraId="37A44170" w14:textId="77777777" w:rsidR="0041584B" w:rsidRPr="00C70D7F" w:rsidRDefault="0041584B" w:rsidP="0041584B">
            <w:pPr>
              <w:pStyle w:val="DCUSATableText"/>
            </w:pPr>
            <w:r w:rsidRPr="00C70D7F">
              <w:t>100mm</w:t>
            </w:r>
            <w:r w:rsidRPr="00C70D7F">
              <w:rPr>
                <w:vertAlign w:val="superscript"/>
              </w:rPr>
              <w:t>2</w:t>
            </w:r>
            <w:r w:rsidRPr="00C70D7F">
              <w:t xml:space="preserve"> HDC O/H</w:t>
            </w:r>
          </w:p>
        </w:tc>
        <w:tc>
          <w:tcPr>
            <w:tcW w:w="1276" w:type="dxa"/>
            <w:noWrap/>
          </w:tcPr>
          <w:p w14:paraId="336F460C" w14:textId="77777777" w:rsidR="0041584B" w:rsidRPr="00C70D7F" w:rsidRDefault="0041584B" w:rsidP="0041584B">
            <w:pPr>
              <w:pStyle w:val="DCUSATableText"/>
            </w:pPr>
            <w:r w:rsidRPr="00C70D7F">
              <w:t>0.4km</w:t>
            </w:r>
          </w:p>
        </w:tc>
        <w:tc>
          <w:tcPr>
            <w:tcW w:w="992" w:type="dxa"/>
            <w:noWrap/>
          </w:tcPr>
          <w:p w14:paraId="4EDF0476" w14:textId="77777777" w:rsidR="0041584B" w:rsidRPr="00C70D7F" w:rsidRDefault="0041584B" w:rsidP="0041584B">
            <w:pPr>
              <w:pStyle w:val="DCUSATableText"/>
            </w:pPr>
            <w:r w:rsidRPr="00C70D7F">
              <w:t>475A</w:t>
            </w:r>
          </w:p>
        </w:tc>
        <w:tc>
          <w:tcPr>
            <w:tcW w:w="1106" w:type="dxa"/>
          </w:tcPr>
          <w:p w14:paraId="5CBB155B" w14:textId="77777777" w:rsidR="0041584B" w:rsidRPr="00C70D7F" w:rsidRDefault="0041584B" w:rsidP="0041584B">
            <w:pPr>
              <w:pStyle w:val="DCUSATableText"/>
            </w:pPr>
            <w:r w:rsidRPr="00C70D7F">
              <w:t>0.00004</w:t>
            </w:r>
          </w:p>
        </w:tc>
        <w:tc>
          <w:tcPr>
            <w:tcW w:w="1008" w:type="dxa"/>
          </w:tcPr>
          <w:p w14:paraId="102F32E1" w14:textId="77777777" w:rsidR="0041584B" w:rsidRPr="00C70D7F" w:rsidRDefault="0041584B" w:rsidP="0041584B">
            <w:pPr>
              <w:pStyle w:val="DCUSATableText"/>
            </w:pPr>
            <w:r w:rsidRPr="00C70D7F">
              <w:t>0.0004</w:t>
            </w:r>
          </w:p>
        </w:tc>
      </w:tr>
      <w:tr w:rsidR="0041584B" w:rsidRPr="00C70D7F" w14:paraId="2DC1C31F" w14:textId="77777777" w:rsidTr="0041584B">
        <w:trPr>
          <w:trHeight w:val="285"/>
        </w:trPr>
        <w:tc>
          <w:tcPr>
            <w:tcW w:w="1980" w:type="dxa"/>
            <w:noWrap/>
          </w:tcPr>
          <w:p w14:paraId="3D83A5D9" w14:textId="77777777" w:rsidR="0041584B" w:rsidRPr="00C70D7F" w:rsidRDefault="0041584B" w:rsidP="0041584B">
            <w:pPr>
              <w:pStyle w:val="DCUSATableText"/>
            </w:pPr>
            <w:r w:rsidRPr="00C70D7F">
              <w:t>Node 2 to Node 5</w:t>
            </w:r>
          </w:p>
        </w:tc>
        <w:tc>
          <w:tcPr>
            <w:tcW w:w="919" w:type="dxa"/>
            <w:noWrap/>
          </w:tcPr>
          <w:p w14:paraId="7E7E39F0" w14:textId="77777777" w:rsidR="0041584B" w:rsidRPr="00C70D7F" w:rsidRDefault="0041584B" w:rsidP="0041584B">
            <w:pPr>
              <w:pStyle w:val="DCUSATableText"/>
            </w:pPr>
            <w:r w:rsidRPr="00C70D7F">
              <w:t>2</w:t>
            </w:r>
          </w:p>
        </w:tc>
        <w:tc>
          <w:tcPr>
            <w:tcW w:w="2608" w:type="dxa"/>
            <w:noWrap/>
          </w:tcPr>
          <w:p w14:paraId="4B81B0A9" w14:textId="77777777" w:rsidR="0041584B" w:rsidRPr="00C70D7F" w:rsidRDefault="0041584B" w:rsidP="0041584B">
            <w:pPr>
              <w:pStyle w:val="DCUSATableText"/>
            </w:pPr>
            <w:r w:rsidRPr="00C70D7F">
              <w:t>0.3in</w:t>
            </w:r>
            <w:r w:rsidRPr="00C70D7F">
              <w:rPr>
                <w:vertAlign w:val="superscript"/>
              </w:rPr>
              <w:t>2</w:t>
            </w:r>
            <w:r w:rsidRPr="00C70D7F">
              <w:t xml:space="preserve"> Cu U/G</w:t>
            </w:r>
          </w:p>
        </w:tc>
        <w:tc>
          <w:tcPr>
            <w:tcW w:w="1276" w:type="dxa"/>
            <w:noWrap/>
          </w:tcPr>
          <w:p w14:paraId="496322A1" w14:textId="77777777" w:rsidR="0041584B" w:rsidRPr="00C70D7F" w:rsidRDefault="0041584B" w:rsidP="0041584B">
            <w:pPr>
              <w:pStyle w:val="DCUSATableText"/>
            </w:pPr>
            <w:r w:rsidRPr="00C70D7F">
              <w:t>0.2km</w:t>
            </w:r>
          </w:p>
        </w:tc>
        <w:tc>
          <w:tcPr>
            <w:tcW w:w="992" w:type="dxa"/>
            <w:noWrap/>
          </w:tcPr>
          <w:p w14:paraId="7B344F27" w14:textId="77777777" w:rsidR="0041584B" w:rsidRPr="00C70D7F" w:rsidRDefault="0041584B" w:rsidP="0041584B">
            <w:pPr>
              <w:pStyle w:val="DCUSATableText"/>
            </w:pPr>
            <w:r w:rsidRPr="00C70D7F">
              <w:t>500A</w:t>
            </w:r>
          </w:p>
        </w:tc>
        <w:tc>
          <w:tcPr>
            <w:tcW w:w="1106" w:type="dxa"/>
          </w:tcPr>
          <w:p w14:paraId="20CD951D" w14:textId="77777777" w:rsidR="0041584B" w:rsidRPr="00C70D7F" w:rsidRDefault="0041584B" w:rsidP="0041584B">
            <w:pPr>
              <w:pStyle w:val="DCUSATableText"/>
            </w:pPr>
            <w:r w:rsidRPr="00C70D7F">
              <w:t>0.00003</w:t>
            </w:r>
          </w:p>
        </w:tc>
        <w:tc>
          <w:tcPr>
            <w:tcW w:w="1008" w:type="dxa"/>
          </w:tcPr>
          <w:p w14:paraId="09DE3C73" w14:textId="77777777" w:rsidR="0041584B" w:rsidRPr="00C70D7F" w:rsidRDefault="0041584B" w:rsidP="0041584B">
            <w:pPr>
              <w:pStyle w:val="DCUSATableText"/>
            </w:pPr>
            <w:r w:rsidRPr="00C70D7F">
              <w:t>0.0001</w:t>
            </w:r>
          </w:p>
        </w:tc>
      </w:tr>
      <w:tr w:rsidR="0041584B" w:rsidRPr="00C70D7F" w14:paraId="3900FE42" w14:textId="77777777" w:rsidTr="0041584B">
        <w:trPr>
          <w:trHeight w:val="285"/>
        </w:trPr>
        <w:tc>
          <w:tcPr>
            <w:tcW w:w="1980" w:type="dxa"/>
            <w:noWrap/>
          </w:tcPr>
          <w:p w14:paraId="7D6750B4" w14:textId="77777777" w:rsidR="0041584B" w:rsidRPr="00C70D7F" w:rsidRDefault="0041584B" w:rsidP="0041584B">
            <w:pPr>
              <w:pStyle w:val="DCUSATableText"/>
            </w:pPr>
            <w:r w:rsidRPr="00C70D7F">
              <w:t>Node 2 to Node 5</w:t>
            </w:r>
          </w:p>
        </w:tc>
        <w:tc>
          <w:tcPr>
            <w:tcW w:w="919" w:type="dxa"/>
            <w:noWrap/>
          </w:tcPr>
          <w:p w14:paraId="7F8FFE6D" w14:textId="77777777" w:rsidR="0041584B" w:rsidRPr="00C70D7F" w:rsidRDefault="0041584B" w:rsidP="0041584B">
            <w:pPr>
              <w:pStyle w:val="DCUSATableText"/>
            </w:pPr>
            <w:r w:rsidRPr="00C70D7F">
              <w:t>3</w:t>
            </w:r>
          </w:p>
        </w:tc>
        <w:tc>
          <w:tcPr>
            <w:tcW w:w="2608" w:type="dxa"/>
            <w:noWrap/>
          </w:tcPr>
          <w:p w14:paraId="5220914F" w14:textId="77777777" w:rsidR="0041584B" w:rsidRPr="00C70D7F" w:rsidRDefault="0041584B" w:rsidP="0041584B">
            <w:pPr>
              <w:pStyle w:val="DCUSATableText"/>
            </w:pPr>
            <w:r w:rsidRPr="00C70D7F">
              <w:t>0.15in</w:t>
            </w:r>
            <w:r w:rsidRPr="00C70D7F">
              <w:rPr>
                <w:vertAlign w:val="superscript"/>
              </w:rPr>
              <w:t>2</w:t>
            </w:r>
            <w:r w:rsidRPr="00C70D7F">
              <w:t xml:space="preserve"> HDC O/H</w:t>
            </w:r>
          </w:p>
        </w:tc>
        <w:tc>
          <w:tcPr>
            <w:tcW w:w="1276" w:type="dxa"/>
            <w:noWrap/>
          </w:tcPr>
          <w:p w14:paraId="46736B53" w14:textId="77777777" w:rsidR="0041584B" w:rsidRPr="00C70D7F" w:rsidRDefault="0041584B" w:rsidP="0041584B">
            <w:pPr>
              <w:pStyle w:val="DCUSATableText"/>
            </w:pPr>
            <w:r w:rsidRPr="00C70D7F">
              <w:t>1.5km</w:t>
            </w:r>
          </w:p>
        </w:tc>
        <w:tc>
          <w:tcPr>
            <w:tcW w:w="992" w:type="dxa"/>
            <w:noWrap/>
          </w:tcPr>
          <w:p w14:paraId="54E93102" w14:textId="77777777" w:rsidR="0041584B" w:rsidRPr="00C70D7F" w:rsidRDefault="0041584B" w:rsidP="0041584B">
            <w:pPr>
              <w:pStyle w:val="DCUSATableText"/>
            </w:pPr>
            <w:r w:rsidRPr="00C70D7F">
              <w:t>450A</w:t>
            </w:r>
          </w:p>
        </w:tc>
        <w:tc>
          <w:tcPr>
            <w:tcW w:w="1106" w:type="dxa"/>
          </w:tcPr>
          <w:p w14:paraId="1109FC1C" w14:textId="77777777" w:rsidR="0041584B" w:rsidRPr="00C70D7F" w:rsidRDefault="0041584B" w:rsidP="0041584B">
            <w:pPr>
              <w:pStyle w:val="DCUSATableText"/>
            </w:pPr>
            <w:r w:rsidRPr="00C70D7F">
              <w:t>0.00045</w:t>
            </w:r>
          </w:p>
        </w:tc>
        <w:tc>
          <w:tcPr>
            <w:tcW w:w="1008" w:type="dxa"/>
          </w:tcPr>
          <w:p w14:paraId="4719849B" w14:textId="77777777" w:rsidR="0041584B" w:rsidRPr="00C70D7F" w:rsidRDefault="0041584B" w:rsidP="0041584B">
            <w:pPr>
              <w:pStyle w:val="DCUSATableText"/>
            </w:pPr>
            <w:r w:rsidRPr="00C70D7F">
              <w:t>0.00135</w:t>
            </w:r>
          </w:p>
        </w:tc>
      </w:tr>
    </w:tbl>
    <w:p w14:paraId="7626FC8B" w14:textId="77777777" w:rsidR="0041584B" w:rsidRPr="00C70D7F" w:rsidRDefault="0041584B" w:rsidP="0041584B">
      <w:pPr>
        <w:pStyle w:val="Caption"/>
        <w:ind w:left="567"/>
      </w:pPr>
    </w:p>
    <w:p w14:paraId="50B36724" w14:textId="77777777" w:rsidR="0041584B" w:rsidRPr="00C70D7F" w:rsidRDefault="0041584B" w:rsidP="0041584B">
      <w:pPr>
        <w:keepNext/>
        <w:keepLines/>
      </w:pPr>
      <w:bookmarkStart w:id="475" w:name="_Ref247787220"/>
      <w:bookmarkStart w:id="476" w:name="_Toc253698459"/>
      <w:r w:rsidRPr="00C70D7F">
        <w:rPr>
          <w:b/>
        </w:rPr>
        <w:t xml:space="preserve">Table </w:t>
      </w:r>
      <w:r>
        <w:rPr>
          <w:b/>
        </w:rPr>
        <w:t>4.9A</w:t>
      </w:r>
      <w:bookmarkEnd w:id="475"/>
      <w:r w:rsidRPr="00C70D7F">
        <w:rPr>
          <w:b/>
        </w:rPr>
        <w:t xml:space="preserve"> </w:t>
      </w:r>
      <w:r w:rsidRPr="00C70D7F">
        <w:t xml:space="preserve">- </w:t>
      </w:r>
      <w:r w:rsidRPr="00C70D7F">
        <w:rPr>
          <w:b/>
        </w:rPr>
        <w:t>Parameters used for the Nodal model shown in</w:t>
      </w:r>
      <w:bookmarkEnd w:id="476"/>
      <w:r w:rsidRPr="00C70D7F">
        <w:rPr>
          <w:b/>
        </w:rPr>
        <w:t xml:space="preserve"> Figure 3</w:t>
      </w:r>
      <w:r w:rsidRPr="00C70D7F">
        <w:t>.</w:t>
      </w:r>
    </w:p>
    <w:tbl>
      <w:tblPr>
        <w:tblStyle w:val="GridTable4-Accent3"/>
        <w:tblW w:w="5000" w:type="pct"/>
        <w:tblLook w:val="0620" w:firstRow="1" w:lastRow="0" w:firstColumn="0" w:lastColumn="0" w:noHBand="1" w:noVBand="1"/>
      </w:tblPr>
      <w:tblGrid>
        <w:gridCol w:w="2893"/>
        <w:gridCol w:w="1490"/>
        <w:gridCol w:w="1715"/>
        <w:gridCol w:w="1553"/>
        <w:gridCol w:w="1368"/>
      </w:tblGrid>
      <w:tr w:rsidR="0041584B" w:rsidRPr="00C70D7F" w14:paraId="4E46B9EA" w14:textId="77777777" w:rsidTr="0041584B">
        <w:trPr>
          <w:cnfStyle w:val="100000000000" w:firstRow="1" w:lastRow="0" w:firstColumn="0" w:lastColumn="0" w:oddVBand="0" w:evenVBand="0" w:oddHBand="0" w:evenHBand="0" w:firstRowFirstColumn="0" w:firstRowLastColumn="0" w:lastRowFirstColumn="0" w:lastRowLastColumn="0"/>
          <w:trHeight w:val="255"/>
        </w:trPr>
        <w:tc>
          <w:tcPr>
            <w:tcW w:w="1611" w:type="pct"/>
            <w:noWrap/>
            <w:vAlign w:val="center"/>
          </w:tcPr>
          <w:p w14:paraId="0D88B9A8" w14:textId="77777777" w:rsidR="0041584B" w:rsidRPr="00C70D7F" w:rsidRDefault="0041584B" w:rsidP="0041584B">
            <w:pPr>
              <w:pStyle w:val="DCUSATabletextnumbers"/>
              <w:rPr>
                <w:b/>
              </w:rPr>
            </w:pPr>
            <w:r w:rsidRPr="00C70D7F">
              <w:rPr>
                <w:b/>
              </w:rPr>
              <w:t>Branch</w:t>
            </w:r>
          </w:p>
        </w:tc>
        <w:tc>
          <w:tcPr>
            <w:tcW w:w="798" w:type="pct"/>
            <w:noWrap/>
            <w:vAlign w:val="center"/>
          </w:tcPr>
          <w:p w14:paraId="514712E2" w14:textId="77777777" w:rsidR="0041584B" w:rsidRPr="00C70D7F" w:rsidRDefault="0041584B" w:rsidP="0041584B">
            <w:pPr>
              <w:pStyle w:val="DCUSATabletextnumbers"/>
              <w:rPr>
                <w:b/>
              </w:rPr>
            </w:pPr>
            <w:r w:rsidRPr="00C70D7F">
              <w:rPr>
                <w:b/>
              </w:rPr>
              <w:t>Line Section</w:t>
            </w:r>
          </w:p>
        </w:tc>
        <w:tc>
          <w:tcPr>
            <w:tcW w:w="958" w:type="pct"/>
            <w:noWrap/>
            <w:vAlign w:val="center"/>
          </w:tcPr>
          <w:p w14:paraId="2EAC526D" w14:textId="77777777" w:rsidR="0041584B" w:rsidRPr="00C70D7F" w:rsidRDefault="0041584B" w:rsidP="0041584B">
            <w:pPr>
              <w:pStyle w:val="DCUSATabletextnumbers"/>
              <w:rPr>
                <w:b/>
              </w:rPr>
            </w:pPr>
            <w:r w:rsidRPr="00C70D7F">
              <w:rPr>
                <w:b/>
              </w:rPr>
              <w:t>Rating</w:t>
            </w:r>
          </w:p>
        </w:tc>
        <w:tc>
          <w:tcPr>
            <w:tcW w:w="868" w:type="pct"/>
            <w:vAlign w:val="center"/>
          </w:tcPr>
          <w:p w14:paraId="23E2EFC6" w14:textId="77777777" w:rsidR="0041584B" w:rsidRPr="00C70D7F" w:rsidRDefault="0041584B" w:rsidP="0041584B">
            <w:pPr>
              <w:pStyle w:val="DCUSATabletextnumbers"/>
              <w:rPr>
                <w:b/>
              </w:rPr>
            </w:pPr>
            <w:r w:rsidRPr="00C70D7F">
              <w:rPr>
                <w:b/>
              </w:rPr>
              <w:t>R(</w:t>
            </w:r>
            <w:proofErr w:type="spellStart"/>
            <w:r w:rsidRPr="00C70D7F">
              <w:rPr>
                <w:b/>
              </w:rPr>
              <w:t>p.u</w:t>
            </w:r>
            <w:proofErr w:type="spellEnd"/>
            <w:r w:rsidRPr="00C70D7F">
              <w:rPr>
                <w:b/>
              </w:rPr>
              <w:t>.)</w:t>
            </w:r>
          </w:p>
        </w:tc>
        <w:tc>
          <w:tcPr>
            <w:tcW w:w="765" w:type="pct"/>
            <w:vAlign w:val="center"/>
          </w:tcPr>
          <w:p w14:paraId="5415400B" w14:textId="77777777" w:rsidR="0041584B" w:rsidRPr="00C70D7F" w:rsidRDefault="0041584B" w:rsidP="0041584B">
            <w:pPr>
              <w:pStyle w:val="DCUSATabletextnumbers"/>
              <w:rPr>
                <w:b/>
              </w:rPr>
            </w:pPr>
            <w:r w:rsidRPr="00C70D7F">
              <w:rPr>
                <w:b/>
              </w:rPr>
              <w:t>X(</w:t>
            </w:r>
            <w:proofErr w:type="spellStart"/>
            <w:r w:rsidRPr="00C70D7F">
              <w:rPr>
                <w:b/>
              </w:rPr>
              <w:t>p.u</w:t>
            </w:r>
            <w:proofErr w:type="spellEnd"/>
            <w:r w:rsidRPr="00C70D7F">
              <w:rPr>
                <w:b/>
              </w:rPr>
              <w:t>.)</w:t>
            </w:r>
          </w:p>
        </w:tc>
      </w:tr>
      <w:tr w:rsidR="0041584B" w:rsidRPr="00C70D7F" w14:paraId="036057F2" w14:textId="77777777" w:rsidTr="0041584B">
        <w:trPr>
          <w:trHeight w:val="285"/>
        </w:trPr>
        <w:tc>
          <w:tcPr>
            <w:tcW w:w="1611" w:type="pct"/>
            <w:noWrap/>
            <w:vAlign w:val="center"/>
          </w:tcPr>
          <w:p w14:paraId="0A5730A2" w14:textId="77777777" w:rsidR="0041584B" w:rsidRPr="00141599" w:rsidRDefault="0041584B" w:rsidP="0041584B">
            <w:pPr>
              <w:pStyle w:val="DCUSATableText"/>
            </w:pPr>
            <w:r w:rsidRPr="00141599">
              <w:t>Node 1 to Node 2</w:t>
            </w:r>
          </w:p>
        </w:tc>
        <w:tc>
          <w:tcPr>
            <w:tcW w:w="798" w:type="pct"/>
            <w:noWrap/>
            <w:vAlign w:val="center"/>
          </w:tcPr>
          <w:p w14:paraId="4DF17C89" w14:textId="77777777" w:rsidR="0041584B" w:rsidRPr="00141599" w:rsidRDefault="0041584B" w:rsidP="0041584B">
            <w:pPr>
              <w:pStyle w:val="DCUSATableText"/>
            </w:pPr>
            <w:r w:rsidRPr="00141599">
              <w:t>1</w:t>
            </w:r>
          </w:p>
        </w:tc>
        <w:tc>
          <w:tcPr>
            <w:tcW w:w="958" w:type="pct"/>
            <w:noWrap/>
            <w:vAlign w:val="center"/>
          </w:tcPr>
          <w:p w14:paraId="44436AC3" w14:textId="77777777" w:rsidR="0041584B" w:rsidRPr="00141599" w:rsidRDefault="0041584B" w:rsidP="0041584B">
            <w:pPr>
              <w:pStyle w:val="DCUSATableText"/>
            </w:pPr>
            <w:r w:rsidRPr="00141599">
              <w:t>600A</w:t>
            </w:r>
          </w:p>
        </w:tc>
        <w:tc>
          <w:tcPr>
            <w:tcW w:w="868" w:type="pct"/>
            <w:vAlign w:val="center"/>
          </w:tcPr>
          <w:p w14:paraId="69639042" w14:textId="77777777" w:rsidR="0041584B" w:rsidRPr="00141599" w:rsidRDefault="0041584B" w:rsidP="0041584B">
            <w:pPr>
              <w:pStyle w:val="DCUSATableText"/>
            </w:pPr>
            <w:r w:rsidRPr="00141599">
              <w:t>0.001</w:t>
            </w:r>
          </w:p>
        </w:tc>
        <w:tc>
          <w:tcPr>
            <w:tcW w:w="765" w:type="pct"/>
            <w:vAlign w:val="center"/>
          </w:tcPr>
          <w:p w14:paraId="2BA21084" w14:textId="77777777" w:rsidR="0041584B" w:rsidRPr="00141599" w:rsidRDefault="0041584B" w:rsidP="0041584B">
            <w:pPr>
              <w:pStyle w:val="DCUSATableText"/>
            </w:pPr>
            <w:r w:rsidRPr="00141599">
              <w:t>0.01</w:t>
            </w:r>
          </w:p>
        </w:tc>
      </w:tr>
      <w:tr w:rsidR="0041584B" w:rsidRPr="00C70D7F" w14:paraId="4E7989AC" w14:textId="77777777" w:rsidTr="0041584B">
        <w:trPr>
          <w:trHeight w:val="285"/>
        </w:trPr>
        <w:tc>
          <w:tcPr>
            <w:tcW w:w="1611" w:type="pct"/>
            <w:noWrap/>
            <w:vAlign w:val="center"/>
          </w:tcPr>
          <w:p w14:paraId="221A970A" w14:textId="77777777" w:rsidR="0041584B" w:rsidRPr="00141599" w:rsidRDefault="0041584B" w:rsidP="0041584B">
            <w:pPr>
              <w:pStyle w:val="DCUSATableText"/>
            </w:pPr>
            <w:r w:rsidRPr="00141599">
              <w:t>Node 2 to Node 3</w:t>
            </w:r>
          </w:p>
        </w:tc>
        <w:tc>
          <w:tcPr>
            <w:tcW w:w="798" w:type="pct"/>
            <w:noWrap/>
            <w:vAlign w:val="center"/>
          </w:tcPr>
          <w:p w14:paraId="71210FFB" w14:textId="77777777" w:rsidR="0041584B" w:rsidRPr="00141599" w:rsidRDefault="0041584B" w:rsidP="0041584B">
            <w:pPr>
              <w:pStyle w:val="DCUSATableText"/>
            </w:pPr>
            <w:r w:rsidRPr="00141599">
              <w:t>1</w:t>
            </w:r>
          </w:p>
        </w:tc>
        <w:tc>
          <w:tcPr>
            <w:tcW w:w="958" w:type="pct"/>
            <w:noWrap/>
            <w:vAlign w:val="center"/>
          </w:tcPr>
          <w:p w14:paraId="1C6EF69D" w14:textId="77777777" w:rsidR="0041584B" w:rsidRPr="00141599" w:rsidRDefault="0041584B" w:rsidP="0041584B">
            <w:pPr>
              <w:pStyle w:val="DCUSATableText"/>
            </w:pPr>
            <w:r w:rsidRPr="00141599">
              <w:t>450A</w:t>
            </w:r>
          </w:p>
        </w:tc>
        <w:tc>
          <w:tcPr>
            <w:tcW w:w="868" w:type="pct"/>
            <w:vAlign w:val="center"/>
          </w:tcPr>
          <w:p w14:paraId="67F7A433" w14:textId="77777777" w:rsidR="0041584B" w:rsidRPr="00141599" w:rsidRDefault="0041584B" w:rsidP="0041584B">
            <w:pPr>
              <w:pStyle w:val="DCUSATableText"/>
            </w:pPr>
            <w:r w:rsidRPr="00141599">
              <w:t>0.00183</w:t>
            </w:r>
          </w:p>
        </w:tc>
        <w:tc>
          <w:tcPr>
            <w:tcW w:w="765" w:type="pct"/>
            <w:vAlign w:val="center"/>
          </w:tcPr>
          <w:p w14:paraId="22631717" w14:textId="77777777" w:rsidR="0041584B" w:rsidRPr="00141599" w:rsidRDefault="0041584B" w:rsidP="0041584B">
            <w:pPr>
              <w:pStyle w:val="DCUSATableText"/>
            </w:pPr>
            <w:r w:rsidRPr="00141599">
              <w:t>0.0057</w:t>
            </w:r>
          </w:p>
        </w:tc>
      </w:tr>
      <w:tr w:rsidR="0041584B" w:rsidRPr="00C70D7F" w14:paraId="749A1F24" w14:textId="77777777" w:rsidTr="0041584B">
        <w:trPr>
          <w:trHeight w:val="285"/>
        </w:trPr>
        <w:tc>
          <w:tcPr>
            <w:tcW w:w="1611" w:type="pct"/>
            <w:noWrap/>
            <w:vAlign w:val="center"/>
          </w:tcPr>
          <w:p w14:paraId="27A36DCB" w14:textId="77777777" w:rsidR="0041584B" w:rsidRPr="00141599" w:rsidRDefault="0041584B" w:rsidP="0041584B">
            <w:pPr>
              <w:pStyle w:val="DCUSATableText"/>
            </w:pPr>
            <w:r w:rsidRPr="00141599">
              <w:t>Node 2 to Node 5</w:t>
            </w:r>
          </w:p>
        </w:tc>
        <w:tc>
          <w:tcPr>
            <w:tcW w:w="798" w:type="pct"/>
            <w:noWrap/>
            <w:vAlign w:val="center"/>
          </w:tcPr>
          <w:p w14:paraId="43B7C436" w14:textId="77777777" w:rsidR="0041584B" w:rsidRPr="00141599" w:rsidRDefault="0041584B" w:rsidP="0041584B">
            <w:pPr>
              <w:pStyle w:val="DCUSATableText"/>
            </w:pPr>
            <w:r w:rsidRPr="00141599">
              <w:t>3</w:t>
            </w:r>
          </w:p>
        </w:tc>
        <w:tc>
          <w:tcPr>
            <w:tcW w:w="958" w:type="pct"/>
            <w:noWrap/>
            <w:vAlign w:val="center"/>
          </w:tcPr>
          <w:p w14:paraId="7BEF1FAF" w14:textId="77777777" w:rsidR="0041584B" w:rsidRPr="00141599" w:rsidRDefault="0041584B" w:rsidP="0041584B">
            <w:pPr>
              <w:pStyle w:val="DCUSATableText"/>
            </w:pPr>
            <w:r w:rsidRPr="00141599">
              <w:t>450A</w:t>
            </w:r>
          </w:p>
        </w:tc>
        <w:tc>
          <w:tcPr>
            <w:tcW w:w="868" w:type="pct"/>
            <w:vAlign w:val="center"/>
          </w:tcPr>
          <w:p w14:paraId="1F9F7523" w14:textId="77777777" w:rsidR="0041584B" w:rsidRPr="00141599" w:rsidRDefault="0041584B" w:rsidP="0041584B">
            <w:pPr>
              <w:pStyle w:val="DCUSATableText"/>
            </w:pPr>
            <w:r w:rsidRPr="00141599">
              <w:t>0.00052</w:t>
            </w:r>
          </w:p>
        </w:tc>
        <w:tc>
          <w:tcPr>
            <w:tcW w:w="765" w:type="pct"/>
            <w:vAlign w:val="center"/>
          </w:tcPr>
          <w:p w14:paraId="435D7D3B" w14:textId="77777777" w:rsidR="0041584B" w:rsidRPr="00141599" w:rsidRDefault="0041584B" w:rsidP="0041584B">
            <w:pPr>
              <w:pStyle w:val="DCUSATableText"/>
            </w:pPr>
            <w:r w:rsidRPr="00141599">
              <w:t>0.00185</w:t>
            </w:r>
          </w:p>
        </w:tc>
      </w:tr>
    </w:tbl>
    <w:p w14:paraId="57A998B2" w14:textId="77777777" w:rsidR="0041584B" w:rsidRPr="00061A99" w:rsidRDefault="0041584B" w:rsidP="0041584B">
      <w:pPr>
        <w:pStyle w:val="Heading1"/>
      </w:pPr>
      <w:bookmarkStart w:id="477" w:name="_Ref248280034"/>
      <w:bookmarkStart w:id="478" w:name="_Toc268553675"/>
      <w:bookmarkStart w:id="479" w:name="_Toc269379864"/>
      <w:bookmarkStart w:id="480" w:name="_Toc269720513"/>
      <w:bookmarkStart w:id="481" w:name="_Toc269721210"/>
      <w:bookmarkStart w:id="482" w:name="_Ref277946634"/>
      <w:bookmarkStart w:id="483" w:name="_Toc320876097"/>
      <w:bookmarkStart w:id="484" w:name="_Toc320876720"/>
      <w:bookmarkStart w:id="485" w:name="_Toc325449934"/>
      <w:bookmarkStart w:id="486" w:name="_Toc339284578"/>
      <w:bookmarkStart w:id="487" w:name="_Toc360027754"/>
      <w:bookmarkStart w:id="488" w:name="_Toc360028108"/>
      <w:bookmarkStart w:id="489" w:name="_Toc391559967"/>
      <w:bookmarkStart w:id="490" w:name="_Toc510303087"/>
      <w:bookmarkStart w:id="491" w:name="_Toc513018501"/>
      <w:bookmarkStart w:id="492" w:name="_Toc518333686"/>
      <w:bookmarkStart w:id="493" w:name="_Toc527908542"/>
      <w:r w:rsidRPr="00061A99">
        <w:t>Network Demand Data</w:t>
      </w:r>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p w14:paraId="2053BECE" w14:textId="77777777" w:rsidR="0041584B" w:rsidRPr="00061A99" w:rsidRDefault="0041584B" w:rsidP="0041584B">
      <w:pPr>
        <w:pStyle w:val="Heading2"/>
      </w:pPr>
      <w:r w:rsidRPr="00061A99">
        <w:t xml:space="preserve">This section </w:t>
      </w:r>
      <w:r>
        <w:fldChar w:fldCharType="begin"/>
      </w:r>
      <w:r>
        <w:instrText xml:space="preserve"> REF _Ref277946634 \w \h  \* MERGEFORMAT </w:instrText>
      </w:r>
      <w:r>
        <w:fldChar w:fldCharType="separate"/>
      </w:r>
      <w:r>
        <w:t>5</w:t>
      </w:r>
      <w:r>
        <w:fldChar w:fldCharType="end"/>
      </w:r>
      <w:r w:rsidRPr="00061A99">
        <w:t xml:space="preserve"> describes the input data required to model the DNO Party’s Distribution System for pricing purposes.</w:t>
      </w:r>
    </w:p>
    <w:p w14:paraId="47CBAC05" w14:textId="77777777" w:rsidR="0041584B" w:rsidRPr="00061A99" w:rsidRDefault="0041584B" w:rsidP="0041584B">
      <w:pPr>
        <w:pStyle w:val="DCSubHeading1Level2"/>
      </w:pPr>
      <w:bookmarkStart w:id="494" w:name="_Toc268553676"/>
      <w:bookmarkStart w:id="495" w:name="_Toc269379865"/>
      <w:bookmarkStart w:id="496" w:name="_Toc269720514"/>
      <w:bookmarkStart w:id="497" w:name="_Toc269721211"/>
      <w:r w:rsidRPr="00061A99">
        <w:t>Demand Data (Load)</w:t>
      </w:r>
      <w:bookmarkEnd w:id="494"/>
      <w:bookmarkEnd w:id="495"/>
      <w:bookmarkEnd w:id="496"/>
      <w:bookmarkEnd w:id="497"/>
    </w:p>
    <w:p w14:paraId="6B9304B8" w14:textId="77777777" w:rsidR="0041584B" w:rsidRPr="00061A99" w:rsidRDefault="0041584B" w:rsidP="0041584B">
      <w:pPr>
        <w:pStyle w:val="Heading2"/>
      </w:pPr>
      <w:r w:rsidRPr="00061A99">
        <w:t>The load demands in the model will be the estimated demand for the year for which prices are being produced. This estimated demand will be based on actual recorded network data collected by the DNO Party. The following Demand Data is required as the basis of populating the Authorised Network Model:</w:t>
      </w:r>
    </w:p>
    <w:p w14:paraId="0228FCEF" w14:textId="77777777" w:rsidR="0041584B" w:rsidRPr="00061A99" w:rsidRDefault="0041584B" w:rsidP="0041584B">
      <w:pPr>
        <w:pStyle w:val="Heading5"/>
        <w:keepNext w:val="0"/>
        <w:ind w:left="1418"/>
      </w:pPr>
      <w:r w:rsidRPr="00061A99">
        <w:t>Maximum Demands at each Connection Node;</w:t>
      </w:r>
    </w:p>
    <w:p w14:paraId="797C1A7D" w14:textId="77777777" w:rsidR="0041584B" w:rsidRPr="00061A99" w:rsidRDefault="0041584B" w:rsidP="0041584B">
      <w:pPr>
        <w:pStyle w:val="Heading5"/>
        <w:keepNext w:val="0"/>
        <w:ind w:left="1418"/>
      </w:pPr>
      <w:r w:rsidRPr="00061A99">
        <w:t>Maximum Demands at Grid Supply Points;</w:t>
      </w:r>
    </w:p>
    <w:p w14:paraId="29111A0F" w14:textId="77777777" w:rsidR="0041584B" w:rsidRPr="00061A99" w:rsidRDefault="0041584B" w:rsidP="0041584B">
      <w:pPr>
        <w:pStyle w:val="Heading5"/>
        <w:keepNext w:val="0"/>
        <w:ind w:left="1418"/>
      </w:pPr>
      <w:r w:rsidRPr="00061A99">
        <w:t>Minimum Demands at Grid Supply Points; and</w:t>
      </w:r>
    </w:p>
    <w:p w14:paraId="10218A8B" w14:textId="77777777" w:rsidR="0041584B" w:rsidRPr="00061A99" w:rsidRDefault="0041584B" w:rsidP="0041584B">
      <w:pPr>
        <w:pStyle w:val="Heading5"/>
        <w:keepNext w:val="0"/>
        <w:ind w:left="1418"/>
      </w:pPr>
      <w:r w:rsidRPr="00DB49C6">
        <w:rPr>
          <w:rStyle w:val="Heading5Char"/>
        </w:rPr>
        <w:t>Maximum Demands at Bulk Supply Points or other intermediate substations (Only required if Method</w:t>
      </w:r>
      <w:r w:rsidRPr="00061A99">
        <w:t xml:space="preserve"> 1 or Method 3 Diversity calculations are being used).</w:t>
      </w:r>
    </w:p>
    <w:p w14:paraId="71CCA8D8" w14:textId="77777777" w:rsidR="0041584B" w:rsidRPr="00061A99" w:rsidRDefault="0041584B" w:rsidP="0041584B">
      <w:pPr>
        <w:pStyle w:val="Heading2"/>
      </w:pPr>
      <w:r w:rsidRPr="00061A99">
        <w:lastRenderedPageBreak/>
        <w:t xml:space="preserve">The data will be based on the DNO Party's maximum load estimate for each substation as identified in the LTDS and represent the maximum load estimates at Grid Supply Point level as submitted by the DNO Party to the National Electricity Transmission System Operator for its Seven Year Statement. Due to the timings difference between the publication of the </w:t>
      </w:r>
      <w:proofErr w:type="gramStart"/>
      <w:r w:rsidRPr="00061A99">
        <w:t>Long Term</w:t>
      </w:r>
      <w:proofErr w:type="gramEnd"/>
      <w:r w:rsidRPr="00061A99">
        <w:t xml:space="preserve"> Development Statement and the creation and publication of Use of System Charges the Demand Data may contain revised assumptions to the Long Term Development Statement. Where new EDCM Connectees and substations are included in the Authorised Network Model, their demands will be individually assessed and estimated by the DNO Party.</w:t>
      </w:r>
    </w:p>
    <w:p w14:paraId="53766911" w14:textId="77777777" w:rsidR="0041584B" w:rsidRPr="00061A99" w:rsidRDefault="0041584B" w:rsidP="0041584B">
      <w:pPr>
        <w:pStyle w:val="Heading2"/>
      </w:pPr>
      <w:r w:rsidRPr="00061A99">
        <w:t xml:space="preserve">The load estimates in the </w:t>
      </w:r>
      <w:proofErr w:type="gramStart"/>
      <w:r w:rsidRPr="00061A99">
        <w:t>Long Term</w:t>
      </w:r>
      <w:proofErr w:type="gramEnd"/>
      <w:r w:rsidRPr="00061A99">
        <w:t xml:space="preserve"> Development Statements, are normally cleansed and validated ensuring:</w:t>
      </w:r>
    </w:p>
    <w:p w14:paraId="00A9A219" w14:textId="77777777" w:rsidR="0041584B" w:rsidRPr="00061A99" w:rsidRDefault="0041584B" w:rsidP="0041584B">
      <w:pPr>
        <w:pStyle w:val="Heading5"/>
        <w:ind w:left="1418"/>
      </w:pPr>
      <w:r w:rsidRPr="00061A99">
        <w:t>the maximum loads that are recorded reflect Normal Running Arrangements;</w:t>
      </w:r>
    </w:p>
    <w:p w14:paraId="06BC424C" w14:textId="77777777" w:rsidR="0041584B" w:rsidRPr="00061A99" w:rsidRDefault="0041584B" w:rsidP="0041584B">
      <w:pPr>
        <w:pStyle w:val="Heading5"/>
        <w:ind w:left="1418"/>
      </w:pPr>
      <w:r w:rsidRPr="00061A99">
        <w:t>consideration of application of suitable weather correction, if appropriate; and</w:t>
      </w:r>
    </w:p>
    <w:p w14:paraId="7F480D56" w14:textId="77777777" w:rsidR="0041584B" w:rsidRDefault="0041584B" w:rsidP="0041584B">
      <w:pPr>
        <w:pStyle w:val="Heading5"/>
        <w:ind w:left="1418"/>
      </w:pPr>
      <w:r w:rsidRPr="00061A99">
        <w:t>that latent demand is accounted for in accordance with th</w:t>
      </w:r>
      <w:r>
        <w:t>e guidance contained in ETR130.</w:t>
      </w:r>
    </w:p>
    <w:p w14:paraId="0A349CA3" w14:textId="77777777" w:rsidR="0041584B" w:rsidRPr="00061A99" w:rsidRDefault="0041584B" w:rsidP="0041584B">
      <w:pPr>
        <w:pStyle w:val="DCSubHeading1Level2"/>
      </w:pPr>
      <w:bookmarkStart w:id="498" w:name="_Toc268553677"/>
      <w:bookmarkStart w:id="499" w:name="_Ref269306327"/>
      <w:bookmarkStart w:id="500" w:name="_Toc269379866"/>
      <w:bookmarkStart w:id="501" w:name="_Toc269720515"/>
      <w:bookmarkStart w:id="502" w:name="_Toc269721212"/>
      <w:r w:rsidRPr="00061A99">
        <w:t>Demand Data (Generation)</w:t>
      </w:r>
      <w:bookmarkEnd w:id="498"/>
      <w:bookmarkEnd w:id="499"/>
      <w:bookmarkEnd w:id="500"/>
      <w:bookmarkEnd w:id="501"/>
      <w:bookmarkEnd w:id="502"/>
    </w:p>
    <w:p w14:paraId="1F69C2CD" w14:textId="77777777" w:rsidR="0041584B" w:rsidRPr="00061A99" w:rsidRDefault="0041584B" w:rsidP="0041584B">
      <w:pPr>
        <w:pStyle w:val="Heading2"/>
      </w:pPr>
      <w:r w:rsidRPr="00061A99">
        <w:t xml:space="preserve">Generation in the model will be based on the Maximum Export Capacities for EDCM Connectees. For the Minimum Demand </w:t>
      </w:r>
      <w:proofErr w:type="gramStart"/>
      <w:r w:rsidRPr="00061A99">
        <w:t>Scenario</w:t>
      </w:r>
      <w:proofErr w:type="gramEnd"/>
      <w:r w:rsidRPr="00061A99">
        <w:t xml:space="preserve"> a Generation Coincidence Factor will be applied, where appropriate. An F factor as described in ER P2/6 may be required for the Maximum Demand Scenario.  Where sufficient actual recorded network data exists, a generator’s site-specific F factor may be calculated, as described in ETR 130.</w:t>
      </w:r>
    </w:p>
    <w:p w14:paraId="3763050B" w14:textId="77777777" w:rsidR="0041584B" w:rsidRPr="00061A99" w:rsidRDefault="0041584B" w:rsidP="0041584B">
      <w:pPr>
        <w:pStyle w:val="DCSubHeading1Level2"/>
      </w:pPr>
      <w:bookmarkStart w:id="503" w:name="_Toc268553678"/>
      <w:bookmarkStart w:id="504" w:name="_Ref269306375"/>
      <w:bookmarkStart w:id="505" w:name="_Toc269379867"/>
      <w:bookmarkStart w:id="506" w:name="_Toc269720516"/>
      <w:bookmarkStart w:id="507" w:name="_Toc269721213"/>
      <w:bookmarkStart w:id="508" w:name="ModellingofCustomersLoadandGeneration"/>
      <w:r w:rsidRPr="00061A99">
        <w:t>Modelling of Connectees with both Load and Generation</w:t>
      </w:r>
      <w:bookmarkEnd w:id="503"/>
      <w:bookmarkEnd w:id="504"/>
      <w:bookmarkEnd w:id="505"/>
      <w:bookmarkEnd w:id="506"/>
      <w:bookmarkEnd w:id="507"/>
      <w:bookmarkEnd w:id="508"/>
      <w:r w:rsidRPr="00061A99">
        <w:t xml:space="preserve">  </w:t>
      </w:r>
    </w:p>
    <w:p w14:paraId="6CC55747" w14:textId="77777777" w:rsidR="0041584B" w:rsidRPr="00061A99" w:rsidRDefault="0041584B" w:rsidP="0041584B">
      <w:pPr>
        <w:pStyle w:val="Heading2"/>
      </w:pPr>
      <w:bookmarkStart w:id="509" w:name="_Ref277086383"/>
      <w:r w:rsidRPr="00061A99">
        <w:t>‘Import/Export’ Connectees (Connectees that have the ability to import electricity from, and export electricity to, the Distribution System) require special consideration so that only a single pair of Nodal marginal charges (Charge 1 and Charge 2) are calculated for each Connectee.</w:t>
      </w:r>
      <w:bookmarkEnd w:id="509"/>
    </w:p>
    <w:p w14:paraId="69B2284A" w14:textId="77777777" w:rsidR="0041584B" w:rsidRPr="00061A99" w:rsidRDefault="0041584B" w:rsidP="0041584B">
      <w:pPr>
        <w:pStyle w:val="Heading2"/>
      </w:pPr>
      <w:r w:rsidRPr="00061A99">
        <w:lastRenderedPageBreak/>
        <w:t xml:space="preserve">‘Import/Export’ Connectees are modelled as either a demand Connectee or a generation Connectee throughout both the Maximum Demand and Minimum Demand Scenarios - but not as both types of Connectees.  The choice of model is based on whether the </w:t>
      </w:r>
      <w:proofErr w:type="spellStart"/>
      <w:r w:rsidRPr="00061A99">
        <w:t>Connectee's</w:t>
      </w:r>
      <w:proofErr w:type="spellEnd"/>
      <w:r w:rsidRPr="00061A99">
        <w:t xml:space="preserve"> dominant operating mode is that of a demand Connectee or a generation Connectee (determined by examination of the </w:t>
      </w:r>
      <w:proofErr w:type="spellStart"/>
      <w:r w:rsidRPr="00061A99">
        <w:t>Connectee's</w:t>
      </w:r>
      <w:proofErr w:type="spellEnd"/>
      <w:r w:rsidRPr="00061A99">
        <w:t xml:space="preserve"> Maximum Import Capacity and Maximum Export Capacity or kWh consumptions as appropriate).  Thus, in both demand scenarios, the Connectee is treated solely as either a load Connectee or a generation Connectee according to their dominant behaviour.</w:t>
      </w:r>
    </w:p>
    <w:p w14:paraId="72C0957E" w14:textId="77777777" w:rsidR="0041584B" w:rsidRPr="00061A99" w:rsidRDefault="0041584B" w:rsidP="0041584B">
      <w:pPr>
        <w:pStyle w:val="Heading2"/>
      </w:pPr>
      <w:r w:rsidRPr="00061A99">
        <w:t>In contrast, however, it may be noted that if two Connectees are connected to a single Node and one is a generation Connectee, the other a demand Connectee, then two sets of Nodal marginal charges would be produced - one for the demand, the other for the generation.  This reflects the fact that the two individual Connectees can operate simultaneously in opposing modes, whereas this is clearly not possible for a single Import/Export Connectee.</w:t>
      </w:r>
    </w:p>
    <w:p w14:paraId="6133F137" w14:textId="77777777" w:rsidR="0041584B" w:rsidRPr="00061A99" w:rsidRDefault="0041584B" w:rsidP="0041584B">
      <w:pPr>
        <w:pStyle w:val="Heading2"/>
      </w:pPr>
      <w:r w:rsidRPr="00061A99">
        <w:t xml:space="preserve">Once the predominant operating mode has been determined for an Import/Export Connectee, the magnitudes of the demands to be applied in each scenario are determined by reference to the </w:t>
      </w:r>
      <w:r>
        <w:fldChar w:fldCharType="begin"/>
      </w:r>
      <w:r>
        <w:instrText xml:space="preserve"> REF _Ref247085657 \h  \* MERGEFORMAT </w:instrText>
      </w:r>
      <w:r>
        <w:fldChar w:fldCharType="separate"/>
      </w:r>
      <w:r w:rsidRPr="00CD5D02">
        <w:t>Network Demand Data (Load)</w:t>
      </w:r>
      <w:r>
        <w:fldChar w:fldCharType="end"/>
      </w:r>
      <w:r w:rsidRPr="00061A99">
        <w:t xml:space="preserve"> and </w:t>
      </w:r>
      <w:r>
        <w:fldChar w:fldCharType="begin"/>
      </w:r>
      <w:r>
        <w:instrText xml:space="preserve"> REF _Ref269306327 \h  \* MERGEFORMAT </w:instrText>
      </w:r>
      <w:r>
        <w:fldChar w:fldCharType="separate"/>
      </w:r>
      <w:r w:rsidRPr="00061A99">
        <w:t>Demand Data (Generation)</w:t>
      </w:r>
      <w:r>
        <w:fldChar w:fldCharType="end"/>
      </w:r>
      <w:r w:rsidRPr="00061A99">
        <w:t xml:space="preserve"> sections as appropriate.</w:t>
      </w:r>
    </w:p>
    <w:p w14:paraId="20B9C14B" w14:textId="77777777" w:rsidR="0041584B" w:rsidRPr="00061A99" w:rsidRDefault="0041584B" w:rsidP="0041584B">
      <w:pPr>
        <w:pStyle w:val="Heading2"/>
      </w:pPr>
      <w:r w:rsidRPr="00061A99">
        <w:t>The incremental costs for these Connectees are derived from increments applied with the appropriate power factor for the dominant behaviour of the Connectee (e.g. if the Connectee is considered to behave predominantly as a load Connectee, the power factor of the applied increment would be appropriate for a load i.e. 0.95).</w:t>
      </w:r>
    </w:p>
    <w:p w14:paraId="11392CD2" w14:textId="77777777" w:rsidR="0041584B" w:rsidRPr="00061A99" w:rsidRDefault="0041584B" w:rsidP="0041584B">
      <w:pPr>
        <w:pStyle w:val="DCSubHeading1Level2"/>
      </w:pPr>
      <w:bookmarkStart w:id="510" w:name="_Ref247790223"/>
      <w:bookmarkStart w:id="511" w:name="_Toc268553679"/>
      <w:bookmarkStart w:id="512" w:name="_Toc269379868"/>
      <w:bookmarkStart w:id="513" w:name="_Toc269720517"/>
      <w:bookmarkStart w:id="514" w:name="_Toc269721214"/>
      <w:bookmarkStart w:id="515" w:name="DiversityFactors"/>
      <w:r w:rsidRPr="00061A99">
        <w:t>Diversity Factors</w:t>
      </w:r>
      <w:bookmarkEnd w:id="510"/>
      <w:bookmarkEnd w:id="511"/>
      <w:bookmarkEnd w:id="512"/>
      <w:bookmarkEnd w:id="513"/>
      <w:bookmarkEnd w:id="514"/>
      <w:bookmarkEnd w:id="515"/>
      <w:r w:rsidRPr="00061A99">
        <w:t xml:space="preserve"> </w:t>
      </w:r>
    </w:p>
    <w:p w14:paraId="59792E35" w14:textId="77777777" w:rsidR="0041584B" w:rsidRPr="00061A99" w:rsidRDefault="0041584B" w:rsidP="0041584B">
      <w:pPr>
        <w:pStyle w:val="Heading2"/>
      </w:pPr>
      <w:bookmarkStart w:id="516" w:name="_Ref277076825"/>
      <w:r w:rsidRPr="00061A99">
        <w:t xml:space="preserve">The demands that are required to be populated in the Authorised Network Model need to be set so the modelled demand supplied through a GSP is equal to the Maximum Demand at the GSP as determined in the </w:t>
      </w:r>
      <w:r>
        <w:fldChar w:fldCharType="begin"/>
      </w:r>
      <w:r>
        <w:instrText xml:space="preserve"> REF _Ref247085657 \h  \* MERGEFORMAT </w:instrText>
      </w:r>
      <w:r>
        <w:fldChar w:fldCharType="separate"/>
      </w:r>
      <w:r w:rsidRPr="00CD5D02">
        <w:t>Network Demand Data (Load)</w:t>
      </w:r>
      <w:r>
        <w:fldChar w:fldCharType="end"/>
      </w:r>
      <w:r w:rsidRPr="00061A99">
        <w:t xml:space="preserve"> section above. This may be achieved by using Diversity Factors to modify the Connection Node maximum demands or by the use of Negative Load Injections. The following describes acceptable methods to achieve this requirement.</w:t>
      </w:r>
      <w:bookmarkEnd w:id="516"/>
      <w:r w:rsidRPr="00061A99">
        <w:t xml:space="preserve"> </w:t>
      </w:r>
    </w:p>
    <w:p w14:paraId="18EE90C1" w14:textId="77777777" w:rsidR="0041584B" w:rsidRPr="00061A99" w:rsidRDefault="0041584B" w:rsidP="0041584B">
      <w:pPr>
        <w:pStyle w:val="Heading2"/>
      </w:pPr>
      <w:r w:rsidRPr="00061A99">
        <w:lastRenderedPageBreak/>
        <w:t>To aid the description a simple network is shown in Figure 4 below which will provide a basis for the examples:</w:t>
      </w:r>
    </w:p>
    <w:p w14:paraId="13340C5D" w14:textId="77777777" w:rsidR="0041584B" w:rsidRPr="00C70D7F" w:rsidRDefault="0041584B" w:rsidP="0041584B">
      <w:pPr>
        <w:pStyle w:val="Caption"/>
        <w:keepNext/>
        <w:keepLines/>
        <w:jc w:val="left"/>
      </w:pPr>
      <w:bookmarkStart w:id="517" w:name="_Toc255160519"/>
      <w:r w:rsidRPr="00C70D7F">
        <w:t xml:space="preserve">Figure </w:t>
      </w:r>
      <w:r>
        <w:t>4</w:t>
      </w:r>
      <w:r w:rsidRPr="00C70D7F">
        <w:t xml:space="preserve"> - Example model for the calculation of Diversity Factor.</w:t>
      </w:r>
      <w:bookmarkEnd w:id="517"/>
    </w:p>
    <w:p w14:paraId="4ECB13DE" w14:textId="77777777" w:rsidR="0041584B" w:rsidRDefault="0041584B" w:rsidP="0041584B">
      <w:pPr>
        <w:pStyle w:val="DCSubHeading2Level2"/>
        <w:keepLines/>
        <w:ind w:left="0"/>
        <w:rPr>
          <w:rFonts w:ascii="Times New Roman" w:eastAsia="Times New Roman" w:hAnsi="Times New Roman" w:cs="Times New Roman"/>
          <w:szCs w:val="24"/>
        </w:rPr>
      </w:pPr>
      <w:r w:rsidRPr="008C1843">
        <w:rPr>
          <w:rFonts w:ascii="Times New Roman" w:eastAsia="Times New Roman" w:hAnsi="Times New Roman" w:cs="Times New Roman"/>
          <w:szCs w:val="24"/>
        </w:rPr>
        <w:object w:dxaOrig="9088" w:dyaOrig="5092" w14:anchorId="3705FD33">
          <v:shape id="_x0000_i1034" type="#_x0000_t75" style="width:410.25pt;height:252.75pt" o:ole="">
            <v:imagedata r:id="rId35" o:title=""/>
          </v:shape>
          <o:OLEObject Type="Embed" ProgID="Visio.Drawing.11" ShapeID="_x0000_i1034" DrawAspect="Content" ObjectID="_1640532503" r:id="rId36"/>
        </w:object>
      </w:r>
    </w:p>
    <w:p w14:paraId="5FC5FB72" w14:textId="77777777" w:rsidR="0041584B" w:rsidRPr="0031739F" w:rsidRDefault="0041584B" w:rsidP="0041584B">
      <w:pPr>
        <w:pStyle w:val="DCSubHeading2Level2"/>
        <w:rPr>
          <w:b/>
        </w:rPr>
      </w:pPr>
      <w:r w:rsidRPr="0031739F">
        <w:rPr>
          <w:b/>
        </w:rPr>
        <w:t>Method 1 – Hierarchical Diversity Factors</w:t>
      </w:r>
    </w:p>
    <w:p w14:paraId="494C2F69" w14:textId="77777777" w:rsidR="0041584B" w:rsidRPr="00061A99" w:rsidRDefault="0041584B" w:rsidP="0041584B">
      <w:pPr>
        <w:pStyle w:val="Heading2"/>
      </w:pPr>
      <w:r w:rsidRPr="00061A99">
        <w:t>Networks are typically built as a hierarchy. The typical hierarchy levels are primary substation, Bulk Supply Points and Grid Supply Points. There may also be other intermediate levels such as 132kV switching substations. A Diversity Factor can then be calculated for each required substation. The Diversity Factor is calculated as the maximum demand at that substation divided by the sum of the maximum demands of all points of the network at the next lower hierarchy served by that substation plus an allowance for losses in that part of the network.</w:t>
      </w:r>
    </w:p>
    <w:p w14:paraId="0AC3B7AC" w14:textId="77777777" w:rsidR="0041584B" w:rsidRPr="00061A99" w:rsidRDefault="0041584B" w:rsidP="0041584B">
      <w:pPr>
        <w:pStyle w:val="Heading2"/>
      </w:pPr>
      <w:r w:rsidRPr="00061A99">
        <w:t>In our example, for Bulk Supply Point, S (see Figure 4), supplying three primary substations, B, C and D, and an EDCM Connectee E, Diversity Factor is derived as:</w:t>
      </w:r>
    </w:p>
    <w:p w14:paraId="116A03E0" w14:textId="77777777" w:rsidR="0041584B" w:rsidRPr="00C70D7F" w:rsidRDefault="0041584B" w:rsidP="0041584B">
      <w:pPr>
        <w:jc w:val="center"/>
      </w:pPr>
      <m:oMathPara>
        <m:oMath>
          <m:sSub>
            <m:sSubPr>
              <m:ctrlPr>
                <w:rPr>
                  <w:rFonts w:ascii="Cambria Math" w:hAnsi="Cambria Math"/>
                  <w:i/>
                </w:rPr>
              </m:ctrlPr>
            </m:sSubPr>
            <m:e>
              <m:r>
                <w:rPr>
                  <w:rFonts w:ascii="Cambria Math" w:hAnsi="Cambria Math"/>
                </w:rPr>
                <m:t>DF</m:t>
              </m:r>
            </m:e>
            <m:sub>
              <m:r>
                <w:rPr>
                  <w:rFonts w:ascii="Cambria Math" w:hAnsi="Cambria Math"/>
                </w:rPr>
                <m:t>S</m:t>
              </m:r>
            </m:sub>
          </m:sSub>
          <m:r>
            <w:rPr>
              <w:rFonts w:ascii="Cambria Math" w:hAnsi="Cambria Math"/>
            </w:rPr>
            <m:t>=</m:t>
          </m:r>
          <m:sSub>
            <m:sSubPr>
              <m:ctrlPr>
                <w:rPr>
                  <w:rFonts w:ascii="Cambria Math" w:hAnsi="Cambria Math"/>
                  <w:i/>
                </w:rPr>
              </m:ctrlPr>
            </m:sSubPr>
            <m:e>
              <m:r>
                <w:rPr>
                  <w:rFonts w:ascii="Cambria Math" w:hAnsi="Cambria Math"/>
                </w:rPr>
                <m:t>MD</m:t>
              </m:r>
            </m:e>
            <m:sub>
              <m:r>
                <w:rPr>
                  <w:rFonts w:ascii="Cambria Math" w:hAnsi="Cambria Math"/>
                </w:rPr>
                <m:t>S</m:t>
              </m:r>
            </m:sub>
          </m:sSub>
          <m:r>
            <w:rPr>
              <w:rFonts w:ascii="Cambria Math" w:hAnsi="Cambria Math"/>
            </w:rPr>
            <m:t>/(</m:t>
          </m:r>
          <m:sSub>
            <m:sSubPr>
              <m:ctrlPr>
                <w:rPr>
                  <w:rFonts w:ascii="Cambria Math" w:hAnsi="Cambria Math"/>
                  <w:i/>
                </w:rPr>
              </m:ctrlPr>
            </m:sSubPr>
            <m:e>
              <m:r>
                <w:rPr>
                  <w:rFonts w:ascii="Cambria Math" w:hAnsi="Cambria Math"/>
                </w:rPr>
                <m:t>MD</m:t>
              </m:r>
            </m:e>
            <m:sub>
              <m:r>
                <w:rPr>
                  <w:rFonts w:ascii="Cambria Math" w:hAnsi="Cambria Math"/>
                </w:rPr>
                <m:t>B</m:t>
              </m:r>
            </m:sub>
          </m:sSub>
          <m:r>
            <w:rPr>
              <w:rFonts w:ascii="Cambria Math" w:hAnsi="Cambria Math"/>
            </w:rPr>
            <m:t>+</m:t>
          </m:r>
          <m:sSub>
            <m:sSubPr>
              <m:ctrlPr>
                <w:rPr>
                  <w:rFonts w:ascii="Cambria Math" w:hAnsi="Cambria Math"/>
                  <w:i/>
                </w:rPr>
              </m:ctrlPr>
            </m:sSubPr>
            <m:e>
              <m:r>
                <w:rPr>
                  <w:rFonts w:ascii="Cambria Math" w:hAnsi="Cambria Math"/>
                </w:rPr>
                <m:t>MD</m:t>
              </m:r>
            </m:e>
            <m:sub>
              <m:r>
                <w:rPr>
                  <w:rFonts w:ascii="Cambria Math" w:hAnsi="Cambria Math"/>
                </w:rPr>
                <m:t>C</m:t>
              </m:r>
            </m:sub>
          </m:sSub>
          <m:r>
            <w:rPr>
              <w:rFonts w:ascii="Cambria Math" w:hAnsi="Cambria Math"/>
            </w:rPr>
            <m:t>+</m:t>
          </m:r>
          <m:sSub>
            <m:sSubPr>
              <m:ctrlPr>
                <w:rPr>
                  <w:rFonts w:ascii="Cambria Math" w:hAnsi="Cambria Math"/>
                  <w:i/>
                </w:rPr>
              </m:ctrlPr>
            </m:sSubPr>
            <m:e>
              <m:r>
                <w:rPr>
                  <w:rFonts w:ascii="Cambria Math" w:hAnsi="Cambria Math"/>
                </w:rPr>
                <m:t>MD</m:t>
              </m:r>
            </m:e>
            <m:sub>
              <m:r>
                <w:rPr>
                  <w:rFonts w:ascii="Cambria Math" w:hAnsi="Cambria Math"/>
                </w:rPr>
                <m:t>D</m:t>
              </m:r>
            </m:sub>
          </m:sSub>
          <m:r>
            <w:rPr>
              <w:rFonts w:ascii="Cambria Math" w:hAnsi="Cambria Math"/>
            </w:rPr>
            <m:t>+</m:t>
          </m:r>
          <m:sSub>
            <m:sSubPr>
              <m:ctrlPr>
                <w:rPr>
                  <w:rFonts w:ascii="Cambria Math" w:hAnsi="Cambria Math"/>
                  <w:i/>
                </w:rPr>
              </m:ctrlPr>
            </m:sSubPr>
            <m:e>
              <m:r>
                <w:rPr>
                  <w:rFonts w:ascii="Cambria Math" w:hAnsi="Cambria Math"/>
                </w:rPr>
                <m:t>MD</m:t>
              </m:r>
            </m:e>
            <m:sub>
              <m:r>
                <w:rPr>
                  <w:rFonts w:ascii="Cambria Math" w:hAnsi="Cambria Math"/>
                </w:rPr>
                <m:t>E</m:t>
              </m:r>
            </m:sub>
          </m:sSub>
          <m:r>
            <w:rPr>
              <w:rFonts w:ascii="Cambria Math" w:hAnsi="Cambria Math"/>
            </w:rPr>
            <m:t>+</m:t>
          </m:r>
          <m:sSub>
            <m:sSubPr>
              <m:ctrlPr>
                <w:rPr>
                  <w:rFonts w:ascii="Cambria Math" w:hAnsi="Cambria Math"/>
                  <w:i/>
                </w:rPr>
              </m:ctrlPr>
            </m:sSubPr>
            <m:e>
              <m:r>
                <w:rPr>
                  <w:rFonts w:ascii="Cambria Math" w:hAnsi="Cambria Math"/>
                </w:rPr>
                <m:t>losses</m:t>
              </m:r>
            </m:e>
            <m:sub>
              <m:r>
                <w:rPr>
                  <w:rFonts w:ascii="Cambria Math" w:hAnsi="Cambria Math"/>
                </w:rPr>
                <m:t>S→</m:t>
              </m:r>
            </m:sub>
          </m:sSub>
          <m:r>
            <w:rPr>
              <w:rFonts w:ascii="Cambria Math" w:hAnsi="Cambria Math"/>
            </w:rPr>
            <m:t>)</m:t>
          </m:r>
        </m:oMath>
      </m:oMathPara>
    </w:p>
    <w:p w14:paraId="2B23594E" w14:textId="77777777" w:rsidR="0041584B" w:rsidRDefault="0041584B" w:rsidP="0041584B">
      <w:pPr>
        <w:ind w:left="720"/>
      </w:pPr>
    </w:p>
    <w:p w14:paraId="0625D045" w14:textId="77777777" w:rsidR="0041584B" w:rsidRDefault="0041584B" w:rsidP="0041584B">
      <w:pPr>
        <w:ind w:left="720"/>
      </w:pPr>
    </w:p>
    <w:p w14:paraId="73B38CC1" w14:textId="77777777" w:rsidR="0041584B" w:rsidRPr="00061A99" w:rsidRDefault="0041584B" w:rsidP="0041584B">
      <w:pPr>
        <w:ind w:left="720"/>
      </w:pPr>
      <w:r w:rsidRPr="00061A99">
        <w:lastRenderedPageBreak/>
        <w:t xml:space="preserve">where </w:t>
      </w:r>
      <m:oMath>
        <m:sSub>
          <m:sSubPr>
            <m:ctrlPr>
              <w:rPr>
                <w:rFonts w:ascii="Cambria Math" w:hAnsi="Cambria Math"/>
                <w:i/>
              </w:rPr>
            </m:ctrlPr>
          </m:sSubPr>
          <m:e>
            <m:r>
              <m:rPr>
                <m:sty m:val="bi"/>
              </m:rPr>
              <w:rPr>
                <w:rFonts w:ascii="Cambria Math" w:hAnsi="Cambria Math"/>
              </w:rPr>
              <m:t>MD</m:t>
            </m:r>
          </m:e>
          <m:sub>
            <m:r>
              <m:rPr>
                <m:sty m:val="bi"/>
              </m:rPr>
              <w:rPr>
                <w:rFonts w:ascii="Cambria Math" w:hAnsi="Cambria Math"/>
              </w:rPr>
              <m:t>S</m:t>
            </m:r>
          </m:sub>
        </m:sSub>
      </m:oMath>
      <w:r w:rsidRPr="00061A99">
        <w:t xml:space="preserve"> is the maximum demand at substation S, </w:t>
      </w:r>
      <m:oMath>
        <m:sSub>
          <m:sSubPr>
            <m:ctrlPr>
              <w:rPr>
                <w:rFonts w:ascii="Cambria Math" w:hAnsi="Cambria Math"/>
                <w:i/>
              </w:rPr>
            </m:ctrlPr>
          </m:sSubPr>
          <m:e>
            <m:r>
              <m:rPr>
                <m:sty m:val="bi"/>
              </m:rPr>
              <w:rPr>
                <w:rFonts w:ascii="Cambria Math" w:hAnsi="Cambria Math"/>
              </w:rPr>
              <m:t>MD</m:t>
            </m:r>
          </m:e>
          <m:sub>
            <m:r>
              <m:rPr>
                <m:sty m:val="bi"/>
              </m:rPr>
              <w:rPr>
                <w:rFonts w:ascii="Cambria Math" w:hAnsi="Cambria Math"/>
              </w:rPr>
              <m:t>B</m:t>
            </m:r>
          </m:sub>
        </m:sSub>
      </m:oMath>
      <w:r w:rsidRPr="00061A99">
        <w:t xml:space="preserve"> is the Maximum Demand at substation B,</w:t>
      </w:r>
      <m:oMath>
        <m:r>
          <w:rPr>
            <w:rFonts w:ascii="Cambria Math" w:hAnsi="Cambria Math"/>
          </w:rPr>
          <m:t xml:space="preserve"> </m:t>
        </m:r>
        <m:sSub>
          <m:sSubPr>
            <m:ctrlPr>
              <w:rPr>
                <w:rFonts w:ascii="Cambria Math" w:hAnsi="Cambria Math"/>
                <w:i/>
              </w:rPr>
            </m:ctrlPr>
          </m:sSubPr>
          <m:e>
            <m:r>
              <m:rPr>
                <m:sty m:val="bi"/>
              </m:rPr>
              <w:rPr>
                <w:rFonts w:ascii="Cambria Math" w:hAnsi="Cambria Math"/>
              </w:rPr>
              <m:t>MD</m:t>
            </m:r>
          </m:e>
          <m:sub>
            <m:r>
              <m:rPr>
                <m:sty m:val="bi"/>
              </m:rPr>
              <w:rPr>
                <w:rFonts w:ascii="Cambria Math" w:hAnsi="Cambria Math"/>
              </w:rPr>
              <m:t>C</m:t>
            </m:r>
          </m:sub>
        </m:sSub>
      </m:oMath>
      <w:r w:rsidRPr="00061A99">
        <w:t xml:space="preserve"> is the Maximum Demand at substation C,</w:t>
      </w:r>
      <m:oMath>
        <m:r>
          <w:rPr>
            <w:rFonts w:ascii="Cambria Math" w:hAnsi="Cambria Math"/>
          </w:rPr>
          <m:t xml:space="preserve"> </m:t>
        </m:r>
        <m:sSub>
          <m:sSubPr>
            <m:ctrlPr>
              <w:rPr>
                <w:rFonts w:ascii="Cambria Math" w:hAnsi="Cambria Math"/>
                <w:i/>
              </w:rPr>
            </m:ctrlPr>
          </m:sSubPr>
          <m:e>
            <m:r>
              <m:rPr>
                <m:sty m:val="bi"/>
              </m:rPr>
              <w:rPr>
                <w:rFonts w:ascii="Cambria Math" w:hAnsi="Cambria Math"/>
              </w:rPr>
              <m:t>MD</m:t>
            </m:r>
          </m:e>
          <m:sub>
            <m:r>
              <m:rPr>
                <m:sty m:val="bi"/>
              </m:rPr>
              <w:rPr>
                <w:rFonts w:ascii="Cambria Math" w:hAnsi="Cambria Math"/>
              </w:rPr>
              <m:t>D</m:t>
            </m:r>
          </m:sub>
        </m:sSub>
      </m:oMath>
      <w:r w:rsidRPr="00061A99">
        <w:t xml:space="preserve"> is the Maximum Demand at substation D,</w:t>
      </w:r>
      <m:oMath>
        <m:r>
          <w:rPr>
            <w:rFonts w:ascii="Cambria Math" w:hAnsi="Cambria Math"/>
          </w:rPr>
          <m:t xml:space="preserve"> </m:t>
        </m:r>
        <m:sSub>
          <m:sSubPr>
            <m:ctrlPr>
              <w:rPr>
                <w:rFonts w:ascii="Cambria Math" w:hAnsi="Cambria Math"/>
                <w:i/>
              </w:rPr>
            </m:ctrlPr>
          </m:sSubPr>
          <m:e>
            <m:r>
              <m:rPr>
                <m:sty m:val="bi"/>
              </m:rPr>
              <w:rPr>
                <w:rFonts w:ascii="Cambria Math" w:hAnsi="Cambria Math"/>
              </w:rPr>
              <m:t>MD</m:t>
            </m:r>
          </m:e>
          <m:sub>
            <m:r>
              <m:rPr>
                <m:sty m:val="bi"/>
              </m:rPr>
              <w:rPr>
                <w:rFonts w:ascii="Cambria Math" w:hAnsi="Cambria Math"/>
              </w:rPr>
              <m:t>E</m:t>
            </m:r>
          </m:sub>
        </m:sSub>
      </m:oMath>
      <w:r w:rsidRPr="00061A99">
        <w:t xml:space="preserve"> is the Maximum Demand at the EDCM Connectee E substation, while </w:t>
      </w:r>
      <m:oMath>
        <m:sSub>
          <m:sSubPr>
            <m:ctrlPr>
              <w:rPr>
                <w:rFonts w:ascii="Cambria Math" w:hAnsi="Cambria Math"/>
                <w:i/>
              </w:rPr>
            </m:ctrlPr>
          </m:sSubPr>
          <m:e>
            <m:r>
              <m:rPr>
                <m:sty m:val="bi"/>
              </m:rPr>
              <w:rPr>
                <w:rFonts w:ascii="Cambria Math" w:hAnsi="Cambria Math"/>
              </w:rPr>
              <m:t>losses</m:t>
            </m:r>
          </m:e>
          <m:sub>
            <m:r>
              <m:rPr>
                <m:sty m:val="bi"/>
              </m:rPr>
              <w:rPr>
                <w:rFonts w:ascii="Cambria Math" w:hAnsi="Cambria Math"/>
              </w:rPr>
              <m:t>S</m:t>
            </m:r>
            <m:r>
              <w:rPr>
                <w:rFonts w:ascii="Cambria Math" w:hAnsi="Cambria Math"/>
              </w:rPr>
              <m:t>→</m:t>
            </m:r>
          </m:sub>
        </m:sSub>
      </m:oMath>
      <w:r w:rsidRPr="00061A99">
        <w:t xml:space="preserve"> incurs line losses in the downstream  network supplied from Bulk Supply Point S as shown in Figure 4.</w:t>
      </w:r>
    </w:p>
    <w:p w14:paraId="4A2BAFF7" w14:textId="77777777" w:rsidR="0041584B" w:rsidRPr="00061A99" w:rsidRDefault="0041584B" w:rsidP="0041584B">
      <w:pPr>
        <w:pStyle w:val="Heading2"/>
      </w:pPr>
      <w:proofErr w:type="gramStart"/>
      <w:r w:rsidRPr="00061A99">
        <w:t>Similarly</w:t>
      </w:r>
      <w:proofErr w:type="gramEnd"/>
      <w:r w:rsidRPr="00061A99">
        <w:t xml:space="preserve"> for Grid Supply Point, G, supplying two Bulk Supply Points, S and T, and an EDCM Connectee U, Diversity Factor is derived as:</w:t>
      </w:r>
    </w:p>
    <w:p w14:paraId="090A6748" w14:textId="77777777" w:rsidR="0041584B" w:rsidRPr="00C70D7F" w:rsidRDefault="0041584B" w:rsidP="0041584B">
      <w:pPr>
        <w:jc w:val="center"/>
      </w:pPr>
      <m:oMathPara>
        <m:oMath>
          <m:sSub>
            <m:sSubPr>
              <m:ctrlPr>
                <w:rPr>
                  <w:rFonts w:ascii="Cambria Math" w:hAnsi="Cambria Math"/>
                  <w:i/>
                </w:rPr>
              </m:ctrlPr>
            </m:sSubPr>
            <m:e>
              <m:r>
                <w:rPr>
                  <w:rFonts w:ascii="Cambria Math" w:hAnsi="Cambria Math"/>
                </w:rPr>
                <m:t>DF</m:t>
              </m:r>
            </m:e>
            <m:sub>
              <m:r>
                <w:rPr>
                  <w:rFonts w:ascii="Cambria Math" w:hAnsi="Cambria Math"/>
                </w:rPr>
                <m:t>G</m:t>
              </m:r>
            </m:sub>
          </m:sSub>
          <m:r>
            <w:rPr>
              <w:rFonts w:ascii="Cambria Math" w:hAnsi="Cambria Math"/>
            </w:rPr>
            <m:t>=</m:t>
          </m:r>
          <m:sSub>
            <m:sSubPr>
              <m:ctrlPr>
                <w:rPr>
                  <w:rFonts w:ascii="Cambria Math" w:hAnsi="Cambria Math"/>
                  <w:i/>
                </w:rPr>
              </m:ctrlPr>
            </m:sSubPr>
            <m:e>
              <m:r>
                <w:rPr>
                  <w:rFonts w:ascii="Cambria Math" w:hAnsi="Cambria Math"/>
                </w:rPr>
                <m:t>MD</m:t>
              </m:r>
            </m:e>
            <m:sub>
              <m:r>
                <w:rPr>
                  <w:rFonts w:ascii="Cambria Math" w:hAnsi="Cambria Math"/>
                </w:rPr>
                <m:t>G</m:t>
              </m:r>
            </m:sub>
          </m:sSub>
          <m:r>
            <w:rPr>
              <w:rFonts w:ascii="Cambria Math" w:hAnsi="Cambria Math"/>
            </w:rPr>
            <m:t>/(</m:t>
          </m:r>
          <m:sSub>
            <m:sSubPr>
              <m:ctrlPr>
                <w:rPr>
                  <w:rFonts w:ascii="Cambria Math" w:hAnsi="Cambria Math"/>
                  <w:i/>
                </w:rPr>
              </m:ctrlPr>
            </m:sSubPr>
            <m:e>
              <m:r>
                <w:rPr>
                  <w:rFonts w:ascii="Cambria Math" w:hAnsi="Cambria Math"/>
                </w:rPr>
                <m:t>MD</m:t>
              </m:r>
            </m:e>
            <m:sub>
              <m:r>
                <w:rPr>
                  <w:rFonts w:ascii="Cambria Math" w:hAnsi="Cambria Math"/>
                </w:rPr>
                <m:t>S</m:t>
              </m:r>
            </m:sub>
          </m:sSub>
          <m:r>
            <w:rPr>
              <w:rFonts w:ascii="Cambria Math" w:hAnsi="Cambria Math"/>
            </w:rPr>
            <m:t>+</m:t>
          </m:r>
          <m:sSub>
            <m:sSubPr>
              <m:ctrlPr>
                <w:rPr>
                  <w:rFonts w:ascii="Cambria Math" w:hAnsi="Cambria Math"/>
                  <w:i/>
                </w:rPr>
              </m:ctrlPr>
            </m:sSubPr>
            <m:e>
              <m:r>
                <w:rPr>
                  <w:rFonts w:ascii="Cambria Math" w:hAnsi="Cambria Math"/>
                </w:rPr>
                <m:t>MD</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MD</m:t>
              </m:r>
            </m:e>
            <m:sub>
              <m:r>
                <w:rPr>
                  <w:rFonts w:ascii="Cambria Math" w:hAnsi="Cambria Math"/>
                </w:rPr>
                <m:t>U</m:t>
              </m:r>
            </m:sub>
          </m:sSub>
          <m:r>
            <w:rPr>
              <w:rFonts w:ascii="Cambria Math" w:hAnsi="Cambria Math"/>
            </w:rPr>
            <m:t>+</m:t>
          </m:r>
          <m:sSub>
            <m:sSubPr>
              <m:ctrlPr>
                <w:rPr>
                  <w:rFonts w:ascii="Cambria Math" w:hAnsi="Cambria Math"/>
                  <w:i/>
                </w:rPr>
              </m:ctrlPr>
            </m:sSubPr>
            <m:e>
              <m:r>
                <w:rPr>
                  <w:rFonts w:ascii="Cambria Math" w:hAnsi="Cambria Math"/>
                </w:rPr>
                <m:t>losses</m:t>
              </m:r>
            </m:e>
            <m:sub>
              <m:r>
                <w:rPr>
                  <w:rFonts w:ascii="Cambria Math" w:hAnsi="Cambria Math"/>
                </w:rPr>
                <m:t>G→</m:t>
              </m:r>
            </m:sub>
          </m:sSub>
          <m:r>
            <w:rPr>
              <w:rFonts w:ascii="Cambria Math" w:hAnsi="Cambria Math"/>
            </w:rPr>
            <m:t>)</m:t>
          </m:r>
        </m:oMath>
      </m:oMathPara>
    </w:p>
    <w:p w14:paraId="6F28F2BF" w14:textId="77777777" w:rsidR="0041584B" w:rsidRPr="00061A99" w:rsidRDefault="0041584B" w:rsidP="0041584B">
      <w:pPr>
        <w:pStyle w:val="Heading2"/>
      </w:pPr>
      <w:r w:rsidRPr="00061A99">
        <w:t>Diversity Factors are calculated separately for each substation at each level. In our example Diversity Factors would be calculated for substations S, T, and G.</w:t>
      </w:r>
    </w:p>
    <w:p w14:paraId="10F56F11" w14:textId="77777777" w:rsidR="0041584B" w:rsidRPr="00061A99" w:rsidRDefault="0041584B" w:rsidP="0041584B">
      <w:pPr>
        <w:pStyle w:val="Heading2"/>
      </w:pPr>
      <w:r w:rsidRPr="00061A99">
        <w:t>A Net Diversity Factor is then applied to each Connection Node based on the product of Diversity Factors of all the substations that supply that Connection Node. In the example the following Net Diversity Factors would be applied to each of the Connection Nodes.</w:t>
      </w:r>
    </w:p>
    <w:p w14:paraId="32B2A562" w14:textId="77777777" w:rsidR="0041584B" w:rsidRPr="00A61217" w:rsidRDefault="0041584B" w:rsidP="0041584B">
      <w:pPr>
        <w:pStyle w:val="Caption"/>
      </w:pPr>
      <w:bookmarkStart w:id="518" w:name="_Toc253698460"/>
      <w:r w:rsidRPr="00A61217">
        <w:t>Table 5.17 - Calculation of Net Diversity Factors - Hierarchical Diversity Factors</w:t>
      </w:r>
      <w:bookmarkEnd w:id="518"/>
      <w:r w:rsidRPr="00A61217">
        <w:t>.</w:t>
      </w:r>
    </w:p>
    <w:tbl>
      <w:tblPr>
        <w:tblStyle w:val="GridTable4-Accent3"/>
        <w:tblW w:w="5000" w:type="pct"/>
        <w:tblLook w:val="06A0" w:firstRow="1" w:lastRow="0" w:firstColumn="1" w:lastColumn="0" w:noHBand="1" w:noVBand="1"/>
      </w:tblPr>
      <w:tblGrid>
        <w:gridCol w:w="2572"/>
        <w:gridCol w:w="1575"/>
        <w:gridCol w:w="2166"/>
        <w:gridCol w:w="2706"/>
      </w:tblGrid>
      <w:tr w:rsidR="0041584B" w:rsidRPr="00C70D7F" w14:paraId="38BFB439" w14:textId="77777777" w:rsidTr="0041584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6" w:type="pct"/>
            <w:vAlign w:val="center"/>
          </w:tcPr>
          <w:p w14:paraId="0A7F8203" w14:textId="77777777" w:rsidR="0041584B" w:rsidRPr="00C70D7F" w:rsidRDefault="0041584B" w:rsidP="0041584B">
            <w:pPr>
              <w:pStyle w:val="DCUSATabletextnumbers"/>
              <w:rPr>
                <w:b/>
              </w:rPr>
            </w:pPr>
            <w:r w:rsidRPr="00C70D7F">
              <w:rPr>
                <w:b/>
              </w:rPr>
              <w:t>Connection Node</w:t>
            </w:r>
          </w:p>
        </w:tc>
        <w:tc>
          <w:tcPr>
            <w:tcW w:w="873" w:type="pct"/>
            <w:vAlign w:val="center"/>
          </w:tcPr>
          <w:p w14:paraId="58AB65A9" w14:textId="77777777" w:rsidR="0041584B" w:rsidRPr="00C70D7F" w:rsidRDefault="0041584B" w:rsidP="0041584B">
            <w:pPr>
              <w:pStyle w:val="DCUSATabletextnumbers"/>
              <w:cnfStyle w:val="100000000000" w:firstRow="1" w:lastRow="0" w:firstColumn="0" w:lastColumn="0" w:oddVBand="0" w:evenVBand="0" w:oddHBand="0" w:evenHBand="0" w:firstRowFirstColumn="0" w:firstRowLastColumn="0" w:lastRowFirstColumn="0" w:lastRowLastColumn="0"/>
              <w:rPr>
                <w:b/>
              </w:rPr>
            </w:pPr>
            <w:r w:rsidRPr="00C70D7F">
              <w:rPr>
                <w:b/>
              </w:rPr>
              <w:t>Maximum Demand</w:t>
            </w:r>
          </w:p>
        </w:tc>
        <w:tc>
          <w:tcPr>
            <w:tcW w:w="1201" w:type="pct"/>
            <w:vAlign w:val="center"/>
          </w:tcPr>
          <w:p w14:paraId="4267E38E" w14:textId="77777777" w:rsidR="0041584B" w:rsidRPr="00C70D7F" w:rsidRDefault="0041584B" w:rsidP="0041584B">
            <w:pPr>
              <w:pStyle w:val="DCUSATabletextnumbers"/>
              <w:cnfStyle w:val="100000000000" w:firstRow="1" w:lastRow="0" w:firstColumn="0" w:lastColumn="0" w:oddVBand="0" w:evenVBand="0" w:oddHBand="0" w:evenHBand="0" w:firstRowFirstColumn="0" w:firstRowLastColumn="0" w:lastRowFirstColumn="0" w:lastRowLastColumn="0"/>
              <w:rPr>
                <w:b/>
              </w:rPr>
            </w:pPr>
            <w:r w:rsidRPr="00C70D7F">
              <w:rPr>
                <w:b/>
              </w:rPr>
              <w:t>Net Diversity Factor</w:t>
            </w:r>
          </w:p>
        </w:tc>
        <w:tc>
          <w:tcPr>
            <w:tcW w:w="1500" w:type="pct"/>
            <w:vAlign w:val="center"/>
          </w:tcPr>
          <w:p w14:paraId="26918C4A" w14:textId="77777777" w:rsidR="0041584B" w:rsidRPr="00C70D7F" w:rsidRDefault="0041584B" w:rsidP="0041584B">
            <w:pPr>
              <w:pStyle w:val="DCUSATabletextnumbers"/>
              <w:cnfStyle w:val="100000000000" w:firstRow="1" w:lastRow="0" w:firstColumn="0" w:lastColumn="0" w:oddVBand="0" w:evenVBand="0" w:oddHBand="0" w:evenHBand="0" w:firstRowFirstColumn="0" w:firstRowLastColumn="0" w:lastRowFirstColumn="0" w:lastRowLastColumn="0"/>
              <w:rPr>
                <w:b/>
              </w:rPr>
            </w:pPr>
            <w:r w:rsidRPr="00C70D7F">
              <w:rPr>
                <w:b/>
              </w:rPr>
              <w:t>Demand to be applied to the Network Model</w:t>
            </w:r>
          </w:p>
        </w:tc>
      </w:tr>
      <w:tr w:rsidR="0041584B" w:rsidRPr="00C70D7F" w14:paraId="6565C1D0" w14:textId="77777777" w:rsidTr="0041584B">
        <w:tc>
          <w:tcPr>
            <w:cnfStyle w:val="001000000000" w:firstRow="0" w:lastRow="0" w:firstColumn="1" w:lastColumn="0" w:oddVBand="0" w:evenVBand="0" w:oddHBand="0" w:evenHBand="0" w:firstRowFirstColumn="0" w:firstRowLastColumn="0" w:lastRowFirstColumn="0" w:lastRowLastColumn="0"/>
            <w:tcW w:w="1426" w:type="pct"/>
          </w:tcPr>
          <w:p w14:paraId="2D71B12B" w14:textId="77777777" w:rsidR="0041584B" w:rsidRPr="00C70D7F" w:rsidRDefault="0041584B" w:rsidP="0041584B">
            <w:pPr>
              <w:spacing w:before="75" w:after="90"/>
              <w:ind w:firstLine="34"/>
            </w:pPr>
            <w:r w:rsidRPr="00C70D7F">
              <w:t>Primary, B</w:t>
            </w:r>
          </w:p>
        </w:tc>
        <w:tc>
          <w:tcPr>
            <w:tcW w:w="873" w:type="pct"/>
          </w:tcPr>
          <w:p w14:paraId="7DA69CE1" w14:textId="77777777" w:rsidR="0041584B" w:rsidRPr="00C70D7F" w:rsidRDefault="0041584B" w:rsidP="0041584B">
            <w:pPr>
              <w:spacing w:before="75" w:after="90"/>
              <w:ind w:left="66"/>
              <w:cnfStyle w:val="000000000000" w:firstRow="0" w:lastRow="0" w:firstColumn="0" w:lastColumn="0" w:oddVBand="0" w:evenVBand="0" w:oddHBand="0" w:evenHBand="0" w:firstRowFirstColumn="0" w:firstRowLastColumn="0" w:lastRowFirstColumn="0" w:lastRowLastColumn="0"/>
              <w:rPr>
                <w:i/>
              </w:rPr>
            </w:pPr>
            <w:r w:rsidRPr="00C70D7F">
              <w:rPr>
                <w:i/>
              </w:rPr>
              <w:t>MD</w:t>
            </w:r>
            <w:r w:rsidRPr="00C70D7F">
              <w:rPr>
                <w:i/>
                <w:vertAlign w:val="subscript"/>
              </w:rPr>
              <w:t>B</w:t>
            </w:r>
          </w:p>
        </w:tc>
        <w:tc>
          <w:tcPr>
            <w:tcW w:w="1201" w:type="pct"/>
          </w:tcPr>
          <w:p w14:paraId="7BDD50E8" w14:textId="77777777" w:rsidR="0041584B" w:rsidRPr="00C70D7F" w:rsidRDefault="0041584B" w:rsidP="0041584B">
            <w:pPr>
              <w:spacing w:before="75" w:after="90"/>
              <w:ind w:left="34"/>
              <w:jc w:val="center"/>
              <w:cnfStyle w:val="000000000000" w:firstRow="0" w:lastRow="0" w:firstColumn="0" w:lastColumn="0" w:oddVBand="0" w:evenVBand="0" w:oddHBand="0" w:evenHBand="0" w:firstRowFirstColumn="0" w:firstRowLastColumn="0" w:lastRowFirstColumn="0" w:lastRowLastColumn="0"/>
              <w:rPr>
                <w:b/>
                <w:i/>
              </w:rPr>
            </w:pPr>
            <w:r w:rsidRPr="00C70D7F">
              <w:rPr>
                <w:i/>
              </w:rPr>
              <w:t>DF</w:t>
            </w:r>
            <w:r w:rsidRPr="00C70D7F">
              <w:rPr>
                <w:i/>
                <w:vertAlign w:val="subscript"/>
              </w:rPr>
              <w:t>G</w:t>
            </w:r>
            <w:r w:rsidRPr="00C70D7F">
              <w:rPr>
                <w:i/>
              </w:rPr>
              <w:t>* DF</w:t>
            </w:r>
            <w:r w:rsidRPr="00C70D7F">
              <w:rPr>
                <w:i/>
                <w:vertAlign w:val="subscript"/>
              </w:rPr>
              <w:t>S</w:t>
            </w:r>
          </w:p>
        </w:tc>
        <w:tc>
          <w:tcPr>
            <w:tcW w:w="1500" w:type="pct"/>
          </w:tcPr>
          <w:p w14:paraId="7475C725" w14:textId="77777777" w:rsidR="0041584B" w:rsidRPr="00C70D7F" w:rsidRDefault="0041584B" w:rsidP="0041584B">
            <w:pPr>
              <w:spacing w:before="75" w:after="90"/>
              <w:jc w:val="center"/>
              <w:cnfStyle w:val="000000000000" w:firstRow="0" w:lastRow="0" w:firstColumn="0" w:lastColumn="0" w:oddVBand="0" w:evenVBand="0" w:oddHBand="0" w:evenHBand="0" w:firstRowFirstColumn="0" w:firstRowLastColumn="0" w:lastRowFirstColumn="0" w:lastRowLastColumn="0"/>
              <w:rPr>
                <w:i/>
              </w:rPr>
            </w:pPr>
            <w:r w:rsidRPr="00C70D7F">
              <w:rPr>
                <w:i/>
              </w:rPr>
              <w:t>DF</w:t>
            </w:r>
            <w:r w:rsidRPr="00C70D7F">
              <w:rPr>
                <w:i/>
                <w:vertAlign w:val="subscript"/>
              </w:rPr>
              <w:t>G</w:t>
            </w:r>
            <w:r w:rsidRPr="00C70D7F">
              <w:rPr>
                <w:i/>
              </w:rPr>
              <w:t>* DF</w:t>
            </w:r>
            <w:r w:rsidRPr="00C70D7F">
              <w:rPr>
                <w:i/>
                <w:vertAlign w:val="subscript"/>
              </w:rPr>
              <w:t>S</w:t>
            </w:r>
            <w:r w:rsidRPr="00C70D7F">
              <w:rPr>
                <w:i/>
              </w:rPr>
              <w:t xml:space="preserve"> * MD</w:t>
            </w:r>
            <w:r w:rsidRPr="00C70D7F">
              <w:rPr>
                <w:i/>
                <w:vertAlign w:val="subscript"/>
              </w:rPr>
              <w:t>B</w:t>
            </w:r>
          </w:p>
        </w:tc>
      </w:tr>
      <w:tr w:rsidR="0041584B" w:rsidRPr="00C70D7F" w14:paraId="36FF0723" w14:textId="77777777" w:rsidTr="0041584B">
        <w:tc>
          <w:tcPr>
            <w:cnfStyle w:val="001000000000" w:firstRow="0" w:lastRow="0" w:firstColumn="1" w:lastColumn="0" w:oddVBand="0" w:evenVBand="0" w:oddHBand="0" w:evenHBand="0" w:firstRowFirstColumn="0" w:firstRowLastColumn="0" w:lastRowFirstColumn="0" w:lastRowLastColumn="0"/>
            <w:tcW w:w="1426" w:type="pct"/>
          </w:tcPr>
          <w:p w14:paraId="0BC92DA5" w14:textId="77777777" w:rsidR="0041584B" w:rsidRPr="00C70D7F" w:rsidRDefault="0041584B" w:rsidP="0041584B">
            <w:pPr>
              <w:spacing w:before="75" w:after="90"/>
              <w:ind w:firstLine="34"/>
            </w:pPr>
            <w:r w:rsidRPr="00C70D7F">
              <w:t>Primary, C</w:t>
            </w:r>
          </w:p>
        </w:tc>
        <w:tc>
          <w:tcPr>
            <w:tcW w:w="873" w:type="pct"/>
          </w:tcPr>
          <w:p w14:paraId="3FE8C7B1" w14:textId="77777777" w:rsidR="0041584B" w:rsidRPr="00C70D7F" w:rsidRDefault="0041584B" w:rsidP="0041584B">
            <w:pPr>
              <w:spacing w:before="75" w:after="90"/>
              <w:ind w:left="66"/>
              <w:cnfStyle w:val="000000000000" w:firstRow="0" w:lastRow="0" w:firstColumn="0" w:lastColumn="0" w:oddVBand="0" w:evenVBand="0" w:oddHBand="0" w:evenHBand="0" w:firstRowFirstColumn="0" w:firstRowLastColumn="0" w:lastRowFirstColumn="0" w:lastRowLastColumn="0"/>
              <w:rPr>
                <w:i/>
              </w:rPr>
            </w:pPr>
            <w:r w:rsidRPr="00C70D7F">
              <w:rPr>
                <w:i/>
              </w:rPr>
              <w:t>MD</w:t>
            </w:r>
            <w:r w:rsidRPr="00C70D7F">
              <w:rPr>
                <w:i/>
                <w:vertAlign w:val="subscript"/>
              </w:rPr>
              <w:t>C</w:t>
            </w:r>
          </w:p>
        </w:tc>
        <w:tc>
          <w:tcPr>
            <w:tcW w:w="1201" w:type="pct"/>
          </w:tcPr>
          <w:p w14:paraId="6041A658" w14:textId="77777777" w:rsidR="0041584B" w:rsidRPr="00C70D7F" w:rsidRDefault="0041584B" w:rsidP="0041584B">
            <w:pPr>
              <w:spacing w:before="75" w:after="90"/>
              <w:ind w:left="34"/>
              <w:jc w:val="center"/>
              <w:cnfStyle w:val="000000000000" w:firstRow="0" w:lastRow="0" w:firstColumn="0" w:lastColumn="0" w:oddVBand="0" w:evenVBand="0" w:oddHBand="0" w:evenHBand="0" w:firstRowFirstColumn="0" w:firstRowLastColumn="0" w:lastRowFirstColumn="0" w:lastRowLastColumn="0"/>
              <w:rPr>
                <w:b/>
                <w:i/>
              </w:rPr>
            </w:pPr>
            <w:r w:rsidRPr="00C70D7F">
              <w:rPr>
                <w:i/>
              </w:rPr>
              <w:t>DF</w:t>
            </w:r>
            <w:r w:rsidRPr="00C70D7F">
              <w:rPr>
                <w:i/>
                <w:vertAlign w:val="subscript"/>
              </w:rPr>
              <w:t>G</w:t>
            </w:r>
            <w:r w:rsidRPr="00C70D7F">
              <w:rPr>
                <w:i/>
              </w:rPr>
              <w:t>* DF</w:t>
            </w:r>
            <w:r w:rsidRPr="00C70D7F">
              <w:rPr>
                <w:i/>
                <w:vertAlign w:val="subscript"/>
              </w:rPr>
              <w:t>S</w:t>
            </w:r>
          </w:p>
        </w:tc>
        <w:tc>
          <w:tcPr>
            <w:tcW w:w="1500" w:type="pct"/>
          </w:tcPr>
          <w:p w14:paraId="51975E07" w14:textId="77777777" w:rsidR="0041584B" w:rsidRPr="00C70D7F" w:rsidRDefault="0041584B" w:rsidP="0041584B">
            <w:pPr>
              <w:spacing w:before="75" w:after="90"/>
              <w:jc w:val="center"/>
              <w:cnfStyle w:val="000000000000" w:firstRow="0" w:lastRow="0" w:firstColumn="0" w:lastColumn="0" w:oddVBand="0" w:evenVBand="0" w:oddHBand="0" w:evenHBand="0" w:firstRowFirstColumn="0" w:firstRowLastColumn="0" w:lastRowFirstColumn="0" w:lastRowLastColumn="0"/>
              <w:rPr>
                <w:i/>
              </w:rPr>
            </w:pPr>
            <w:r w:rsidRPr="00C70D7F">
              <w:rPr>
                <w:i/>
              </w:rPr>
              <w:t>DF</w:t>
            </w:r>
            <w:r w:rsidRPr="00C70D7F">
              <w:rPr>
                <w:i/>
                <w:vertAlign w:val="subscript"/>
              </w:rPr>
              <w:t>G</w:t>
            </w:r>
            <w:r w:rsidRPr="00C70D7F">
              <w:rPr>
                <w:i/>
              </w:rPr>
              <w:t>* DF</w:t>
            </w:r>
            <w:r w:rsidRPr="00C70D7F">
              <w:rPr>
                <w:i/>
                <w:vertAlign w:val="subscript"/>
              </w:rPr>
              <w:t>S</w:t>
            </w:r>
            <w:r w:rsidRPr="00C70D7F">
              <w:rPr>
                <w:i/>
              </w:rPr>
              <w:t xml:space="preserve"> * MD</w:t>
            </w:r>
            <w:r w:rsidRPr="00C70D7F">
              <w:rPr>
                <w:i/>
                <w:vertAlign w:val="subscript"/>
              </w:rPr>
              <w:t>C</w:t>
            </w:r>
          </w:p>
        </w:tc>
      </w:tr>
      <w:tr w:rsidR="0041584B" w:rsidRPr="00C70D7F" w14:paraId="037E822D" w14:textId="77777777" w:rsidTr="0041584B">
        <w:tc>
          <w:tcPr>
            <w:cnfStyle w:val="001000000000" w:firstRow="0" w:lastRow="0" w:firstColumn="1" w:lastColumn="0" w:oddVBand="0" w:evenVBand="0" w:oddHBand="0" w:evenHBand="0" w:firstRowFirstColumn="0" w:firstRowLastColumn="0" w:lastRowFirstColumn="0" w:lastRowLastColumn="0"/>
            <w:tcW w:w="1426" w:type="pct"/>
          </w:tcPr>
          <w:p w14:paraId="70C1A653" w14:textId="77777777" w:rsidR="0041584B" w:rsidRPr="00C70D7F" w:rsidRDefault="0041584B" w:rsidP="0041584B">
            <w:pPr>
              <w:spacing w:before="75" w:after="90"/>
              <w:ind w:firstLine="34"/>
            </w:pPr>
            <w:r w:rsidRPr="00C70D7F">
              <w:t>Primary, D</w:t>
            </w:r>
          </w:p>
        </w:tc>
        <w:tc>
          <w:tcPr>
            <w:tcW w:w="873" w:type="pct"/>
          </w:tcPr>
          <w:p w14:paraId="5016AB79" w14:textId="77777777" w:rsidR="0041584B" w:rsidRPr="00C70D7F" w:rsidRDefault="0041584B" w:rsidP="0041584B">
            <w:pPr>
              <w:spacing w:before="75" w:after="90"/>
              <w:ind w:left="66"/>
              <w:cnfStyle w:val="000000000000" w:firstRow="0" w:lastRow="0" w:firstColumn="0" w:lastColumn="0" w:oddVBand="0" w:evenVBand="0" w:oddHBand="0" w:evenHBand="0" w:firstRowFirstColumn="0" w:firstRowLastColumn="0" w:lastRowFirstColumn="0" w:lastRowLastColumn="0"/>
              <w:rPr>
                <w:i/>
              </w:rPr>
            </w:pPr>
            <w:r w:rsidRPr="00C70D7F">
              <w:rPr>
                <w:i/>
              </w:rPr>
              <w:t>MD</w:t>
            </w:r>
            <w:r w:rsidRPr="00C70D7F">
              <w:rPr>
                <w:i/>
                <w:vertAlign w:val="subscript"/>
              </w:rPr>
              <w:t>D</w:t>
            </w:r>
          </w:p>
        </w:tc>
        <w:tc>
          <w:tcPr>
            <w:tcW w:w="1201" w:type="pct"/>
          </w:tcPr>
          <w:p w14:paraId="10BD1B66" w14:textId="77777777" w:rsidR="0041584B" w:rsidRPr="00C70D7F" w:rsidRDefault="0041584B" w:rsidP="0041584B">
            <w:pPr>
              <w:spacing w:before="75" w:after="90"/>
              <w:ind w:left="34"/>
              <w:jc w:val="center"/>
              <w:cnfStyle w:val="000000000000" w:firstRow="0" w:lastRow="0" w:firstColumn="0" w:lastColumn="0" w:oddVBand="0" w:evenVBand="0" w:oddHBand="0" w:evenHBand="0" w:firstRowFirstColumn="0" w:firstRowLastColumn="0" w:lastRowFirstColumn="0" w:lastRowLastColumn="0"/>
              <w:rPr>
                <w:b/>
                <w:i/>
              </w:rPr>
            </w:pPr>
            <w:r w:rsidRPr="00C70D7F">
              <w:rPr>
                <w:i/>
              </w:rPr>
              <w:t>DF</w:t>
            </w:r>
            <w:r w:rsidRPr="00C70D7F">
              <w:rPr>
                <w:i/>
                <w:vertAlign w:val="subscript"/>
              </w:rPr>
              <w:t>G</w:t>
            </w:r>
            <w:r w:rsidRPr="00C70D7F">
              <w:rPr>
                <w:i/>
              </w:rPr>
              <w:t>* DF</w:t>
            </w:r>
            <w:r w:rsidRPr="00C70D7F">
              <w:rPr>
                <w:i/>
                <w:vertAlign w:val="subscript"/>
              </w:rPr>
              <w:t>S</w:t>
            </w:r>
          </w:p>
        </w:tc>
        <w:tc>
          <w:tcPr>
            <w:tcW w:w="1500" w:type="pct"/>
          </w:tcPr>
          <w:p w14:paraId="41D0D4BF" w14:textId="77777777" w:rsidR="0041584B" w:rsidRPr="00C70D7F" w:rsidRDefault="0041584B" w:rsidP="0041584B">
            <w:pPr>
              <w:spacing w:before="75" w:after="90"/>
              <w:jc w:val="center"/>
              <w:cnfStyle w:val="000000000000" w:firstRow="0" w:lastRow="0" w:firstColumn="0" w:lastColumn="0" w:oddVBand="0" w:evenVBand="0" w:oddHBand="0" w:evenHBand="0" w:firstRowFirstColumn="0" w:firstRowLastColumn="0" w:lastRowFirstColumn="0" w:lastRowLastColumn="0"/>
              <w:rPr>
                <w:i/>
              </w:rPr>
            </w:pPr>
            <w:r w:rsidRPr="00C70D7F">
              <w:rPr>
                <w:i/>
              </w:rPr>
              <w:t>DF</w:t>
            </w:r>
            <w:r w:rsidRPr="00C70D7F">
              <w:rPr>
                <w:i/>
                <w:vertAlign w:val="subscript"/>
              </w:rPr>
              <w:t>G</w:t>
            </w:r>
            <w:r w:rsidRPr="00C70D7F">
              <w:rPr>
                <w:i/>
              </w:rPr>
              <w:t>* DF</w:t>
            </w:r>
            <w:r w:rsidRPr="00C70D7F">
              <w:rPr>
                <w:i/>
                <w:vertAlign w:val="subscript"/>
              </w:rPr>
              <w:t>S</w:t>
            </w:r>
            <w:r w:rsidRPr="00C70D7F">
              <w:rPr>
                <w:i/>
              </w:rPr>
              <w:t xml:space="preserve"> * MD</w:t>
            </w:r>
            <w:r w:rsidRPr="00C70D7F">
              <w:rPr>
                <w:i/>
                <w:vertAlign w:val="subscript"/>
              </w:rPr>
              <w:t>D</w:t>
            </w:r>
          </w:p>
        </w:tc>
      </w:tr>
      <w:tr w:rsidR="0041584B" w:rsidRPr="00C70D7F" w14:paraId="7F3B7B44" w14:textId="77777777" w:rsidTr="0041584B">
        <w:tc>
          <w:tcPr>
            <w:cnfStyle w:val="001000000000" w:firstRow="0" w:lastRow="0" w:firstColumn="1" w:lastColumn="0" w:oddVBand="0" w:evenVBand="0" w:oddHBand="0" w:evenHBand="0" w:firstRowFirstColumn="0" w:firstRowLastColumn="0" w:lastRowFirstColumn="0" w:lastRowLastColumn="0"/>
            <w:tcW w:w="1426" w:type="pct"/>
          </w:tcPr>
          <w:p w14:paraId="2754A335" w14:textId="77777777" w:rsidR="0041584B" w:rsidRPr="00C70D7F" w:rsidRDefault="0041584B" w:rsidP="0041584B">
            <w:pPr>
              <w:spacing w:before="75" w:after="90"/>
              <w:ind w:firstLine="34"/>
            </w:pPr>
            <w:r w:rsidRPr="00C70D7F">
              <w:t>EDCM Connectee, E</w:t>
            </w:r>
          </w:p>
        </w:tc>
        <w:tc>
          <w:tcPr>
            <w:tcW w:w="873" w:type="pct"/>
          </w:tcPr>
          <w:p w14:paraId="7505FE32" w14:textId="77777777" w:rsidR="0041584B" w:rsidRPr="00C70D7F" w:rsidRDefault="0041584B" w:rsidP="0041584B">
            <w:pPr>
              <w:spacing w:before="75" w:after="90"/>
              <w:ind w:left="66"/>
              <w:cnfStyle w:val="000000000000" w:firstRow="0" w:lastRow="0" w:firstColumn="0" w:lastColumn="0" w:oddVBand="0" w:evenVBand="0" w:oddHBand="0" w:evenHBand="0" w:firstRowFirstColumn="0" w:firstRowLastColumn="0" w:lastRowFirstColumn="0" w:lastRowLastColumn="0"/>
              <w:rPr>
                <w:i/>
              </w:rPr>
            </w:pPr>
            <w:r w:rsidRPr="00C70D7F">
              <w:rPr>
                <w:i/>
              </w:rPr>
              <w:t>MD</w:t>
            </w:r>
            <w:r w:rsidRPr="00C70D7F">
              <w:rPr>
                <w:i/>
                <w:vertAlign w:val="subscript"/>
              </w:rPr>
              <w:t>E</w:t>
            </w:r>
          </w:p>
        </w:tc>
        <w:tc>
          <w:tcPr>
            <w:tcW w:w="1201" w:type="pct"/>
          </w:tcPr>
          <w:p w14:paraId="01F5AB1F" w14:textId="77777777" w:rsidR="0041584B" w:rsidRPr="00C70D7F" w:rsidRDefault="0041584B" w:rsidP="0041584B">
            <w:pPr>
              <w:spacing w:before="75" w:after="90"/>
              <w:ind w:left="34"/>
              <w:jc w:val="center"/>
              <w:cnfStyle w:val="000000000000" w:firstRow="0" w:lastRow="0" w:firstColumn="0" w:lastColumn="0" w:oddVBand="0" w:evenVBand="0" w:oddHBand="0" w:evenHBand="0" w:firstRowFirstColumn="0" w:firstRowLastColumn="0" w:lastRowFirstColumn="0" w:lastRowLastColumn="0"/>
              <w:rPr>
                <w:b/>
                <w:i/>
              </w:rPr>
            </w:pPr>
            <w:r w:rsidRPr="00C70D7F">
              <w:rPr>
                <w:i/>
              </w:rPr>
              <w:t>DF</w:t>
            </w:r>
            <w:r w:rsidRPr="00C70D7F">
              <w:rPr>
                <w:i/>
                <w:vertAlign w:val="subscript"/>
              </w:rPr>
              <w:t>G</w:t>
            </w:r>
            <w:r w:rsidRPr="00C70D7F">
              <w:rPr>
                <w:i/>
              </w:rPr>
              <w:t>* DF</w:t>
            </w:r>
            <w:r w:rsidRPr="00C70D7F">
              <w:rPr>
                <w:i/>
                <w:vertAlign w:val="subscript"/>
              </w:rPr>
              <w:t>S</w:t>
            </w:r>
          </w:p>
        </w:tc>
        <w:tc>
          <w:tcPr>
            <w:tcW w:w="1500" w:type="pct"/>
          </w:tcPr>
          <w:p w14:paraId="48B2678E" w14:textId="77777777" w:rsidR="0041584B" w:rsidRPr="00C70D7F" w:rsidRDefault="0041584B" w:rsidP="0041584B">
            <w:pPr>
              <w:spacing w:before="75" w:after="90"/>
              <w:jc w:val="center"/>
              <w:cnfStyle w:val="000000000000" w:firstRow="0" w:lastRow="0" w:firstColumn="0" w:lastColumn="0" w:oddVBand="0" w:evenVBand="0" w:oddHBand="0" w:evenHBand="0" w:firstRowFirstColumn="0" w:firstRowLastColumn="0" w:lastRowFirstColumn="0" w:lastRowLastColumn="0"/>
              <w:rPr>
                <w:i/>
              </w:rPr>
            </w:pPr>
            <w:r w:rsidRPr="00C70D7F">
              <w:rPr>
                <w:i/>
              </w:rPr>
              <w:t>DF</w:t>
            </w:r>
            <w:r w:rsidRPr="00C70D7F">
              <w:rPr>
                <w:i/>
                <w:vertAlign w:val="subscript"/>
              </w:rPr>
              <w:t>G</w:t>
            </w:r>
            <w:r w:rsidRPr="00C70D7F">
              <w:rPr>
                <w:i/>
              </w:rPr>
              <w:t>* DF</w:t>
            </w:r>
            <w:r w:rsidRPr="00C70D7F">
              <w:rPr>
                <w:i/>
                <w:vertAlign w:val="subscript"/>
              </w:rPr>
              <w:t>S</w:t>
            </w:r>
            <w:r w:rsidRPr="00C70D7F">
              <w:rPr>
                <w:i/>
              </w:rPr>
              <w:t xml:space="preserve"> * MD</w:t>
            </w:r>
            <w:r w:rsidRPr="00C70D7F">
              <w:rPr>
                <w:i/>
                <w:vertAlign w:val="subscript"/>
              </w:rPr>
              <w:t>E</w:t>
            </w:r>
          </w:p>
        </w:tc>
      </w:tr>
      <w:tr w:rsidR="0041584B" w:rsidRPr="00C70D7F" w14:paraId="31212E70" w14:textId="77777777" w:rsidTr="0041584B">
        <w:tc>
          <w:tcPr>
            <w:cnfStyle w:val="001000000000" w:firstRow="0" w:lastRow="0" w:firstColumn="1" w:lastColumn="0" w:oddVBand="0" w:evenVBand="0" w:oddHBand="0" w:evenHBand="0" w:firstRowFirstColumn="0" w:firstRowLastColumn="0" w:lastRowFirstColumn="0" w:lastRowLastColumn="0"/>
            <w:tcW w:w="1426" w:type="pct"/>
          </w:tcPr>
          <w:p w14:paraId="27F4D7E4" w14:textId="77777777" w:rsidR="0041584B" w:rsidRPr="00C70D7F" w:rsidRDefault="0041584B" w:rsidP="0041584B">
            <w:pPr>
              <w:spacing w:before="75" w:after="90"/>
              <w:ind w:firstLine="34"/>
            </w:pPr>
            <w:r w:rsidRPr="00C70D7F">
              <w:t>Primary, M</w:t>
            </w:r>
          </w:p>
        </w:tc>
        <w:tc>
          <w:tcPr>
            <w:tcW w:w="873" w:type="pct"/>
          </w:tcPr>
          <w:p w14:paraId="770B06CA" w14:textId="77777777" w:rsidR="0041584B" w:rsidRPr="00C70D7F" w:rsidRDefault="0041584B" w:rsidP="0041584B">
            <w:pPr>
              <w:spacing w:before="75" w:after="90"/>
              <w:ind w:left="66"/>
              <w:cnfStyle w:val="000000000000" w:firstRow="0" w:lastRow="0" w:firstColumn="0" w:lastColumn="0" w:oddVBand="0" w:evenVBand="0" w:oddHBand="0" w:evenHBand="0" w:firstRowFirstColumn="0" w:firstRowLastColumn="0" w:lastRowFirstColumn="0" w:lastRowLastColumn="0"/>
              <w:rPr>
                <w:i/>
              </w:rPr>
            </w:pPr>
            <w:r w:rsidRPr="00C70D7F">
              <w:rPr>
                <w:i/>
              </w:rPr>
              <w:t>MD</w:t>
            </w:r>
            <w:r w:rsidRPr="00C70D7F">
              <w:rPr>
                <w:i/>
                <w:vertAlign w:val="subscript"/>
              </w:rPr>
              <w:t>M</w:t>
            </w:r>
          </w:p>
        </w:tc>
        <w:tc>
          <w:tcPr>
            <w:tcW w:w="1201" w:type="pct"/>
          </w:tcPr>
          <w:p w14:paraId="7D105FBA" w14:textId="77777777" w:rsidR="0041584B" w:rsidRPr="00C70D7F" w:rsidRDefault="0041584B" w:rsidP="0041584B">
            <w:pPr>
              <w:spacing w:before="75" w:after="90"/>
              <w:ind w:left="34"/>
              <w:jc w:val="center"/>
              <w:cnfStyle w:val="000000000000" w:firstRow="0" w:lastRow="0" w:firstColumn="0" w:lastColumn="0" w:oddVBand="0" w:evenVBand="0" w:oddHBand="0" w:evenHBand="0" w:firstRowFirstColumn="0" w:firstRowLastColumn="0" w:lastRowFirstColumn="0" w:lastRowLastColumn="0"/>
              <w:rPr>
                <w:b/>
                <w:i/>
              </w:rPr>
            </w:pPr>
            <w:r w:rsidRPr="00C70D7F">
              <w:rPr>
                <w:i/>
              </w:rPr>
              <w:t>DF</w:t>
            </w:r>
            <w:r w:rsidRPr="00C70D7F">
              <w:rPr>
                <w:i/>
                <w:vertAlign w:val="subscript"/>
              </w:rPr>
              <w:t>G</w:t>
            </w:r>
            <w:r w:rsidRPr="00C70D7F">
              <w:rPr>
                <w:i/>
              </w:rPr>
              <w:t>* DF</w:t>
            </w:r>
            <w:r w:rsidRPr="00C70D7F">
              <w:rPr>
                <w:i/>
                <w:vertAlign w:val="subscript"/>
              </w:rPr>
              <w:t>T</w:t>
            </w:r>
          </w:p>
        </w:tc>
        <w:tc>
          <w:tcPr>
            <w:tcW w:w="1500" w:type="pct"/>
          </w:tcPr>
          <w:p w14:paraId="78355595" w14:textId="77777777" w:rsidR="0041584B" w:rsidRPr="00C70D7F" w:rsidRDefault="0041584B" w:rsidP="0041584B">
            <w:pPr>
              <w:spacing w:before="75" w:after="90"/>
              <w:jc w:val="center"/>
              <w:cnfStyle w:val="000000000000" w:firstRow="0" w:lastRow="0" w:firstColumn="0" w:lastColumn="0" w:oddVBand="0" w:evenVBand="0" w:oddHBand="0" w:evenHBand="0" w:firstRowFirstColumn="0" w:firstRowLastColumn="0" w:lastRowFirstColumn="0" w:lastRowLastColumn="0"/>
              <w:rPr>
                <w:i/>
              </w:rPr>
            </w:pPr>
            <w:r w:rsidRPr="00C70D7F">
              <w:rPr>
                <w:i/>
              </w:rPr>
              <w:t>DF</w:t>
            </w:r>
            <w:r w:rsidRPr="00C70D7F">
              <w:rPr>
                <w:i/>
                <w:vertAlign w:val="subscript"/>
              </w:rPr>
              <w:t>G</w:t>
            </w:r>
            <w:r w:rsidRPr="00C70D7F">
              <w:rPr>
                <w:i/>
              </w:rPr>
              <w:t>* DF</w:t>
            </w:r>
            <w:r w:rsidRPr="00C70D7F">
              <w:rPr>
                <w:i/>
                <w:vertAlign w:val="subscript"/>
              </w:rPr>
              <w:t>T</w:t>
            </w:r>
            <w:r w:rsidRPr="00C70D7F">
              <w:rPr>
                <w:i/>
              </w:rPr>
              <w:t xml:space="preserve"> * MD</w:t>
            </w:r>
            <w:r w:rsidRPr="00C70D7F">
              <w:rPr>
                <w:i/>
                <w:vertAlign w:val="subscript"/>
              </w:rPr>
              <w:t>M</w:t>
            </w:r>
          </w:p>
        </w:tc>
      </w:tr>
      <w:tr w:rsidR="0041584B" w:rsidRPr="00C70D7F" w14:paraId="12EB8CAD" w14:textId="77777777" w:rsidTr="0041584B">
        <w:tc>
          <w:tcPr>
            <w:cnfStyle w:val="001000000000" w:firstRow="0" w:lastRow="0" w:firstColumn="1" w:lastColumn="0" w:oddVBand="0" w:evenVBand="0" w:oddHBand="0" w:evenHBand="0" w:firstRowFirstColumn="0" w:firstRowLastColumn="0" w:lastRowFirstColumn="0" w:lastRowLastColumn="0"/>
            <w:tcW w:w="1426" w:type="pct"/>
          </w:tcPr>
          <w:p w14:paraId="60FF5B86" w14:textId="77777777" w:rsidR="0041584B" w:rsidRPr="00C70D7F" w:rsidRDefault="0041584B" w:rsidP="0041584B">
            <w:pPr>
              <w:spacing w:before="75" w:after="90"/>
              <w:ind w:firstLine="34"/>
            </w:pPr>
            <w:r w:rsidRPr="00C70D7F">
              <w:t>Primary, N</w:t>
            </w:r>
          </w:p>
        </w:tc>
        <w:tc>
          <w:tcPr>
            <w:tcW w:w="873" w:type="pct"/>
          </w:tcPr>
          <w:p w14:paraId="3F66FF8B" w14:textId="77777777" w:rsidR="0041584B" w:rsidRPr="00C70D7F" w:rsidRDefault="0041584B" w:rsidP="0041584B">
            <w:pPr>
              <w:spacing w:before="75" w:after="90"/>
              <w:ind w:left="66"/>
              <w:cnfStyle w:val="000000000000" w:firstRow="0" w:lastRow="0" w:firstColumn="0" w:lastColumn="0" w:oddVBand="0" w:evenVBand="0" w:oddHBand="0" w:evenHBand="0" w:firstRowFirstColumn="0" w:firstRowLastColumn="0" w:lastRowFirstColumn="0" w:lastRowLastColumn="0"/>
              <w:rPr>
                <w:i/>
              </w:rPr>
            </w:pPr>
            <w:r w:rsidRPr="00C70D7F">
              <w:rPr>
                <w:i/>
              </w:rPr>
              <w:t>MD</w:t>
            </w:r>
            <w:r w:rsidRPr="00C70D7F">
              <w:rPr>
                <w:i/>
                <w:vertAlign w:val="subscript"/>
              </w:rPr>
              <w:t>N</w:t>
            </w:r>
          </w:p>
        </w:tc>
        <w:tc>
          <w:tcPr>
            <w:tcW w:w="1201" w:type="pct"/>
          </w:tcPr>
          <w:p w14:paraId="6D66457E" w14:textId="77777777" w:rsidR="0041584B" w:rsidRPr="00C70D7F" w:rsidRDefault="0041584B" w:rsidP="0041584B">
            <w:pPr>
              <w:spacing w:before="75" w:after="90"/>
              <w:ind w:left="34"/>
              <w:jc w:val="center"/>
              <w:cnfStyle w:val="000000000000" w:firstRow="0" w:lastRow="0" w:firstColumn="0" w:lastColumn="0" w:oddVBand="0" w:evenVBand="0" w:oddHBand="0" w:evenHBand="0" w:firstRowFirstColumn="0" w:firstRowLastColumn="0" w:lastRowFirstColumn="0" w:lastRowLastColumn="0"/>
              <w:rPr>
                <w:b/>
                <w:i/>
              </w:rPr>
            </w:pPr>
            <w:r w:rsidRPr="00C70D7F">
              <w:rPr>
                <w:i/>
              </w:rPr>
              <w:t>DF</w:t>
            </w:r>
            <w:r w:rsidRPr="00C70D7F">
              <w:rPr>
                <w:i/>
                <w:vertAlign w:val="subscript"/>
              </w:rPr>
              <w:t>G</w:t>
            </w:r>
            <w:r w:rsidRPr="00C70D7F">
              <w:rPr>
                <w:i/>
              </w:rPr>
              <w:t>* DF</w:t>
            </w:r>
            <w:r w:rsidRPr="00C70D7F">
              <w:rPr>
                <w:i/>
                <w:vertAlign w:val="subscript"/>
              </w:rPr>
              <w:t>T</w:t>
            </w:r>
          </w:p>
        </w:tc>
        <w:tc>
          <w:tcPr>
            <w:tcW w:w="1500" w:type="pct"/>
          </w:tcPr>
          <w:p w14:paraId="0784F65A" w14:textId="77777777" w:rsidR="0041584B" w:rsidRPr="00C70D7F" w:rsidRDefault="0041584B" w:rsidP="0041584B">
            <w:pPr>
              <w:spacing w:before="75" w:after="90"/>
              <w:jc w:val="center"/>
              <w:cnfStyle w:val="000000000000" w:firstRow="0" w:lastRow="0" w:firstColumn="0" w:lastColumn="0" w:oddVBand="0" w:evenVBand="0" w:oddHBand="0" w:evenHBand="0" w:firstRowFirstColumn="0" w:firstRowLastColumn="0" w:lastRowFirstColumn="0" w:lastRowLastColumn="0"/>
              <w:rPr>
                <w:i/>
              </w:rPr>
            </w:pPr>
            <w:r w:rsidRPr="00C70D7F">
              <w:rPr>
                <w:i/>
              </w:rPr>
              <w:t>DF</w:t>
            </w:r>
            <w:r w:rsidRPr="00C70D7F">
              <w:rPr>
                <w:i/>
                <w:vertAlign w:val="subscript"/>
              </w:rPr>
              <w:t>G</w:t>
            </w:r>
            <w:r w:rsidRPr="00C70D7F">
              <w:rPr>
                <w:i/>
              </w:rPr>
              <w:t>* DF</w:t>
            </w:r>
            <w:r w:rsidRPr="00C70D7F">
              <w:rPr>
                <w:i/>
                <w:vertAlign w:val="subscript"/>
              </w:rPr>
              <w:t>T</w:t>
            </w:r>
            <w:r w:rsidRPr="00C70D7F">
              <w:rPr>
                <w:i/>
              </w:rPr>
              <w:t xml:space="preserve"> * MD</w:t>
            </w:r>
            <w:r w:rsidRPr="00C70D7F">
              <w:rPr>
                <w:i/>
                <w:vertAlign w:val="subscript"/>
              </w:rPr>
              <w:t>N</w:t>
            </w:r>
          </w:p>
        </w:tc>
      </w:tr>
      <w:tr w:rsidR="0041584B" w:rsidRPr="00C70D7F" w14:paraId="72081380" w14:textId="77777777" w:rsidTr="0041584B">
        <w:tc>
          <w:tcPr>
            <w:cnfStyle w:val="001000000000" w:firstRow="0" w:lastRow="0" w:firstColumn="1" w:lastColumn="0" w:oddVBand="0" w:evenVBand="0" w:oddHBand="0" w:evenHBand="0" w:firstRowFirstColumn="0" w:firstRowLastColumn="0" w:lastRowFirstColumn="0" w:lastRowLastColumn="0"/>
            <w:tcW w:w="1426" w:type="pct"/>
          </w:tcPr>
          <w:p w14:paraId="7180823D" w14:textId="77777777" w:rsidR="0041584B" w:rsidRPr="00C70D7F" w:rsidRDefault="0041584B" w:rsidP="0041584B">
            <w:pPr>
              <w:spacing w:before="75" w:after="90"/>
              <w:ind w:firstLine="34"/>
            </w:pPr>
            <w:r w:rsidRPr="00C70D7F">
              <w:t>Primary, O</w:t>
            </w:r>
          </w:p>
        </w:tc>
        <w:tc>
          <w:tcPr>
            <w:tcW w:w="873" w:type="pct"/>
          </w:tcPr>
          <w:p w14:paraId="6A11639B" w14:textId="77777777" w:rsidR="0041584B" w:rsidRPr="00C70D7F" w:rsidRDefault="0041584B" w:rsidP="0041584B">
            <w:pPr>
              <w:spacing w:before="75" w:after="90"/>
              <w:ind w:left="66"/>
              <w:cnfStyle w:val="000000000000" w:firstRow="0" w:lastRow="0" w:firstColumn="0" w:lastColumn="0" w:oddVBand="0" w:evenVBand="0" w:oddHBand="0" w:evenHBand="0" w:firstRowFirstColumn="0" w:firstRowLastColumn="0" w:lastRowFirstColumn="0" w:lastRowLastColumn="0"/>
              <w:rPr>
                <w:i/>
              </w:rPr>
            </w:pPr>
            <w:r w:rsidRPr="00C70D7F">
              <w:rPr>
                <w:i/>
              </w:rPr>
              <w:t>MD</w:t>
            </w:r>
            <w:r w:rsidRPr="00C70D7F">
              <w:rPr>
                <w:i/>
                <w:vertAlign w:val="subscript"/>
              </w:rPr>
              <w:t>O</w:t>
            </w:r>
          </w:p>
        </w:tc>
        <w:tc>
          <w:tcPr>
            <w:tcW w:w="1201" w:type="pct"/>
          </w:tcPr>
          <w:p w14:paraId="38271E7B" w14:textId="77777777" w:rsidR="0041584B" w:rsidRPr="00C70D7F" w:rsidRDefault="0041584B" w:rsidP="0041584B">
            <w:pPr>
              <w:spacing w:before="75" w:after="90"/>
              <w:ind w:left="34"/>
              <w:jc w:val="center"/>
              <w:cnfStyle w:val="000000000000" w:firstRow="0" w:lastRow="0" w:firstColumn="0" w:lastColumn="0" w:oddVBand="0" w:evenVBand="0" w:oddHBand="0" w:evenHBand="0" w:firstRowFirstColumn="0" w:firstRowLastColumn="0" w:lastRowFirstColumn="0" w:lastRowLastColumn="0"/>
              <w:rPr>
                <w:b/>
                <w:i/>
              </w:rPr>
            </w:pPr>
            <w:r w:rsidRPr="00C70D7F">
              <w:rPr>
                <w:i/>
              </w:rPr>
              <w:t>DF</w:t>
            </w:r>
            <w:r w:rsidRPr="00C70D7F">
              <w:rPr>
                <w:i/>
                <w:vertAlign w:val="subscript"/>
              </w:rPr>
              <w:t>G</w:t>
            </w:r>
            <w:r w:rsidRPr="00C70D7F">
              <w:rPr>
                <w:i/>
              </w:rPr>
              <w:t>* DF</w:t>
            </w:r>
            <w:r w:rsidRPr="00C70D7F">
              <w:rPr>
                <w:i/>
                <w:vertAlign w:val="subscript"/>
              </w:rPr>
              <w:t>T</w:t>
            </w:r>
          </w:p>
        </w:tc>
        <w:tc>
          <w:tcPr>
            <w:tcW w:w="1500" w:type="pct"/>
          </w:tcPr>
          <w:p w14:paraId="4FC9211C" w14:textId="77777777" w:rsidR="0041584B" w:rsidRPr="00C70D7F" w:rsidRDefault="0041584B" w:rsidP="0041584B">
            <w:pPr>
              <w:spacing w:before="75" w:after="90"/>
              <w:jc w:val="center"/>
              <w:cnfStyle w:val="000000000000" w:firstRow="0" w:lastRow="0" w:firstColumn="0" w:lastColumn="0" w:oddVBand="0" w:evenVBand="0" w:oddHBand="0" w:evenHBand="0" w:firstRowFirstColumn="0" w:firstRowLastColumn="0" w:lastRowFirstColumn="0" w:lastRowLastColumn="0"/>
              <w:rPr>
                <w:i/>
              </w:rPr>
            </w:pPr>
            <w:r w:rsidRPr="00C70D7F">
              <w:rPr>
                <w:i/>
              </w:rPr>
              <w:t>DF</w:t>
            </w:r>
            <w:r w:rsidRPr="00C70D7F">
              <w:rPr>
                <w:i/>
                <w:vertAlign w:val="subscript"/>
              </w:rPr>
              <w:t>G</w:t>
            </w:r>
            <w:r w:rsidRPr="00C70D7F">
              <w:rPr>
                <w:i/>
              </w:rPr>
              <w:t>* DF</w:t>
            </w:r>
            <w:r w:rsidRPr="00C70D7F">
              <w:rPr>
                <w:i/>
                <w:vertAlign w:val="subscript"/>
              </w:rPr>
              <w:t>T</w:t>
            </w:r>
            <w:r w:rsidRPr="00C70D7F">
              <w:rPr>
                <w:i/>
              </w:rPr>
              <w:t xml:space="preserve"> * MD</w:t>
            </w:r>
            <w:r w:rsidRPr="00C70D7F">
              <w:rPr>
                <w:i/>
                <w:vertAlign w:val="subscript"/>
              </w:rPr>
              <w:t>O</w:t>
            </w:r>
          </w:p>
        </w:tc>
      </w:tr>
      <w:tr w:rsidR="0041584B" w:rsidRPr="00C70D7F" w14:paraId="56F9B817" w14:textId="77777777" w:rsidTr="0041584B">
        <w:tc>
          <w:tcPr>
            <w:cnfStyle w:val="001000000000" w:firstRow="0" w:lastRow="0" w:firstColumn="1" w:lastColumn="0" w:oddVBand="0" w:evenVBand="0" w:oddHBand="0" w:evenHBand="0" w:firstRowFirstColumn="0" w:firstRowLastColumn="0" w:lastRowFirstColumn="0" w:lastRowLastColumn="0"/>
            <w:tcW w:w="1426" w:type="pct"/>
          </w:tcPr>
          <w:p w14:paraId="3AE0F7A8" w14:textId="77777777" w:rsidR="0041584B" w:rsidRPr="00C70D7F" w:rsidRDefault="0041584B" w:rsidP="0041584B">
            <w:pPr>
              <w:spacing w:before="75" w:after="90"/>
              <w:ind w:firstLine="34"/>
            </w:pPr>
            <w:r w:rsidRPr="00C70D7F">
              <w:t>EDCM Connectee, U</w:t>
            </w:r>
          </w:p>
        </w:tc>
        <w:tc>
          <w:tcPr>
            <w:tcW w:w="873" w:type="pct"/>
          </w:tcPr>
          <w:p w14:paraId="6389C012" w14:textId="77777777" w:rsidR="0041584B" w:rsidRPr="00C70D7F" w:rsidRDefault="0041584B" w:rsidP="0041584B">
            <w:pPr>
              <w:spacing w:before="75" w:after="90"/>
              <w:ind w:left="66"/>
              <w:cnfStyle w:val="000000000000" w:firstRow="0" w:lastRow="0" w:firstColumn="0" w:lastColumn="0" w:oddVBand="0" w:evenVBand="0" w:oddHBand="0" w:evenHBand="0" w:firstRowFirstColumn="0" w:firstRowLastColumn="0" w:lastRowFirstColumn="0" w:lastRowLastColumn="0"/>
              <w:rPr>
                <w:i/>
              </w:rPr>
            </w:pPr>
            <w:r w:rsidRPr="00C70D7F">
              <w:rPr>
                <w:i/>
              </w:rPr>
              <w:t>MD</w:t>
            </w:r>
            <w:r w:rsidRPr="00C70D7F">
              <w:rPr>
                <w:i/>
                <w:vertAlign w:val="subscript"/>
              </w:rPr>
              <w:t>U</w:t>
            </w:r>
          </w:p>
        </w:tc>
        <w:tc>
          <w:tcPr>
            <w:tcW w:w="1201" w:type="pct"/>
          </w:tcPr>
          <w:p w14:paraId="369A5CCA" w14:textId="77777777" w:rsidR="0041584B" w:rsidRPr="00C70D7F" w:rsidRDefault="0041584B" w:rsidP="0041584B">
            <w:pPr>
              <w:spacing w:before="75" w:after="90"/>
              <w:ind w:left="34"/>
              <w:jc w:val="center"/>
              <w:cnfStyle w:val="000000000000" w:firstRow="0" w:lastRow="0" w:firstColumn="0" w:lastColumn="0" w:oddVBand="0" w:evenVBand="0" w:oddHBand="0" w:evenHBand="0" w:firstRowFirstColumn="0" w:firstRowLastColumn="0" w:lastRowFirstColumn="0" w:lastRowLastColumn="0"/>
              <w:rPr>
                <w:b/>
                <w:i/>
              </w:rPr>
            </w:pPr>
            <w:r w:rsidRPr="00C70D7F">
              <w:rPr>
                <w:i/>
              </w:rPr>
              <w:t>DF</w:t>
            </w:r>
            <w:r w:rsidRPr="00C70D7F">
              <w:rPr>
                <w:i/>
                <w:vertAlign w:val="subscript"/>
              </w:rPr>
              <w:t>G</w:t>
            </w:r>
          </w:p>
        </w:tc>
        <w:tc>
          <w:tcPr>
            <w:tcW w:w="1500" w:type="pct"/>
          </w:tcPr>
          <w:p w14:paraId="5AE67A96" w14:textId="77777777" w:rsidR="0041584B" w:rsidRPr="00C70D7F" w:rsidRDefault="0041584B" w:rsidP="0041584B">
            <w:pPr>
              <w:tabs>
                <w:tab w:val="center" w:pos="4153"/>
                <w:tab w:val="right" w:pos="8306"/>
              </w:tabs>
              <w:spacing w:before="75" w:after="90"/>
              <w:jc w:val="center"/>
              <w:cnfStyle w:val="000000000000" w:firstRow="0" w:lastRow="0" w:firstColumn="0" w:lastColumn="0" w:oddVBand="0" w:evenVBand="0" w:oddHBand="0" w:evenHBand="0" w:firstRowFirstColumn="0" w:firstRowLastColumn="0" w:lastRowFirstColumn="0" w:lastRowLastColumn="0"/>
              <w:rPr>
                <w:i/>
              </w:rPr>
            </w:pPr>
            <w:r w:rsidRPr="00C70D7F">
              <w:rPr>
                <w:i/>
              </w:rPr>
              <w:t>DF</w:t>
            </w:r>
            <w:r w:rsidRPr="00C70D7F">
              <w:rPr>
                <w:i/>
                <w:vertAlign w:val="subscript"/>
              </w:rPr>
              <w:t>G</w:t>
            </w:r>
            <w:r w:rsidRPr="00C70D7F">
              <w:rPr>
                <w:i/>
              </w:rPr>
              <w:t>* MD</w:t>
            </w:r>
            <w:r w:rsidRPr="00C70D7F">
              <w:rPr>
                <w:i/>
                <w:vertAlign w:val="subscript"/>
              </w:rPr>
              <w:t>U</w:t>
            </w:r>
          </w:p>
        </w:tc>
      </w:tr>
    </w:tbl>
    <w:p w14:paraId="45181DE7" w14:textId="77777777" w:rsidR="0041584B" w:rsidRDefault="0041584B" w:rsidP="0041584B">
      <w:pPr>
        <w:pStyle w:val="NoSpacing"/>
      </w:pPr>
    </w:p>
    <w:p w14:paraId="493FEEB3" w14:textId="77777777" w:rsidR="0041584B" w:rsidRPr="00061A99" w:rsidRDefault="0041584B" w:rsidP="0041584B">
      <w:pPr>
        <w:pStyle w:val="Heading2"/>
      </w:pPr>
      <w:r w:rsidRPr="00061A99">
        <w:lastRenderedPageBreak/>
        <w:t xml:space="preserve">Diversity Factors are applied to both the Active Power and Reactive Power demands at each connection point thus ensuring the power factor of the demand remains unchanged. </w:t>
      </w:r>
    </w:p>
    <w:p w14:paraId="34B52351" w14:textId="77777777" w:rsidR="0041584B" w:rsidRPr="0031739F" w:rsidRDefault="0041584B" w:rsidP="0041584B">
      <w:pPr>
        <w:pStyle w:val="DCSubHeading2Level2"/>
        <w:rPr>
          <w:b/>
        </w:rPr>
      </w:pPr>
      <w:r w:rsidRPr="0031739F">
        <w:rPr>
          <w:b/>
        </w:rPr>
        <w:t>Method 2 – Single Diversity Factors</w:t>
      </w:r>
    </w:p>
    <w:p w14:paraId="2418AF8C" w14:textId="77777777" w:rsidR="0041584B" w:rsidRPr="00061A99" w:rsidRDefault="0041584B" w:rsidP="0041584B">
      <w:pPr>
        <w:pStyle w:val="Heading2"/>
      </w:pPr>
      <w:r w:rsidRPr="00927231">
        <w:rPr>
          <w:rStyle w:val="Heading2Char"/>
        </w:rPr>
        <w:t>Where a network has significant interconnection or is subject to regular rearrangement (e.g. primary substations being transferred between Bulk Supply Points) the use of a single Diversity Factor for all the demand supplied by a Grid Supply Point (or a set of interconnected Grid Supply Points) may be appropriate.  The Diversity Factor for the GSP is calculated as the Maximum Demand at the GSP divided by the sum all the Maximum Demands</w:t>
      </w:r>
      <w:r w:rsidRPr="00061A99">
        <w:t xml:space="preserve"> of each Connection Node supplied from that GSP plus an allowance for losses.</w:t>
      </w:r>
    </w:p>
    <w:p w14:paraId="62134E85" w14:textId="77777777" w:rsidR="0041584B" w:rsidRPr="00061A99" w:rsidRDefault="0041584B" w:rsidP="0041584B">
      <w:pPr>
        <w:pStyle w:val="Heading2"/>
      </w:pPr>
      <w:r w:rsidRPr="00061A99">
        <w:t xml:space="preserve">Using the example shown in Figure 4 a single Diversity Factor for Grid Supply Point, G can be calculated as </w:t>
      </w:r>
    </w:p>
    <w:p w14:paraId="19B83B28" w14:textId="77777777" w:rsidR="0041584B" w:rsidRPr="00C70D7F" w:rsidRDefault="0041584B" w:rsidP="0041584B">
      <w:pPr>
        <w:spacing w:after="90"/>
        <w:jc w:val="center"/>
      </w:pPr>
      <m:oMathPara>
        <m:oMath>
          <m:sSub>
            <m:sSubPr>
              <m:ctrlPr>
                <w:rPr>
                  <w:rFonts w:ascii="Cambria Math" w:hAnsi="Cambria Math"/>
                  <w:i/>
                </w:rPr>
              </m:ctrlPr>
            </m:sSubPr>
            <m:e>
              <m:r>
                <w:rPr>
                  <w:rFonts w:ascii="Cambria Math" w:hAnsi="Cambria Math"/>
                </w:rPr>
                <m:t>DF</m:t>
              </m:r>
            </m:e>
            <m:sub>
              <m:r>
                <w:rPr>
                  <w:rFonts w:ascii="Cambria Math" w:hAnsi="Cambria Math"/>
                </w:rPr>
                <m:t>G1</m:t>
              </m:r>
            </m:sub>
          </m:sSub>
          <m:r>
            <w:rPr>
              <w:rFonts w:ascii="Cambria Math" w:hAnsi="Cambria Math"/>
            </w:rPr>
            <m:t>=</m:t>
          </m:r>
          <m:sSub>
            <m:sSubPr>
              <m:ctrlPr>
                <w:rPr>
                  <w:rFonts w:ascii="Cambria Math" w:hAnsi="Cambria Math"/>
                  <w:i/>
                </w:rPr>
              </m:ctrlPr>
            </m:sSubPr>
            <m:e>
              <m:r>
                <w:rPr>
                  <w:rFonts w:ascii="Cambria Math" w:hAnsi="Cambria Math"/>
                </w:rPr>
                <m:t>MD</m:t>
              </m:r>
            </m:e>
            <m:sub>
              <m:r>
                <w:rPr>
                  <w:rFonts w:ascii="Cambria Math" w:hAnsi="Cambria Math"/>
                </w:rPr>
                <m:t>G</m:t>
              </m:r>
            </m:sub>
          </m:sSub>
          <m:r>
            <w:rPr>
              <w:rFonts w:ascii="Cambria Math" w:hAnsi="Cambria Math"/>
            </w:rPr>
            <m:t>/(</m:t>
          </m:r>
          <m:sSub>
            <m:sSubPr>
              <m:ctrlPr>
                <w:rPr>
                  <w:rFonts w:ascii="Cambria Math" w:hAnsi="Cambria Math"/>
                  <w:i/>
                </w:rPr>
              </m:ctrlPr>
            </m:sSubPr>
            <m:e>
              <m:r>
                <w:rPr>
                  <w:rFonts w:ascii="Cambria Math" w:hAnsi="Cambria Math"/>
                </w:rPr>
                <m:t>MD</m:t>
              </m:r>
            </m:e>
            <m:sub>
              <m:r>
                <w:rPr>
                  <w:rFonts w:ascii="Cambria Math" w:hAnsi="Cambria Math"/>
                </w:rPr>
                <m:t>B</m:t>
              </m:r>
            </m:sub>
          </m:sSub>
          <m:r>
            <w:rPr>
              <w:rFonts w:ascii="Cambria Math" w:hAnsi="Cambria Math"/>
            </w:rPr>
            <m:t>+</m:t>
          </m:r>
          <m:sSub>
            <m:sSubPr>
              <m:ctrlPr>
                <w:rPr>
                  <w:rFonts w:ascii="Cambria Math" w:hAnsi="Cambria Math"/>
                  <w:i/>
                </w:rPr>
              </m:ctrlPr>
            </m:sSubPr>
            <m:e>
              <m:r>
                <w:rPr>
                  <w:rFonts w:ascii="Cambria Math" w:hAnsi="Cambria Math"/>
                </w:rPr>
                <m:t>MD</m:t>
              </m:r>
            </m:e>
            <m:sub>
              <m:r>
                <w:rPr>
                  <w:rFonts w:ascii="Cambria Math" w:hAnsi="Cambria Math"/>
                </w:rPr>
                <m:t>C</m:t>
              </m:r>
            </m:sub>
          </m:sSub>
          <m:r>
            <w:rPr>
              <w:rFonts w:ascii="Cambria Math" w:hAnsi="Cambria Math"/>
            </w:rPr>
            <m:t>+</m:t>
          </m:r>
          <m:sSub>
            <m:sSubPr>
              <m:ctrlPr>
                <w:rPr>
                  <w:rFonts w:ascii="Cambria Math" w:hAnsi="Cambria Math"/>
                  <w:i/>
                </w:rPr>
              </m:ctrlPr>
            </m:sSubPr>
            <m:e>
              <m:r>
                <w:rPr>
                  <w:rFonts w:ascii="Cambria Math" w:hAnsi="Cambria Math"/>
                </w:rPr>
                <m:t>MD</m:t>
              </m:r>
            </m:e>
            <m:sub>
              <m:r>
                <w:rPr>
                  <w:rFonts w:ascii="Cambria Math" w:hAnsi="Cambria Math"/>
                </w:rPr>
                <m:t>D</m:t>
              </m:r>
            </m:sub>
          </m:sSub>
          <m:r>
            <w:rPr>
              <w:rFonts w:ascii="Cambria Math" w:hAnsi="Cambria Math"/>
            </w:rPr>
            <m:t>+</m:t>
          </m:r>
          <m:sSub>
            <m:sSubPr>
              <m:ctrlPr>
                <w:rPr>
                  <w:rFonts w:ascii="Cambria Math" w:hAnsi="Cambria Math"/>
                  <w:i/>
                </w:rPr>
              </m:ctrlPr>
            </m:sSubPr>
            <m:e>
              <m:r>
                <w:rPr>
                  <w:rFonts w:ascii="Cambria Math" w:hAnsi="Cambria Math"/>
                </w:rPr>
                <m:t>MD</m:t>
              </m:r>
            </m:e>
            <m:sub>
              <m:r>
                <w:rPr>
                  <w:rFonts w:ascii="Cambria Math" w:hAnsi="Cambria Math"/>
                </w:rPr>
                <m:t>E</m:t>
              </m:r>
            </m:sub>
          </m:sSub>
          <m:r>
            <w:rPr>
              <w:rFonts w:ascii="Cambria Math" w:hAnsi="Cambria Math"/>
            </w:rPr>
            <m:t>+</m:t>
          </m:r>
          <m:sSub>
            <m:sSubPr>
              <m:ctrlPr>
                <w:rPr>
                  <w:rFonts w:ascii="Cambria Math" w:hAnsi="Cambria Math"/>
                  <w:i/>
                </w:rPr>
              </m:ctrlPr>
            </m:sSubPr>
            <m:e>
              <m:r>
                <w:rPr>
                  <w:rFonts w:ascii="Cambria Math" w:hAnsi="Cambria Math"/>
                </w:rPr>
                <m:t>MD</m:t>
              </m:r>
            </m:e>
            <m:sub>
              <m:r>
                <w:rPr>
                  <w:rFonts w:ascii="Cambria Math" w:hAnsi="Cambria Math"/>
                </w:rPr>
                <m:t>M</m:t>
              </m:r>
            </m:sub>
          </m:sSub>
          <m:r>
            <w:rPr>
              <w:rFonts w:ascii="Cambria Math" w:hAnsi="Cambria Math"/>
            </w:rPr>
            <m:t>+</m:t>
          </m:r>
          <m:sSub>
            <m:sSubPr>
              <m:ctrlPr>
                <w:rPr>
                  <w:rFonts w:ascii="Cambria Math" w:hAnsi="Cambria Math"/>
                  <w:i/>
                </w:rPr>
              </m:ctrlPr>
            </m:sSubPr>
            <m:e>
              <m:r>
                <w:rPr>
                  <w:rFonts w:ascii="Cambria Math" w:hAnsi="Cambria Math"/>
                </w:rPr>
                <m:t>MD</m:t>
              </m:r>
            </m:e>
            <m:sub>
              <m:r>
                <w:rPr>
                  <w:rFonts w:ascii="Cambria Math" w:hAnsi="Cambria Math"/>
                </w:rPr>
                <m:t>N</m:t>
              </m:r>
            </m:sub>
          </m:sSub>
          <m:r>
            <w:rPr>
              <w:rFonts w:ascii="Cambria Math" w:hAnsi="Cambria Math"/>
            </w:rPr>
            <m:t>+</m:t>
          </m:r>
          <m:sSub>
            <m:sSubPr>
              <m:ctrlPr>
                <w:rPr>
                  <w:rFonts w:ascii="Cambria Math" w:hAnsi="Cambria Math"/>
                  <w:i/>
                </w:rPr>
              </m:ctrlPr>
            </m:sSubPr>
            <m:e>
              <m:r>
                <w:rPr>
                  <w:rFonts w:ascii="Cambria Math" w:hAnsi="Cambria Math"/>
                </w:rPr>
                <m:t>MD</m:t>
              </m:r>
            </m:e>
            <m:sub>
              <m:r>
                <w:rPr>
                  <w:rFonts w:ascii="Cambria Math" w:hAnsi="Cambria Math"/>
                </w:rPr>
                <m:t>O</m:t>
              </m:r>
            </m:sub>
          </m:sSub>
          <m:r>
            <w:rPr>
              <w:rFonts w:ascii="Cambria Math" w:hAnsi="Cambria Math"/>
            </w:rPr>
            <m:t>+</m:t>
          </m:r>
          <m:sSub>
            <m:sSubPr>
              <m:ctrlPr>
                <w:rPr>
                  <w:rFonts w:ascii="Cambria Math" w:hAnsi="Cambria Math"/>
                  <w:i/>
                </w:rPr>
              </m:ctrlPr>
            </m:sSubPr>
            <m:e>
              <m:r>
                <w:rPr>
                  <w:rFonts w:ascii="Cambria Math" w:hAnsi="Cambria Math"/>
                </w:rPr>
                <m:t>MD</m:t>
              </m:r>
            </m:e>
            <m:sub>
              <m:r>
                <w:rPr>
                  <w:rFonts w:ascii="Cambria Math" w:hAnsi="Cambria Math"/>
                </w:rPr>
                <m:t>U</m:t>
              </m:r>
            </m:sub>
          </m:sSub>
          <m:r>
            <w:rPr>
              <w:rFonts w:ascii="Cambria Math" w:hAnsi="Cambria Math"/>
            </w:rPr>
            <m:t>+losses)</m:t>
          </m:r>
        </m:oMath>
      </m:oMathPara>
    </w:p>
    <w:p w14:paraId="4BC22427" w14:textId="77777777" w:rsidR="0041584B" w:rsidRPr="00A74D0F" w:rsidRDefault="0041584B" w:rsidP="0041584B">
      <w:pPr>
        <w:pStyle w:val="DCSubHeading2Level2"/>
      </w:pPr>
      <w:r w:rsidRPr="00A74D0F">
        <w:t xml:space="preserve">where </w:t>
      </w:r>
      <m:oMath>
        <m:r>
          <m:rPr>
            <m:sty m:val="bi"/>
          </m:rPr>
          <w:rPr>
            <w:rFonts w:ascii="Cambria Math" w:hAnsi="Cambria Math"/>
          </w:rPr>
          <m:t>losses</m:t>
        </m:r>
      </m:oMath>
      <w:r w:rsidRPr="00A74D0F">
        <w:t xml:space="preserve"> are network losses of the network shown in Figure 4.</w:t>
      </w:r>
    </w:p>
    <w:p w14:paraId="71F1D5F7" w14:textId="77777777" w:rsidR="0041584B" w:rsidRPr="00A74D0F" w:rsidRDefault="0041584B" w:rsidP="0041584B">
      <w:pPr>
        <w:pStyle w:val="Heading2"/>
      </w:pPr>
      <w:r w:rsidRPr="00A74D0F">
        <w:t>The Net Diversity Factor in this method is equal to the calculated single Diversity Factor. In the example the following Net Diversity Factors would be applied to each of the Connection Nodes.</w:t>
      </w:r>
    </w:p>
    <w:p w14:paraId="65AA50DA" w14:textId="77777777" w:rsidR="0041584B" w:rsidRPr="00A61217" w:rsidRDefault="0041584B" w:rsidP="0041584B">
      <w:pPr>
        <w:pStyle w:val="Caption"/>
      </w:pPr>
      <w:bookmarkStart w:id="519" w:name="_Ref248827577"/>
      <w:bookmarkStart w:id="520" w:name="_Toc253698461"/>
      <w:r w:rsidRPr="00A61217">
        <w:t>Table 5.21</w:t>
      </w:r>
      <w:bookmarkEnd w:id="519"/>
      <w:r w:rsidRPr="00A61217">
        <w:t xml:space="preserve"> - Calculation of Net Diversity Factors - Single Diversity Factors</w:t>
      </w:r>
      <w:bookmarkEnd w:id="520"/>
      <w:r w:rsidRPr="00A61217">
        <w:t>.</w:t>
      </w:r>
    </w:p>
    <w:tbl>
      <w:tblPr>
        <w:tblStyle w:val="GridTable4-Accent3"/>
        <w:tblW w:w="5000" w:type="pct"/>
        <w:tblLook w:val="06A0" w:firstRow="1" w:lastRow="0" w:firstColumn="1" w:lastColumn="0" w:noHBand="1" w:noVBand="1"/>
      </w:tblPr>
      <w:tblGrid>
        <w:gridCol w:w="2465"/>
        <w:gridCol w:w="2032"/>
        <w:gridCol w:w="1847"/>
        <w:gridCol w:w="2675"/>
      </w:tblGrid>
      <w:tr w:rsidR="0041584B" w:rsidRPr="00C70D7F" w14:paraId="23429695" w14:textId="77777777" w:rsidTr="0041584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6" w:type="pct"/>
            <w:vAlign w:val="center"/>
          </w:tcPr>
          <w:p w14:paraId="51EC993B" w14:textId="77777777" w:rsidR="0041584B" w:rsidRPr="00C70D7F" w:rsidRDefault="0041584B" w:rsidP="0041584B">
            <w:pPr>
              <w:pStyle w:val="DCUSATabletextnumbers"/>
              <w:rPr>
                <w:b/>
              </w:rPr>
            </w:pPr>
            <w:r w:rsidRPr="00C70D7F">
              <w:rPr>
                <w:b/>
              </w:rPr>
              <w:t>Demand point</w:t>
            </w:r>
          </w:p>
        </w:tc>
        <w:tc>
          <w:tcPr>
            <w:tcW w:w="1126" w:type="pct"/>
            <w:vAlign w:val="center"/>
          </w:tcPr>
          <w:p w14:paraId="7CBF44B2" w14:textId="77777777" w:rsidR="0041584B" w:rsidRPr="00C70D7F" w:rsidRDefault="0041584B" w:rsidP="0041584B">
            <w:pPr>
              <w:pStyle w:val="DCUSATabletextnumbers"/>
              <w:cnfStyle w:val="100000000000" w:firstRow="1" w:lastRow="0" w:firstColumn="0" w:lastColumn="0" w:oddVBand="0" w:evenVBand="0" w:oddHBand="0" w:evenHBand="0" w:firstRowFirstColumn="0" w:firstRowLastColumn="0" w:lastRowFirstColumn="0" w:lastRowLastColumn="0"/>
              <w:rPr>
                <w:b/>
              </w:rPr>
            </w:pPr>
            <w:r w:rsidRPr="00C70D7F">
              <w:rPr>
                <w:b/>
              </w:rPr>
              <w:t>Maximum Demand</w:t>
            </w:r>
          </w:p>
        </w:tc>
        <w:tc>
          <w:tcPr>
            <w:tcW w:w="1024" w:type="pct"/>
            <w:vAlign w:val="center"/>
          </w:tcPr>
          <w:p w14:paraId="50BB5FD1" w14:textId="77777777" w:rsidR="0041584B" w:rsidRPr="00C70D7F" w:rsidRDefault="0041584B" w:rsidP="0041584B">
            <w:pPr>
              <w:pStyle w:val="DCUSATabletextnumbers"/>
              <w:cnfStyle w:val="100000000000" w:firstRow="1" w:lastRow="0" w:firstColumn="0" w:lastColumn="0" w:oddVBand="0" w:evenVBand="0" w:oddHBand="0" w:evenHBand="0" w:firstRowFirstColumn="0" w:firstRowLastColumn="0" w:lastRowFirstColumn="0" w:lastRowLastColumn="0"/>
              <w:rPr>
                <w:b/>
              </w:rPr>
            </w:pPr>
            <w:r w:rsidRPr="00C70D7F">
              <w:rPr>
                <w:b/>
              </w:rPr>
              <w:t>Net Diversity Factor</w:t>
            </w:r>
          </w:p>
        </w:tc>
        <w:tc>
          <w:tcPr>
            <w:tcW w:w="1483" w:type="pct"/>
            <w:vAlign w:val="center"/>
          </w:tcPr>
          <w:p w14:paraId="3F57B835" w14:textId="77777777" w:rsidR="0041584B" w:rsidRPr="00C70D7F" w:rsidRDefault="0041584B" w:rsidP="0041584B">
            <w:pPr>
              <w:pStyle w:val="DCUSATabletextnumbers"/>
              <w:cnfStyle w:val="100000000000" w:firstRow="1" w:lastRow="0" w:firstColumn="0" w:lastColumn="0" w:oddVBand="0" w:evenVBand="0" w:oddHBand="0" w:evenHBand="0" w:firstRowFirstColumn="0" w:firstRowLastColumn="0" w:lastRowFirstColumn="0" w:lastRowLastColumn="0"/>
              <w:rPr>
                <w:b/>
              </w:rPr>
            </w:pPr>
            <w:r w:rsidRPr="00C70D7F">
              <w:rPr>
                <w:b/>
              </w:rPr>
              <w:t>Demand to be applied to the Network Model</w:t>
            </w:r>
          </w:p>
        </w:tc>
      </w:tr>
      <w:tr w:rsidR="0041584B" w:rsidRPr="00C70D7F" w14:paraId="296FCCCC" w14:textId="77777777" w:rsidTr="0041584B">
        <w:tc>
          <w:tcPr>
            <w:cnfStyle w:val="001000000000" w:firstRow="0" w:lastRow="0" w:firstColumn="1" w:lastColumn="0" w:oddVBand="0" w:evenVBand="0" w:oddHBand="0" w:evenHBand="0" w:firstRowFirstColumn="0" w:firstRowLastColumn="0" w:lastRowFirstColumn="0" w:lastRowLastColumn="0"/>
            <w:tcW w:w="1366" w:type="pct"/>
          </w:tcPr>
          <w:p w14:paraId="4C9796FD" w14:textId="77777777" w:rsidR="0041584B" w:rsidRPr="00C70D7F" w:rsidRDefault="0041584B" w:rsidP="0041584B">
            <w:pPr>
              <w:spacing w:after="0"/>
              <w:ind w:left="34" w:hanging="34"/>
            </w:pPr>
            <w:r w:rsidRPr="00C70D7F">
              <w:t>Primary, B</w:t>
            </w:r>
          </w:p>
        </w:tc>
        <w:tc>
          <w:tcPr>
            <w:tcW w:w="1126" w:type="pct"/>
          </w:tcPr>
          <w:p w14:paraId="6E883EF9" w14:textId="77777777" w:rsidR="0041584B" w:rsidRPr="00C70D7F" w:rsidRDefault="0041584B" w:rsidP="0041584B">
            <w:pPr>
              <w:spacing w:after="0"/>
              <w:jc w:val="center"/>
              <w:cnfStyle w:val="000000000000" w:firstRow="0" w:lastRow="0" w:firstColumn="0" w:lastColumn="0" w:oddVBand="0" w:evenVBand="0" w:oddHBand="0" w:evenHBand="0" w:firstRowFirstColumn="0" w:firstRowLastColumn="0" w:lastRowFirstColumn="0" w:lastRowLastColumn="0"/>
              <w:rPr>
                <w:i/>
              </w:rPr>
            </w:pPr>
            <w:r w:rsidRPr="00C70D7F">
              <w:rPr>
                <w:i/>
              </w:rPr>
              <w:t>MD</w:t>
            </w:r>
            <w:r w:rsidRPr="00C70D7F">
              <w:rPr>
                <w:i/>
                <w:vertAlign w:val="subscript"/>
              </w:rPr>
              <w:t>B</w:t>
            </w:r>
          </w:p>
        </w:tc>
        <w:tc>
          <w:tcPr>
            <w:tcW w:w="1024" w:type="pct"/>
          </w:tcPr>
          <w:p w14:paraId="7BE4D934" w14:textId="77777777" w:rsidR="0041584B" w:rsidRPr="00C70D7F" w:rsidRDefault="0041584B" w:rsidP="0041584B">
            <w:pPr>
              <w:spacing w:after="0"/>
              <w:ind w:left="176"/>
              <w:jc w:val="center"/>
              <w:cnfStyle w:val="000000000000" w:firstRow="0" w:lastRow="0" w:firstColumn="0" w:lastColumn="0" w:oddVBand="0" w:evenVBand="0" w:oddHBand="0" w:evenHBand="0" w:firstRowFirstColumn="0" w:firstRowLastColumn="0" w:lastRowFirstColumn="0" w:lastRowLastColumn="0"/>
              <w:rPr>
                <w:b/>
                <w:i/>
              </w:rPr>
            </w:pPr>
            <w:r w:rsidRPr="00C70D7F">
              <w:rPr>
                <w:i/>
              </w:rPr>
              <w:t>DF</w:t>
            </w:r>
            <w:r w:rsidRPr="00C70D7F">
              <w:rPr>
                <w:i/>
                <w:vertAlign w:val="subscript"/>
              </w:rPr>
              <w:t>G1</w:t>
            </w:r>
          </w:p>
        </w:tc>
        <w:tc>
          <w:tcPr>
            <w:tcW w:w="1483" w:type="pct"/>
          </w:tcPr>
          <w:p w14:paraId="156D9EBF" w14:textId="77777777" w:rsidR="0041584B" w:rsidRPr="00C70D7F" w:rsidRDefault="0041584B" w:rsidP="0041584B">
            <w:pPr>
              <w:spacing w:after="0"/>
              <w:ind w:left="176"/>
              <w:jc w:val="center"/>
              <w:cnfStyle w:val="000000000000" w:firstRow="0" w:lastRow="0" w:firstColumn="0" w:lastColumn="0" w:oddVBand="0" w:evenVBand="0" w:oddHBand="0" w:evenHBand="0" w:firstRowFirstColumn="0" w:firstRowLastColumn="0" w:lastRowFirstColumn="0" w:lastRowLastColumn="0"/>
              <w:rPr>
                <w:i/>
              </w:rPr>
            </w:pPr>
            <w:r w:rsidRPr="00C70D7F">
              <w:rPr>
                <w:i/>
              </w:rPr>
              <w:t>DF</w:t>
            </w:r>
            <w:r w:rsidRPr="00C70D7F">
              <w:rPr>
                <w:i/>
                <w:vertAlign w:val="subscript"/>
              </w:rPr>
              <w:t>G1</w:t>
            </w:r>
            <w:r w:rsidRPr="00C70D7F">
              <w:rPr>
                <w:i/>
              </w:rPr>
              <w:t xml:space="preserve"> * MD</w:t>
            </w:r>
            <w:r w:rsidRPr="00C70D7F">
              <w:rPr>
                <w:i/>
                <w:vertAlign w:val="subscript"/>
              </w:rPr>
              <w:t>B</w:t>
            </w:r>
          </w:p>
        </w:tc>
      </w:tr>
      <w:tr w:rsidR="0041584B" w:rsidRPr="00C70D7F" w14:paraId="4303EAB7" w14:textId="77777777" w:rsidTr="0041584B">
        <w:tc>
          <w:tcPr>
            <w:cnfStyle w:val="001000000000" w:firstRow="0" w:lastRow="0" w:firstColumn="1" w:lastColumn="0" w:oddVBand="0" w:evenVBand="0" w:oddHBand="0" w:evenHBand="0" w:firstRowFirstColumn="0" w:firstRowLastColumn="0" w:lastRowFirstColumn="0" w:lastRowLastColumn="0"/>
            <w:tcW w:w="1366" w:type="pct"/>
          </w:tcPr>
          <w:p w14:paraId="4110658E" w14:textId="77777777" w:rsidR="0041584B" w:rsidRPr="00C70D7F" w:rsidRDefault="0041584B" w:rsidP="0041584B">
            <w:pPr>
              <w:spacing w:after="0"/>
              <w:ind w:left="34" w:hanging="34"/>
            </w:pPr>
            <w:r w:rsidRPr="00C70D7F">
              <w:t>Primary, C</w:t>
            </w:r>
          </w:p>
        </w:tc>
        <w:tc>
          <w:tcPr>
            <w:tcW w:w="1126" w:type="pct"/>
          </w:tcPr>
          <w:p w14:paraId="2D14E250" w14:textId="77777777" w:rsidR="0041584B" w:rsidRPr="00C70D7F" w:rsidRDefault="0041584B" w:rsidP="0041584B">
            <w:pPr>
              <w:spacing w:after="0"/>
              <w:jc w:val="center"/>
              <w:cnfStyle w:val="000000000000" w:firstRow="0" w:lastRow="0" w:firstColumn="0" w:lastColumn="0" w:oddVBand="0" w:evenVBand="0" w:oddHBand="0" w:evenHBand="0" w:firstRowFirstColumn="0" w:firstRowLastColumn="0" w:lastRowFirstColumn="0" w:lastRowLastColumn="0"/>
              <w:rPr>
                <w:i/>
              </w:rPr>
            </w:pPr>
            <w:r w:rsidRPr="00C70D7F">
              <w:rPr>
                <w:i/>
              </w:rPr>
              <w:t>MD</w:t>
            </w:r>
            <w:r w:rsidRPr="00C70D7F">
              <w:rPr>
                <w:i/>
                <w:vertAlign w:val="subscript"/>
              </w:rPr>
              <w:t>C</w:t>
            </w:r>
          </w:p>
        </w:tc>
        <w:tc>
          <w:tcPr>
            <w:tcW w:w="1024" w:type="pct"/>
          </w:tcPr>
          <w:p w14:paraId="153AD5DB" w14:textId="77777777" w:rsidR="0041584B" w:rsidRPr="00C70D7F" w:rsidRDefault="0041584B" w:rsidP="0041584B">
            <w:pPr>
              <w:spacing w:after="0"/>
              <w:ind w:left="176"/>
              <w:jc w:val="center"/>
              <w:cnfStyle w:val="000000000000" w:firstRow="0" w:lastRow="0" w:firstColumn="0" w:lastColumn="0" w:oddVBand="0" w:evenVBand="0" w:oddHBand="0" w:evenHBand="0" w:firstRowFirstColumn="0" w:firstRowLastColumn="0" w:lastRowFirstColumn="0" w:lastRowLastColumn="0"/>
              <w:rPr>
                <w:b/>
                <w:i/>
              </w:rPr>
            </w:pPr>
            <w:r w:rsidRPr="00C70D7F">
              <w:rPr>
                <w:i/>
              </w:rPr>
              <w:t>DF</w:t>
            </w:r>
            <w:r w:rsidRPr="00C70D7F">
              <w:rPr>
                <w:i/>
                <w:vertAlign w:val="subscript"/>
              </w:rPr>
              <w:t>G1</w:t>
            </w:r>
          </w:p>
        </w:tc>
        <w:tc>
          <w:tcPr>
            <w:tcW w:w="1483" w:type="pct"/>
          </w:tcPr>
          <w:p w14:paraId="0D2AEE48" w14:textId="77777777" w:rsidR="0041584B" w:rsidRPr="00C70D7F" w:rsidRDefault="0041584B" w:rsidP="0041584B">
            <w:pPr>
              <w:spacing w:after="0"/>
              <w:ind w:left="176"/>
              <w:jc w:val="center"/>
              <w:cnfStyle w:val="000000000000" w:firstRow="0" w:lastRow="0" w:firstColumn="0" w:lastColumn="0" w:oddVBand="0" w:evenVBand="0" w:oddHBand="0" w:evenHBand="0" w:firstRowFirstColumn="0" w:firstRowLastColumn="0" w:lastRowFirstColumn="0" w:lastRowLastColumn="0"/>
              <w:rPr>
                <w:i/>
              </w:rPr>
            </w:pPr>
            <w:r w:rsidRPr="00C70D7F">
              <w:rPr>
                <w:i/>
              </w:rPr>
              <w:t>DF</w:t>
            </w:r>
            <w:r w:rsidRPr="00C70D7F">
              <w:rPr>
                <w:i/>
                <w:vertAlign w:val="subscript"/>
              </w:rPr>
              <w:t>G1</w:t>
            </w:r>
            <w:r w:rsidRPr="00C70D7F">
              <w:rPr>
                <w:i/>
              </w:rPr>
              <w:t xml:space="preserve"> * MD</w:t>
            </w:r>
            <w:r w:rsidRPr="00C70D7F">
              <w:rPr>
                <w:i/>
                <w:vertAlign w:val="subscript"/>
              </w:rPr>
              <w:t>C</w:t>
            </w:r>
          </w:p>
        </w:tc>
      </w:tr>
      <w:tr w:rsidR="0041584B" w:rsidRPr="00C70D7F" w14:paraId="6182601D" w14:textId="77777777" w:rsidTr="0041584B">
        <w:tc>
          <w:tcPr>
            <w:cnfStyle w:val="001000000000" w:firstRow="0" w:lastRow="0" w:firstColumn="1" w:lastColumn="0" w:oddVBand="0" w:evenVBand="0" w:oddHBand="0" w:evenHBand="0" w:firstRowFirstColumn="0" w:firstRowLastColumn="0" w:lastRowFirstColumn="0" w:lastRowLastColumn="0"/>
            <w:tcW w:w="1366" w:type="pct"/>
          </w:tcPr>
          <w:p w14:paraId="08504EEB" w14:textId="77777777" w:rsidR="0041584B" w:rsidRPr="00C70D7F" w:rsidRDefault="0041584B" w:rsidP="0041584B">
            <w:pPr>
              <w:spacing w:after="0"/>
              <w:ind w:left="34" w:hanging="34"/>
            </w:pPr>
            <w:r w:rsidRPr="00C70D7F">
              <w:t>Primary, D</w:t>
            </w:r>
          </w:p>
        </w:tc>
        <w:tc>
          <w:tcPr>
            <w:tcW w:w="1126" w:type="pct"/>
          </w:tcPr>
          <w:p w14:paraId="0BF03815" w14:textId="77777777" w:rsidR="0041584B" w:rsidRPr="00C70D7F" w:rsidRDefault="0041584B" w:rsidP="0041584B">
            <w:pPr>
              <w:spacing w:after="0"/>
              <w:jc w:val="center"/>
              <w:cnfStyle w:val="000000000000" w:firstRow="0" w:lastRow="0" w:firstColumn="0" w:lastColumn="0" w:oddVBand="0" w:evenVBand="0" w:oddHBand="0" w:evenHBand="0" w:firstRowFirstColumn="0" w:firstRowLastColumn="0" w:lastRowFirstColumn="0" w:lastRowLastColumn="0"/>
              <w:rPr>
                <w:i/>
              </w:rPr>
            </w:pPr>
            <w:r w:rsidRPr="00C70D7F">
              <w:rPr>
                <w:i/>
              </w:rPr>
              <w:t>MD</w:t>
            </w:r>
            <w:r w:rsidRPr="00C70D7F">
              <w:rPr>
                <w:i/>
                <w:vertAlign w:val="subscript"/>
              </w:rPr>
              <w:t>D</w:t>
            </w:r>
          </w:p>
        </w:tc>
        <w:tc>
          <w:tcPr>
            <w:tcW w:w="1024" w:type="pct"/>
          </w:tcPr>
          <w:p w14:paraId="19A445A3" w14:textId="77777777" w:rsidR="0041584B" w:rsidRPr="00C70D7F" w:rsidRDefault="0041584B" w:rsidP="0041584B">
            <w:pPr>
              <w:spacing w:after="0"/>
              <w:ind w:left="176"/>
              <w:jc w:val="center"/>
              <w:cnfStyle w:val="000000000000" w:firstRow="0" w:lastRow="0" w:firstColumn="0" w:lastColumn="0" w:oddVBand="0" w:evenVBand="0" w:oddHBand="0" w:evenHBand="0" w:firstRowFirstColumn="0" w:firstRowLastColumn="0" w:lastRowFirstColumn="0" w:lastRowLastColumn="0"/>
              <w:rPr>
                <w:b/>
                <w:i/>
              </w:rPr>
            </w:pPr>
            <w:r w:rsidRPr="00C70D7F">
              <w:rPr>
                <w:i/>
              </w:rPr>
              <w:t>DF</w:t>
            </w:r>
            <w:r w:rsidRPr="00C70D7F">
              <w:rPr>
                <w:i/>
                <w:vertAlign w:val="subscript"/>
              </w:rPr>
              <w:t>G1</w:t>
            </w:r>
          </w:p>
        </w:tc>
        <w:tc>
          <w:tcPr>
            <w:tcW w:w="1483" w:type="pct"/>
          </w:tcPr>
          <w:p w14:paraId="4E10470B" w14:textId="77777777" w:rsidR="0041584B" w:rsidRPr="00C70D7F" w:rsidRDefault="0041584B" w:rsidP="0041584B">
            <w:pPr>
              <w:spacing w:after="0"/>
              <w:ind w:left="176"/>
              <w:jc w:val="center"/>
              <w:cnfStyle w:val="000000000000" w:firstRow="0" w:lastRow="0" w:firstColumn="0" w:lastColumn="0" w:oddVBand="0" w:evenVBand="0" w:oddHBand="0" w:evenHBand="0" w:firstRowFirstColumn="0" w:firstRowLastColumn="0" w:lastRowFirstColumn="0" w:lastRowLastColumn="0"/>
              <w:rPr>
                <w:i/>
              </w:rPr>
            </w:pPr>
            <w:r w:rsidRPr="00C70D7F">
              <w:rPr>
                <w:i/>
              </w:rPr>
              <w:t>DF</w:t>
            </w:r>
            <w:r w:rsidRPr="00C70D7F">
              <w:rPr>
                <w:i/>
                <w:vertAlign w:val="subscript"/>
              </w:rPr>
              <w:t>G1</w:t>
            </w:r>
            <w:r w:rsidRPr="00C70D7F">
              <w:rPr>
                <w:i/>
              </w:rPr>
              <w:t xml:space="preserve"> * MD</w:t>
            </w:r>
            <w:r w:rsidRPr="00C70D7F">
              <w:rPr>
                <w:i/>
                <w:vertAlign w:val="subscript"/>
              </w:rPr>
              <w:t>D</w:t>
            </w:r>
          </w:p>
        </w:tc>
      </w:tr>
      <w:tr w:rsidR="0041584B" w:rsidRPr="00C70D7F" w14:paraId="56D69E8D" w14:textId="77777777" w:rsidTr="0041584B">
        <w:tc>
          <w:tcPr>
            <w:cnfStyle w:val="001000000000" w:firstRow="0" w:lastRow="0" w:firstColumn="1" w:lastColumn="0" w:oddVBand="0" w:evenVBand="0" w:oddHBand="0" w:evenHBand="0" w:firstRowFirstColumn="0" w:firstRowLastColumn="0" w:lastRowFirstColumn="0" w:lastRowLastColumn="0"/>
            <w:tcW w:w="1366" w:type="pct"/>
          </w:tcPr>
          <w:p w14:paraId="61AE20AF" w14:textId="77777777" w:rsidR="0041584B" w:rsidRPr="00C70D7F" w:rsidRDefault="0041584B" w:rsidP="0041584B">
            <w:pPr>
              <w:spacing w:after="0"/>
              <w:ind w:left="34" w:hanging="34"/>
            </w:pPr>
            <w:r w:rsidRPr="00C70D7F">
              <w:t>EDCM Connectee, E</w:t>
            </w:r>
          </w:p>
        </w:tc>
        <w:tc>
          <w:tcPr>
            <w:tcW w:w="1126" w:type="pct"/>
          </w:tcPr>
          <w:p w14:paraId="7028C5D8" w14:textId="77777777" w:rsidR="0041584B" w:rsidRPr="00C70D7F" w:rsidRDefault="0041584B" w:rsidP="0041584B">
            <w:pPr>
              <w:spacing w:after="0"/>
              <w:jc w:val="center"/>
              <w:cnfStyle w:val="000000000000" w:firstRow="0" w:lastRow="0" w:firstColumn="0" w:lastColumn="0" w:oddVBand="0" w:evenVBand="0" w:oddHBand="0" w:evenHBand="0" w:firstRowFirstColumn="0" w:firstRowLastColumn="0" w:lastRowFirstColumn="0" w:lastRowLastColumn="0"/>
              <w:rPr>
                <w:i/>
              </w:rPr>
            </w:pPr>
            <w:r w:rsidRPr="00C70D7F">
              <w:rPr>
                <w:i/>
              </w:rPr>
              <w:t>MD</w:t>
            </w:r>
            <w:r w:rsidRPr="00C70D7F">
              <w:rPr>
                <w:i/>
                <w:vertAlign w:val="subscript"/>
              </w:rPr>
              <w:t>E</w:t>
            </w:r>
          </w:p>
        </w:tc>
        <w:tc>
          <w:tcPr>
            <w:tcW w:w="1024" w:type="pct"/>
          </w:tcPr>
          <w:p w14:paraId="673ADB5D" w14:textId="77777777" w:rsidR="0041584B" w:rsidRPr="00C70D7F" w:rsidRDefault="0041584B" w:rsidP="0041584B">
            <w:pPr>
              <w:spacing w:after="0"/>
              <w:ind w:left="176"/>
              <w:jc w:val="center"/>
              <w:cnfStyle w:val="000000000000" w:firstRow="0" w:lastRow="0" w:firstColumn="0" w:lastColumn="0" w:oddVBand="0" w:evenVBand="0" w:oddHBand="0" w:evenHBand="0" w:firstRowFirstColumn="0" w:firstRowLastColumn="0" w:lastRowFirstColumn="0" w:lastRowLastColumn="0"/>
              <w:rPr>
                <w:b/>
                <w:i/>
              </w:rPr>
            </w:pPr>
            <w:r w:rsidRPr="00C70D7F">
              <w:rPr>
                <w:i/>
              </w:rPr>
              <w:t>DF</w:t>
            </w:r>
            <w:r w:rsidRPr="00C70D7F">
              <w:rPr>
                <w:i/>
                <w:vertAlign w:val="subscript"/>
              </w:rPr>
              <w:t>G1</w:t>
            </w:r>
          </w:p>
        </w:tc>
        <w:tc>
          <w:tcPr>
            <w:tcW w:w="1483" w:type="pct"/>
          </w:tcPr>
          <w:p w14:paraId="57FE6E34" w14:textId="77777777" w:rsidR="0041584B" w:rsidRPr="00C70D7F" w:rsidRDefault="0041584B" w:rsidP="0041584B">
            <w:pPr>
              <w:spacing w:after="0"/>
              <w:ind w:left="176"/>
              <w:jc w:val="center"/>
              <w:cnfStyle w:val="000000000000" w:firstRow="0" w:lastRow="0" w:firstColumn="0" w:lastColumn="0" w:oddVBand="0" w:evenVBand="0" w:oddHBand="0" w:evenHBand="0" w:firstRowFirstColumn="0" w:firstRowLastColumn="0" w:lastRowFirstColumn="0" w:lastRowLastColumn="0"/>
              <w:rPr>
                <w:i/>
              </w:rPr>
            </w:pPr>
            <w:r w:rsidRPr="00C70D7F">
              <w:rPr>
                <w:i/>
              </w:rPr>
              <w:t>DF</w:t>
            </w:r>
            <w:r w:rsidRPr="00C70D7F">
              <w:rPr>
                <w:i/>
                <w:vertAlign w:val="subscript"/>
              </w:rPr>
              <w:t>G1</w:t>
            </w:r>
            <w:r w:rsidRPr="00C70D7F">
              <w:rPr>
                <w:i/>
              </w:rPr>
              <w:t xml:space="preserve"> * MD</w:t>
            </w:r>
            <w:r w:rsidRPr="00C70D7F">
              <w:rPr>
                <w:i/>
                <w:vertAlign w:val="subscript"/>
              </w:rPr>
              <w:t>E</w:t>
            </w:r>
          </w:p>
        </w:tc>
      </w:tr>
      <w:tr w:rsidR="0041584B" w:rsidRPr="00C70D7F" w14:paraId="7195F8AD" w14:textId="77777777" w:rsidTr="0041584B">
        <w:tc>
          <w:tcPr>
            <w:cnfStyle w:val="001000000000" w:firstRow="0" w:lastRow="0" w:firstColumn="1" w:lastColumn="0" w:oddVBand="0" w:evenVBand="0" w:oddHBand="0" w:evenHBand="0" w:firstRowFirstColumn="0" w:firstRowLastColumn="0" w:lastRowFirstColumn="0" w:lastRowLastColumn="0"/>
            <w:tcW w:w="1366" w:type="pct"/>
          </w:tcPr>
          <w:p w14:paraId="028D6304" w14:textId="77777777" w:rsidR="0041584B" w:rsidRPr="00C70D7F" w:rsidRDefault="0041584B" w:rsidP="0041584B">
            <w:pPr>
              <w:spacing w:after="0"/>
              <w:ind w:left="34" w:hanging="34"/>
            </w:pPr>
            <w:r w:rsidRPr="00C70D7F">
              <w:t>Primary, M</w:t>
            </w:r>
          </w:p>
        </w:tc>
        <w:tc>
          <w:tcPr>
            <w:tcW w:w="1126" w:type="pct"/>
          </w:tcPr>
          <w:p w14:paraId="051C3120" w14:textId="77777777" w:rsidR="0041584B" w:rsidRPr="00C70D7F" w:rsidRDefault="0041584B" w:rsidP="0041584B">
            <w:pPr>
              <w:spacing w:after="0"/>
              <w:jc w:val="center"/>
              <w:cnfStyle w:val="000000000000" w:firstRow="0" w:lastRow="0" w:firstColumn="0" w:lastColumn="0" w:oddVBand="0" w:evenVBand="0" w:oddHBand="0" w:evenHBand="0" w:firstRowFirstColumn="0" w:firstRowLastColumn="0" w:lastRowFirstColumn="0" w:lastRowLastColumn="0"/>
              <w:rPr>
                <w:i/>
              </w:rPr>
            </w:pPr>
            <w:r w:rsidRPr="00C70D7F">
              <w:rPr>
                <w:i/>
              </w:rPr>
              <w:t>MD</w:t>
            </w:r>
            <w:r w:rsidRPr="00C70D7F">
              <w:rPr>
                <w:i/>
                <w:vertAlign w:val="subscript"/>
              </w:rPr>
              <w:t>M</w:t>
            </w:r>
          </w:p>
        </w:tc>
        <w:tc>
          <w:tcPr>
            <w:tcW w:w="1024" w:type="pct"/>
          </w:tcPr>
          <w:p w14:paraId="25955399" w14:textId="77777777" w:rsidR="0041584B" w:rsidRPr="00C70D7F" w:rsidRDefault="0041584B" w:rsidP="0041584B">
            <w:pPr>
              <w:spacing w:after="0"/>
              <w:ind w:left="176"/>
              <w:jc w:val="center"/>
              <w:cnfStyle w:val="000000000000" w:firstRow="0" w:lastRow="0" w:firstColumn="0" w:lastColumn="0" w:oddVBand="0" w:evenVBand="0" w:oddHBand="0" w:evenHBand="0" w:firstRowFirstColumn="0" w:firstRowLastColumn="0" w:lastRowFirstColumn="0" w:lastRowLastColumn="0"/>
              <w:rPr>
                <w:b/>
                <w:i/>
              </w:rPr>
            </w:pPr>
            <w:r w:rsidRPr="00C70D7F">
              <w:rPr>
                <w:i/>
              </w:rPr>
              <w:t>DF</w:t>
            </w:r>
            <w:r w:rsidRPr="00C70D7F">
              <w:rPr>
                <w:i/>
                <w:vertAlign w:val="subscript"/>
              </w:rPr>
              <w:t>G1</w:t>
            </w:r>
          </w:p>
        </w:tc>
        <w:tc>
          <w:tcPr>
            <w:tcW w:w="1483" w:type="pct"/>
          </w:tcPr>
          <w:p w14:paraId="6CB4DD2D" w14:textId="77777777" w:rsidR="0041584B" w:rsidRPr="00C70D7F" w:rsidRDefault="0041584B" w:rsidP="0041584B">
            <w:pPr>
              <w:spacing w:after="0"/>
              <w:ind w:left="176"/>
              <w:jc w:val="center"/>
              <w:cnfStyle w:val="000000000000" w:firstRow="0" w:lastRow="0" w:firstColumn="0" w:lastColumn="0" w:oddVBand="0" w:evenVBand="0" w:oddHBand="0" w:evenHBand="0" w:firstRowFirstColumn="0" w:firstRowLastColumn="0" w:lastRowFirstColumn="0" w:lastRowLastColumn="0"/>
              <w:rPr>
                <w:i/>
              </w:rPr>
            </w:pPr>
            <w:r w:rsidRPr="00C70D7F">
              <w:rPr>
                <w:i/>
              </w:rPr>
              <w:t>DF</w:t>
            </w:r>
            <w:r w:rsidRPr="00C70D7F">
              <w:rPr>
                <w:i/>
                <w:vertAlign w:val="subscript"/>
              </w:rPr>
              <w:t>G1</w:t>
            </w:r>
            <w:r w:rsidRPr="00C70D7F">
              <w:rPr>
                <w:i/>
              </w:rPr>
              <w:t xml:space="preserve"> * MD</w:t>
            </w:r>
            <w:r w:rsidRPr="00C70D7F">
              <w:rPr>
                <w:i/>
                <w:vertAlign w:val="subscript"/>
              </w:rPr>
              <w:t>M</w:t>
            </w:r>
          </w:p>
        </w:tc>
      </w:tr>
      <w:tr w:rsidR="0041584B" w:rsidRPr="00C70D7F" w14:paraId="0B9530F2" w14:textId="77777777" w:rsidTr="0041584B">
        <w:tc>
          <w:tcPr>
            <w:cnfStyle w:val="001000000000" w:firstRow="0" w:lastRow="0" w:firstColumn="1" w:lastColumn="0" w:oddVBand="0" w:evenVBand="0" w:oddHBand="0" w:evenHBand="0" w:firstRowFirstColumn="0" w:firstRowLastColumn="0" w:lastRowFirstColumn="0" w:lastRowLastColumn="0"/>
            <w:tcW w:w="1366" w:type="pct"/>
          </w:tcPr>
          <w:p w14:paraId="2171E7AE" w14:textId="77777777" w:rsidR="0041584B" w:rsidRPr="00C70D7F" w:rsidRDefault="0041584B" w:rsidP="0041584B">
            <w:pPr>
              <w:spacing w:after="0"/>
              <w:ind w:left="34" w:hanging="34"/>
            </w:pPr>
            <w:r w:rsidRPr="00C70D7F">
              <w:t>Primary, N</w:t>
            </w:r>
          </w:p>
        </w:tc>
        <w:tc>
          <w:tcPr>
            <w:tcW w:w="1126" w:type="pct"/>
          </w:tcPr>
          <w:p w14:paraId="29D1C82B" w14:textId="77777777" w:rsidR="0041584B" w:rsidRPr="00C70D7F" w:rsidRDefault="0041584B" w:rsidP="0041584B">
            <w:pPr>
              <w:spacing w:after="0"/>
              <w:jc w:val="center"/>
              <w:cnfStyle w:val="000000000000" w:firstRow="0" w:lastRow="0" w:firstColumn="0" w:lastColumn="0" w:oddVBand="0" w:evenVBand="0" w:oddHBand="0" w:evenHBand="0" w:firstRowFirstColumn="0" w:firstRowLastColumn="0" w:lastRowFirstColumn="0" w:lastRowLastColumn="0"/>
              <w:rPr>
                <w:i/>
              </w:rPr>
            </w:pPr>
            <w:r w:rsidRPr="00C70D7F">
              <w:rPr>
                <w:i/>
              </w:rPr>
              <w:t>MD</w:t>
            </w:r>
            <w:r w:rsidRPr="00C70D7F">
              <w:rPr>
                <w:i/>
                <w:vertAlign w:val="subscript"/>
              </w:rPr>
              <w:t>N</w:t>
            </w:r>
          </w:p>
        </w:tc>
        <w:tc>
          <w:tcPr>
            <w:tcW w:w="1024" w:type="pct"/>
          </w:tcPr>
          <w:p w14:paraId="6FF8D7CF" w14:textId="77777777" w:rsidR="0041584B" w:rsidRPr="00C70D7F" w:rsidRDefault="0041584B" w:rsidP="0041584B">
            <w:pPr>
              <w:spacing w:after="0"/>
              <w:ind w:left="176"/>
              <w:jc w:val="center"/>
              <w:cnfStyle w:val="000000000000" w:firstRow="0" w:lastRow="0" w:firstColumn="0" w:lastColumn="0" w:oddVBand="0" w:evenVBand="0" w:oddHBand="0" w:evenHBand="0" w:firstRowFirstColumn="0" w:firstRowLastColumn="0" w:lastRowFirstColumn="0" w:lastRowLastColumn="0"/>
              <w:rPr>
                <w:b/>
                <w:i/>
              </w:rPr>
            </w:pPr>
            <w:r w:rsidRPr="00C70D7F">
              <w:rPr>
                <w:i/>
              </w:rPr>
              <w:t>DF</w:t>
            </w:r>
            <w:r w:rsidRPr="00C70D7F">
              <w:rPr>
                <w:i/>
                <w:vertAlign w:val="subscript"/>
              </w:rPr>
              <w:t>G1</w:t>
            </w:r>
          </w:p>
        </w:tc>
        <w:tc>
          <w:tcPr>
            <w:tcW w:w="1483" w:type="pct"/>
          </w:tcPr>
          <w:p w14:paraId="387C1743" w14:textId="77777777" w:rsidR="0041584B" w:rsidRPr="00C70D7F" w:rsidRDefault="0041584B" w:rsidP="0041584B">
            <w:pPr>
              <w:spacing w:after="0"/>
              <w:ind w:left="176"/>
              <w:jc w:val="center"/>
              <w:cnfStyle w:val="000000000000" w:firstRow="0" w:lastRow="0" w:firstColumn="0" w:lastColumn="0" w:oddVBand="0" w:evenVBand="0" w:oddHBand="0" w:evenHBand="0" w:firstRowFirstColumn="0" w:firstRowLastColumn="0" w:lastRowFirstColumn="0" w:lastRowLastColumn="0"/>
              <w:rPr>
                <w:i/>
              </w:rPr>
            </w:pPr>
            <w:r w:rsidRPr="00C70D7F">
              <w:rPr>
                <w:i/>
              </w:rPr>
              <w:t>DF</w:t>
            </w:r>
            <w:r w:rsidRPr="00C70D7F">
              <w:rPr>
                <w:i/>
                <w:vertAlign w:val="subscript"/>
              </w:rPr>
              <w:t>G1</w:t>
            </w:r>
            <w:r w:rsidRPr="00C70D7F">
              <w:rPr>
                <w:i/>
              </w:rPr>
              <w:t xml:space="preserve"> * MD</w:t>
            </w:r>
            <w:r w:rsidRPr="00C70D7F">
              <w:rPr>
                <w:i/>
                <w:vertAlign w:val="subscript"/>
              </w:rPr>
              <w:t>N</w:t>
            </w:r>
          </w:p>
        </w:tc>
      </w:tr>
      <w:tr w:rsidR="0041584B" w:rsidRPr="00C70D7F" w14:paraId="0291FC69" w14:textId="77777777" w:rsidTr="0041584B">
        <w:tc>
          <w:tcPr>
            <w:cnfStyle w:val="001000000000" w:firstRow="0" w:lastRow="0" w:firstColumn="1" w:lastColumn="0" w:oddVBand="0" w:evenVBand="0" w:oddHBand="0" w:evenHBand="0" w:firstRowFirstColumn="0" w:firstRowLastColumn="0" w:lastRowFirstColumn="0" w:lastRowLastColumn="0"/>
            <w:tcW w:w="1366" w:type="pct"/>
          </w:tcPr>
          <w:p w14:paraId="758371F4" w14:textId="77777777" w:rsidR="0041584B" w:rsidRPr="00C70D7F" w:rsidRDefault="0041584B" w:rsidP="0041584B">
            <w:pPr>
              <w:spacing w:after="0"/>
              <w:ind w:left="34" w:hanging="34"/>
            </w:pPr>
            <w:r w:rsidRPr="00C70D7F">
              <w:t>Primary, O</w:t>
            </w:r>
          </w:p>
        </w:tc>
        <w:tc>
          <w:tcPr>
            <w:tcW w:w="1126" w:type="pct"/>
          </w:tcPr>
          <w:p w14:paraId="4EB786C4" w14:textId="77777777" w:rsidR="0041584B" w:rsidRPr="00C70D7F" w:rsidRDefault="0041584B" w:rsidP="0041584B">
            <w:pPr>
              <w:spacing w:after="0"/>
              <w:jc w:val="center"/>
              <w:cnfStyle w:val="000000000000" w:firstRow="0" w:lastRow="0" w:firstColumn="0" w:lastColumn="0" w:oddVBand="0" w:evenVBand="0" w:oddHBand="0" w:evenHBand="0" w:firstRowFirstColumn="0" w:firstRowLastColumn="0" w:lastRowFirstColumn="0" w:lastRowLastColumn="0"/>
              <w:rPr>
                <w:i/>
              </w:rPr>
            </w:pPr>
            <w:r w:rsidRPr="00C70D7F">
              <w:rPr>
                <w:i/>
              </w:rPr>
              <w:t>MD</w:t>
            </w:r>
            <w:r w:rsidRPr="00C70D7F">
              <w:rPr>
                <w:i/>
                <w:vertAlign w:val="subscript"/>
              </w:rPr>
              <w:t>O</w:t>
            </w:r>
          </w:p>
        </w:tc>
        <w:tc>
          <w:tcPr>
            <w:tcW w:w="1024" w:type="pct"/>
          </w:tcPr>
          <w:p w14:paraId="71B9E10C" w14:textId="77777777" w:rsidR="0041584B" w:rsidRPr="00C70D7F" w:rsidRDefault="0041584B" w:rsidP="0041584B">
            <w:pPr>
              <w:spacing w:after="0"/>
              <w:ind w:left="176"/>
              <w:jc w:val="center"/>
              <w:cnfStyle w:val="000000000000" w:firstRow="0" w:lastRow="0" w:firstColumn="0" w:lastColumn="0" w:oddVBand="0" w:evenVBand="0" w:oddHBand="0" w:evenHBand="0" w:firstRowFirstColumn="0" w:firstRowLastColumn="0" w:lastRowFirstColumn="0" w:lastRowLastColumn="0"/>
              <w:rPr>
                <w:b/>
                <w:i/>
              </w:rPr>
            </w:pPr>
            <w:r w:rsidRPr="00C70D7F">
              <w:rPr>
                <w:i/>
              </w:rPr>
              <w:t>DF</w:t>
            </w:r>
            <w:r w:rsidRPr="00C70D7F">
              <w:rPr>
                <w:i/>
                <w:vertAlign w:val="subscript"/>
              </w:rPr>
              <w:t>G1</w:t>
            </w:r>
          </w:p>
        </w:tc>
        <w:tc>
          <w:tcPr>
            <w:tcW w:w="1483" w:type="pct"/>
          </w:tcPr>
          <w:p w14:paraId="02FB6D05" w14:textId="77777777" w:rsidR="0041584B" w:rsidRPr="00C70D7F" w:rsidRDefault="0041584B" w:rsidP="0041584B">
            <w:pPr>
              <w:spacing w:after="0"/>
              <w:ind w:left="176"/>
              <w:jc w:val="center"/>
              <w:cnfStyle w:val="000000000000" w:firstRow="0" w:lastRow="0" w:firstColumn="0" w:lastColumn="0" w:oddVBand="0" w:evenVBand="0" w:oddHBand="0" w:evenHBand="0" w:firstRowFirstColumn="0" w:firstRowLastColumn="0" w:lastRowFirstColumn="0" w:lastRowLastColumn="0"/>
              <w:rPr>
                <w:i/>
              </w:rPr>
            </w:pPr>
            <w:r w:rsidRPr="00C70D7F">
              <w:rPr>
                <w:i/>
              </w:rPr>
              <w:t>DF</w:t>
            </w:r>
            <w:r w:rsidRPr="00C70D7F">
              <w:rPr>
                <w:i/>
                <w:vertAlign w:val="subscript"/>
              </w:rPr>
              <w:t>G1</w:t>
            </w:r>
            <w:r w:rsidRPr="00C70D7F">
              <w:rPr>
                <w:i/>
              </w:rPr>
              <w:t xml:space="preserve"> * MD</w:t>
            </w:r>
            <w:r w:rsidRPr="00C70D7F">
              <w:rPr>
                <w:i/>
                <w:vertAlign w:val="subscript"/>
              </w:rPr>
              <w:t>O</w:t>
            </w:r>
          </w:p>
        </w:tc>
      </w:tr>
      <w:tr w:rsidR="0041584B" w:rsidRPr="00C70D7F" w14:paraId="68881786" w14:textId="77777777" w:rsidTr="0041584B">
        <w:tc>
          <w:tcPr>
            <w:cnfStyle w:val="001000000000" w:firstRow="0" w:lastRow="0" w:firstColumn="1" w:lastColumn="0" w:oddVBand="0" w:evenVBand="0" w:oddHBand="0" w:evenHBand="0" w:firstRowFirstColumn="0" w:firstRowLastColumn="0" w:lastRowFirstColumn="0" w:lastRowLastColumn="0"/>
            <w:tcW w:w="1366" w:type="pct"/>
          </w:tcPr>
          <w:p w14:paraId="358D0657" w14:textId="77777777" w:rsidR="0041584B" w:rsidRPr="00C70D7F" w:rsidRDefault="0041584B" w:rsidP="0041584B">
            <w:pPr>
              <w:spacing w:after="0"/>
              <w:ind w:left="34" w:hanging="34"/>
            </w:pPr>
            <w:r w:rsidRPr="00C70D7F">
              <w:t>EDCM Connectee, U</w:t>
            </w:r>
          </w:p>
        </w:tc>
        <w:tc>
          <w:tcPr>
            <w:tcW w:w="1126" w:type="pct"/>
          </w:tcPr>
          <w:p w14:paraId="7E38F8EF" w14:textId="77777777" w:rsidR="0041584B" w:rsidRPr="00C70D7F" w:rsidRDefault="0041584B" w:rsidP="0041584B">
            <w:pPr>
              <w:tabs>
                <w:tab w:val="center" w:pos="4153"/>
                <w:tab w:val="right" w:pos="8306"/>
              </w:tabs>
              <w:spacing w:after="0"/>
              <w:jc w:val="center"/>
              <w:cnfStyle w:val="000000000000" w:firstRow="0" w:lastRow="0" w:firstColumn="0" w:lastColumn="0" w:oddVBand="0" w:evenVBand="0" w:oddHBand="0" w:evenHBand="0" w:firstRowFirstColumn="0" w:firstRowLastColumn="0" w:lastRowFirstColumn="0" w:lastRowLastColumn="0"/>
              <w:rPr>
                <w:i/>
              </w:rPr>
            </w:pPr>
            <w:r w:rsidRPr="00C70D7F">
              <w:rPr>
                <w:i/>
              </w:rPr>
              <w:t>MD</w:t>
            </w:r>
            <w:r w:rsidRPr="00C70D7F">
              <w:rPr>
                <w:i/>
                <w:vertAlign w:val="subscript"/>
              </w:rPr>
              <w:t>U</w:t>
            </w:r>
          </w:p>
        </w:tc>
        <w:tc>
          <w:tcPr>
            <w:tcW w:w="1024" w:type="pct"/>
          </w:tcPr>
          <w:p w14:paraId="6AB2F05E" w14:textId="77777777" w:rsidR="0041584B" w:rsidRPr="00C70D7F" w:rsidRDefault="0041584B" w:rsidP="0041584B">
            <w:pPr>
              <w:tabs>
                <w:tab w:val="center" w:pos="4153"/>
                <w:tab w:val="right" w:pos="8306"/>
              </w:tabs>
              <w:spacing w:after="0"/>
              <w:ind w:left="176"/>
              <w:jc w:val="center"/>
              <w:cnfStyle w:val="000000000000" w:firstRow="0" w:lastRow="0" w:firstColumn="0" w:lastColumn="0" w:oddVBand="0" w:evenVBand="0" w:oddHBand="0" w:evenHBand="0" w:firstRowFirstColumn="0" w:firstRowLastColumn="0" w:lastRowFirstColumn="0" w:lastRowLastColumn="0"/>
              <w:rPr>
                <w:b/>
                <w:i/>
              </w:rPr>
            </w:pPr>
            <w:r w:rsidRPr="00C70D7F">
              <w:rPr>
                <w:i/>
              </w:rPr>
              <w:t>DF</w:t>
            </w:r>
            <w:r w:rsidRPr="00C70D7F">
              <w:rPr>
                <w:i/>
                <w:vertAlign w:val="subscript"/>
              </w:rPr>
              <w:t>G1</w:t>
            </w:r>
          </w:p>
        </w:tc>
        <w:tc>
          <w:tcPr>
            <w:tcW w:w="1483" w:type="pct"/>
          </w:tcPr>
          <w:p w14:paraId="6DBC369D" w14:textId="77777777" w:rsidR="0041584B" w:rsidRPr="00C70D7F" w:rsidRDefault="0041584B" w:rsidP="0041584B">
            <w:pPr>
              <w:tabs>
                <w:tab w:val="center" w:pos="4153"/>
                <w:tab w:val="right" w:pos="8306"/>
              </w:tabs>
              <w:spacing w:after="0"/>
              <w:ind w:left="176"/>
              <w:jc w:val="center"/>
              <w:cnfStyle w:val="000000000000" w:firstRow="0" w:lastRow="0" w:firstColumn="0" w:lastColumn="0" w:oddVBand="0" w:evenVBand="0" w:oddHBand="0" w:evenHBand="0" w:firstRowFirstColumn="0" w:firstRowLastColumn="0" w:lastRowFirstColumn="0" w:lastRowLastColumn="0"/>
              <w:rPr>
                <w:i/>
              </w:rPr>
            </w:pPr>
            <w:r w:rsidRPr="00C70D7F">
              <w:rPr>
                <w:i/>
              </w:rPr>
              <w:t>DF</w:t>
            </w:r>
            <w:r w:rsidRPr="00C70D7F">
              <w:rPr>
                <w:i/>
                <w:vertAlign w:val="subscript"/>
              </w:rPr>
              <w:t>G1</w:t>
            </w:r>
            <w:r w:rsidRPr="00C70D7F">
              <w:rPr>
                <w:i/>
              </w:rPr>
              <w:t>* MD</w:t>
            </w:r>
            <w:r w:rsidRPr="00C70D7F">
              <w:rPr>
                <w:i/>
                <w:vertAlign w:val="subscript"/>
              </w:rPr>
              <w:t>U</w:t>
            </w:r>
          </w:p>
        </w:tc>
      </w:tr>
    </w:tbl>
    <w:p w14:paraId="47FB5E80" w14:textId="77777777" w:rsidR="0041584B" w:rsidRPr="00A74D0F" w:rsidRDefault="0041584B" w:rsidP="0041584B">
      <w:pPr>
        <w:pStyle w:val="Heading2"/>
      </w:pPr>
      <w:r w:rsidRPr="00A74D0F">
        <w:lastRenderedPageBreak/>
        <w:t>Diversity Factors are applied to both the Active Power and Reactive Power demands at each connection point thus ensuring the power factor of the demand remains unchanged.</w:t>
      </w:r>
    </w:p>
    <w:p w14:paraId="116520C8" w14:textId="77777777" w:rsidR="0041584B" w:rsidRPr="0031739F" w:rsidRDefault="0041584B" w:rsidP="0041584B">
      <w:pPr>
        <w:pStyle w:val="DCSubHeading2Level2"/>
        <w:rPr>
          <w:b/>
        </w:rPr>
      </w:pPr>
      <w:r w:rsidRPr="0031739F">
        <w:rPr>
          <w:b/>
        </w:rPr>
        <w:t>Method 3 – Negative Load Injections</w:t>
      </w:r>
    </w:p>
    <w:p w14:paraId="6FA748AF" w14:textId="77777777" w:rsidR="0041584B" w:rsidRPr="00A74D0F" w:rsidRDefault="0041584B" w:rsidP="0041584B">
      <w:pPr>
        <w:pStyle w:val="Heading2"/>
      </w:pPr>
      <w:r w:rsidRPr="00A74D0F">
        <w:t>A Negative Load Injection is a negative value of load calculated and applied to a source substation within the network model to represent the effects of diversity between associated downstream demands upon the actual demand observed at the source substation.</w:t>
      </w:r>
    </w:p>
    <w:p w14:paraId="7F9C4BF8" w14:textId="77777777" w:rsidR="0041584B" w:rsidRPr="00A74D0F" w:rsidRDefault="0041584B" w:rsidP="0041584B">
      <w:pPr>
        <w:pStyle w:val="Heading2"/>
      </w:pPr>
      <w:r w:rsidRPr="00A74D0F">
        <w:t>Negative Load Injections can be used to ensure that when the Maximum Demand is applied to each Connection Node then the modelled flow through the Grid Supply Point matches the Maximum Demand at the Grid Supply Point.</w:t>
      </w:r>
    </w:p>
    <w:p w14:paraId="2A1B669A" w14:textId="77777777" w:rsidR="0041584B" w:rsidRPr="00A74D0F" w:rsidRDefault="0041584B" w:rsidP="0041584B">
      <w:pPr>
        <w:pStyle w:val="Heading2"/>
      </w:pPr>
      <w:r w:rsidRPr="00A74D0F">
        <w:t xml:space="preserve">Negative Load Injections are applied at a substation to ensure that the demand at the substation equals the required Maximum Demand for that substation. Negative Load Injections are normally placed at Bulk Supply Points, other intermediate substations (such as 132kV switching Substation) and Grid Supply Points. </w:t>
      </w:r>
    </w:p>
    <w:p w14:paraId="783BDF02" w14:textId="77777777" w:rsidR="0041584B" w:rsidRPr="00A74D0F" w:rsidRDefault="0041584B" w:rsidP="0041584B">
      <w:pPr>
        <w:pStyle w:val="Heading2"/>
      </w:pPr>
      <w:r w:rsidRPr="00A74D0F">
        <w:t>The amount of Negative Load Injection required to be applied at a substation is calculated as the maximum demand at that substation minus the sum of the maximum demands of all points of the network at the next lower hierarchy served by that substation plus an allowance for losses in that part of the network.</w:t>
      </w:r>
    </w:p>
    <w:p w14:paraId="2BE7515B" w14:textId="77777777" w:rsidR="0041584B" w:rsidRPr="00A74D0F" w:rsidRDefault="0041584B" w:rsidP="0041584B">
      <w:pPr>
        <w:pStyle w:val="Heading2"/>
      </w:pPr>
      <w:r w:rsidRPr="00A74D0F">
        <w:t>In our example, for Bulk Supply Point, S, supplying three Primary Substations, B, C and D, and an EDCM Connectee E, Negative Load Injection is derived as:</w:t>
      </w:r>
    </w:p>
    <w:p w14:paraId="6428CCD3" w14:textId="77777777" w:rsidR="0041584B" w:rsidRPr="00C70D7F" w:rsidRDefault="0041584B" w:rsidP="0041584B">
      <w:pPr>
        <w:jc w:val="center"/>
      </w:pPr>
      <m:oMathPara>
        <m:oMath>
          <m:sSub>
            <m:sSubPr>
              <m:ctrlPr>
                <w:rPr>
                  <w:rFonts w:ascii="Cambria Math" w:hAnsi="Cambria Math"/>
                  <w:i/>
                </w:rPr>
              </m:ctrlPr>
            </m:sSubPr>
            <m:e>
              <m:r>
                <w:rPr>
                  <w:rFonts w:ascii="Cambria Math" w:hAnsi="Cambria Math"/>
                </w:rPr>
                <m:t>NLI</m:t>
              </m:r>
            </m:e>
            <m:sub>
              <m:r>
                <w:rPr>
                  <w:rFonts w:ascii="Cambria Math" w:hAnsi="Cambria Math"/>
                </w:rPr>
                <m:t>S</m:t>
              </m:r>
            </m:sub>
          </m:sSub>
          <m:r>
            <w:rPr>
              <w:rFonts w:ascii="Cambria Math" w:hAnsi="Cambria Math"/>
            </w:rPr>
            <m:t>=</m:t>
          </m:r>
          <m:sSub>
            <m:sSubPr>
              <m:ctrlPr>
                <w:rPr>
                  <w:rFonts w:ascii="Cambria Math" w:hAnsi="Cambria Math"/>
                  <w:i/>
                </w:rPr>
              </m:ctrlPr>
            </m:sSubPr>
            <m:e>
              <m:r>
                <w:rPr>
                  <w:rFonts w:ascii="Cambria Math" w:hAnsi="Cambria Math"/>
                </w:rPr>
                <m:t>MD</m:t>
              </m:r>
            </m:e>
            <m:sub>
              <m:r>
                <w:rPr>
                  <w:rFonts w:ascii="Cambria Math" w:hAnsi="Cambria Math"/>
                </w:rPr>
                <m:t>S</m:t>
              </m:r>
            </m:sub>
          </m:sSub>
          <m:r>
            <w:rPr>
              <w:rFonts w:ascii="Cambria Math" w:hAnsi="Cambria Math"/>
            </w:rPr>
            <m:t>-(</m:t>
          </m:r>
          <m:sSub>
            <m:sSubPr>
              <m:ctrlPr>
                <w:rPr>
                  <w:rFonts w:ascii="Cambria Math" w:hAnsi="Cambria Math"/>
                  <w:i/>
                </w:rPr>
              </m:ctrlPr>
            </m:sSubPr>
            <m:e>
              <m:r>
                <w:rPr>
                  <w:rFonts w:ascii="Cambria Math" w:hAnsi="Cambria Math"/>
                </w:rPr>
                <m:t>MD</m:t>
              </m:r>
            </m:e>
            <m:sub>
              <m:r>
                <w:rPr>
                  <w:rFonts w:ascii="Cambria Math" w:hAnsi="Cambria Math"/>
                </w:rPr>
                <m:t>B</m:t>
              </m:r>
            </m:sub>
          </m:sSub>
          <m:r>
            <w:rPr>
              <w:rFonts w:ascii="Cambria Math" w:hAnsi="Cambria Math"/>
            </w:rPr>
            <m:t>+</m:t>
          </m:r>
          <m:sSub>
            <m:sSubPr>
              <m:ctrlPr>
                <w:rPr>
                  <w:rFonts w:ascii="Cambria Math" w:hAnsi="Cambria Math"/>
                  <w:i/>
                </w:rPr>
              </m:ctrlPr>
            </m:sSubPr>
            <m:e>
              <m:r>
                <w:rPr>
                  <w:rFonts w:ascii="Cambria Math" w:hAnsi="Cambria Math"/>
                </w:rPr>
                <m:t>MD</m:t>
              </m:r>
            </m:e>
            <m:sub>
              <m:r>
                <w:rPr>
                  <w:rFonts w:ascii="Cambria Math" w:hAnsi="Cambria Math"/>
                </w:rPr>
                <m:t>C</m:t>
              </m:r>
            </m:sub>
          </m:sSub>
          <m:r>
            <w:rPr>
              <w:rFonts w:ascii="Cambria Math" w:hAnsi="Cambria Math"/>
            </w:rPr>
            <m:t>+</m:t>
          </m:r>
          <m:sSub>
            <m:sSubPr>
              <m:ctrlPr>
                <w:rPr>
                  <w:rFonts w:ascii="Cambria Math" w:hAnsi="Cambria Math"/>
                  <w:i/>
                </w:rPr>
              </m:ctrlPr>
            </m:sSubPr>
            <m:e>
              <m:r>
                <w:rPr>
                  <w:rFonts w:ascii="Cambria Math" w:hAnsi="Cambria Math"/>
                </w:rPr>
                <m:t>MD</m:t>
              </m:r>
            </m:e>
            <m:sub>
              <m:r>
                <w:rPr>
                  <w:rFonts w:ascii="Cambria Math" w:hAnsi="Cambria Math"/>
                </w:rPr>
                <m:t>D</m:t>
              </m:r>
            </m:sub>
          </m:sSub>
          <m:r>
            <w:rPr>
              <w:rFonts w:ascii="Cambria Math" w:hAnsi="Cambria Math"/>
            </w:rPr>
            <m:t>+</m:t>
          </m:r>
          <m:sSub>
            <m:sSubPr>
              <m:ctrlPr>
                <w:rPr>
                  <w:rFonts w:ascii="Cambria Math" w:hAnsi="Cambria Math"/>
                  <w:i/>
                </w:rPr>
              </m:ctrlPr>
            </m:sSubPr>
            <m:e>
              <m:r>
                <w:rPr>
                  <w:rFonts w:ascii="Cambria Math" w:hAnsi="Cambria Math"/>
                </w:rPr>
                <m:t>MD</m:t>
              </m:r>
            </m:e>
            <m:sub>
              <m:r>
                <w:rPr>
                  <w:rFonts w:ascii="Cambria Math" w:hAnsi="Cambria Math"/>
                </w:rPr>
                <m:t>E</m:t>
              </m:r>
            </m:sub>
          </m:sSub>
          <m:r>
            <w:rPr>
              <w:rFonts w:ascii="Cambria Math" w:hAnsi="Cambria Math"/>
            </w:rPr>
            <m:t>+</m:t>
          </m:r>
          <m:sSub>
            <m:sSubPr>
              <m:ctrlPr>
                <w:rPr>
                  <w:rFonts w:ascii="Cambria Math" w:hAnsi="Cambria Math"/>
                  <w:i/>
                </w:rPr>
              </m:ctrlPr>
            </m:sSubPr>
            <m:e>
              <m:r>
                <w:rPr>
                  <w:rFonts w:ascii="Cambria Math" w:hAnsi="Cambria Math"/>
                </w:rPr>
                <m:t>losses</m:t>
              </m:r>
            </m:e>
            <m:sub>
              <m:r>
                <w:rPr>
                  <w:rFonts w:ascii="Cambria Math" w:hAnsi="Cambria Math"/>
                </w:rPr>
                <m:t>S→</m:t>
              </m:r>
            </m:sub>
          </m:sSub>
          <m:r>
            <w:rPr>
              <w:rFonts w:ascii="Cambria Math" w:hAnsi="Cambria Math"/>
            </w:rPr>
            <m:t>)</m:t>
          </m:r>
        </m:oMath>
      </m:oMathPara>
    </w:p>
    <w:p w14:paraId="0C46A069" w14:textId="77777777" w:rsidR="0041584B" w:rsidRPr="00F2016B" w:rsidRDefault="0041584B" w:rsidP="0041584B">
      <w:pPr>
        <w:pStyle w:val="Heading2"/>
        <w:rPr>
          <w:rFonts w:eastAsia="Times New Roman"/>
        </w:rPr>
      </w:pPr>
      <w:proofErr w:type="gramStart"/>
      <w:r w:rsidRPr="00F2016B">
        <w:rPr>
          <w:rFonts w:eastAsia="Times New Roman"/>
        </w:rPr>
        <w:t>Similarly</w:t>
      </w:r>
      <w:proofErr w:type="gramEnd"/>
      <w:r w:rsidRPr="00F2016B">
        <w:rPr>
          <w:rFonts w:eastAsia="Times New Roman"/>
        </w:rPr>
        <w:t xml:space="preserve"> for Grid Supply Point, G, supplying two Bulk Supply Points, S and T, and an EDCM Connectee U, Negative Load Injection is derived as</w:t>
      </w:r>
    </w:p>
    <w:p w14:paraId="0C8482E3" w14:textId="77777777" w:rsidR="0041584B" w:rsidRPr="00C70D7F" w:rsidRDefault="0041584B" w:rsidP="0041584B">
      <w:pPr>
        <w:jc w:val="center"/>
      </w:pPr>
      <m:oMathPara>
        <m:oMath>
          <m:sSub>
            <m:sSubPr>
              <m:ctrlPr>
                <w:rPr>
                  <w:rFonts w:ascii="Cambria Math" w:hAnsi="Cambria Math"/>
                  <w:i/>
                </w:rPr>
              </m:ctrlPr>
            </m:sSubPr>
            <m:e>
              <m:r>
                <w:rPr>
                  <w:rFonts w:ascii="Cambria Math" w:hAnsi="Cambria Math"/>
                </w:rPr>
                <m:t>NLI</m:t>
              </m:r>
            </m:e>
            <m:sub>
              <m:r>
                <w:rPr>
                  <w:rFonts w:ascii="Cambria Math" w:hAnsi="Cambria Math"/>
                </w:rPr>
                <m:t>G</m:t>
              </m:r>
            </m:sub>
          </m:sSub>
          <m:r>
            <w:rPr>
              <w:rFonts w:ascii="Cambria Math" w:hAnsi="Cambria Math"/>
            </w:rPr>
            <m:t>=</m:t>
          </m:r>
          <m:sSub>
            <m:sSubPr>
              <m:ctrlPr>
                <w:rPr>
                  <w:rFonts w:ascii="Cambria Math" w:hAnsi="Cambria Math"/>
                  <w:i/>
                </w:rPr>
              </m:ctrlPr>
            </m:sSubPr>
            <m:e>
              <m:r>
                <w:rPr>
                  <w:rFonts w:ascii="Cambria Math" w:hAnsi="Cambria Math"/>
                </w:rPr>
                <m:t>MD</m:t>
              </m:r>
            </m:e>
            <m:sub>
              <m:r>
                <w:rPr>
                  <w:rFonts w:ascii="Cambria Math" w:hAnsi="Cambria Math"/>
                </w:rPr>
                <m:t>G</m:t>
              </m:r>
            </m:sub>
          </m:sSub>
          <m:r>
            <w:rPr>
              <w:rFonts w:ascii="Cambria Math" w:hAnsi="Cambria Math"/>
            </w:rPr>
            <m:t>-(</m:t>
          </m:r>
          <m:sSub>
            <m:sSubPr>
              <m:ctrlPr>
                <w:rPr>
                  <w:rFonts w:ascii="Cambria Math" w:hAnsi="Cambria Math"/>
                  <w:i/>
                </w:rPr>
              </m:ctrlPr>
            </m:sSubPr>
            <m:e>
              <m:r>
                <w:rPr>
                  <w:rFonts w:ascii="Cambria Math" w:hAnsi="Cambria Math"/>
                </w:rPr>
                <m:t>MD</m:t>
              </m:r>
            </m:e>
            <m:sub>
              <m:r>
                <w:rPr>
                  <w:rFonts w:ascii="Cambria Math" w:hAnsi="Cambria Math"/>
                </w:rPr>
                <m:t>S</m:t>
              </m:r>
            </m:sub>
          </m:sSub>
          <m:r>
            <w:rPr>
              <w:rFonts w:ascii="Cambria Math" w:hAnsi="Cambria Math"/>
            </w:rPr>
            <m:t>+</m:t>
          </m:r>
          <m:sSub>
            <m:sSubPr>
              <m:ctrlPr>
                <w:rPr>
                  <w:rFonts w:ascii="Cambria Math" w:hAnsi="Cambria Math"/>
                  <w:i/>
                </w:rPr>
              </m:ctrlPr>
            </m:sSubPr>
            <m:e>
              <m:r>
                <w:rPr>
                  <w:rFonts w:ascii="Cambria Math" w:hAnsi="Cambria Math"/>
                </w:rPr>
                <m:t>MD</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MD</m:t>
              </m:r>
            </m:e>
            <m:sub>
              <m:r>
                <w:rPr>
                  <w:rFonts w:ascii="Cambria Math" w:hAnsi="Cambria Math"/>
                </w:rPr>
                <m:t>U</m:t>
              </m:r>
            </m:sub>
          </m:sSub>
          <m:r>
            <w:rPr>
              <w:rFonts w:ascii="Cambria Math" w:hAnsi="Cambria Math"/>
            </w:rPr>
            <m:t>+</m:t>
          </m:r>
          <m:sSub>
            <m:sSubPr>
              <m:ctrlPr>
                <w:rPr>
                  <w:rFonts w:ascii="Cambria Math" w:hAnsi="Cambria Math"/>
                  <w:i/>
                </w:rPr>
              </m:ctrlPr>
            </m:sSubPr>
            <m:e>
              <m:r>
                <w:rPr>
                  <w:rFonts w:ascii="Cambria Math" w:hAnsi="Cambria Math"/>
                </w:rPr>
                <m:t>losses</m:t>
              </m:r>
            </m:e>
            <m:sub>
              <m:r>
                <w:rPr>
                  <w:rFonts w:ascii="Cambria Math" w:hAnsi="Cambria Math"/>
                </w:rPr>
                <m:t>G→</m:t>
              </m:r>
            </m:sub>
          </m:sSub>
          <m:r>
            <w:rPr>
              <w:rFonts w:ascii="Cambria Math" w:hAnsi="Cambria Math"/>
            </w:rPr>
            <m:t>)</m:t>
          </m:r>
        </m:oMath>
      </m:oMathPara>
    </w:p>
    <w:p w14:paraId="529DEE6B" w14:textId="77777777" w:rsidR="0041584B" w:rsidRPr="00A74D0F" w:rsidRDefault="0041584B" w:rsidP="0041584B">
      <w:pPr>
        <w:pStyle w:val="Heading2"/>
      </w:pPr>
      <w:r w:rsidRPr="00A74D0F">
        <w:t xml:space="preserve">Note that the value of Negative Load Injection calculated is a negative number. This is modelled as a negative load (or generation) at the substation busbar so that the incoming flow matches the required maximum demand for that substation. </w:t>
      </w:r>
    </w:p>
    <w:p w14:paraId="0FD0624E" w14:textId="77777777" w:rsidR="0041584B" w:rsidRPr="00A74D0F" w:rsidRDefault="0041584B" w:rsidP="0041584B">
      <w:pPr>
        <w:pStyle w:val="Heading2"/>
      </w:pPr>
      <w:r w:rsidRPr="00A74D0F">
        <w:lastRenderedPageBreak/>
        <w:t>Negative Load Injections are applied as an Active Power injection only. No Reactive Power injection is applied.</w:t>
      </w:r>
    </w:p>
    <w:p w14:paraId="4857FF3C" w14:textId="77777777" w:rsidR="0041584B" w:rsidRPr="00A74D0F" w:rsidRDefault="0041584B" w:rsidP="0041584B">
      <w:pPr>
        <w:pStyle w:val="DCSubHeading1Level2"/>
      </w:pPr>
      <w:bookmarkStart w:id="521" w:name="_Toc268553680"/>
      <w:bookmarkStart w:id="522" w:name="_Ref269303808"/>
      <w:bookmarkStart w:id="523" w:name="_Ref269303882"/>
      <w:bookmarkStart w:id="524" w:name="_Ref269304014"/>
      <w:bookmarkStart w:id="525" w:name="_Ref269306096"/>
      <w:bookmarkStart w:id="526" w:name="_Toc269379869"/>
      <w:bookmarkStart w:id="527" w:name="_Toc269720518"/>
      <w:bookmarkStart w:id="528" w:name="_Toc269721215"/>
      <w:r w:rsidRPr="00A74D0F">
        <w:t>Maximum Demand Data for the Authorised Network Model</w:t>
      </w:r>
      <w:bookmarkEnd w:id="521"/>
      <w:bookmarkEnd w:id="522"/>
      <w:bookmarkEnd w:id="523"/>
      <w:bookmarkEnd w:id="524"/>
      <w:bookmarkEnd w:id="525"/>
      <w:bookmarkEnd w:id="526"/>
      <w:bookmarkEnd w:id="527"/>
      <w:bookmarkEnd w:id="528"/>
    </w:p>
    <w:p w14:paraId="72E783C6" w14:textId="77777777" w:rsidR="0041584B" w:rsidRPr="0031739F" w:rsidRDefault="0041584B" w:rsidP="0041584B">
      <w:pPr>
        <w:pStyle w:val="DCSubHeading2Level2"/>
        <w:rPr>
          <w:b/>
        </w:rPr>
      </w:pPr>
      <w:r w:rsidRPr="0031739F">
        <w:rPr>
          <w:b/>
        </w:rPr>
        <w:t xml:space="preserve">Network Demand Data (Generation) </w:t>
      </w:r>
    </w:p>
    <w:p w14:paraId="36B7411C" w14:textId="77777777" w:rsidR="0041584B" w:rsidRPr="00A74D0F" w:rsidRDefault="0041584B" w:rsidP="0041584B">
      <w:pPr>
        <w:pStyle w:val="Heading2"/>
      </w:pPr>
      <w:bookmarkStart w:id="529" w:name="_Ref277072928"/>
      <w:r w:rsidRPr="00A74D0F">
        <w:t>The Network Demand Data (Generation) element of the Maximum Demand Data will be constructed with generation output set at zero unless the generation can be considered to have a contribution to security of supply under ER P2/6, in which case the ER P2/6 level of export will be modelled.</w:t>
      </w:r>
      <w:bookmarkEnd w:id="529"/>
    </w:p>
    <w:p w14:paraId="2F49A484" w14:textId="77777777" w:rsidR="0041584B" w:rsidRPr="00A74D0F" w:rsidRDefault="0041584B" w:rsidP="0041584B">
      <w:pPr>
        <w:pStyle w:val="Heading2"/>
      </w:pPr>
      <w:r w:rsidRPr="00A74D0F">
        <w:t xml:space="preserve">The contribution of distributed generation to security of supply is dealt with in ER P2/6 through the application of F factors.  Each Generation Installation is assigned an F </w:t>
      </w:r>
      <w:proofErr w:type="gramStart"/>
      <w:r w:rsidRPr="00A74D0F">
        <w:t>factor</w:t>
      </w:r>
      <w:proofErr w:type="gramEnd"/>
      <w:r w:rsidRPr="00A74D0F">
        <w:t xml:space="preserve"> and this represents the percentage of the generator’s declared net capacity that can be considered when assessing network security.  ER P2/6 also uses the term ‘Persistence’ to reduce the F factor for intermittent generation, as the time period (in hours) for which its contribution to security is being assessed increases.  Table 2-4 of ER P2/6 recommends values of ‘Persistence’; these values are dependent on the demand class being assessed.  The value of ‘Persistence’ to be used for intermittent generation will be as stated in Table 2-4 of ER P2/6 for ‘Other outage’, using the maximum GSP (or GSP groups’) demand instead of the demand class of the demand group.</w:t>
      </w:r>
    </w:p>
    <w:p w14:paraId="37393186" w14:textId="77777777" w:rsidR="0041584B" w:rsidRPr="00A74D0F" w:rsidRDefault="0041584B" w:rsidP="0041584B">
      <w:pPr>
        <w:pStyle w:val="DCSubHeading1Level2"/>
        <w:ind w:firstLine="720"/>
      </w:pPr>
      <w:r w:rsidRPr="00A74D0F">
        <w:t>Network Demand Data (Load)</w:t>
      </w:r>
    </w:p>
    <w:p w14:paraId="282DA5CB" w14:textId="77777777" w:rsidR="0041584B" w:rsidRPr="00A74D0F" w:rsidRDefault="0041584B" w:rsidP="0041584B">
      <w:pPr>
        <w:pStyle w:val="Heading2"/>
      </w:pPr>
      <w:r w:rsidRPr="00A74D0F">
        <w:t xml:space="preserve">The Network Demand Data (Load) element of the Maximum Demand Data will be constructed based on the Maximum Demands for each load point and either amended (Diversity Factors) or enhanced (Negative Load Injections) by the chosen diversity method (see section </w:t>
      </w:r>
      <w:r>
        <w:fldChar w:fldCharType="begin"/>
      </w:r>
      <w:r>
        <w:instrText xml:space="preserve"> REF _Ref277076825 \w \h  \* MERGEFORMAT </w:instrText>
      </w:r>
      <w:r>
        <w:fldChar w:fldCharType="separate"/>
      </w:r>
      <w:r>
        <w:t>5.11</w:t>
      </w:r>
      <w:r>
        <w:fldChar w:fldCharType="end"/>
      </w:r>
      <w:r w:rsidRPr="00A74D0F">
        <w:t xml:space="preserve"> (</w:t>
      </w:r>
      <w:r>
        <w:fldChar w:fldCharType="begin"/>
      </w:r>
      <w:r>
        <w:instrText xml:space="preserve"> REF DiversityFactors \h  \* MERGEFORMAT </w:instrText>
      </w:r>
      <w:r>
        <w:fldChar w:fldCharType="separate"/>
      </w:r>
      <w:r w:rsidRPr="00061A99">
        <w:t>Diversity Factors</w:t>
      </w:r>
      <w:r>
        <w:fldChar w:fldCharType="end"/>
      </w:r>
      <w:r w:rsidRPr="00A74D0F">
        <w:t>) above).</w:t>
      </w:r>
    </w:p>
    <w:p w14:paraId="7A3E147D" w14:textId="77777777" w:rsidR="0041584B" w:rsidRPr="00A74D0F" w:rsidRDefault="0041584B" w:rsidP="0041584B">
      <w:pPr>
        <w:pStyle w:val="Heading2"/>
      </w:pPr>
      <w:r w:rsidRPr="00A74D0F">
        <w:t>The Diversity method is applied to the maximum demand load estimates for each load point to scale the modelled load in the Maximum Demand Data so that it reflects the Grid Supply Point maximum load estimates under Normal Running Arrangement.</w:t>
      </w:r>
    </w:p>
    <w:p w14:paraId="3AA50502" w14:textId="77777777" w:rsidR="0041584B" w:rsidRPr="00A74D0F" w:rsidRDefault="0041584B" w:rsidP="0041584B">
      <w:pPr>
        <w:pStyle w:val="Heading2"/>
      </w:pPr>
      <w:r w:rsidRPr="00A74D0F">
        <w:lastRenderedPageBreak/>
        <w:t>The application of diversity in the derivation of this data needs to be carefully considered and aim to produce, where possible, within the constraints of a single set of Network Demand Data, power flows that reflect typical flows under the Maximum Demand Scenario condition but also enable calculations to be undertaken upon an Authorised Network Model.</w:t>
      </w:r>
    </w:p>
    <w:p w14:paraId="67BDF278" w14:textId="77777777" w:rsidR="0041584B" w:rsidRPr="00A74D0F" w:rsidRDefault="0041584B" w:rsidP="0041584B">
      <w:pPr>
        <w:pStyle w:val="Heading2"/>
      </w:pPr>
      <w:r w:rsidRPr="00A74D0F">
        <w:t xml:space="preserve">In considering the derivation of the Maximum Demand Data, it must be recognised that power flow analysis based on this Network Demand Data may not replicate the maximum power flow through individual assets that could be seen under all N-1 Contingency conditions, due to the limitations of analysis based upon a single set of Network Demand Data. </w:t>
      </w:r>
    </w:p>
    <w:p w14:paraId="7D0BD023" w14:textId="77777777" w:rsidR="0041584B" w:rsidRPr="00A74D0F" w:rsidRDefault="0041584B" w:rsidP="0041584B">
      <w:pPr>
        <w:pStyle w:val="DCSubHeading1Level2"/>
      </w:pPr>
      <w:bookmarkStart w:id="530" w:name="_Toc268553681"/>
      <w:bookmarkStart w:id="531" w:name="_Ref269303940"/>
      <w:bookmarkStart w:id="532" w:name="_Ref269304205"/>
      <w:bookmarkStart w:id="533" w:name="_Toc269379870"/>
      <w:bookmarkStart w:id="534" w:name="_Toc269720519"/>
      <w:bookmarkStart w:id="535" w:name="_Toc269721216"/>
      <w:bookmarkStart w:id="536" w:name="MinimumDemandDatafortheANM"/>
      <w:r w:rsidRPr="00A74D0F">
        <w:t>Minimum Demand Data for the Authorised Network Model</w:t>
      </w:r>
      <w:bookmarkEnd w:id="530"/>
      <w:bookmarkEnd w:id="531"/>
      <w:bookmarkEnd w:id="532"/>
      <w:bookmarkEnd w:id="533"/>
      <w:bookmarkEnd w:id="534"/>
      <w:bookmarkEnd w:id="535"/>
      <w:bookmarkEnd w:id="536"/>
    </w:p>
    <w:p w14:paraId="493CDA28" w14:textId="77777777" w:rsidR="0041584B" w:rsidRPr="0031739F" w:rsidRDefault="0041584B" w:rsidP="0041584B">
      <w:pPr>
        <w:pStyle w:val="DCSubHeading2Level2"/>
        <w:rPr>
          <w:b/>
        </w:rPr>
      </w:pPr>
      <w:r w:rsidRPr="0031739F">
        <w:rPr>
          <w:b/>
        </w:rPr>
        <w:t>Network Demand Data (Generation)</w:t>
      </w:r>
    </w:p>
    <w:p w14:paraId="3E8A0BB8" w14:textId="77777777" w:rsidR="0041584B" w:rsidRPr="00A74D0F" w:rsidRDefault="0041584B" w:rsidP="0041584B">
      <w:pPr>
        <w:pStyle w:val="Heading2"/>
      </w:pPr>
      <w:bookmarkStart w:id="537" w:name="_Ref277072973"/>
      <w:r w:rsidRPr="00A74D0F">
        <w:t>The Network Demand Data (Generation) element of the Minimum Demand Data will be derived by application of a Generation Coincidence Factor to the Maximum Export Capacity of an Entry Point. There will be no adjustment for F factors.</w:t>
      </w:r>
      <w:bookmarkEnd w:id="537"/>
    </w:p>
    <w:p w14:paraId="50F06DDB" w14:textId="77777777" w:rsidR="0041584B" w:rsidRPr="00A74D0F" w:rsidRDefault="0041584B" w:rsidP="0041584B">
      <w:pPr>
        <w:pStyle w:val="Heading2"/>
      </w:pPr>
      <w:r w:rsidRPr="00A74D0F">
        <w:t>Generation Coincidence Factors should be separately determined for each Grid Supply Point (or group of normally interconnected Grid Supply Points) using historic data.  The Generation Coincidence Factor for each Grid Supply Point (or group of normally interconnected Grid Supply Points) will be applied to all generators, within the Authorised Network Model, that are supplied from the relevant Grid Supply Point (or group of normally interconnected Grid Supply Points).</w:t>
      </w:r>
    </w:p>
    <w:p w14:paraId="32B3467F" w14:textId="77777777" w:rsidR="0041584B" w:rsidRPr="00A74D0F" w:rsidRDefault="0041584B" w:rsidP="0041584B">
      <w:pPr>
        <w:pStyle w:val="Heading2"/>
      </w:pPr>
      <w:r w:rsidRPr="00A74D0F">
        <w:t>The Generation Coincidence Factor for a Grid Supply Point (or group of Grid Supply Points) is equal to the maximum simultaneous MW generation output for all the EDCM (Generation) Connectees, within the Authorised Network Model, supplied from the Grid Supply Point (or group of Grid Supply Points), where suitable half hourly MW data is available, divided by the summated total of the Maximum Export Capacities of these generators.</w:t>
      </w:r>
    </w:p>
    <w:p w14:paraId="22A44B1C" w14:textId="77777777" w:rsidR="0041584B" w:rsidRPr="00A74D0F" w:rsidRDefault="0041584B" w:rsidP="0041584B">
      <w:pPr>
        <w:pStyle w:val="Heading2"/>
      </w:pPr>
      <w:r w:rsidRPr="00A74D0F">
        <w:lastRenderedPageBreak/>
        <w:t>Where Generation Coincidence Factors greater than 1 are determined for a Grid Supply Point (or group of normally interconnected Grid Supply Points), a Generation Coincidence Factor of 1 will be applied to all Generation Installations supplied from the relevant Grid Supply Point (or group of Grid Supply Points).</w:t>
      </w:r>
    </w:p>
    <w:p w14:paraId="13E223E7" w14:textId="77777777" w:rsidR="0041584B" w:rsidRPr="0031739F" w:rsidRDefault="0041584B" w:rsidP="0041584B">
      <w:pPr>
        <w:pStyle w:val="DCSubHeading2Level2"/>
        <w:rPr>
          <w:b/>
        </w:rPr>
      </w:pPr>
      <w:r w:rsidRPr="0031739F">
        <w:rPr>
          <w:b/>
        </w:rPr>
        <w:t>Network Demand Data (Load)</w:t>
      </w:r>
    </w:p>
    <w:p w14:paraId="65880745" w14:textId="77777777" w:rsidR="0041584B" w:rsidRPr="00A74D0F" w:rsidRDefault="0041584B" w:rsidP="0041584B">
      <w:pPr>
        <w:pStyle w:val="Heading2"/>
      </w:pPr>
      <w:r w:rsidRPr="00A74D0F">
        <w:t>The Network Demand Data (Load) element of the Minimum Demand Data will be derived by application of a Scaling Factor to the Network Demand Data (Load) element of the Maximum Demand Data.  Such Scaling Factors should be separately determined for each Grid Supply Point (or group of normally interconnected Grid Supply Points) using historic data.  The Scaling Factors for each Grid Supply Point (or group of normally interconnected Grid Supply Points) will be applied to all loads taken from Exit Points supplied from the relevant Grid Supply Point (or group of normally interconnected Grid Supply Points).</w:t>
      </w:r>
    </w:p>
    <w:p w14:paraId="2E8BBE4E" w14:textId="77777777" w:rsidR="0041584B" w:rsidRPr="00A74D0F" w:rsidRDefault="0041584B" w:rsidP="0041584B">
      <w:pPr>
        <w:pStyle w:val="Heading2"/>
      </w:pPr>
      <w:r w:rsidRPr="00A74D0F">
        <w:t xml:space="preserve">The Scaling Factor for each Grid Supply Point (or group of normally interconnected Grid Supply Points) is calculated as: </w:t>
      </w:r>
    </w:p>
    <w:p w14:paraId="421080D1" w14:textId="77777777" w:rsidR="0041584B" w:rsidRPr="00C70D7F" w:rsidRDefault="0041584B" w:rsidP="0041584B">
      <w:pPr>
        <w:jc w:val="center"/>
      </w:pPr>
      <m:oMathPara>
        <m:oMath>
          <m:r>
            <w:rPr>
              <w:rFonts w:ascii="Cambria Math" w:hAnsi="Cambria Math"/>
            </w:rPr>
            <m:t>Scaling Facto</m:t>
          </m:r>
          <m:sSub>
            <m:sSubPr>
              <m:ctrlPr>
                <w:rPr>
                  <w:rFonts w:ascii="Cambria Math" w:hAnsi="Cambria Math"/>
                  <w:i/>
                </w:rPr>
              </m:ctrlPr>
            </m:sSubPr>
            <m:e>
              <m:r>
                <w:rPr>
                  <w:rFonts w:ascii="Cambria Math" w:hAnsi="Cambria Math"/>
                </w:rPr>
                <m:t>r</m:t>
              </m:r>
            </m:e>
            <m:sub>
              <m:r>
                <w:rPr>
                  <w:rFonts w:ascii="Cambria Math" w:hAnsi="Cambria Math"/>
                </w:rPr>
                <m:t>G</m:t>
              </m:r>
            </m:sub>
          </m:sSub>
          <m:r>
            <w:rPr>
              <w:rFonts w:ascii="Cambria Math" w:hAnsi="Cambria Math"/>
            </w:rPr>
            <m:t>=</m:t>
          </m:r>
          <m:f>
            <m:fPr>
              <m:ctrlPr>
                <w:rPr>
                  <w:rFonts w:ascii="Cambria Math" w:hAnsi="Cambria Math"/>
                  <w:i/>
                </w:rPr>
              </m:ctrlPr>
            </m:fPr>
            <m:num>
              <m:r>
                <w:rPr>
                  <w:rFonts w:ascii="Cambria Math" w:hAnsi="Cambria Math"/>
                </w:rPr>
                <m:t>Minimum GSP Deman</m:t>
              </m:r>
              <m:sSub>
                <m:sSubPr>
                  <m:ctrlPr>
                    <w:rPr>
                      <w:rFonts w:ascii="Cambria Math" w:hAnsi="Cambria Math"/>
                      <w:i/>
                    </w:rPr>
                  </m:ctrlPr>
                </m:sSubPr>
                <m:e>
                  <m:r>
                    <w:rPr>
                      <w:rFonts w:ascii="Cambria Math" w:hAnsi="Cambria Math"/>
                    </w:rPr>
                    <m:t>d</m:t>
                  </m:r>
                </m:e>
                <m:sub>
                  <m:r>
                    <w:rPr>
                      <w:rFonts w:ascii="Cambria Math" w:hAnsi="Cambria Math"/>
                    </w:rPr>
                    <m:t>G</m:t>
                  </m:r>
                </m:sub>
              </m:sSub>
            </m:num>
            <m:den>
              <m:r>
                <w:rPr>
                  <w:rFonts w:ascii="Cambria Math" w:hAnsi="Cambria Math"/>
                </w:rPr>
                <m:t>Maximum GSP Deman</m:t>
              </m:r>
              <m:sSub>
                <m:sSubPr>
                  <m:ctrlPr>
                    <w:rPr>
                      <w:rFonts w:ascii="Cambria Math" w:hAnsi="Cambria Math"/>
                      <w:i/>
                    </w:rPr>
                  </m:ctrlPr>
                </m:sSubPr>
                <m:e>
                  <m:r>
                    <w:rPr>
                      <w:rFonts w:ascii="Cambria Math" w:hAnsi="Cambria Math"/>
                    </w:rPr>
                    <m:t>d</m:t>
                  </m:r>
                </m:e>
                <m:sub>
                  <m:r>
                    <w:rPr>
                      <w:rFonts w:ascii="Cambria Math" w:hAnsi="Cambria Math"/>
                    </w:rPr>
                    <m:t>G</m:t>
                  </m:r>
                </m:sub>
              </m:sSub>
            </m:den>
          </m:f>
        </m:oMath>
      </m:oMathPara>
    </w:p>
    <w:p w14:paraId="0E2A9A89" w14:textId="77777777" w:rsidR="0041584B" w:rsidRPr="00647E25" w:rsidRDefault="0041584B" w:rsidP="0041584B">
      <w:pPr>
        <w:ind w:left="720"/>
        <w:rPr>
          <w:lang w:val="en-US"/>
        </w:rPr>
      </w:pPr>
      <w:r w:rsidRPr="00647E25">
        <w:rPr>
          <w:lang w:val="en-US"/>
        </w:rPr>
        <w:t>Where:</w:t>
      </w:r>
    </w:p>
    <w:p w14:paraId="13772D9F" w14:textId="77777777" w:rsidR="0041584B" w:rsidRPr="00647E25" w:rsidRDefault="0041584B" w:rsidP="0041584B">
      <w:pPr>
        <w:ind w:left="720"/>
        <w:rPr>
          <w:lang w:val="en-US"/>
        </w:rPr>
      </w:pPr>
      <m:oMath>
        <m:r>
          <m:rPr>
            <m:sty m:val="bi"/>
          </m:rPr>
          <w:rPr>
            <w:rFonts w:ascii="Cambria Math" w:hAnsi="Cambria Math"/>
            <w:lang w:val="en-US"/>
          </w:rPr>
          <m:t>Scaling</m:t>
        </m:r>
        <m:r>
          <w:rPr>
            <w:rFonts w:ascii="Cambria Math" w:hAnsi="Cambria Math"/>
            <w:lang w:val="en-US"/>
          </w:rPr>
          <m:t xml:space="preserve"> </m:t>
        </m:r>
        <m:r>
          <m:rPr>
            <m:sty m:val="bi"/>
          </m:rPr>
          <w:rPr>
            <w:rFonts w:ascii="Cambria Math" w:hAnsi="Cambria Math"/>
            <w:lang w:val="en-US"/>
          </w:rPr>
          <m:t>Facto</m:t>
        </m:r>
        <m:sSub>
          <m:sSubPr>
            <m:ctrlPr>
              <w:rPr>
                <w:rFonts w:ascii="Cambria Math" w:hAnsi="Cambria Math"/>
                <w:i/>
                <w:lang w:val="en-US"/>
              </w:rPr>
            </m:ctrlPr>
          </m:sSubPr>
          <m:e>
            <m:r>
              <m:rPr>
                <m:sty m:val="bi"/>
              </m:rPr>
              <w:rPr>
                <w:rFonts w:ascii="Cambria Math" w:hAnsi="Cambria Math"/>
                <w:lang w:val="en-US"/>
              </w:rPr>
              <m:t>r</m:t>
            </m:r>
          </m:e>
          <m:sub>
            <m:r>
              <m:rPr>
                <m:sty m:val="bi"/>
              </m:rPr>
              <w:rPr>
                <w:rFonts w:ascii="Cambria Math" w:hAnsi="Cambria Math"/>
                <w:lang w:val="en-US"/>
              </w:rPr>
              <m:t>G</m:t>
            </m:r>
          </m:sub>
        </m:sSub>
      </m:oMath>
      <w:r w:rsidRPr="00647E25">
        <w:rPr>
          <w:lang w:val="en-US"/>
        </w:rPr>
        <w:t>is the Scaling Factor for Grid Supply Point (</w:t>
      </w:r>
      <w:proofErr w:type="gramStart"/>
      <w:r w:rsidRPr="00647E25">
        <w:rPr>
          <w:lang w:val="en-US"/>
        </w:rPr>
        <w:t>or group of normally interconnected Grid Supply Points) G.</w:t>
      </w:r>
      <w:proofErr w:type="gramEnd"/>
    </w:p>
    <w:p w14:paraId="5E1DFAE9" w14:textId="77777777" w:rsidR="0041584B" w:rsidRPr="00647E25" w:rsidRDefault="0041584B" w:rsidP="0041584B">
      <w:pPr>
        <w:ind w:left="720"/>
        <w:rPr>
          <w:lang w:val="en-US"/>
        </w:rPr>
      </w:pPr>
      <m:oMath>
        <m:r>
          <m:rPr>
            <m:sty m:val="bi"/>
          </m:rPr>
          <w:rPr>
            <w:rFonts w:ascii="Cambria Math" w:hAnsi="Cambria Math"/>
            <w:lang w:val="en-US"/>
          </w:rPr>
          <m:t>Maximum</m:t>
        </m:r>
        <m:r>
          <w:rPr>
            <w:rFonts w:ascii="Cambria Math" w:hAnsi="Cambria Math"/>
            <w:lang w:val="en-US"/>
          </w:rPr>
          <m:t xml:space="preserve"> </m:t>
        </m:r>
        <m:r>
          <m:rPr>
            <m:sty m:val="bi"/>
          </m:rPr>
          <w:rPr>
            <w:rFonts w:ascii="Cambria Math" w:hAnsi="Cambria Math"/>
            <w:lang w:val="en-US"/>
          </w:rPr>
          <m:t>GSP</m:t>
        </m:r>
        <m:r>
          <w:rPr>
            <w:rFonts w:ascii="Cambria Math" w:hAnsi="Cambria Math"/>
            <w:lang w:val="en-US"/>
          </w:rPr>
          <m:t xml:space="preserve"> </m:t>
        </m:r>
        <m:r>
          <m:rPr>
            <m:sty m:val="bi"/>
          </m:rPr>
          <w:rPr>
            <w:rFonts w:ascii="Cambria Math" w:hAnsi="Cambria Math"/>
            <w:lang w:val="en-US"/>
          </w:rPr>
          <m:t>Deman</m:t>
        </m:r>
        <m:sSub>
          <m:sSubPr>
            <m:ctrlPr>
              <w:rPr>
                <w:rFonts w:ascii="Cambria Math" w:hAnsi="Cambria Math"/>
                <w:i/>
                <w:lang w:val="en-US"/>
              </w:rPr>
            </m:ctrlPr>
          </m:sSubPr>
          <m:e>
            <m:r>
              <m:rPr>
                <m:sty m:val="bi"/>
              </m:rPr>
              <w:rPr>
                <w:rFonts w:ascii="Cambria Math" w:hAnsi="Cambria Math"/>
                <w:lang w:val="en-US"/>
              </w:rPr>
              <m:t>d</m:t>
            </m:r>
          </m:e>
          <m:sub>
            <m:r>
              <m:rPr>
                <m:sty m:val="bi"/>
              </m:rPr>
              <w:rPr>
                <w:rFonts w:ascii="Cambria Math" w:hAnsi="Cambria Math"/>
                <w:lang w:val="en-US"/>
              </w:rPr>
              <m:t>G</m:t>
            </m:r>
          </m:sub>
        </m:sSub>
      </m:oMath>
      <w:r w:rsidRPr="00647E25">
        <w:rPr>
          <w:lang w:val="en-US"/>
        </w:rPr>
        <w:t xml:space="preserve"> is the maximum demand at the Grid Supply Point (or group of normally interconnected Grid Supply Points) G as s</w:t>
      </w:r>
      <w:proofErr w:type="spellStart"/>
      <w:r w:rsidRPr="00647E25">
        <w:rPr>
          <w:lang w:val="en-US"/>
        </w:rPr>
        <w:t>ubmitted</w:t>
      </w:r>
      <w:proofErr w:type="spellEnd"/>
      <w:r w:rsidRPr="00647E25">
        <w:rPr>
          <w:lang w:val="en-US"/>
        </w:rPr>
        <w:t xml:space="preserve"> by the DNO Party for inclusion in the National Electricity Transmission System Operator’s Seven Year Statement.</w:t>
      </w:r>
    </w:p>
    <w:p w14:paraId="3F2FA7CB" w14:textId="77777777" w:rsidR="0041584B" w:rsidRDefault="0041584B" w:rsidP="0041584B">
      <w:pPr>
        <w:ind w:left="720"/>
        <w:rPr>
          <w:lang w:val="en-US"/>
        </w:rPr>
      </w:pPr>
      <m:oMath>
        <m:r>
          <m:rPr>
            <m:sty m:val="bi"/>
          </m:rPr>
          <w:rPr>
            <w:rFonts w:ascii="Cambria Math" w:hAnsi="Cambria Math"/>
            <w:lang w:val="en-US"/>
          </w:rPr>
          <m:t>Minimum</m:t>
        </m:r>
        <m:r>
          <w:rPr>
            <w:rFonts w:ascii="Cambria Math" w:hAnsi="Cambria Math"/>
            <w:lang w:val="en-US"/>
          </w:rPr>
          <m:t xml:space="preserve"> </m:t>
        </m:r>
        <m:r>
          <m:rPr>
            <m:sty m:val="bi"/>
          </m:rPr>
          <w:rPr>
            <w:rFonts w:ascii="Cambria Math" w:hAnsi="Cambria Math"/>
            <w:lang w:val="en-US"/>
          </w:rPr>
          <m:t>GSP</m:t>
        </m:r>
        <m:r>
          <w:rPr>
            <w:rFonts w:ascii="Cambria Math" w:hAnsi="Cambria Math"/>
            <w:lang w:val="en-US"/>
          </w:rPr>
          <m:t xml:space="preserve"> </m:t>
        </m:r>
        <m:r>
          <m:rPr>
            <m:sty m:val="bi"/>
          </m:rPr>
          <w:rPr>
            <w:rFonts w:ascii="Cambria Math" w:hAnsi="Cambria Math"/>
            <w:lang w:val="en-US"/>
          </w:rPr>
          <m:t>Deman</m:t>
        </m:r>
        <m:sSub>
          <m:sSubPr>
            <m:ctrlPr>
              <w:rPr>
                <w:rFonts w:ascii="Cambria Math" w:hAnsi="Cambria Math"/>
                <w:i/>
                <w:lang w:val="en-US"/>
              </w:rPr>
            </m:ctrlPr>
          </m:sSubPr>
          <m:e>
            <m:r>
              <m:rPr>
                <m:sty m:val="bi"/>
              </m:rPr>
              <w:rPr>
                <w:rFonts w:ascii="Cambria Math" w:hAnsi="Cambria Math"/>
                <w:lang w:val="en-US"/>
              </w:rPr>
              <m:t>d</m:t>
            </m:r>
          </m:e>
          <m:sub>
            <m:r>
              <m:rPr>
                <m:sty m:val="bi"/>
              </m:rPr>
              <w:rPr>
                <w:rFonts w:ascii="Cambria Math" w:hAnsi="Cambria Math"/>
                <w:lang w:val="en-US"/>
              </w:rPr>
              <m:t>G</m:t>
            </m:r>
          </m:sub>
        </m:sSub>
      </m:oMath>
      <w:r w:rsidRPr="00647E25">
        <w:rPr>
          <w:lang w:val="en-US"/>
        </w:rPr>
        <w:t>is the minimum demand at the Grid Supply Point (or group of normally interconnected Grid Supply Poi</w:t>
      </w:r>
      <w:proofErr w:type="spellStart"/>
      <w:r w:rsidRPr="00647E25">
        <w:rPr>
          <w:lang w:val="en-US"/>
        </w:rPr>
        <w:t>nts</w:t>
      </w:r>
      <w:proofErr w:type="spellEnd"/>
      <w:r w:rsidRPr="00647E25">
        <w:rPr>
          <w:lang w:val="en-US"/>
        </w:rPr>
        <w:t xml:space="preserve">) G validated and cleansed with the same criteria as that used for the </w:t>
      </w:r>
      <m:oMath>
        <m:r>
          <m:rPr>
            <m:sty m:val="bi"/>
          </m:rPr>
          <w:rPr>
            <w:rFonts w:ascii="Cambria Math" w:hAnsi="Cambria Math"/>
            <w:lang w:val="en-US"/>
          </w:rPr>
          <m:t>Maximum</m:t>
        </m:r>
        <m:r>
          <w:rPr>
            <w:rFonts w:ascii="Cambria Math" w:hAnsi="Cambria Math"/>
            <w:lang w:val="en-US"/>
          </w:rPr>
          <m:t xml:space="preserve"> </m:t>
        </m:r>
        <m:r>
          <m:rPr>
            <m:sty m:val="bi"/>
          </m:rPr>
          <w:rPr>
            <w:rFonts w:ascii="Cambria Math" w:hAnsi="Cambria Math"/>
            <w:lang w:val="en-US"/>
          </w:rPr>
          <m:t>GSP</m:t>
        </m:r>
        <m:r>
          <w:rPr>
            <w:rFonts w:ascii="Cambria Math" w:hAnsi="Cambria Math"/>
            <w:lang w:val="en-US"/>
          </w:rPr>
          <m:t xml:space="preserve"> </m:t>
        </m:r>
        <m:r>
          <m:rPr>
            <m:sty m:val="bi"/>
          </m:rPr>
          <w:rPr>
            <w:rFonts w:ascii="Cambria Math" w:hAnsi="Cambria Math"/>
            <w:lang w:val="en-US"/>
          </w:rPr>
          <m:t>Deman</m:t>
        </m:r>
        <m:sSub>
          <m:sSubPr>
            <m:ctrlPr>
              <w:rPr>
                <w:rFonts w:ascii="Cambria Math" w:hAnsi="Cambria Math"/>
                <w:i/>
                <w:lang w:val="en-US"/>
              </w:rPr>
            </m:ctrlPr>
          </m:sSubPr>
          <m:e>
            <m:r>
              <m:rPr>
                <m:sty m:val="bi"/>
              </m:rPr>
              <w:rPr>
                <w:rFonts w:ascii="Cambria Math" w:hAnsi="Cambria Math"/>
                <w:lang w:val="en-US"/>
              </w:rPr>
              <m:t>d</m:t>
            </m:r>
          </m:e>
          <m:sub>
            <m:r>
              <m:rPr>
                <m:sty m:val="bi"/>
              </m:rPr>
              <w:rPr>
                <w:rFonts w:ascii="Cambria Math" w:hAnsi="Cambria Math"/>
                <w:lang w:val="en-US"/>
              </w:rPr>
              <m:t>G</m:t>
            </m:r>
          </m:sub>
        </m:sSub>
      </m:oMath>
      <w:r w:rsidRPr="00647E25">
        <w:rPr>
          <w:lang w:val="en-US"/>
        </w:rPr>
        <w:t xml:space="preserve">.  </w:t>
      </w:r>
      <w:r>
        <w:rPr>
          <w:lang w:val="en-US"/>
        </w:rPr>
        <w:br w:type="page"/>
      </w:r>
    </w:p>
    <w:p w14:paraId="2244E6D9" w14:textId="77777777" w:rsidR="0041584B" w:rsidRPr="00A74D0F" w:rsidRDefault="0041584B" w:rsidP="0041584B">
      <w:pPr>
        <w:pStyle w:val="Heading1"/>
      </w:pPr>
      <w:bookmarkStart w:id="538" w:name="_Ref249052668"/>
      <w:bookmarkStart w:id="539" w:name="_Toc268553682"/>
      <w:bookmarkStart w:id="540" w:name="_Ref269306448"/>
      <w:bookmarkStart w:id="541" w:name="_Toc269379871"/>
      <w:bookmarkStart w:id="542" w:name="_Toc269720520"/>
      <w:bookmarkStart w:id="543" w:name="_Toc269721217"/>
      <w:bookmarkStart w:id="544" w:name="_Toc320876098"/>
      <w:bookmarkStart w:id="545" w:name="_Toc320876721"/>
      <w:bookmarkStart w:id="546" w:name="_Toc325449935"/>
      <w:bookmarkStart w:id="547" w:name="_Toc339284579"/>
      <w:bookmarkStart w:id="548" w:name="_Toc360027755"/>
      <w:bookmarkStart w:id="549" w:name="_Toc360028109"/>
      <w:bookmarkStart w:id="550" w:name="_Toc391559968"/>
      <w:bookmarkStart w:id="551" w:name="_Toc510303088"/>
      <w:bookmarkStart w:id="552" w:name="_Toc513018502"/>
      <w:bookmarkStart w:id="553" w:name="_Toc518333687"/>
      <w:bookmarkStart w:id="554" w:name="_Toc527908543"/>
      <w:r w:rsidRPr="00A74D0F">
        <w:lastRenderedPageBreak/>
        <w:t>Power flow analysis process</w:t>
      </w:r>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p>
    <w:p w14:paraId="4858CCFA" w14:textId="77777777" w:rsidR="0041584B" w:rsidRPr="00A74D0F" w:rsidRDefault="0041584B" w:rsidP="0041584B">
      <w:pPr>
        <w:pStyle w:val="Heading2"/>
      </w:pPr>
      <w:r w:rsidRPr="00A74D0F">
        <w:t xml:space="preserve">This section </w:t>
      </w:r>
      <w:r>
        <w:fldChar w:fldCharType="begin"/>
      </w:r>
      <w:r>
        <w:instrText xml:space="preserve"> REF _Ref249052668 \w \h  \* MERGEFORMAT </w:instrText>
      </w:r>
      <w:r>
        <w:fldChar w:fldCharType="separate"/>
      </w:r>
      <w:r>
        <w:t>6</w:t>
      </w:r>
      <w:r>
        <w:fldChar w:fldCharType="end"/>
      </w:r>
      <w:r w:rsidRPr="00A74D0F">
        <w:t xml:space="preserve"> describes the power flow analysis undertaken for pricing purposes. The purpose of the load flow analysis is to determine the utilisation of the network under Normal Running Arrangement (Base Case Analysis) and N-1 Contingency condition (Contingency Analysis). Furthermore, this analysis assesses the effect of the change in the utilisation of the network caused by a change in demand (load and/or generation) at each Node. The Power Flow Analysis constitutes four main processes namely: </w:t>
      </w:r>
    </w:p>
    <w:p w14:paraId="11BC6ADD" w14:textId="77777777" w:rsidR="0041584B" w:rsidRPr="00A74D0F" w:rsidRDefault="0041584B" w:rsidP="0041584B">
      <w:pPr>
        <w:pStyle w:val="Heading5"/>
        <w:ind w:left="1418"/>
      </w:pPr>
      <w:r w:rsidRPr="00A74D0F">
        <w:t>Base Case Analysis;</w:t>
      </w:r>
    </w:p>
    <w:p w14:paraId="045C642D" w14:textId="77777777" w:rsidR="0041584B" w:rsidRPr="00A74D0F" w:rsidRDefault="0041584B" w:rsidP="0041584B">
      <w:pPr>
        <w:pStyle w:val="Heading5"/>
        <w:ind w:left="1418"/>
      </w:pPr>
      <w:r w:rsidRPr="00A74D0F">
        <w:t>Contingency Analysis;</w:t>
      </w:r>
    </w:p>
    <w:p w14:paraId="677BB530" w14:textId="77777777" w:rsidR="0041584B" w:rsidRPr="00A74D0F" w:rsidRDefault="0041584B" w:rsidP="0041584B">
      <w:pPr>
        <w:pStyle w:val="Heading5"/>
        <w:ind w:left="1418"/>
      </w:pPr>
      <w:r w:rsidRPr="00A74D0F">
        <w:t>Security Factor calculation; and</w:t>
      </w:r>
      <w:bookmarkStart w:id="555" w:name="_Ref250550102"/>
    </w:p>
    <w:p w14:paraId="0FE2DE0A" w14:textId="77777777" w:rsidR="0041584B" w:rsidRDefault="0041584B" w:rsidP="0041584B">
      <w:pPr>
        <w:pStyle w:val="Heading5"/>
        <w:ind w:left="1418"/>
      </w:pPr>
      <w:r w:rsidRPr="00A74D0F">
        <w:t>Incremented Flow analysis.</w:t>
      </w:r>
      <w:bookmarkEnd w:id="555"/>
    </w:p>
    <w:p w14:paraId="0D6CD2D1" w14:textId="77777777" w:rsidR="0041584B" w:rsidRPr="00A74D0F" w:rsidRDefault="0041584B" w:rsidP="0041584B">
      <w:pPr>
        <w:pStyle w:val="Heading2"/>
      </w:pPr>
      <w:r w:rsidRPr="00A74D0F">
        <w:t>The processes are performed separately for the two different demand scenarios.  The main difference between the two scenarios is the Network Demand Data that is used, although the Branch Rating may also be different. One demand scenario uses Maximum Demand Data and the other uses Minimum Demand Data with appropriate Branch Rating data.  These processes and their main inputs and outputs are shown diagrammatically in Figure 5.</w:t>
      </w:r>
    </w:p>
    <w:p w14:paraId="22E063B6" w14:textId="77777777" w:rsidR="0041584B" w:rsidRPr="00C70D7F" w:rsidRDefault="0041584B" w:rsidP="0041584B">
      <w:pPr>
        <w:pStyle w:val="Caption"/>
        <w:keepNext/>
        <w:keepLines/>
      </w:pPr>
      <w:bookmarkStart w:id="556" w:name="_Toc255160520"/>
      <w:r w:rsidRPr="00C70D7F">
        <w:lastRenderedPageBreak/>
        <w:t xml:space="preserve">Figure </w:t>
      </w:r>
      <w:r>
        <w:t>5</w:t>
      </w:r>
      <w:r w:rsidRPr="00C70D7F">
        <w:t xml:space="preserve"> - Flowchart of the LRIC pricing model.</w:t>
      </w:r>
      <w:bookmarkEnd w:id="556"/>
    </w:p>
    <w:p w14:paraId="155DF10C" w14:textId="77777777" w:rsidR="0041584B" w:rsidRDefault="0041584B" w:rsidP="0041584B">
      <w:pPr>
        <w:pStyle w:val="DCSubHeading2Level2"/>
        <w:keepLines/>
        <w:ind w:left="0"/>
      </w:pPr>
      <w:r w:rsidRPr="00647E25">
        <w:rPr>
          <w:rFonts w:ascii="Times New Roman" w:eastAsia="Times New Roman" w:hAnsi="Times New Roman" w:cs="Times New Roman"/>
          <w:noProof/>
          <w:szCs w:val="24"/>
          <w:lang w:eastAsia="en-GB"/>
        </w:rPr>
        <w:drawing>
          <wp:inline distT="0" distB="0" distL="0" distR="0" wp14:anchorId="12E95660" wp14:editId="1CA36523">
            <wp:extent cx="5731510" cy="706706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5731510" cy="7067065"/>
                    </a:xfrm>
                    <a:prstGeom prst="rect">
                      <a:avLst/>
                    </a:prstGeom>
                    <a:noFill/>
                    <a:ln>
                      <a:noFill/>
                    </a:ln>
                  </pic:spPr>
                </pic:pic>
              </a:graphicData>
            </a:graphic>
          </wp:inline>
        </w:drawing>
      </w:r>
    </w:p>
    <w:p w14:paraId="4FF5081D" w14:textId="77777777" w:rsidR="0041584B" w:rsidRDefault="0041584B" w:rsidP="0041584B">
      <w:pPr>
        <w:pStyle w:val="DCSubHeading2Level2"/>
        <w:keepLines/>
        <w:ind w:left="0"/>
      </w:pPr>
      <w:r>
        <w:br w:type="page"/>
      </w:r>
    </w:p>
    <w:p w14:paraId="06452791" w14:textId="77777777" w:rsidR="0041584B" w:rsidRPr="00A74D0F" w:rsidRDefault="0041584B" w:rsidP="0041584B">
      <w:pPr>
        <w:pStyle w:val="DCSubHeading1Level2"/>
      </w:pPr>
      <w:bookmarkStart w:id="557" w:name="_Ref244610899"/>
      <w:bookmarkStart w:id="558" w:name="_Ref244610951"/>
      <w:bookmarkStart w:id="559" w:name="_Toc244619528"/>
      <w:bookmarkStart w:id="560" w:name="_Toc244667064"/>
      <w:bookmarkStart w:id="561" w:name="_Toc244667530"/>
      <w:bookmarkStart w:id="562" w:name="_Toc246843692"/>
      <w:bookmarkStart w:id="563" w:name="_Toc268553683"/>
      <w:bookmarkStart w:id="564" w:name="_Toc269379872"/>
      <w:bookmarkStart w:id="565" w:name="_Toc269720521"/>
      <w:bookmarkStart w:id="566" w:name="_Toc269721218"/>
      <w:r w:rsidRPr="00A74D0F">
        <w:lastRenderedPageBreak/>
        <w:t>Base Case Analysis</w:t>
      </w:r>
      <w:bookmarkEnd w:id="557"/>
      <w:bookmarkEnd w:id="558"/>
      <w:bookmarkEnd w:id="559"/>
      <w:bookmarkEnd w:id="560"/>
      <w:bookmarkEnd w:id="561"/>
      <w:bookmarkEnd w:id="562"/>
      <w:bookmarkEnd w:id="563"/>
      <w:bookmarkEnd w:id="564"/>
      <w:bookmarkEnd w:id="565"/>
      <w:bookmarkEnd w:id="566"/>
    </w:p>
    <w:p w14:paraId="260B8FCA" w14:textId="77777777" w:rsidR="0041584B" w:rsidRPr="00A74D0F" w:rsidRDefault="0041584B" w:rsidP="0041584B">
      <w:pPr>
        <w:pStyle w:val="Heading2"/>
      </w:pPr>
      <w:r w:rsidRPr="00A74D0F">
        <w:t>The Base Case Analysis is required to determine the utilisation of the network under Normal Running Arrangements. The main inputs to the Base Case Analysis are the Authorised Network Model and Network Demand Data. The output of the Base Case Analysis is the Base Case Flow in each Branch of the Authorised Network Model.  The steps in this Base Case Analysis are:</w:t>
      </w:r>
    </w:p>
    <w:p w14:paraId="2497EF02" w14:textId="77777777" w:rsidR="0041584B" w:rsidRPr="00A74D0F" w:rsidRDefault="0041584B" w:rsidP="0041584B">
      <w:pPr>
        <w:pStyle w:val="Heading5"/>
        <w:ind w:left="1418"/>
        <w:jc w:val="both"/>
      </w:pPr>
      <w:r w:rsidRPr="00A74D0F">
        <w:t>Step 1 - the Authorised Network Model is populated with the relevant Network Demand Data for the scenario (i.e. Maximum Demand Data or Minimum Demand Data); and</w:t>
      </w:r>
    </w:p>
    <w:p w14:paraId="73B8E329" w14:textId="77777777" w:rsidR="0041584B" w:rsidRPr="00A74D0F" w:rsidRDefault="0041584B" w:rsidP="0041584B">
      <w:pPr>
        <w:pStyle w:val="Heading5"/>
        <w:ind w:left="1418"/>
        <w:jc w:val="both"/>
      </w:pPr>
      <w:r w:rsidRPr="00A74D0F">
        <w:t>Step 2 - the Authorised Network Model is analysed under Normal Running Arrangements to determine the power flows across each of the network Branches and the results are referred to as Base Case Flows.</w:t>
      </w:r>
    </w:p>
    <w:p w14:paraId="16EF8805" w14:textId="77777777" w:rsidR="0041584B" w:rsidRPr="00A74D0F" w:rsidRDefault="0041584B" w:rsidP="0041584B">
      <w:pPr>
        <w:pStyle w:val="DCSubHeading1Level2"/>
      </w:pPr>
      <w:bookmarkStart w:id="567" w:name="_Ref247791546"/>
      <w:bookmarkStart w:id="568" w:name="_Toc268553684"/>
      <w:bookmarkStart w:id="569" w:name="_Toc269379873"/>
      <w:bookmarkStart w:id="570" w:name="_Toc269720522"/>
      <w:bookmarkStart w:id="571" w:name="_Toc269721219"/>
      <w:r w:rsidRPr="00A74D0F">
        <w:t>Contingency Analysis</w:t>
      </w:r>
      <w:bookmarkEnd w:id="567"/>
      <w:bookmarkEnd w:id="568"/>
      <w:bookmarkEnd w:id="569"/>
      <w:bookmarkEnd w:id="570"/>
      <w:bookmarkEnd w:id="571"/>
    </w:p>
    <w:p w14:paraId="7E41DF7C" w14:textId="77777777" w:rsidR="0041584B" w:rsidRPr="00A74D0F" w:rsidRDefault="0041584B" w:rsidP="0041584B">
      <w:pPr>
        <w:pStyle w:val="Heading2"/>
      </w:pPr>
      <w:r w:rsidRPr="00A74D0F">
        <w:t>Contingency Analysis is required to determine the utilisation of the network where the network assets provide security of supply under N-1 Contingencies, as defined by ER P2/6. This analysis evaluates the change in utilisation of network assets from Base Case Analysis.</w:t>
      </w:r>
    </w:p>
    <w:p w14:paraId="402796AD" w14:textId="77777777" w:rsidR="0041584B" w:rsidRPr="00A74D0F" w:rsidRDefault="0041584B" w:rsidP="0041584B">
      <w:pPr>
        <w:pStyle w:val="Heading2"/>
      </w:pPr>
      <w:r w:rsidRPr="00A74D0F">
        <w:t>The main inputs to the Contingency Analysis are the Authorised Network Model, the Network Demand Data and the N-1 Contingencies. Each N-1 Contingency will include the N</w:t>
      </w:r>
      <w:r w:rsidRPr="00A74D0F">
        <w:noBreakHyphen/>
        <w:t>1 Event and the consequential network actions required to meet the security of supply requirements of ER P2/6. For example, where appropriate, it may include constraints in distributed generation output, automatic switching schemes, manual switching and customer demand reductions. The output of the Contingency Analysis is the Maximum Contingency Flow in each Branch of the Authorised Network Model. The steps in this Contingency analysis are:</w:t>
      </w:r>
    </w:p>
    <w:p w14:paraId="49CC43CA" w14:textId="77777777" w:rsidR="0041584B" w:rsidRPr="00A74D0F" w:rsidRDefault="0041584B" w:rsidP="0041584B">
      <w:pPr>
        <w:pStyle w:val="Heading5"/>
        <w:ind w:left="1418"/>
        <w:jc w:val="both"/>
      </w:pPr>
      <w:r w:rsidRPr="00A74D0F">
        <w:lastRenderedPageBreak/>
        <w:t>Step 1 - the Authorised Network Model is populated with the relevant Network Demand Data for the scenario (i.e. Maximum Demand Data or Minimum Demand Data);</w:t>
      </w:r>
    </w:p>
    <w:p w14:paraId="3C516729" w14:textId="77777777" w:rsidR="0041584B" w:rsidRPr="00A74D0F" w:rsidRDefault="0041584B" w:rsidP="0041584B">
      <w:pPr>
        <w:pStyle w:val="Heading5"/>
        <w:ind w:left="1418"/>
        <w:jc w:val="both"/>
      </w:pPr>
      <w:r w:rsidRPr="00A74D0F">
        <w:t>Step 2 - each N-1 Contingency is applied to the populated Authorised Network Model in turn and the resultant network is analysed to determine the power flows across each of the network Branches and the results are referred to as Contingency Flows; and</w:t>
      </w:r>
    </w:p>
    <w:p w14:paraId="19EF7460" w14:textId="77777777" w:rsidR="0041584B" w:rsidRPr="00A74D0F" w:rsidRDefault="0041584B" w:rsidP="0041584B">
      <w:pPr>
        <w:pStyle w:val="Heading5"/>
        <w:ind w:left="1418"/>
        <w:jc w:val="both"/>
      </w:pPr>
      <w:r w:rsidRPr="00A74D0F">
        <w:t xml:space="preserve">Step 3 - when Step 2 has been completed for all N-1 Contingencies in both network demand scenarios the maximum flow in each Branch across all the N-1 Contingency </w:t>
      </w:r>
      <w:proofErr w:type="gramStart"/>
      <w:r w:rsidRPr="00A74D0F">
        <w:t>analyses</w:t>
      </w:r>
      <w:proofErr w:type="gramEnd"/>
      <w:r w:rsidRPr="00A74D0F">
        <w:t xml:space="preserve"> is determined and the results are referred to as Maximum Contingency Flows.</w:t>
      </w:r>
    </w:p>
    <w:p w14:paraId="1250509C" w14:textId="77777777" w:rsidR="0041584B" w:rsidRPr="00A74D0F" w:rsidRDefault="0041584B" w:rsidP="0041584B">
      <w:pPr>
        <w:pStyle w:val="DCSubHeading1Level2"/>
      </w:pPr>
      <w:bookmarkStart w:id="572" w:name="_Ref247786973"/>
      <w:bookmarkStart w:id="573" w:name="_Toc268553685"/>
      <w:bookmarkStart w:id="574" w:name="_Toc269379874"/>
      <w:bookmarkStart w:id="575" w:name="_Toc269720523"/>
      <w:bookmarkStart w:id="576" w:name="_Toc269721220"/>
      <w:bookmarkStart w:id="577" w:name="SecurityFactorCalculation"/>
      <w:r w:rsidRPr="00A74D0F">
        <w:t>Security Factor Calculation</w:t>
      </w:r>
      <w:bookmarkEnd w:id="572"/>
      <w:bookmarkEnd w:id="573"/>
      <w:bookmarkEnd w:id="574"/>
      <w:bookmarkEnd w:id="575"/>
      <w:bookmarkEnd w:id="576"/>
      <w:bookmarkEnd w:id="577"/>
    </w:p>
    <w:p w14:paraId="2E3119F5" w14:textId="77777777" w:rsidR="0041584B" w:rsidRPr="00A74D0F" w:rsidRDefault="0041584B" w:rsidP="0041584B">
      <w:pPr>
        <w:pStyle w:val="Heading2"/>
      </w:pPr>
      <w:bookmarkStart w:id="578" w:name="_Ref277946965"/>
      <w:r w:rsidRPr="00A74D0F">
        <w:t xml:space="preserve">Security Factors represent the change in utilisation of a Branch between Normal Running Arrangements and </w:t>
      </w:r>
      <w:proofErr w:type="gramStart"/>
      <w:r w:rsidRPr="00A74D0F">
        <w:t>worst case</w:t>
      </w:r>
      <w:proofErr w:type="gramEnd"/>
      <w:r w:rsidRPr="00A74D0F">
        <w:t xml:space="preserve"> N-1 Contingency conditions.</w:t>
      </w:r>
      <w:bookmarkEnd w:id="578"/>
      <w:r w:rsidRPr="00A74D0F">
        <w:t xml:space="preserve">  </w:t>
      </w:r>
    </w:p>
    <w:p w14:paraId="2CBDA911" w14:textId="77777777" w:rsidR="0041584B" w:rsidRDefault="0041584B" w:rsidP="0041584B">
      <w:pPr>
        <w:pStyle w:val="Heading2"/>
      </w:pPr>
      <w:r w:rsidRPr="00A74D0F">
        <w:t xml:space="preserve">The main inputs to the Security Factor Calculation are the Base Case Flows and the Maximum Contingency Flows.  The output of the Security Factor Calculation is a Security Factor for each Branch of the Authorised Network Model for each scenario (the Maximum Demand Scenario and the Minimum Demand Scenario). </w:t>
      </w:r>
    </w:p>
    <w:p w14:paraId="030BBB95" w14:textId="77777777" w:rsidR="0041584B" w:rsidRPr="0008589B" w:rsidRDefault="0041584B" w:rsidP="0041584B">
      <w:pPr>
        <w:pStyle w:val="Heading2"/>
      </w:pPr>
      <w:r w:rsidRPr="0008589B">
        <w:t>A Security Factor for each Branch under each scenario (the Maximum Demand Scenario and the Minimum Demand Scenario) is calculated as:</w:t>
      </w:r>
    </w:p>
    <w:p w14:paraId="742804C3" w14:textId="77777777" w:rsidR="0041584B" w:rsidRPr="00AC6C11" w:rsidRDefault="0041584B" w:rsidP="0041584B">
      <w:pPr>
        <w:jc w:val="center"/>
        <w:rPr>
          <w:rFonts w:eastAsiaTheme="minorEastAsia"/>
        </w:rPr>
      </w:pPr>
      <m:oMathPara>
        <m:oMath>
          <m:r>
            <w:rPr>
              <w:rFonts w:ascii="Cambria Math" w:hAnsi="Cambria Math"/>
            </w:rPr>
            <m:t>Security Facto</m:t>
          </m:r>
          <m:sSub>
            <m:sSubPr>
              <m:ctrlPr>
                <w:rPr>
                  <w:rFonts w:ascii="Cambria Math" w:hAnsi="Cambria Math"/>
                  <w:i/>
                </w:rPr>
              </m:ctrlPr>
            </m:sSubPr>
            <m:e>
              <m:r>
                <w:rPr>
                  <w:rFonts w:ascii="Cambria Math" w:hAnsi="Cambria Math"/>
                </w:rPr>
                <m:t>r</m:t>
              </m:r>
            </m:e>
            <m:sub>
              <m:r>
                <w:rPr>
                  <w:rFonts w:ascii="Cambria Math" w:hAnsi="Cambria Math"/>
                </w:rPr>
                <m:t>b</m:t>
              </m:r>
            </m:sub>
          </m:sSub>
          <m:r>
            <w:rPr>
              <w:rFonts w:ascii="Cambria Math" w:hAnsi="Cambria Math"/>
            </w:rPr>
            <m:t>=</m:t>
          </m:r>
          <m:f>
            <m:fPr>
              <m:ctrlPr>
                <w:rPr>
                  <w:rFonts w:ascii="Cambria Math" w:hAnsi="Cambria Math"/>
                  <w:i/>
                </w:rPr>
              </m:ctrlPr>
            </m:fPr>
            <m:num>
              <m:r>
                <w:rPr>
                  <w:rFonts w:ascii="Cambria Math" w:hAnsi="Cambria Math"/>
                </w:rPr>
                <m:t>Maximum Contingency Flo</m:t>
              </m:r>
              <m:sSub>
                <m:sSubPr>
                  <m:ctrlPr>
                    <w:rPr>
                      <w:rFonts w:ascii="Cambria Math" w:hAnsi="Cambria Math"/>
                      <w:i/>
                    </w:rPr>
                  </m:ctrlPr>
                </m:sSubPr>
                <m:e>
                  <m:r>
                    <w:rPr>
                      <w:rFonts w:ascii="Cambria Math" w:hAnsi="Cambria Math"/>
                    </w:rPr>
                    <m:t>w</m:t>
                  </m:r>
                </m:e>
                <m:sub>
                  <m:r>
                    <w:rPr>
                      <w:rFonts w:ascii="Cambria Math" w:hAnsi="Cambria Math"/>
                    </w:rPr>
                    <m:t>b</m:t>
                  </m:r>
                </m:sub>
              </m:sSub>
            </m:num>
            <m:den>
              <m:r>
                <w:rPr>
                  <w:rFonts w:ascii="Cambria Math" w:hAnsi="Cambria Math"/>
                </w:rPr>
                <m:t>Base Case Flo</m:t>
              </m:r>
              <m:sSub>
                <m:sSubPr>
                  <m:ctrlPr>
                    <w:rPr>
                      <w:rFonts w:ascii="Cambria Math" w:hAnsi="Cambria Math"/>
                      <w:i/>
                    </w:rPr>
                  </m:ctrlPr>
                </m:sSubPr>
                <m:e>
                  <m:r>
                    <w:rPr>
                      <w:rFonts w:ascii="Cambria Math" w:hAnsi="Cambria Math"/>
                    </w:rPr>
                    <m:t>w</m:t>
                  </m:r>
                </m:e>
                <m:sub>
                  <m:r>
                    <w:rPr>
                      <w:rFonts w:ascii="Cambria Math" w:hAnsi="Cambria Math"/>
                    </w:rPr>
                    <m:t>b</m:t>
                  </m:r>
                </m:sub>
              </m:sSub>
            </m:den>
          </m:f>
        </m:oMath>
      </m:oMathPara>
    </w:p>
    <w:p w14:paraId="3E4BB18A" w14:textId="77777777" w:rsidR="0041584B" w:rsidRPr="005B01B4" w:rsidRDefault="0041584B" w:rsidP="0041584B">
      <w:pPr>
        <w:ind w:left="720"/>
        <w:rPr>
          <w:lang w:val="en-US"/>
        </w:rPr>
      </w:pPr>
      <w:r w:rsidRPr="005B01B4">
        <w:rPr>
          <w:lang w:val="en-US"/>
        </w:rPr>
        <w:t xml:space="preserve">Where: </w:t>
      </w:r>
    </w:p>
    <w:p w14:paraId="78E6DFE9" w14:textId="77777777" w:rsidR="0041584B" w:rsidRPr="005B01B4" w:rsidRDefault="0041584B" w:rsidP="0041584B">
      <w:pPr>
        <w:ind w:left="720"/>
        <w:rPr>
          <w:lang w:val="en-US"/>
        </w:rPr>
      </w:pPr>
      <m:oMath>
        <m:r>
          <m:rPr>
            <m:sty m:val="bi"/>
          </m:rPr>
          <w:rPr>
            <w:rFonts w:ascii="Cambria Math" w:hAnsi="Cambria Math"/>
            <w:lang w:val="en-US"/>
          </w:rPr>
          <m:t>Security</m:t>
        </m:r>
        <m:r>
          <w:rPr>
            <w:rFonts w:ascii="Cambria Math" w:hAnsi="Cambria Math"/>
            <w:lang w:val="en-US"/>
          </w:rPr>
          <m:t xml:space="preserve"> </m:t>
        </m:r>
        <m:r>
          <m:rPr>
            <m:sty m:val="bi"/>
          </m:rPr>
          <w:rPr>
            <w:rFonts w:ascii="Cambria Math" w:hAnsi="Cambria Math"/>
            <w:lang w:val="en-US"/>
          </w:rPr>
          <m:t>Facto</m:t>
        </m:r>
        <m:sSub>
          <m:sSubPr>
            <m:ctrlPr>
              <w:rPr>
                <w:rFonts w:ascii="Cambria Math" w:hAnsi="Cambria Math"/>
                <w:i/>
                <w:lang w:val="en-US"/>
              </w:rPr>
            </m:ctrlPr>
          </m:sSubPr>
          <m:e>
            <m:r>
              <m:rPr>
                <m:sty m:val="bi"/>
              </m:rPr>
              <w:rPr>
                <w:rFonts w:ascii="Cambria Math" w:hAnsi="Cambria Math"/>
                <w:lang w:val="en-US"/>
              </w:rPr>
              <m:t>r</m:t>
            </m:r>
          </m:e>
          <m:sub>
            <m:r>
              <m:rPr>
                <m:sty m:val="bi"/>
              </m:rPr>
              <w:rPr>
                <w:rFonts w:ascii="Cambria Math" w:hAnsi="Cambria Math"/>
                <w:lang w:val="en-US"/>
              </w:rPr>
              <m:t>b</m:t>
            </m:r>
          </m:sub>
        </m:sSub>
      </m:oMath>
      <w:r w:rsidRPr="005B01B4">
        <w:rPr>
          <w:lang w:val="en-US"/>
        </w:rPr>
        <w:t xml:space="preserve"> is the Security Factor for Branch b.</w:t>
      </w:r>
    </w:p>
    <w:p w14:paraId="4C28D33F" w14:textId="77777777" w:rsidR="0041584B" w:rsidRPr="005B01B4" w:rsidRDefault="0041584B" w:rsidP="0041584B">
      <w:pPr>
        <w:ind w:left="720"/>
        <w:rPr>
          <w:lang w:val="en-US"/>
        </w:rPr>
      </w:pPr>
      <m:oMath>
        <m:r>
          <m:rPr>
            <m:sty m:val="bi"/>
          </m:rPr>
          <w:rPr>
            <w:rFonts w:ascii="Cambria Math" w:hAnsi="Cambria Math"/>
            <w:lang w:val="en-US"/>
          </w:rPr>
          <m:t>Maximum</m:t>
        </m:r>
        <m:r>
          <w:rPr>
            <w:rFonts w:ascii="Cambria Math" w:hAnsi="Cambria Math"/>
            <w:lang w:val="en-US"/>
          </w:rPr>
          <m:t xml:space="preserve"> </m:t>
        </m:r>
        <m:r>
          <m:rPr>
            <m:sty m:val="bi"/>
          </m:rPr>
          <w:rPr>
            <w:rFonts w:ascii="Cambria Math" w:hAnsi="Cambria Math"/>
            <w:lang w:val="en-US"/>
          </w:rPr>
          <m:t>Contingency</m:t>
        </m:r>
        <m:r>
          <w:rPr>
            <w:rFonts w:ascii="Cambria Math" w:hAnsi="Cambria Math"/>
            <w:lang w:val="en-US"/>
          </w:rPr>
          <m:t xml:space="preserve"> </m:t>
        </m:r>
        <m:r>
          <m:rPr>
            <m:sty m:val="bi"/>
          </m:rPr>
          <w:rPr>
            <w:rFonts w:ascii="Cambria Math" w:hAnsi="Cambria Math"/>
            <w:lang w:val="en-US"/>
          </w:rPr>
          <m:t>Flo</m:t>
        </m:r>
        <m:sSub>
          <m:sSubPr>
            <m:ctrlPr>
              <w:rPr>
                <w:rFonts w:ascii="Cambria Math" w:hAnsi="Cambria Math"/>
                <w:i/>
                <w:lang w:val="en-US"/>
              </w:rPr>
            </m:ctrlPr>
          </m:sSubPr>
          <m:e>
            <m:r>
              <m:rPr>
                <m:sty m:val="bi"/>
              </m:rPr>
              <w:rPr>
                <w:rFonts w:ascii="Cambria Math" w:hAnsi="Cambria Math"/>
                <w:lang w:val="en-US"/>
              </w:rPr>
              <m:t>w</m:t>
            </m:r>
          </m:e>
          <m:sub>
            <m:r>
              <m:rPr>
                <m:sty m:val="bi"/>
              </m:rPr>
              <w:rPr>
                <w:rFonts w:ascii="Cambria Math" w:hAnsi="Cambria Math"/>
                <w:lang w:val="en-US"/>
              </w:rPr>
              <m:t>b</m:t>
            </m:r>
            <m:r>
              <w:rPr>
                <w:rFonts w:ascii="Cambria Math" w:hAnsi="Cambria Math"/>
                <w:lang w:val="en-US"/>
              </w:rPr>
              <m:t xml:space="preserve"> </m:t>
            </m:r>
          </m:sub>
        </m:sSub>
      </m:oMath>
      <w:r w:rsidRPr="005B01B4">
        <w:rPr>
          <w:lang w:val="en-US"/>
        </w:rPr>
        <w:t xml:space="preserve">is the Maximum Contingency Flow for Branch b as determined by </w:t>
      </w:r>
      <w:r>
        <w:fldChar w:fldCharType="begin"/>
      </w:r>
      <w:r>
        <w:instrText xml:space="preserve"> REF _Ref247791546 \h  \* MERGEFORMAT </w:instrText>
      </w:r>
      <w:r>
        <w:fldChar w:fldCharType="separate"/>
      </w:r>
      <w:r w:rsidRPr="004B265B">
        <w:rPr>
          <w:lang w:val="en-US"/>
        </w:rPr>
        <w:t>Contingency</w:t>
      </w:r>
      <w:r w:rsidRPr="00A74D0F">
        <w:t xml:space="preserve"> Analysis</w:t>
      </w:r>
      <w:r>
        <w:fldChar w:fldCharType="end"/>
      </w:r>
      <w:r w:rsidRPr="005B01B4">
        <w:rPr>
          <w:lang w:val="en-US"/>
        </w:rPr>
        <w:t xml:space="preserve">.  </w:t>
      </w:r>
    </w:p>
    <w:p w14:paraId="553CFD6A" w14:textId="77777777" w:rsidR="0041584B" w:rsidRPr="005B01B4" w:rsidRDefault="0041584B" w:rsidP="0041584B">
      <w:pPr>
        <w:ind w:left="720"/>
        <w:rPr>
          <w:lang w:val="en-US"/>
        </w:rPr>
      </w:pPr>
      <m:oMath>
        <m:r>
          <m:rPr>
            <m:sty m:val="bi"/>
          </m:rPr>
          <w:rPr>
            <w:rFonts w:ascii="Cambria Math" w:hAnsi="Cambria Math"/>
            <w:lang w:val="en-US"/>
          </w:rPr>
          <m:t>Base</m:t>
        </m:r>
        <m:r>
          <w:rPr>
            <w:rFonts w:ascii="Cambria Math" w:hAnsi="Cambria Math"/>
            <w:lang w:val="en-US"/>
          </w:rPr>
          <m:t xml:space="preserve"> </m:t>
        </m:r>
        <m:r>
          <m:rPr>
            <m:sty m:val="bi"/>
          </m:rPr>
          <w:rPr>
            <w:rFonts w:ascii="Cambria Math" w:hAnsi="Cambria Math"/>
            <w:lang w:val="en-US"/>
          </w:rPr>
          <m:t>Case</m:t>
        </m:r>
        <m:r>
          <w:rPr>
            <w:rFonts w:ascii="Cambria Math" w:hAnsi="Cambria Math"/>
            <w:lang w:val="en-US"/>
          </w:rPr>
          <m:t xml:space="preserve"> </m:t>
        </m:r>
        <m:r>
          <m:rPr>
            <m:sty m:val="bi"/>
          </m:rPr>
          <w:rPr>
            <w:rFonts w:ascii="Cambria Math" w:hAnsi="Cambria Math"/>
            <w:lang w:val="en-US"/>
          </w:rPr>
          <m:t>Flo</m:t>
        </m:r>
        <m:sSub>
          <m:sSubPr>
            <m:ctrlPr>
              <w:rPr>
                <w:rFonts w:ascii="Cambria Math" w:hAnsi="Cambria Math"/>
                <w:i/>
                <w:lang w:val="en-US"/>
              </w:rPr>
            </m:ctrlPr>
          </m:sSubPr>
          <m:e>
            <m:r>
              <m:rPr>
                <m:sty m:val="bi"/>
              </m:rPr>
              <w:rPr>
                <w:rFonts w:ascii="Cambria Math" w:hAnsi="Cambria Math"/>
                <w:lang w:val="en-US"/>
              </w:rPr>
              <m:t>w</m:t>
            </m:r>
          </m:e>
          <m:sub>
            <m:r>
              <m:rPr>
                <m:sty m:val="bi"/>
              </m:rPr>
              <w:rPr>
                <w:rFonts w:ascii="Cambria Math" w:hAnsi="Cambria Math"/>
                <w:lang w:val="en-US"/>
              </w:rPr>
              <m:t>b</m:t>
            </m:r>
          </m:sub>
        </m:sSub>
      </m:oMath>
      <w:r w:rsidRPr="005B01B4">
        <w:rPr>
          <w:lang w:val="en-US"/>
        </w:rPr>
        <w:t xml:space="preserve"> is the Base Case Flow for Branch b as determined by </w:t>
      </w:r>
      <w:r>
        <w:fldChar w:fldCharType="begin"/>
      </w:r>
      <w:r>
        <w:instrText xml:space="preserve"> REF _Ref244610899 \h  \* MERGEFORMAT </w:instrText>
      </w:r>
      <w:r>
        <w:fldChar w:fldCharType="separate"/>
      </w:r>
      <w:r w:rsidRPr="004B265B">
        <w:rPr>
          <w:lang w:val="en-US"/>
        </w:rPr>
        <w:t>Base Case Analysis</w:t>
      </w:r>
      <w:r>
        <w:fldChar w:fldCharType="end"/>
      </w:r>
      <w:r w:rsidRPr="005B01B4">
        <w:rPr>
          <w:lang w:val="en-US"/>
        </w:rPr>
        <w:t>.</w:t>
      </w:r>
    </w:p>
    <w:p w14:paraId="1FD2AA12" w14:textId="77777777" w:rsidR="0041584B" w:rsidRPr="00A74D0F" w:rsidRDefault="0041584B" w:rsidP="0041584B">
      <w:pPr>
        <w:pStyle w:val="Heading2"/>
      </w:pPr>
      <w:r w:rsidRPr="00A74D0F">
        <w:lastRenderedPageBreak/>
        <w:t xml:space="preserve">Where </w:t>
      </w:r>
      <m:oMath>
        <m:r>
          <w:rPr>
            <w:rFonts w:ascii="Cambria Math" w:hAnsi="Cambria Math"/>
          </w:rPr>
          <m:t>Maximum Contingency Flo</m:t>
        </m:r>
        <m:sSub>
          <m:sSubPr>
            <m:ctrlPr>
              <w:rPr>
                <w:rFonts w:ascii="Cambria Math" w:hAnsi="Cambria Math"/>
                <w:i/>
              </w:rPr>
            </m:ctrlPr>
          </m:sSubPr>
          <m:e>
            <m:r>
              <w:rPr>
                <w:rFonts w:ascii="Cambria Math" w:hAnsi="Cambria Math"/>
              </w:rPr>
              <m:t>w</m:t>
            </m:r>
          </m:e>
          <m:sub>
            <m:r>
              <w:rPr>
                <w:rFonts w:ascii="Cambria Math" w:hAnsi="Cambria Math"/>
              </w:rPr>
              <m:t xml:space="preserve">b </m:t>
            </m:r>
          </m:sub>
        </m:sSub>
      </m:oMath>
      <w:r w:rsidRPr="00A74D0F">
        <w:t xml:space="preserve">is less than </w:t>
      </w:r>
      <m:oMath>
        <m:r>
          <w:rPr>
            <w:rFonts w:ascii="Cambria Math" w:hAnsi="Cambria Math"/>
          </w:rPr>
          <m:t>Base Case Flo</m:t>
        </m:r>
        <m:sSub>
          <m:sSubPr>
            <m:ctrlPr>
              <w:rPr>
                <w:rFonts w:ascii="Cambria Math" w:hAnsi="Cambria Math"/>
                <w:i/>
              </w:rPr>
            </m:ctrlPr>
          </m:sSubPr>
          <m:e>
            <m:r>
              <w:rPr>
                <w:rFonts w:ascii="Cambria Math" w:hAnsi="Cambria Math"/>
              </w:rPr>
              <m:t>w</m:t>
            </m:r>
          </m:e>
          <m:sub>
            <m:r>
              <w:rPr>
                <w:rFonts w:ascii="Cambria Math" w:hAnsi="Cambria Math"/>
              </w:rPr>
              <m:t>b</m:t>
            </m:r>
          </m:sub>
        </m:sSub>
      </m:oMath>
      <w:r w:rsidRPr="00A74D0F">
        <w:t xml:space="preserve"> then a Security Factor of 1 will be used for Branch b, reflecting that the highest utilisation occurs under Normal Running Arrangements.</w:t>
      </w:r>
    </w:p>
    <w:p w14:paraId="6FD330DB" w14:textId="77777777" w:rsidR="0041584B" w:rsidRPr="00A74D0F" w:rsidRDefault="0041584B" w:rsidP="0041584B">
      <w:pPr>
        <w:pStyle w:val="DCSubHeading1Level2"/>
      </w:pPr>
      <w:bookmarkStart w:id="579" w:name="_Toc244619531"/>
      <w:bookmarkStart w:id="580" w:name="_Toc244667067"/>
      <w:bookmarkStart w:id="581" w:name="_Toc244667533"/>
      <w:bookmarkStart w:id="582" w:name="_Toc246843695"/>
      <w:bookmarkStart w:id="583" w:name="_Ref250550114"/>
      <w:bookmarkStart w:id="584" w:name="_Ref250550124"/>
      <w:bookmarkStart w:id="585" w:name="_Ref252346224"/>
      <w:bookmarkStart w:id="586" w:name="_Ref252347750"/>
      <w:bookmarkStart w:id="587" w:name="_Toc268553686"/>
      <w:bookmarkStart w:id="588" w:name="_Ref269303710"/>
      <w:bookmarkStart w:id="589" w:name="_Toc269379875"/>
      <w:bookmarkStart w:id="590" w:name="_Toc269720524"/>
      <w:bookmarkStart w:id="591" w:name="_Toc269721221"/>
      <w:r w:rsidRPr="00A74D0F">
        <w:t>Incremented Flow Analysis</w:t>
      </w:r>
      <w:bookmarkEnd w:id="579"/>
      <w:bookmarkEnd w:id="580"/>
      <w:bookmarkEnd w:id="581"/>
      <w:bookmarkEnd w:id="582"/>
      <w:bookmarkEnd w:id="583"/>
      <w:bookmarkEnd w:id="584"/>
      <w:bookmarkEnd w:id="585"/>
      <w:bookmarkEnd w:id="586"/>
      <w:bookmarkEnd w:id="587"/>
      <w:bookmarkEnd w:id="588"/>
      <w:bookmarkEnd w:id="589"/>
      <w:bookmarkEnd w:id="590"/>
      <w:bookmarkEnd w:id="591"/>
    </w:p>
    <w:p w14:paraId="140623DE" w14:textId="77777777" w:rsidR="0041584B" w:rsidRPr="00A74D0F" w:rsidRDefault="0041584B" w:rsidP="0041584B">
      <w:pPr>
        <w:pStyle w:val="Heading2"/>
      </w:pPr>
      <w:r w:rsidRPr="00A74D0F">
        <w:t>The Incremented Flow analysis seeks to determine the change in power flows in the Authorised Network Model arising from the addition of a 0.1MW demand increment at a given Node.  This analysis is repeated for each Node where incremental costs are required in the Authorised Network Model and for each network demand scenario.  The demand increments are applied to the Authorised Network Model populated with the relevant Network Demand Data.</w:t>
      </w:r>
    </w:p>
    <w:p w14:paraId="4A9ABB1D" w14:textId="77777777" w:rsidR="0041584B" w:rsidRPr="00A74D0F" w:rsidRDefault="0041584B" w:rsidP="0041584B">
      <w:pPr>
        <w:pStyle w:val="Heading2"/>
      </w:pPr>
      <w:r w:rsidRPr="00A74D0F">
        <w:t>The power factor and direction of the demand increments applied to the Authorised Network Model depend upon the network demand scenario considered and also the type of demand that is located at the Node where the increments are applied. This is summarised in the following table:</w:t>
      </w:r>
    </w:p>
    <w:p w14:paraId="2D091B9B" w14:textId="77777777" w:rsidR="0041584B" w:rsidRPr="00C70D7F" w:rsidRDefault="0041584B" w:rsidP="0041584B">
      <w:pPr>
        <w:pStyle w:val="Caption"/>
        <w:keepNext/>
      </w:pPr>
      <w:bookmarkStart w:id="592" w:name="_Ref252346053"/>
      <w:bookmarkStart w:id="593" w:name="_Toc253698462"/>
      <w:r w:rsidRPr="00C70D7F">
        <w:t xml:space="preserve">Table </w:t>
      </w:r>
      <w:bookmarkEnd w:id="592"/>
      <w:r>
        <w:t>6.11</w:t>
      </w:r>
      <w:r w:rsidRPr="00C70D7F">
        <w:t xml:space="preserve"> - Application of increments</w:t>
      </w:r>
      <w:bookmarkEnd w:id="593"/>
      <w:r w:rsidRPr="00C70D7F">
        <w:t>.</w:t>
      </w:r>
    </w:p>
    <w:tbl>
      <w:tblPr>
        <w:tblStyle w:val="GridTable4-Accent3"/>
        <w:tblW w:w="8673" w:type="dxa"/>
        <w:jc w:val="center"/>
        <w:tblLook w:val="0620" w:firstRow="1" w:lastRow="0" w:firstColumn="0" w:lastColumn="0" w:noHBand="1" w:noVBand="1"/>
      </w:tblPr>
      <w:tblGrid>
        <w:gridCol w:w="1980"/>
        <w:gridCol w:w="1701"/>
        <w:gridCol w:w="1563"/>
        <w:gridCol w:w="1515"/>
        <w:gridCol w:w="1914"/>
      </w:tblGrid>
      <w:tr w:rsidR="0041584B" w:rsidRPr="005B01B4" w14:paraId="5D99C2DC" w14:textId="77777777" w:rsidTr="0041584B">
        <w:trPr>
          <w:cnfStyle w:val="100000000000" w:firstRow="1" w:lastRow="0" w:firstColumn="0" w:lastColumn="0" w:oddVBand="0" w:evenVBand="0" w:oddHBand="0" w:evenHBand="0" w:firstRowFirstColumn="0" w:firstRowLastColumn="0" w:lastRowFirstColumn="0" w:lastRowLastColumn="0"/>
          <w:trHeight w:val="645"/>
          <w:jc w:val="center"/>
        </w:trPr>
        <w:tc>
          <w:tcPr>
            <w:tcW w:w="1980" w:type="dxa"/>
            <w:noWrap/>
          </w:tcPr>
          <w:p w14:paraId="5174DB81" w14:textId="77777777" w:rsidR="0041584B" w:rsidRPr="005B01B4" w:rsidRDefault="0041584B" w:rsidP="0041584B">
            <w:pPr>
              <w:spacing w:after="0" w:line="240" w:lineRule="auto"/>
              <w:jc w:val="both"/>
              <w:rPr>
                <w:rFonts w:eastAsia="Times New Roman" w:cs="Times New Roman"/>
                <w:b w:val="0"/>
                <w:bCs w:val="0"/>
                <w:szCs w:val="24"/>
              </w:rPr>
            </w:pPr>
            <w:r w:rsidRPr="005B01B4">
              <w:rPr>
                <w:rFonts w:eastAsia="Times New Roman" w:cs="Times New Roman"/>
                <w:b w:val="0"/>
                <w:bCs w:val="0"/>
                <w:szCs w:val="24"/>
              </w:rPr>
              <w:t> </w:t>
            </w:r>
          </w:p>
        </w:tc>
        <w:tc>
          <w:tcPr>
            <w:tcW w:w="6693" w:type="dxa"/>
            <w:gridSpan w:val="4"/>
            <w:noWrap/>
            <w:vAlign w:val="center"/>
          </w:tcPr>
          <w:p w14:paraId="0B15C7AC" w14:textId="77777777" w:rsidR="0041584B" w:rsidRPr="005B01B4" w:rsidRDefault="0041584B" w:rsidP="0041584B">
            <w:pPr>
              <w:pStyle w:val="DCUSATabletextnumbers"/>
              <w:rPr>
                <w:b/>
              </w:rPr>
            </w:pPr>
            <w:r w:rsidRPr="005B01B4">
              <w:rPr>
                <w:b/>
              </w:rPr>
              <w:t>Increment Applied</w:t>
            </w:r>
          </w:p>
        </w:tc>
      </w:tr>
      <w:tr w:rsidR="0041584B" w:rsidRPr="005B01B4" w14:paraId="59486712" w14:textId="77777777" w:rsidTr="0041584B">
        <w:trPr>
          <w:trHeight w:val="315"/>
          <w:jc w:val="center"/>
        </w:trPr>
        <w:tc>
          <w:tcPr>
            <w:tcW w:w="1980" w:type="dxa"/>
            <w:shd w:val="clear" w:color="auto" w:fill="D9D9D9" w:themeFill="background1" w:themeFillShade="D9"/>
            <w:noWrap/>
            <w:vAlign w:val="center"/>
          </w:tcPr>
          <w:p w14:paraId="6ED566A8" w14:textId="77777777" w:rsidR="0041584B" w:rsidRPr="005B01B4" w:rsidRDefault="0041584B" w:rsidP="0041584B">
            <w:pPr>
              <w:pStyle w:val="DCUSATabletextnumbers"/>
            </w:pPr>
          </w:p>
        </w:tc>
        <w:tc>
          <w:tcPr>
            <w:tcW w:w="3264" w:type="dxa"/>
            <w:gridSpan w:val="2"/>
            <w:shd w:val="clear" w:color="auto" w:fill="D9D9D9" w:themeFill="background1" w:themeFillShade="D9"/>
            <w:noWrap/>
            <w:vAlign w:val="center"/>
          </w:tcPr>
          <w:p w14:paraId="0BD03B16" w14:textId="77777777" w:rsidR="0041584B" w:rsidRPr="005B01B4" w:rsidRDefault="0041584B" w:rsidP="0041584B">
            <w:pPr>
              <w:pStyle w:val="DCUSATabletextnumbers"/>
            </w:pPr>
            <w:r w:rsidRPr="005B01B4">
              <w:t>Maximum Demand Scenario</w:t>
            </w:r>
          </w:p>
        </w:tc>
        <w:tc>
          <w:tcPr>
            <w:tcW w:w="3429" w:type="dxa"/>
            <w:gridSpan w:val="2"/>
            <w:shd w:val="clear" w:color="auto" w:fill="D9D9D9" w:themeFill="background1" w:themeFillShade="D9"/>
            <w:noWrap/>
            <w:vAlign w:val="center"/>
          </w:tcPr>
          <w:p w14:paraId="4E777ECD" w14:textId="77777777" w:rsidR="0041584B" w:rsidRPr="005B01B4" w:rsidRDefault="0041584B" w:rsidP="0041584B">
            <w:pPr>
              <w:pStyle w:val="DCUSATabletextnumbers"/>
            </w:pPr>
            <w:r w:rsidRPr="005B01B4">
              <w:t>Minimum Demand Scenario</w:t>
            </w:r>
          </w:p>
        </w:tc>
      </w:tr>
      <w:tr w:rsidR="0041584B" w:rsidRPr="005B01B4" w14:paraId="042C8691" w14:textId="77777777" w:rsidTr="0041584B">
        <w:trPr>
          <w:trHeight w:val="945"/>
          <w:jc w:val="center"/>
        </w:trPr>
        <w:tc>
          <w:tcPr>
            <w:tcW w:w="1980" w:type="dxa"/>
            <w:shd w:val="clear" w:color="auto" w:fill="D9D9D9" w:themeFill="background1" w:themeFillShade="D9"/>
            <w:vAlign w:val="center"/>
          </w:tcPr>
          <w:p w14:paraId="49A70D42" w14:textId="77777777" w:rsidR="0041584B" w:rsidRPr="005B01B4" w:rsidRDefault="0041584B" w:rsidP="0041584B">
            <w:pPr>
              <w:pStyle w:val="DCUSATabletextnumbers"/>
            </w:pPr>
            <w:r w:rsidRPr="005B01B4">
              <w:t>Type of Demand</w:t>
            </w:r>
            <w:r>
              <w:t xml:space="preserve"> </w:t>
            </w:r>
            <w:r w:rsidRPr="005B01B4">
              <w:t>at Node Being Incremented</w:t>
            </w:r>
          </w:p>
        </w:tc>
        <w:tc>
          <w:tcPr>
            <w:tcW w:w="1701" w:type="dxa"/>
            <w:shd w:val="clear" w:color="auto" w:fill="D9D9D9" w:themeFill="background1" w:themeFillShade="D9"/>
            <w:noWrap/>
            <w:vAlign w:val="center"/>
          </w:tcPr>
          <w:p w14:paraId="28B47026" w14:textId="77777777" w:rsidR="0041584B" w:rsidRPr="005B01B4" w:rsidRDefault="0041584B" w:rsidP="0041584B">
            <w:pPr>
              <w:pStyle w:val="DCUSATabletextnumbers"/>
            </w:pPr>
            <w:r w:rsidRPr="005B01B4">
              <w:t>Power Factor</w:t>
            </w:r>
          </w:p>
        </w:tc>
        <w:tc>
          <w:tcPr>
            <w:tcW w:w="1563" w:type="dxa"/>
            <w:shd w:val="clear" w:color="auto" w:fill="D9D9D9" w:themeFill="background1" w:themeFillShade="D9"/>
            <w:noWrap/>
            <w:vAlign w:val="center"/>
          </w:tcPr>
          <w:p w14:paraId="2D3F2D1C" w14:textId="77777777" w:rsidR="0041584B" w:rsidRPr="005B01B4" w:rsidRDefault="0041584B" w:rsidP="0041584B">
            <w:pPr>
              <w:pStyle w:val="DCUSATabletextnumbers"/>
            </w:pPr>
            <w:r w:rsidRPr="005B01B4">
              <w:t>Direction</w:t>
            </w:r>
          </w:p>
        </w:tc>
        <w:tc>
          <w:tcPr>
            <w:tcW w:w="1515" w:type="dxa"/>
            <w:shd w:val="clear" w:color="auto" w:fill="D9D9D9" w:themeFill="background1" w:themeFillShade="D9"/>
            <w:noWrap/>
            <w:vAlign w:val="center"/>
          </w:tcPr>
          <w:p w14:paraId="6BB253B3" w14:textId="77777777" w:rsidR="0041584B" w:rsidRPr="005B01B4" w:rsidRDefault="0041584B" w:rsidP="0041584B">
            <w:pPr>
              <w:pStyle w:val="DCUSATabletextnumbers"/>
            </w:pPr>
            <w:r w:rsidRPr="005B01B4">
              <w:t>Power Factor</w:t>
            </w:r>
          </w:p>
        </w:tc>
        <w:tc>
          <w:tcPr>
            <w:tcW w:w="1914" w:type="dxa"/>
            <w:shd w:val="clear" w:color="auto" w:fill="D9D9D9" w:themeFill="background1" w:themeFillShade="D9"/>
            <w:noWrap/>
            <w:vAlign w:val="center"/>
          </w:tcPr>
          <w:p w14:paraId="3341F3A3" w14:textId="77777777" w:rsidR="0041584B" w:rsidRPr="005B01B4" w:rsidRDefault="0041584B" w:rsidP="0041584B">
            <w:pPr>
              <w:pStyle w:val="DCUSATabletextnumbers"/>
            </w:pPr>
            <w:r w:rsidRPr="005B01B4">
              <w:t>Direction</w:t>
            </w:r>
          </w:p>
        </w:tc>
      </w:tr>
      <w:tr w:rsidR="0041584B" w:rsidRPr="005B01B4" w14:paraId="28C33852" w14:textId="77777777" w:rsidTr="0041584B">
        <w:trPr>
          <w:trHeight w:val="315"/>
          <w:jc w:val="center"/>
        </w:trPr>
        <w:tc>
          <w:tcPr>
            <w:tcW w:w="1980" w:type="dxa"/>
            <w:noWrap/>
            <w:vAlign w:val="center"/>
          </w:tcPr>
          <w:p w14:paraId="3B330DB1" w14:textId="77777777" w:rsidR="0041584B" w:rsidRPr="005B01B4" w:rsidRDefault="0041584B" w:rsidP="0041584B">
            <w:pPr>
              <w:pStyle w:val="Normaltexttable"/>
            </w:pPr>
            <w:r w:rsidRPr="005B01B4">
              <w:t>Demand (Load)</w:t>
            </w:r>
          </w:p>
        </w:tc>
        <w:tc>
          <w:tcPr>
            <w:tcW w:w="1701" w:type="dxa"/>
            <w:noWrap/>
            <w:vAlign w:val="center"/>
          </w:tcPr>
          <w:p w14:paraId="30A10ECD" w14:textId="77777777" w:rsidR="0041584B" w:rsidRPr="005B01B4" w:rsidRDefault="0041584B" w:rsidP="0041584B">
            <w:pPr>
              <w:pStyle w:val="Normaltexttable"/>
            </w:pPr>
            <w:r w:rsidRPr="005B01B4">
              <w:t>0.95</w:t>
            </w:r>
          </w:p>
        </w:tc>
        <w:tc>
          <w:tcPr>
            <w:tcW w:w="1563" w:type="dxa"/>
            <w:noWrap/>
            <w:vAlign w:val="center"/>
          </w:tcPr>
          <w:p w14:paraId="2DC19D99" w14:textId="77777777" w:rsidR="0041584B" w:rsidRPr="005B01B4" w:rsidRDefault="0041584B" w:rsidP="0041584B">
            <w:pPr>
              <w:pStyle w:val="Normaltexttable"/>
            </w:pPr>
            <w:r w:rsidRPr="005B01B4">
              <w:t>Load</w:t>
            </w:r>
          </w:p>
        </w:tc>
        <w:tc>
          <w:tcPr>
            <w:tcW w:w="1515" w:type="dxa"/>
            <w:noWrap/>
            <w:vAlign w:val="center"/>
          </w:tcPr>
          <w:p w14:paraId="77C7C93A" w14:textId="77777777" w:rsidR="0041584B" w:rsidRPr="005B01B4" w:rsidRDefault="0041584B" w:rsidP="0041584B">
            <w:pPr>
              <w:pStyle w:val="Normaltexttable"/>
            </w:pPr>
            <w:r w:rsidRPr="005B01B4">
              <w:t>0.95</w:t>
            </w:r>
          </w:p>
        </w:tc>
        <w:tc>
          <w:tcPr>
            <w:tcW w:w="1914" w:type="dxa"/>
            <w:noWrap/>
            <w:vAlign w:val="center"/>
          </w:tcPr>
          <w:p w14:paraId="467F9D52" w14:textId="77777777" w:rsidR="0041584B" w:rsidRPr="005B01B4" w:rsidRDefault="0041584B" w:rsidP="0041584B">
            <w:pPr>
              <w:pStyle w:val="Normaltexttable"/>
            </w:pPr>
            <w:r w:rsidRPr="005B01B4">
              <w:t>Generation</w:t>
            </w:r>
          </w:p>
        </w:tc>
      </w:tr>
      <w:tr w:rsidR="0041584B" w:rsidRPr="005B01B4" w14:paraId="37722C03" w14:textId="77777777" w:rsidTr="0041584B">
        <w:trPr>
          <w:trHeight w:val="315"/>
          <w:jc w:val="center"/>
        </w:trPr>
        <w:tc>
          <w:tcPr>
            <w:tcW w:w="1980" w:type="dxa"/>
            <w:noWrap/>
            <w:vAlign w:val="center"/>
          </w:tcPr>
          <w:p w14:paraId="645459FC" w14:textId="77777777" w:rsidR="0041584B" w:rsidRPr="005B01B4" w:rsidRDefault="0041584B" w:rsidP="0041584B">
            <w:pPr>
              <w:pStyle w:val="Normaltexttable"/>
            </w:pPr>
            <w:r w:rsidRPr="005B01B4">
              <w:t>Generation</w:t>
            </w:r>
          </w:p>
        </w:tc>
        <w:tc>
          <w:tcPr>
            <w:tcW w:w="1701" w:type="dxa"/>
            <w:noWrap/>
            <w:vAlign w:val="center"/>
          </w:tcPr>
          <w:p w14:paraId="130CFB3B" w14:textId="77777777" w:rsidR="0041584B" w:rsidRPr="005B01B4" w:rsidRDefault="0041584B" w:rsidP="0041584B">
            <w:pPr>
              <w:pStyle w:val="Normaltexttable"/>
            </w:pPr>
            <w:r w:rsidRPr="005B01B4">
              <w:t>Unity</w:t>
            </w:r>
          </w:p>
        </w:tc>
        <w:tc>
          <w:tcPr>
            <w:tcW w:w="1563" w:type="dxa"/>
            <w:noWrap/>
            <w:vAlign w:val="center"/>
          </w:tcPr>
          <w:p w14:paraId="740EC260" w14:textId="77777777" w:rsidR="0041584B" w:rsidRPr="005B01B4" w:rsidRDefault="0041584B" w:rsidP="0041584B">
            <w:pPr>
              <w:pStyle w:val="Normaltexttable"/>
            </w:pPr>
            <w:r w:rsidRPr="005B01B4">
              <w:t>Load</w:t>
            </w:r>
          </w:p>
        </w:tc>
        <w:tc>
          <w:tcPr>
            <w:tcW w:w="1515" w:type="dxa"/>
            <w:noWrap/>
            <w:vAlign w:val="center"/>
          </w:tcPr>
          <w:p w14:paraId="7543C2B3" w14:textId="77777777" w:rsidR="0041584B" w:rsidRPr="005B01B4" w:rsidRDefault="0041584B" w:rsidP="0041584B">
            <w:pPr>
              <w:pStyle w:val="Normaltexttable"/>
            </w:pPr>
            <w:r w:rsidRPr="005B01B4">
              <w:t>Unity</w:t>
            </w:r>
          </w:p>
        </w:tc>
        <w:tc>
          <w:tcPr>
            <w:tcW w:w="1914" w:type="dxa"/>
            <w:noWrap/>
            <w:vAlign w:val="center"/>
          </w:tcPr>
          <w:p w14:paraId="43914789" w14:textId="77777777" w:rsidR="0041584B" w:rsidRPr="005B01B4" w:rsidRDefault="0041584B" w:rsidP="0041584B">
            <w:pPr>
              <w:pStyle w:val="Normaltexttable"/>
            </w:pPr>
            <w:r w:rsidRPr="005B01B4">
              <w:t>Generation</w:t>
            </w:r>
          </w:p>
        </w:tc>
      </w:tr>
    </w:tbl>
    <w:p w14:paraId="320F2F61" w14:textId="77777777" w:rsidR="0041584B" w:rsidRDefault="0041584B" w:rsidP="0041584B">
      <w:pPr>
        <w:pStyle w:val="NoSpacing"/>
      </w:pPr>
    </w:p>
    <w:p w14:paraId="0B99703D" w14:textId="77777777" w:rsidR="0041584B" w:rsidRPr="00A74D0F" w:rsidRDefault="0041584B" w:rsidP="0041584B">
      <w:pPr>
        <w:pStyle w:val="Heading2"/>
      </w:pPr>
      <w:r w:rsidRPr="00DF6165">
        <w:t>Increments applied at Nodes where demand (load) is located should be applied at 0.95 power factor under both the Maximum Demand Scenario and the Minimum Demand Scenario. In the Maximum Demand Scenario this increment should be applied in the direction of demand (load). In the Minimum Demand Scenario this increment should be applied in the direction of generation</w:t>
      </w:r>
      <w:r w:rsidRPr="00A74D0F">
        <w:t>.</w:t>
      </w:r>
    </w:p>
    <w:p w14:paraId="18737907" w14:textId="77777777" w:rsidR="0041584B" w:rsidRPr="00A74D0F" w:rsidRDefault="0041584B" w:rsidP="0041584B">
      <w:pPr>
        <w:pStyle w:val="Heading2"/>
      </w:pPr>
      <w:r w:rsidRPr="00A74D0F">
        <w:lastRenderedPageBreak/>
        <w:t>Increments applied at Nodes where generation is located should be applied at unity power factor under both scenarios. In the Maximum Demand Scenario this increment should be applied in the direction of demand (load). In the Minimum Demand Scenario this increment should be applied in the direction of generation.</w:t>
      </w:r>
    </w:p>
    <w:p w14:paraId="20F6C31C" w14:textId="77777777" w:rsidR="0041584B" w:rsidRPr="00A74D0F" w:rsidRDefault="0041584B" w:rsidP="0041584B">
      <w:pPr>
        <w:pStyle w:val="Heading2"/>
      </w:pPr>
      <w:r w:rsidRPr="00A74D0F">
        <w:t>Where both demand (load) and generation are located at a given Node, Incremented Flow analysis will be required to be performed once with increments at 0.95 power factor at the Node and then again with separate application of increments at unity power factor at the Node.</w:t>
      </w:r>
    </w:p>
    <w:p w14:paraId="35A7BA2D" w14:textId="77777777" w:rsidR="0041584B" w:rsidRPr="00A74D0F" w:rsidRDefault="0041584B" w:rsidP="0041584B">
      <w:pPr>
        <w:pStyle w:val="Heading2"/>
      </w:pPr>
      <w:r w:rsidRPr="00A74D0F">
        <w:t>The Incremented Flow analysis does not consider N-1 Contingencies. Security Factors derived from the Base Case Analysis and Contingency Analysis are used to determine the effect of N</w:t>
      </w:r>
      <w:r w:rsidRPr="00A74D0F">
        <w:noBreakHyphen/>
        <w:t>1 Contingencies.</w:t>
      </w:r>
    </w:p>
    <w:p w14:paraId="7E9E223E" w14:textId="77777777" w:rsidR="0041584B" w:rsidRPr="00A74D0F" w:rsidRDefault="0041584B" w:rsidP="0041584B">
      <w:pPr>
        <w:pStyle w:val="Heading2"/>
      </w:pPr>
      <w:r w:rsidRPr="00A74D0F">
        <w:t>For each Node where increments are applied the difference between Incremented Flows and Base Case Flow need to be determined for each Branch. If the difference is greater than both 1kVA and 0.01% of the Branch Base Case Flow the Branch is further considered for the calculation of Nodal incremental costs. Power flow convergence criterion should be carefully selected to ensure that the power flow Nodal mismatches are smaller than the 1 kVA threshold.</w:t>
      </w:r>
    </w:p>
    <w:p w14:paraId="139492D2" w14:textId="77777777" w:rsidR="0041584B" w:rsidRPr="00C9700A" w:rsidRDefault="0041584B" w:rsidP="0041584B">
      <w:pPr>
        <w:pStyle w:val="Heading2"/>
      </w:pPr>
      <w:r w:rsidRPr="00C9700A">
        <w:t>The process is undertaken in Incremented Flow analysis for both the Maximum Demand Scenario and the Minimum Demand Scenario in turn. This is described below:</w:t>
      </w:r>
    </w:p>
    <w:p w14:paraId="45D14427" w14:textId="77777777" w:rsidR="0041584B" w:rsidRPr="00C9700A" w:rsidRDefault="0041584B" w:rsidP="0041584B">
      <w:pPr>
        <w:pStyle w:val="Heading5"/>
        <w:keepNext w:val="0"/>
        <w:keepLines w:val="0"/>
        <w:ind w:left="1418"/>
        <w:jc w:val="both"/>
      </w:pPr>
      <w:r w:rsidRPr="00C9700A">
        <w:t xml:space="preserve">Step 1 - the Base Case Analysis is performed initially (see the </w:t>
      </w:r>
      <w:r>
        <w:fldChar w:fldCharType="begin"/>
      </w:r>
      <w:r>
        <w:instrText xml:space="preserve"> REF _Ref244610899 \h  \* MERGEFORMAT </w:instrText>
      </w:r>
      <w:r>
        <w:fldChar w:fldCharType="separate"/>
      </w:r>
      <w:r w:rsidRPr="00A74D0F">
        <w:t>Base Case Analysis</w:t>
      </w:r>
      <w:r>
        <w:fldChar w:fldCharType="end"/>
      </w:r>
      <w:r w:rsidRPr="00C9700A">
        <w:t xml:space="preserve"> section). The results of this analysis are Base Case Flows;</w:t>
      </w:r>
    </w:p>
    <w:p w14:paraId="0830590C" w14:textId="77777777" w:rsidR="0041584B" w:rsidRPr="00C9700A" w:rsidRDefault="0041584B" w:rsidP="0041584B">
      <w:pPr>
        <w:pStyle w:val="Heading5"/>
        <w:keepNext w:val="0"/>
        <w:keepLines w:val="0"/>
        <w:ind w:left="1418"/>
        <w:jc w:val="both"/>
      </w:pPr>
      <w:r w:rsidRPr="00C9700A">
        <w:t>Step 2 - the power flows across each of the network Branches are determined for the condition where the relevant increment (see</w:t>
      </w:r>
      <w:r>
        <w:t xml:space="preserve"> Table 6.11</w:t>
      </w:r>
      <w:r w:rsidRPr="00C9700A">
        <w:t xml:space="preserve">) is applied to a Node. The results are referred to as Incremented Flows; </w:t>
      </w:r>
    </w:p>
    <w:p w14:paraId="41D4E2C6" w14:textId="77777777" w:rsidR="0041584B" w:rsidRPr="00C9700A" w:rsidRDefault="0041584B" w:rsidP="0041584B">
      <w:pPr>
        <w:pStyle w:val="Heading5"/>
        <w:keepNext w:val="0"/>
        <w:keepLines w:val="0"/>
        <w:ind w:left="1418"/>
        <w:jc w:val="both"/>
      </w:pPr>
      <w:r w:rsidRPr="00C9700A">
        <w:t>Step 3 - the differences between the Incremented Flows and the Base Case Flows are evaluated. For those Branches where the difference is smaller than either 1kVA or 0.01% of the Base Case Flow then the Incremented Flow for that Branch is set to the Base Case Flow for that Branch; and</w:t>
      </w:r>
    </w:p>
    <w:p w14:paraId="1F0C8F5D" w14:textId="77777777" w:rsidR="0041584B" w:rsidRPr="00C9700A" w:rsidRDefault="0041584B" w:rsidP="0041584B">
      <w:pPr>
        <w:pStyle w:val="Heading5"/>
        <w:keepNext w:val="0"/>
        <w:keepLines w:val="0"/>
        <w:ind w:left="1418"/>
      </w:pPr>
      <w:r w:rsidRPr="00C9700A">
        <w:lastRenderedPageBreak/>
        <w:t>Step 4 - steps 2 and 3 are repeated for each Node in turn until they have been completed for each Node in the Authorised Network Model.</w:t>
      </w:r>
    </w:p>
    <w:p w14:paraId="3FE49690" w14:textId="77777777" w:rsidR="0041584B" w:rsidRPr="00C9700A" w:rsidRDefault="0041584B" w:rsidP="0041584B">
      <w:pPr>
        <w:pStyle w:val="Heading2"/>
      </w:pPr>
      <w:r w:rsidRPr="00C9700A">
        <w:t>The results of Incremented Flow analysis are collated with the other outputs of the power flow analysis (see Figure 5).</w:t>
      </w:r>
    </w:p>
    <w:p w14:paraId="3F70D97F" w14:textId="77777777" w:rsidR="0041584B" w:rsidRPr="00C9700A" w:rsidRDefault="0041584B" w:rsidP="0041584B">
      <w:pPr>
        <w:pStyle w:val="DCSubHeading1Level2"/>
      </w:pPr>
      <w:bookmarkStart w:id="594" w:name="_Ref253261528"/>
      <w:bookmarkStart w:id="595" w:name="_Toc268553687"/>
      <w:bookmarkStart w:id="596" w:name="_Toc269379876"/>
      <w:bookmarkStart w:id="597" w:name="_Toc269720525"/>
      <w:bookmarkStart w:id="598" w:name="_Toc269721222"/>
      <w:r w:rsidRPr="00C9700A">
        <w:t>Calculation of Incremented Flows</w:t>
      </w:r>
      <w:bookmarkEnd w:id="594"/>
      <w:bookmarkEnd w:id="595"/>
      <w:bookmarkEnd w:id="596"/>
      <w:bookmarkEnd w:id="597"/>
      <w:bookmarkEnd w:id="598"/>
    </w:p>
    <w:p w14:paraId="6754A60A" w14:textId="77777777" w:rsidR="0041584B" w:rsidRPr="00C9700A" w:rsidRDefault="0041584B" w:rsidP="0041584B">
      <w:pPr>
        <w:pStyle w:val="Heading2"/>
      </w:pPr>
      <w:r w:rsidRPr="00C9700A">
        <w:t>Incremented Flows may be calculated either by:</w:t>
      </w:r>
    </w:p>
    <w:p w14:paraId="3572C3B9" w14:textId="77777777" w:rsidR="0041584B" w:rsidRPr="00C9700A" w:rsidRDefault="0041584B" w:rsidP="0041584B">
      <w:pPr>
        <w:pStyle w:val="Heading5"/>
        <w:ind w:left="1418"/>
      </w:pPr>
      <w:r w:rsidRPr="00C9700A">
        <w:t>application of the relevant increment to a Node in the Authorised Network Model and using load flow solution techniques to determine the power flow through each Branch (the Iterative Approach); or</w:t>
      </w:r>
    </w:p>
    <w:p w14:paraId="0ECB4DE0" w14:textId="77777777" w:rsidR="0041584B" w:rsidRPr="00C9700A" w:rsidRDefault="0041584B" w:rsidP="0041584B">
      <w:pPr>
        <w:pStyle w:val="Heading5"/>
        <w:ind w:left="1418"/>
      </w:pPr>
      <w:r w:rsidRPr="00C9700A">
        <w:t>calculation of the power flow through each Branch, associated with the relevant increment to a Node, using sensitivity coefficients derived from the Base Case Analysis (the Sensitivity Coefficients Approach).</w:t>
      </w:r>
    </w:p>
    <w:p w14:paraId="287750A9" w14:textId="77777777" w:rsidR="0041584B" w:rsidRPr="00C9700A" w:rsidRDefault="0041584B" w:rsidP="0041584B">
      <w:pPr>
        <w:pStyle w:val="Heading2"/>
      </w:pPr>
      <w:r w:rsidRPr="00C9700A">
        <w:t>The method of calculation of the Incremented Flows should be selected such that the calculated Incremented Flows are a sufficiently accurate representation of the power flows arising from the addition of a 0.1MW demand increment at a Node. The method of calculation can be considered acceptable, where it is expected to produce Nodal incremental costs, derived from the Incremented Flows, that would vary by no greater than 5% from those that would be determined by use of the power flows arising from the addition of the demand increment.</w:t>
      </w:r>
    </w:p>
    <w:p w14:paraId="045E2569" w14:textId="77777777" w:rsidR="0041584B" w:rsidRPr="00C9700A" w:rsidRDefault="0041584B" w:rsidP="0041584B">
      <w:pPr>
        <w:pStyle w:val="DCSubHeading1Level2"/>
      </w:pPr>
      <w:bookmarkStart w:id="599" w:name="_Ref269306041"/>
      <w:bookmarkStart w:id="600" w:name="IterativeApproach"/>
      <w:r w:rsidRPr="00C9700A">
        <w:t>Iterative Approach</w:t>
      </w:r>
      <w:bookmarkEnd w:id="599"/>
      <w:bookmarkEnd w:id="600"/>
    </w:p>
    <w:p w14:paraId="2ACDE199" w14:textId="77777777" w:rsidR="0041584B" w:rsidRPr="00C9700A" w:rsidRDefault="0041584B" w:rsidP="0041584B">
      <w:pPr>
        <w:pStyle w:val="Heading2"/>
      </w:pPr>
      <w:bookmarkStart w:id="601" w:name="_Ref277945373"/>
      <w:r w:rsidRPr="00C9700A">
        <w:t>The Iterative Approach determines the Incremented Flows required for the Incremented Flow analysis by applying the relevant single increment to each Node in turn to the Base Case and calculating the resultant Branch power flows using AC load flow solution techniques.</w:t>
      </w:r>
      <w:bookmarkEnd w:id="601"/>
    </w:p>
    <w:p w14:paraId="375463C1" w14:textId="77777777" w:rsidR="0041584B" w:rsidRPr="00C9700A" w:rsidRDefault="0041584B" w:rsidP="0041584B">
      <w:pPr>
        <w:pStyle w:val="Heading2"/>
      </w:pPr>
      <w:r w:rsidRPr="00E77A22">
        <w:rPr>
          <w:rStyle w:val="Heading2Char"/>
        </w:rPr>
        <w:t xml:space="preserve">Prior to the application of the increment all the transformer </w:t>
      </w:r>
      <w:proofErr w:type="gramStart"/>
      <w:r w:rsidRPr="00E77A22">
        <w:rPr>
          <w:rStyle w:val="Heading2Char"/>
        </w:rPr>
        <w:t>tap</w:t>
      </w:r>
      <w:proofErr w:type="gramEnd"/>
      <w:r w:rsidRPr="00E77A22">
        <w:rPr>
          <w:rStyle w:val="Heading2Char"/>
        </w:rPr>
        <w:t xml:space="preserve"> positions, distributed generation outputs and switched shunt values are fixed to the values determined under Base Case Analysis</w:t>
      </w:r>
      <w:r w:rsidRPr="00C9700A">
        <w:t xml:space="preserve"> to prevent change in their values when analysing the power flows with the increment applied.</w:t>
      </w:r>
    </w:p>
    <w:p w14:paraId="3B83AD4B" w14:textId="77777777" w:rsidR="0041584B" w:rsidRPr="00C9700A" w:rsidRDefault="0041584B" w:rsidP="0041584B">
      <w:pPr>
        <w:pStyle w:val="DCSubHeading1Level2"/>
      </w:pPr>
      <w:bookmarkStart w:id="602" w:name="_Ref253261552"/>
      <w:bookmarkStart w:id="603" w:name="SensitivityCoefficientsApproach"/>
      <w:r w:rsidRPr="00C9700A">
        <w:lastRenderedPageBreak/>
        <w:t>Sensitivity Coefficients Approach</w:t>
      </w:r>
      <w:bookmarkEnd w:id="602"/>
      <w:bookmarkEnd w:id="603"/>
    </w:p>
    <w:p w14:paraId="459BE957" w14:textId="77777777" w:rsidR="0041584B" w:rsidRPr="00C9700A" w:rsidRDefault="0041584B" w:rsidP="0041584B">
      <w:pPr>
        <w:pStyle w:val="Heading2"/>
      </w:pPr>
      <w:bookmarkStart w:id="604" w:name="_Ref277947147"/>
      <w:r w:rsidRPr="00C9700A">
        <w:t>Sensitivity coefficients are a means of describing how the flow in a Branch of a network is affected by a small change of demand at a Node. There are two sensitivity coefficients for each Node-Branch combination namely:</w:t>
      </w:r>
      <w:bookmarkEnd w:id="604"/>
    </w:p>
    <w:p w14:paraId="0953994F" w14:textId="77777777" w:rsidR="0041584B" w:rsidRPr="00C70D7F" w:rsidRDefault="0041584B" w:rsidP="0041584B">
      <w:pPr>
        <w:pStyle w:val="Heading3"/>
      </w:pPr>
      <w:r w:rsidRPr="00C70D7F">
        <w:t xml:space="preserve">Branch </w:t>
      </w:r>
      <m:oMath>
        <m:r>
          <w:rPr>
            <w:rFonts w:ascii="Cambria Math" w:hAnsi="Cambria Math"/>
          </w:rPr>
          <m:t>ij</m:t>
        </m:r>
      </m:oMath>
      <w:r w:rsidRPr="00C70D7F">
        <w:t xml:space="preserve"> MVA power flow change with respect to a change of Active Power at the Node n, </w:t>
      </w:r>
      <m:oMath>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ij</m:t>
                </m:r>
              </m:sub>
            </m:sSub>
          </m:num>
          <m:den>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n</m:t>
                </m:r>
              </m:sub>
            </m:sSub>
          </m:den>
        </m:f>
      </m:oMath>
      <w:r w:rsidRPr="00C70D7F">
        <w:t>; and</w:t>
      </w:r>
    </w:p>
    <w:p w14:paraId="672D11FC" w14:textId="77777777" w:rsidR="0041584B" w:rsidRPr="00C70D7F" w:rsidRDefault="0041584B" w:rsidP="0041584B">
      <w:pPr>
        <w:pStyle w:val="Heading3"/>
      </w:pPr>
      <w:r w:rsidRPr="00C70D7F">
        <w:t xml:space="preserve">Branch </w:t>
      </w:r>
      <m:oMath>
        <m:r>
          <w:rPr>
            <w:rFonts w:ascii="Cambria Math" w:hAnsi="Cambria Math"/>
          </w:rPr>
          <m:t>ij</m:t>
        </m:r>
      </m:oMath>
      <w:r w:rsidRPr="00C70D7F">
        <w:t xml:space="preserve">  MVA power flow change with respect to a change of Reactive Power at a Node n, </w:t>
      </w:r>
      <m:oMath>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ij</m:t>
                </m:r>
              </m:sub>
            </m:sSub>
          </m:num>
          <m:den>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n</m:t>
                </m:r>
              </m:sub>
            </m:sSub>
          </m:den>
        </m:f>
        <m:r>
          <w:rPr>
            <w:rFonts w:ascii="Cambria Math" w:hAnsi="Cambria Math"/>
          </w:rPr>
          <m:t>.</m:t>
        </m:r>
      </m:oMath>
      <w:r w:rsidRPr="00C70D7F">
        <w:t xml:space="preserve"> </w:t>
      </w:r>
    </w:p>
    <w:p w14:paraId="4717E9C8" w14:textId="77777777" w:rsidR="0041584B" w:rsidRPr="00C9700A" w:rsidRDefault="0041584B" w:rsidP="0041584B">
      <w:pPr>
        <w:pStyle w:val="Heading2"/>
      </w:pPr>
      <w:r w:rsidRPr="00C9700A">
        <w:t>Every Branch in the Authorised Network Model has a pair of coefficients (for real and reactive increments) for each Node on the network.  Therefore, for a network with N Nodes and B Branches, there will be not more than N*B sensitivity coefficients for real Nodal power increments and not more than N*B sensitivity coefficients for reactive Nodal power increments.</w:t>
      </w:r>
    </w:p>
    <w:p w14:paraId="7B707372" w14:textId="77777777" w:rsidR="0041584B" w:rsidRDefault="0041584B" w:rsidP="0041584B">
      <w:pPr>
        <w:pStyle w:val="Heading2"/>
      </w:pPr>
      <w:r w:rsidRPr="00DE7858">
        <w:t xml:space="preserve">This approach uses the standard output from the power flow analysis, i.e. for each Node n the following values: </w:t>
      </w:r>
      <w:proofErr w:type="spellStart"/>
      <w:r w:rsidRPr="00DE7858">
        <w:t>Pn</w:t>
      </w:r>
      <w:proofErr w:type="spellEnd"/>
      <m:oMath>
        <m:r>
          <w:rPr>
            <w:rFonts w:ascii="Cambria Math" w:hAnsi="Cambria Math"/>
          </w:rPr>
          <m:t xml:space="preserve"> </m:t>
        </m:r>
        <m:sSub>
          <m:sSubPr>
            <m:ctrlPr>
              <w:rPr>
                <w:rFonts w:ascii="Cambria Math" w:hAnsi="Cambria Math"/>
                <w:i/>
              </w:rPr>
            </m:ctrlPr>
          </m:sSubPr>
          <m:e>
            <m:r>
              <w:rPr>
                <w:rFonts w:ascii="Cambria Math" w:hAnsi="Cambria Math"/>
              </w:rPr>
              <m:t>P</m:t>
            </m:r>
          </m:e>
          <m:sub>
            <m:r>
              <w:rPr>
                <w:rFonts w:ascii="Cambria Math" w:hAnsi="Cambria Math"/>
              </w:rPr>
              <m:t>i</m:t>
            </m:r>
          </m:sub>
        </m:sSub>
        <m:r>
          <w:rPr>
            <w:rFonts w:ascii="Cambria Math" w:hAnsi="Cambria Math"/>
          </w:rPr>
          <m:t>-</m:t>
        </m:r>
      </m:oMath>
      <w:r w:rsidRPr="00DE7858">
        <w:t xml:space="preserve"> - active power injection at Node </w:t>
      </w:r>
      <m:oMath>
        <m:r>
          <w:rPr>
            <w:rFonts w:ascii="Cambria Math" w:hAnsi="Cambria Math"/>
          </w:rPr>
          <m:t>i</m:t>
        </m:r>
      </m:oMath>
      <w:r w:rsidRPr="00DE7858">
        <w:t xml:space="preserve">, </w:t>
      </w:r>
      <m:oMath>
        <m:r>
          <w:rPr>
            <w:rFonts w:ascii="Cambria Math" w:hAnsi="Cambria Math"/>
          </w:rPr>
          <m:t xml:space="preserve"> </m:t>
        </m:r>
        <m:sSub>
          <m:sSubPr>
            <m:ctrlPr>
              <w:rPr>
                <w:rFonts w:ascii="Cambria Math" w:hAnsi="Cambria Math"/>
                <w:i/>
              </w:rPr>
            </m:ctrlPr>
          </m:sSubPr>
          <m:e>
            <m:r>
              <w:rPr>
                <w:rFonts w:ascii="Cambria Math" w:hAnsi="Cambria Math"/>
              </w:rPr>
              <m:t>Q</m:t>
            </m:r>
          </m:e>
          <m:sub>
            <m:r>
              <w:rPr>
                <w:rFonts w:ascii="Cambria Math" w:hAnsi="Cambria Math"/>
              </w:rPr>
              <m:t>i</m:t>
            </m:r>
          </m:sub>
        </m:sSub>
        <m:r>
          <w:rPr>
            <w:rFonts w:ascii="Cambria Math" w:hAnsi="Cambria Math"/>
          </w:rPr>
          <m:t>-</m:t>
        </m:r>
      </m:oMath>
      <w:r w:rsidRPr="00DE7858">
        <w:t xml:space="preserve">n reactive power injection at Node n, Vi - voltage magnitude at Node </w:t>
      </w:r>
      <m:oMath>
        <m:r>
          <w:rPr>
            <w:rFonts w:ascii="Cambria Math" w:hAnsi="Cambria Math"/>
          </w:rPr>
          <m:t>i</m:t>
        </m:r>
      </m:oMath>
      <w:r w:rsidRPr="00DE7858">
        <w:t xml:space="preserve"> and θn - </w:t>
      </w:r>
      <m:oMath>
        <m:r>
          <w:rPr>
            <w:rFonts w:ascii="Cambria Math" w:hAnsi="Cambria Math"/>
          </w:rPr>
          <m:t xml:space="preserve"> </m:t>
        </m:r>
        <m:sSub>
          <m:sSubPr>
            <m:ctrlPr>
              <w:rPr>
                <w:rFonts w:ascii="Cambria Math" w:hAnsi="Cambria Math"/>
                <w:i/>
              </w:rPr>
            </m:ctrlPr>
          </m:sSubPr>
          <m:e>
            <m:r>
              <w:rPr>
                <w:rFonts w:ascii="Cambria Math" w:hAnsi="Cambria Math"/>
              </w:rPr>
              <m:t>θ</m:t>
            </m:r>
          </m:e>
          <m:sub>
            <m:r>
              <w:rPr>
                <w:rFonts w:ascii="Cambria Math" w:hAnsi="Cambria Math"/>
              </w:rPr>
              <m:t>i</m:t>
            </m:r>
          </m:sub>
        </m:sSub>
        <m:r>
          <w:rPr>
            <w:rFonts w:ascii="Cambria Math" w:hAnsi="Cambria Math"/>
          </w:rPr>
          <m:t>-</m:t>
        </m:r>
      </m:oMath>
      <w:r w:rsidRPr="00DE7858">
        <w:t xml:space="preserve">voltage angle at Node </w:t>
      </w:r>
      <m:oMath>
        <m:r>
          <w:rPr>
            <w:rFonts w:ascii="Cambria Math" w:hAnsi="Cambria Math"/>
          </w:rPr>
          <m:t>i</m:t>
        </m:r>
      </m:oMath>
      <w:r w:rsidRPr="00DE7858">
        <w:t xml:space="preserve">.  Then, for each Branch </w:t>
      </w:r>
      <m:oMath>
        <m:r>
          <w:rPr>
            <w:rFonts w:ascii="Cambria Math" w:hAnsi="Cambria Math"/>
          </w:rPr>
          <m:t>ij</m:t>
        </m:r>
      </m:oMath>
      <w:r w:rsidRPr="00DE7858">
        <w:t xml:space="preserve"> (between Node </w:t>
      </w:r>
      <m:oMath>
        <m:r>
          <w:rPr>
            <w:rFonts w:ascii="Cambria Math" w:hAnsi="Cambria Math"/>
          </w:rPr>
          <m:t>i</m:t>
        </m:r>
      </m:oMath>
      <w:r w:rsidRPr="00DE7858">
        <w:t xml:space="preserve">and Node  </w:t>
      </w:r>
      <m:oMath>
        <m:r>
          <m:rPr>
            <m:sty m:val="bi"/>
          </m:rPr>
          <w:rPr>
            <w:rFonts w:ascii="Cambria Math" w:hAnsi="Cambria Math"/>
          </w:rPr>
          <m:t>j</m:t>
        </m:r>
      </m:oMath>
      <w:r w:rsidRPr="00DE7858">
        <w:t xml:space="preserve">)  a set </w:t>
      </w:r>
      <w:proofErr w:type="gramStart"/>
      <w:r w:rsidRPr="00DE7858">
        <w:t>of  sensitiv</w:t>
      </w:r>
      <w:proofErr w:type="spellStart"/>
      <w:r w:rsidRPr="00DE7858">
        <w:t>ity</w:t>
      </w:r>
      <w:proofErr w:type="spellEnd"/>
      <w:proofErr w:type="gramEnd"/>
      <w:r w:rsidRPr="00DE7858">
        <w:t xml:space="preserve">  coefficients  will  be  calculated  using  the  set  of  equations here presented in matrix format (see matrix equation below):</w:t>
      </w:r>
    </w:p>
    <w:p w14:paraId="2409DBCB" w14:textId="77777777" w:rsidR="0041584B" w:rsidRPr="00DE7858" w:rsidRDefault="0041584B" w:rsidP="0041584B">
      <w:pPr>
        <w:spacing w:after="120"/>
        <w:jc w:val="center"/>
      </w:pPr>
      <m:oMath>
        <m:r>
          <w:rPr>
            <w:rFonts w:ascii="Cambria Math" w:hAnsi="Cambria Math"/>
          </w:rPr>
          <m:t>A.x=b</m:t>
        </m:r>
      </m:oMath>
      <w:r w:rsidRPr="00DE7858">
        <w:t>; and therefore</w:t>
      </w:r>
    </w:p>
    <w:p w14:paraId="2941CC7F" w14:textId="77777777" w:rsidR="0041584B" w:rsidRPr="00C703F0" w:rsidRDefault="0041584B" w:rsidP="0041584B">
      <w:pPr>
        <w:spacing w:after="120"/>
        <w:rPr>
          <w:b/>
        </w:rPr>
      </w:pPr>
      <m:oMathPara>
        <m:oMath>
          <m:r>
            <m:rPr>
              <m:sty m:val="bi"/>
            </m:rPr>
            <w:rPr>
              <w:rFonts w:ascii="Cambria Math" w:hAnsi="Cambria Math"/>
            </w:rPr>
            <m:t>x=</m:t>
          </m:r>
          <m:sSup>
            <m:sSupPr>
              <m:ctrlPr>
                <w:rPr>
                  <w:rFonts w:ascii="Cambria Math" w:hAnsi="Cambria Math"/>
                  <w:b/>
                  <w:i/>
                </w:rPr>
              </m:ctrlPr>
            </m:sSupPr>
            <m:e>
              <m:r>
                <m:rPr>
                  <m:sty m:val="bi"/>
                </m:rPr>
                <w:rPr>
                  <w:rFonts w:ascii="Cambria Math" w:hAnsi="Cambria Math"/>
                </w:rPr>
                <m:t>A</m:t>
              </m:r>
            </m:e>
            <m:sup>
              <m:r>
                <m:rPr>
                  <m:sty m:val="bi"/>
                </m:rPr>
                <w:rPr>
                  <w:rFonts w:ascii="Cambria Math" w:hAnsi="Cambria Math"/>
                </w:rPr>
                <m:t>-1</m:t>
              </m:r>
            </m:sup>
          </m:sSup>
          <m:r>
            <m:rPr>
              <m:sty m:val="bi"/>
            </m:rPr>
            <w:rPr>
              <w:rFonts w:ascii="Cambria Math" w:hAnsi="Cambria Math"/>
            </w:rPr>
            <m:t>.b</m:t>
          </m:r>
        </m:oMath>
      </m:oMathPara>
    </w:p>
    <w:p w14:paraId="5C4EDE21" w14:textId="77777777" w:rsidR="0041584B" w:rsidRPr="003F0658" w:rsidRDefault="0041584B" w:rsidP="0041584B">
      <w:pPr>
        <w:ind w:left="720"/>
        <w:jc w:val="both"/>
      </w:pPr>
      <w:r w:rsidRPr="003F0658">
        <w:t xml:space="preserve">where x represents a vector of unknown sensitivity coefficients. A is the Jacobian Matrix which represent the first derivatives of active and reactive Nodal injections with respect to voltage angles and voltage magnitudes, respectively and b is the vector that shows the first derivatives of Branch power flow (MVA) with respect to Node voltage angles and magnitudes, respectively. It should be pointed that values of all derivatives in matrix A and vector b are calculated from the power flow solution obtained from </w:t>
      </w:r>
      <w:r w:rsidRPr="003F0658">
        <w:lastRenderedPageBreak/>
        <w:t>Base Case Analysis. Sensitivity coefficients are calculated from the following equations:</w:t>
      </w:r>
    </w:p>
    <w:p w14:paraId="58AC8874" w14:textId="77777777" w:rsidR="0041584B" w:rsidRPr="00DE7858" w:rsidRDefault="0041584B" w:rsidP="0041584B">
      <w:pPr>
        <w:pStyle w:val="Heading2"/>
      </w:pPr>
      <w:r w:rsidRPr="00B47477">
        <w:rPr>
          <w:rFonts w:eastAsia="Times New Roman"/>
          <w:noProof/>
          <w:lang w:eastAsia="en-GB"/>
        </w:rPr>
        <w:drawing>
          <wp:inline distT="0" distB="0" distL="0" distR="0" wp14:anchorId="436BB566" wp14:editId="161AE10D">
            <wp:extent cx="4991735" cy="2872105"/>
            <wp:effectExtent l="0" t="0" r="0" b="4445"/>
            <wp:docPr id="9"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4991735" cy="2872105"/>
                    </a:xfrm>
                    <a:prstGeom prst="rect">
                      <a:avLst/>
                    </a:prstGeom>
                    <a:noFill/>
                    <a:ln>
                      <a:noFill/>
                    </a:ln>
                  </pic:spPr>
                </pic:pic>
              </a:graphicData>
            </a:graphic>
          </wp:inline>
        </w:drawing>
      </w:r>
    </w:p>
    <w:p w14:paraId="6DFBBCA1" w14:textId="77777777" w:rsidR="0041584B" w:rsidRPr="00B47477" w:rsidRDefault="0041584B" w:rsidP="0041584B">
      <w:pPr>
        <w:pStyle w:val="DCNormParaL3"/>
      </w:pPr>
      <w:r w:rsidRPr="00B47477">
        <w:t>where:</w:t>
      </w:r>
    </w:p>
    <w:p w14:paraId="6D805B4E" w14:textId="77777777" w:rsidR="0041584B" w:rsidRPr="00B47477" w:rsidRDefault="0041584B" w:rsidP="0041584B">
      <w:pPr>
        <w:pStyle w:val="DCNormParaL3"/>
      </w:pPr>
      <m:oMath>
        <m:r>
          <m:rPr>
            <m:sty m:val="bi"/>
          </m:rPr>
          <w:rPr>
            <w:rFonts w:ascii="Cambria Math" w:hAnsi="Cambria Math"/>
          </w:rPr>
          <m:t>i</m:t>
        </m:r>
        <m:r>
          <w:rPr>
            <w:rFonts w:ascii="Cambria Math" w:hAnsi="Cambria Math"/>
          </w:rPr>
          <m:t>,</m:t>
        </m:r>
        <m:r>
          <m:rPr>
            <m:sty m:val="bi"/>
          </m:rPr>
          <w:rPr>
            <w:rFonts w:ascii="Cambria Math" w:hAnsi="Cambria Math"/>
          </w:rPr>
          <m:t>j</m:t>
        </m:r>
      </m:oMath>
      <w:r w:rsidRPr="00B47477">
        <w:t xml:space="preserve"> are the sending and receiving ends of Branch </w:t>
      </w:r>
      <m:oMath>
        <m:r>
          <m:rPr>
            <m:sty m:val="bi"/>
          </m:rPr>
          <w:rPr>
            <w:rFonts w:ascii="Cambria Math" w:hAnsi="Cambria Math"/>
          </w:rPr>
          <m:t>ij</m:t>
        </m:r>
      </m:oMath>
      <w:r w:rsidRPr="00B47477">
        <w:t>;</w:t>
      </w:r>
    </w:p>
    <w:p w14:paraId="703BB20C" w14:textId="77777777" w:rsidR="0041584B" w:rsidRPr="00B47477" w:rsidRDefault="0041584B" w:rsidP="0041584B">
      <w:pPr>
        <w:pStyle w:val="DCNormParaL3"/>
      </w:pPr>
      <w:r w:rsidRPr="00B47477">
        <w:t>N is the total number of Nodes;</w:t>
      </w:r>
    </w:p>
    <w:p w14:paraId="3D2A7A29" w14:textId="77777777" w:rsidR="0041584B" w:rsidRPr="00DE7858" w:rsidRDefault="0041584B" w:rsidP="0041584B">
      <w:pPr>
        <w:pStyle w:val="DCNormParaL3"/>
      </w:pPr>
      <w:r w:rsidRPr="00DE7858">
        <w:object w:dxaOrig="520" w:dyaOrig="700" w14:anchorId="49232661">
          <v:shape id="_x0000_i1035" type="#_x0000_t75" style="width:22.5pt;height:36.4pt" o:ole="">
            <v:imagedata r:id="rId39" o:title=""/>
          </v:shape>
          <o:OLEObject Type="Embed" ProgID="Equation.3" ShapeID="_x0000_i1035" DrawAspect="Content" ObjectID="_1640532504" r:id="rId40"/>
        </w:object>
      </w:r>
      <w:r w:rsidRPr="00DE7858">
        <w:object w:dxaOrig="540" w:dyaOrig="700" w14:anchorId="64842D41">
          <v:shape id="_x0000_i1036" type="#_x0000_t75" style="width:22.5pt;height:36.4pt" o:ole="">
            <v:imagedata r:id="rId41" o:title=""/>
          </v:shape>
          <o:OLEObject Type="Embed" ProgID="Equation.3" ShapeID="_x0000_i1036" DrawAspect="Content" ObjectID="_1640532505" r:id="rId42"/>
        </w:object>
      </w:r>
      <w:r w:rsidRPr="00DE7858">
        <w:t xml:space="preserve"> </w:t>
      </w:r>
      <w:r w:rsidRPr="00B47477">
        <w:rPr>
          <w:b/>
        </w:rPr>
        <w:t>are the first derivatives of Active Power and Reactive Power injections at Node N with respect to a voltage magnitude change at Node N, respectively;</w:t>
      </w:r>
    </w:p>
    <w:p w14:paraId="219D3DDB" w14:textId="77777777" w:rsidR="0041584B" w:rsidRPr="00DE7858" w:rsidRDefault="0041584B" w:rsidP="0041584B">
      <w:pPr>
        <w:pStyle w:val="DCNormParaL3"/>
      </w:pPr>
      <w:r w:rsidRPr="00DE7858">
        <w:object w:dxaOrig="520" w:dyaOrig="700" w14:anchorId="3DC90489">
          <v:shape id="_x0000_i1037" type="#_x0000_t75" style="width:22.5pt;height:36.4pt" o:ole="">
            <v:imagedata r:id="rId43" o:title=""/>
          </v:shape>
          <o:OLEObject Type="Embed" ProgID="Equation.3" ShapeID="_x0000_i1037" DrawAspect="Content" ObjectID="_1640532506" r:id="rId44"/>
        </w:object>
      </w:r>
      <w:r w:rsidRPr="00DE7858">
        <w:object w:dxaOrig="560" w:dyaOrig="700" w14:anchorId="63BFC127">
          <v:shape id="_x0000_i1038" type="#_x0000_t75" style="width:28.9pt;height:36.4pt" o:ole="">
            <v:imagedata r:id="rId45" o:title=""/>
          </v:shape>
          <o:OLEObject Type="Embed" ProgID="Equation.3" ShapeID="_x0000_i1038" DrawAspect="Content" ObjectID="_1640532507" r:id="rId46"/>
        </w:object>
      </w:r>
      <w:r w:rsidRPr="00DE7858">
        <w:t xml:space="preserve"> </w:t>
      </w:r>
      <w:r w:rsidRPr="00B47477">
        <w:rPr>
          <w:b/>
        </w:rPr>
        <w:t>are the first derivatives of Active Power and Reactive Power injections at Node N with respect to a change of voltage angle at Node N, respectively;</w:t>
      </w:r>
    </w:p>
    <w:p w14:paraId="285AAE90" w14:textId="77777777" w:rsidR="0041584B" w:rsidRPr="00DE7858" w:rsidRDefault="0041584B" w:rsidP="0041584B">
      <w:pPr>
        <w:pStyle w:val="DCNormParaL3"/>
      </w:pPr>
      <w:r w:rsidRPr="00DE7858">
        <w:object w:dxaOrig="499" w:dyaOrig="720" w14:anchorId="4E61D6A6">
          <v:shape id="_x0000_i1039" type="#_x0000_t75" style="width:22.5pt;height:36.4pt" o:ole="">
            <v:imagedata r:id="rId47" o:title=""/>
          </v:shape>
          <o:OLEObject Type="Embed" ProgID="Equation.3" ShapeID="_x0000_i1039" DrawAspect="Content" ObjectID="_1640532508" r:id="rId48"/>
        </w:object>
      </w:r>
      <w:r w:rsidRPr="00DE7858">
        <w:object w:dxaOrig="560" w:dyaOrig="720" w14:anchorId="1A748436">
          <v:shape id="_x0000_i1040" type="#_x0000_t75" style="width:28.9pt;height:36.4pt" o:ole="">
            <v:imagedata r:id="rId49" o:title=""/>
          </v:shape>
          <o:OLEObject Type="Embed" ProgID="Equation.3" ShapeID="_x0000_i1040" DrawAspect="Content" ObjectID="_1640532509" r:id="rId50"/>
        </w:object>
      </w:r>
      <w:r w:rsidRPr="00DE7858">
        <w:t xml:space="preserve"> </w:t>
      </w:r>
      <w:r w:rsidRPr="00B47477">
        <w:rPr>
          <w:b/>
        </w:rPr>
        <w:t>are the sensitivity coefficients of Branch</w:t>
      </w:r>
      <m:oMath>
        <m:r>
          <m:rPr>
            <m:sty m:val="bi"/>
          </m:rPr>
          <w:rPr>
            <w:rFonts w:ascii="Cambria Math" w:hAnsi="Cambria Math"/>
          </w:rPr>
          <m:t xml:space="preserve">  ij </m:t>
        </m:r>
      </m:oMath>
      <w:r w:rsidRPr="00B47477">
        <w:rPr>
          <w:b/>
        </w:rPr>
        <w:t>MVA power flow with respect to Active Power and Reactive Power injection at Node N, respectively; and</w:t>
      </w:r>
    </w:p>
    <w:p w14:paraId="39E78009" w14:textId="77777777" w:rsidR="0041584B" w:rsidRPr="00DE7858" w:rsidRDefault="0041584B" w:rsidP="0041584B">
      <w:pPr>
        <w:pStyle w:val="DCNormParaL3"/>
      </w:pPr>
      <w:r w:rsidRPr="00DE7858">
        <w:object w:dxaOrig="520" w:dyaOrig="720" w14:anchorId="0300C04C">
          <v:shape id="_x0000_i1041" type="#_x0000_t75" style="width:22.5pt;height:36.4pt" o:ole="">
            <v:imagedata r:id="rId51" o:title=""/>
          </v:shape>
          <o:OLEObject Type="Embed" ProgID="Equation.3" ShapeID="_x0000_i1041" DrawAspect="Content" ObjectID="_1640532510" r:id="rId52"/>
        </w:object>
      </w:r>
      <w:r w:rsidRPr="00DE7858">
        <w:object w:dxaOrig="520" w:dyaOrig="720" w14:anchorId="4EDDCB52">
          <v:shape id="_x0000_i1042" type="#_x0000_t75" style="width:22.5pt;height:36.4pt" o:ole="">
            <v:imagedata r:id="rId53" o:title=""/>
          </v:shape>
          <o:OLEObject Type="Embed" ProgID="Equation.3" ShapeID="_x0000_i1042" DrawAspect="Content" ObjectID="_1640532511" r:id="rId54"/>
        </w:object>
      </w:r>
      <w:r w:rsidRPr="00DE7858">
        <w:t xml:space="preserve"> </w:t>
      </w:r>
      <w:r w:rsidRPr="00B47477">
        <w:rPr>
          <w:b/>
        </w:rPr>
        <w:t>are the first derivatives of Branch</w:t>
      </w:r>
      <m:oMath>
        <m:r>
          <m:rPr>
            <m:sty m:val="bi"/>
          </m:rPr>
          <w:rPr>
            <w:rFonts w:ascii="Cambria Math" w:hAnsi="Cambria Math"/>
          </w:rPr>
          <m:t xml:space="preserve"> ij</m:t>
        </m:r>
      </m:oMath>
      <w:r w:rsidRPr="00B47477">
        <w:rPr>
          <w:b/>
        </w:rPr>
        <w:t xml:space="preserve"> MVA power flow with respect to voltage angle and magnitude at Node N, respectively.</w:t>
      </w:r>
      <w:r w:rsidRPr="00DE7858">
        <w:t xml:space="preserve"> </w:t>
      </w:r>
    </w:p>
    <w:p w14:paraId="0127BC2E" w14:textId="77777777" w:rsidR="0041584B" w:rsidRPr="00DE7858" w:rsidRDefault="0041584B" w:rsidP="0041584B">
      <w:pPr>
        <w:pStyle w:val="Heading2"/>
      </w:pPr>
      <w:r w:rsidRPr="00DE7858">
        <w:t>All elements of matrix A and vector b can be calculated from the power flow analysis outputs and the electrical parameters of the Authorised Network Model.  The system of equations presented above is of a generic nature. It should be noted that, in its practical application:</w:t>
      </w:r>
    </w:p>
    <w:p w14:paraId="6C6ADB31" w14:textId="77777777" w:rsidR="0041584B" w:rsidRPr="00DE7858" w:rsidRDefault="0041584B" w:rsidP="0041584B">
      <w:pPr>
        <w:pStyle w:val="Heading5"/>
        <w:ind w:left="1418"/>
      </w:pPr>
      <w:r w:rsidRPr="00DE7858">
        <w:t xml:space="preserve">Slack Node – is used to balance the Distribution System (network) Active Power and Reactive Power. The corresponding rows related to Active Power and Reactive Power for this particular Node are omitted from the Jacobian matrix and consequently the corresponding sensitivities </w:t>
      </w:r>
      <m:oMath>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ij</m:t>
                </m:r>
              </m:sub>
            </m:sSub>
          </m:num>
          <m:den>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n</m:t>
                </m:r>
              </m:sub>
            </m:sSub>
          </m:den>
        </m:f>
      </m:oMath>
      <w:r w:rsidRPr="00DE7858">
        <w:t xml:space="preserve"> , </w:t>
      </w:r>
      <m:oMath>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ij</m:t>
                </m:r>
              </m:sub>
            </m:sSub>
          </m:num>
          <m:den>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n</m:t>
                </m:r>
              </m:sub>
            </m:sSub>
          </m:den>
        </m:f>
        <m:r>
          <w:rPr>
            <w:rFonts w:ascii="Cambria Math" w:hAnsi="Cambria Math"/>
          </w:rPr>
          <m:t>.</m:t>
        </m:r>
      </m:oMath>
      <w:r w:rsidRPr="00DE7858">
        <w:t xml:space="preserve"> are set to zero for this Node; and</w:t>
      </w:r>
    </w:p>
    <w:p w14:paraId="5A67E6A1" w14:textId="77777777" w:rsidR="0041584B" w:rsidRPr="00DE7858" w:rsidRDefault="0041584B" w:rsidP="0041584B">
      <w:pPr>
        <w:pStyle w:val="Heading5"/>
        <w:ind w:left="1418"/>
      </w:pPr>
      <w:r w:rsidRPr="00DE7858">
        <w:t>PV Nodes – are used to maintain target voltages. This means that the voltage magnitude changes are omitted from the power flow state vector for such Nodes.  The corresponding rows for Reactive Power are therefore omitted from the Jacobian matrix and consequently the corresponding sensitivities </w:t>
      </w:r>
      <m:oMath>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ij</m:t>
                </m:r>
              </m:sub>
            </m:sSub>
          </m:num>
          <m:den>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n</m:t>
                </m:r>
              </m:sub>
            </m:sSub>
          </m:den>
        </m:f>
        <m:r>
          <w:rPr>
            <w:rFonts w:ascii="Cambria Math" w:hAnsi="Cambria Math"/>
          </w:rPr>
          <m:t>.</m:t>
        </m:r>
      </m:oMath>
      <w:r w:rsidRPr="00DE7858">
        <w:t xml:space="preserve"> are set to zero for such Nodes.</w:t>
      </w:r>
    </w:p>
    <w:p w14:paraId="5F078F38" w14:textId="77777777" w:rsidR="0041584B" w:rsidRPr="00DE7858" w:rsidRDefault="0041584B" w:rsidP="0041584B">
      <w:pPr>
        <w:pStyle w:val="Heading2"/>
      </w:pPr>
      <w:r w:rsidRPr="00DE7858">
        <w:t xml:space="preserve">For the calculation of Incremented Flows, sensitivity coefficients (vector x) are calculated from the power flow solution determined in the Base Case Analysis. Once calculated, the sensitivity coefficients are used to calculate the new power flow in a Branch by multiplying the coefficient by the Nodal increment or decrement to evaluate the change in power flows and adding this to the Base Case Flow of the Branch. The results are referred as Incremented Flows.  </w:t>
      </w:r>
    </w:p>
    <w:p w14:paraId="400E444A" w14:textId="77777777" w:rsidR="0041584B" w:rsidRPr="00DE7858" w:rsidRDefault="0041584B" w:rsidP="0041584B">
      <w:pPr>
        <w:pStyle w:val="Heading2"/>
      </w:pPr>
      <w:r w:rsidRPr="00DE7858">
        <w:t xml:space="preserve">For an increment of 0.1 MW at 0.95 power factor (i.e. 0.1 MW and 0.0329 </w:t>
      </w:r>
      <w:proofErr w:type="spellStart"/>
      <w:r w:rsidRPr="00DE7858">
        <w:t>MVAr</w:t>
      </w:r>
      <w:proofErr w:type="spellEnd"/>
      <w:r w:rsidRPr="00DE7858">
        <w:t>):</w:t>
      </w:r>
    </w:p>
    <w:p w14:paraId="7E5EA8C4" w14:textId="77777777" w:rsidR="0041584B" w:rsidRPr="00DE7858" w:rsidRDefault="0041584B" w:rsidP="0041584B">
      <m:oMathPara>
        <m:oMath>
          <m:r>
            <w:rPr>
              <w:rFonts w:ascii="Cambria Math" w:hAnsi="Cambria Math"/>
            </w:rPr>
            <m:t xml:space="preserve">Incremented </m:t>
          </m:r>
          <m:sSub>
            <m:sSubPr>
              <m:ctrlPr>
                <w:rPr>
                  <w:rFonts w:ascii="Cambria Math" w:hAnsi="Cambria Math"/>
                  <w:i/>
                </w:rPr>
              </m:ctrlPr>
            </m:sSubPr>
            <m:e>
              <m:r>
                <w:rPr>
                  <w:rFonts w:ascii="Cambria Math" w:hAnsi="Cambria Math"/>
                </w:rPr>
                <m:t>Flow</m:t>
              </m:r>
            </m:e>
            <m:sub>
              <m:r>
                <w:rPr>
                  <w:rFonts w:ascii="Cambria Math" w:hAnsi="Cambria Math"/>
                </w:rPr>
                <m:t>n,ij</m:t>
              </m:r>
            </m:sub>
          </m:sSub>
          <m:r>
            <w:rPr>
              <w:rFonts w:ascii="Cambria Math" w:hAnsi="Cambria Math"/>
            </w:rPr>
            <m:t xml:space="preserve">=Base Case </m:t>
          </m:r>
          <m:sSub>
            <m:sSubPr>
              <m:ctrlPr>
                <w:rPr>
                  <w:rFonts w:ascii="Cambria Math" w:hAnsi="Cambria Math"/>
                  <w:i/>
                </w:rPr>
              </m:ctrlPr>
            </m:sSubPr>
            <m:e>
              <m:r>
                <w:rPr>
                  <w:rFonts w:ascii="Cambria Math" w:hAnsi="Cambria Math"/>
                </w:rPr>
                <m:t>Flow</m:t>
              </m:r>
            </m:e>
            <m:sub>
              <m:r>
                <w:rPr>
                  <w:rFonts w:ascii="Cambria Math" w:hAnsi="Cambria Math"/>
                </w:rPr>
                <m:t>ij</m:t>
              </m:r>
            </m:sub>
          </m:sSub>
          <m:r>
            <w:rPr>
              <w:rFonts w:ascii="Cambria Math" w:hAnsi="Cambria Math"/>
            </w:rPr>
            <m:t>+0.1*</m:t>
          </m:r>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ij</m:t>
                  </m:r>
                </m:sub>
              </m:sSub>
            </m:num>
            <m:den>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n</m:t>
                  </m:r>
                </m:sub>
              </m:sSub>
            </m:den>
          </m:f>
          <m:r>
            <w:rPr>
              <w:rFonts w:ascii="Cambria Math" w:hAnsi="Cambria Math"/>
            </w:rPr>
            <m:t xml:space="preserve"> +0.0329*</m:t>
          </m:r>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ij</m:t>
                  </m:r>
                </m:sub>
              </m:sSub>
            </m:num>
            <m:den>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n</m:t>
                  </m:r>
                </m:sub>
              </m:sSub>
            </m:den>
          </m:f>
        </m:oMath>
      </m:oMathPara>
    </w:p>
    <w:p w14:paraId="107D57E6" w14:textId="77777777" w:rsidR="0041584B" w:rsidRPr="003F0658" w:rsidRDefault="0041584B" w:rsidP="0041584B">
      <w:pPr>
        <w:ind w:left="720"/>
      </w:pPr>
      <w:r w:rsidRPr="003F0658">
        <w:t xml:space="preserve">where, </w:t>
      </w:r>
      <m:oMath>
        <m:r>
          <w:rPr>
            <w:rFonts w:ascii="Cambria Math" w:hAnsi="Cambria Math"/>
          </w:rPr>
          <m:t xml:space="preserve">Incremented </m:t>
        </m:r>
        <m:sSub>
          <m:sSubPr>
            <m:ctrlPr>
              <w:rPr>
                <w:rFonts w:ascii="Cambria Math" w:hAnsi="Cambria Math"/>
                <w:i/>
              </w:rPr>
            </m:ctrlPr>
          </m:sSubPr>
          <m:e>
            <m:r>
              <w:rPr>
                <w:rFonts w:ascii="Cambria Math" w:hAnsi="Cambria Math"/>
              </w:rPr>
              <m:t>Flow</m:t>
            </m:r>
          </m:e>
          <m:sub>
            <m:r>
              <w:rPr>
                <w:rFonts w:ascii="Cambria Math" w:hAnsi="Cambria Math"/>
              </w:rPr>
              <m:t>n,ij</m:t>
            </m:r>
          </m:sub>
        </m:sSub>
      </m:oMath>
      <w:r w:rsidRPr="003F0658">
        <w:t xml:space="preserve"> is the new MVA power flow in Branch </w:t>
      </w:r>
      <m:oMath>
        <m:r>
          <w:rPr>
            <w:rFonts w:ascii="Cambria Math" w:hAnsi="Cambria Math"/>
          </w:rPr>
          <m:t>ij</m:t>
        </m:r>
      </m:oMath>
      <w:r w:rsidRPr="003F0658" w:rsidDel="00205324">
        <w:t xml:space="preserve"> </w:t>
      </w:r>
      <w:r w:rsidRPr="003F0658">
        <w:t xml:space="preserve">as a result of a change of demand at Node </w:t>
      </w:r>
      <m:oMath>
        <m:r>
          <w:rPr>
            <w:rFonts w:ascii="Cambria Math" w:hAnsi="Cambria Math"/>
          </w:rPr>
          <m:t>n</m:t>
        </m:r>
      </m:oMath>
      <w:r w:rsidRPr="003F0658">
        <w:t xml:space="preserve">, </w:t>
      </w:r>
      <m:oMath>
        <m:r>
          <w:rPr>
            <w:rFonts w:ascii="Cambria Math" w:hAnsi="Cambria Math"/>
          </w:rPr>
          <m:t xml:space="preserve">Base Case </m:t>
        </m:r>
        <m:sSub>
          <m:sSubPr>
            <m:ctrlPr>
              <w:rPr>
                <w:rFonts w:ascii="Cambria Math" w:hAnsi="Cambria Math"/>
                <w:i/>
              </w:rPr>
            </m:ctrlPr>
          </m:sSubPr>
          <m:e>
            <m:r>
              <w:rPr>
                <w:rFonts w:ascii="Cambria Math" w:hAnsi="Cambria Math"/>
              </w:rPr>
              <m:t>Flow</m:t>
            </m:r>
          </m:e>
          <m:sub>
            <m:r>
              <w:rPr>
                <w:rFonts w:ascii="Cambria Math" w:hAnsi="Cambria Math"/>
              </w:rPr>
              <m:t>ij</m:t>
            </m:r>
          </m:sub>
        </m:sSub>
        <m:r>
          <w:rPr>
            <w:rFonts w:ascii="Cambria Math" w:hAnsi="Cambria Math"/>
          </w:rPr>
          <m:t xml:space="preserve"> </m:t>
        </m:r>
      </m:oMath>
      <w:r w:rsidRPr="003F0658">
        <w:t xml:space="preserve">is the MVA power flow in Branch </w:t>
      </w:r>
      <m:oMath>
        <m:r>
          <w:rPr>
            <w:rFonts w:ascii="Cambria Math" w:hAnsi="Cambria Math"/>
          </w:rPr>
          <w:lastRenderedPageBreak/>
          <m:t>ij</m:t>
        </m:r>
      </m:oMath>
      <w:r w:rsidRPr="003F0658">
        <w:t xml:space="preserve"> as determined in the Base Case Analysis, </w:t>
      </w:r>
      <m:oMath>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ij</m:t>
                </m:r>
              </m:sub>
            </m:sSub>
          </m:num>
          <m:den>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n</m:t>
                </m:r>
              </m:sub>
            </m:sSub>
          </m:den>
        </m:f>
      </m:oMath>
      <w:r w:rsidRPr="003F0658">
        <w:t xml:space="preserve"> is the Active Power sensitivity coefficient for a Node </w:t>
      </w:r>
      <m:oMath>
        <m:r>
          <w:rPr>
            <w:rFonts w:ascii="Cambria Math" w:hAnsi="Cambria Math"/>
          </w:rPr>
          <m:t>n</m:t>
        </m:r>
      </m:oMath>
      <w:r w:rsidRPr="003F0658">
        <w:t xml:space="preserve"> and Branch </w:t>
      </w:r>
      <m:oMath>
        <m:r>
          <w:rPr>
            <w:rFonts w:ascii="Cambria Math" w:hAnsi="Cambria Math"/>
          </w:rPr>
          <m:t>ij</m:t>
        </m:r>
      </m:oMath>
      <w:r w:rsidRPr="003F0658" w:rsidDel="00205324">
        <w:t xml:space="preserve"> </w:t>
      </w:r>
      <w:r w:rsidRPr="003F0658">
        <w:t xml:space="preserve">combination; and </w:t>
      </w:r>
      <m:oMath>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ij</m:t>
                </m:r>
              </m:sub>
            </m:sSub>
          </m:num>
          <m:den>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n</m:t>
                </m:r>
              </m:sub>
            </m:sSub>
          </m:den>
        </m:f>
      </m:oMath>
      <w:r w:rsidRPr="003F0658">
        <w:t xml:space="preserve"> is the Reactive Power sensitivity coefficient for a Node </w:t>
      </w:r>
      <m:oMath>
        <m:r>
          <w:rPr>
            <w:rFonts w:ascii="Cambria Math" w:hAnsi="Cambria Math"/>
          </w:rPr>
          <m:t>n</m:t>
        </m:r>
      </m:oMath>
      <w:r w:rsidRPr="003F0658">
        <w:t xml:space="preserve"> and Branch </w:t>
      </w:r>
      <m:oMath>
        <m:r>
          <w:rPr>
            <w:rFonts w:ascii="Cambria Math" w:hAnsi="Cambria Math"/>
          </w:rPr>
          <m:t>ij</m:t>
        </m:r>
      </m:oMath>
      <w:r w:rsidRPr="003F0658">
        <w:t xml:space="preserve"> combination.</w:t>
      </w:r>
    </w:p>
    <w:p w14:paraId="33A1CD3A" w14:textId="77777777" w:rsidR="0041584B" w:rsidRPr="00DE7858" w:rsidRDefault="0041584B" w:rsidP="0041584B">
      <w:pPr>
        <w:pStyle w:val="DCSubHeading1Level2"/>
      </w:pPr>
      <w:bookmarkStart w:id="605" w:name="_Ref244599324"/>
      <w:bookmarkStart w:id="606" w:name="_Ref244599335"/>
      <w:bookmarkStart w:id="607" w:name="_Toc244619532"/>
      <w:bookmarkStart w:id="608" w:name="_Toc244667070"/>
      <w:bookmarkStart w:id="609" w:name="_Toc244667536"/>
      <w:bookmarkStart w:id="610" w:name="_Toc246843698"/>
      <w:bookmarkStart w:id="611" w:name="_Toc268553688"/>
      <w:bookmarkStart w:id="612" w:name="_Toc269379877"/>
      <w:bookmarkStart w:id="613" w:name="_Toc269720526"/>
      <w:bookmarkStart w:id="614" w:name="_Toc269721223"/>
      <w:r w:rsidRPr="00DE7858">
        <w:t>Outputs from Power Flow Analysis</w:t>
      </w:r>
      <w:bookmarkStart w:id="615" w:name="_Toc215410220"/>
      <w:bookmarkStart w:id="616" w:name="_Toc215410504"/>
      <w:bookmarkEnd w:id="605"/>
      <w:bookmarkEnd w:id="606"/>
      <w:bookmarkEnd w:id="607"/>
      <w:bookmarkEnd w:id="608"/>
      <w:bookmarkEnd w:id="609"/>
      <w:bookmarkEnd w:id="610"/>
      <w:bookmarkEnd w:id="611"/>
      <w:bookmarkEnd w:id="612"/>
      <w:bookmarkEnd w:id="613"/>
      <w:bookmarkEnd w:id="614"/>
      <w:bookmarkEnd w:id="615"/>
      <w:bookmarkEnd w:id="616"/>
    </w:p>
    <w:p w14:paraId="614AE629" w14:textId="77777777" w:rsidR="0041584B" w:rsidRPr="00DE7858" w:rsidRDefault="0041584B" w:rsidP="0041584B">
      <w:pPr>
        <w:pStyle w:val="Heading2"/>
      </w:pPr>
      <w:r w:rsidRPr="00DE7858">
        <w:t>To illustrate the outputs from the power flow analysis the example network is shown in Figure 6</w:t>
      </w:r>
      <w:r>
        <w:t xml:space="preserve"> </w:t>
      </w:r>
      <w:r w:rsidRPr="00DE7858">
        <w:t>and the power flow analysis results (from the application of 0.1MW increments, in the direction of demand (load), to Nodes in the Maximum Demand Scenario) is shown in</w:t>
      </w:r>
      <w:r>
        <w:t xml:space="preserve"> Table 6.32</w:t>
      </w:r>
      <w:r w:rsidRPr="00DE7858">
        <w:t>.</w:t>
      </w:r>
    </w:p>
    <w:p w14:paraId="116CA6A9" w14:textId="77777777" w:rsidR="0041584B" w:rsidRPr="00A429F4" w:rsidRDefault="0041584B" w:rsidP="0041584B">
      <w:pPr>
        <w:ind w:firstLine="720"/>
        <w:rPr>
          <w:b/>
        </w:rPr>
      </w:pPr>
      <w:bookmarkStart w:id="617" w:name="_Ref244602895"/>
      <w:bookmarkStart w:id="618" w:name="_Toc217789469"/>
      <w:bookmarkStart w:id="619" w:name="_Toc246843722"/>
      <w:bookmarkStart w:id="620" w:name="_Toc255160521"/>
      <w:r w:rsidRPr="00A429F4">
        <w:rPr>
          <w:b/>
        </w:rPr>
        <w:t xml:space="preserve">Figure </w:t>
      </w:r>
      <w:r>
        <w:rPr>
          <w:b/>
        </w:rPr>
        <w:t>6</w:t>
      </w:r>
      <w:bookmarkEnd w:id="617"/>
      <w:r w:rsidRPr="00A429F4">
        <w:rPr>
          <w:b/>
        </w:rPr>
        <w:t xml:space="preserve"> - Example network</w:t>
      </w:r>
      <w:bookmarkEnd w:id="618"/>
      <w:bookmarkEnd w:id="619"/>
      <w:r w:rsidRPr="00A429F4">
        <w:rPr>
          <w:b/>
        </w:rPr>
        <w:t>.</w:t>
      </w:r>
      <w:bookmarkEnd w:id="620"/>
    </w:p>
    <w:p w14:paraId="10426D3A" w14:textId="77777777" w:rsidR="0041584B" w:rsidRDefault="0041584B" w:rsidP="0041584B">
      <w:pPr>
        <w:pStyle w:val="DCSubHeading2Level2"/>
      </w:pPr>
      <w:r w:rsidRPr="00A429F4">
        <w:rPr>
          <w:rFonts w:ascii="Times New Roman" w:eastAsia="Times New Roman" w:hAnsi="Times New Roman" w:cs="Times New Roman"/>
          <w:noProof/>
          <w:szCs w:val="24"/>
          <w:lang w:eastAsia="en-GB"/>
        </w:rPr>
        <w:drawing>
          <wp:inline distT="0" distB="0" distL="0" distR="0" wp14:anchorId="51863980" wp14:editId="2558CC67">
            <wp:extent cx="4356735" cy="270002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4356735" cy="2700020"/>
                    </a:xfrm>
                    <a:prstGeom prst="rect">
                      <a:avLst/>
                    </a:prstGeom>
                    <a:noFill/>
                    <a:ln>
                      <a:noFill/>
                    </a:ln>
                  </pic:spPr>
                </pic:pic>
              </a:graphicData>
            </a:graphic>
          </wp:inline>
        </w:drawing>
      </w:r>
    </w:p>
    <w:p w14:paraId="5F64F6A7" w14:textId="77777777" w:rsidR="0041584B" w:rsidRPr="00DE7858" w:rsidRDefault="0041584B" w:rsidP="0041584B">
      <w:pPr>
        <w:pStyle w:val="Heading2"/>
      </w:pPr>
      <w:r>
        <w:t>Table 6.32</w:t>
      </w:r>
      <w:r w:rsidRPr="00DE7858">
        <w:t xml:space="preserve"> shows the Base Case Flow, Contingency Flow, Incremented Flow, the power factor of the applied demand increment and the Security Factor for each Branch per Node for Maximum Demand Scenarios. </w:t>
      </w:r>
    </w:p>
    <w:p w14:paraId="3F57416E" w14:textId="77777777" w:rsidR="0041584B" w:rsidRDefault="0041584B" w:rsidP="0041584B">
      <w:pPr>
        <w:pStyle w:val="Heading2"/>
      </w:pPr>
      <w:r>
        <w:br w:type="page"/>
      </w:r>
    </w:p>
    <w:p w14:paraId="1175EDDC" w14:textId="77777777" w:rsidR="0041584B" w:rsidRPr="00DE7858" w:rsidRDefault="0041584B" w:rsidP="0041584B">
      <w:pPr>
        <w:pStyle w:val="Heading2"/>
      </w:pPr>
      <w:r w:rsidRPr="00DE7858">
        <w:lastRenderedPageBreak/>
        <w:t>Similar tables would need to be created for the following scenarios/increments:</w:t>
      </w:r>
    </w:p>
    <w:p w14:paraId="7432BCAD" w14:textId="77777777" w:rsidR="0041584B" w:rsidRPr="00DE7858" w:rsidRDefault="0041584B" w:rsidP="0041584B">
      <w:pPr>
        <w:pStyle w:val="Heading5"/>
        <w:ind w:left="1418"/>
        <w:jc w:val="both"/>
      </w:pPr>
      <w:r w:rsidRPr="00DE7858">
        <w:t>Minimum Demand Scenario – applying 0.1 MW at 0.95 power factor in generation direction at each Node where demand is located;</w:t>
      </w:r>
    </w:p>
    <w:p w14:paraId="597D3C0C" w14:textId="77777777" w:rsidR="0041584B" w:rsidRPr="00DE7858" w:rsidRDefault="0041584B" w:rsidP="0041584B">
      <w:pPr>
        <w:pStyle w:val="Heading5"/>
        <w:ind w:left="1418"/>
        <w:jc w:val="both"/>
      </w:pPr>
      <w:r w:rsidRPr="00DE7858">
        <w:t>Maximum Demand Scenario - applying 0.1 MW at unity power factor in demand direction at each Node where generation is located; and</w:t>
      </w:r>
    </w:p>
    <w:p w14:paraId="3475744C" w14:textId="77777777" w:rsidR="0041584B" w:rsidRPr="00DE7858" w:rsidRDefault="0041584B" w:rsidP="0041584B">
      <w:pPr>
        <w:pStyle w:val="Heading5"/>
        <w:ind w:left="1418"/>
        <w:jc w:val="both"/>
      </w:pPr>
      <w:r w:rsidRPr="00DE7858">
        <w:t>Minimum Demand Scenario – applying 0.1 MW at unity power factor in generation direction at each Node where generation is located.</w:t>
      </w:r>
    </w:p>
    <w:p w14:paraId="18FB5C95" w14:textId="77777777" w:rsidR="0041584B" w:rsidRPr="00A429F4" w:rsidRDefault="0041584B" w:rsidP="0041584B">
      <w:pPr>
        <w:spacing w:after="0"/>
        <w:jc w:val="center"/>
        <w:rPr>
          <w:b/>
        </w:rPr>
      </w:pPr>
      <w:bookmarkStart w:id="621" w:name="_Ref247816029"/>
      <w:bookmarkStart w:id="622" w:name="_Toc253698463"/>
      <w:r w:rsidRPr="00A429F4">
        <w:rPr>
          <w:b/>
        </w:rPr>
        <w:t xml:space="preserve">Table </w:t>
      </w:r>
      <w:bookmarkEnd w:id="621"/>
      <w:r>
        <w:rPr>
          <w:b/>
        </w:rPr>
        <w:t>6.32</w:t>
      </w:r>
      <w:r w:rsidRPr="00A429F4">
        <w:rPr>
          <w:b/>
        </w:rPr>
        <w:t xml:space="preserve"> - An example set of output results from Maximum Demand Scenario</w:t>
      </w:r>
      <w:bookmarkEnd w:id="622"/>
    </w:p>
    <w:tbl>
      <w:tblPr>
        <w:tblStyle w:val="GridTable4-Accent3"/>
        <w:tblW w:w="5422" w:type="pct"/>
        <w:jc w:val="center"/>
        <w:tblLayout w:type="fixed"/>
        <w:tblLook w:val="0620" w:firstRow="1" w:lastRow="0" w:firstColumn="0" w:lastColumn="0" w:noHBand="1" w:noVBand="1"/>
      </w:tblPr>
      <w:tblGrid>
        <w:gridCol w:w="1562"/>
        <w:gridCol w:w="1559"/>
        <w:gridCol w:w="1134"/>
        <w:gridCol w:w="1275"/>
        <w:gridCol w:w="1559"/>
        <w:gridCol w:w="1148"/>
        <w:gridCol w:w="1543"/>
      </w:tblGrid>
      <w:tr w:rsidR="0041584B" w:rsidRPr="001F7BF0" w14:paraId="63619442" w14:textId="77777777" w:rsidTr="0041584B">
        <w:trPr>
          <w:cnfStyle w:val="100000000000" w:firstRow="1" w:lastRow="0" w:firstColumn="0" w:lastColumn="0" w:oddVBand="0" w:evenVBand="0" w:oddHBand="0" w:evenHBand="0" w:firstRowFirstColumn="0" w:firstRowLastColumn="0" w:lastRowFirstColumn="0" w:lastRowLastColumn="0"/>
          <w:jc w:val="center"/>
        </w:trPr>
        <w:tc>
          <w:tcPr>
            <w:tcW w:w="798" w:type="pct"/>
          </w:tcPr>
          <w:p w14:paraId="7E1B72DA" w14:textId="77777777" w:rsidR="0041584B" w:rsidRPr="001F7BF0" w:rsidRDefault="0041584B" w:rsidP="0041584B">
            <w:pPr>
              <w:pStyle w:val="DCUSATabletextnumbers"/>
              <w:rPr>
                <w:b/>
              </w:rPr>
            </w:pPr>
            <w:r w:rsidRPr="001F7BF0">
              <w:rPr>
                <w:b/>
              </w:rPr>
              <w:t>Node where increments are applied</w:t>
            </w:r>
          </w:p>
        </w:tc>
        <w:tc>
          <w:tcPr>
            <w:tcW w:w="797" w:type="pct"/>
          </w:tcPr>
          <w:p w14:paraId="7E121445" w14:textId="77777777" w:rsidR="0041584B" w:rsidRPr="001F7BF0" w:rsidRDefault="0041584B" w:rsidP="0041584B">
            <w:pPr>
              <w:pStyle w:val="DCUSATabletextnumbers"/>
              <w:rPr>
                <w:b/>
              </w:rPr>
            </w:pPr>
            <w:r w:rsidRPr="001F7BF0">
              <w:rPr>
                <w:b/>
              </w:rPr>
              <w:t xml:space="preserve">Power Factor </w:t>
            </w:r>
            <w:proofErr w:type="gramStart"/>
            <w:r w:rsidRPr="001F7BF0">
              <w:rPr>
                <w:b/>
              </w:rPr>
              <w:t>Of</w:t>
            </w:r>
            <w:proofErr w:type="gramEnd"/>
            <w:r w:rsidRPr="001F7BF0">
              <w:rPr>
                <w:b/>
              </w:rPr>
              <w:t xml:space="preserve"> Demand Increment</w:t>
            </w:r>
          </w:p>
        </w:tc>
        <w:tc>
          <w:tcPr>
            <w:tcW w:w="580" w:type="pct"/>
          </w:tcPr>
          <w:p w14:paraId="16A09DAB" w14:textId="77777777" w:rsidR="0041584B" w:rsidRPr="001F7BF0" w:rsidRDefault="0041584B" w:rsidP="0041584B">
            <w:pPr>
              <w:pStyle w:val="DCUSATabletextnumbers"/>
              <w:rPr>
                <w:b/>
              </w:rPr>
            </w:pPr>
            <w:r w:rsidRPr="001F7BF0">
              <w:rPr>
                <w:b/>
              </w:rPr>
              <w:t>Branch</w:t>
            </w:r>
          </w:p>
        </w:tc>
        <w:tc>
          <w:tcPr>
            <w:tcW w:w="652" w:type="pct"/>
          </w:tcPr>
          <w:p w14:paraId="2ACD73AD" w14:textId="77777777" w:rsidR="0041584B" w:rsidRPr="001F7BF0" w:rsidRDefault="0041584B" w:rsidP="0041584B">
            <w:pPr>
              <w:pStyle w:val="DCUSATabletextnumbers"/>
              <w:rPr>
                <w:b/>
              </w:rPr>
            </w:pPr>
            <w:r w:rsidRPr="001F7BF0">
              <w:rPr>
                <w:b/>
              </w:rPr>
              <w:t>Base Case Flow (MVA)</w:t>
            </w:r>
          </w:p>
        </w:tc>
        <w:tc>
          <w:tcPr>
            <w:tcW w:w="797" w:type="pct"/>
          </w:tcPr>
          <w:p w14:paraId="26DB836C" w14:textId="77777777" w:rsidR="0041584B" w:rsidRPr="001F7BF0" w:rsidRDefault="0041584B" w:rsidP="0041584B">
            <w:pPr>
              <w:pStyle w:val="DCUSATabletextnumbers"/>
              <w:rPr>
                <w:b/>
              </w:rPr>
            </w:pPr>
            <w:r w:rsidRPr="001F7BF0">
              <w:rPr>
                <w:b/>
              </w:rPr>
              <w:t xml:space="preserve">Maximum Contingency </w:t>
            </w:r>
            <w:proofErr w:type="gramStart"/>
            <w:r w:rsidRPr="001F7BF0">
              <w:rPr>
                <w:b/>
              </w:rPr>
              <w:t>Flow(</w:t>
            </w:r>
            <w:proofErr w:type="gramEnd"/>
            <w:r w:rsidRPr="001F7BF0">
              <w:rPr>
                <w:b/>
              </w:rPr>
              <w:t>MVA)</w:t>
            </w:r>
          </w:p>
        </w:tc>
        <w:tc>
          <w:tcPr>
            <w:tcW w:w="587" w:type="pct"/>
          </w:tcPr>
          <w:p w14:paraId="4E4D9C54" w14:textId="77777777" w:rsidR="0041584B" w:rsidRPr="001F7BF0" w:rsidRDefault="0041584B" w:rsidP="0041584B">
            <w:pPr>
              <w:pStyle w:val="DCUSATabletextnumbers"/>
              <w:rPr>
                <w:b/>
              </w:rPr>
            </w:pPr>
            <w:r w:rsidRPr="001F7BF0">
              <w:rPr>
                <w:b/>
              </w:rPr>
              <w:t>Security Factor</w:t>
            </w:r>
          </w:p>
        </w:tc>
        <w:tc>
          <w:tcPr>
            <w:tcW w:w="790" w:type="pct"/>
          </w:tcPr>
          <w:p w14:paraId="1273110B" w14:textId="77777777" w:rsidR="0041584B" w:rsidRPr="001F7BF0" w:rsidRDefault="0041584B" w:rsidP="0041584B">
            <w:pPr>
              <w:pStyle w:val="DCUSATabletextnumbers"/>
              <w:rPr>
                <w:b/>
              </w:rPr>
            </w:pPr>
            <w:r w:rsidRPr="001F7BF0">
              <w:rPr>
                <w:b/>
              </w:rPr>
              <w:t xml:space="preserve">Incremented </w:t>
            </w:r>
            <w:proofErr w:type="gramStart"/>
            <w:r w:rsidRPr="001F7BF0">
              <w:rPr>
                <w:b/>
              </w:rPr>
              <w:t>Flow(</w:t>
            </w:r>
            <w:proofErr w:type="gramEnd"/>
            <w:r w:rsidRPr="001F7BF0">
              <w:rPr>
                <w:b/>
              </w:rPr>
              <w:t>MVA)</w:t>
            </w:r>
          </w:p>
        </w:tc>
      </w:tr>
      <w:tr w:rsidR="0041584B" w:rsidRPr="001F7BF0" w14:paraId="21AC9953" w14:textId="77777777" w:rsidTr="0041584B">
        <w:trPr>
          <w:jc w:val="center"/>
        </w:trPr>
        <w:tc>
          <w:tcPr>
            <w:tcW w:w="798" w:type="pct"/>
          </w:tcPr>
          <w:p w14:paraId="318189D6" w14:textId="77777777" w:rsidR="0041584B" w:rsidRPr="001F7BF0" w:rsidRDefault="0041584B" w:rsidP="0041584B">
            <w:pPr>
              <w:spacing w:beforeLines="60" w:before="144" w:afterLines="60" w:after="144" w:line="240" w:lineRule="auto"/>
              <w:jc w:val="center"/>
              <w:rPr>
                <w:rFonts w:eastAsia="Times New Roman" w:cs="Times New Roman"/>
                <w:bCs/>
                <w:szCs w:val="24"/>
              </w:rPr>
            </w:pPr>
          </w:p>
        </w:tc>
        <w:tc>
          <w:tcPr>
            <w:tcW w:w="797" w:type="pct"/>
          </w:tcPr>
          <w:p w14:paraId="519192C2" w14:textId="77777777" w:rsidR="0041584B" w:rsidRPr="001F7BF0" w:rsidRDefault="0041584B" w:rsidP="0041584B">
            <w:pPr>
              <w:spacing w:beforeLines="60" w:before="144" w:afterLines="60" w:after="144" w:line="240" w:lineRule="auto"/>
              <w:jc w:val="center"/>
              <w:rPr>
                <w:rFonts w:eastAsia="Times New Roman" w:cs="Times New Roman"/>
                <w:bCs/>
                <w:szCs w:val="24"/>
              </w:rPr>
            </w:pPr>
          </w:p>
        </w:tc>
        <w:tc>
          <w:tcPr>
            <w:tcW w:w="580" w:type="pct"/>
          </w:tcPr>
          <w:p w14:paraId="58B80945" w14:textId="77777777" w:rsidR="0041584B" w:rsidRPr="001F7BF0" w:rsidRDefault="0041584B" w:rsidP="0041584B">
            <w:pPr>
              <w:spacing w:beforeLines="60" w:before="144" w:afterLines="60" w:after="144" w:line="240" w:lineRule="auto"/>
              <w:jc w:val="center"/>
              <w:rPr>
                <w:rFonts w:eastAsia="Times New Roman" w:cs="Times New Roman"/>
                <w:bCs/>
                <w:szCs w:val="24"/>
              </w:rPr>
            </w:pPr>
          </w:p>
        </w:tc>
        <w:tc>
          <w:tcPr>
            <w:tcW w:w="652" w:type="pct"/>
          </w:tcPr>
          <w:p w14:paraId="27489261" w14:textId="77777777" w:rsidR="0041584B" w:rsidRPr="001F7BF0" w:rsidRDefault="0041584B" w:rsidP="0041584B">
            <w:pPr>
              <w:spacing w:beforeLines="60" w:before="144" w:afterLines="60" w:after="144" w:line="240" w:lineRule="auto"/>
              <w:jc w:val="center"/>
              <w:rPr>
                <w:rFonts w:eastAsia="Times New Roman" w:cs="Times New Roman"/>
                <w:bCs/>
                <w:szCs w:val="24"/>
              </w:rPr>
            </w:pPr>
            <w:r w:rsidRPr="001F7BF0">
              <w:rPr>
                <w:rFonts w:eastAsia="Times New Roman" w:cs="Times New Roman"/>
                <w:bCs/>
                <w:szCs w:val="24"/>
              </w:rPr>
              <w:t>A</w:t>
            </w:r>
          </w:p>
        </w:tc>
        <w:tc>
          <w:tcPr>
            <w:tcW w:w="797" w:type="pct"/>
          </w:tcPr>
          <w:p w14:paraId="262465D0" w14:textId="77777777" w:rsidR="0041584B" w:rsidRPr="001F7BF0" w:rsidRDefault="0041584B" w:rsidP="0041584B">
            <w:pPr>
              <w:spacing w:beforeLines="60" w:before="144" w:afterLines="60" w:after="144" w:line="240" w:lineRule="auto"/>
              <w:jc w:val="center"/>
              <w:rPr>
                <w:rFonts w:eastAsia="Times New Roman" w:cs="Times New Roman"/>
                <w:bCs/>
                <w:szCs w:val="24"/>
              </w:rPr>
            </w:pPr>
            <w:r w:rsidRPr="001F7BF0">
              <w:rPr>
                <w:rFonts w:eastAsia="Times New Roman" w:cs="Times New Roman"/>
                <w:bCs/>
                <w:szCs w:val="24"/>
              </w:rPr>
              <w:t>B</w:t>
            </w:r>
          </w:p>
        </w:tc>
        <w:tc>
          <w:tcPr>
            <w:tcW w:w="587" w:type="pct"/>
          </w:tcPr>
          <w:p w14:paraId="5D62967B" w14:textId="77777777" w:rsidR="0041584B" w:rsidRPr="001F7BF0" w:rsidRDefault="0041584B" w:rsidP="0041584B">
            <w:pPr>
              <w:spacing w:beforeLines="60" w:before="144" w:afterLines="60" w:after="144" w:line="240" w:lineRule="auto"/>
              <w:jc w:val="center"/>
              <w:rPr>
                <w:rFonts w:eastAsia="Times New Roman" w:cs="Times New Roman"/>
                <w:bCs/>
                <w:szCs w:val="24"/>
              </w:rPr>
            </w:pPr>
            <w:r w:rsidRPr="001F7BF0">
              <w:rPr>
                <w:rFonts w:eastAsia="Times New Roman" w:cs="Times New Roman"/>
                <w:bCs/>
                <w:szCs w:val="24"/>
              </w:rPr>
              <w:t>=B/A</w:t>
            </w:r>
          </w:p>
        </w:tc>
        <w:tc>
          <w:tcPr>
            <w:tcW w:w="790" w:type="pct"/>
          </w:tcPr>
          <w:p w14:paraId="2A33D62F" w14:textId="77777777" w:rsidR="0041584B" w:rsidRPr="001F7BF0" w:rsidRDefault="0041584B" w:rsidP="0041584B">
            <w:pPr>
              <w:spacing w:beforeLines="60" w:before="144" w:afterLines="60" w:after="144" w:line="240" w:lineRule="auto"/>
              <w:jc w:val="center"/>
              <w:rPr>
                <w:rFonts w:eastAsia="Times New Roman" w:cs="Times New Roman"/>
                <w:bCs/>
                <w:szCs w:val="24"/>
              </w:rPr>
            </w:pPr>
          </w:p>
        </w:tc>
      </w:tr>
      <w:tr w:rsidR="0041584B" w:rsidRPr="001F7BF0" w14:paraId="5860065F" w14:textId="77777777" w:rsidTr="0041584B">
        <w:trPr>
          <w:jc w:val="center"/>
        </w:trPr>
        <w:tc>
          <w:tcPr>
            <w:tcW w:w="798" w:type="pct"/>
          </w:tcPr>
          <w:p w14:paraId="7582CD3B" w14:textId="77777777" w:rsidR="0041584B" w:rsidRPr="001F7BF0" w:rsidRDefault="0041584B" w:rsidP="0041584B">
            <w:pPr>
              <w:spacing w:beforeLines="60" w:before="144" w:afterLines="60" w:after="144" w:line="240" w:lineRule="auto"/>
              <w:jc w:val="center"/>
              <w:rPr>
                <w:rFonts w:eastAsia="Times New Roman" w:cs="Times New Roman"/>
                <w:bCs/>
                <w:szCs w:val="24"/>
              </w:rPr>
            </w:pPr>
            <w:r w:rsidRPr="001F7BF0">
              <w:rPr>
                <w:rFonts w:eastAsia="Times New Roman" w:cs="Times New Roman"/>
                <w:bCs/>
                <w:szCs w:val="24"/>
              </w:rPr>
              <w:t>B</w:t>
            </w:r>
          </w:p>
        </w:tc>
        <w:tc>
          <w:tcPr>
            <w:tcW w:w="797" w:type="pct"/>
          </w:tcPr>
          <w:p w14:paraId="36084699" w14:textId="77777777" w:rsidR="0041584B" w:rsidRPr="001F7BF0" w:rsidRDefault="0041584B" w:rsidP="0041584B">
            <w:pPr>
              <w:spacing w:beforeLines="60" w:before="144" w:afterLines="60" w:after="144" w:line="240" w:lineRule="auto"/>
              <w:jc w:val="center"/>
              <w:rPr>
                <w:rFonts w:eastAsia="Times New Roman" w:cs="Times New Roman"/>
                <w:bCs/>
                <w:szCs w:val="24"/>
              </w:rPr>
            </w:pPr>
            <w:r w:rsidRPr="001F7BF0">
              <w:rPr>
                <w:rFonts w:eastAsia="Times New Roman" w:cs="Times New Roman"/>
                <w:bCs/>
                <w:szCs w:val="24"/>
              </w:rPr>
              <w:t>0.95</w:t>
            </w:r>
          </w:p>
        </w:tc>
        <w:tc>
          <w:tcPr>
            <w:tcW w:w="580" w:type="pct"/>
          </w:tcPr>
          <w:p w14:paraId="7689204A" w14:textId="77777777" w:rsidR="0041584B" w:rsidRPr="001F7BF0" w:rsidRDefault="0041584B" w:rsidP="0041584B">
            <w:pPr>
              <w:spacing w:beforeLines="60" w:before="144" w:afterLines="60" w:after="144" w:line="240" w:lineRule="auto"/>
              <w:jc w:val="center"/>
              <w:rPr>
                <w:rFonts w:eastAsia="Times New Roman" w:cs="Times New Roman"/>
                <w:bCs/>
                <w:szCs w:val="24"/>
              </w:rPr>
            </w:pPr>
            <w:r w:rsidRPr="001F7BF0">
              <w:rPr>
                <w:rFonts w:eastAsia="Times New Roman" w:cs="Times New Roman"/>
                <w:bCs/>
                <w:szCs w:val="24"/>
              </w:rPr>
              <w:t>Branch 1</w:t>
            </w:r>
          </w:p>
        </w:tc>
        <w:tc>
          <w:tcPr>
            <w:tcW w:w="652" w:type="pct"/>
          </w:tcPr>
          <w:p w14:paraId="05A8A661" w14:textId="77777777" w:rsidR="0041584B" w:rsidRPr="001F7BF0" w:rsidRDefault="0041584B" w:rsidP="0041584B">
            <w:pPr>
              <w:spacing w:beforeLines="60" w:before="144" w:afterLines="60" w:after="144" w:line="240" w:lineRule="auto"/>
              <w:jc w:val="center"/>
              <w:rPr>
                <w:rFonts w:eastAsia="Times New Roman" w:cs="Times New Roman"/>
                <w:bCs/>
                <w:szCs w:val="24"/>
              </w:rPr>
            </w:pPr>
            <w:r w:rsidRPr="001F7BF0">
              <w:rPr>
                <w:rFonts w:eastAsia="Times New Roman" w:cs="Times New Roman"/>
                <w:bCs/>
                <w:szCs w:val="24"/>
              </w:rPr>
              <w:t>49.228</w:t>
            </w:r>
          </w:p>
        </w:tc>
        <w:tc>
          <w:tcPr>
            <w:tcW w:w="797" w:type="pct"/>
          </w:tcPr>
          <w:p w14:paraId="32039581" w14:textId="77777777" w:rsidR="0041584B" w:rsidRPr="001F7BF0" w:rsidRDefault="0041584B" w:rsidP="0041584B">
            <w:pPr>
              <w:spacing w:beforeLines="60" w:before="144" w:afterLines="60" w:after="144" w:line="240" w:lineRule="auto"/>
              <w:jc w:val="center"/>
              <w:rPr>
                <w:rFonts w:eastAsia="Times New Roman" w:cs="Times New Roman"/>
                <w:bCs/>
                <w:szCs w:val="24"/>
              </w:rPr>
            </w:pPr>
            <w:r w:rsidRPr="001F7BF0">
              <w:rPr>
                <w:rFonts w:eastAsia="Times New Roman" w:cs="Times New Roman"/>
                <w:bCs/>
                <w:color w:val="000000"/>
                <w:szCs w:val="24"/>
              </w:rPr>
              <w:t>63.356</w:t>
            </w:r>
          </w:p>
        </w:tc>
        <w:tc>
          <w:tcPr>
            <w:tcW w:w="587" w:type="pct"/>
          </w:tcPr>
          <w:p w14:paraId="4E8B4D87" w14:textId="77777777" w:rsidR="0041584B" w:rsidRPr="001F7BF0" w:rsidRDefault="0041584B" w:rsidP="0041584B">
            <w:pPr>
              <w:spacing w:beforeLines="60" w:before="144" w:afterLines="60" w:after="144" w:line="240" w:lineRule="auto"/>
              <w:jc w:val="center"/>
              <w:rPr>
                <w:rFonts w:eastAsia="Times New Roman" w:cs="Times New Roman"/>
                <w:bCs/>
                <w:szCs w:val="24"/>
              </w:rPr>
            </w:pPr>
            <w:r w:rsidRPr="001F7BF0">
              <w:rPr>
                <w:rFonts w:eastAsia="Times New Roman" w:cs="Times New Roman"/>
                <w:bCs/>
                <w:szCs w:val="24"/>
              </w:rPr>
              <w:t>1.287</w:t>
            </w:r>
          </w:p>
        </w:tc>
        <w:tc>
          <w:tcPr>
            <w:tcW w:w="790" w:type="pct"/>
          </w:tcPr>
          <w:p w14:paraId="512A21D0" w14:textId="77777777" w:rsidR="0041584B" w:rsidRPr="001F7BF0" w:rsidRDefault="0041584B" w:rsidP="0041584B">
            <w:pPr>
              <w:spacing w:beforeLines="60" w:before="144" w:afterLines="60" w:after="144" w:line="240" w:lineRule="auto"/>
              <w:jc w:val="center"/>
              <w:rPr>
                <w:rFonts w:eastAsia="Times New Roman" w:cs="Times New Roman"/>
                <w:bCs/>
                <w:szCs w:val="24"/>
              </w:rPr>
            </w:pPr>
            <w:r w:rsidRPr="001F7BF0">
              <w:rPr>
                <w:rFonts w:eastAsia="Times New Roman" w:cs="Times New Roman"/>
                <w:bCs/>
                <w:szCs w:val="24"/>
              </w:rPr>
              <w:t>49.299</w:t>
            </w:r>
          </w:p>
        </w:tc>
      </w:tr>
      <w:tr w:rsidR="0041584B" w:rsidRPr="001F7BF0" w14:paraId="5D90B230" w14:textId="77777777" w:rsidTr="0041584B">
        <w:trPr>
          <w:jc w:val="center"/>
        </w:trPr>
        <w:tc>
          <w:tcPr>
            <w:tcW w:w="798" w:type="pct"/>
          </w:tcPr>
          <w:p w14:paraId="76E1543C" w14:textId="77777777" w:rsidR="0041584B" w:rsidRPr="001F7BF0" w:rsidRDefault="0041584B" w:rsidP="0041584B">
            <w:pPr>
              <w:spacing w:beforeLines="60" w:before="144" w:afterLines="60" w:after="144" w:line="240" w:lineRule="auto"/>
              <w:jc w:val="center"/>
              <w:rPr>
                <w:rFonts w:eastAsia="Times New Roman" w:cs="Times New Roman"/>
                <w:bCs/>
                <w:szCs w:val="24"/>
              </w:rPr>
            </w:pPr>
          </w:p>
        </w:tc>
        <w:tc>
          <w:tcPr>
            <w:tcW w:w="797" w:type="pct"/>
          </w:tcPr>
          <w:p w14:paraId="3D6966F3" w14:textId="77777777" w:rsidR="0041584B" w:rsidRPr="001F7BF0" w:rsidRDefault="0041584B" w:rsidP="0041584B">
            <w:pPr>
              <w:spacing w:beforeLines="60" w:before="144" w:afterLines="60" w:after="144" w:line="240" w:lineRule="auto"/>
              <w:jc w:val="center"/>
              <w:rPr>
                <w:rFonts w:eastAsia="Times New Roman" w:cs="Times New Roman"/>
                <w:bCs/>
                <w:szCs w:val="24"/>
              </w:rPr>
            </w:pPr>
          </w:p>
        </w:tc>
        <w:tc>
          <w:tcPr>
            <w:tcW w:w="580" w:type="pct"/>
          </w:tcPr>
          <w:p w14:paraId="0F9F5A83" w14:textId="77777777" w:rsidR="0041584B" w:rsidRPr="001F7BF0" w:rsidRDefault="0041584B" w:rsidP="0041584B">
            <w:pPr>
              <w:spacing w:beforeLines="60" w:before="144" w:afterLines="60" w:after="144" w:line="240" w:lineRule="auto"/>
              <w:jc w:val="center"/>
              <w:rPr>
                <w:rFonts w:eastAsia="Times New Roman" w:cs="Times New Roman"/>
                <w:bCs/>
                <w:szCs w:val="24"/>
              </w:rPr>
            </w:pPr>
            <w:r w:rsidRPr="001F7BF0">
              <w:rPr>
                <w:rFonts w:eastAsia="Times New Roman" w:cs="Times New Roman"/>
                <w:bCs/>
                <w:szCs w:val="24"/>
              </w:rPr>
              <w:t>Branch 2</w:t>
            </w:r>
          </w:p>
        </w:tc>
        <w:tc>
          <w:tcPr>
            <w:tcW w:w="652" w:type="pct"/>
          </w:tcPr>
          <w:p w14:paraId="6F600C15" w14:textId="77777777" w:rsidR="0041584B" w:rsidRPr="001F7BF0" w:rsidRDefault="0041584B" w:rsidP="0041584B">
            <w:pPr>
              <w:spacing w:beforeLines="60" w:before="144" w:afterLines="60" w:after="144" w:line="240" w:lineRule="auto"/>
              <w:jc w:val="center"/>
              <w:rPr>
                <w:rFonts w:eastAsia="Times New Roman" w:cs="Times New Roman"/>
                <w:bCs/>
                <w:szCs w:val="24"/>
              </w:rPr>
            </w:pPr>
            <w:r w:rsidRPr="001F7BF0">
              <w:rPr>
                <w:rFonts w:eastAsia="Times New Roman" w:cs="Times New Roman"/>
                <w:bCs/>
                <w:szCs w:val="24"/>
              </w:rPr>
              <w:t>7.024</w:t>
            </w:r>
          </w:p>
        </w:tc>
        <w:tc>
          <w:tcPr>
            <w:tcW w:w="797" w:type="pct"/>
          </w:tcPr>
          <w:p w14:paraId="52BC802F" w14:textId="77777777" w:rsidR="0041584B" w:rsidRPr="001F7BF0" w:rsidRDefault="0041584B" w:rsidP="0041584B">
            <w:pPr>
              <w:spacing w:beforeLines="60" w:before="144" w:afterLines="60" w:after="144" w:line="240" w:lineRule="auto"/>
              <w:jc w:val="center"/>
              <w:rPr>
                <w:rFonts w:eastAsia="Times New Roman" w:cs="Times New Roman"/>
                <w:bCs/>
                <w:szCs w:val="24"/>
              </w:rPr>
            </w:pPr>
            <w:r w:rsidRPr="001F7BF0">
              <w:rPr>
                <w:rFonts w:eastAsia="Times New Roman" w:cs="Times New Roman"/>
                <w:bCs/>
                <w:color w:val="000000"/>
                <w:szCs w:val="24"/>
              </w:rPr>
              <w:t>42.179</w:t>
            </w:r>
          </w:p>
        </w:tc>
        <w:tc>
          <w:tcPr>
            <w:tcW w:w="587" w:type="pct"/>
          </w:tcPr>
          <w:p w14:paraId="248E5CF9" w14:textId="77777777" w:rsidR="0041584B" w:rsidRPr="001F7BF0" w:rsidRDefault="0041584B" w:rsidP="0041584B">
            <w:pPr>
              <w:spacing w:beforeLines="60" w:before="144" w:afterLines="60" w:after="144" w:line="240" w:lineRule="auto"/>
              <w:jc w:val="center"/>
              <w:rPr>
                <w:rFonts w:eastAsia="Times New Roman" w:cs="Times New Roman"/>
                <w:bCs/>
                <w:szCs w:val="24"/>
              </w:rPr>
            </w:pPr>
            <w:r w:rsidRPr="001F7BF0">
              <w:rPr>
                <w:rFonts w:eastAsia="Times New Roman" w:cs="Times New Roman"/>
                <w:bCs/>
                <w:szCs w:val="24"/>
              </w:rPr>
              <w:t>6.005</w:t>
            </w:r>
          </w:p>
        </w:tc>
        <w:tc>
          <w:tcPr>
            <w:tcW w:w="790" w:type="pct"/>
          </w:tcPr>
          <w:p w14:paraId="04918464" w14:textId="77777777" w:rsidR="0041584B" w:rsidRPr="001F7BF0" w:rsidRDefault="0041584B" w:rsidP="0041584B">
            <w:pPr>
              <w:spacing w:beforeLines="60" w:before="144" w:afterLines="60" w:after="144" w:line="240" w:lineRule="auto"/>
              <w:jc w:val="center"/>
              <w:rPr>
                <w:rFonts w:eastAsia="Times New Roman" w:cs="Times New Roman"/>
                <w:bCs/>
                <w:szCs w:val="24"/>
              </w:rPr>
            </w:pPr>
            <w:r w:rsidRPr="001F7BF0">
              <w:rPr>
                <w:rFonts w:eastAsia="Times New Roman" w:cs="Times New Roman"/>
                <w:bCs/>
                <w:szCs w:val="24"/>
              </w:rPr>
              <w:t>6.989</w:t>
            </w:r>
          </w:p>
        </w:tc>
      </w:tr>
      <w:tr w:rsidR="0041584B" w:rsidRPr="001F7BF0" w14:paraId="7A81F229" w14:textId="77777777" w:rsidTr="0041584B">
        <w:trPr>
          <w:jc w:val="center"/>
        </w:trPr>
        <w:tc>
          <w:tcPr>
            <w:tcW w:w="798" w:type="pct"/>
          </w:tcPr>
          <w:p w14:paraId="1310CEAE" w14:textId="77777777" w:rsidR="0041584B" w:rsidRPr="001F7BF0" w:rsidRDefault="0041584B" w:rsidP="0041584B">
            <w:pPr>
              <w:spacing w:beforeLines="60" w:before="144" w:afterLines="60" w:after="144" w:line="240" w:lineRule="auto"/>
              <w:jc w:val="center"/>
              <w:rPr>
                <w:rFonts w:eastAsia="Times New Roman" w:cs="Times New Roman"/>
                <w:bCs/>
                <w:szCs w:val="24"/>
              </w:rPr>
            </w:pPr>
          </w:p>
        </w:tc>
        <w:tc>
          <w:tcPr>
            <w:tcW w:w="797" w:type="pct"/>
          </w:tcPr>
          <w:p w14:paraId="06D5AAA1" w14:textId="77777777" w:rsidR="0041584B" w:rsidRPr="001F7BF0" w:rsidRDefault="0041584B" w:rsidP="0041584B">
            <w:pPr>
              <w:spacing w:beforeLines="60" w:before="144" w:afterLines="60" w:after="144" w:line="240" w:lineRule="auto"/>
              <w:jc w:val="center"/>
              <w:rPr>
                <w:rFonts w:eastAsia="Times New Roman" w:cs="Times New Roman"/>
                <w:bCs/>
                <w:szCs w:val="24"/>
              </w:rPr>
            </w:pPr>
          </w:p>
        </w:tc>
        <w:tc>
          <w:tcPr>
            <w:tcW w:w="580" w:type="pct"/>
          </w:tcPr>
          <w:p w14:paraId="4DFF858E" w14:textId="77777777" w:rsidR="0041584B" w:rsidRPr="001F7BF0" w:rsidRDefault="0041584B" w:rsidP="0041584B">
            <w:pPr>
              <w:spacing w:beforeLines="60" w:before="144" w:afterLines="60" w:after="144" w:line="240" w:lineRule="auto"/>
              <w:jc w:val="center"/>
              <w:rPr>
                <w:rFonts w:eastAsia="Times New Roman" w:cs="Times New Roman"/>
                <w:bCs/>
                <w:szCs w:val="24"/>
              </w:rPr>
            </w:pPr>
            <w:r w:rsidRPr="001F7BF0">
              <w:rPr>
                <w:rFonts w:eastAsia="Times New Roman" w:cs="Times New Roman"/>
                <w:bCs/>
                <w:szCs w:val="24"/>
              </w:rPr>
              <w:t>Branch 3</w:t>
            </w:r>
          </w:p>
        </w:tc>
        <w:tc>
          <w:tcPr>
            <w:tcW w:w="652" w:type="pct"/>
          </w:tcPr>
          <w:p w14:paraId="5EB372B9" w14:textId="77777777" w:rsidR="0041584B" w:rsidRPr="001F7BF0" w:rsidRDefault="0041584B" w:rsidP="0041584B">
            <w:pPr>
              <w:spacing w:beforeLines="60" w:before="144" w:afterLines="60" w:after="144" w:line="240" w:lineRule="auto"/>
              <w:jc w:val="center"/>
              <w:rPr>
                <w:rFonts w:eastAsia="Times New Roman" w:cs="Times New Roman"/>
                <w:bCs/>
                <w:szCs w:val="24"/>
              </w:rPr>
            </w:pPr>
            <w:r w:rsidRPr="001F7BF0">
              <w:rPr>
                <w:rFonts w:eastAsia="Times New Roman" w:cs="Times New Roman"/>
                <w:bCs/>
                <w:szCs w:val="24"/>
              </w:rPr>
              <w:t>28.133</w:t>
            </w:r>
          </w:p>
        </w:tc>
        <w:tc>
          <w:tcPr>
            <w:tcW w:w="797" w:type="pct"/>
          </w:tcPr>
          <w:p w14:paraId="254510C1" w14:textId="77777777" w:rsidR="0041584B" w:rsidRPr="001F7BF0" w:rsidRDefault="0041584B" w:rsidP="0041584B">
            <w:pPr>
              <w:spacing w:beforeLines="60" w:before="144" w:afterLines="60" w:after="144" w:line="240" w:lineRule="auto"/>
              <w:jc w:val="center"/>
              <w:rPr>
                <w:rFonts w:eastAsia="Times New Roman" w:cs="Times New Roman"/>
                <w:bCs/>
                <w:szCs w:val="24"/>
              </w:rPr>
            </w:pPr>
            <w:r w:rsidRPr="001F7BF0">
              <w:rPr>
                <w:rFonts w:eastAsia="Times New Roman" w:cs="Times New Roman"/>
                <w:bCs/>
                <w:color w:val="000000"/>
                <w:szCs w:val="24"/>
              </w:rPr>
              <w:t>52.890</w:t>
            </w:r>
          </w:p>
        </w:tc>
        <w:tc>
          <w:tcPr>
            <w:tcW w:w="587" w:type="pct"/>
          </w:tcPr>
          <w:p w14:paraId="65A08504" w14:textId="77777777" w:rsidR="0041584B" w:rsidRPr="001F7BF0" w:rsidRDefault="0041584B" w:rsidP="0041584B">
            <w:pPr>
              <w:spacing w:beforeLines="60" w:before="144" w:afterLines="60" w:after="144" w:line="240" w:lineRule="auto"/>
              <w:jc w:val="center"/>
              <w:rPr>
                <w:rFonts w:eastAsia="Times New Roman" w:cs="Times New Roman"/>
                <w:bCs/>
                <w:szCs w:val="24"/>
              </w:rPr>
            </w:pPr>
            <w:r w:rsidRPr="001F7BF0">
              <w:rPr>
                <w:rFonts w:eastAsia="Times New Roman" w:cs="Times New Roman"/>
                <w:bCs/>
                <w:szCs w:val="24"/>
              </w:rPr>
              <w:t>1.880</w:t>
            </w:r>
          </w:p>
        </w:tc>
        <w:tc>
          <w:tcPr>
            <w:tcW w:w="790" w:type="pct"/>
          </w:tcPr>
          <w:p w14:paraId="5A1BE08A" w14:textId="77777777" w:rsidR="0041584B" w:rsidRPr="001F7BF0" w:rsidRDefault="0041584B" w:rsidP="0041584B">
            <w:pPr>
              <w:spacing w:beforeLines="60" w:before="144" w:afterLines="60" w:after="144" w:line="240" w:lineRule="auto"/>
              <w:jc w:val="center"/>
              <w:rPr>
                <w:rFonts w:eastAsia="Times New Roman" w:cs="Times New Roman"/>
                <w:bCs/>
                <w:szCs w:val="24"/>
              </w:rPr>
            </w:pPr>
            <w:r w:rsidRPr="001F7BF0">
              <w:rPr>
                <w:rFonts w:eastAsia="Times New Roman" w:cs="Times New Roman"/>
                <w:bCs/>
                <w:szCs w:val="24"/>
              </w:rPr>
              <w:t>28.151</w:t>
            </w:r>
          </w:p>
        </w:tc>
      </w:tr>
      <w:tr w:rsidR="0041584B" w:rsidRPr="001F7BF0" w14:paraId="56CE0393" w14:textId="77777777" w:rsidTr="0041584B">
        <w:trPr>
          <w:jc w:val="center"/>
        </w:trPr>
        <w:tc>
          <w:tcPr>
            <w:tcW w:w="798" w:type="pct"/>
          </w:tcPr>
          <w:p w14:paraId="6633FB8A" w14:textId="77777777" w:rsidR="0041584B" w:rsidRPr="001F7BF0" w:rsidRDefault="0041584B" w:rsidP="0041584B">
            <w:pPr>
              <w:spacing w:beforeLines="60" w:before="144" w:afterLines="60" w:after="144" w:line="240" w:lineRule="auto"/>
              <w:jc w:val="center"/>
              <w:rPr>
                <w:rFonts w:eastAsia="Times New Roman" w:cs="Times New Roman"/>
                <w:bCs/>
                <w:szCs w:val="24"/>
              </w:rPr>
            </w:pPr>
          </w:p>
        </w:tc>
        <w:tc>
          <w:tcPr>
            <w:tcW w:w="797" w:type="pct"/>
          </w:tcPr>
          <w:p w14:paraId="7345C5A8" w14:textId="77777777" w:rsidR="0041584B" w:rsidRPr="001F7BF0" w:rsidRDefault="0041584B" w:rsidP="0041584B">
            <w:pPr>
              <w:spacing w:beforeLines="60" w:before="144" w:afterLines="60" w:after="144" w:line="240" w:lineRule="auto"/>
              <w:jc w:val="center"/>
              <w:rPr>
                <w:rFonts w:eastAsia="Times New Roman" w:cs="Times New Roman"/>
                <w:bCs/>
                <w:szCs w:val="24"/>
              </w:rPr>
            </w:pPr>
          </w:p>
        </w:tc>
        <w:tc>
          <w:tcPr>
            <w:tcW w:w="580" w:type="pct"/>
          </w:tcPr>
          <w:p w14:paraId="56BCA6C8" w14:textId="77777777" w:rsidR="0041584B" w:rsidRPr="001F7BF0" w:rsidRDefault="0041584B" w:rsidP="0041584B">
            <w:pPr>
              <w:spacing w:beforeLines="60" w:before="144" w:afterLines="60" w:after="144" w:line="240" w:lineRule="auto"/>
              <w:jc w:val="center"/>
              <w:rPr>
                <w:rFonts w:eastAsia="Times New Roman" w:cs="Times New Roman"/>
                <w:bCs/>
                <w:szCs w:val="24"/>
              </w:rPr>
            </w:pPr>
            <w:r w:rsidRPr="001F7BF0">
              <w:rPr>
                <w:rFonts w:eastAsia="Times New Roman" w:cs="Times New Roman"/>
                <w:bCs/>
                <w:szCs w:val="24"/>
              </w:rPr>
              <w:t>Branch 4</w:t>
            </w:r>
          </w:p>
        </w:tc>
        <w:tc>
          <w:tcPr>
            <w:tcW w:w="652" w:type="pct"/>
          </w:tcPr>
          <w:p w14:paraId="1E571E1A" w14:textId="77777777" w:rsidR="0041584B" w:rsidRPr="001F7BF0" w:rsidRDefault="0041584B" w:rsidP="0041584B">
            <w:pPr>
              <w:spacing w:beforeLines="60" w:before="144" w:afterLines="60" w:after="144" w:line="240" w:lineRule="auto"/>
              <w:jc w:val="center"/>
              <w:rPr>
                <w:rFonts w:eastAsia="Times New Roman" w:cs="Times New Roman"/>
                <w:bCs/>
                <w:szCs w:val="24"/>
              </w:rPr>
            </w:pPr>
            <w:r w:rsidRPr="001F7BF0">
              <w:rPr>
                <w:rFonts w:eastAsia="Times New Roman" w:cs="Times New Roman"/>
                <w:bCs/>
                <w:szCs w:val="24"/>
              </w:rPr>
              <w:t>28.133</w:t>
            </w:r>
          </w:p>
        </w:tc>
        <w:tc>
          <w:tcPr>
            <w:tcW w:w="797" w:type="pct"/>
          </w:tcPr>
          <w:p w14:paraId="0F2A7DF3" w14:textId="77777777" w:rsidR="0041584B" w:rsidRPr="001F7BF0" w:rsidRDefault="0041584B" w:rsidP="0041584B">
            <w:pPr>
              <w:spacing w:beforeLines="60" w:before="144" w:afterLines="60" w:after="144" w:line="240" w:lineRule="auto"/>
              <w:jc w:val="center"/>
              <w:rPr>
                <w:rFonts w:eastAsia="Times New Roman" w:cs="Times New Roman"/>
                <w:bCs/>
                <w:szCs w:val="24"/>
              </w:rPr>
            </w:pPr>
            <w:r w:rsidRPr="001F7BF0">
              <w:rPr>
                <w:rFonts w:eastAsia="Times New Roman" w:cs="Times New Roman"/>
                <w:bCs/>
                <w:color w:val="000000"/>
                <w:szCs w:val="24"/>
              </w:rPr>
              <w:t>52.890</w:t>
            </w:r>
          </w:p>
        </w:tc>
        <w:tc>
          <w:tcPr>
            <w:tcW w:w="587" w:type="pct"/>
          </w:tcPr>
          <w:p w14:paraId="6C2E9716" w14:textId="77777777" w:rsidR="0041584B" w:rsidRPr="001F7BF0" w:rsidRDefault="0041584B" w:rsidP="0041584B">
            <w:pPr>
              <w:spacing w:beforeLines="60" w:before="144" w:afterLines="60" w:after="144" w:line="240" w:lineRule="auto"/>
              <w:jc w:val="center"/>
              <w:rPr>
                <w:rFonts w:eastAsia="Times New Roman" w:cs="Times New Roman"/>
                <w:bCs/>
                <w:szCs w:val="24"/>
              </w:rPr>
            </w:pPr>
            <w:r w:rsidRPr="001F7BF0">
              <w:rPr>
                <w:rFonts w:eastAsia="Times New Roman" w:cs="Times New Roman"/>
                <w:bCs/>
                <w:szCs w:val="24"/>
              </w:rPr>
              <w:t>1.880</w:t>
            </w:r>
          </w:p>
        </w:tc>
        <w:tc>
          <w:tcPr>
            <w:tcW w:w="790" w:type="pct"/>
          </w:tcPr>
          <w:p w14:paraId="52670F97" w14:textId="77777777" w:rsidR="0041584B" w:rsidRPr="001F7BF0" w:rsidRDefault="0041584B" w:rsidP="0041584B">
            <w:pPr>
              <w:spacing w:beforeLines="60" w:before="144" w:afterLines="60" w:after="144" w:line="240" w:lineRule="auto"/>
              <w:jc w:val="center"/>
              <w:rPr>
                <w:rFonts w:eastAsia="Times New Roman" w:cs="Times New Roman"/>
                <w:bCs/>
                <w:szCs w:val="24"/>
              </w:rPr>
            </w:pPr>
            <w:r w:rsidRPr="001F7BF0">
              <w:rPr>
                <w:rFonts w:eastAsia="Times New Roman" w:cs="Times New Roman"/>
                <w:bCs/>
                <w:szCs w:val="24"/>
              </w:rPr>
              <w:t>28.151</w:t>
            </w:r>
          </w:p>
        </w:tc>
      </w:tr>
      <w:tr w:rsidR="0041584B" w:rsidRPr="001F7BF0" w14:paraId="443FDE8A" w14:textId="77777777" w:rsidTr="0041584B">
        <w:trPr>
          <w:jc w:val="center"/>
        </w:trPr>
        <w:tc>
          <w:tcPr>
            <w:tcW w:w="798" w:type="pct"/>
          </w:tcPr>
          <w:p w14:paraId="386BF193" w14:textId="77777777" w:rsidR="0041584B" w:rsidRPr="001F7BF0" w:rsidRDefault="0041584B" w:rsidP="0041584B">
            <w:pPr>
              <w:spacing w:beforeLines="60" w:before="144" w:afterLines="60" w:after="144" w:line="240" w:lineRule="auto"/>
              <w:ind w:firstLine="34"/>
              <w:jc w:val="center"/>
              <w:rPr>
                <w:rFonts w:eastAsia="Times New Roman" w:cs="Times New Roman"/>
                <w:bCs/>
                <w:szCs w:val="24"/>
              </w:rPr>
            </w:pPr>
            <w:r w:rsidRPr="001F7BF0">
              <w:rPr>
                <w:rFonts w:eastAsia="Times New Roman" w:cs="Times New Roman"/>
                <w:bCs/>
                <w:szCs w:val="24"/>
              </w:rPr>
              <w:t>C</w:t>
            </w:r>
          </w:p>
        </w:tc>
        <w:tc>
          <w:tcPr>
            <w:tcW w:w="797" w:type="pct"/>
          </w:tcPr>
          <w:p w14:paraId="201F5FB5" w14:textId="77777777" w:rsidR="0041584B" w:rsidRPr="001F7BF0" w:rsidRDefault="0041584B" w:rsidP="0041584B">
            <w:pPr>
              <w:spacing w:beforeLines="60" w:before="144" w:afterLines="60" w:after="144" w:line="240" w:lineRule="auto"/>
              <w:jc w:val="center"/>
              <w:rPr>
                <w:rFonts w:eastAsia="Times New Roman" w:cs="Times New Roman"/>
                <w:bCs/>
                <w:szCs w:val="24"/>
              </w:rPr>
            </w:pPr>
            <w:r w:rsidRPr="001F7BF0">
              <w:rPr>
                <w:rFonts w:eastAsia="Times New Roman" w:cs="Times New Roman"/>
                <w:bCs/>
                <w:szCs w:val="24"/>
              </w:rPr>
              <w:t>0.95</w:t>
            </w:r>
          </w:p>
        </w:tc>
        <w:tc>
          <w:tcPr>
            <w:tcW w:w="580" w:type="pct"/>
          </w:tcPr>
          <w:p w14:paraId="6EA76B48" w14:textId="77777777" w:rsidR="0041584B" w:rsidRPr="001F7BF0" w:rsidRDefault="0041584B" w:rsidP="0041584B">
            <w:pPr>
              <w:spacing w:beforeLines="60" w:before="144" w:afterLines="60" w:after="144" w:line="240" w:lineRule="auto"/>
              <w:jc w:val="center"/>
              <w:rPr>
                <w:rFonts w:eastAsia="Times New Roman" w:cs="Times New Roman"/>
                <w:bCs/>
                <w:szCs w:val="24"/>
              </w:rPr>
            </w:pPr>
            <w:r w:rsidRPr="001F7BF0">
              <w:rPr>
                <w:rFonts w:eastAsia="Times New Roman" w:cs="Times New Roman"/>
                <w:bCs/>
                <w:szCs w:val="24"/>
              </w:rPr>
              <w:t>Branch 1</w:t>
            </w:r>
          </w:p>
        </w:tc>
        <w:tc>
          <w:tcPr>
            <w:tcW w:w="652" w:type="pct"/>
          </w:tcPr>
          <w:p w14:paraId="27CBA2C4" w14:textId="77777777" w:rsidR="0041584B" w:rsidRPr="001F7BF0" w:rsidRDefault="0041584B" w:rsidP="0041584B">
            <w:pPr>
              <w:spacing w:beforeLines="60" w:before="144" w:afterLines="60" w:after="144" w:line="240" w:lineRule="auto"/>
              <w:jc w:val="center"/>
              <w:rPr>
                <w:rFonts w:eastAsia="Times New Roman" w:cs="Times New Roman"/>
                <w:bCs/>
                <w:szCs w:val="24"/>
              </w:rPr>
            </w:pPr>
            <w:r w:rsidRPr="001F7BF0">
              <w:rPr>
                <w:rFonts w:eastAsia="Times New Roman" w:cs="Times New Roman"/>
                <w:bCs/>
                <w:szCs w:val="24"/>
              </w:rPr>
              <w:t>49.228</w:t>
            </w:r>
          </w:p>
        </w:tc>
        <w:tc>
          <w:tcPr>
            <w:tcW w:w="797" w:type="pct"/>
          </w:tcPr>
          <w:p w14:paraId="4A300B8D" w14:textId="77777777" w:rsidR="0041584B" w:rsidRPr="001F7BF0" w:rsidRDefault="0041584B" w:rsidP="0041584B">
            <w:pPr>
              <w:spacing w:beforeLines="60" w:before="144" w:afterLines="60" w:after="144" w:line="240" w:lineRule="auto"/>
              <w:jc w:val="center"/>
              <w:rPr>
                <w:rFonts w:eastAsia="Times New Roman" w:cs="Times New Roman"/>
                <w:bCs/>
                <w:szCs w:val="24"/>
              </w:rPr>
            </w:pPr>
            <w:r w:rsidRPr="001F7BF0">
              <w:rPr>
                <w:rFonts w:eastAsia="Times New Roman" w:cs="Times New Roman"/>
                <w:bCs/>
                <w:color w:val="000000"/>
                <w:szCs w:val="24"/>
              </w:rPr>
              <w:t>63.356</w:t>
            </w:r>
          </w:p>
        </w:tc>
        <w:tc>
          <w:tcPr>
            <w:tcW w:w="587" w:type="pct"/>
          </w:tcPr>
          <w:p w14:paraId="3037EB9A" w14:textId="77777777" w:rsidR="0041584B" w:rsidRPr="001F7BF0" w:rsidRDefault="0041584B" w:rsidP="0041584B">
            <w:pPr>
              <w:spacing w:beforeLines="60" w:before="144" w:afterLines="60" w:after="144" w:line="240" w:lineRule="auto"/>
              <w:jc w:val="center"/>
              <w:rPr>
                <w:rFonts w:eastAsia="Times New Roman" w:cs="Times New Roman"/>
                <w:bCs/>
                <w:szCs w:val="24"/>
              </w:rPr>
            </w:pPr>
            <w:r w:rsidRPr="001F7BF0">
              <w:rPr>
                <w:rFonts w:eastAsia="Times New Roman" w:cs="Times New Roman"/>
                <w:bCs/>
                <w:szCs w:val="24"/>
              </w:rPr>
              <w:t>1.287</w:t>
            </w:r>
          </w:p>
        </w:tc>
        <w:tc>
          <w:tcPr>
            <w:tcW w:w="790" w:type="pct"/>
          </w:tcPr>
          <w:p w14:paraId="6C564271" w14:textId="77777777" w:rsidR="0041584B" w:rsidRPr="001F7BF0" w:rsidRDefault="0041584B" w:rsidP="0041584B">
            <w:pPr>
              <w:spacing w:beforeLines="60" w:before="144" w:afterLines="60" w:after="144" w:line="240" w:lineRule="auto"/>
              <w:jc w:val="center"/>
              <w:rPr>
                <w:rFonts w:eastAsia="Times New Roman" w:cs="Times New Roman"/>
                <w:bCs/>
                <w:szCs w:val="24"/>
              </w:rPr>
            </w:pPr>
            <w:r w:rsidRPr="001F7BF0">
              <w:rPr>
                <w:rFonts w:eastAsia="Times New Roman" w:cs="Times New Roman"/>
                <w:bCs/>
                <w:szCs w:val="24"/>
              </w:rPr>
              <w:t>49.263</w:t>
            </w:r>
          </w:p>
        </w:tc>
      </w:tr>
      <w:tr w:rsidR="0041584B" w:rsidRPr="001F7BF0" w14:paraId="21BFF14A" w14:textId="77777777" w:rsidTr="0041584B">
        <w:trPr>
          <w:jc w:val="center"/>
        </w:trPr>
        <w:tc>
          <w:tcPr>
            <w:tcW w:w="798" w:type="pct"/>
          </w:tcPr>
          <w:p w14:paraId="614926C7" w14:textId="77777777" w:rsidR="0041584B" w:rsidRPr="001F7BF0" w:rsidRDefault="0041584B" w:rsidP="0041584B">
            <w:pPr>
              <w:spacing w:beforeLines="60" w:before="144" w:afterLines="60" w:after="144" w:line="240" w:lineRule="auto"/>
              <w:jc w:val="center"/>
              <w:rPr>
                <w:rFonts w:eastAsia="Times New Roman" w:cs="Times New Roman"/>
                <w:bCs/>
                <w:szCs w:val="24"/>
              </w:rPr>
            </w:pPr>
          </w:p>
        </w:tc>
        <w:tc>
          <w:tcPr>
            <w:tcW w:w="797" w:type="pct"/>
          </w:tcPr>
          <w:p w14:paraId="4E61878B" w14:textId="77777777" w:rsidR="0041584B" w:rsidRPr="001F7BF0" w:rsidRDefault="0041584B" w:rsidP="0041584B">
            <w:pPr>
              <w:spacing w:beforeLines="60" w:before="144" w:afterLines="60" w:after="144" w:line="240" w:lineRule="auto"/>
              <w:jc w:val="center"/>
              <w:rPr>
                <w:rFonts w:eastAsia="Times New Roman" w:cs="Times New Roman"/>
                <w:bCs/>
                <w:szCs w:val="24"/>
              </w:rPr>
            </w:pPr>
          </w:p>
        </w:tc>
        <w:tc>
          <w:tcPr>
            <w:tcW w:w="580" w:type="pct"/>
          </w:tcPr>
          <w:p w14:paraId="0E99C4E1" w14:textId="77777777" w:rsidR="0041584B" w:rsidRPr="001F7BF0" w:rsidRDefault="0041584B" w:rsidP="0041584B">
            <w:pPr>
              <w:spacing w:beforeLines="60" w:before="144" w:afterLines="60" w:after="144" w:line="240" w:lineRule="auto"/>
              <w:jc w:val="center"/>
              <w:rPr>
                <w:rFonts w:eastAsia="Times New Roman" w:cs="Times New Roman"/>
                <w:bCs/>
                <w:szCs w:val="24"/>
              </w:rPr>
            </w:pPr>
            <w:r w:rsidRPr="001F7BF0">
              <w:rPr>
                <w:rFonts w:eastAsia="Times New Roman" w:cs="Times New Roman"/>
                <w:bCs/>
                <w:szCs w:val="24"/>
              </w:rPr>
              <w:t>Branch 2</w:t>
            </w:r>
          </w:p>
        </w:tc>
        <w:tc>
          <w:tcPr>
            <w:tcW w:w="652" w:type="pct"/>
          </w:tcPr>
          <w:p w14:paraId="3C229600" w14:textId="77777777" w:rsidR="0041584B" w:rsidRPr="001F7BF0" w:rsidRDefault="0041584B" w:rsidP="0041584B">
            <w:pPr>
              <w:spacing w:beforeLines="60" w:before="144" w:afterLines="60" w:after="144" w:line="240" w:lineRule="auto"/>
              <w:jc w:val="center"/>
              <w:rPr>
                <w:rFonts w:eastAsia="Times New Roman" w:cs="Times New Roman"/>
                <w:bCs/>
                <w:szCs w:val="24"/>
              </w:rPr>
            </w:pPr>
            <w:r w:rsidRPr="001F7BF0">
              <w:rPr>
                <w:rFonts w:eastAsia="Times New Roman" w:cs="Times New Roman"/>
                <w:bCs/>
                <w:szCs w:val="24"/>
              </w:rPr>
              <w:t>7.024</w:t>
            </w:r>
          </w:p>
        </w:tc>
        <w:tc>
          <w:tcPr>
            <w:tcW w:w="797" w:type="pct"/>
          </w:tcPr>
          <w:p w14:paraId="15E14290" w14:textId="77777777" w:rsidR="0041584B" w:rsidRPr="001F7BF0" w:rsidRDefault="0041584B" w:rsidP="0041584B">
            <w:pPr>
              <w:spacing w:beforeLines="60" w:before="144" w:afterLines="60" w:after="144" w:line="240" w:lineRule="auto"/>
              <w:jc w:val="center"/>
              <w:rPr>
                <w:rFonts w:eastAsia="Times New Roman" w:cs="Times New Roman"/>
                <w:bCs/>
                <w:szCs w:val="24"/>
              </w:rPr>
            </w:pPr>
            <w:r w:rsidRPr="001F7BF0">
              <w:rPr>
                <w:rFonts w:eastAsia="Times New Roman" w:cs="Times New Roman"/>
                <w:bCs/>
                <w:color w:val="000000"/>
                <w:szCs w:val="24"/>
              </w:rPr>
              <w:t>42.179</w:t>
            </w:r>
          </w:p>
        </w:tc>
        <w:tc>
          <w:tcPr>
            <w:tcW w:w="587" w:type="pct"/>
          </w:tcPr>
          <w:p w14:paraId="7DC34981" w14:textId="77777777" w:rsidR="0041584B" w:rsidRPr="001F7BF0" w:rsidRDefault="0041584B" w:rsidP="0041584B">
            <w:pPr>
              <w:spacing w:beforeLines="60" w:before="144" w:afterLines="60" w:after="144" w:line="240" w:lineRule="auto"/>
              <w:jc w:val="center"/>
              <w:rPr>
                <w:rFonts w:eastAsia="Times New Roman" w:cs="Times New Roman"/>
                <w:bCs/>
                <w:szCs w:val="24"/>
              </w:rPr>
            </w:pPr>
            <w:r w:rsidRPr="001F7BF0">
              <w:rPr>
                <w:rFonts w:eastAsia="Times New Roman" w:cs="Times New Roman"/>
                <w:bCs/>
                <w:szCs w:val="24"/>
              </w:rPr>
              <w:t>6.005</w:t>
            </w:r>
          </w:p>
        </w:tc>
        <w:tc>
          <w:tcPr>
            <w:tcW w:w="790" w:type="pct"/>
          </w:tcPr>
          <w:p w14:paraId="47E7C6BC" w14:textId="77777777" w:rsidR="0041584B" w:rsidRPr="001F7BF0" w:rsidRDefault="0041584B" w:rsidP="0041584B">
            <w:pPr>
              <w:spacing w:beforeLines="60" w:before="144" w:afterLines="60" w:after="144" w:line="240" w:lineRule="auto"/>
              <w:jc w:val="center"/>
              <w:rPr>
                <w:rFonts w:eastAsia="Times New Roman" w:cs="Times New Roman"/>
                <w:bCs/>
                <w:szCs w:val="24"/>
              </w:rPr>
            </w:pPr>
            <w:r w:rsidRPr="001F7BF0">
              <w:rPr>
                <w:rFonts w:eastAsia="Times New Roman" w:cs="Times New Roman"/>
                <w:bCs/>
                <w:szCs w:val="24"/>
              </w:rPr>
              <w:t>7.059</w:t>
            </w:r>
          </w:p>
        </w:tc>
      </w:tr>
      <w:tr w:rsidR="0041584B" w:rsidRPr="001F7BF0" w14:paraId="1D21BA1F" w14:textId="77777777" w:rsidTr="0041584B">
        <w:trPr>
          <w:jc w:val="center"/>
        </w:trPr>
        <w:tc>
          <w:tcPr>
            <w:tcW w:w="798" w:type="pct"/>
          </w:tcPr>
          <w:p w14:paraId="5B98794D" w14:textId="77777777" w:rsidR="0041584B" w:rsidRPr="001F7BF0" w:rsidRDefault="0041584B" w:rsidP="0041584B">
            <w:pPr>
              <w:spacing w:beforeLines="60" w:before="144" w:afterLines="60" w:after="144" w:line="240" w:lineRule="auto"/>
              <w:jc w:val="center"/>
              <w:rPr>
                <w:rFonts w:eastAsia="Times New Roman" w:cs="Times New Roman"/>
                <w:bCs/>
                <w:szCs w:val="24"/>
              </w:rPr>
            </w:pPr>
          </w:p>
        </w:tc>
        <w:tc>
          <w:tcPr>
            <w:tcW w:w="797" w:type="pct"/>
          </w:tcPr>
          <w:p w14:paraId="03725B83" w14:textId="77777777" w:rsidR="0041584B" w:rsidRPr="001F7BF0" w:rsidRDefault="0041584B" w:rsidP="0041584B">
            <w:pPr>
              <w:spacing w:beforeLines="60" w:before="144" w:afterLines="60" w:after="144" w:line="240" w:lineRule="auto"/>
              <w:jc w:val="center"/>
              <w:rPr>
                <w:rFonts w:eastAsia="Times New Roman" w:cs="Times New Roman"/>
                <w:bCs/>
                <w:szCs w:val="24"/>
              </w:rPr>
            </w:pPr>
          </w:p>
        </w:tc>
        <w:tc>
          <w:tcPr>
            <w:tcW w:w="580" w:type="pct"/>
          </w:tcPr>
          <w:p w14:paraId="552D7094" w14:textId="77777777" w:rsidR="0041584B" w:rsidRPr="001F7BF0" w:rsidRDefault="0041584B" w:rsidP="0041584B">
            <w:pPr>
              <w:spacing w:beforeLines="60" w:before="144" w:afterLines="60" w:after="144" w:line="240" w:lineRule="auto"/>
              <w:jc w:val="center"/>
              <w:rPr>
                <w:rFonts w:eastAsia="Times New Roman" w:cs="Times New Roman"/>
                <w:bCs/>
                <w:szCs w:val="24"/>
              </w:rPr>
            </w:pPr>
            <w:r w:rsidRPr="001F7BF0">
              <w:rPr>
                <w:rFonts w:eastAsia="Times New Roman" w:cs="Times New Roman"/>
                <w:bCs/>
                <w:szCs w:val="24"/>
              </w:rPr>
              <w:t>Branch 3</w:t>
            </w:r>
          </w:p>
        </w:tc>
        <w:tc>
          <w:tcPr>
            <w:tcW w:w="652" w:type="pct"/>
          </w:tcPr>
          <w:p w14:paraId="4B44BC40" w14:textId="77777777" w:rsidR="0041584B" w:rsidRPr="001F7BF0" w:rsidRDefault="0041584B" w:rsidP="0041584B">
            <w:pPr>
              <w:spacing w:beforeLines="60" w:before="144" w:afterLines="60" w:after="144" w:line="240" w:lineRule="auto"/>
              <w:jc w:val="center"/>
              <w:rPr>
                <w:rFonts w:eastAsia="Times New Roman" w:cs="Times New Roman"/>
                <w:bCs/>
                <w:szCs w:val="24"/>
              </w:rPr>
            </w:pPr>
            <w:r w:rsidRPr="001F7BF0">
              <w:rPr>
                <w:rFonts w:eastAsia="Times New Roman" w:cs="Times New Roman"/>
                <w:bCs/>
                <w:szCs w:val="24"/>
              </w:rPr>
              <w:t>28.133</w:t>
            </w:r>
          </w:p>
        </w:tc>
        <w:tc>
          <w:tcPr>
            <w:tcW w:w="797" w:type="pct"/>
          </w:tcPr>
          <w:p w14:paraId="26F6BEF7" w14:textId="77777777" w:rsidR="0041584B" w:rsidRPr="001F7BF0" w:rsidRDefault="0041584B" w:rsidP="0041584B">
            <w:pPr>
              <w:spacing w:beforeLines="60" w:before="144" w:afterLines="60" w:after="144" w:line="240" w:lineRule="auto"/>
              <w:jc w:val="center"/>
              <w:rPr>
                <w:rFonts w:eastAsia="Times New Roman" w:cs="Times New Roman"/>
                <w:bCs/>
                <w:szCs w:val="24"/>
              </w:rPr>
            </w:pPr>
            <w:r w:rsidRPr="001F7BF0">
              <w:rPr>
                <w:rFonts w:eastAsia="Times New Roman" w:cs="Times New Roman"/>
                <w:bCs/>
                <w:color w:val="000000"/>
                <w:szCs w:val="24"/>
              </w:rPr>
              <w:t>52.890</w:t>
            </w:r>
          </w:p>
        </w:tc>
        <w:tc>
          <w:tcPr>
            <w:tcW w:w="587" w:type="pct"/>
          </w:tcPr>
          <w:p w14:paraId="6308C9CB" w14:textId="77777777" w:rsidR="0041584B" w:rsidRPr="001F7BF0" w:rsidRDefault="0041584B" w:rsidP="0041584B">
            <w:pPr>
              <w:spacing w:beforeLines="60" w:before="144" w:afterLines="60" w:after="144" w:line="240" w:lineRule="auto"/>
              <w:jc w:val="center"/>
              <w:rPr>
                <w:rFonts w:eastAsia="Times New Roman" w:cs="Times New Roman"/>
                <w:bCs/>
                <w:szCs w:val="24"/>
              </w:rPr>
            </w:pPr>
            <w:r w:rsidRPr="001F7BF0">
              <w:rPr>
                <w:rFonts w:eastAsia="Times New Roman" w:cs="Times New Roman"/>
                <w:bCs/>
                <w:szCs w:val="24"/>
              </w:rPr>
              <w:t>1.880</w:t>
            </w:r>
          </w:p>
        </w:tc>
        <w:tc>
          <w:tcPr>
            <w:tcW w:w="790" w:type="pct"/>
          </w:tcPr>
          <w:p w14:paraId="63325632" w14:textId="77777777" w:rsidR="0041584B" w:rsidRPr="001F7BF0" w:rsidRDefault="0041584B" w:rsidP="0041584B">
            <w:pPr>
              <w:spacing w:beforeLines="60" w:before="144" w:afterLines="60" w:after="144" w:line="240" w:lineRule="auto"/>
              <w:jc w:val="center"/>
              <w:rPr>
                <w:rFonts w:eastAsia="Times New Roman" w:cs="Times New Roman"/>
                <w:bCs/>
                <w:szCs w:val="24"/>
              </w:rPr>
            </w:pPr>
            <w:r w:rsidRPr="001F7BF0">
              <w:rPr>
                <w:rFonts w:eastAsia="Times New Roman" w:cs="Times New Roman"/>
                <w:bCs/>
                <w:szCs w:val="24"/>
              </w:rPr>
              <w:t>28.168</w:t>
            </w:r>
          </w:p>
        </w:tc>
      </w:tr>
      <w:tr w:rsidR="0041584B" w:rsidRPr="001F7BF0" w14:paraId="3AFC9D9B" w14:textId="77777777" w:rsidTr="0041584B">
        <w:trPr>
          <w:jc w:val="center"/>
        </w:trPr>
        <w:tc>
          <w:tcPr>
            <w:tcW w:w="798" w:type="pct"/>
          </w:tcPr>
          <w:p w14:paraId="31EDF7B4" w14:textId="77777777" w:rsidR="0041584B" w:rsidRPr="001F7BF0" w:rsidRDefault="0041584B" w:rsidP="0041584B">
            <w:pPr>
              <w:spacing w:beforeLines="60" w:before="144" w:afterLines="60" w:after="144" w:line="240" w:lineRule="auto"/>
              <w:jc w:val="center"/>
              <w:rPr>
                <w:rFonts w:eastAsia="Times New Roman" w:cs="Times New Roman"/>
                <w:bCs/>
                <w:szCs w:val="24"/>
              </w:rPr>
            </w:pPr>
          </w:p>
        </w:tc>
        <w:tc>
          <w:tcPr>
            <w:tcW w:w="797" w:type="pct"/>
          </w:tcPr>
          <w:p w14:paraId="11446FF6" w14:textId="77777777" w:rsidR="0041584B" w:rsidRPr="001F7BF0" w:rsidRDefault="0041584B" w:rsidP="0041584B">
            <w:pPr>
              <w:spacing w:beforeLines="60" w:before="144" w:afterLines="60" w:after="144" w:line="240" w:lineRule="auto"/>
              <w:jc w:val="center"/>
              <w:rPr>
                <w:rFonts w:eastAsia="Times New Roman" w:cs="Times New Roman"/>
                <w:bCs/>
                <w:szCs w:val="24"/>
              </w:rPr>
            </w:pPr>
          </w:p>
        </w:tc>
        <w:tc>
          <w:tcPr>
            <w:tcW w:w="580" w:type="pct"/>
          </w:tcPr>
          <w:p w14:paraId="0987F35B" w14:textId="77777777" w:rsidR="0041584B" w:rsidRPr="001F7BF0" w:rsidRDefault="0041584B" w:rsidP="0041584B">
            <w:pPr>
              <w:spacing w:beforeLines="60" w:before="144" w:afterLines="60" w:after="144" w:line="240" w:lineRule="auto"/>
              <w:jc w:val="center"/>
              <w:rPr>
                <w:rFonts w:eastAsia="Times New Roman" w:cs="Times New Roman"/>
                <w:bCs/>
                <w:szCs w:val="24"/>
              </w:rPr>
            </w:pPr>
            <w:r w:rsidRPr="001F7BF0">
              <w:rPr>
                <w:rFonts w:eastAsia="Times New Roman" w:cs="Times New Roman"/>
                <w:bCs/>
                <w:szCs w:val="24"/>
              </w:rPr>
              <w:t>Branch 4</w:t>
            </w:r>
          </w:p>
        </w:tc>
        <w:tc>
          <w:tcPr>
            <w:tcW w:w="652" w:type="pct"/>
          </w:tcPr>
          <w:p w14:paraId="3F8FAC5F" w14:textId="77777777" w:rsidR="0041584B" w:rsidRPr="001F7BF0" w:rsidRDefault="0041584B" w:rsidP="0041584B">
            <w:pPr>
              <w:spacing w:beforeLines="60" w:before="144" w:afterLines="60" w:after="144" w:line="240" w:lineRule="auto"/>
              <w:jc w:val="center"/>
              <w:rPr>
                <w:rFonts w:eastAsia="Times New Roman" w:cs="Times New Roman"/>
                <w:bCs/>
                <w:szCs w:val="24"/>
              </w:rPr>
            </w:pPr>
            <w:r w:rsidRPr="001F7BF0">
              <w:rPr>
                <w:rFonts w:eastAsia="Times New Roman" w:cs="Times New Roman"/>
                <w:bCs/>
                <w:szCs w:val="24"/>
              </w:rPr>
              <w:t>28.133</w:t>
            </w:r>
          </w:p>
        </w:tc>
        <w:tc>
          <w:tcPr>
            <w:tcW w:w="797" w:type="pct"/>
          </w:tcPr>
          <w:p w14:paraId="05D488D7" w14:textId="77777777" w:rsidR="0041584B" w:rsidRPr="001F7BF0" w:rsidRDefault="0041584B" w:rsidP="0041584B">
            <w:pPr>
              <w:spacing w:beforeLines="60" w:before="144" w:afterLines="60" w:after="144" w:line="240" w:lineRule="auto"/>
              <w:jc w:val="center"/>
              <w:rPr>
                <w:rFonts w:eastAsia="Times New Roman" w:cs="Times New Roman"/>
                <w:bCs/>
                <w:szCs w:val="24"/>
              </w:rPr>
            </w:pPr>
            <w:r w:rsidRPr="001F7BF0">
              <w:rPr>
                <w:rFonts w:eastAsia="Times New Roman" w:cs="Times New Roman"/>
                <w:bCs/>
                <w:color w:val="000000"/>
                <w:szCs w:val="24"/>
              </w:rPr>
              <w:t>52.890</w:t>
            </w:r>
          </w:p>
        </w:tc>
        <w:tc>
          <w:tcPr>
            <w:tcW w:w="587" w:type="pct"/>
          </w:tcPr>
          <w:p w14:paraId="459248CB" w14:textId="77777777" w:rsidR="0041584B" w:rsidRPr="001F7BF0" w:rsidRDefault="0041584B" w:rsidP="0041584B">
            <w:pPr>
              <w:spacing w:beforeLines="60" w:before="144" w:afterLines="60" w:after="144" w:line="240" w:lineRule="auto"/>
              <w:jc w:val="center"/>
              <w:rPr>
                <w:rFonts w:eastAsia="Times New Roman" w:cs="Times New Roman"/>
                <w:bCs/>
                <w:szCs w:val="24"/>
              </w:rPr>
            </w:pPr>
            <w:r w:rsidRPr="001F7BF0">
              <w:rPr>
                <w:rFonts w:eastAsia="Times New Roman" w:cs="Times New Roman"/>
                <w:bCs/>
                <w:szCs w:val="24"/>
              </w:rPr>
              <w:t>1.880</w:t>
            </w:r>
          </w:p>
        </w:tc>
        <w:tc>
          <w:tcPr>
            <w:tcW w:w="790" w:type="pct"/>
          </w:tcPr>
          <w:p w14:paraId="17FF5F6D" w14:textId="77777777" w:rsidR="0041584B" w:rsidRPr="001F7BF0" w:rsidRDefault="0041584B" w:rsidP="0041584B">
            <w:pPr>
              <w:spacing w:beforeLines="60" w:before="144" w:afterLines="60" w:after="144" w:line="240" w:lineRule="auto"/>
              <w:jc w:val="center"/>
              <w:rPr>
                <w:rFonts w:eastAsia="Times New Roman" w:cs="Times New Roman"/>
                <w:bCs/>
                <w:szCs w:val="24"/>
              </w:rPr>
            </w:pPr>
            <w:r w:rsidRPr="001F7BF0">
              <w:rPr>
                <w:rFonts w:eastAsia="Times New Roman" w:cs="Times New Roman"/>
                <w:bCs/>
                <w:szCs w:val="24"/>
              </w:rPr>
              <w:t>28.168</w:t>
            </w:r>
          </w:p>
        </w:tc>
      </w:tr>
    </w:tbl>
    <w:p w14:paraId="08372851" w14:textId="77777777" w:rsidR="0041584B" w:rsidRPr="00DE5C6C" w:rsidRDefault="0041584B" w:rsidP="0041584B">
      <w:pPr>
        <w:pStyle w:val="Heading2"/>
        <w:spacing w:before="240"/>
      </w:pPr>
      <w:r w:rsidRPr="00DE5C6C">
        <w:t>It should be noted that, where both demand (load) and generation are located at a given Node, two sets of results will be produced at the Node for each scenario (one set for application of increments at 0.95 power factor and another for increments applied at unity power factor).</w:t>
      </w:r>
    </w:p>
    <w:p w14:paraId="47125935" w14:textId="77777777" w:rsidR="0041584B" w:rsidRPr="00DE5C6C" w:rsidRDefault="0041584B" w:rsidP="0041584B">
      <w:pPr>
        <w:pStyle w:val="Heading2"/>
      </w:pPr>
      <w:r w:rsidRPr="00DE5C6C">
        <w:lastRenderedPageBreak/>
        <w:t xml:space="preserve">For each Node where demand is incremented any Branch showing a power flow change greater than both 1kVA and 0.01% of the Branch Base Case Flow is listed in table </w:t>
      </w:r>
      <w:r>
        <w:t>6.32</w:t>
      </w:r>
      <w:r w:rsidRPr="00DE5C6C">
        <w:t xml:space="preserve"> above, which also shows the Base Case Flow, Security Factor and Incremented Flow. The filtering of the flows against the above criteria may be carried out at this stage of the power flow analysis or alternatively included in the cost modelling element of the process for pricing. It should be noted that for each Node-Branch combination the Base Case Flows, Security Factors, Incremented Flows and Branch Ratings may be different.</w:t>
      </w:r>
      <w:bookmarkStart w:id="623" w:name="_Ref250579864"/>
      <w:bookmarkStart w:id="624" w:name="_Toc268553689"/>
      <w:bookmarkStart w:id="625" w:name="_Toc269379878"/>
      <w:bookmarkStart w:id="626" w:name="_Toc269720527"/>
    </w:p>
    <w:p w14:paraId="25F51F6C" w14:textId="77777777" w:rsidR="0041584B" w:rsidRDefault="0041584B" w:rsidP="0041584B">
      <w:pPr>
        <w:pStyle w:val="Heading1"/>
      </w:pPr>
      <w:bookmarkStart w:id="627" w:name="CalculationofNodalIncrementalCosts"/>
      <w:bookmarkStart w:id="628" w:name="_Ref277950059"/>
      <w:bookmarkStart w:id="629" w:name="_Toc320876099"/>
      <w:bookmarkStart w:id="630" w:name="_Toc320876722"/>
      <w:bookmarkStart w:id="631" w:name="_Toc325449936"/>
      <w:bookmarkStart w:id="632" w:name="_Toc339284580"/>
      <w:bookmarkStart w:id="633" w:name="_Toc360027756"/>
      <w:bookmarkStart w:id="634" w:name="_Toc360028110"/>
      <w:bookmarkStart w:id="635" w:name="_Toc391559969"/>
      <w:bookmarkStart w:id="636" w:name="_Toc510303089"/>
      <w:bookmarkStart w:id="637" w:name="_Toc513018503"/>
      <w:bookmarkStart w:id="638" w:name="_Toc518333688"/>
      <w:bookmarkStart w:id="639" w:name="_Toc527908544"/>
      <w:r w:rsidRPr="00DE5C6C">
        <w:t>Calculation of Nodal incremental costs</w:t>
      </w:r>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p>
    <w:p w14:paraId="47C32B8E" w14:textId="77777777" w:rsidR="0041584B" w:rsidRPr="00DE5C6C" w:rsidRDefault="0041584B" w:rsidP="0041584B">
      <w:pPr>
        <w:pStyle w:val="Heading2"/>
      </w:pPr>
      <w:r w:rsidRPr="00DE5C6C">
        <w:t>The calculation of Nodal incremental costs is based on the outputs obtained from the power flow analysis process (see Figure 5</w:t>
      </w:r>
      <w:r>
        <w:t xml:space="preserve"> </w:t>
      </w:r>
      <w:r w:rsidRPr="00DE5C6C">
        <w:t xml:space="preserve">in section 6, </w:t>
      </w:r>
      <w:r>
        <w:fldChar w:fldCharType="begin"/>
      </w:r>
      <w:r>
        <w:instrText xml:space="preserve"> REF _Ref269306448 \h  \* MERGEFORMAT </w:instrText>
      </w:r>
      <w:r>
        <w:fldChar w:fldCharType="separate"/>
      </w:r>
      <w:r w:rsidRPr="00A74D0F">
        <w:t>Power flow analysis process</w:t>
      </w:r>
      <w:r>
        <w:fldChar w:fldCharType="end"/>
      </w:r>
      <w:r w:rsidRPr="00DE5C6C">
        <w:t>).</w:t>
      </w:r>
    </w:p>
    <w:p w14:paraId="256ABEB4" w14:textId="77777777" w:rsidR="0041584B" w:rsidRPr="00DE5C6C" w:rsidRDefault="0041584B" w:rsidP="0041584B">
      <w:pPr>
        <w:pStyle w:val="Heading2"/>
      </w:pPr>
      <w:r w:rsidRPr="00DE5C6C">
        <w:t>Using the results of the power flow analysis, Branch Rating data and reinforcement costs, the Nodal marginal charges can be calculated based on the procedure discussed in section 8 (</w:t>
      </w:r>
      <w:r>
        <w:fldChar w:fldCharType="begin"/>
      </w:r>
      <w:r>
        <w:instrText xml:space="preserve"> REF _Ref253697146 \h  \* MERGEFORMAT </w:instrText>
      </w:r>
      <w:r>
        <w:fldChar w:fldCharType="separate"/>
      </w:r>
      <w:r w:rsidRPr="00DE5C6C">
        <w:t>Output results</w:t>
      </w:r>
      <w:r>
        <w:fldChar w:fldCharType="end"/>
      </w:r>
      <w:r w:rsidRPr="00DE5C6C">
        <w:t>) below.</w:t>
      </w:r>
    </w:p>
    <w:p w14:paraId="0B22CA3F" w14:textId="77777777" w:rsidR="0041584B" w:rsidRPr="00DE5C6C" w:rsidRDefault="0041584B" w:rsidP="0041584B">
      <w:pPr>
        <w:pStyle w:val="Heading2"/>
      </w:pPr>
      <w:r w:rsidRPr="00DE5C6C">
        <w:t xml:space="preserve">The main principles for the calculation of reinforcement costs are given in section </w:t>
      </w:r>
      <w:r>
        <w:fldChar w:fldCharType="begin"/>
      </w:r>
      <w:r>
        <w:instrText xml:space="preserve"> REF _Ref277942240 \w \h  \* MERGEFORMAT </w:instrText>
      </w:r>
      <w:r>
        <w:fldChar w:fldCharType="separate"/>
      </w:r>
      <w:r>
        <w:t>7.4</w:t>
      </w:r>
      <w:r>
        <w:fldChar w:fldCharType="end"/>
      </w:r>
      <w:r w:rsidRPr="00DE5C6C">
        <w:t xml:space="preserve"> (</w:t>
      </w:r>
      <w:r>
        <w:fldChar w:fldCharType="begin"/>
      </w:r>
      <w:r>
        <w:instrText xml:space="preserve"> REF ReinforcementCostCalculationPrinciples \h  \* MERGEFORMAT </w:instrText>
      </w:r>
      <w:r>
        <w:fldChar w:fldCharType="separate"/>
      </w:r>
      <w:r w:rsidRPr="00DE5C6C">
        <w:t>Reinforcement Cost Calculation Principles</w:t>
      </w:r>
      <w:r>
        <w:fldChar w:fldCharType="end"/>
      </w:r>
      <w:r w:rsidRPr="00DE5C6C">
        <w:t xml:space="preserve">) below, while the Branch Rating data is discussed in section </w:t>
      </w:r>
      <w:r>
        <w:fldChar w:fldCharType="begin"/>
      </w:r>
      <w:r>
        <w:instrText xml:space="preserve"> REF _Ref277941396 \w \h  \* MERGEFORMAT </w:instrText>
      </w:r>
      <w:r>
        <w:fldChar w:fldCharType="separate"/>
      </w:r>
      <w:r>
        <w:t>7.5</w:t>
      </w:r>
      <w:r>
        <w:fldChar w:fldCharType="end"/>
      </w:r>
      <w:r w:rsidRPr="00DE5C6C">
        <w:t xml:space="preserve"> (</w:t>
      </w:r>
      <w:r>
        <w:fldChar w:fldCharType="begin"/>
      </w:r>
      <w:r>
        <w:instrText xml:space="preserve"> REF BranchRatingData \h  \* MERGEFORMAT </w:instrText>
      </w:r>
      <w:r>
        <w:fldChar w:fldCharType="separate"/>
      </w:r>
      <w:r w:rsidRPr="00DE5C6C">
        <w:t>Branch Rating Data</w:t>
      </w:r>
      <w:r>
        <w:fldChar w:fldCharType="end"/>
      </w:r>
      <w:r w:rsidRPr="00DE5C6C">
        <w:t xml:space="preserve">) below. </w:t>
      </w:r>
    </w:p>
    <w:p w14:paraId="50B597F8" w14:textId="77777777" w:rsidR="0041584B" w:rsidRPr="00DE5C6C" w:rsidRDefault="0041584B" w:rsidP="0041584B">
      <w:pPr>
        <w:pStyle w:val="DCSubHeading1Level2"/>
      </w:pPr>
      <w:bookmarkStart w:id="640" w:name="_Ref249053472"/>
      <w:bookmarkStart w:id="641" w:name="_Toc268553690"/>
      <w:bookmarkStart w:id="642" w:name="_Toc269379879"/>
      <w:bookmarkStart w:id="643" w:name="_Toc269720528"/>
      <w:bookmarkStart w:id="644" w:name="_Toc269721224"/>
      <w:bookmarkStart w:id="645" w:name="ReinforcementCostCalculationPrinciples"/>
      <w:r w:rsidRPr="00DE5C6C">
        <w:t>Reinforcement Cost Calculation Principles</w:t>
      </w:r>
      <w:bookmarkEnd w:id="640"/>
      <w:bookmarkEnd w:id="641"/>
      <w:bookmarkEnd w:id="642"/>
      <w:bookmarkEnd w:id="643"/>
      <w:bookmarkEnd w:id="644"/>
      <w:bookmarkEnd w:id="645"/>
    </w:p>
    <w:p w14:paraId="6193F110" w14:textId="77777777" w:rsidR="0041584B" w:rsidRPr="00DE5C6C" w:rsidRDefault="0041584B" w:rsidP="0041584B">
      <w:pPr>
        <w:pStyle w:val="Heading2"/>
      </w:pPr>
      <w:bookmarkStart w:id="646" w:name="_Ref277942240"/>
      <w:r w:rsidRPr="00DE5C6C">
        <w:t>These are general principles for the calculation of the reinforcement costs:</w:t>
      </w:r>
      <w:bookmarkEnd w:id="646"/>
    </w:p>
    <w:p w14:paraId="0393E934" w14:textId="77777777" w:rsidR="0041584B" w:rsidRPr="00DE5C6C" w:rsidRDefault="0041584B" w:rsidP="0041584B">
      <w:pPr>
        <w:pStyle w:val="Heading5"/>
        <w:keepNext w:val="0"/>
        <w:keepLines w:val="0"/>
        <w:ind w:left="1418"/>
        <w:jc w:val="both"/>
      </w:pPr>
      <w:r w:rsidRPr="00DE5C6C">
        <w:t>each Branch within the Authorised Network Model should be considered as being one of three types:</w:t>
      </w:r>
    </w:p>
    <w:p w14:paraId="5C662311" w14:textId="77777777" w:rsidR="0041584B" w:rsidRPr="00DE5C6C" w:rsidRDefault="0041584B" w:rsidP="0041584B">
      <w:pPr>
        <w:pStyle w:val="Heading6"/>
        <w:keepNext w:val="0"/>
        <w:keepLines w:val="0"/>
        <w:spacing w:line="360" w:lineRule="auto"/>
        <w:ind w:left="1985" w:hanging="567"/>
        <w:jc w:val="both"/>
      </w:pPr>
      <w:r w:rsidRPr="00DE5C6C">
        <w:t>Transformer Branches - which represent Branches at substations that provide transformation between different voltage levels;</w:t>
      </w:r>
    </w:p>
    <w:p w14:paraId="555C1F56" w14:textId="77777777" w:rsidR="0041584B" w:rsidRPr="00DE5C6C" w:rsidRDefault="0041584B" w:rsidP="0041584B">
      <w:pPr>
        <w:pStyle w:val="Heading6"/>
        <w:keepNext w:val="0"/>
        <w:keepLines w:val="0"/>
        <w:spacing w:line="360" w:lineRule="auto"/>
        <w:ind w:left="1985" w:hanging="567"/>
        <w:jc w:val="both"/>
      </w:pPr>
      <w:r w:rsidRPr="00DE5C6C">
        <w:t>Circuit Branches - which represent an interconnection (or part of an interconnection) between substations and which operate at a single voltage level; or</w:t>
      </w:r>
    </w:p>
    <w:p w14:paraId="4A2B101E" w14:textId="77777777" w:rsidR="0041584B" w:rsidRPr="00DE5C6C" w:rsidRDefault="0041584B" w:rsidP="0041584B">
      <w:pPr>
        <w:pStyle w:val="Heading6"/>
        <w:keepNext w:val="0"/>
        <w:keepLines w:val="0"/>
        <w:spacing w:line="360" w:lineRule="auto"/>
        <w:ind w:left="1985" w:hanging="567"/>
        <w:jc w:val="both"/>
      </w:pPr>
      <w:r w:rsidRPr="00DE5C6C">
        <w:t>Zero-cost Branches - these Branches exist in the network model but have zero reinforcement costs;</w:t>
      </w:r>
    </w:p>
    <w:p w14:paraId="71161B9F" w14:textId="77777777" w:rsidR="0041584B" w:rsidRPr="00DE5C6C" w:rsidRDefault="0041584B" w:rsidP="0041584B">
      <w:pPr>
        <w:pStyle w:val="Heading5"/>
        <w:keepNext w:val="0"/>
        <w:keepLines w:val="0"/>
        <w:ind w:left="1418"/>
        <w:jc w:val="both"/>
      </w:pPr>
      <w:r w:rsidRPr="00DE5C6C">
        <w:lastRenderedPageBreak/>
        <w:t>Zero-cost Branches will include, but not be limited to:</w:t>
      </w:r>
    </w:p>
    <w:p w14:paraId="782EA2F6" w14:textId="77777777" w:rsidR="0041584B" w:rsidRPr="00DE5C6C" w:rsidRDefault="0041584B" w:rsidP="0041584B">
      <w:pPr>
        <w:pStyle w:val="Heading6"/>
        <w:keepNext w:val="0"/>
        <w:keepLines w:val="0"/>
        <w:spacing w:line="360" w:lineRule="auto"/>
        <w:ind w:left="1985" w:hanging="567"/>
        <w:jc w:val="both"/>
      </w:pPr>
      <w:r w:rsidRPr="00DE5C6C">
        <w:t>Branches that represent assets that are not part of the DNO Party’s Distribution System for which incremental costs are being calculated (e.g. sections of the National Electricity Transmission System, adjacent Distribution Systems etc.);</w:t>
      </w:r>
    </w:p>
    <w:p w14:paraId="302EAF7B" w14:textId="77777777" w:rsidR="0041584B" w:rsidRPr="00DE5C6C" w:rsidRDefault="0041584B" w:rsidP="0041584B">
      <w:pPr>
        <w:pStyle w:val="Heading6"/>
        <w:keepNext w:val="0"/>
        <w:keepLines w:val="0"/>
        <w:spacing w:line="360" w:lineRule="auto"/>
        <w:ind w:left="1985" w:hanging="567"/>
        <w:jc w:val="both"/>
      </w:pPr>
      <w:r w:rsidRPr="00DE5C6C">
        <w:t>Branches that represent Sole Use Assets; and</w:t>
      </w:r>
    </w:p>
    <w:p w14:paraId="0A0EBBC2" w14:textId="77777777" w:rsidR="0041584B" w:rsidRPr="00DE5C6C" w:rsidRDefault="0041584B" w:rsidP="0041584B">
      <w:pPr>
        <w:pStyle w:val="Heading6"/>
        <w:keepNext w:val="0"/>
        <w:keepLines w:val="0"/>
        <w:spacing w:line="360" w:lineRule="auto"/>
        <w:ind w:left="1985" w:hanging="567"/>
        <w:jc w:val="both"/>
      </w:pPr>
      <w:r w:rsidRPr="00DE5C6C">
        <w:t>Branches that represent internal connections within substations, other than installed transformation (e.g. bus couplers, bus section circuit breakers etc.);</w:t>
      </w:r>
    </w:p>
    <w:p w14:paraId="7245AC2F" w14:textId="77777777" w:rsidR="0041584B" w:rsidRPr="00DE5C6C" w:rsidRDefault="0041584B" w:rsidP="0041584B">
      <w:pPr>
        <w:ind w:left="1418"/>
        <w:jc w:val="both"/>
      </w:pPr>
      <w:r w:rsidRPr="00DE5C6C">
        <w:t>a cost of reinforcement will be allocated to each Transformer Branch and Circuit Branch taking account where possible of:</w:t>
      </w:r>
    </w:p>
    <w:p w14:paraId="75EB7571" w14:textId="77777777" w:rsidR="0041584B" w:rsidRPr="00DE5C6C" w:rsidRDefault="0041584B" w:rsidP="0041584B">
      <w:pPr>
        <w:pStyle w:val="Heading5"/>
        <w:keepNext w:val="0"/>
        <w:keepLines w:val="0"/>
        <w:ind w:left="1418"/>
        <w:jc w:val="both"/>
      </w:pPr>
      <w:r w:rsidRPr="00DE5C6C">
        <w:t xml:space="preserve">the voltage of operation of the Circuit (or in the case of Transformer Branches, the voltages of transformation); </w:t>
      </w:r>
    </w:p>
    <w:p w14:paraId="65055F51" w14:textId="77777777" w:rsidR="0041584B" w:rsidRPr="00DE5C6C" w:rsidRDefault="0041584B" w:rsidP="0041584B">
      <w:pPr>
        <w:pStyle w:val="Heading6"/>
        <w:keepNext w:val="0"/>
        <w:keepLines w:val="0"/>
        <w:spacing w:line="360" w:lineRule="auto"/>
        <w:ind w:left="1985" w:hanging="567"/>
        <w:jc w:val="both"/>
      </w:pPr>
      <w:r w:rsidRPr="00DE5C6C">
        <w:t>the existing mix of overhead line and underground cable within Circuit Branches; and</w:t>
      </w:r>
    </w:p>
    <w:p w14:paraId="1A269C97" w14:textId="77777777" w:rsidR="0041584B" w:rsidRPr="00DE5C6C" w:rsidRDefault="0041584B" w:rsidP="0041584B">
      <w:pPr>
        <w:pStyle w:val="Heading6"/>
        <w:keepNext w:val="0"/>
        <w:keepLines w:val="0"/>
        <w:spacing w:line="360" w:lineRule="auto"/>
        <w:ind w:left="1985" w:hanging="567"/>
        <w:jc w:val="both"/>
      </w:pPr>
      <w:r w:rsidRPr="00DE5C6C">
        <w:t>the requirements and costs of similar historic reinforcement projects.</w:t>
      </w:r>
    </w:p>
    <w:p w14:paraId="5652117D" w14:textId="77777777" w:rsidR="0041584B" w:rsidRPr="00DE5C6C" w:rsidRDefault="0041584B" w:rsidP="0041584B">
      <w:pPr>
        <w:pStyle w:val="Heading6"/>
        <w:keepNext w:val="0"/>
        <w:keepLines w:val="0"/>
        <w:spacing w:line="360" w:lineRule="auto"/>
        <w:ind w:left="1985" w:hanging="567"/>
        <w:jc w:val="both"/>
      </w:pPr>
      <w:r w:rsidRPr="00DE5C6C">
        <w:t xml:space="preserve">the cost of reinforcement for a Branch will be constructed from typical unit costs appropriate to the categorisation of the Branch and the components represented. </w:t>
      </w:r>
    </w:p>
    <w:p w14:paraId="2575D0F0" w14:textId="77777777" w:rsidR="0041584B" w:rsidRPr="00DE5C6C" w:rsidRDefault="0041584B" w:rsidP="0041584B">
      <w:pPr>
        <w:pStyle w:val="Heading5"/>
        <w:keepNext w:val="0"/>
        <w:keepLines w:val="0"/>
        <w:ind w:left="1418"/>
        <w:jc w:val="both"/>
      </w:pPr>
      <w:r w:rsidRPr="00DE5C6C">
        <w:t>the costs associated with substation plant and equipment (such as circuit breakers, switches, protection equipment, earthing devices etc.) will be included within the cost of reinforcement and allocated appropriately across the Transformer Branches and Circuit Branches to which they relate; and</w:t>
      </w:r>
      <w:r>
        <w:t xml:space="preserve"> </w:t>
      </w:r>
      <w:r w:rsidRPr="00DE5C6C">
        <w:t>the typical unit costs used to derive the cost of reinforcement for a Branch will:</w:t>
      </w:r>
    </w:p>
    <w:p w14:paraId="33DD4993" w14:textId="77777777" w:rsidR="0041584B" w:rsidRPr="00A429F4" w:rsidRDefault="0041584B" w:rsidP="0041584B">
      <w:pPr>
        <w:pStyle w:val="Heading6"/>
        <w:keepNext w:val="0"/>
        <w:keepLines w:val="0"/>
        <w:spacing w:line="360" w:lineRule="auto"/>
        <w:ind w:left="1985" w:hanging="567"/>
        <w:jc w:val="both"/>
      </w:pPr>
      <w:r w:rsidRPr="00A429F4">
        <w:t>reflect the modern equivalent asset value of reinforcing the particular asset;</w:t>
      </w:r>
    </w:p>
    <w:p w14:paraId="4B5C63B2" w14:textId="77777777" w:rsidR="0041584B" w:rsidRPr="00A429F4" w:rsidRDefault="0041584B" w:rsidP="0041584B">
      <w:pPr>
        <w:pStyle w:val="Heading6"/>
        <w:keepNext w:val="0"/>
        <w:keepLines w:val="0"/>
        <w:spacing w:line="360" w:lineRule="auto"/>
        <w:ind w:left="1985" w:hanging="567"/>
        <w:jc w:val="both"/>
      </w:pPr>
      <w:r w:rsidRPr="00A429F4">
        <w:t>include overheads directly related to the construction activity; and</w:t>
      </w:r>
    </w:p>
    <w:p w14:paraId="32696E98" w14:textId="77777777" w:rsidR="0041584B" w:rsidRDefault="0041584B" w:rsidP="0041584B">
      <w:pPr>
        <w:pStyle w:val="Heading6"/>
        <w:keepNext w:val="0"/>
        <w:keepLines w:val="0"/>
        <w:spacing w:after="240" w:line="360" w:lineRule="auto"/>
        <w:ind w:left="1985" w:hanging="567"/>
        <w:jc w:val="both"/>
      </w:pPr>
      <w:r w:rsidRPr="00A429F4">
        <w:t>i</w:t>
      </w:r>
      <w:r w:rsidRPr="00DE5C6C">
        <w:t>nclude building and civil engineering works, in unmade ground.</w:t>
      </w:r>
    </w:p>
    <w:p w14:paraId="11C48946" w14:textId="77777777" w:rsidR="0041584B" w:rsidRPr="00DE5C6C" w:rsidRDefault="0041584B" w:rsidP="0041584B">
      <w:pPr>
        <w:pStyle w:val="DCSubHeading1Level2"/>
      </w:pPr>
      <w:bookmarkStart w:id="647" w:name="_Toc244619526"/>
      <w:bookmarkStart w:id="648" w:name="_Toc244667062"/>
      <w:bookmarkStart w:id="649" w:name="_Toc244667528"/>
      <w:bookmarkStart w:id="650" w:name="_Toc246843716"/>
      <w:bookmarkStart w:id="651" w:name="_Ref249053509"/>
      <w:bookmarkStart w:id="652" w:name="_Toc268553691"/>
      <w:bookmarkStart w:id="653" w:name="_Ref269304915"/>
      <w:bookmarkStart w:id="654" w:name="_Ref269306526"/>
      <w:bookmarkStart w:id="655" w:name="_Toc269379880"/>
      <w:bookmarkStart w:id="656" w:name="_Toc269720529"/>
      <w:bookmarkStart w:id="657" w:name="_Toc269721225"/>
      <w:bookmarkStart w:id="658" w:name="BranchRatingData"/>
      <w:r w:rsidRPr="00DE5C6C">
        <w:lastRenderedPageBreak/>
        <w:t>Branch Rating Data</w:t>
      </w:r>
      <w:bookmarkEnd w:id="647"/>
      <w:bookmarkEnd w:id="648"/>
      <w:bookmarkEnd w:id="649"/>
      <w:bookmarkEnd w:id="650"/>
      <w:bookmarkEnd w:id="651"/>
      <w:bookmarkEnd w:id="652"/>
      <w:bookmarkEnd w:id="653"/>
      <w:bookmarkEnd w:id="654"/>
      <w:bookmarkEnd w:id="655"/>
      <w:bookmarkEnd w:id="656"/>
      <w:bookmarkEnd w:id="657"/>
      <w:bookmarkEnd w:id="658"/>
    </w:p>
    <w:p w14:paraId="3BD303EB" w14:textId="77777777" w:rsidR="0041584B" w:rsidRPr="00DE5C6C" w:rsidRDefault="0041584B" w:rsidP="0041584B">
      <w:pPr>
        <w:pStyle w:val="Heading2"/>
        <w:keepNext/>
      </w:pPr>
      <w:bookmarkStart w:id="659" w:name="_Ref277941396"/>
      <w:r w:rsidRPr="00DE5C6C">
        <w:t>Each Branch in the Authorised Network Model needs to be assigned a Branch Rating appropriate to each analysis scenario considered. Where a Branch represents a number of components (for instance, a number of sections of overhead line and/or underground cable) then the rating of that Branch is calculated by looking at the ratings of all the subcomponents and determining the lowest value. The rating of a transformer will be the capability of the transformer to supply load at its secondary terminals.</w:t>
      </w:r>
      <w:bookmarkEnd w:id="659"/>
    </w:p>
    <w:p w14:paraId="294A1EC5" w14:textId="77777777" w:rsidR="0041584B" w:rsidRPr="00DE5C6C" w:rsidRDefault="0041584B" w:rsidP="0041584B">
      <w:pPr>
        <w:pStyle w:val="Heading1"/>
      </w:pPr>
      <w:bookmarkStart w:id="660" w:name="_Ref253697146"/>
      <w:bookmarkStart w:id="661" w:name="_Ref253697160"/>
      <w:bookmarkStart w:id="662" w:name="_Toc268553692"/>
      <w:bookmarkStart w:id="663" w:name="_Toc269379881"/>
      <w:bookmarkStart w:id="664" w:name="_Toc269720530"/>
      <w:bookmarkStart w:id="665" w:name="_Toc269721226"/>
      <w:bookmarkStart w:id="666" w:name="Outputresults"/>
      <w:bookmarkStart w:id="667" w:name="_Toc320876100"/>
      <w:bookmarkStart w:id="668" w:name="_Toc320876723"/>
      <w:bookmarkStart w:id="669" w:name="_Toc325449937"/>
      <w:bookmarkStart w:id="670" w:name="_Toc339284581"/>
      <w:bookmarkStart w:id="671" w:name="_Toc360027757"/>
      <w:bookmarkStart w:id="672" w:name="_Toc360028111"/>
      <w:bookmarkStart w:id="673" w:name="_Toc391559970"/>
      <w:bookmarkStart w:id="674" w:name="_Toc510303090"/>
      <w:bookmarkStart w:id="675" w:name="_Toc513018504"/>
      <w:bookmarkStart w:id="676" w:name="_Toc518333689"/>
      <w:bookmarkStart w:id="677" w:name="_Toc527908545"/>
      <w:r w:rsidRPr="00DE5C6C">
        <w:t>Output results</w:t>
      </w:r>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p>
    <w:p w14:paraId="1B8B4196" w14:textId="77777777" w:rsidR="0041584B" w:rsidRPr="00DE5C6C" w:rsidRDefault="0041584B" w:rsidP="0041584B">
      <w:pPr>
        <w:pStyle w:val="DCSubHeading1Level2"/>
      </w:pPr>
      <w:bookmarkStart w:id="678" w:name="_Toc268553693"/>
      <w:bookmarkStart w:id="679" w:name="_Toc269379882"/>
      <w:bookmarkStart w:id="680" w:name="_Toc269720531"/>
      <w:bookmarkStart w:id="681" w:name="_Toc269721227"/>
      <w:r w:rsidRPr="00DE5C6C">
        <w:t>Basis of calculation of Peak and Off-Peak Nodal marginal charges</w:t>
      </w:r>
      <w:bookmarkEnd w:id="678"/>
      <w:bookmarkEnd w:id="679"/>
      <w:bookmarkEnd w:id="680"/>
      <w:bookmarkEnd w:id="681"/>
    </w:p>
    <w:p w14:paraId="485FDF0C" w14:textId="77777777" w:rsidR="0041584B" w:rsidRPr="00DE5C6C" w:rsidRDefault="0041584B" w:rsidP="0041584B">
      <w:pPr>
        <w:pStyle w:val="Heading2"/>
      </w:pPr>
      <w:r w:rsidRPr="00DE5C6C">
        <w:t xml:space="preserve">The outputs of the power flow analysis discussed in section </w:t>
      </w:r>
      <w:r>
        <w:fldChar w:fldCharType="begin"/>
      </w:r>
      <w:r>
        <w:instrText xml:space="preserve"> REF _Ref249052668 \w \h  \* MERGEFORMAT </w:instrText>
      </w:r>
      <w:r>
        <w:fldChar w:fldCharType="separate"/>
      </w:r>
      <w:r>
        <w:t>6</w:t>
      </w:r>
      <w:r>
        <w:fldChar w:fldCharType="end"/>
      </w:r>
      <w:r w:rsidRPr="00DE5C6C">
        <w:t xml:space="preserve"> (</w:t>
      </w:r>
      <w:r>
        <w:fldChar w:fldCharType="begin"/>
      </w:r>
      <w:r>
        <w:instrText xml:space="preserve"> REF _Ref249052668 \h  \* MERGEFORMAT </w:instrText>
      </w:r>
      <w:r>
        <w:fldChar w:fldCharType="separate"/>
      </w:r>
      <w:r w:rsidRPr="00A74D0F">
        <w:t>Power flow analysis process</w:t>
      </w:r>
      <w:r>
        <w:fldChar w:fldCharType="end"/>
      </w:r>
      <w:r w:rsidRPr="00DE5C6C">
        <w:t xml:space="preserve">) above, and the Branch Ratings and the reinforcement costs discussed in section </w:t>
      </w:r>
      <w:r>
        <w:fldChar w:fldCharType="begin"/>
      </w:r>
      <w:r>
        <w:instrText xml:space="preserve"> REF _Ref277950059 \w \h  \* MERGEFORMAT </w:instrText>
      </w:r>
      <w:r>
        <w:fldChar w:fldCharType="separate"/>
      </w:r>
      <w:r>
        <w:t>7</w:t>
      </w:r>
      <w:r>
        <w:fldChar w:fldCharType="end"/>
      </w:r>
      <w:r w:rsidRPr="00DE5C6C">
        <w:t xml:space="preserve"> (</w:t>
      </w:r>
      <w:r>
        <w:fldChar w:fldCharType="begin"/>
      </w:r>
      <w:r>
        <w:instrText xml:space="preserve"> REF _Ref277950059 \h  \* MERGEFORMAT </w:instrText>
      </w:r>
      <w:r>
        <w:fldChar w:fldCharType="separate"/>
      </w:r>
      <w:r w:rsidRPr="00DE5C6C">
        <w:t>Calculation of Nodal incremental costs</w:t>
      </w:r>
      <w:r>
        <w:fldChar w:fldCharType="end"/>
      </w:r>
      <w:r w:rsidRPr="00DE5C6C">
        <w:t xml:space="preserve">) are further used to calculate Nodal marginal charges. The main outputs of this process (shown as the LRIC Charging Methodology block in Figure 5) are Nodal marginal charges in £/kVA/annum for Maximum Demand (Peak Charge) and Minimum Demand Scenario (Off-Peak Charge). </w:t>
      </w:r>
    </w:p>
    <w:p w14:paraId="20FCBB1C" w14:textId="77777777" w:rsidR="0041584B" w:rsidRPr="00DE5C6C" w:rsidRDefault="0041584B" w:rsidP="0041584B">
      <w:pPr>
        <w:pStyle w:val="Heading2"/>
      </w:pPr>
      <w:r w:rsidRPr="00DE5C6C">
        <w:t>These are the main characteristics of the calculation of Nodal marginal Peak and Off-Peak Charges:</w:t>
      </w:r>
    </w:p>
    <w:p w14:paraId="1AA2DC4B" w14:textId="77777777" w:rsidR="0041584B" w:rsidRPr="00DE5C6C" w:rsidRDefault="0041584B" w:rsidP="0041584B">
      <w:pPr>
        <w:pStyle w:val="Heading5"/>
        <w:keepNext w:val="0"/>
        <w:keepLines w:val="0"/>
        <w:ind w:left="1418"/>
        <w:jc w:val="both"/>
      </w:pPr>
      <w:r w:rsidRPr="00DE5C6C">
        <w:t>For each Node where either demand or generation is located, Peak and Off-Peak Charges (a single pair of charges for the Node) are calculated using data from the analysis of the Maximum Demand Scenario and Minimum Demand Scenario, respectively.  If both generation and demand are located at the same Node a pair of Peak/Off-Peak Charges is produced for each of them (a double pair of charges for the Node).</w:t>
      </w:r>
    </w:p>
    <w:p w14:paraId="74E9E8C8" w14:textId="77777777" w:rsidR="0041584B" w:rsidRPr="00DE5C6C" w:rsidRDefault="0041584B" w:rsidP="0041584B">
      <w:pPr>
        <w:pStyle w:val="Heading5"/>
        <w:keepNext w:val="0"/>
        <w:keepLines w:val="0"/>
        <w:ind w:left="1418"/>
        <w:jc w:val="both"/>
      </w:pPr>
      <w:r w:rsidRPr="00DE5C6C">
        <w:t>The first step in the calculation of Peak and Off-Peak Charges is the calculation of Branch incremental costs (</w:t>
      </w:r>
      <m:oMath>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i</m:t>
            </m:r>
          </m:sub>
        </m:sSub>
      </m:oMath>
      <w:r w:rsidRPr="00DE5C6C">
        <w:t>) for each of two demand scenarios (</w:t>
      </w:r>
      <m:oMath>
        <m:sSup>
          <m:sSupPr>
            <m:ctrlPr>
              <w:rPr>
                <w:rFonts w:ascii="Cambria Math" w:hAnsi="Cambria Math"/>
                <w:i/>
              </w:rPr>
            </m:ctrlPr>
          </m:sSupPr>
          <m:e>
            <m:r>
              <w:rPr>
                <w:rFonts w:ascii="Cambria Math" w:hAnsi="Cambria Math"/>
              </w:rPr>
              <m:t>∆</m:t>
            </m:r>
            <m:sSub>
              <m:sSubPr>
                <m:ctrlPr>
                  <w:rPr>
                    <w:rFonts w:ascii="Cambria Math" w:hAnsi="Cambria Math"/>
                    <w:i/>
                  </w:rPr>
                </m:ctrlPr>
              </m:sSubPr>
              <m:e>
                <m:r>
                  <m:rPr>
                    <m:sty m:val="bi"/>
                  </m:rPr>
                  <w:rPr>
                    <w:rFonts w:ascii="Cambria Math" w:hAnsi="Cambria Math"/>
                  </w:rPr>
                  <m:t>C</m:t>
                </m:r>
              </m:e>
              <m:sub>
                <m:r>
                  <m:rPr>
                    <m:sty m:val="bi"/>
                  </m:rPr>
                  <w:rPr>
                    <w:rFonts w:ascii="Cambria Math" w:hAnsi="Cambria Math"/>
                  </w:rPr>
                  <m:t>i</m:t>
                </m:r>
              </m:sub>
            </m:sSub>
          </m:e>
          <m:sup>
            <m:r>
              <m:rPr>
                <m:sty m:val="bi"/>
              </m:rPr>
              <w:rPr>
                <w:rFonts w:ascii="Cambria Math" w:hAnsi="Cambria Math"/>
              </w:rPr>
              <m:t>peak</m:t>
            </m:r>
          </m:sup>
        </m:sSup>
      </m:oMath>
      <w:r w:rsidRPr="00DE5C6C">
        <w:t xml:space="preserve">and </w:t>
      </w:r>
      <m:oMath>
        <m:sSup>
          <m:sSupPr>
            <m:ctrlPr>
              <w:rPr>
                <w:rFonts w:ascii="Cambria Math" w:hAnsi="Cambria Math"/>
                <w:i/>
              </w:rPr>
            </m:ctrlPr>
          </m:sSupPr>
          <m:e>
            <m:r>
              <w:rPr>
                <w:rFonts w:ascii="Cambria Math" w:hAnsi="Cambria Math"/>
              </w:rPr>
              <m:t>∆</m:t>
            </m:r>
            <m:sSub>
              <m:sSubPr>
                <m:ctrlPr>
                  <w:rPr>
                    <w:rFonts w:ascii="Cambria Math" w:hAnsi="Cambria Math"/>
                    <w:i/>
                  </w:rPr>
                </m:ctrlPr>
              </m:sSubPr>
              <m:e>
                <m:r>
                  <m:rPr>
                    <m:sty m:val="bi"/>
                  </m:rPr>
                  <w:rPr>
                    <w:rFonts w:ascii="Cambria Math" w:hAnsi="Cambria Math"/>
                  </w:rPr>
                  <m:t>C</m:t>
                </m:r>
              </m:e>
              <m:sub>
                <m:r>
                  <m:rPr>
                    <m:sty m:val="bi"/>
                  </m:rPr>
                  <w:rPr>
                    <w:rFonts w:ascii="Cambria Math" w:hAnsi="Cambria Math"/>
                  </w:rPr>
                  <m:t>i</m:t>
                </m:r>
              </m:sub>
            </m:sSub>
          </m:e>
          <m:sup>
            <m:r>
              <m:rPr>
                <m:sty m:val="bi"/>
              </m:rPr>
              <w:rPr>
                <w:rFonts w:ascii="Cambria Math" w:hAnsi="Cambria Math"/>
              </w:rPr>
              <m:t>off</m:t>
            </m:r>
            <m:r>
              <w:rPr>
                <w:rFonts w:ascii="Cambria Math" w:hAnsi="Cambria Math"/>
              </w:rPr>
              <m:t>-</m:t>
            </m:r>
            <m:r>
              <m:rPr>
                <m:sty m:val="bi"/>
              </m:rPr>
              <w:rPr>
                <w:rFonts w:ascii="Cambria Math" w:hAnsi="Cambria Math"/>
              </w:rPr>
              <m:t>peak</m:t>
            </m:r>
          </m:sup>
        </m:sSup>
      </m:oMath>
      <w:r w:rsidRPr="00DE5C6C">
        <w:t>) and for each applied increment. The formulae that should be used to calculate Branch incremental costs (</w:t>
      </w:r>
      <m:oMath>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i</m:t>
            </m:r>
          </m:sub>
        </m:sSub>
      </m:oMath>
      <w:r w:rsidRPr="00DE5C6C">
        <w:t xml:space="preserve">) are given in Attachment 1 below. </w:t>
      </w:r>
    </w:p>
    <w:p w14:paraId="4C94420F" w14:textId="77777777" w:rsidR="0041584B" w:rsidRPr="00DE5C6C" w:rsidRDefault="0041584B" w:rsidP="0041584B">
      <w:pPr>
        <w:pStyle w:val="Heading5"/>
        <w:keepNext w:val="0"/>
        <w:keepLines w:val="0"/>
        <w:ind w:left="1418"/>
        <w:jc w:val="both"/>
      </w:pPr>
      <w:r w:rsidRPr="00DE5C6C">
        <w:lastRenderedPageBreak/>
        <w:t>Branch incremental costs (</w:t>
      </w:r>
      <m:oMath>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i</m:t>
            </m:r>
          </m:sub>
        </m:sSub>
      </m:oMath>
      <w:r w:rsidRPr="00DE5C6C">
        <w:t>) could be either positive or negative. For example, if the applied increment at a Node causes larger incremented flows (MVA) than the Base Case Flows (</w:t>
      </w:r>
      <m:oMath>
        <m:r>
          <m:rPr>
            <m:sty m:val="p"/>
          </m:rPr>
          <w:rPr>
            <w:rFonts w:ascii="Cambria Math" w:hAnsi="Cambria Math"/>
          </w:rPr>
          <m:t>IncPowerFlow</m:t>
        </m:r>
        <m:d>
          <m:dPr>
            <m:ctrlPr>
              <w:rPr>
                <w:rFonts w:ascii="Cambria Math" w:hAnsi="Cambria Math"/>
              </w:rPr>
            </m:ctrlPr>
          </m:dPr>
          <m:e>
            <m:r>
              <m:rPr>
                <m:sty m:val="p"/>
              </m:rPr>
              <w:rPr>
                <w:rFonts w:ascii="Cambria Math" w:hAnsi="Cambria Math"/>
              </w:rPr>
              <m:t>MVA</m:t>
            </m:r>
          </m:e>
        </m:d>
      </m:oMath>
      <w:r w:rsidRPr="00DE5C6C">
        <w:t>&gt;</w:t>
      </w:r>
      <m:oMath>
        <m:r>
          <m:rPr>
            <m:sty m:val="p"/>
          </m:rPr>
          <w:rPr>
            <w:rFonts w:ascii="Cambria Math" w:hAnsi="Cambria Math"/>
          </w:rPr>
          <m:t>BasePowerFlow</m:t>
        </m:r>
        <m:d>
          <m:dPr>
            <m:ctrlPr>
              <w:rPr>
                <w:rFonts w:ascii="Cambria Math" w:hAnsi="Cambria Math"/>
              </w:rPr>
            </m:ctrlPr>
          </m:dPr>
          <m:e>
            <m:r>
              <m:rPr>
                <m:sty m:val="p"/>
              </m:rPr>
              <w:rPr>
                <w:rFonts w:ascii="Cambria Math" w:hAnsi="Cambria Math"/>
              </w:rPr>
              <m:t>MVA</m:t>
            </m:r>
          </m:e>
        </m:d>
      </m:oMath>
      <w:r w:rsidRPr="00DE5C6C">
        <w:t xml:space="preserve">, see Attachment 1 below), </w:t>
      </w:r>
      <m:oMath>
        <m:r>
          <w:rPr>
            <w:rFonts w:ascii="Cambria Math" w:hAnsi="Cambria Math"/>
          </w:rPr>
          <m:t>YearsToReinforcement</m:t>
        </m:r>
        <m:d>
          <m:dPr>
            <m:ctrlPr>
              <w:rPr>
                <w:rFonts w:ascii="Cambria Math" w:hAnsi="Cambria Math"/>
                <w:i/>
              </w:rPr>
            </m:ctrlPr>
          </m:dPr>
          <m:e>
            <m:r>
              <w:rPr>
                <w:rFonts w:ascii="Cambria Math" w:hAnsi="Cambria Math"/>
              </w:rPr>
              <m:t>inc</m:t>
            </m:r>
          </m:e>
        </m:d>
      </m:oMath>
      <w:r w:rsidRPr="00DE5C6C">
        <w:t xml:space="preserve"> would be smaller than </w:t>
      </w:r>
      <m:oMath>
        <m:r>
          <w:rPr>
            <w:rFonts w:ascii="Cambria Math" w:hAnsi="Cambria Math"/>
          </w:rPr>
          <m:t>YearsToReinforcement</m:t>
        </m:r>
        <m:d>
          <m:dPr>
            <m:ctrlPr>
              <w:rPr>
                <w:rFonts w:ascii="Cambria Math" w:hAnsi="Cambria Math"/>
                <w:i/>
              </w:rPr>
            </m:ctrlPr>
          </m:dPr>
          <m:e>
            <m:r>
              <w:rPr>
                <w:rFonts w:ascii="Cambria Math" w:hAnsi="Cambria Math"/>
              </w:rPr>
              <m:t>base</m:t>
            </m:r>
          </m:e>
        </m:d>
      </m:oMath>
      <w:r w:rsidRPr="00DE5C6C">
        <w:t xml:space="preserve"> and consequently </w:t>
      </w:r>
      <m:oMath>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i</m:t>
            </m:r>
          </m:sub>
        </m:sSub>
      </m:oMath>
      <w:r w:rsidRPr="00DE5C6C">
        <w:t xml:space="preserve">  would be a positive value. The calculation of these times to reinforcement is described on a simple network example in Attachment 2 below.</w:t>
      </w:r>
    </w:p>
    <w:p w14:paraId="6EB70799" w14:textId="77777777" w:rsidR="0041584B" w:rsidRPr="00DE5C6C" w:rsidRDefault="0041584B" w:rsidP="0041584B">
      <w:pPr>
        <w:pStyle w:val="Heading5"/>
        <w:keepNext w:val="0"/>
        <w:keepLines w:val="0"/>
        <w:ind w:left="1418"/>
        <w:jc w:val="both"/>
      </w:pPr>
      <w:r w:rsidRPr="00DE5C6C">
        <w:t>Reinforcement of a Branch can be driven by either the Maximum Demand or the Minimum Demand Scenario.  The period that is deemed to drive reinforcement, for each individual Branch, identified by application of increments at a given Node, is the period with the highest absolute value of associated Branch incremental cost. To decide which scenario drives the Branch reinforcement, in each case, the corresponding absolute values of the Branch incremental costs should be compared.</w:t>
      </w:r>
    </w:p>
    <w:p w14:paraId="7EAB63BA" w14:textId="77777777" w:rsidR="0041584B" w:rsidRPr="00BD5BB1" w:rsidRDefault="0041584B" w:rsidP="0041584B">
      <w:pPr>
        <w:pStyle w:val="DCSubHeading1Level2"/>
      </w:pPr>
      <w:bookmarkStart w:id="682" w:name="_Toc268553694"/>
      <w:bookmarkStart w:id="683" w:name="_Ref269304772"/>
      <w:bookmarkStart w:id="684" w:name="_Ref269304975"/>
      <w:bookmarkStart w:id="685" w:name="_Ref269305248"/>
      <w:bookmarkStart w:id="686" w:name="_Toc269379883"/>
      <w:bookmarkStart w:id="687" w:name="_Toc269720532"/>
      <w:bookmarkStart w:id="688" w:name="_Toc269721228"/>
      <w:bookmarkStart w:id="689" w:name="SenseCheckingofBranchIncrementalCosts"/>
      <w:r w:rsidRPr="00BD5BB1">
        <w:t xml:space="preserve">Sense Checking </w:t>
      </w:r>
      <w:proofErr w:type="gramStart"/>
      <w:r w:rsidRPr="00BD5BB1">
        <w:t>Of</w:t>
      </w:r>
      <w:proofErr w:type="gramEnd"/>
      <w:r w:rsidRPr="00BD5BB1">
        <w:t xml:space="preserve"> Branch Incremental Costs</w:t>
      </w:r>
      <w:bookmarkEnd w:id="682"/>
      <w:bookmarkEnd w:id="683"/>
      <w:bookmarkEnd w:id="684"/>
      <w:bookmarkEnd w:id="685"/>
      <w:bookmarkEnd w:id="686"/>
      <w:bookmarkEnd w:id="687"/>
      <w:bookmarkEnd w:id="688"/>
      <w:bookmarkEnd w:id="689"/>
    </w:p>
    <w:p w14:paraId="101DCD2F" w14:textId="77777777" w:rsidR="0041584B" w:rsidRPr="00BD5BB1" w:rsidRDefault="0041584B" w:rsidP="0041584B">
      <w:pPr>
        <w:pStyle w:val="Heading2"/>
      </w:pPr>
      <w:bookmarkStart w:id="690" w:name="_Ref277941033"/>
      <w:r w:rsidRPr="00BD5BB1">
        <w:t>The overall recovery of charges (</w:t>
      </w:r>
      <w:proofErr w:type="spellStart"/>
      <w:r w:rsidRPr="00BD5BB1">
        <w:t>PositiveCostRecovery</w:t>
      </w:r>
      <w:proofErr w:type="spellEnd"/>
      <w:r w:rsidRPr="00BD5BB1">
        <w:t>) for each Branch is individually examined and checked against the actual reinforcement cost for the Branch (</w:t>
      </w:r>
      <w:proofErr w:type="spellStart"/>
      <w:r w:rsidRPr="00BD5BB1">
        <w:t>ActualReinforcementCost</w:t>
      </w:r>
      <w:proofErr w:type="spellEnd"/>
      <w:r w:rsidRPr="00BD5BB1">
        <w:t xml:space="preserve">) in order to assess whether the charge recovery for the Branch is excessive. Where excessive charge recovery in a Branch is identified a Positive </w:t>
      </w:r>
      <w:proofErr w:type="gramStart"/>
      <w:r w:rsidRPr="00BD5BB1">
        <w:t>Recovery</w:t>
      </w:r>
      <w:proofErr w:type="gramEnd"/>
      <w:r w:rsidRPr="00BD5BB1">
        <w:t xml:space="preserve"> Factor is applied to limit the recovery of charges in the Branch to the actual reinforcement cost.</w:t>
      </w:r>
    </w:p>
    <w:p w14:paraId="62554C3A" w14:textId="77777777" w:rsidR="0041584B" w:rsidRPr="00BD5BB1" w:rsidRDefault="0041584B" w:rsidP="0041584B">
      <w:pPr>
        <w:pStyle w:val="Heading2"/>
      </w:pPr>
      <w:r w:rsidRPr="00BD5BB1">
        <w:t>The overall recovery of credits (</w:t>
      </w:r>
      <w:proofErr w:type="spellStart"/>
      <w:r w:rsidRPr="00BD5BB1">
        <w:t>NegativeCostRecovery</w:t>
      </w:r>
      <w:proofErr w:type="spellEnd"/>
      <w:r w:rsidRPr="00BD5BB1">
        <w:t>) for each Branch is individually examined and checked against the actual reinforcement cost for the Branch (</w:t>
      </w:r>
      <w:proofErr w:type="spellStart"/>
      <w:r w:rsidRPr="00BD5BB1">
        <w:t>ActualReinforcementCost</w:t>
      </w:r>
      <w:proofErr w:type="spellEnd"/>
      <w:r w:rsidRPr="00BD5BB1">
        <w:t xml:space="preserve">) in order to assess whether the recovery of credits for the Branch is excessive. Where excessive credit recovery in a Branch is identified a Negative </w:t>
      </w:r>
      <w:proofErr w:type="gramStart"/>
      <w:r w:rsidRPr="00BD5BB1">
        <w:t>Recovery</w:t>
      </w:r>
      <w:proofErr w:type="gramEnd"/>
      <w:r w:rsidRPr="00BD5BB1">
        <w:t xml:space="preserve"> Factor is applied to limit the total recovered credits to the actual reinforcement cost.</w:t>
      </w:r>
      <w:bookmarkEnd w:id="690"/>
      <w:r w:rsidRPr="00BD5BB1">
        <w:t xml:space="preserve">  The cost recovery in a particular Branch, associated with application of an increment at a Node where demand (load) is located, is:</w:t>
      </w:r>
    </w:p>
    <w:p w14:paraId="7D5A4A32" w14:textId="77777777" w:rsidR="0041584B" w:rsidRPr="00BD5BB1" w:rsidRDefault="0041584B" w:rsidP="0041584B">
      <w:pPr>
        <w:pStyle w:val="Heading5"/>
        <w:ind w:left="1418"/>
        <w:jc w:val="both"/>
      </w:pPr>
      <w:r w:rsidRPr="00BD5BB1">
        <w:lastRenderedPageBreak/>
        <w:t>the product of the Branch incremental cost, divided by the load increment, and the modelled load at the Node used in the Network Demand Data (Load) that represents the Maximum Demand Scenario - where the period that drives reinforcement is the Maximum Demand Scenario; or</w:t>
      </w:r>
    </w:p>
    <w:p w14:paraId="0BDD6D68" w14:textId="77777777" w:rsidR="0041584B" w:rsidRPr="00BD5BB1" w:rsidRDefault="0041584B" w:rsidP="0041584B">
      <w:pPr>
        <w:pStyle w:val="Heading5"/>
        <w:ind w:left="1418"/>
        <w:jc w:val="both"/>
      </w:pPr>
      <w:r w:rsidRPr="00BD5BB1">
        <w:t>the product of the negative of the Branch incremental cost, divided by the load increment, and the modelled load at the Node used in the Network Demand Data (Load) that represents the Minimum Demand Scenario - where the period that drives reinforcement is the Minimum Demand Scenario.</w:t>
      </w:r>
    </w:p>
    <w:p w14:paraId="48BAF164" w14:textId="77777777" w:rsidR="0041584B" w:rsidRPr="00BD5BB1" w:rsidRDefault="0041584B" w:rsidP="0041584B">
      <w:pPr>
        <w:pStyle w:val="Heading2"/>
      </w:pPr>
      <w:r w:rsidRPr="00BD5BB1">
        <w:t>The cost recovery in a particular Branch, associated with application of an increment at a Node where generation is located, is:</w:t>
      </w:r>
    </w:p>
    <w:p w14:paraId="46CB7586" w14:textId="77777777" w:rsidR="0041584B" w:rsidRPr="00BD5BB1" w:rsidRDefault="0041584B" w:rsidP="0041584B">
      <w:pPr>
        <w:pStyle w:val="Heading5"/>
        <w:keepNext w:val="0"/>
        <w:keepLines w:val="0"/>
        <w:ind w:left="1418"/>
        <w:jc w:val="both"/>
      </w:pPr>
      <w:r w:rsidRPr="007C325B">
        <w:rPr>
          <w:rStyle w:val="Heading5Char"/>
        </w:rPr>
        <w:t>the product of the negative of the Branch incremental cost, divided by the generation</w:t>
      </w:r>
      <w:r w:rsidRPr="00BD5BB1">
        <w:t xml:space="preserve"> increment, and the modelled generation output at the Node used in the Network Demand Data (Generation) that represents the Maximum Demand Scenario - where the period that drives reinforcement is the Maximum Demand Scenario; or</w:t>
      </w:r>
    </w:p>
    <w:p w14:paraId="06687A9D" w14:textId="77777777" w:rsidR="0041584B" w:rsidRPr="00BD5BB1" w:rsidRDefault="0041584B" w:rsidP="0041584B">
      <w:pPr>
        <w:pStyle w:val="Heading5"/>
        <w:keepNext w:val="0"/>
        <w:keepLines w:val="0"/>
        <w:ind w:left="1418"/>
        <w:jc w:val="both"/>
      </w:pPr>
      <w:r w:rsidRPr="00BD5BB1">
        <w:t>the product of the Branch incremental cost, divided by the generation increment, and the modelled generation output at the Node used in the Network Demand Data (Generation) that represents the Minimum Demand Scenario - where the period that drives reinforcement is the Minimum Demand Scenario.</w:t>
      </w:r>
    </w:p>
    <w:p w14:paraId="71347FD8" w14:textId="77777777" w:rsidR="0041584B" w:rsidRPr="00776C1E" w:rsidRDefault="0041584B" w:rsidP="0041584B">
      <w:pPr>
        <w:pStyle w:val="Heading2"/>
      </w:pPr>
      <w:r w:rsidRPr="00776C1E">
        <w:t xml:space="preserve">The positive cost recovery for a Branch is the summation of the cost recovery for the particular Branch across all Nodes where the Node’s contribution is positive. This is expressed mathematically </w:t>
      </w:r>
      <w:proofErr w:type="gramStart"/>
      <w:r w:rsidRPr="00776C1E">
        <w:t>below:-</w:t>
      </w:r>
      <w:proofErr w:type="gramEnd"/>
    </w:p>
    <w:p w14:paraId="0619851F" w14:textId="77777777" w:rsidR="0041584B" w:rsidRDefault="0041584B" w:rsidP="0041584B">
      <w:pPr>
        <w:pStyle w:val="DCSubHeading2Level2"/>
        <w:ind w:left="0"/>
        <w:jc w:val="center"/>
      </w:pPr>
      <w:r w:rsidRPr="00C70D7F">
        <w:rPr>
          <w:position w:val="-42"/>
        </w:rPr>
        <w:object w:dxaOrig="10280" w:dyaOrig="960" w14:anchorId="7D52E77D">
          <v:shape id="_x0000_i1043" type="#_x0000_t75" style="width:439.5pt;height:43.15pt" o:ole="">
            <v:imagedata r:id="rId56" o:title=""/>
          </v:shape>
          <o:OLEObject Type="Embed" ProgID="Equation.3" ShapeID="_x0000_i1043" DrawAspect="Content" ObjectID="_1640532512" r:id="rId57"/>
        </w:object>
      </w:r>
    </w:p>
    <w:p w14:paraId="1C14AF49" w14:textId="77777777" w:rsidR="0041584B" w:rsidRPr="00C70D7F" w:rsidRDefault="0041584B" w:rsidP="0041584B">
      <w:pPr>
        <w:pStyle w:val="Body1"/>
      </w:pPr>
      <w:r w:rsidRPr="00C70D7F">
        <w:t>Where:</w:t>
      </w:r>
    </w:p>
    <w:p w14:paraId="60953FC3" w14:textId="77777777" w:rsidR="0041584B" w:rsidRPr="00767030" w:rsidRDefault="0041584B" w:rsidP="0041584B">
      <w:pPr>
        <w:pStyle w:val="Body1"/>
      </w:pPr>
      <w:proofErr w:type="spellStart"/>
      <w:r w:rsidRPr="00767030">
        <w:rPr>
          <w:i/>
        </w:rPr>
        <w:t>PositiveCostRecovery</w:t>
      </w:r>
      <w:r w:rsidRPr="00767030">
        <w:rPr>
          <w:i/>
          <w:vertAlign w:val="subscript"/>
        </w:rPr>
        <w:t>i</w:t>
      </w:r>
      <w:proofErr w:type="spellEnd"/>
      <w:r w:rsidRPr="00767030">
        <w:tab/>
        <w:t xml:space="preserve">is the annual recovered ‘positive’ costs (i.e. charge) for Branch </w:t>
      </w:r>
      <w:r w:rsidRPr="00767030">
        <w:rPr>
          <w:i/>
        </w:rPr>
        <w:t>i</w:t>
      </w:r>
      <w:r w:rsidRPr="00767030">
        <w:t>,</w:t>
      </w:r>
    </w:p>
    <w:p w14:paraId="58BBF72D" w14:textId="77777777" w:rsidR="0041584B" w:rsidRPr="00DE54C1" w:rsidRDefault="0041584B" w:rsidP="0041584B">
      <w:pPr>
        <w:pStyle w:val="Body1"/>
        <w:rPr>
          <w:rStyle w:val="DCNormParaL3Char"/>
          <w:b w:val="0"/>
        </w:rPr>
      </w:pPr>
      <w:r w:rsidRPr="00767030">
        <w:rPr>
          <w:i/>
          <w:szCs w:val="24"/>
        </w:rPr>
        <w:t>k</w:t>
      </w:r>
      <w:r w:rsidRPr="00767030">
        <w:rPr>
          <w:szCs w:val="24"/>
        </w:rPr>
        <w:tab/>
      </w:r>
      <w:r w:rsidRPr="00DE54C1">
        <w:rPr>
          <w:rStyle w:val="DCNormParaL3Char"/>
          <w:b w:val="0"/>
        </w:rPr>
        <w:t xml:space="preserve">denotes Nodes where generation is located that produce Branch incremental costs for Branch </w:t>
      </w:r>
      <w:r w:rsidRPr="00DE54C1">
        <w:rPr>
          <w:rStyle w:val="DCNormParaL3Char"/>
          <w:b w:val="0"/>
          <w:i/>
        </w:rPr>
        <w:t>i</w:t>
      </w:r>
      <w:r w:rsidRPr="00DE54C1">
        <w:rPr>
          <w:rStyle w:val="DCNormParaL3Char"/>
          <w:b w:val="0"/>
        </w:rPr>
        <w:t>, where the period that drives reinforcement is the period represented by the Maximum Demand Scenario,</w:t>
      </w:r>
    </w:p>
    <w:p w14:paraId="3E06634C" w14:textId="77777777" w:rsidR="0041584B" w:rsidRPr="00767030" w:rsidRDefault="0041584B" w:rsidP="0041584B">
      <w:pPr>
        <w:pStyle w:val="Body1"/>
        <w:rPr>
          <w:szCs w:val="24"/>
        </w:rPr>
      </w:pPr>
      <w:proofErr w:type="spellStart"/>
      <w:r w:rsidRPr="00767030">
        <w:rPr>
          <w:i/>
          <w:szCs w:val="24"/>
        </w:rPr>
        <w:t>ΔC</w:t>
      </w:r>
      <w:r w:rsidRPr="00767030">
        <w:rPr>
          <w:i/>
          <w:szCs w:val="24"/>
          <w:vertAlign w:val="superscript"/>
        </w:rPr>
        <w:t>k</w:t>
      </w:r>
      <w:r w:rsidRPr="00767030">
        <w:rPr>
          <w:i/>
          <w:szCs w:val="24"/>
          <w:vertAlign w:val="subscript"/>
        </w:rPr>
        <w:t>i</w:t>
      </w:r>
      <w:proofErr w:type="spellEnd"/>
      <w:r w:rsidRPr="00767030">
        <w:rPr>
          <w:szCs w:val="24"/>
          <w:vertAlign w:val="subscript"/>
        </w:rPr>
        <w:tab/>
      </w:r>
      <w:r w:rsidRPr="00DE54C1">
        <w:rPr>
          <w:rStyle w:val="DCNormParaL3Char"/>
          <w:b w:val="0"/>
        </w:rPr>
        <w:t xml:space="preserve">is the Branch incremental cost (£/annum) for Branch </w:t>
      </w:r>
      <w:r w:rsidRPr="00DE54C1">
        <w:rPr>
          <w:rStyle w:val="DCNormParaL3Char"/>
          <w:b w:val="0"/>
          <w:i/>
        </w:rPr>
        <w:t>i</w:t>
      </w:r>
      <w:r w:rsidRPr="00DE54C1">
        <w:rPr>
          <w:rStyle w:val="DCNormParaL3Char"/>
          <w:b w:val="0"/>
        </w:rPr>
        <w:t>, for generation Node “k” in the period represented by the Maximum Demand Scenario,</w:t>
      </w:r>
    </w:p>
    <w:p w14:paraId="161C2E4F" w14:textId="77777777" w:rsidR="0041584B" w:rsidRPr="00DE54C1" w:rsidRDefault="0041584B" w:rsidP="0041584B">
      <w:pPr>
        <w:pStyle w:val="Body1"/>
        <w:rPr>
          <w:rStyle w:val="DCNormParaL3Char"/>
          <w:b w:val="0"/>
        </w:rPr>
      </w:pPr>
      <w:proofErr w:type="spellStart"/>
      <w:r w:rsidRPr="00767030">
        <w:rPr>
          <w:i/>
          <w:szCs w:val="24"/>
        </w:rPr>
        <w:t>G</w:t>
      </w:r>
      <w:r w:rsidRPr="00767030">
        <w:rPr>
          <w:i/>
          <w:szCs w:val="24"/>
          <w:vertAlign w:val="superscript"/>
        </w:rPr>
        <w:t>peak</w:t>
      </w:r>
      <w:r w:rsidRPr="00767030">
        <w:rPr>
          <w:i/>
          <w:szCs w:val="24"/>
          <w:vertAlign w:val="subscript"/>
        </w:rPr>
        <w:t>k</w:t>
      </w:r>
      <w:proofErr w:type="spellEnd"/>
      <w:r w:rsidRPr="00767030">
        <w:rPr>
          <w:szCs w:val="24"/>
          <w:vertAlign w:val="subscript"/>
        </w:rPr>
        <w:tab/>
      </w:r>
      <w:r w:rsidRPr="00DE54C1">
        <w:rPr>
          <w:rStyle w:val="DCNormParaL3Char"/>
          <w:b w:val="0"/>
        </w:rPr>
        <w:t>is the generator output (kVA) at Node “k” in the Network Demand Data (Generation) representing the Maximum Demand Scenario,</w:t>
      </w:r>
    </w:p>
    <w:p w14:paraId="52293C0E" w14:textId="77777777" w:rsidR="0041584B" w:rsidRPr="00767030" w:rsidRDefault="0041584B" w:rsidP="0041584B">
      <w:pPr>
        <w:pStyle w:val="Body1"/>
        <w:rPr>
          <w:szCs w:val="24"/>
        </w:rPr>
      </w:pPr>
      <w:r w:rsidRPr="00767030">
        <w:rPr>
          <w:i/>
          <w:szCs w:val="24"/>
        </w:rPr>
        <w:t>l</w:t>
      </w:r>
      <w:r w:rsidRPr="00767030">
        <w:rPr>
          <w:szCs w:val="24"/>
        </w:rPr>
        <w:tab/>
      </w:r>
      <w:r w:rsidRPr="00DE54C1">
        <w:rPr>
          <w:rStyle w:val="DCNormParaL3Char"/>
          <w:b w:val="0"/>
        </w:rPr>
        <w:t xml:space="preserve">denotes Nodes where generation is located that produce Branch incremental costs for Branch </w:t>
      </w:r>
      <w:r w:rsidRPr="00DE54C1">
        <w:rPr>
          <w:rStyle w:val="DCNormParaL3Char"/>
          <w:b w:val="0"/>
          <w:i/>
        </w:rPr>
        <w:t>i</w:t>
      </w:r>
      <w:r w:rsidRPr="00DE54C1">
        <w:rPr>
          <w:rStyle w:val="DCNormParaL3Char"/>
          <w:b w:val="0"/>
        </w:rPr>
        <w:t>, where the period that drives reinforcement is the period represented by the Minimum Demand Scenario,</w:t>
      </w:r>
    </w:p>
    <w:p w14:paraId="12F1B723" w14:textId="77777777" w:rsidR="0041584B" w:rsidRPr="00DE54C1" w:rsidRDefault="0041584B" w:rsidP="0041584B">
      <w:pPr>
        <w:pStyle w:val="Body1"/>
        <w:rPr>
          <w:rStyle w:val="DCNormParaL3Char"/>
          <w:b w:val="0"/>
        </w:rPr>
      </w:pPr>
      <w:proofErr w:type="spellStart"/>
      <w:r w:rsidRPr="00767030">
        <w:rPr>
          <w:i/>
          <w:szCs w:val="24"/>
        </w:rPr>
        <w:t>ΔC</w:t>
      </w:r>
      <w:r w:rsidRPr="00767030">
        <w:rPr>
          <w:i/>
          <w:szCs w:val="24"/>
          <w:vertAlign w:val="superscript"/>
        </w:rPr>
        <w:t>l</w:t>
      </w:r>
      <w:r w:rsidRPr="00767030">
        <w:rPr>
          <w:i/>
          <w:szCs w:val="24"/>
          <w:vertAlign w:val="subscript"/>
        </w:rPr>
        <w:t>i</w:t>
      </w:r>
      <w:proofErr w:type="spellEnd"/>
      <w:r w:rsidRPr="00767030">
        <w:rPr>
          <w:szCs w:val="24"/>
          <w:vertAlign w:val="subscript"/>
        </w:rPr>
        <w:tab/>
      </w:r>
      <w:r w:rsidRPr="00DE54C1">
        <w:rPr>
          <w:rStyle w:val="DCNormParaL3Char"/>
          <w:b w:val="0"/>
        </w:rPr>
        <w:t xml:space="preserve">is the Branch incremental cost (£/annum) for Branch </w:t>
      </w:r>
      <w:r w:rsidRPr="00DE54C1">
        <w:rPr>
          <w:rStyle w:val="DCNormParaL3Char"/>
          <w:b w:val="0"/>
          <w:i/>
        </w:rPr>
        <w:t>i</w:t>
      </w:r>
      <w:r w:rsidRPr="00DE54C1">
        <w:rPr>
          <w:rStyle w:val="DCNormParaL3Char"/>
          <w:b w:val="0"/>
        </w:rPr>
        <w:t>, for generation Node “l” in the period represented by the Minimum Demand Scenario,</w:t>
      </w:r>
    </w:p>
    <w:p w14:paraId="5E0B6938" w14:textId="77777777" w:rsidR="0041584B" w:rsidRPr="00DE54C1" w:rsidRDefault="0041584B" w:rsidP="0041584B">
      <w:pPr>
        <w:pStyle w:val="Body1"/>
        <w:rPr>
          <w:rStyle w:val="DCNormParaL3Char"/>
          <w:b w:val="0"/>
        </w:rPr>
      </w:pPr>
      <w:r w:rsidRPr="00767030">
        <w:rPr>
          <w:i/>
          <w:szCs w:val="24"/>
        </w:rPr>
        <w:t>G</w:t>
      </w:r>
      <w:r w:rsidRPr="00767030">
        <w:rPr>
          <w:i/>
          <w:szCs w:val="24"/>
          <w:vertAlign w:val="superscript"/>
        </w:rPr>
        <w:t>off-</w:t>
      </w:r>
      <w:proofErr w:type="spellStart"/>
      <w:r w:rsidRPr="00767030">
        <w:rPr>
          <w:i/>
          <w:szCs w:val="24"/>
          <w:vertAlign w:val="superscript"/>
        </w:rPr>
        <w:t>peak</w:t>
      </w:r>
      <w:r w:rsidRPr="00767030">
        <w:rPr>
          <w:i/>
          <w:szCs w:val="24"/>
          <w:vertAlign w:val="subscript"/>
        </w:rPr>
        <w:t>l</w:t>
      </w:r>
      <w:proofErr w:type="spellEnd"/>
      <w:r w:rsidRPr="00767030">
        <w:rPr>
          <w:szCs w:val="24"/>
          <w:vertAlign w:val="subscript"/>
        </w:rPr>
        <w:tab/>
      </w:r>
      <w:r w:rsidRPr="00DE54C1">
        <w:rPr>
          <w:rStyle w:val="DCNormParaL3Char"/>
          <w:b w:val="0"/>
        </w:rPr>
        <w:t>is the generator output (kVA) at Node “l” in the Network Demand Data (Generation) representing the Minimum Demand Scenario,</w:t>
      </w:r>
    </w:p>
    <w:p w14:paraId="76D06953" w14:textId="77777777" w:rsidR="0041584B" w:rsidRPr="00DE54C1" w:rsidRDefault="0041584B" w:rsidP="0041584B">
      <w:pPr>
        <w:pStyle w:val="Body1"/>
        <w:rPr>
          <w:rStyle w:val="DCNormParaL3Char"/>
          <w:b w:val="0"/>
        </w:rPr>
      </w:pPr>
      <w:r w:rsidRPr="00767030">
        <w:rPr>
          <w:i/>
          <w:szCs w:val="24"/>
        </w:rPr>
        <w:t>m</w:t>
      </w:r>
      <w:r w:rsidRPr="00767030">
        <w:rPr>
          <w:szCs w:val="24"/>
        </w:rPr>
        <w:tab/>
      </w:r>
      <w:r w:rsidRPr="00DE54C1">
        <w:rPr>
          <w:rStyle w:val="DCNormParaL3Char"/>
          <w:b w:val="0"/>
        </w:rPr>
        <w:t xml:space="preserve">denotes Nodes where demand (load) is located that produce Branch incremental costs for Branch </w:t>
      </w:r>
      <w:r w:rsidRPr="00DE54C1">
        <w:rPr>
          <w:rStyle w:val="DCNormParaL3Char"/>
          <w:b w:val="0"/>
          <w:i/>
        </w:rPr>
        <w:t>i</w:t>
      </w:r>
      <w:r w:rsidRPr="00DE54C1">
        <w:rPr>
          <w:rStyle w:val="DCNormParaL3Char"/>
          <w:b w:val="0"/>
        </w:rPr>
        <w:t>, where the period that drives reinforcement is the period represented by the Maximum Demand Scenario,</w:t>
      </w:r>
    </w:p>
    <w:p w14:paraId="34658924" w14:textId="77777777" w:rsidR="0041584B" w:rsidRPr="00DE54C1" w:rsidRDefault="0041584B" w:rsidP="0041584B">
      <w:pPr>
        <w:pStyle w:val="Body1"/>
        <w:rPr>
          <w:rStyle w:val="DCNormParaL3Char"/>
          <w:b w:val="0"/>
        </w:rPr>
      </w:pPr>
      <w:proofErr w:type="spellStart"/>
      <w:r w:rsidRPr="00767030">
        <w:rPr>
          <w:i/>
          <w:szCs w:val="24"/>
        </w:rPr>
        <w:t>ΔC</w:t>
      </w:r>
      <w:r w:rsidRPr="00767030">
        <w:rPr>
          <w:i/>
          <w:szCs w:val="24"/>
          <w:vertAlign w:val="superscript"/>
        </w:rPr>
        <w:t>m</w:t>
      </w:r>
      <w:r w:rsidRPr="00767030">
        <w:rPr>
          <w:i/>
          <w:szCs w:val="24"/>
          <w:vertAlign w:val="subscript"/>
        </w:rPr>
        <w:t>i</w:t>
      </w:r>
      <w:proofErr w:type="spellEnd"/>
      <w:r w:rsidRPr="00767030">
        <w:rPr>
          <w:szCs w:val="24"/>
          <w:vertAlign w:val="subscript"/>
        </w:rPr>
        <w:tab/>
      </w:r>
      <w:r w:rsidRPr="00DE54C1">
        <w:rPr>
          <w:rStyle w:val="DCNormParaL3Char"/>
          <w:b w:val="0"/>
        </w:rPr>
        <w:t xml:space="preserve">is the Branch incremental cost (£/annum) for Branch </w:t>
      </w:r>
      <w:r w:rsidRPr="00DE54C1">
        <w:rPr>
          <w:rStyle w:val="DCNormParaL3Char"/>
          <w:b w:val="0"/>
          <w:i/>
        </w:rPr>
        <w:t>i</w:t>
      </w:r>
      <w:r w:rsidRPr="00DE54C1">
        <w:rPr>
          <w:rStyle w:val="DCNormParaL3Char"/>
          <w:b w:val="0"/>
        </w:rPr>
        <w:t>, for generation Node “m” in the period represented by the Maximum Demand Scenario,</w:t>
      </w:r>
    </w:p>
    <w:p w14:paraId="364B0AD0" w14:textId="77777777" w:rsidR="0041584B" w:rsidRPr="00767030" w:rsidRDefault="0041584B" w:rsidP="0041584B">
      <w:pPr>
        <w:pStyle w:val="Body1"/>
        <w:rPr>
          <w:szCs w:val="24"/>
        </w:rPr>
      </w:pPr>
      <w:proofErr w:type="spellStart"/>
      <w:r w:rsidRPr="00767030">
        <w:rPr>
          <w:i/>
          <w:szCs w:val="24"/>
        </w:rPr>
        <w:t>L</w:t>
      </w:r>
      <w:r w:rsidRPr="00767030">
        <w:rPr>
          <w:i/>
          <w:szCs w:val="24"/>
          <w:vertAlign w:val="superscript"/>
        </w:rPr>
        <w:t>peak</w:t>
      </w:r>
      <w:r w:rsidRPr="00767030">
        <w:rPr>
          <w:i/>
          <w:szCs w:val="24"/>
          <w:vertAlign w:val="subscript"/>
        </w:rPr>
        <w:t>m</w:t>
      </w:r>
      <w:proofErr w:type="spellEnd"/>
      <w:r w:rsidRPr="00767030">
        <w:rPr>
          <w:szCs w:val="24"/>
          <w:vertAlign w:val="subscript"/>
        </w:rPr>
        <w:tab/>
      </w:r>
      <w:r w:rsidRPr="00DE54C1">
        <w:rPr>
          <w:rStyle w:val="DCNormParaL3Char"/>
          <w:b w:val="0"/>
        </w:rPr>
        <w:t>is the load (kVA) at Node “m” in the Network Demand Data (Load) representing the Maximum Demand Scenario,</w:t>
      </w:r>
    </w:p>
    <w:p w14:paraId="77EA9424" w14:textId="77777777" w:rsidR="0041584B" w:rsidRPr="00767030" w:rsidRDefault="0041584B" w:rsidP="0041584B">
      <w:pPr>
        <w:pStyle w:val="Body1"/>
        <w:rPr>
          <w:szCs w:val="24"/>
        </w:rPr>
      </w:pPr>
      <w:r w:rsidRPr="00767030">
        <w:rPr>
          <w:i/>
          <w:szCs w:val="24"/>
        </w:rPr>
        <w:lastRenderedPageBreak/>
        <w:t>n</w:t>
      </w:r>
      <w:r w:rsidRPr="00767030">
        <w:rPr>
          <w:szCs w:val="24"/>
        </w:rPr>
        <w:tab/>
      </w:r>
      <w:r w:rsidRPr="00DE54C1">
        <w:rPr>
          <w:rStyle w:val="DCNormParaL3Char"/>
          <w:b w:val="0"/>
        </w:rPr>
        <w:t xml:space="preserve">denotes Nodes where demand (load) is located that produce Branch incremental costs for Branch </w:t>
      </w:r>
      <w:r w:rsidRPr="00DE54C1">
        <w:rPr>
          <w:rStyle w:val="DCNormParaL3Char"/>
          <w:b w:val="0"/>
          <w:i/>
        </w:rPr>
        <w:t>i</w:t>
      </w:r>
      <w:r w:rsidRPr="00DE54C1">
        <w:rPr>
          <w:rStyle w:val="DCNormParaL3Char"/>
          <w:b w:val="0"/>
        </w:rPr>
        <w:t>, where the period that drives reinforcement is the period represented by the Minimum Demand Scenario,</w:t>
      </w:r>
    </w:p>
    <w:p w14:paraId="7D422D53" w14:textId="77777777" w:rsidR="0041584B" w:rsidRPr="00DE54C1" w:rsidRDefault="0041584B" w:rsidP="0041584B">
      <w:pPr>
        <w:pStyle w:val="Body1"/>
        <w:rPr>
          <w:rStyle w:val="DCNormParaL3Char"/>
          <w:b w:val="0"/>
        </w:rPr>
      </w:pPr>
      <w:proofErr w:type="spellStart"/>
      <w:r w:rsidRPr="00767030">
        <w:rPr>
          <w:i/>
          <w:szCs w:val="24"/>
        </w:rPr>
        <w:t>ΔC</w:t>
      </w:r>
      <w:r w:rsidRPr="00767030">
        <w:rPr>
          <w:i/>
          <w:szCs w:val="24"/>
          <w:vertAlign w:val="superscript"/>
        </w:rPr>
        <w:t>n</w:t>
      </w:r>
      <w:r w:rsidRPr="00767030">
        <w:rPr>
          <w:i/>
          <w:szCs w:val="24"/>
          <w:vertAlign w:val="subscript"/>
        </w:rPr>
        <w:t>i</w:t>
      </w:r>
      <w:proofErr w:type="spellEnd"/>
      <w:r w:rsidRPr="00767030">
        <w:rPr>
          <w:szCs w:val="24"/>
          <w:vertAlign w:val="subscript"/>
        </w:rPr>
        <w:tab/>
      </w:r>
      <w:r w:rsidRPr="00DE54C1">
        <w:rPr>
          <w:rStyle w:val="DCNormParaL3Char"/>
          <w:b w:val="0"/>
        </w:rPr>
        <w:t xml:space="preserve">is the Branch incremental cost (£/annum) for Branch </w:t>
      </w:r>
      <w:r w:rsidRPr="00DE54C1">
        <w:rPr>
          <w:rStyle w:val="DCNormParaL3Char"/>
          <w:b w:val="0"/>
          <w:i/>
        </w:rPr>
        <w:t>i</w:t>
      </w:r>
      <w:r w:rsidRPr="00DE54C1">
        <w:rPr>
          <w:rStyle w:val="DCNormParaL3Char"/>
          <w:b w:val="0"/>
        </w:rPr>
        <w:t>, for generation Node “n” in the period represented by the Minimum Demand Scenario,</w:t>
      </w:r>
    </w:p>
    <w:p w14:paraId="6ED1B9EB" w14:textId="77777777" w:rsidR="0041584B" w:rsidRPr="00DE54C1" w:rsidRDefault="0041584B" w:rsidP="0041584B">
      <w:pPr>
        <w:pStyle w:val="Body1"/>
        <w:rPr>
          <w:rStyle w:val="DCNormParaL3Char"/>
          <w:b w:val="0"/>
        </w:rPr>
      </w:pPr>
      <w:proofErr w:type="spellStart"/>
      <w:r w:rsidRPr="00767030">
        <w:rPr>
          <w:i/>
          <w:szCs w:val="24"/>
        </w:rPr>
        <w:t>L</w:t>
      </w:r>
      <w:r w:rsidRPr="00767030">
        <w:rPr>
          <w:i/>
          <w:szCs w:val="24"/>
          <w:vertAlign w:val="superscript"/>
        </w:rPr>
        <w:t>off-peak</w:t>
      </w:r>
      <w:r w:rsidRPr="00767030">
        <w:rPr>
          <w:i/>
          <w:szCs w:val="24"/>
          <w:vertAlign w:val="subscript"/>
        </w:rPr>
        <w:t>n</w:t>
      </w:r>
      <w:proofErr w:type="spellEnd"/>
      <w:r w:rsidRPr="00767030">
        <w:rPr>
          <w:szCs w:val="24"/>
          <w:vertAlign w:val="subscript"/>
        </w:rPr>
        <w:tab/>
      </w:r>
      <w:r w:rsidRPr="00DE54C1">
        <w:rPr>
          <w:rStyle w:val="DCNormParaL3Char"/>
          <w:b w:val="0"/>
        </w:rPr>
        <w:t>is the load (kVA) at Node “n” in the Network Demand Data (Load) representing the Maximum Demand Scenario load.</w:t>
      </w:r>
    </w:p>
    <w:p w14:paraId="7ED65471" w14:textId="77777777" w:rsidR="0041584B" w:rsidRPr="00C70D7F" w:rsidRDefault="0041584B" w:rsidP="0041584B">
      <w:pPr>
        <w:pStyle w:val="Heading2"/>
      </w:pPr>
      <w:r w:rsidRPr="00C70D7F">
        <w:t xml:space="preserve">The negative cost recovery for a Branch is the summation of the cost recovery for the particular Branch across all Nodes where the Node’s contribution is negative. This is expressed mathematically </w:t>
      </w:r>
      <w:proofErr w:type="gramStart"/>
      <w:r w:rsidRPr="00C70D7F">
        <w:t>below:-</w:t>
      </w:r>
      <w:proofErr w:type="gramEnd"/>
    </w:p>
    <w:p w14:paraId="7F727ECA" w14:textId="77777777" w:rsidR="0041584B" w:rsidRPr="00A01A7B" w:rsidRDefault="0041584B" w:rsidP="0041584B">
      <w:pPr>
        <w:pStyle w:val="DCNormParaL3"/>
        <w:rPr>
          <w:rStyle w:val="DCNormParaL2Char"/>
        </w:rPr>
      </w:pPr>
      <w:r w:rsidRPr="00A01A7B">
        <w:rPr>
          <w:rStyle w:val="DCNormParaL2Char"/>
        </w:rPr>
        <w:object w:dxaOrig="10560" w:dyaOrig="960" w14:anchorId="7087A928">
          <v:shape id="_x0000_i1044" type="#_x0000_t75" style="width:446.25pt;height:43.15pt" o:ole="">
            <v:imagedata r:id="rId58" o:title=""/>
          </v:shape>
          <o:OLEObject Type="Embed" ProgID="Equation.3" ShapeID="_x0000_i1044" DrawAspect="Content" ObjectID="_1640532513" r:id="rId59"/>
        </w:object>
      </w:r>
      <w:r w:rsidRPr="00A01A7B">
        <w:rPr>
          <w:rStyle w:val="DCNormParaL2Char"/>
        </w:rPr>
        <w:t xml:space="preserve">where </w:t>
      </w:r>
      <w:proofErr w:type="spellStart"/>
      <w:r w:rsidRPr="00A01A7B">
        <w:rPr>
          <w:rStyle w:val="DCNormParaL2Char"/>
        </w:rPr>
        <w:t>NegativeCostRecoveryi</w:t>
      </w:r>
      <w:proofErr w:type="spellEnd"/>
      <w:r w:rsidRPr="00A01A7B">
        <w:rPr>
          <w:rStyle w:val="DCNormParaL2Char"/>
        </w:rPr>
        <w:t xml:space="preserve"> is the annual recovered ‘negative’ costs (i.e. credit). Each £/annum figure is </w:t>
      </w:r>
      <w:proofErr w:type="gramStart"/>
      <w:r w:rsidRPr="00A01A7B">
        <w:rPr>
          <w:rStyle w:val="DCNormParaL2Char"/>
        </w:rPr>
        <w:t>negative</w:t>
      </w:r>
      <w:proofErr w:type="gramEnd"/>
      <w:r w:rsidRPr="00A01A7B">
        <w:rPr>
          <w:rStyle w:val="DCNormParaL2Char"/>
        </w:rPr>
        <w:t xml:space="preserve"> and the absolute value of the total cost recovery is calculated. All quantities are defined in the paragraph above.</w:t>
      </w:r>
    </w:p>
    <w:p w14:paraId="66770271" w14:textId="77777777" w:rsidR="0041584B" w:rsidRPr="00776C1E" w:rsidRDefault="0041584B" w:rsidP="0041584B">
      <w:pPr>
        <w:pStyle w:val="Heading2"/>
      </w:pPr>
      <w:r w:rsidRPr="00776C1E">
        <w:t xml:space="preserve">The actual reinforcement cost of a Branch is determined </w:t>
      </w:r>
      <w:proofErr w:type="gramStart"/>
      <w:r w:rsidRPr="00776C1E">
        <w:t>by:-</w:t>
      </w:r>
      <w:proofErr w:type="gramEnd"/>
    </w:p>
    <w:p w14:paraId="7EA59B03" w14:textId="77777777" w:rsidR="0041584B" w:rsidRPr="00C70D7F" w:rsidRDefault="0041584B" w:rsidP="0041584B">
      <w:pPr>
        <w:pStyle w:val="BodyTextFirstIndent"/>
        <w:jc w:val="center"/>
        <w:rPr>
          <w:i/>
          <w:szCs w:val="24"/>
        </w:rPr>
      </w:pPr>
      <w:proofErr w:type="spellStart"/>
      <w:r w:rsidRPr="00C70D7F">
        <w:rPr>
          <w:i/>
          <w:szCs w:val="24"/>
        </w:rPr>
        <w:t>ActualReinforcementCost</w:t>
      </w:r>
      <w:r w:rsidRPr="00C70D7F">
        <w:rPr>
          <w:i/>
          <w:szCs w:val="24"/>
          <w:vertAlign w:val="subscript"/>
        </w:rPr>
        <w:t>i</w:t>
      </w:r>
      <w:proofErr w:type="spellEnd"/>
      <w:r w:rsidRPr="00C70D7F">
        <w:rPr>
          <w:i/>
          <w:szCs w:val="24"/>
        </w:rPr>
        <w:t xml:space="preserve"> = </w:t>
      </w:r>
      <w:proofErr w:type="spellStart"/>
      <w:r w:rsidRPr="00C70D7F">
        <w:rPr>
          <w:i/>
          <w:szCs w:val="24"/>
        </w:rPr>
        <w:t>AnnuityRate•CostOfReinforcementSolution</w:t>
      </w:r>
      <w:r w:rsidRPr="00C70D7F">
        <w:rPr>
          <w:i/>
          <w:szCs w:val="24"/>
          <w:vertAlign w:val="subscript"/>
        </w:rPr>
        <w:t>i</w:t>
      </w:r>
      <w:proofErr w:type="spellEnd"/>
    </w:p>
    <w:p w14:paraId="3238CCDC" w14:textId="77777777" w:rsidR="0041584B" w:rsidRPr="00767030" w:rsidRDefault="0041584B" w:rsidP="0041584B">
      <w:pPr>
        <w:pStyle w:val="Body1"/>
      </w:pPr>
      <w:r w:rsidRPr="00767030">
        <w:t>Where:</w:t>
      </w:r>
    </w:p>
    <w:p w14:paraId="4817D6AF" w14:textId="77777777" w:rsidR="0041584B" w:rsidRPr="00767030" w:rsidRDefault="0041584B" w:rsidP="0041584B">
      <w:pPr>
        <w:pStyle w:val="Body1"/>
      </w:pPr>
      <w:proofErr w:type="spellStart"/>
      <w:r w:rsidRPr="00767030">
        <w:rPr>
          <w:i/>
        </w:rPr>
        <w:t>ActualReinforcementCost</w:t>
      </w:r>
      <w:r w:rsidRPr="00767030">
        <w:rPr>
          <w:i/>
          <w:vertAlign w:val="subscript"/>
        </w:rPr>
        <w:t>i</w:t>
      </w:r>
      <w:proofErr w:type="spellEnd"/>
      <w:r w:rsidRPr="00767030">
        <w:tab/>
        <w:t xml:space="preserve">is the </w:t>
      </w:r>
      <w:proofErr w:type="spellStart"/>
      <w:r w:rsidRPr="00767030">
        <w:t>annuitised</w:t>
      </w:r>
      <w:proofErr w:type="spellEnd"/>
      <w:r w:rsidRPr="00767030">
        <w:t xml:space="preserve"> reinforcement cost for Branch </w:t>
      </w:r>
      <w:r w:rsidRPr="00767030">
        <w:rPr>
          <w:i/>
        </w:rPr>
        <w:t>I</w:t>
      </w:r>
      <w:r w:rsidRPr="00767030">
        <w:t>;</w:t>
      </w:r>
    </w:p>
    <w:p w14:paraId="5593CB58" w14:textId="77777777" w:rsidR="0041584B" w:rsidRPr="00767030" w:rsidRDefault="0041584B" w:rsidP="0041584B">
      <w:pPr>
        <w:pStyle w:val="Body1"/>
      </w:pPr>
      <w:proofErr w:type="spellStart"/>
      <w:r w:rsidRPr="00767030">
        <w:rPr>
          <w:i/>
        </w:rPr>
        <w:t>AnnuityRate</w:t>
      </w:r>
      <w:proofErr w:type="spellEnd"/>
      <w:r w:rsidRPr="00767030">
        <w:tab/>
        <w:t>is the annuity rate used in the calculation of Branch incremental costs, as described in Attachment 1 below; and</w:t>
      </w:r>
    </w:p>
    <w:p w14:paraId="21ECCBA8" w14:textId="77777777" w:rsidR="0041584B" w:rsidRPr="00767030" w:rsidRDefault="0041584B" w:rsidP="0041584B">
      <w:pPr>
        <w:pStyle w:val="Body1"/>
      </w:pPr>
      <w:proofErr w:type="spellStart"/>
      <w:r w:rsidRPr="00767030">
        <w:rPr>
          <w:i/>
        </w:rPr>
        <w:t>CostOfReinforcementSolution</w:t>
      </w:r>
      <w:r w:rsidRPr="00767030">
        <w:rPr>
          <w:i/>
          <w:vertAlign w:val="subscript"/>
        </w:rPr>
        <w:t>i</w:t>
      </w:r>
      <w:proofErr w:type="spellEnd"/>
      <w:r w:rsidRPr="00767030">
        <w:rPr>
          <w:i/>
          <w:vertAlign w:val="subscript"/>
        </w:rPr>
        <w:tab/>
      </w:r>
      <w:r w:rsidRPr="00767030">
        <w:t xml:space="preserve">is the reinforcement cost for Branch </w:t>
      </w:r>
      <w:r w:rsidRPr="00767030">
        <w:rPr>
          <w:i/>
        </w:rPr>
        <w:t>i</w:t>
      </w:r>
      <w:r w:rsidRPr="00767030">
        <w:t>, as used in the calculation of the Branch incremental cost.</w:t>
      </w:r>
    </w:p>
    <w:p w14:paraId="144DB9F6" w14:textId="77777777" w:rsidR="0041584B" w:rsidRPr="00776C1E" w:rsidRDefault="0041584B" w:rsidP="0041584B">
      <w:pPr>
        <w:pStyle w:val="Heading2"/>
      </w:pPr>
      <w:r w:rsidRPr="00776C1E">
        <w:t xml:space="preserve">A Positive Recovery Factor is determined for each Branch, as follows: </w:t>
      </w:r>
    </w:p>
    <w:p w14:paraId="04E3C240" w14:textId="77777777" w:rsidR="0041584B" w:rsidRPr="00C70D7F" w:rsidRDefault="0041584B" w:rsidP="0041584B">
      <w:pPr>
        <w:pStyle w:val="Heading5"/>
        <w:keepNext w:val="0"/>
        <w:keepLines w:val="0"/>
        <w:ind w:left="1418"/>
      </w:pPr>
      <w:r w:rsidRPr="00C70D7F">
        <w:t xml:space="preserve">if </w:t>
      </w:r>
      <w:proofErr w:type="spellStart"/>
      <w:r w:rsidRPr="00C70D7F">
        <w:rPr>
          <w:i/>
        </w:rPr>
        <w:t>PositiveCostRecovery</w:t>
      </w:r>
      <w:r w:rsidRPr="00C70D7F">
        <w:rPr>
          <w:i/>
          <w:vertAlign w:val="subscript"/>
        </w:rPr>
        <w:t>i</w:t>
      </w:r>
      <w:proofErr w:type="spellEnd"/>
      <w:r w:rsidRPr="00C70D7F">
        <w:t xml:space="preserve"> is greater than </w:t>
      </w:r>
      <w:proofErr w:type="spellStart"/>
      <w:r w:rsidRPr="00C70D7F">
        <w:rPr>
          <w:i/>
        </w:rPr>
        <w:t>ActualReinforcementCost</w:t>
      </w:r>
      <w:r w:rsidRPr="00C70D7F">
        <w:rPr>
          <w:i/>
          <w:vertAlign w:val="subscript"/>
        </w:rPr>
        <w:t>i</w:t>
      </w:r>
      <w:proofErr w:type="spellEnd"/>
      <w:r w:rsidRPr="00C70D7F">
        <w:t xml:space="preserve"> for Branch </w:t>
      </w:r>
      <w:r w:rsidRPr="00C70D7F">
        <w:rPr>
          <w:i/>
        </w:rPr>
        <w:t>i</w:t>
      </w:r>
      <w:r w:rsidRPr="00C70D7F">
        <w:t>, the Positive Recovery Factor,</w:t>
      </w:r>
      <w:r w:rsidRPr="00C70D7F">
        <w:rPr>
          <w:iCs/>
          <w:position w:val="-12"/>
        </w:rPr>
        <w:t xml:space="preserve"> </w:t>
      </w:r>
      <w:r w:rsidRPr="00C70D7F">
        <w:rPr>
          <w:iCs/>
          <w:position w:val="-12"/>
        </w:rPr>
        <w:object w:dxaOrig="320" w:dyaOrig="360" w14:anchorId="1F716263">
          <v:shape id="_x0000_i1045" type="#_x0000_t75" style="width:21.4pt;height:21.4pt" o:ole="">
            <v:imagedata r:id="rId60" o:title=""/>
          </v:shape>
          <o:OLEObject Type="Embed" ProgID="Equation.3" ShapeID="_x0000_i1045" DrawAspect="Content" ObjectID="_1640532514" r:id="rId61"/>
        </w:object>
      </w:r>
      <w:r w:rsidRPr="00C70D7F">
        <w:t>, is given by:</w:t>
      </w:r>
    </w:p>
    <w:p w14:paraId="309FC759" w14:textId="77777777" w:rsidR="0041584B" w:rsidRPr="00C70D7F" w:rsidRDefault="0041584B" w:rsidP="0041584B">
      <w:pPr>
        <w:ind w:firstLine="720"/>
        <w:jc w:val="center"/>
        <w:rPr>
          <w:vertAlign w:val="subscript"/>
        </w:rPr>
      </w:pPr>
      <w:proofErr w:type="spellStart"/>
      <w:r w:rsidRPr="00C70D7F">
        <w:rPr>
          <w:iCs/>
          <w:position w:val="-12"/>
        </w:rPr>
        <w:lastRenderedPageBreak/>
        <w:t>s</w:t>
      </w:r>
      <w:r w:rsidRPr="00C70D7F">
        <w:rPr>
          <w:iCs/>
          <w:position w:val="-12"/>
          <w:vertAlign w:val="subscript"/>
        </w:rPr>
        <w:t>Pi</w:t>
      </w:r>
      <w:proofErr w:type="spellEnd"/>
      <w:r w:rsidRPr="00C70D7F">
        <w:rPr>
          <w:iCs/>
          <w:position w:val="-12"/>
        </w:rPr>
        <w:t xml:space="preserve"> = </w:t>
      </w:r>
      <w:proofErr w:type="spellStart"/>
      <w:r w:rsidRPr="00C70D7F">
        <w:rPr>
          <w:i/>
          <w:iCs/>
          <w:position w:val="-12"/>
        </w:rPr>
        <w:t>ActualReinforcementCost</w:t>
      </w:r>
      <w:r w:rsidRPr="00C70D7F">
        <w:rPr>
          <w:i/>
          <w:iCs/>
          <w:position w:val="-12"/>
          <w:vertAlign w:val="subscript"/>
        </w:rPr>
        <w:t>i</w:t>
      </w:r>
      <w:proofErr w:type="spellEnd"/>
      <w:r w:rsidRPr="00C70D7F">
        <w:rPr>
          <w:iCs/>
          <w:position w:val="-12"/>
        </w:rPr>
        <w:t xml:space="preserve"> / </w:t>
      </w:r>
      <w:proofErr w:type="spellStart"/>
      <w:r w:rsidRPr="00C70D7F">
        <w:rPr>
          <w:i/>
          <w:iCs/>
          <w:position w:val="-12"/>
        </w:rPr>
        <w:t>PositiveCostRecovery</w:t>
      </w:r>
      <w:r w:rsidRPr="00C70D7F">
        <w:rPr>
          <w:i/>
          <w:iCs/>
          <w:position w:val="-12"/>
          <w:vertAlign w:val="subscript"/>
        </w:rPr>
        <w:t>i</w:t>
      </w:r>
      <w:proofErr w:type="spellEnd"/>
    </w:p>
    <w:p w14:paraId="7CAF80B6" w14:textId="77777777" w:rsidR="0041584B" w:rsidRPr="00C70D7F" w:rsidRDefault="0041584B" w:rsidP="0041584B">
      <w:pPr>
        <w:pStyle w:val="Heading5"/>
        <w:keepNext w:val="0"/>
        <w:keepLines w:val="0"/>
        <w:ind w:left="1418"/>
      </w:pPr>
      <w:r w:rsidRPr="00C70D7F">
        <w:t>otherwise:</w:t>
      </w:r>
    </w:p>
    <w:p w14:paraId="73E9CF15" w14:textId="77777777" w:rsidR="0041584B" w:rsidRPr="00C70D7F" w:rsidRDefault="0041584B" w:rsidP="0041584B">
      <w:pPr>
        <w:jc w:val="center"/>
        <w:rPr>
          <w:iCs/>
          <w:position w:val="-12"/>
        </w:rPr>
      </w:pPr>
      <w:proofErr w:type="spellStart"/>
      <w:r w:rsidRPr="00C70D7F">
        <w:rPr>
          <w:iCs/>
          <w:position w:val="-12"/>
        </w:rPr>
        <w:t>s</w:t>
      </w:r>
      <w:r w:rsidRPr="00C70D7F">
        <w:rPr>
          <w:iCs/>
          <w:position w:val="-12"/>
          <w:vertAlign w:val="subscript"/>
        </w:rPr>
        <w:t>Pi</w:t>
      </w:r>
      <w:proofErr w:type="spellEnd"/>
      <w:r w:rsidRPr="00C70D7F">
        <w:rPr>
          <w:iCs/>
          <w:position w:val="-12"/>
        </w:rPr>
        <w:t xml:space="preserve"> = 1</w:t>
      </w:r>
    </w:p>
    <w:p w14:paraId="6BBA5A54" w14:textId="77777777" w:rsidR="0041584B" w:rsidRPr="00776C1E" w:rsidRDefault="0041584B" w:rsidP="0041584B">
      <w:pPr>
        <w:pStyle w:val="Heading2"/>
      </w:pPr>
      <w:r w:rsidRPr="00776C1E">
        <w:t>A Negative Recovery Factor is calculated for each Branch in the following way:</w:t>
      </w:r>
    </w:p>
    <w:p w14:paraId="67283289" w14:textId="77777777" w:rsidR="0041584B" w:rsidRPr="00C70D7F" w:rsidRDefault="0041584B" w:rsidP="0041584B">
      <w:pPr>
        <w:pStyle w:val="Heading3"/>
      </w:pPr>
      <w:r w:rsidRPr="00C70D7F">
        <w:t xml:space="preserve">if </w:t>
      </w:r>
      <w:proofErr w:type="spellStart"/>
      <w:r w:rsidRPr="00C70D7F">
        <w:rPr>
          <w:i/>
        </w:rPr>
        <w:t>NegativeCostRecovery</w:t>
      </w:r>
      <w:r w:rsidRPr="00C70D7F">
        <w:rPr>
          <w:i/>
          <w:vertAlign w:val="subscript"/>
        </w:rPr>
        <w:t>i</w:t>
      </w:r>
      <w:proofErr w:type="spellEnd"/>
      <w:r w:rsidRPr="00C70D7F">
        <w:t xml:space="preserve"> is greater than </w:t>
      </w:r>
      <w:proofErr w:type="spellStart"/>
      <w:r w:rsidRPr="00C70D7F">
        <w:rPr>
          <w:i/>
        </w:rPr>
        <w:t>ActualReinforcementCost</w:t>
      </w:r>
      <w:r w:rsidRPr="00C70D7F">
        <w:rPr>
          <w:i/>
          <w:vertAlign w:val="subscript"/>
        </w:rPr>
        <w:t>i</w:t>
      </w:r>
      <w:proofErr w:type="spellEnd"/>
      <w:r w:rsidRPr="00C70D7F">
        <w:t xml:space="preserve"> for Branch </w:t>
      </w:r>
      <w:r w:rsidRPr="00C70D7F">
        <w:rPr>
          <w:i/>
        </w:rPr>
        <w:t>i</w:t>
      </w:r>
      <w:r w:rsidRPr="00C70D7F">
        <w:t>, the Negative Recovery Factor,</w:t>
      </w:r>
      <w:r w:rsidRPr="00C70D7F">
        <w:rPr>
          <w:iCs/>
          <w:position w:val="-12"/>
        </w:rPr>
        <w:t xml:space="preserve"> </w:t>
      </w:r>
      <w:r w:rsidRPr="00C70D7F">
        <w:rPr>
          <w:iCs/>
          <w:position w:val="-18"/>
        </w:rPr>
        <w:object w:dxaOrig="420" w:dyaOrig="420" w14:anchorId="5BD8375F">
          <v:shape id="_x0000_i1046" type="#_x0000_t75" style="width:22.5pt;height:22.5pt" o:ole="">
            <v:imagedata r:id="rId62" o:title=""/>
          </v:shape>
          <o:OLEObject Type="Embed" ProgID="Equation.3" ShapeID="_x0000_i1046" DrawAspect="Content" ObjectID="_1640532515" r:id="rId63"/>
        </w:object>
      </w:r>
      <w:r w:rsidRPr="00C70D7F">
        <w:t>, is given by:</w:t>
      </w:r>
    </w:p>
    <w:p w14:paraId="0C27B2E0" w14:textId="77777777" w:rsidR="0041584B" w:rsidRPr="00C70D7F" w:rsidRDefault="0041584B" w:rsidP="0041584B">
      <w:pPr>
        <w:ind w:firstLine="720"/>
        <w:jc w:val="center"/>
        <w:rPr>
          <w:vertAlign w:val="subscript"/>
        </w:rPr>
      </w:pPr>
      <w:proofErr w:type="spellStart"/>
      <w:r w:rsidRPr="00C70D7F">
        <w:rPr>
          <w:iCs/>
          <w:position w:val="-12"/>
        </w:rPr>
        <w:t>s</w:t>
      </w:r>
      <w:r w:rsidRPr="00C70D7F">
        <w:rPr>
          <w:iCs/>
          <w:position w:val="-12"/>
          <w:vertAlign w:val="subscript"/>
        </w:rPr>
        <w:t>Ni</w:t>
      </w:r>
      <w:proofErr w:type="spellEnd"/>
      <w:r w:rsidRPr="00C70D7F">
        <w:rPr>
          <w:iCs/>
          <w:position w:val="-12"/>
        </w:rPr>
        <w:t xml:space="preserve"> = </w:t>
      </w:r>
      <w:proofErr w:type="spellStart"/>
      <w:r w:rsidRPr="00C70D7F">
        <w:rPr>
          <w:i/>
          <w:iCs/>
          <w:position w:val="-12"/>
        </w:rPr>
        <w:t>ActualReinforcementCost</w:t>
      </w:r>
      <w:r w:rsidRPr="00C70D7F">
        <w:rPr>
          <w:i/>
          <w:iCs/>
          <w:position w:val="-12"/>
          <w:vertAlign w:val="subscript"/>
        </w:rPr>
        <w:t>i</w:t>
      </w:r>
      <w:proofErr w:type="spellEnd"/>
      <w:r w:rsidRPr="00C70D7F">
        <w:rPr>
          <w:iCs/>
          <w:position w:val="-12"/>
        </w:rPr>
        <w:t xml:space="preserve"> / </w:t>
      </w:r>
      <w:proofErr w:type="spellStart"/>
      <w:r w:rsidRPr="00C70D7F">
        <w:rPr>
          <w:i/>
          <w:iCs/>
          <w:position w:val="-12"/>
        </w:rPr>
        <w:t>NegativeCostRecovery</w:t>
      </w:r>
      <w:r w:rsidRPr="00C70D7F">
        <w:rPr>
          <w:i/>
          <w:iCs/>
          <w:position w:val="-12"/>
          <w:vertAlign w:val="subscript"/>
        </w:rPr>
        <w:t>i</w:t>
      </w:r>
      <w:proofErr w:type="spellEnd"/>
    </w:p>
    <w:p w14:paraId="6A05ED93" w14:textId="77777777" w:rsidR="0041584B" w:rsidRPr="00C70D7F" w:rsidRDefault="0041584B" w:rsidP="0041584B">
      <w:pPr>
        <w:pStyle w:val="Heading3"/>
      </w:pPr>
      <w:r w:rsidRPr="00C70D7F">
        <w:t>otherwise:</w:t>
      </w:r>
    </w:p>
    <w:p w14:paraId="00781512" w14:textId="77777777" w:rsidR="0041584B" w:rsidRPr="00C70D7F" w:rsidRDefault="0041584B" w:rsidP="0041584B">
      <w:pPr>
        <w:jc w:val="center"/>
        <w:rPr>
          <w:iCs/>
          <w:position w:val="-12"/>
        </w:rPr>
      </w:pPr>
      <w:proofErr w:type="spellStart"/>
      <w:r w:rsidRPr="00C70D7F">
        <w:rPr>
          <w:iCs/>
          <w:position w:val="-12"/>
        </w:rPr>
        <w:t>s</w:t>
      </w:r>
      <w:r w:rsidRPr="00C70D7F">
        <w:rPr>
          <w:iCs/>
          <w:position w:val="-12"/>
          <w:vertAlign w:val="subscript"/>
        </w:rPr>
        <w:t>Ni</w:t>
      </w:r>
      <w:proofErr w:type="spellEnd"/>
      <w:r w:rsidRPr="00C70D7F">
        <w:rPr>
          <w:iCs/>
          <w:position w:val="-12"/>
        </w:rPr>
        <w:t xml:space="preserve"> = 1</w:t>
      </w:r>
    </w:p>
    <w:p w14:paraId="19CCFFE6" w14:textId="77777777" w:rsidR="0041584B" w:rsidRPr="00776C1E" w:rsidRDefault="0041584B" w:rsidP="0041584B">
      <w:pPr>
        <w:pStyle w:val="Heading2"/>
      </w:pPr>
      <w:r w:rsidRPr="00776C1E">
        <w:t xml:space="preserve">Two Recovery Factors are determined for each Branch. The Positive Recovery Factor for a particular Branch is applied to all positive Branch incremental costs associated with that Branch, when calculating Nodal incremental costs, irrespective of the period to which the Branch incremental costs relate. Similarly, the Negative Recovery Factor for a particular Branch is applied to all negative Branch incremental costs associated with that Branch, when Nodal incremental costs are calculated. </w:t>
      </w:r>
    </w:p>
    <w:p w14:paraId="6881E269" w14:textId="77777777" w:rsidR="0041584B" w:rsidRPr="00776C1E" w:rsidRDefault="0041584B" w:rsidP="0041584B">
      <w:pPr>
        <w:pStyle w:val="DCSubHeading1Level2"/>
      </w:pPr>
      <w:bookmarkStart w:id="691" w:name="_Toc268553695"/>
      <w:bookmarkStart w:id="692" w:name="_Ref269305446"/>
      <w:bookmarkStart w:id="693" w:name="_Toc269379884"/>
      <w:bookmarkStart w:id="694" w:name="_Toc269720533"/>
      <w:bookmarkStart w:id="695" w:name="_Toc269721229"/>
      <w:bookmarkStart w:id="696" w:name="DemandNodes"/>
      <w:r w:rsidRPr="00776C1E">
        <w:t>Demand Nodes</w:t>
      </w:r>
      <w:bookmarkEnd w:id="691"/>
      <w:bookmarkEnd w:id="692"/>
      <w:bookmarkEnd w:id="693"/>
      <w:bookmarkEnd w:id="694"/>
      <w:bookmarkEnd w:id="695"/>
      <w:bookmarkEnd w:id="696"/>
    </w:p>
    <w:p w14:paraId="59D7C2E7" w14:textId="77777777" w:rsidR="0041584B" w:rsidRPr="00776C1E" w:rsidRDefault="0041584B" w:rsidP="0041584B">
      <w:pPr>
        <w:pStyle w:val="Heading2"/>
      </w:pPr>
      <w:bookmarkStart w:id="697" w:name="_Ref277943020"/>
      <w:r w:rsidRPr="00776C1E">
        <w:t>For Nodes where demand (load) is located:</w:t>
      </w:r>
      <w:bookmarkEnd w:id="697"/>
    </w:p>
    <w:p w14:paraId="455CF787" w14:textId="77777777" w:rsidR="0041584B" w:rsidRPr="00776C1E" w:rsidRDefault="0041584B" w:rsidP="0041584B">
      <w:pPr>
        <w:pStyle w:val="Heading5"/>
        <w:keepNext w:val="0"/>
        <w:keepLines w:val="0"/>
        <w:ind w:left="1418"/>
        <w:jc w:val="both"/>
      </w:pPr>
      <w:r>
        <w:t>Table 8.12</w:t>
      </w:r>
      <w:r w:rsidRPr="00776C1E">
        <w:t xml:space="preserve"> describes the comparison performed for Branch reinforcements identified by application of increments to a Node where demand (load) is located.</w:t>
      </w:r>
    </w:p>
    <w:p w14:paraId="1A90C731" w14:textId="77777777" w:rsidR="0041584B" w:rsidRPr="00776C1E" w:rsidRDefault="0041584B" w:rsidP="0041584B">
      <w:pPr>
        <w:pStyle w:val="Heading5"/>
        <w:keepNext w:val="0"/>
        <w:keepLines w:val="0"/>
        <w:ind w:left="1418"/>
        <w:jc w:val="both"/>
      </w:pPr>
      <w:r w:rsidRPr="00776C1E">
        <w:t xml:space="preserve">For the Maximum Demand </w:t>
      </w:r>
      <w:proofErr w:type="gramStart"/>
      <w:r w:rsidRPr="00776C1E">
        <w:t>Scenario</w:t>
      </w:r>
      <w:proofErr w:type="gramEnd"/>
      <w:r w:rsidRPr="00776C1E">
        <w:t xml:space="preserve"> the increment is applied in the demand (load) direction. If such an increase in demand (load) accelerates the reinforcement (</w:t>
      </w:r>
      <m:oMath>
        <m:sSup>
          <m:sSupPr>
            <m:ctrlPr>
              <w:rPr>
                <w:rFonts w:ascii="Cambria Math" w:hAnsi="Cambria Math"/>
                <w:i/>
              </w:rPr>
            </m:ctrlPr>
          </m:sSupPr>
          <m:e>
            <m:r>
              <w:rPr>
                <w:rFonts w:ascii="Cambria Math" w:hAnsi="Cambria Math"/>
              </w:rPr>
              <m:t>∆</m:t>
            </m:r>
            <m:sSub>
              <m:sSubPr>
                <m:ctrlPr>
                  <w:rPr>
                    <w:rFonts w:ascii="Cambria Math" w:hAnsi="Cambria Math"/>
                    <w:i/>
                  </w:rPr>
                </m:ctrlPr>
              </m:sSubPr>
              <m:e>
                <m:r>
                  <m:rPr>
                    <m:sty m:val="bi"/>
                  </m:rPr>
                  <w:rPr>
                    <w:rFonts w:ascii="Cambria Math" w:hAnsi="Cambria Math"/>
                  </w:rPr>
                  <m:t>C</m:t>
                </m:r>
              </m:e>
              <m:sub>
                <m:r>
                  <m:rPr>
                    <m:sty m:val="bi"/>
                  </m:rPr>
                  <w:rPr>
                    <w:rFonts w:ascii="Cambria Math" w:hAnsi="Cambria Math"/>
                  </w:rPr>
                  <m:t>i</m:t>
                </m:r>
              </m:sub>
            </m:sSub>
          </m:e>
          <m:sup>
            <m:r>
              <m:rPr>
                <m:sty m:val="bi"/>
              </m:rPr>
              <w:rPr>
                <w:rFonts w:ascii="Cambria Math" w:hAnsi="Cambria Math"/>
              </w:rPr>
              <m:t>peak</m:t>
            </m:r>
          </m:sup>
        </m:sSup>
        <m:r>
          <w:rPr>
            <w:rFonts w:ascii="Cambria Math" w:hAnsi="Cambria Math"/>
          </w:rPr>
          <m:t>&gt;0</m:t>
        </m:r>
      </m:oMath>
      <w:r w:rsidRPr="00776C1E">
        <w:t>) the demand should be charged (</w:t>
      </w:r>
      <w:r>
        <w:t>Table 8.12</w:t>
      </w:r>
      <w:r w:rsidRPr="00776C1E">
        <w:t xml:space="preserve">, the first row, column ‘Credit/Charge’). For the Minimum Demand </w:t>
      </w:r>
      <w:proofErr w:type="gramStart"/>
      <w:r w:rsidRPr="00776C1E">
        <w:t>Scenario</w:t>
      </w:r>
      <w:proofErr w:type="gramEnd"/>
      <w:r w:rsidRPr="00776C1E">
        <w:t xml:space="preserve"> the increment is applied in the generation direction (a reduction of demand). If such reduction of demand (load) would accelerate the reinforcement (</w:t>
      </w:r>
      <m:oMath>
        <m:sSup>
          <m:sSupPr>
            <m:ctrlPr>
              <w:rPr>
                <w:rFonts w:ascii="Cambria Math" w:hAnsi="Cambria Math"/>
                <w:i/>
              </w:rPr>
            </m:ctrlPr>
          </m:sSupPr>
          <m:e>
            <m:r>
              <w:rPr>
                <w:rFonts w:ascii="Cambria Math" w:hAnsi="Cambria Math"/>
              </w:rPr>
              <m:t>∆</m:t>
            </m:r>
            <m:sSub>
              <m:sSubPr>
                <m:ctrlPr>
                  <w:rPr>
                    <w:rFonts w:ascii="Cambria Math" w:hAnsi="Cambria Math"/>
                    <w:i/>
                  </w:rPr>
                </m:ctrlPr>
              </m:sSubPr>
              <m:e>
                <m:r>
                  <m:rPr>
                    <m:sty m:val="bi"/>
                  </m:rPr>
                  <w:rPr>
                    <w:rFonts w:ascii="Cambria Math" w:hAnsi="Cambria Math"/>
                  </w:rPr>
                  <m:t>C</m:t>
                </m:r>
              </m:e>
              <m:sub>
                <m:r>
                  <m:rPr>
                    <m:sty m:val="bi"/>
                  </m:rPr>
                  <w:rPr>
                    <w:rFonts w:ascii="Cambria Math" w:hAnsi="Cambria Math"/>
                  </w:rPr>
                  <m:t>i</m:t>
                </m:r>
              </m:sub>
            </m:sSub>
          </m:e>
          <m:sup>
            <m:r>
              <m:rPr>
                <m:sty m:val="bi"/>
              </m:rPr>
              <w:rPr>
                <w:rFonts w:ascii="Cambria Math" w:hAnsi="Cambria Math"/>
              </w:rPr>
              <m:t>off</m:t>
            </m:r>
            <m:r>
              <w:rPr>
                <w:rFonts w:ascii="Cambria Math" w:hAnsi="Cambria Math"/>
              </w:rPr>
              <m:t>-</m:t>
            </m:r>
            <m:r>
              <m:rPr>
                <m:sty m:val="bi"/>
              </m:rPr>
              <w:rPr>
                <w:rFonts w:ascii="Cambria Math" w:hAnsi="Cambria Math"/>
              </w:rPr>
              <m:t>peak</m:t>
            </m:r>
          </m:sup>
        </m:sSup>
        <m:r>
          <w:rPr>
            <w:rFonts w:ascii="Cambria Math" w:hAnsi="Cambria Math"/>
          </w:rPr>
          <m:t>&gt;</m:t>
        </m:r>
        <m:r>
          <w:rPr>
            <w:rFonts w:ascii="Cambria Math" w:hAnsi="Cambria Math"/>
          </w:rPr>
          <w:lastRenderedPageBreak/>
          <m:t>0</m:t>
        </m:r>
      </m:oMath>
      <w:r w:rsidRPr="00776C1E">
        <w:t>) than the demand charge takes the form of a credit (</w:t>
      </w:r>
      <w:r>
        <w:t>Table 8.12</w:t>
      </w:r>
      <w:r w:rsidRPr="00776C1E">
        <w:t xml:space="preserve"> the third row, column ‘Credit/Charge’).</w:t>
      </w:r>
    </w:p>
    <w:p w14:paraId="3F3671C7" w14:textId="77777777" w:rsidR="0041584B" w:rsidRPr="00776C1E" w:rsidRDefault="0041584B" w:rsidP="0041584B">
      <w:pPr>
        <w:pStyle w:val="Heading5"/>
        <w:keepNext w:val="0"/>
        <w:keepLines w:val="0"/>
        <w:ind w:left="1418"/>
        <w:jc w:val="both"/>
      </w:pPr>
      <w:r w:rsidRPr="00776C1E">
        <w:t xml:space="preserve">It should be pointed out that each Branch incremental cost is considered in just one out of two charge periods (Peak or Off-Peak but not both) based on the scenario that drives the maximum absolute value of Branch incremental cost, as shown in </w:t>
      </w:r>
      <w:r>
        <w:t>Table 8.12</w:t>
      </w:r>
      <w:r w:rsidRPr="00776C1E">
        <w:t>. A calculation of Nodal incremental costs and Nodal marginal charges for a simple network example is given in Attachment 2 below.</w:t>
      </w:r>
    </w:p>
    <w:p w14:paraId="26B7A401" w14:textId="77777777" w:rsidR="0041584B" w:rsidRPr="00776C1E" w:rsidRDefault="0041584B" w:rsidP="0041584B">
      <w:pPr>
        <w:pStyle w:val="Heading5"/>
        <w:keepNext w:val="0"/>
        <w:keepLines w:val="0"/>
        <w:ind w:left="1418"/>
        <w:jc w:val="both"/>
      </w:pPr>
      <w:r w:rsidRPr="00776C1E">
        <w:t xml:space="preserve">To calculate the Peak Nodal incremental cost, a sum of all peak incremental costs </w:t>
      </w:r>
      <m:oMath>
        <m:sSup>
          <m:sSupPr>
            <m:ctrlPr>
              <w:rPr>
                <w:rFonts w:ascii="Cambria Math" w:hAnsi="Cambria Math"/>
                <w:i/>
              </w:rPr>
            </m:ctrlPr>
          </m:sSupPr>
          <m:e>
            <m:r>
              <w:rPr>
                <w:rFonts w:ascii="Cambria Math" w:hAnsi="Cambria Math"/>
              </w:rPr>
              <m:t>∆</m:t>
            </m:r>
            <m:sSub>
              <m:sSubPr>
                <m:ctrlPr>
                  <w:rPr>
                    <w:rFonts w:ascii="Cambria Math" w:hAnsi="Cambria Math"/>
                    <w:i/>
                  </w:rPr>
                </m:ctrlPr>
              </m:sSubPr>
              <m:e>
                <m:r>
                  <m:rPr>
                    <m:sty m:val="bi"/>
                  </m:rPr>
                  <w:rPr>
                    <w:rFonts w:ascii="Cambria Math" w:hAnsi="Cambria Math"/>
                  </w:rPr>
                  <m:t>C</m:t>
                </m:r>
              </m:e>
              <m:sub>
                <m:r>
                  <m:rPr>
                    <m:sty m:val="bi"/>
                  </m:rPr>
                  <w:rPr>
                    <w:rFonts w:ascii="Cambria Math" w:hAnsi="Cambria Math"/>
                  </w:rPr>
                  <m:t>i</m:t>
                </m:r>
              </m:sub>
            </m:sSub>
          </m:e>
          <m:sup>
            <m:r>
              <m:rPr>
                <m:sty m:val="bi"/>
              </m:rPr>
              <w:rPr>
                <w:rFonts w:ascii="Cambria Math" w:hAnsi="Cambria Math"/>
              </w:rPr>
              <m:t>peak</m:t>
            </m:r>
          </m:sup>
        </m:sSup>
      </m:oMath>
      <w:r w:rsidRPr="00776C1E">
        <w:t xml:space="preserve">, each scaled by the appropriate Recovery Factor </w:t>
      </w:r>
      <w:r w:rsidRPr="00776C1E">
        <w:object w:dxaOrig="220" w:dyaOrig="360" w14:anchorId="10D11553">
          <v:shape id="_x0000_i1047" type="#_x0000_t75" style="width:13.9pt;height:21.4pt" o:ole="">
            <v:imagedata r:id="rId64" o:title=""/>
          </v:shape>
          <o:OLEObject Type="Embed" ProgID="Equation.3" ShapeID="_x0000_i1047" DrawAspect="Content" ObjectID="_1640532516" r:id="rId65"/>
        </w:object>
      </w:r>
      <w:r w:rsidRPr="00776C1E">
        <w:t>, over all Branches where the Maximum Demand scenario drives reinforcements, associated with the application of an increment at the Node, should be determined. To calculate the Off</w:t>
      </w:r>
      <w:r w:rsidRPr="00776C1E">
        <w:noBreakHyphen/>
        <w:t xml:space="preserve">Peak Nodal incremental cost a sum of all off-peak incremental costs </w:t>
      </w:r>
      <m:oMath>
        <m:sSup>
          <m:sSupPr>
            <m:ctrlPr>
              <w:rPr>
                <w:rFonts w:ascii="Cambria Math" w:hAnsi="Cambria Math"/>
                <w:i/>
              </w:rPr>
            </m:ctrlPr>
          </m:sSupPr>
          <m:e>
            <m:r>
              <w:rPr>
                <w:rFonts w:ascii="Cambria Math" w:hAnsi="Cambria Math"/>
              </w:rPr>
              <m:t>∆</m:t>
            </m:r>
            <m:sSub>
              <m:sSubPr>
                <m:ctrlPr>
                  <w:rPr>
                    <w:rFonts w:ascii="Cambria Math" w:hAnsi="Cambria Math"/>
                    <w:i/>
                  </w:rPr>
                </m:ctrlPr>
              </m:sSubPr>
              <m:e>
                <m:r>
                  <m:rPr>
                    <m:sty m:val="bi"/>
                  </m:rPr>
                  <w:rPr>
                    <w:rFonts w:ascii="Cambria Math" w:hAnsi="Cambria Math"/>
                  </w:rPr>
                  <m:t>C</m:t>
                </m:r>
              </m:e>
              <m:sub>
                <m:r>
                  <m:rPr>
                    <m:sty m:val="bi"/>
                  </m:rPr>
                  <w:rPr>
                    <w:rFonts w:ascii="Cambria Math" w:hAnsi="Cambria Math"/>
                  </w:rPr>
                  <m:t>i</m:t>
                </m:r>
              </m:sub>
            </m:sSub>
          </m:e>
          <m:sup>
            <m:r>
              <m:rPr>
                <m:sty m:val="bi"/>
              </m:rPr>
              <w:rPr>
                <w:rFonts w:ascii="Cambria Math" w:hAnsi="Cambria Math"/>
              </w:rPr>
              <m:t>off</m:t>
            </m:r>
            <m:r>
              <w:rPr>
                <w:rFonts w:ascii="Cambria Math" w:hAnsi="Cambria Math"/>
              </w:rPr>
              <m:t>-</m:t>
            </m:r>
            <m:r>
              <m:rPr>
                <m:sty m:val="bi"/>
              </m:rPr>
              <w:rPr>
                <w:rFonts w:ascii="Cambria Math" w:hAnsi="Cambria Math"/>
              </w:rPr>
              <m:t>peak</m:t>
            </m:r>
          </m:sup>
        </m:sSup>
      </m:oMath>
      <w:r w:rsidRPr="00776C1E">
        <w:t xml:space="preserve">, each scaled by the appropriate Recovery Factor </w:t>
      </w:r>
      <w:r w:rsidRPr="00776C1E">
        <w:object w:dxaOrig="220" w:dyaOrig="360" w14:anchorId="402BD483">
          <v:shape id="_x0000_i1048" type="#_x0000_t75" style="width:13.9pt;height:21.4pt" o:ole="">
            <v:imagedata r:id="rId64" o:title=""/>
          </v:shape>
          <o:OLEObject Type="Embed" ProgID="Equation.3" ShapeID="_x0000_i1048" DrawAspect="Content" ObjectID="_1640532517" r:id="rId66"/>
        </w:object>
      </w:r>
      <w:r w:rsidRPr="00776C1E">
        <w:t>,  over all Branches where the Minimum Demand scenario drives the reinforcements, associated with the application of an increment at the Node, should be determined.</w:t>
      </w:r>
    </w:p>
    <w:p w14:paraId="6E1B837E" w14:textId="77777777" w:rsidR="0041584B" w:rsidRPr="00776C1E" w:rsidRDefault="0041584B" w:rsidP="0041584B">
      <w:pPr>
        <w:pStyle w:val="Heading5"/>
        <w:keepNext w:val="0"/>
        <w:keepLines w:val="0"/>
        <w:ind w:left="1418"/>
        <w:jc w:val="both"/>
      </w:pPr>
      <w:r w:rsidRPr="00776C1E">
        <w:t>To calculate the £/kVA/annum Peak and Off-Peak Nodal marginal charges the obtained sums should be divided by the corresponding kVA increment (using 0.1 MW at 0.95 power factor). A calculation of Nodal incremental costs and Nodal marginal charges for a simple network example is given in Attachment 2 below.</w:t>
      </w:r>
    </w:p>
    <w:p w14:paraId="30905D67" w14:textId="77777777" w:rsidR="0041584B" w:rsidRPr="00776C1E" w:rsidRDefault="0041584B" w:rsidP="0041584B">
      <w:pPr>
        <w:pStyle w:val="Heading5"/>
        <w:keepNext w:val="0"/>
        <w:keepLines w:val="0"/>
        <w:ind w:left="1418"/>
        <w:jc w:val="both"/>
      </w:pPr>
      <w:r w:rsidRPr="00776C1E">
        <w:t>The Peak and Off-Peak Nodal marginal charges are the main output results that will be used for the calculation of the total Use of System Charges. The other outputs are discussed in Attachment 3 below.</w:t>
      </w:r>
    </w:p>
    <w:p w14:paraId="2D5C1029" w14:textId="77777777" w:rsidR="0041584B" w:rsidRPr="00776C1E" w:rsidRDefault="0041584B" w:rsidP="0041584B">
      <w:pPr>
        <w:pStyle w:val="Heading5"/>
        <w:keepNext w:val="0"/>
        <w:keepLines w:val="0"/>
        <w:ind w:left="1418"/>
        <w:jc w:val="both"/>
      </w:pPr>
      <w:r w:rsidRPr="00776C1E">
        <w:t xml:space="preserve">The adopted sign convention with respect to Peak Charges and Off-Peak Charges (output values) is given in the last column of </w:t>
      </w:r>
      <w:r>
        <w:t>Table 8.12</w:t>
      </w:r>
      <w:r w:rsidRPr="00776C1E">
        <w:t xml:space="preserve">. It should be noted that the convention follows the sign of </w:t>
      </w:r>
      <m:oMath>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i</m:t>
            </m:r>
          </m:sub>
        </m:sSub>
      </m:oMath>
      <w:r w:rsidRPr="00776C1E">
        <w:t>.</w:t>
      </w:r>
    </w:p>
    <w:p w14:paraId="3FE4C345" w14:textId="77777777" w:rsidR="0041584B" w:rsidRDefault="0041584B" w:rsidP="0041584B">
      <w:pPr>
        <w:pStyle w:val="Caption"/>
      </w:pPr>
      <w:bookmarkStart w:id="698" w:name="_Ref253607731"/>
      <w:bookmarkStart w:id="699" w:name="_Toc253698464"/>
    </w:p>
    <w:p w14:paraId="462407C1" w14:textId="77777777" w:rsidR="0041584B" w:rsidRDefault="0041584B" w:rsidP="0041584B">
      <w:pPr>
        <w:pStyle w:val="Caption"/>
      </w:pPr>
    </w:p>
    <w:p w14:paraId="6F4A6136" w14:textId="77777777" w:rsidR="0041584B" w:rsidRDefault="0041584B" w:rsidP="0041584B">
      <w:pPr>
        <w:pStyle w:val="Caption"/>
      </w:pPr>
    </w:p>
    <w:p w14:paraId="13803640" w14:textId="77777777" w:rsidR="0041584B" w:rsidRPr="00E755CC" w:rsidRDefault="0041584B" w:rsidP="0041584B">
      <w:pPr>
        <w:pStyle w:val="Caption"/>
      </w:pPr>
      <w:r w:rsidRPr="00E755CC">
        <w:t xml:space="preserve">Table </w:t>
      </w:r>
      <w:r>
        <w:t>8.12</w:t>
      </w:r>
      <w:bookmarkEnd w:id="698"/>
      <w:r w:rsidRPr="00E755CC">
        <w:t xml:space="preserve"> - Scenarios that drive reinforcement and the rules for the calculation of Branch reinforcement charges/credits for a demand (load) located at a Node.</w:t>
      </w:r>
      <w:bookmarkEnd w:id="699"/>
    </w:p>
    <w:tbl>
      <w:tblPr>
        <w:tblStyle w:val="GridTable4-Accent3"/>
        <w:tblW w:w="10773" w:type="dxa"/>
        <w:jc w:val="center"/>
        <w:tblLayout w:type="fixed"/>
        <w:tblLook w:val="0620" w:firstRow="1" w:lastRow="0" w:firstColumn="0" w:lastColumn="0" w:noHBand="1" w:noVBand="1"/>
      </w:tblPr>
      <w:tblGrid>
        <w:gridCol w:w="1276"/>
        <w:gridCol w:w="2268"/>
        <w:gridCol w:w="1593"/>
        <w:gridCol w:w="1418"/>
        <w:gridCol w:w="1667"/>
        <w:gridCol w:w="1134"/>
        <w:gridCol w:w="1417"/>
      </w:tblGrid>
      <w:tr w:rsidR="0041584B" w:rsidRPr="00E755CC" w14:paraId="64DD2EA4" w14:textId="77777777" w:rsidTr="0041584B">
        <w:trPr>
          <w:cnfStyle w:val="100000000000" w:firstRow="1" w:lastRow="0" w:firstColumn="0" w:lastColumn="0" w:oddVBand="0" w:evenVBand="0" w:oddHBand="0" w:evenHBand="0" w:firstRowFirstColumn="0" w:firstRowLastColumn="0" w:lastRowFirstColumn="0" w:lastRowLastColumn="0"/>
          <w:jc w:val="center"/>
        </w:trPr>
        <w:tc>
          <w:tcPr>
            <w:tcW w:w="1276" w:type="dxa"/>
          </w:tcPr>
          <w:p w14:paraId="38AE02CD" w14:textId="77777777" w:rsidR="0041584B" w:rsidRPr="00E755CC" w:rsidRDefault="0041584B" w:rsidP="0041584B">
            <w:pPr>
              <w:keepNext/>
              <w:keepLines/>
              <w:spacing w:after="0" w:line="240" w:lineRule="auto"/>
              <w:ind w:left="-56"/>
              <w:jc w:val="center"/>
              <w:rPr>
                <w:rFonts w:eastAsia="Times New Roman" w:cs="Times New Roman"/>
                <w:szCs w:val="24"/>
              </w:rPr>
            </w:pPr>
            <w:r w:rsidRPr="00E755CC">
              <w:rPr>
                <w:rFonts w:eastAsia="Times New Roman" w:cs="Times New Roman"/>
                <w:szCs w:val="24"/>
              </w:rPr>
              <w:t>Increment Direction</w:t>
            </w:r>
          </w:p>
        </w:tc>
        <w:tc>
          <w:tcPr>
            <w:tcW w:w="2268" w:type="dxa"/>
          </w:tcPr>
          <w:p w14:paraId="06AE4C3E" w14:textId="77777777" w:rsidR="0041584B" w:rsidRPr="00E755CC" w:rsidRDefault="0041584B" w:rsidP="0041584B">
            <w:pPr>
              <w:keepNext/>
              <w:keepLines/>
              <w:spacing w:after="0" w:line="240" w:lineRule="auto"/>
              <w:ind w:left="-56"/>
              <w:jc w:val="center"/>
              <w:rPr>
                <w:rFonts w:eastAsia="Times New Roman" w:cs="Times New Roman"/>
                <w:szCs w:val="24"/>
              </w:rPr>
            </w:pPr>
            <w:r w:rsidRPr="00E755CC">
              <w:rPr>
                <w:rFonts w:eastAsia="Times New Roman" w:cs="Times New Roman"/>
                <w:szCs w:val="24"/>
              </w:rPr>
              <w:t>Branch incremental</w:t>
            </w:r>
          </w:p>
          <w:p w14:paraId="67AF8ADD" w14:textId="77777777" w:rsidR="0041584B" w:rsidRPr="00E755CC" w:rsidRDefault="0041584B" w:rsidP="0041584B">
            <w:pPr>
              <w:keepNext/>
              <w:keepLines/>
              <w:spacing w:after="0" w:line="240" w:lineRule="auto"/>
              <w:ind w:left="-56"/>
              <w:jc w:val="center"/>
              <w:rPr>
                <w:rFonts w:eastAsia="Times New Roman" w:cs="Times New Roman"/>
                <w:szCs w:val="24"/>
              </w:rPr>
            </w:pPr>
            <w:r w:rsidRPr="00E755CC">
              <w:rPr>
                <w:rFonts w:eastAsia="Times New Roman" w:cs="Times New Roman"/>
                <w:szCs w:val="24"/>
              </w:rPr>
              <w:t xml:space="preserve"> cost comparison</w:t>
            </w:r>
          </w:p>
        </w:tc>
        <w:tc>
          <w:tcPr>
            <w:tcW w:w="1593" w:type="dxa"/>
          </w:tcPr>
          <w:p w14:paraId="546F1DCB" w14:textId="77777777" w:rsidR="0041584B" w:rsidRPr="00E755CC" w:rsidRDefault="0041584B" w:rsidP="0041584B">
            <w:pPr>
              <w:keepNext/>
              <w:keepLines/>
              <w:spacing w:after="0" w:line="240" w:lineRule="auto"/>
              <w:ind w:left="-56"/>
              <w:jc w:val="center"/>
              <w:rPr>
                <w:rFonts w:eastAsia="Times New Roman" w:cs="Times New Roman"/>
                <w:szCs w:val="24"/>
              </w:rPr>
            </w:pPr>
            <w:r w:rsidRPr="00E755CC">
              <w:rPr>
                <w:rFonts w:eastAsia="Times New Roman" w:cs="Times New Roman"/>
                <w:szCs w:val="24"/>
              </w:rPr>
              <w:t>Reinforcement cost scenario assigned to the Branch</w:t>
            </w:r>
          </w:p>
        </w:tc>
        <w:tc>
          <w:tcPr>
            <w:tcW w:w="1418" w:type="dxa"/>
          </w:tcPr>
          <w:p w14:paraId="45D6E8F6" w14:textId="77777777" w:rsidR="0041584B" w:rsidRPr="00E755CC" w:rsidRDefault="0041584B" w:rsidP="0041584B">
            <w:pPr>
              <w:keepNext/>
              <w:keepLines/>
              <w:spacing w:after="0" w:line="240" w:lineRule="auto"/>
              <w:ind w:left="-56"/>
              <w:jc w:val="center"/>
              <w:rPr>
                <w:rFonts w:eastAsia="Times New Roman" w:cs="Times New Roman"/>
                <w:szCs w:val="24"/>
              </w:rPr>
            </w:pPr>
            <w:r w:rsidRPr="00E755CC">
              <w:rPr>
                <w:rFonts w:eastAsia="Times New Roman" w:cs="Times New Roman"/>
                <w:szCs w:val="24"/>
              </w:rPr>
              <w:t xml:space="preserve">Sign of </w:t>
            </w:r>
            <m:oMath>
              <m:r>
                <m:rPr>
                  <m:sty m:val="bi"/>
                </m:rPr>
                <w:rPr>
                  <w:rFonts w:ascii="Cambria Math" w:eastAsia="Times New Roman" w:hAnsi="Cambria Math" w:cs="Times New Roman"/>
                  <w:szCs w:val="24"/>
                </w:rPr>
                <m:t>∆</m:t>
              </m:r>
              <m:sSub>
                <m:sSubPr>
                  <m:ctrlPr>
                    <w:rPr>
                      <w:rFonts w:ascii="Cambria Math" w:eastAsia="Calibri" w:hAnsi="Cambria Math" w:cs="Times New Roman"/>
                      <w:i/>
                      <w:szCs w:val="24"/>
                      <w:lang w:val="en-US"/>
                    </w:rPr>
                  </m:ctrlPr>
                </m:sSubPr>
                <m:e>
                  <m:r>
                    <m:rPr>
                      <m:sty m:val="bi"/>
                    </m:rPr>
                    <w:rPr>
                      <w:rFonts w:ascii="Cambria Math" w:eastAsia="Times New Roman" w:hAnsi="Cambria Math" w:cs="Times New Roman"/>
                      <w:szCs w:val="24"/>
                    </w:rPr>
                    <m:t>C</m:t>
                  </m:r>
                </m:e>
                <m:sub>
                  <m:r>
                    <m:rPr>
                      <m:sty m:val="bi"/>
                    </m:rPr>
                    <w:rPr>
                      <w:rFonts w:ascii="Cambria Math" w:eastAsia="Times New Roman" w:hAnsi="Cambria Math" w:cs="Times New Roman"/>
                      <w:szCs w:val="24"/>
                    </w:rPr>
                    <m:t>i</m:t>
                  </m:r>
                </m:sub>
              </m:sSub>
            </m:oMath>
          </w:p>
        </w:tc>
        <w:tc>
          <w:tcPr>
            <w:tcW w:w="1667" w:type="dxa"/>
          </w:tcPr>
          <w:p w14:paraId="60B3F4A4" w14:textId="77777777" w:rsidR="0041584B" w:rsidRPr="00E755CC" w:rsidRDefault="0041584B" w:rsidP="0041584B">
            <w:pPr>
              <w:keepNext/>
              <w:keepLines/>
              <w:spacing w:after="0" w:line="240" w:lineRule="auto"/>
              <w:ind w:left="-56"/>
              <w:jc w:val="center"/>
              <w:rPr>
                <w:rFonts w:eastAsia="Times New Roman" w:cs="Times New Roman"/>
                <w:szCs w:val="24"/>
              </w:rPr>
            </w:pPr>
            <w:r w:rsidRPr="00E755CC">
              <w:rPr>
                <w:rFonts w:eastAsia="Times New Roman" w:cs="Times New Roman"/>
                <w:szCs w:val="24"/>
              </w:rPr>
              <w:t>Accelerate</w:t>
            </w:r>
          </w:p>
          <w:p w14:paraId="72BD1828" w14:textId="77777777" w:rsidR="0041584B" w:rsidRPr="00E755CC" w:rsidRDefault="0041584B" w:rsidP="0041584B">
            <w:pPr>
              <w:keepNext/>
              <w:keepLines/>
              <w:spacing w:after="0" w:line="240" w:lineRule="auto"/>
              <w:ind w:left="-56"/>
              <w:jc w:val="center"/>
              <w:rPr>
                <w:rFonts w:eastAsia="Times New Roman" w:cs="Times New Roman"/>
                <w:szCs w:val="24"/>
              </w:rPr>
            </w:pPr>
            <w:r w:rsidRPr="00E755CC">
              <w:rPr>
                <w:rFonts w:eastAsia="Times New Roman" w:cs="Times New Roman"/>
                <w:szCs w:val="24"/>
              </w:rPr>
              <w:t>/ Delay Reinforcement</w:t>
            </w:r>
          </w:p>
        </w:tc>
        <w:tc>
          <w:tcPr>
            <w:tcW w:w="1134" w:type="dxa"/>
          </w:tcPr>
          <w:p w14:paraId="5B54BBE7" w14:textId="77777777" w:rsidR="0041584B" w:rsidRPr="00E755CC" w:rsidRDefault="0041584B" w:rsidP="0041584B">
            <w:pPr>
              <w:keepNext/>
              <w:keepLines/>
              <w:spacing w:after="0" w:line="240" w:lineRule="auto"/>
              <w:ind w:left="-56"/>
              <w:jc w:val="center"/>
              <w:rPr>
                <w:rFonts w:eastAsia="Times New Roman" w:cs="Times New Roman"/>
                <w:szCs w:val="24"/>
              </w:rPr>
            </w:pPr>
            <w:r w:rsidRPr="00E755CC">
              <w:rPr>
                <w:rFonts w:eastAsia="Times New Roman" w:cs="Times New Roman"/>
                <w:szCs w:val="24"/>
              </w:rPr>
              <w:t>Charge</w:t>
            </w:r>
          </w:p>
          <w:p w14:paraId="5CB9730B" w14:textId="77777777" w:rsidR="0041584B" w:rsidRPr="00E755CC" w:rsidRDefault="0041584B" w:rsidP="0041584B">
            <w:pPr>
              <w:keepNext/>
              <w:keepLines/>
              <w:spacing w:after="0" w:line="240" w:lineRule="auto"/>
              <w:ind w:left="-56"/>
              <w:jc w:val="center"/>
              <w:rPr>
                <w:rFonts w:eastAsia="Times New Roman" w:cs="Times New Roman"/>
                <w:szCs w:val="24"/>
              </w:rPr>
            </w:pPr>
            <w:r w:rsidRPr="00E755CC">
              <w:rPr>
                <w:rFonts w:eastAsia="Times New Roman" w:cs="Times New Roman"/>
                <w:szCs w:val="24"/>
              </w:rPr>
              <w:t>/Credit</w:t>
            </w:r>
          </w:p>
          <w:p w14:paraId="517F5CF0" w14:textId="77777777" w:rsidR="0041584B" w:rsidRPr="00E755CC" w:rsidRDefault="0041584B" w:rsidP="0041584B">
            <w:pPr>
              <w:keepNext/>
              <w:keepLines/>
              <w:spacing w:after="0" w:line="240" w:lineRule="auto"/>
              <w:ind w:left="-56"/>
              <w:jc w:val="center"/>
              <w:rPr>
                <w:rFonts w:eastAsia="Times New Roman" w:cs="Times New Roman"/>
                <w:szCs w:val="24"/>
              </w:rPr>
            </w:pPr>
            <w:r w:rsidRPr="00E755CC">
              <w:rPr>
                <w:rFonts w:eastAsia="Times New Roman" w:cs="Times New Roman"/>
                <w:szCs w:val="24"/>
              </w:rPr>
              <w:t>£/kVA/</w:t>
            </w:r>
            <w:r>
              <w:rPr>
                <w:rFonts w:eastAsia="Times New Roman" w:cs="Times New Roman"/>
                <w:szCs w:val="24"/>
              </w:rPr>
              <w:t xml:space="preserve"> </w:t>
            </w:r>
            <w:r w:rsidRPr="00E755CC">
              <w:rPr>
                <w:rFonts w:eastAsia="Times New Roman" w:cs="Times New Roman"/>
                <w:szCs w:val="24"/>
              </w:rPr>
              <w:t>annum</w:t>
            </w:r>
          </w:p>
        </w:tc>
        <w:tc>
          <w:tcPr>
            <w:tcW w:w="1417" w:type="dxa"/>
          </w:tcPr>
          <w:p w14:paraId="1E1D4B44" w14:textId="77777777" w:rsidR="0041584B" w:rsidRPr="00E755CC" w:rsidRDefault="0041584B" w:rsidP="0041584B">
            <w:pPr>
              <w:keepNext/>
              <w:keepLines/>
              <w:spacing w:after="0" w:line="240" w:lineRule="auto"/>
              <w:ind w:left="-56"/>
              <w:jc w:val="center"/>
              <w:rPr>
                <w:rFonts w:eastAsia="Times New Roman" w:cs="Times New Roman"/>
                <w:szCs w:val="24"/>
              </w:rPr>
            </w:pPr>
            <w:r w:rsidRPr="00E755CC">
              <w:rPr>
                <w:rFonts w:eastAsia="Times New Roman" w:cs="Times New Roman"/>
                <w:szCs w:val="24"/>
              </w:rPr>
              <w:t>Output Convention</w:t>
            </w:r>
          </w:p>
        </w:tc>
      </w:tr>
      <w:tr w:rsidR="0041584B" w:rsidRPr="00E755CC" w14:paraId="0B8AFFA7" w14:textId="77777777" w:rsidTr="0041584B">
        <w:trPr>
          <w:jc w:val="center"/>
        </w:trPr>
        <w:tc>
          <w:tcPr>
            <w:tcW w:w="1276" w:type="dxa"/>
          </w:tcPr>
          <w:p w14:paraId="14533999" w14:textId="77777777" w:rsidR="0041584B" w:rsidRPr="00E755CC" w:rsidRDefault="0041584B" w:rsidP="0041584B">
            <w:pPr>
              <w:keepNext/>
              <w:keepLines/>
              <w:spacing w:after="0" w:line="240" w:lineRule="auto"/>
              <w:ind w:left="-56"/>
              <w:jc w:val="center"/>
              <w:rPr>
                <w:rFonts w:eastAsia="Times New Roman" w:cs="Times New Roman"/>
                <w:szCs w:val="24"/>
              </w:rPr>
            </w:pPr>
            <w:r w:rsidRPr="00E755CC">
              <w:rPr>
                <w:rFonts w:eastAsia="Times New Roman" w:cs="Times New Roman"/>
                <w:szCs w:val="24"/>
              </w:rPr>
              <w:t>Demand</w:t>
            </w:r>
          </w:p>
          <w:p w14:paraId="57D56B43" w14:textId="77777777" w:rsidR="0041584B" w:rsidRPr="00E755CC" w:rsidRDefault="0041584B" w:rsidP="0041584B">
            <w:pPr>
              <w:keepNext/>
              <w:keepLines/>
              <w:spacing w:after="0" w:line="240" w:lineRule="auto"/>
              <w:ind w:left="-56"/>
              <w:jc w:val="center"/>
              <w:rPr>
                <w:rFonts w:eastAsia="Times New Roman" w:cs="Times New Roman"/>
                <w:szCs w:val="24"/>
              </w:rPr>
            </w:pPr>
            <w:r w:rsidRPr="00E755CC">
              <w:rPr>
                <w:rFonts w:eastAsia="Times New Roman" w:cs="Times New Roman"/>
                <w:szCs w:val="24"/>
              </w:rPr>
              <w:t>Increase</w:t>
            </w:r>
          </w:p>
        </w:tc>
        <w:tc>
          <w:tcPr>
            <w:tcW w:w="2268" w:type="dxa"/>
          </w:tcPr>
          <w:p w14:paraId="3180CA86" w14:textId="77777777" w:rsidR="0041584B" w:rsidRPr="00E755CC" w:rsidRDefault="0041584B" w:rsidP="0041584B">
            <w:pPr>
              <w:keepNext/>
              <w:keepLines/>
              <w:spacing w:after="0" w:line="240" w:lineRule="auto"/>
              <w:ind w:left="131" w:hanging="142"/>
              <w:jc w:val="center"/>
              <w:rPr>
                <w:rFonts w:eastAsia="Times New Roman" w:cs="Times New Roman"/>
                <w:b/>
                <w:color w:val="000000"/>
                <w:szCs w:val="24"/>
              </w:rPr>
            </w:pPr>
            <m:oMathPara>
              <m:oMath>
                <m:sSup>
                  <m:sSupPr>
                    <m:ctrlPr>
                      <w:rPr>
                        <w:rFonts w:ascii="Cambria Math" w:eastAsia="Times New Roman" w:hAnsi="Cambria Math" w:cs="Times New Roman"/>
                        <w:b/>
                        <w:i/>
                        <w:color w:val="000000"/>
                        <w:szCs w:val="24"/>
                      </w:rPr>
                    </m:ctrlPr>
                  </m:sSupPr>
                  <m:e>
                    <m:r>
                      <m:rPr>
                        <m:sty m:val="bi"/>
                      </m:rPr>
                      <w:rPr>
                        <w:rFonts w:ascii="Cambria Math" w:eastAsia="Times New Roman" w:hAnsi="Cambria Math" w:cs="Times New Roman"/>
                        <w:color w:val="000000"/>
                        <w:szCs w:val="24"/>
                      </w:rPr>
                      <m:t>abs(∆</m:t>
                    </m:r>
                    <m:sSub>
                      <m:sSubPr>
                        <m:ctrlPr>
                          <w:rPr>
                            <w:rFonts w:ascii="Cambria Math" w:eastAsia="Times New Roman" w:hAnsi="Cambria Math" w:cs="Times New Roman"/>
                            <w:b/>
                            <w:bCs/>
                            <w:i/>
                            <w:color w:val="000000"/>
                            <w:szCs w:val="24"/>
                          </w:rPr>
                        </m:ctrlPr>
                      </m:sSubPr>
                      <m:e>
                        <m:r>
                          <m:rPr>
                            <m:sty m:val="bi"/>
                          </m:rPr>
                          <w:rPr>
                            <w:rFonts w:ascii="Cambria Math" w:eastAsia="Times New Roman" w:hAnsi="Cambria Math" w:cs="Times New Roman"/>
                            <w:color w:val="000000"/>
                            <w:szCs w:val="24"/>
                          </w:rPr>
                          <m:t>C</m:t>
                        </m:r>
                      </m:e>
                      <m:sub>
                        <m:r>
                          <m:rPr>
                            <m:sty m:val="bi"/>
                          </m:rPr>
                          <w:rPr>
                            <w:rFonts w:ascii="Cambria Math" w:eastAsia="Times New Roman" w:hAnsi="Cambria Math" w:cs="Times New Roman"/>
                            <w:color w:val="000000"/>
                            <w:szCs w:val="24"/>
                          </w:rPr>
                          <m:t>i</m:t>
                        </m:r>
                      </m:sub>
                    </m:sSub>
                  </m:e>
                  <m:sup>
                    <m:r>
                      <m:rPr>
                        <m:sty m:val="bi"/>
                      </m:rPr>
                      <w:rPr>
                        <w:rFonts w:ascii="Cambria Math" w:eastAsia="Times New Roman" w:hAnsi="Cambria Math" w:cs="Times New Roman"/>
                        <w:color w:val="000000"/>
                        <w:szCs w:val="24"/>
                      </w:rPr>
                      <m:t>peak</m:t>
                    </m:r>
                  </m:sup>
                </m:sSup>
                <m:r>
                  <m:rPr>
                    <m:sty m:val="bi"/>
                  </m:rPr>
                  <w:rPr>
                    <w:rFonts w:ascii="Cambria Math" w:eastAsia="Times New Roman" w:hAnsi="Cambria Math" w:cs="Times New Roman"/>
                    <w:color w:val="000000"/>
                    <w:szCs w:val="24"/>
                  </w:rPr>
                  <m:t>)</m:t>
                </m:r>
                <m:r>
                  <w:rPr>
                    <w:rFonts w:ascii="Cambria Math" w:eastAsia="Times New Roman" w:hAnsi="Cambria Math" w:cs="Times New Roman"/>
                    <w:color w:val="000000"/>
                    <w:szCs w:val="24"/>
                  </w:rPr>
                  <m:t>&gt;</m:t>
                </m:r>
                <m:sSup>
                  <m:sSupPr>
                    <m:ctrlPr>
                      <w:rPr>
                        <w:rFonts w:ascii="Cambria Math" w:eastAsia="Times New Roman" w:hAnsi="Cambria Math" w:cs="Times New Roman"/>
                        <w:b/>
                        <w:i/>
                        <w:color w:val="000000"/>
                        <w:szCs w:val="24"/>
                      </w:rPr>
                    </m:ctrlPr>
                  </m:sSupPr>
                  <m:e>
                    <m:r>
                      <m:rPr>
                        <m:sty m:val="bi"/>
                      </m:rPr>
                      <w:rPr>
                        <w:rFonts w:ascii="Cambria Math" w:eastAsia="Times New Roman" w:hAnsi="Cambria Math" w:cs="Times New Roman"/>
                        <w:color w:val="000000"/>
                        <w:szCs w:val="24"/>
                      </w:rPr>
                      <m:t>abs(∆</m:t>
                    </m:r>
                    <m:sSub>
                      <m:sSubPr>
                        <m:ctrlPr>
                          <w:rPr>
                            <w:rFonts w:ascii="Cambria Math" w:eastAsia="Times New Roman" w:hAnsi="Cambria Math" w:cs="Times New Roman"/>
                            <w:b/>
                            <w:bCs/>
                            <w:i/>
                            <w:color w:val="000000"/>
                            <w:szCs w:val="24"/>
                          </w:rPr>
                        </m:ctrlPr>
                      </m:sSubPr>
                      <m:e>
                        <m:r>
                          <m:rPr>
                            <m:sty m:val="bi"/>
                          </m:rPr>
                          <w:rPr>
                            <w:rFonts w:ascii="Cambria Math" w:eastAsia="Times New Roman" w:hAnsi="Cambria Math" w:cs="Times New Roman"/>
                            <w:color w:val="000000"/>
                            <w:szCs w:val="24"/>
                          </w:rPr>
                          <m:t>C</m:t>
                        </m:r>
                      </m:e>
                      <m:sub>
                        <m:r>
                          <m:rPr>
                            <m:sty m:val="bi"/>
                          </m:rPr>
                          <w:rPr>
                            <w:rFonts w:ascii="Cambria Math" w:eastAsia="Times New Roman" w:hAnsi="Cambria Math" w:cs="Times New Roman"/>
                            <w:color w:val="000000"/>
                            <w:szCs w:val="24"/>
                          </w:rPr>
                          <m:t>i</m:t>
                        </m:r>
                      </m:sub>
                    </m:sSub>
                  </m:e>
                  <m:sup>
                    <m:r>
                      <m:rPr>
                        <m:sty m:val="bi"/>
                      </m:rPr>
                      <w:rPr>
                        <w:rFonts w:ascii="Cambria Math" w:eastAsia="Times New Roman" w:hAnsi="Cambria Math" w:cs="Times New Roman"/>
                        <w:color w:val="000000"/>
                        <w:szCs w:val="24"/>
                      </w:rPr>
                      <m:t>off-peak</m:t>
                    </m:r>
                  </m:sup>
                </m:sSup>
                <m:r>
                  <m:rPr>
                    <m:sty m:val="bi"/>
                  </m:rPr>
                  <w:rPr>
                    <w:rFonts w:ascii="Cambria Math" w:eastAsia="Times New Roman" w:hAnsi="Cambria Math" w:cs="Times New Roman"/>
                    <w:color w:val="000000"/>
                    <w:szCs w:val="24"/>
                  </w:rPr>
                  <m:t>)</m:t>
                </m:r>
              </m:oMath>
            </m:oMathPara>
          </w:p>
        </w:tc>
        <w:tc>
          <w:tcPr>
            <w:tcW w:w="1593" w:type="dxa"/>
          </w:tcPr>
          <w:p w14:paraId="34E640B6" w14:textId="77777777" w:rsidR="0041584B" w:rsidRPr="00E755CC" w:rsidRDefault="0041584B" w:rsidP="0041584B">
            <w:pPr>
              <w:keepNext/>
              <w:keepLines/>
              <w:spacing w:after="0" w:line="240" w:lineRule="auto"/>
              <w:ind w:left="-56"/>
              <w:jc w:val="center"/>
              <w:rPr>
                <w:rFonts w:eastAsia="Times New Roman" w:cs="Times New Roman"/>
                <w:szCs w:val="24"/>
              </w:rPr>
            </w:pPr>
            <w:r w:rsidRPr="00E755CC">
              <w:rPr>
                <w:rFonts w:eastAsia="Times New Roman" w:cs="Times New Roman"/>
                <w:szCs w:val="24"/>
              </w:rPr>
              <w:t>Maximum Demand (Peak)</w:t>
            </w:r>
          </w:p>
        </w:tc>
        <w:tc>
          <w:tcPr>
            <w:tcW w:w="1418" w:type="dxa"/>
          </w:tcPr>
          <w:p w14:paraId="004D4B48" w14:textId="77777777" w:rsidR="0041584B" w:rsidRPr="00E755CC" w:rsidRDefault="0041584B" w:rsidP="0041584B">
            <w:pPr>
              <w:keepNext/>
              <w:keepLines/>
              <w:spacing w:after="0" w:line="240" w:lineRule="auto"/>
              <w:ind w:left="-56"/>
              <w:jc w:val="center"/>
              <w:rPr>
                <w:rFonts w:eastAsia="Times New Roman" w:cs="Times New Roman"/>
                <w:szCs w:val="24"/>
              </w:rPr>
            </w:pPr>
            <m:oMathPara>
              <m:oMath>
                <m:sSup>
                  <m:sSupPr>
                    <m:ctrlPr>
                      <w:rPr>
                        <w:rFonts w:ascii="Cambria Math" w:eastAsia="Times New Roman" w:hAnsi="Cambria Math" w:cs="Times New Roman"/>
                        <w:b/>
                        <w:i/>
                        <w:color w:val="000000"/>
                        <w:szCs w:val="24"/>
                      </w:rPr>
                    </m:ctrlPr>
                  </m:sSupPr>
                  <m:e>
                    <m:r>
                      <m:rPr>
                        <m:sty m:val="bi"/>
                      </m:rPr>
                      <w:rPr>
                        <w:rFonts w:ascii="Cambria Math" w:eastAsia="Times New Roman" w:hAnsi="Cambria Math" w:cs="Times New Roman"/>
                        <w:color w:val="000000"/>
                        <w:szCs w:val="24"/>
                      </w:rPr>
                      <m:t>∆</m:t>
                    </m:r>
                    <m:sSub>
                      <m:sSubPr>
                        <m:ctrlPr>
                          <w:rPr>
                            <w:rFonts w:ascii="Cambria Math" w:eastAsia="Times New Roman" w:hAnsi="Cambria Math" w:cs="Times New Roman"/>
                            <w:b/>
                            <w:bCs/>
                            <w:i/>
                            <w:color w:val="000000"/>
                            <w:szCs w:val="24"/>
                          </w:rPr>
                        </m:ctrlPr>
                      </m:sSubPr>
                      <m:e>
                        <m:r>
                          <m:rPr>
                            <m:sty m:val="bi"/>
                          </m:rPr>
                          <w:rPr>
                            <w:rFonts w:ascii="Cambria Math" w:eastAsia="Times New Roman" w:hAnsi="Cambria Math" w:cs="Times New Roman"/>
                            <w:color w:val="000000"/>
                            <w:szCs w:val="24"/>
                          </w:rPr>
                          <m:t>C</m:t>
                        </m:r>
                      </m:e>
                      <m:sub>
                        <m:r>
                          <m:rPr>
                            <m:sty m:val="bi"/>
                          </m:rPr>
                          <w:rPr>
                            <w:rFonts w:ascii="Cambria Math" w:eastAsia="Times New Roman" w:hAnsi="Cambria Math" w:cs="Times New Roman"/>
                            <w:color w:val="000000"/>
                            <w:szCs w:val="24"/>
                          </w:rPr>
                          <m:t>i</m:t>
                        </m:r>
                      </m:sub>
                    </m:sSub>
                  </m:e>
                  <m:sup>
                    <m:r>
                      <m:rPr>
                        <m:sty m:val="bi"/>
                      </m:rPr>
                      <w:rPr>
                        <w:rFonts w:ascii="Cambria Math" w:eastAsia="Times New Roman" w:hAnsi="Cambria Math" w:cs="Times New Roman"/>
                        <w:color w:val="000000"/>
                        <w:szCs w:val="24"/>
                      </w:rPr>
                      <m:t>peak</m:t>
                    </m:r>
                  </m:sup>
                </m:sSup>
                <m:r>
                  <m:rPr>
                    <m:sty m:val="bi"/>
                  </m:rPr>
                  <w:rPr>
                    <w:rFonts w:ascii="Cambria Math" w:eastAsia="Times New Roman" w:hAnsi="Cambria Math" w:cs="Times New Roman"/>
                    <w:color w:val="000000"/>
                    <w:szCs w:val="24"/>
                  </w:rPr>
                  <m:t>&gt;</m:t>
                </m:r>
                <m:r>
                  <w:rPr>
                    <w:rFonts w:ascii="Cambria Math" w:eastAsia="Times New Roman" w:hAnsi="Cambria Math" w:cs="Times New Roman"/>
                    <w:color w:val="000000"/>
                    <w:szCs w:val="24"/>
                  </w:rPr>
                  <m:t>0</m:t>
                </m:r>
              </m:oMath>
            </m:oMathPara>
          </w:p>
        </w:tc>
        <w:tc>
          <w:tcPr>
            <w:tcW w:w="1667" w:type="dxa"/>
          </w:tcPr>
          <w:p w14:paraId="304DAF5F" w14:textId="77777777" w:rsidR="0041584B" w:rsidRPr="00E755CC" w:rsidRDefault="0041584B" w:rsidP="0041584B">
            <w:pPr>
              <w:keepNext/>
              <w:keepLines/>
              <w:spacing w:after="0" w:line="240" w:lineRule="auto"/>
              <w:ind w:left="-56"/>
              <w:jc w:val="center"/>
              <w:rPr>
                <w:rFonts w:eastAsia="Times New Roman" w:cs="Times New Roman"/>
                <w:szCs w:val="24"/>
              </w:rPr>
            </w:pPr>
            <w:r w:rsidRPr="00E755CC">
              <w:rPr>
                <w:rFonts w:eastAsia="Times New Roman" w:cs="Times New Roman"/>
                <w:szCs w:val="24"/>
              </w:rPr>
              <w:t>Accelerate</w:t>
            </w:r>
          </w:p>
        </w:tc>
        <w:tc>
          <w:tcPr>
            <w:tcW w:w="1134" w:type="dxa"/>
          </w:tcPr>
          <w:p w14:paraId="2F4D9B6B" w14:textId="77777777" w:rsidR="0041584B" w:rsidRPr="00E755CC" w:rsidRDefault="0041584B" w:rsidP="0041584B">
            <w:pPr>
              <w:keepNext/>
              <w:keepLines/>
              <w:spacing w:after="0" w:line="240" w:lineRule="auto"/>
              <w:ind w:left="-56"/>
              <w:jc w:val="center"/>
              <w:rPr>
                <w:rFonts w:eastAsia="Times New Roman" w:cs="Times New Roman"/>
                <w:szCs w:val="24"/>
              </w:rPr>
            </w:pPr>
            <w:r w:rsidRPr="00E755CC">
              <w:rPr>
                <w:rFonts w:eastAsia="Times New Roman" w:cs="Times New Roman"/>
                <w:szCs w:val="24"/>
              </w:rPr>
              <w:t>Peak</w:t>
            </w:r>
          </w:p>
          <w:p w14:paraId="4F5019CF" w14:textId="77777777" w:rsidR="0041584B" w:rsidRPr="00E755CC" w:rsidRDefault="0041584B" w:rsidP="0041584B">
            <w:pPr>
              <w:keepNext/>
              <w:keepLines/>
              <w:spacing w:after="0" w:line="240" w:lineRule="auto"/>
              <w:ind w:left="-56"/>
              <w:jc w:val="center"/>
              <w:rPr>
                <w:rFonts w:eastAsia="Times New Roman" w:cs="Times New Roman"/>
                <w:szCs w:val="24"/>
              </w:rPr>
            </w:pPr>
            <w:r w:rsidRPr="00E755CC">
              <w:rPr>
                <w:rFonts w:eastAsia="Times New Roman" w:cs="Times New Roman"/>
                <w:szCs w:val="24"/>
              </w:rPr>
              <w:t>Charge</w:t>
            </w:r>
          </w:p>
        </w:tc>
        <w:tc>
          <w:tcPr>
            <w:tcW w:w="1417" w:type="dxa"/>
          </w:tcPr>
          <w:p w14:paraId="4EFAEE0B" w14:textId="77777777" w:rsidR="0041584B" w:rsidRPr="00E755CC" w:rsidRDefault="0041584B" w:rsidP="0041584B">
            <w:pPr>
              <w:keepNext/>
              <w:keepLines/>
              <w:spacing w:after="0" w:line="240" w:lineRule="auto"/>
              <w:ind w:left="-56"/>
              <w:jc w:val="center"/>
              <w:rPr>
                <w:rFonts w:eastAsia="Times New Roman" w:cs="Times New Roman"/>
                <w:szCs w:val="24"/>
              </w:rPr>
            </w:pPr>
            <w:r w:rsidRPr="00E755CC">
              <w:rPr>
                <w:rFonts w:eastAsia="Times New Roman" w:cs="Times New Roman"/>
                <w:szCs w:val="24"/>
              </w:rPr>
              <w:t>Positive</w:t>
            </w:r>
          </w:p>
        </w:tc>
      </w:tr>
      <w:tr w:rsidR="0041584B" w:rsidRPr="00E755CC" w14:paraId="7F65BD1D" w14:textId="77777777" w:rsidTr="0041584B">
        <w:trPr>
          <w:jc w:val="center"/>
        </w:trPr>
        <w:tc>
          <w:tcPr>
            <w:tcW w:w="1276" w:type="dxa"/>
          </w:tcPr>
          <w:p w14:paraId="6E7E7378" w14:textId="77777777" w:rsidR="0041584B" w:rsidRPr="00E755CC" w:rsidRDefault="0041584B" w:rsidP="0041584B">
            <w:pPr>
              <w:keepNext/>
              <w:keepLines/>
              <w:spacing w:after="0" w:line="240" w:lineRule="auto"/>
              <w:ind w:left="-56"/>
              <w:jc w:val="center"/>
              <w:rPr>
                <w:rFonts w:eastAsia="Times New Roman" w:cs="Times New Roman"/>
                <w:szCs w:val="24"/>
              </w:rPr>
            </w:pPr>
            <w:r w:rsidRPr="00E755CC">
              <w:rPr>
                <w:rFonts w:eastAsia="Times New Roman" w:cs="Times New Roman"/>
                <w:szCs w:val="24"/>
              </w:rPr>
              <w:t>Demand</w:t>
            </w:r>
          </w:p>
          <w:p w14:paraId="0420BF94" w14:textId="77777777" w:rsidR="0041584B" w:rsidRPr="00E755CC" w:rsidRDefault="0041584B" w:rsidP="0041584B">
            <w:pPr>
              <w:keepNext/>
              <w:keepLines/>
              <w:spacing w:after="0" w:line="240" w:lineRule="auto"/>
              <w:ind w:left="-56"/>
              <w:jc w:val="center"/>
              <w:rPr>
                <w:rFonts w:eastAsia="Times New Roman" w:cs="Times New Roman"/>
                <w:szCs w:val="24"/>
              </w:rPr>
            </w:pPr>
            <w:r w:rsidRPr="00E755CC">
              <w:rPr>
                <w:rFonts w:eastAsia="Times New Roman" w:cs="Times New Roman"/>
                <w:szCs w:val="24"/>
              </w:rPr>
              <w:t>Increase</w:t>
            </w:r>
          </w:p>
        </w:tc>
        <w:tc>
          <w:tcPr>
            <w:tcW w:w="2268" w:type="dxa"/>
          </w:tcPr>
          <w:p w14:paraId="77624357" w14:textId="77777777" w:rsidR="0041584B" w:rsidRPr="00E755CC" w:rsidRDefault="0041584B" w:rsidP="0041584B">
            <w:pPr>
              <w:keepNext/>
              <w:keepLines/>
              <w:spacing w:after="0" w:line="240" w:lineRule="auto"/>
              <w:ind w:left="-56"/>
              <w:jc w:val="center"/>
              <w:rPr>
                <w:rFonts w:eastAsia="Times New Roman" w:cs="Times New Roman"/>
                <w:szCs w:val="24"/>
              </w:rPr>
            </w:pPr>
            <m:oMathPara>
              <m:oMath>
                <m:sSup>
                  <m:sSupPr>
                    <m:ctrlPr>
                      <w:rPr>
                        <w:rFonts w:ascii="Cambria Math" w:eastAsia="Times New Roman" w:hAnsi="Cambria Math" w:cs="Times New Roman"/>
                        <w:b/>
                        <w:i/>
                        <w:color w:val="000000"/>
                        <w:szCs w:val="24"/>
                      </w:rPr>
                    </m:ctrlPr>
                  </m:sSupPr>
                  <m:e>
                    <m:r>
                      <m:rPr>
                        <m:sty m:val="bi"/>
                      </m:rPr>
                      <w:rPr>
                        <w:rFonts w:ascii="Cambria Math" w:eastAsia="Times New Roman" w:hAnsi="Cambria Math" w:cs="Times New Roman"/>
                        <w:color w:val="000000"/>
                        <w:szCs w:val="24"/>
                      </w:rPr>
                      <m:t>abs(∆</m:t>
                    </m:r>
                    <m:sSub>
                      <m:sSubPr>
                        <m:ctrlPr>
                          <w:rPr>
                            <w:rFonts w:ascii="Cambria Math" w:eastAsia="Times New Roman" w:hAnsi="Cambria Math" w:cs="Times New Roman"/>
                            <w:b/>
                            <w:bCs/>
                            <w:i/>
                            <w:color w:val="000000"/>
                            <w:szCs w:val="24"/>
                          </w:rPr>
                        </m:ctrlPr>
                      </m:sSubPr>
                      <m:e>
                        <m:r>
                          <m:rPr>
                            <m:sty m:val="bi"/>
                          </m:rPr>
                          <w:rPr>
                            <w:rFonts w:ascii="Cambria Math" w:eastAsia="Times New Roman" w:hAnsi="Cambria Math" w:cs="Times New Roman"/>
                            <w:color w:val="000000"/>
                            <w:szCs w:val="24"/>
                          </w:rPr>
                          <m:t>C</m:t>
                        </m:r>
                      </m:e>
                      <m:sub>
                        <m:r>
                          <m:rPr>
                            <m:sty m:val="bi"/>
                          </m:rPr>
                          <w:rPr>
                            <w:rFonts w:ascii="Cambria Math" w:eastAsia="Times New Roman" w:hAnsi="Cambria Math" w:cs="Times New Roman"/>
                            <w:color w:val="000000"/>
                            <w:szCs w:val="24"/>
                          </w:rPr>
                          <m:t>i</m:t>
                        </m:r>
                      </m:sub>
                    </m:sSub>
                  </m:e>
                  <m:sup>
                    <m:r>
                      <m:rPr>
                        <m:sty m:val="bi"/>
                      </m:rPr>
                      <w:rPr>
                        <w:rFonts w:ascii="Cambria Math" w:eastAsia="Times New Roman" w:hAnsi="Cambria Math" w:cs="Times New Roman"/>
                        <w:color w:val="000000"/>
                        <w:szCs w:val="24"/>
                      </w:rPr>
                      <m:t>peak</m:t>
                    </m:r>
                  </m:sup>
                </m:sSup>
                <m:r>
                  <m:rPr>
                    <m:sty m:val="bi"/>
                  </m:rPr>
                  <w:rPr>
                    <w:rFonts w:ascii="Cambria Math" w:eastAsia="Times New Roman" w:hAnsi="Cambria Math" w:cs="Times New Roman"/>
                    <w:color w:val="000000"/>
                    <w:szCs w:val="24"/>
                  </w:rPr>
                  <m:t>)</m:t>
                </m:r>
                <m:r>
                  <w:rPr>
                    <w:rFonts w:ascii="Cambria Math" w:eastAsia="Times New Roman" w:hAnsi="Cambria Math" w:cs="Times New Roman"/>
                    <w:color w:val="000000"/>
                    <w:szCs w:val="24"/>
                  </w:rPr>
                  <m:t>&gt;</m:t>
                </m:r>
                <m:sSup>
                  <m:sSupPr>
                    <m:ctrlPr>
                      <w:rPr>
                        <w:rFonts w:ascii="Cambria Math" w:eastAsia="Times New Roman" w:hAnsi="Cambria Math" w:cs="Times New Roman"/>
                        <w:b/>
                        <w:i/>
                        <w:color w:val="000000"/>
                        <w:szCs w:val="24"/>
                      </w:rPr>
                    </m:ctrlPr>
                  </m:sSupPr>
                  <m:e>
                    <m:r>
                      <m:rPr>
                        <m:sty m:val="bi"/>
                      </m:rPr>
                      <w:rPr>
                        <w:rFonts w:ascii="Cambria Math" w:eastAsia="Times New Roman" w:hAnsi="Cambria Math" w:cs="Times New Roman"/>
                        <w:color w:val="000000"/>
                        <w:szCs w:val="24"/>
                      </w:rPr>
                      <m:t>abs(∆</m:t>
                    </m:r>
                    <m:sSub>
                      <m:sSubPr>
                        <m:ctrlPr>
                          <w:rPr>
                            <w:rFonts w:ascii="Cambria Math" w:eastAsia="Times New Roman" w:hAnsi="Cambria Math" w:cs="Times New Roman"/>
                            <w:b/>
                            <w:bCs/>
                            <w:i/>
                            <w:color w:val="000000"/>
                            <w:szCs w:val="24"/>
                          </w:rPr>
                        </m:ctrlPr>
                      </m:sSubPr>
                      <m:e>
                        <m:r>
                          <m:rPr>
                            <m:sty m:val="bi"/>
                          </m:rPr>
                          <w:rPr>
                            <w:rFonts w:ascii="Cambria Math" w:eastAsia="Times New Roman" w:hAnsi="Cambria Math" w:cs="Times New Roman"/>
                            <w:color w:val="000000"/>
                            <w:szCs w:val="24"/>
                          </w:rPr>
                          <m:t>C</m:t>
                        </m:r>
                      </m:e>
                      <m:sub>
                        <m:r>
                          <m:rPr>
                            <m:sty m:val="bi"/>
                          </m:rPr>
                          <w:rPr>
                            <w:rFonts w:ascii="Cambria Math" w:eastAsia="Times New Roman" w:hAnsi="Cambria Math" w:cs="Times New Roman"/>
                            <w:color w:val="000000"/>
                            <w:szCs w:val="24"/>
                          </w:rPr>
                          <m:t>i</m:t>
                        </m:r>
                      </m:sub>
                    </m:sSub>
                  </m:e>
                  <m:sup>
                    <m:r>
                      <m:rPr>
                        <m:sty m:val="bi"/>
                      </m:rPr>
                      <w:rPr>
                        <w:rFonts w:ascii="Cambria Math" w:eastAsia="Times New Roman" w:hAnsi="Cambria Math" w:cs="Times New Roman"/>
                        <w:color w:val="000000"/>
                        <w:szCs w:val="24"/>
                      </w:rPr>
                      <m:t>off-peak</m:t>
                    </m:r>
                  </m:sup>
                </m:sSup>
                <m:r>
                  <m:rPr>
                    <m:sty m:val="bi"/>
                  </m:rPr>
                  <w:rPr>
                    <w:rFonts w:ascii="Cambria Math" w:eastAsia="Times New Roman" w:hAnsi="Cambria Math" w:cs="Times New Roman"/>
                    <w:color w:val="000000"/>
                    <w:szCs w:val="24"/>
                  </w:rPr>
                  <m:t>)</m:t>
                </m:r>
              </m:oMath>
            </m:oMathPara>
          </w:p>
        </w:tc>
        <w:tc>
          <w:tcPr>
            <w:tcW w:w="1593" w:type="dxa"/>
          </w:tcPr>
          <w:p w14:paraId="0FBE51C0" w14:textId="77777777" w:rsidR="0041584B" w:rsidRPr="00E755CC" w:rsidRDefault="0041584B" w:rsidP="0041584B">
            <w:pPr>
              <w:keepNext/>
              <w:keepLines/>
              <w:spacing w:after="0" w:line="240" w:lineRule="auto"/>
              <w:ind w:left="-56"/>
              <w:jc w:val="center"/>
              <w:rPr>
                <w:rFonts w:eastAsia="Times New Roman" w:cs="Times New Roman"/>
                <w:szCs w:val="24"/>
              </w:rPr>
            </w:pPr>
            <w:r w:rsidRPr="00E755CC">
              <w:rPr>
                <w:rFonts w:eastAsia="Times New Roman" w:cs="Times New Roman"/>
                <w:szCs w:val="24"/>
              </w:rPr>
              <w:t>Maximum Demand (Peak)</w:t>
            </w:r>
          </w:p>
        </w:tc>
        <w:tc>
          <w:tcPr>
            <w:tcW w:w="1418" w:type="dxa"/>
          </w:tcPr>
          <w:p w14:paraId="1352F105" w14:textId="77777777" w:rsidR="0041584B" w:rsidRPr="00E755CC" w:rsidRDefault="0041584B" w:rsidP="0041584B">
            <w:pPr>
              <w:keepNext/>
              <w:keepLines/>
              <w:spacing w:after="0" w:line="240" w:lineRule="auto"/>
              <w:ind w:left="-56"/>
              <w:jc w:val="center"/>
              <w:rPr>
                <w:rFonts w:eastAsia="Times New Roman" w:cs="Times New Roman"/>
                <w:szCs w:val="24"/>
              </w:rPr>
            </w:pPr>
            <m:oMathPara>
              <m:oMath>
                <m:sSup>
                  <m:sSupPr>
                    <m:ctrlPr>
                      <w:rPr>
                        <w:rFonts w:ascii="Cambria Math" w:eastAsia="Times New Roman" w:hAnsi="Cambria Math" w:cs="Times New Roman"/>
                        <w:b/>
                        <w:i/>
                        <w:color w:val="000000"/>
                        <w:szCs w:val="24"/>
                      </w:rPr>
                    </m:ctrlPr>
                  </m:sSupPr>
                  <m:e>
                    <m:r>
                      <m:rPr>
                        <m:sty m:val="bi"/>
                      </m:rPr>
                      <w:rPr>
                        <w:rFonts w:ascii="Cambria Math" w:eastAsia="Times New Roman" w:hAnsi="Cambria Math" w:cs="Times New Roman"/>
                        <w:color w:val="000000"/>
                        <w:szCs w:val="24"/>
                      </w:rPr>
                      <m:t>∆</m:t>
                    </m:r>
                    <m:sSub>
                      <m:sSubPr>
                        <m:ctrlPr>
                          <w:rPr>
                            <w:rFonts w:ascii="Cambria Math" w:eastAsia="Times New Roman" w:hAnsi="Cambria Math" w:cs="Times New Roman"/>
                            <w:b/>
                            <w:bCs/>
                            <w:i/>
                            <w:color w:val="000000"/>
                            <w:szCs w:val="24"/>
                          </w:rPr>
                        </m:ctrlPr>
                      </m:sSubPr>
                      <m:e>
                        <m:r>
                          <m:rPr>
                            <m:sty m:val="bi"/>
                          </m:rPr>
                          <w:rPr>
                            <w:rFonts w:ascii="Cambria Math" w:eastAsia="Times New Roman" w:hAnsi="Cambria Math" w:cs="Times New Roman"/>
                            <w:color w:val="000000"/>
                            <w:szCs w:val="24"/>
                          </w:rPr>
                          <m:t>C</m:t>
                        </m:r>
                      </m:e>
                      <m:sub>
                        <m:r>
                          <m:rPr>
                            <m:sty m:val="bi"/>
                          </m:rPr>
                          <w:rPr>
                            <w:rFonts w:ascii="Cambria Math" w:eastAsia="Times New Roman" w:hAnsi="Cambria Math" w:cs="Times New Roman"/>
                            <w:color w:val="000000"/>
                            <w:szCs w:val="24"/>
                          </w:rPr>
                          <m:t>i</m:t>
                        </m:r>
                      </m:sub>
                    </m:sSub>
                  </m:e>
                  <m:sup>
                    <m:r>
                      <m:rPr>
                        <m:sty m:val="bi"/>
                      </m:rPr>
                      <w:rPr>
                        <w:rFonts w:ascii="Cambria Math" w:eastAsia="Times New Roman" w:hAnsi="Cambria Math" w:cs="Times New Roman"/>
                        <w:color w:val="000000"/>
                        <w:szCs w:val="24"/>
                      </w:rPr>
                      <m:t>peak</m:t>
                    </m:r>
                  </m:sup>
                </m:sSup>
                <m:r>
                  <m:rPr>
                    <m:sty m:val="bi"/>
                  </m:rPr>
                  <w:rPr>
                    <w:rFonts w:ascii="Cambria Math" w:eastAsia="Times New Roman" w:hAnsi="Cambria Math" w:cs="Times New Roman"/>
                    <w:color w:val="000000"/>
                    <w:szCs w:val="24"/>
                  </w:rPr>
                  <m:t>&lt;</m:t>
                </m:r>
                <m:r>
                  <w:rPr>
                    <w:rFonts w:ascii="Cambria Math" w:eastAsia="Times New Roman" w:hAnsi="Cambria Math" w:cs="Times New Roman"/>
                    <w:color w:val="000000"/>
                    <w:szCs w:val="24"/>
                  </w:rPr>
                  <m:t>0</m:t>
                </m:r>
              </m:oMath>
            </m:oMathPara>
          </w:p>
        </w:tc>
        <w:tc>
          <w:tcPr>
            <w:tcW w:w="1667" w:type="dxa"/>
          </w:tcPr>
          <w:p w14:paraId="6FF4FE1E" w14:textId="77777777" w:rsidR="0041584B" w:rsidRPr="00E755CC" w:rsidRDefault="0041584B" w:rsidP="0041584B">
            <w:pPr>
              <w:keepNext/>
              <w:keepLines/>
              <w:spacing w:after="0" w:line="240" w:lineRule="auto"/>
              <w:ind w:left="-56"/>
              <w:jc w:val="center"/>
              <w:rPr>
                <w:rFonts w:eastAsia="Times New Roman" w:cs="Times New Roman"/>
                <w:szCs w:val="24"/>
              </w:rPr>
            </w:pPr>
            <w:r w:rsidRPr="00E755CC">
              <w:rPr>
                <w:rFonts w:eastAsia="Times New Roman" w:cs="Times New Roman"/>
                <w:szCs w:val="24"/>
              </w:rPr>
              <w:t>Delay</w:t>
            </w:r>
          </w:p>
        </w:tc>
        <w:tc>
          <w:tcPr>
            <w:tcW w:w="1134" w:type="dxa"/>
          </w:tcPr>
          <w:p w14:paraId="24C5B2AC" w14:textId="77777777" w:rsidR="0041584B" w:rsidRPr="00E755CC" w:rsidRDefault="0041584B" w:rsidP="0041584B">
            <w:pPr>
              <w:keepNext/>
              <w:keepLines/>
              <w:spacing w:after="0" w:line="240" w:lineRule="auto"/>
              <w:ind w:left="-56"/>
              <w:jc w:val="center"/>
              <w:rPr>
                <w:rFonts w:eastAsia="Times New Roman" w:cs="Times New Roman"/>
                <w:szCs w:val="24"/>
              </w:rPr>
            </w:pPr>
            <w:r w:rsidRPr="00E755CC">
              <w:rPr>
                <w:rFonts w:eastAsia="Times New Roman" w:cs="Times New Roman"/>
                <w:szCs w:val="24"/>
              </w:rPr>
              <w:t>Peak</w:t>
            </w:r>
          </w:p>
          <w:p w14:paraId="4F642801" w14:textId="77777777" w:rsidR="0041584B" w:rsidRPr="00E755CC" w:rsidRDefault="0041584B" w:rsidP="0041584B">
            <w:pPr>
              <w:keepNext/>
              <w:keepLines/>
              <w:spacing w:after="0" w:line="240" w:lineRule="auto"/>
              <w:ind w:left="-56"/>
              <w:jc w:val="center"/>
              <w:rPr>
                <w:rFonts w:eastAsia="Times New Roman" w:cs="Times New Roman"/>
                <w:szCs w:val="24"/>
              </w:rPr>
            </w:pPr>
            <w:r w:rsidRPr="00E755CC">
              <w:rPr>
                <w:rFonts w:eastAsia="Times New Roman" w:cs="Times New Roman"/>
                <w:szCs w:val="24"/>
              </w:rPr>
              <w:t>Credit</w:t>
            </w:r>
          </w:p>
        </w:tc>
        <w:tc>
          <w:tcPr>
            <w:tcW w:w="1417" w:type="dxa"/>
          </w:tcPr>
          <w:p w14:paraId="505F9F0E" w14:textId="77777777" w:rsidR="0041584B" w:rsidRPr="00E755CC" w:rsidRDefault="0041584B" w:rsidP="0041584B">
            <w:pPr>
              <w:keepNext/>
              <w:keepLines/>
              <w:spacing w:after="0" w:line="240" w:lineRule="auto"/>
              <w:ind w:left="-56"/>
              <w:jc w:val="center"/>
              <w:rPr>
                <w:rFonts w:eastAsia="Times New Roman" w:cs="Times New Roman"/>
                <w:szCs w:val="24"/>
              </w:rPr>
            </w:pPr>
            <w:r w:rsidRPr="00E755CC">
              <w:rPr>
                <w:rFonts w:eastAsia="Times New Roman" w:cs="Times New Roman"/>
                <w:szCs w:val="24"/>
              </w:rPr>
              <w:t>Negative</w:t>
            </w:r>
          </w:p>
        </w:tc>
      </w:tr>
      <w:tr w:rsidR="0041584B" w:rsidRPr="00E755CC" w14:paraId="3A44E2D0" w14:textId="77777777" w:rsidTr="0041584B">
        <w:trPr>
          <w:jc w:val="center"/>
        </w:trPr>
        <w:tc>
          <w:tcPr>
            <w:tcW w:w="1276" w:type="dxa"/>
          </w:tcPr>
          <w:p w14:paraId="7D150A5A" w14:textId="77777777" w:rsidR="0041584B" w:rsidRPr="00E755CC" w:rsidRDefault="0041584B" w:rsidP="0041584B">
            <w:pPr>
              <w:keepNext/>
              <w:keepLines/>
              <w:spacing w:after="0" w:line="240" w:lineRule="auto"/>
              <w:ind w:left="-56"/>
              <w:jc w:val="center"/>
              <w:rPr>
                <w:rFonts w:eastAsia="Times New Roman" w:cs="Times New Roman"/>
                <w:szCs w:val="24"/>
              </w:rPr>
            </w:pPr>
            <w:r w:rsidRPr="00E755CC">
              <w:rPr>
                <w:rFonts w:eastAsia="Times New Roman" w:cs="Times New Roman"/>
                <w:szCs w:val="24"/>
              </w:rPr>
              <w:t>Demand</w:t>
            </w:r>
          </w:p>
          <w:p w14:paraId="2B3B129C" w14:textId="77777777" w:rsidR="0041584B" w:rsidRPr="00E755CC" w:rsidRDefault="0041584B" w:rsidP="0041584B">
            <w:pPr>
              <w:keepNext/>
              <w:keepLines/>
              <w:spacing w:after="0" w:line="240" w:lineRule="auto"/>
              <w:ind w:left="-56"/>
              <w:jc w:val="center"/>
              <w:rPr>
                <w:rFonts w:eastAsia="Times New Roman" w:cs="Times New Roman"/>
                <w:szCs w:val="24"/>
              </w:rPr>
            </w:pPr>
            <w:r w:rsidRPr="00E755CC">
              <w:rPr>
                <w:rFonts w:eastAsia="Times New Roman" w:cs="Times New Roman"/>
                <w:szCs w:val="24"/>
              </w:rPr>
              <w:t>Reduction</w:t>
            </w:r>
          </w:p>
        </w:tc>
        <w:tc>
          <w:tcPr>
            <w:tcW w:w="2268" w:type="dxa"/>
          </w:tcPr>
          <w:p w14:paraId="1445C484" w14:textId="77777777" w:rsidR="0041584B" w:rsidRPr="00E755CC" w:rsidRDefault="0041584B" w:rsidP="0041584B">
            <w:pPr>
              <w:keepNext/>
              <w:keepLines/>
              <w:spacing w:after="0" w:line="240" w:lineRule="auto"/>
              <w:ind w:left="-56"/>
              <w:jc w:val="center"/>
              <w:rPr>
                <w:rFonts w:eastAsia="Times New Roman" w:cs="Times New Roman"/>
                <w:szCs w:val="24"/>
              </w:rPr>
            </w:pPr>
            <m:oMathPara>
              <m:oMath>
                <m:sSup>
                  <m:sSupPr>
                    <m:ctrlPr>
                      <w:rPr>
                        <w:rFonts w:ascii="Cambria Math" w:eastAsia="Times New Roman" w:hAnsi="Cambria Math" w:cs="Times New Roman"/>
                        <w:b/>
                        <w:i/>
                        <w:color w:val="000000"/>
                        <w:szCs w:val="24"/>
                      </w:rPr>
                    </m:ctrlPr>
                  </m:sSupPr>
                  <m:e>
                    <m:r>
                      <m:rPr>
                        <m:sty m:val="bi"/>
                      </m:rPr>
                      <w:rPr>
                        <w:rFonts w:ascii="Cambria Math" w:eastAsia="Times New Roman" w:hAnsi="Cambria Math" w:cs="Times New Roman"/>
                        <w:color w:val="000000"/>
                        <w:szCs w:val="24"/>
                      </w:rPr>
                      <m:t>abs(∆</m:t>
                    </m:r>
                    <m:sSub>
                      <m:sSubPr>
                        <m:ctrlPr>
                          <w:rPr>
                            <w:rFonts w:ascii="Cambria Math" w:eastAsia="Times New Roman" w:hAnsi="Cambria Math" w:cs="Times New Roman"/>
                            <w:b/>
                            <w:bCs/>
                            <w:i/>
                            <w:color w:val="000000"/>
                            <w:szCs w:val="24"/>
                          </w:rPr>
                        </m:ctrlPr>
                      </m:sSubPr>
                      <m:e>
                        <m:r>
                          <m:rPr>
                            <m:sty m:val="bi"/>
                          </m:rPr>
                          <w:rPr>
                            <w:rFonts w:ascii="Cambria Math" w:eastAsia="Times New Roman" w:hAnsi="Cambria Math" w:cs="Times New Roman"/>
                            <w:color w:val="000000"/>
                            <w:szCs w:val="24"/>
                          </w:rPr>
                          <m:t>C</m:t>
                        </m:r>
                      </m:e>
                      <m:sub>
                        <m:r>
                          <m:rPr>
                            <m:sty m:val="bi"/>
                          </m:rPr>
                          <w:rPr>
                            <w:rFonts w:ascii="Cambria Math" w:eastAsia="Times New Roman" w:hAnsi="Cambria Math" w:cs="Times New Roman"/>
                            <w:color w:val="000000"/>
                            <w:szCs w:val="24"/>
                          </w:rPr>
                          <m:t>i</m:t>
                        </m:r>
                      </m:sub>
                    </m:sSub>
                  </m:e>
                  <m:sup>
                    <m:r>
                      <m:rPr>
                        <m:sty m:val="bi"/>
                      </m:rPr>
                      <w:rPr>
                        <w:rFonts w:ascii="Cambria Math" w:eastAsia="Times New Roman" w:hAnsi="Cambria Math" w:cs="Times New Roman"/>
                        <w:color w:val="000000"/>
                        <w:szCs w:val="24"/>
                      </w:rPr>
                      <m:t>peak</m:t>
                    </m:r>
                  </m:sup>
                </m:sSup>
                <m:r>
                  <m:rPr>
                    <m:sty m:val="bi"/>
                  </m:rPr>
                  <w:rPr>
                    <w:rFonts w:ascii="Cambria Math" w:eastAsia="Times New Roman" w:hAnsi="Cambria Math" w:cs="Times New Roman"/>
                    <w:color w:val="000000"/>
                    <w:szCs w:val="24"/>
                  </w:rPr>
                  <m:t>)</m:t>
                </m:r>
                <m:r>
                  <w:rPr>
                    <w:rFonts w:ascii="Cambria Math" w:eastAsia="Times New Roman" w:hAnsi="Cambria Math" w:cs="Times New Roman"/>
                    <w:color w:val="000000"/>
                    <w:szCs w:val="24"/>
                  </w:rPr>
                  <m:t>&lt;</m:t>
                </m:r>
                <m:sSup>
                  <m:sSupPr>
                    <m:ctrlPr>
                      <w:rPr>
                        <w:rFonts w:ascii="Cambria Math" w:eastAsia="Times New Roman" w:hAnsi="Cambria Math" w:cs="Times New Roman"/>
                        <w:b/>
                        <w:i/>
                        <w:color w:val="000000"/>
                        <w:szCs w:val="24"/>
                      </w:rPr>
                    </m:ctrlPr>
                  </m:sSupPr>
                  <m:e>
                    <m:r>
                      <m:rPr>
                        <m:sty m:val="bi"/>
                      </m:rPr>
                      <w:rPr>
                        <w:rFonts w:ascii="Cambria Math" w:eastAsia="Times New Roman" w:hAnsi="Cambria Math" w:cs="Times New Roman"/>
                        <w:color w:val="000000"/>
                        <w:szCs w:val="24"/>
                      </w:rPr>
                      <m:t>abs(∆</m:t>
                    </m:r>
                    <m:sSub>
                      <m:sSubPr>
                        <m:ctrlPr>
                          <w:rPr>
                            <w:rFonts w:ascii="Cambria Math" w:eastAsia="Times New Roman" w:hAnsi="Cambria Math" w:cs="Times New Roman"/>
                            <w:b/>
                            <w:bCs/>
                            <w:i/>
                            <w:color w:val="000000"/>
                            <w:szCs w:val="24"/>
                          </w:rPr>
                        </m:ctrlPr>
                      </m:sSubPr>
                      <m:e>
                        <m:r>
                          <m:rPr>
                            <m:sty m:val="bi"/>
                          </m:rPr>
                          <w:rPr>
                            <w:rFonts w:ascii="Cambria Math" w:eastAsia="Times New Roman" w:hAnsi="Cambria Math" w:cs="Times New Roman"/>
                            <w:color w:val="000000"/>
                            <w:szCs w:val="24"/>
                          </w:rPr>
                          <m:t>C</m:t>
                        </m:r>
                      </m:e>
                      <m:sub>
                        <m:r>
                          <m:rPr>
                            <m:sty m:val="bi"/>
                          </m:rPr>
                          <w:rPr>
                            <w:rFonts w:ascii="Cambria Math" w:eastAsia="Times New Roman" w:hAnsi="Cambria Math" w:cs="Times New Roman"/>
                            <w:color w:val="000000"/>
                            <w:szCs w:val="24"/>
                          </w:rPr>
                          <m:t>i</m:t>
                        </m:r>
                      </m:sub>
                    </m:sSub>
                  </m:e>
                  <m:sup>
                    <m:r>
                      <m:rPr>
                        <m:sty m:val="bi"/>
                      </m:rPr>
                      <w:rPr>
                        <w:rFonts w:ascii="Cambria Math" w:eastAsia="Times New Roman" w:hAnsi="Cambria Math" w:cs="Times New Roman"/>
                        <w:color w:val="000000"/>
                        <w:szCs w:val="24"/>
                      </w:rPr>
                      <m:t>off-peak</m:t>
                    </m:r>
                  </m:sup>
                </m:sSup>
                <m:r>
                  <m:rPr>
                    <m:sty m:val="bi"/>
                  </m:rPr>
                  <w:rPr>
                    <w:rFonts w:ascii="Cambria Math" w:eastAsia="Times New Roman" w:hAnsi="Cambria Math" w:cs="Times New Roman"/>
                    <w:color w:val="000000"/>
                    <w:szCs w:val="24"/>
                  </w:rPr>
                  <m:t>)</m:t>
                </m:r>
              </m:oMath>
            </m:oMathPara>
          </w:p>
        </w:tc>
        <w:tc>
          <w:tcPr>
            <w:tcW w:w="1593" w:type="dxa"/>
          </w:tcPr>
          <w:p w14:paraId="5390A743" w14:textId="77777777" w:rsidR="0041584B" w:rsidRPr="00E755CC" w:rsidRDefault="0041584B" w:rsidP="0041584B">
            <w:pPr>
              <w:keepNext/>
              <w:keepLines/>
              <w:spacing w:after="0" w:line="240" w:lineRule="auto"/>
              <w:ind w:left="-56"/>
              <w:jc w:val="center"/>
              <w:rPr>
                <w:rFonts w:eastAsia="Times New Roman" w:cs="Times New Roman"/>
                <w:szCs w:val="24"/>
              </w:rPr>
            </w:pPr>
            <w:r w:rsidRPr="00E755CC">
              <w:rPr>
                <w:rFonts w:eastAsia="Times New Roman" w:cs="Times New Roman"/>
                <w:szCs w:val="24"/>
              </w:rPr>
              <w:t>Minimum</w:t>
            </w:r>
          </w:p>
          <w:p w14:paraId="6F6D8EBA" w14:textId="77777777" w:rsidR="0041584B" w:rsidRPr="00E755CC" w:rsidRDefault="0041584B" w:rsidP="0041584B">
            <w:pPr>
              <w:keepNext/>
              <w:keepLines/>
              <w:spacing w:after="0" w:line="240" w:lineRule="auto"/>
              <w:ind w:left="-56"/>
              <w:jc w:val="center"/>
              <w:rPr>
                <w:rFonts w:eastAsia="Times New Roman" w:cs="Times New Roman"/>
                <w:szCs w:val="24"/>
              </w:rPr>
            </w:pPr>
            <w:r w:rsidRPr="00E755CC">
              <w:rPr>
                <w:rFonts w:eastAsia="Times New Roman" w:cs="Times New Roman"/>
                <w:szCs w:val="24"/>
              </w:rPr>
              <w:t>Demand (Off-Peak)</w:t>
            </w:r>
          </w:p>
        </w:tc>
        <w:tc>
          <w:tcPr>
            <w:tcW w:w="1418" w:type="dxa"/>
          </w:tcPr>
          <w:p w14:paraId="59096A28" w14:textId="77777777" w:rsidR="0041584B" w:rsidRPr="00E755CC" w:rsidRDefault="0041584B" w:rsidP="0041584B">
            <w:pPr>
              <w:keepNext/>
              <w:keepLines/>
              <w:spacing w:after="0" w:line="240" w:lineRule="auto"/>
              <w:ind w:left="-56"/>
              <w:jc w:val="center"/>
              <w:rPr>
                <w:rFonts w:eastAsia="Times New Roman" w:cs="Times New Roman"/>
                <w:szCs w:val="24"/>
              </w:rPr>
            </w:pPr>
            <m:oMathPara>
              <m:oMath>
                <m:sSup>
                  <m:sSupPr>
                    <m:ctrlPr>
                      <w:rPr>
                        <w:rFonts w:ascii="Cambria Math" w:eastAsia="Times New Roman" w:hAnsi="Cambria Math" w:cs="Times New Roman"/>
                        <w:b/>
                        <w:i/>
                        <w:color w:val="000000"/>
                        <w:szCs w:val="24"/>
                      </w:rPr>
                    </m:ctrlPr>
                  </m:sSupPr>
                  <m:e>
                    <m:r>
                      <m:rPr>
                        <m:sty m:val="bi"/>
                      </m:rPr>
                      <w:rPr>
                        <w:rFonts w:ascii="Cambria Math" w:eastAsia="Times New Roman" w:hAnsi="Cambria Math" w:cs="Times New Roman"/>
                        <w:color w:val="000000"/>
                        <w:szCs w:val="24"/>
                      </w:rPr>
                      <m:t>∆</m:t>
                    </m:r>
                    <m:sSub>
                      <m:sSubPr>
                        <m:ctrlPr>
                          <w:rPr>
                            <w:rFonts w:ascii="Cambria Math" w:eastAsia="Times New Roman" w:hAnsi="Cambria Math" w:cs="Times New Roman"/>
                            <w:b/>
                            <w:bCs/>
                            <w:i/>
                            <w:color w:val="000000"/>
                            <w:szCs w:val="24"/>
                          </w:rPr>
                        </m:ctrlPr>
                      </m:sSubPr>
                      <m:e>
                        <m:r>
                          <m:rPr>
                            <m:sty m:val="bi"/>
                          </m:rPr>
                          <w:rPr>
                            <w:rFonts w:ascii="Cambria Math" w:eastAsia="Times New Roman" w:hAnsi="Cambria Math" w:cs="Times New Roman"/>
                            <w:color w:val="000000"/>
                            <w:szCs w:val="24"/>
                          </w:rPr>
                          <m:t>C</m:t>
                        </m:r>
                      </m:e>
                      <m:sub>
                        <m:r>
                          <m:rPr>
                            <m:sty m:val="bi"/>
                          </m:rPr>
                          <w:rPr>
                            <w:rFonts w:ascii="Cambria Math" w:eastAsia="Times New Roman" w:hAnsi="Cambria Math" w:cs="Times New Roman"/>
                            <w:color w:val="000000"/>
                            <w:szCs w:val="24"/>
                          </w:rPr>
                          <m:t>i</m:t>
                        </m:r>
                      </m:sub>
                    </m:sSub>
                  </m:e>
                  <m:sup>
                    <m:r>
                      <m:rPr>
                        <m:sty m:val="bi"/>
                      </m:rPr>
                      <w:rPr>
                        <w:rFonts w:ascii="Cambria Math" w:eastAsia="Times New Roman" w:hAnsi="Cambria Math" w:cs="Times New Roman"/>
                        <w:color w:val="000000"/>
                        <w:szCs w:val="24"/>
                      </w:rPr>
                      <m:t>off-peak</m:t>
                    </m:r>
                  </m:sup>
                </m:sSup>
                <m:r>
                  <m:rPr>
                    <m:sty m:val="bi"/>
                  </m:rPr>
                  <w:rPr>
                    <w:rFonts w:ascii="Cambria Math" w:eastAsia="Times New Roman" w:hAnsi="Cambria Math" w:cs="Times New Roman"/>
                    <w:color w:val="000000"/>
                    <w:szCs w:val="24"/>
                  </w:rPr>
                  <m:t>&gt;</m:t>
                </m:r>
                <m:r>
                  <w:rPr>
                    <w:rFonts w:ascii="Cambria Math" w:eastAsia="Times New Roman" w:hAnsi="Cambria Math" w:cs="Times New Roman"/>
                    <w:color w:val="000000"/>
                    <w:szCs w:val="24"/>
                  </w:rPr>
                  <m:t>0</m:t>
                </m:r>
              </m:oMath>
            </m:oMathPara>
          </w:p>
        </w:tc>
        <w:tc>
          <w:tcPr>
            <w:tcW w:w="1667" w:type="dxa"/>
          </w:tcPr>
          <w:p w14:paraId="593A72A5" w14:textId="77777777" w:rsidR="0041584B" w:rsidRPr="00E755CC" w:rsidRDefault="0041584B" w:rsidP="0041584B">
            <w:pPr>
              <w:keepNext/>
              <w:keepLines/>
              <w:spacing w:after="0" w:line="240" w:lineRule="auto"/>
              <w:ind w:left="-56"/>
              <w:jc w:val="center"/>
              <w:rPr>
                <w:rFonts w:eastAsia="Times New Roman" w:cs="Times New Roman"/>
                <w:szCs w:val="24"/>
              </w:rPr>
            </w:pPr>
            <w:r w:rsidRPr="00E755CC">
              <w:rPr>
                <w:rFonts w:eastAsia="Times New Roman" w:cs="Times New Roman"/>
                <w:szCs w:val="24"/>
              </w:rPr>
              <w:t>Accelerate</w:t>
            </w:r>
          </w:p>
        </w:tc>
        <w:tc>
          <w:tcPr>
            <w:tcW w:w="1134" w:type="dxa"/>
          </w:tcPr>
          <w:p w14:paraId="324D1648" w14:textId="77777777" w:rsidR="0041584B" w:rsidRPr="00E755CC" w:rsidRDefault="0041584B" w:rsidP="0041584B">
            <w:pPr>
              <w:keepNext/>
              <w:keepLines/>
              <w:spacing w:after="0" w:line="240" w:lineRule="auto"/>
              <w:ind w:left="-56"/>
              <w:jc w:val="center"/>
              <w:rPr>
                <w:rFonts w:eastAsia="Times New Roman" w:cs="Times New Roman"/>
                <w:szCs w:val="24"/>
              </w:rPr>
            </w:pPr>
            <w:r w:rsidRPr="00E755CC">
              <w:rPr>
                <w:rFonts w:eastAsia="Times New Roman" w:cs="Times New Roman"/>
                <w:szCs w:val="24"/>
              </w:rPr>
              <w:t>Off-Peak</w:t>
            </w:r>
          </w:p>
          <w:p w14:paraId="525CA90A" w14:textId="77777777" w:rsidR="0041584B" w:rsidRPr="00E755CC" w:rsidRDefault="0041584B" w:rsidP="0041584B">
            <w:pPr>
              <w:keepNext/>
              <w:keepLines/>
              <w:spacing w:after="0" w:line="240" w:lineRule="auto"/>
              <w:ind w:left="-56"/>
              <w:jc w:val="center"/>
              <w:rPr>
                <w:rFonts w:eastAsia="Times New Roman" w:cs="Times New Roman"/>
                <w:szCs w:val="24"/>
              </w:rPr>
            </w:pPr>
            <w:r w:rsidRPr="00E755CC">
              <w:rPr>
                <w:rFonts w:eastAsia="Times New Roman" w:cs="Times New Roman"/>
                <w:szCs w:val="24"/>
              </w:rPr>
              <w:t>Credit</w:t>
            </w:r>
          </w:p>
        </w:tc>
        <w:tc>
          <w:tcPr>
            <w:tcW w:w="1417" w:type="dxa"/>
          </w:tcPr>
          <w:p w14:paraId="47CDB927" w14:textId="77777777" w:rsidR="0041584B" w:rsidRPr="00E755CC" w:rsidRDefault="0041584B" w:rsidP="0041584B">
            <w:pPr>
              <w:keepNext/>
              <w:keepLines/>
              <w:spacing w:after="0" w:line="240" w:lineRule="auto"/>
              <w:ind w:left="-56"/>
              <w:jc w:val="center"/>
              <w:rPr>
                <w:rFonts w:eastAsia="Times New Roman" w:cs="Times New Roman"/>
                <w:szCs w:val="24"/>
              </w:rPr>
            </w:pPr>
            <w:r w:rsidRPr="00E755CC">
              <w:rPr>
                <w:rFonts w:eastAsia="Times New Roman" w:cs="Times New Roman"/>
                <w:szCs w:val="24"/>
              </w:rPr>
              <w:t>Positive</w:t>
            </w:r>
          </w:p>
        </w:tc>
      </w:tr>
      <w:tr w:rsidR="0041584B" w:rsidRPr="00E755CC" w14:paraId="6D6E58AB" w14:textId="77777777" w:rsidTr="0041584B">
        <w:trPr>
          <w:jc w:val="center"/>
        </w:trPr>
        <w:tc>
          <w:tcPr>
            <w:tcW w:w="1276" w:type="dxa"/>
          </w:tcPr>
          <w:p w14:paraId="7FBE10A3" w14:textId="77777777" w:rsidR="0041584B" w:rsidRPr="00E755CC" w:rsidRDefault="0041584B" w:rsidP="0041584B">
            <w:pPr>
              <w:keepNext/>
              <w:keepLines/>
              <w:spacing w:after="0" w:line="240" w:lineRule="auto"/>
              <w:ind w:left="-56"/>
              <w:jc w:val="center"/>
              <w:rPr>
                <w:rFonts w:eastAsia="Times New Roman" w:cs="Times New Roman"/>
                <w:szCs w:val="24"/>
              </w:rPr>
            </w:pPr>
            <w:r w:rsidRPr="00E755CC">
              <w:rPr>
                <w:rFonts w:eastAsia="Times New Roman" w:cs="Times New Roman"/>
                <w:szCs w:val="24"/>
              </w:rPr>
              <w:t>Demand</w:t>
            </w:r>
          </w:p>
          <w:p w14:paraId="39913D91" w14:textId="77777777" w:rsidR="0041584B" w:rsidRPr="00E755CC" w:rsidRDefault="0041584B" w:rsidP="0041584B">
            <w:pPr>
              <w:keepNext/>
              <w:keepLines/>
              <w:spacing w:after="0" w:line="240" w:lineRule="auto"/>
              <w:ind w:left="-56"/>
              <w:jc w:val="center"/>
              <w:rPr>
                <w:rFonts w:eastAsia="Times New Roman" w:cs="Times New Roman"/>
                <w:szCs w:val="24"/>
              </w:rPr>
            </w:pPr>
            <w:r w:rsidRPr="00E755CC">
              <w:rPr>
                <w:rFonts w:eastAsia="Times New Roman" w:cs="Times New Roman"/>
                <w:szCs w:val="24"/>
              </w:rPr>
              <w:t>Reduction</w:t>
            </w:r>
          </w:p>
        </w:tc>
        <w:tc>
          <w:tcPr>
            <w:tcW w:w="2268" w:type="dxa"/>
          </w:tcPr>
          <w:p w14:paraId="13F3C35D" w14:textId="77777777" w:rsidR="0041584B" w:rsidRPr="00E755CC" w:rsidRDefault="0041584B" w:rsidP="0041584B">
            <w:pPr>
              <w:keepNext/>
              <w:keepLines/>
              <w:spacing w:after="0" w:line="240" w:lineRule="auto"/>
              <w:ind w:left="-56"/>
              <w:jc w:val="center"/>
              <w:rPr>
                <w:rFonts w:eastAsia="Times New Roman" w:cs="Times New Roman"/>
                <w:szCs w:val="24"/>
              </w:rPr>
            </w:pPr>
            <m:oMathPara>
              <m:oMath>
                <m:sSup>
                  <m:sSupPr>
                    <m:ctrlPr>
                      <w:rPr>
                        <w:rFonts w:ascii="Cambria Math" w:eastAsia="Times New Roman" w:hAnsi="Cambria Math" w:cs="Times New Roman"/>
                        <w:b/>
                        <w:i/>
                        <w:color w:val="000000"/>
                        <w:szCs w:val="24"/>
                      </w:rPr>
                    </m:ctrlPr>
                  </m:sSupPr>
                  <m:e>
                    <m:r>
                      <m:rPr>
                        <m:sty m:val="bi"/>
                      </m:rPr>
                      <w:rPr>
                        <w:rFonts w:ascii="Cambria Math" w:eastAsia="Times New Roman" w:hAnsi="Cambria Math" w:cs="Times New Roman"/>
                        <w:color w:val="000000"/>
                        <w:szCs w:val="24"/>
                      </w:rPr>
                      <m:t>abs(∆</m:t>
                    </m:r>
                    <m:sSub>
                      <m:sSubPr>
                        <m:ctrlPr>
                          <w:rPr>
                            <w:rFonts w:ascii="Cambria Math" w:eastAsia="Times New Roman" w:hAnsi="Cambria Math" w:cs="Times New Roman"/>
                            <w:b/>
                            <w:bCs/>
                            <w:i/>
                            <w:color w:val="000000"/>
                            <w:szCs w:val="24"/>
                          </w:rPr>
                        </m:ctrlPr>
                      </m:sSubPr>
                      <m:e>
                        <m:r>
                          <m:rPr>
                            <m:sty m:val="bi"/>
                          </m:rPr>
                          <w:rPr>
                            <w:rFonts w:ascii="Cambria Math" w:eastAsia="Times New Roman" w:hAnsi="Cambria Math" w:cs="Times New Roman"/>
                            <w:color w:val="000000"/>
                            <w:szCs w:val="24"/>
                          </w:rPr>
                          <m:t>C</m:t>
                        </m:r>
                      </m:e>
                      <m:sub>
                        <m:r>
                          <m:rPr>
                            <m:sty m:val="bi"/>
                          </m:rPr>
                          <w:rPr>
                            <w:rFonts w:ascii="Cambria Math" w:eastAsia="Times New Roman" w:hAnsi="Cambria Math" w:cs="Times New Roman"/>
                            <w:color w:val="000000"/>
                            <w:szCs w:val="24"/>
                          </w:rPr>
                          <m:t>i</m:t>
                        </m:r>
                      </m:sub>
                    </m:sSub>
                  </m:e>
                  <m:sup>
                    <m:r>
                      <m:rPr>
                        <m:sty m:val="bi"/>
                      </m:rPr>
                      <w:rPr>
                        <w:rFonts w:ascii="Cambria Math" w:eastAsia="Times New Roman" w:hAnsi="Cambria Math" w:cs="Times New Roman"/>
                        <w:color w:val="000000"/>
                        <w:szCs w:val="24"/>
                      </w:rPr>
                      <m:t>peak</m:t>
                    </m:r>
                  </m:sup>
                </m:sSup>
                <m:r>
                  <m:rPr>
                    <m:sty m:val="bi"/>
                  </m:rPr>
                  <w:rPr>
                    <w:rFonts w:ascii="Cambria Math" w:eastAsia="Times New Roman" w:hAnsi="Cambria Math" w:cs="Times New Roman"/>
                    <w:color w:val="000000"/>
                    <w:szCs w:val="24"/>
                  </w:rPr>
                  <m:t>)</m:t>
                </m:r>
                <m:r>
                  <w:rPr>
                    <w:rFonts w:ascii="Cambria Math" w:eastAsia="Times New Roman" w:hAnsi="Cambria Math" w:cs="Times New Roman"/>
                    <w:color w:val="000000"/>
                    <w:szCs w:val="24"/>
                  </w:rPr>
                  <m:t>&lt;</m:t>
                </m:r>
                <m:sSup>
                  <m:sSupPr>
                    <m:ctrlPr>
                      <w:rPr>
                        <w:rFonts w:ascii="Cambria Math" w:eastAsia="Times New Roman" w:hAnsi="Cambria Math" w:cs="Times New Roman"/>
                        <w:b/>
                        <w:i/>
                        <w:color w:val="000000"/>
                        <w:szCs w:val="24"/>
                      </w:rPr>
                    </m:ctrlPr>
                  </m:sSupPr>
                  <m:e>
                    <m:r>
                      <m:rPr>
                        <m:sty m:val="bi"/>
                      </m:rPr>
                      <w:rPr>
                        <w:rFonts w:ascii="Cambria Math" w:eastAsia="Times New Roman" w:hAnsi="Cambria Math" w:cs="Times New Roman"/>
                        <w:color w:val="000000"/>
                        <w:szCs w:val="24"/>
                      </w:rPr>
                      <m:t>abs(∆</m:t>
                    </m:r>
                    <m:sSub>
                      <m:sSubPr>
                        <m:ctrlPr>
                          <w:rPr>
                            <w:rFonts w:ascii="Cambria Math" w:eastAsia="Times New Roman" w:hAnsi="Cambria Math" w:cs="Times New Roman"/>
                            <w:b/>
                            <w:bCs/>
                            <w:i/>
                            <w:color w:val="000000"/>
                            <w:szCs w:val="24"/>
                          </w:rPr>
                        </m:ctrlPr>
                      </m:sSubPr>
                      <m:e>
                        <m:r>
                          <m:rPr>
                            <m:sty m:val="bi"/>
                          </m:rPr>
                          <w:rPr>
                            <w:rFonts w:ascii="Cambria Math" w:eastAsia="Times New Roman" w:hAnsi="Cambria Math" w:cs="Times New Roman"/>
                            <w:color w:val="000000"/>
                            <w:szCs w:val="24"/>
                          </w:rPr>
                          <m:t>C</m:t>
                        </m:r>
                      </m:e>
                      <m:sub>
                        <m:r>
                          <m:rPr>
                            <m:sty m:val="bi"/>
                          </m:rPr>
                          <w:rPr>
                            <w:rFonts w:ascii="Cambria Math" w:eastAsia="Times New Roman" w:hAnsi="Cambria Math" w:cs="Times New Roman"/>
                            <w:color w:val="000000"/>
                            <w:szCs w:val="24"/>
                          </w:rPr>
                          <m:t>i</m:t>
                        </m:r>
                      </m:sub>
                    </m:sSub>
                  </m:e>
                  <m:sup>
                    <m:r>
                      <m:rPr>
                        <m:sty m:val="bi"/>
                      </m:rPr>
                      <w:rPr>
                        <w:rFonts w:ascii="Cambria Math" w:eastAsia="Times New Roman" w:hAnsi="Cambria Math" w:cs="Times New Roman"/>
                        <w:color w:val="000000"/>
                        <w:szCs w:val="24"/>
                      </w:rPr>
                      <m:t>off-peak</m:t>
                    </m:r>
                  </m:sup>
                </m:sSup>
                <m:r>
                  <m:rPr>
                    <m:sty m:val="bi"/>
                  </m:rPr>
                  <w:rPr>
                    <w:rFonts w:ascii="Cambria Math" w:eastAsia="Times New Roman" w:hAnsi="Cambria Math" w:cs="Times New Roman"/>
                    <w:color w:val="000000"/>
                    <w:szCs w:val="24"/>
                  </w:rPr>
                  <m:t>)</m:t>
                </m:r>
              </m:oMath>
            </m:oMathPara>
          </w:p>
        </w:tc>
        <w:tc>
          <w:tcPr>
            <w:tcW w:w="1593" w:type="dxa"/>
          </w:tcPr>
          <w:p w14:paraId="099A788B" w14:textId="77777777" w:rsidR="0041584B" w:rsidRPr="00E755CC" w:rsidRDefault="0041584B" w:rsidP="0041584B">
            <w:pPr>
              <w:keepNext/>
              <w:keepLines/>
              <w:spacing w:after="0" w:line="240" w:lineRule="auto"/>
              <w:ind w:left="-56"/>
              <w:jc w:val="center"/>
              <w:rPr>
                <w:rFonts w:eastAsia="Times New Roman" w:cs="Times New Roman"/>
                <w:szCs w:val="24"/>
              </w:rPr>
            </w:pPr>
            <w:r w:rsidRPr="00E755CC">
              <w:rPr>
                <w:rFonts w:eastAsia="Times New Roman" w:cs="Times New Roman"/>
                <w:szCs w:val="24"/>
              </w:rPr>
              <w:t>Minimum</w:t>
            </w:r>
          </w:p>
          <w:p w14:paraId="060F10FD" w14:textId="77777777" w:rsidR="0041584B" w:rsidRPr="00E755CC" w:rsidRDefault="0041584B" w:rsidP="0041584B">
            <w:pPr>
              <w:keepNext/>
              <w:keepLines/>
              <w:spacing w:after="0" w:line="240" w:lineRule="auto"/>
              <w:ind w:left="-56"/>
              <w:jc w:val="center"/>
              <w:rPr>
                <w:rFonts w:eastAsia="Times New Roman" w:cs="Times New Roman"/>
                <w:szCs w:val="24"/>
              </w:rPr>
            </w:pPr>
            <w:r w:rsidRPr="00E755CC">
              <w:rPr>
                <w:rFonts w:eastAsia="Times New Roman" w:cs="Times New Roman"/>
                <w:szCs w:val="24"/>
              </w:rPr>
              <w:t>Demand (Off-Peak)</w:t>
            </w:r>
          </w:p>
        </w:tc>
        <w:tc>
          <w:tcPr>
            <w:tcW w:w="1418" w:type="dxa"/>
          </w:tcPr>
          <w:p w14:paraId="0B0B7EFF" w14:textId="77777777" w:rsidR="0041584B" w:rsidRPr="00E755CC" w:rsidRDefault="0041584B" w:rsidP="0041584B">
            <w:pPr>
              <w:keepNext/>
              <w:keepLines/>
              <w:spacing w:after="0" w:line="240" w:lineRule="auto"/>
              <w:ind w:left="-56"/>
              <w:jc w:val="center"/>
              <w:rPr>
                <w:rFonts w:eastAsia="Times New Roman" w:cs="Times New Roman"/>
                <w:szCs w:val="24"/>
              </w:rPr>
            </w:pPr>
            <m:oMathPara>
              <m:oMath>
                <m:sSup>
                  <m:sSupPr>
                    <m:ctrlPr>
                      <w:rPr>
                        <w:rFonts w:ascii="Cambria Math" w:eastAsia="Times New Roman" w:hAnsi="Cambria Math" w:cs="Times New Roman"/>
                        <w:b/>
                        <w:i/>
                        <w:color w:val="000000"/>
                        <w:szCs w:val="24"/>
                      </w:rPr>
                    </m:ctrlPr>
                  </m:sSupPr>
                  <m:e>
                    <m:r>
                      <m:rPr>
                        <m:sty m:val="bi"/>
                      </m:rPr>
                      <w:rPr>
                        <w:rFonts w:ascii="Cambria Math" w:eastAsia="Times New Roman" w:hAnsi="Cambria Math" w:cs="Times New Roman"/>
                        <w:color w:val="000000"/>
                        <w:szCs w:val="24"/>
                      </w:rPr>
                      <m:t>∆</m:t>
                    </m:r>
                    <m:sSub>
                      <m:sSubPr>
                        <m:ctrlPr>
                          <w:rPr>
                            <w:rFonts w:ascii="Cambria Math" w:eastAsia="Times New Roman" w:hAnsi="Cambria Math" w:cs="Times New Roman"/>
                            <w:b/>
                            <w:bCs/>
                            <w:i/>
                            <w:color w:val="000000"/>
                            <w:szCs w:val="24"/>
                          </w:rPr>
                        </m:ctrlPr>
                      </m:sSubPr>
                      <m:e>
                        <m:r>
                          <m:rPr>
                            <m:sty m:val="bi"/>
                          </m:rPr>
                          <w:rPr>
                            <w:rFonts w:ascii="Cambria Math" w:eastAsia="Times New Roman" w:hAnsi="Cambria Math" w:cs="Times New Roman"/>
                            <w:color w:val="000000"/>
                            <w:szCs w:val="24"/>
                          </w:rPr>
                          <m:t>C</m:t>
                        </m:r>
                      </m:e>
                      <m:sub>
                        <m:r>
                          <m:rPr>
                            <m:sty m:val="bi"/>
                          </m:rPr>
                          <w:rPr>
                            <w:rFonts w:ascii="Cambria Math" w:eastAsia="Times New Roman" w:hAnsi="Cambria Math" w:cs="Times New Roman"/>
                            <w:color w:val="000000"/>
                            <w:szCs w:val="24"/>
                          </w:rPr>
                          <m:t>i</m:t>
                        </m:r>
                      </m:sub>
                    </m:sSub>
                  </m:e>
                  <m:sup>
                    <m:r>
                      <m:rPr>
                        <m:sty m:val="bi"/>
                      </m:rPr>
                      <w:rPr>
                        <w:rFonts w:ascii="Cambria Math" w:eastAsia="Times New Roman" w:hAnsi="Cambria Math" w:cs="Times New Roman"/>
                        <w:color w:val="000000"/>
                        <w:szCs w:val="24"/>
                      </w:rPr>
                      <m:t>off-peak</m:t>
                    </m:r>
                  </m:sup>
                </m:sSup>
                <m:r>
                  <m:rPr>
                    <m:sty m:val="bi"/>
                  </m:rPr>
                  <w:rPr>
                    <w:rFonts w:ascii="Cambria Math" w:eastAsia="Times New Roman" w:hAnsi="Cambria Math" w:cs="Times New Roman"/>
                    <w:color w:val="000000"/>
                    <w:szCs w:val="24"/>
                  </w:rPr>
                  <m:t>&lt;</m:t>
                </m:r>
                <m:r>
                  <w:rPr>
                    <w:rFonts w:ascii="Cambria Math" w:eastAsia="Times New Roman" w:hAnsi="Cambria Math" w:cs="Times New Roman"/>
                    <w:color w:val="000000"/>
                    <w:szCs w:val="24"/>
                  </w:rPr>
                  <m:t>0</m:t>
                </m:r>
              </m:oMath>
            </m:oMathPara>
          </w:p>
        </w:tc>
        <w:tc>
          <w:tcPr>
            <w:tcW w:w="1667" w:type="dxa"/>
          </w:tcPr>
          <w:p w14:paraId="5313C23F" w14:textId="77777777" w:rsidR="0041584B" w:rsidRPr="00E755CC" w:rsidRDefault="0041584B" w:rsidP="0041584B">
            <w:pPr>
              <w:keepNext/>
              <w:keepLines/>
              <w:spacing w:after="0" w:line="240" w:lineRule="auto"/>
              <w:ind w:left="-56"/>
              <w:jc w:val="center"/>
              <w:rPr>
                <w:rFonts w:eastAsia="Times New Roman" w:cs="Times New Roman"/>
                <w:szCs w:val="24"/>
              </w:rPr>
            </w:pPr>
            <w:r w:rsidRPr="00E755CC">
              <w:rPr>
                <w:rFonts w:eastAsia="Times New Roman" w:cs="Times New Roman"/>
                <w:szCs w:val="24"/>
              </w:rPr>
              <w:t>Delay</w:t>
            </w:r>
          </w:p>
        </w:tc>
        <w:tc>
          <w:tcPr>
            <w:tcW w:w="1134" w:type="dxa"/>
          </w:tcPr>
          <w:p w14:paraId="380FBAE9" w14:textId="77777777" w:rsidR="0041584B" w:rsidRPr="00E755CC" w:rsidRDefault="0041584B" w:rsidP="0041584B">
            <w:pPr>
              <w:keepNext/>
              <w:keepLines/>
              <w:spacing w:after="0" w:line="240" w:lineRule="auto"/>
              <w:ind w:left="-56"/>
              <w:jc w:val="center"/>
              <w:rPr>
                <w:rFonts w:eastAsia="Times New Roman" w:cs="Times New Roman"/>
                <w:szCs w:val="24"/>
              </w:rPr>
            </w:pPr>
            <w:r w:rsidRPr="00E755CC">
              <w:rPr>
                <w:rFonts w:eastAsia="Times New Roman" w:cs="Times New Roman"/>
                <w:szCs w:val="24"/>
              </w:rPr>
              <w:t>Off-Peak</w:t>
            </w:r>
          </w:p>
          <w:p w14:paraId="4E82562F" w14:textId="77777777" w:rsidR="0041584B" w:rsidRPr="00E755CC" w:rsidRDefault="0041584B" w:rsidP="0041584B">
            <w:pPr>
              <w:keepNext/>
              <w:keepLines/>
              <w:spacing w:after="0" w:line="240" w:lineRule="auto"/>
              <w:ind w:left="-56"/>
              <w:jc w:val="center"/>
              <w:rPr>
                <w:rFonts w:eastAsia="Times New Roman" w:cs="Times New Roman"/>
                <w:szCs w:val="24"/>
              </w:rPr>
            </w:pPr>
            <w:r w:rsidRPr="00E755CC">
              <w:rPr>
                <w:rFonts w:eastAsia="Times New Roman" w:cs="Times New Roman"/>
                <w:szCs w:val="24"/>
              </w:rPr>
              <w:t>Charge</w:t>
            </w:r>
          </w:p>
        </w:tc>
        <w:tc>
          <w:tcPr>
            <w:tcW w:w="1417" w:type="dxa"/>
          </w:tcPr>
          <w:p w14:paraId="7931253C" w14:textId="77777777" w:rsidR="0041584B" w:rsidRPr="00E755CC" w:rsidRDefault="0041584B" w:rsidP="0041584B">
            <w:pPr>
              <w:keepNext/>
              <w:keepLines/>
              <w:spacing w:after="0" w:line="240" w:lineRule="auto"/>
              <w:ind w:left="-56"/>
              <w:jc w:val="center"/>
              <w:rPr>
                <w:rFonts w:eastAsia="Times New Roman" w:cs="Times New Roman"/>
                <w:szCs w:val="24"/>
              </w:rPr>
            </w:pPr>
            <w:r w:rsidRPr="00E755CC">
              <w:rPr>
                <w:rFonts w:eastAsia="Times New Roman" w:cs="Times New Roman"/>
                <w:szCs w:val="24"/>
              </w:rPr>
              <w:t>Negative</w:t>
            </w:r>
          </w:p>
        </w:tc>
      </w:tr>
    </w:tbl>
    <w:p w14:paraId="3D4C8B49" w14:textId="77777777" w:rsidR="0041584B" w:rsidRPr="00294561" w:rsidRDefault="0041584B" w:rsidP="0041584B">
      <w:pPr>
        <w:pStyle w:val="DCSubHeading1Level2"/>
        <w:spacing w:before="240"/>
      </w:pPr>
      <w:bookmarkStart w:id="700" w:name="GenerationNodes"/>
      <w:r w:rsidRPr="00294561">
        <w:t>Generation Nodes</w:t>
      </w:r>
      <w:bookmarkEnd w:id="700"/>
    </w:p>
    <w:p w14:paraId="3C885067" w14:textId="77777777" w:rsidR="0041584B" w:rsidRPr="00294561" w:rsidRDefault="0041584B" w:rsidP="0041584B">
      <w:pPr>
        <w:pStyle w:val="Heading2"/>
      </w:pPr>
      <w:bookmarkStart w:id="701" w:name="_Ref277943194"/>
      <w:r w:rsidRPr="00294561">
        <w:t>For Nodes where generation is located:</w:t>
      </w:r>
      <w:bookmarkEnd w:id="701"/>
    </w:p>
    <w:p w14:paraId="548153F0" w14:textId="77777777" w:rsidR="0041584B" w:rsidRPr="00294561" w:rsidRDefault="0041584B" w:rsidP="0041584B">
      <w:pPr>
        <w:pStyle w:val="Heading5"/>
        <w:keepNext w:val="0"/>
        <w:keepLines w:val="0"/>
        <w:ind w:left="1418"/>
        <w:jc w:val="both"/>
      </w:pPr>
      <w:r w:rsidRPr="00294561">
        <w:t xml:space="preserve">To decide which scenario drives the Branch reinforcement for a Node where a generator is located </w:t>
      </w:r>
      <w:r>
        <w:t>Table 8.13</w:t>
      </w:r>
      <w:r w:rsidRPr="00294561">
        <w:t xml:space="preserve"> should be used. </w:t>
      </w:r>
    </w:p>
    <w:p w14:paraId="007DF3D6" w14:textId="77777777" w:rsidR="0041584B" w:rsidRPr="00294561" w:rsidRDefault="0041584B" w:rsidP="0041584B">
      <w:pPr>
        <w:pStyle w:val="Heading5"/>
        <w:keepNext w:val="0"/>
        <w:keepLines w:val="0"/>
        <w:ind w:left="1418"/>
        <w:jc w:val="both"/>
      </w:pPr>
      <w:r w:rsidRPr="00294561">
        <w:t xml:space="preserve">For the Maximum Demand </w:t>
      </w:r>
      <w:proofErr w:type="gramStart"/>
      <w:r w:rsidRPr="00294561">
        <w:t>Scenario</w:t>
      </w:r>
      <w:proofErr w:type="gramEnd"/>
      <w:r w:rsidRPr="00294561">
        <w:t xml:space="preserve"> the increment is applied in the demand direction (a reduction of generation). If such reduction of generation delays the reinforcement (</w:t>
      </w:r>
      <m:oMath>
        <m:sSup>
          <m:sSupPr>
            <m:ctrlPr>
              <w:rPr>
                <w:rFonts w:ascii="Cambria Math" w:hAnsi="Cambria Math"/>
                <w:i/>
              </w:rPr>
            </m:ctrlPr>
          </m:sSupPr>
          <m:e>
            <m:r>
              <w:rPr>
                <w:rFonts w:ascii="Cambria Math" w:hAnsi="Cambria Math"/>
              </w:rPr>
              <m:t>∆</m:t>
            </m:r>
            <m:sSub>
              <m:sSubPr>
                <m:ctrlPr>
                  <w:rPr>
                    <w:rFonts w:ascii="Cambria Math" w:hAnsi="Cambria Math"/>
                    <w:i/>
                  </w:rPr>
                </m:ctrlPr>
              </m:sSubPr>
              <m:e>
                <m:r>
                  <m:rPr>
                    <m:sty m:val="bi"/>
                  </m:rPr>
                  <w:rPr>
                    <w:rFonts w:ascii="Cambria Math" w:hAnsi="Cambria Math"/>
                  </w:rPr>
                  <m:t>C</m:t>
                </m:r>
              </m:e>
              <m:sub>
                <m:r>
                  <m:rPr>
                    <m:sty m:val="bi"/>
                  </m:rPr>
                  <w:rPr>
                    <w:rFonts w:ascii="Cambria Math" w:hAnsi="Cambria Math"/>
                  </w:rPr>
                  <m:t>i</m:t>
                </m:r>
              </m:sub>
            </m:sSub>
          </m:e>
          <m:sup>
            <m:r>
              <m:rPr>
                <m:sty m:val="bi"/>
              </m:rPr>
              <w:rPr>
                <w:rFonts w:ascii="Cambria Math" w:hAnsi="Cambria Math"/>
              </w:rPr>
              <m:t>peak</m:t>
            </m:r>
          </m:sup>
        </m:sSup>
        <m:r>
          <w:rPr>
            <w:rFonts w:ascii="Cambria Math" w:hAnsi="Cambria Math"/>
          </w:rPr>
          <m:t>&lt;</m:t>
        </m:r>
      </m:oMath>
      <w:r w:rsidRPr="00294561">
        <w:t xml:space="preserve">the generator should be charged (the second row, column ‘Credit/Charge’). For the Minimum Demand </w:t>
      </w:r>
      <w:proofErr w:type="gramStart"/>
      <w:r w:rsidRPr="00294561">
        <w:t>Scenario</w:t>
      </w:r>
      <w:proofErr w:type="gramEnd"/>
      <w:r w:rsidRPr="00294561">
        <w:t xml:space="preserve"> the increment is applied in the generation direction (an increase in generation). If such increase in generation delays the reinforcement (</w:t>
      </w:r>
      <m:oMath>
        <m:sSup>
          <m:sSupPr>
            <m:ctrlPr>
              <w:rPr>
                <w:rFonts w:ascii="Cambria Math" w:hAnsi="Cambria Math"/>
                <w:i/>
              </w:rPr>
            </m:ctrlPr>
          </m:sSupPr>
          <m:e>
            <m:r>
              <w:rPr>
                <w:rFonts w:ascii="Cambria Math" w:hAnsi="Cambria Math"/>
              </w:rPr>
              <m:t>∆</m:t>
            </m:r>
            <m:sSub>
              <m:sSubPr>
                <m:ctrlPr>
                  <w:rPr>
                    <w:rFonts w:ascii="Cambria Math" w:hAnsi="Cambria Math"/>
                    <w:i/>
                  </w:rPr>
                </m:ctrlPr>
              </m:sSubPr>
              <m:e>
                <m:r>
                  <m:rPr>
                    <m:sty m:val="bi"/>
                  </m:rPr>
                  <w:rPr>
                    <w:rFonts w:ascii="Cambria Math" w:hAnsi="Cambria Math"/>
                  </w:rPr>
                  <m:t>C</m:t>
                </m:r>
              </m:e>
              <m:sub>
                <m:r>
                  <m:rPr>
                    <m:sty m:val="bi"/>
                  </m:rPr>
                  <w:rPr>
                    <w:rFonts w:ascii="Cambria Math" w:hAnsi="Cambria Math"/>
                  </w:rPr>
                  <m:t>i</m:t>
                </m:r>
              </m:sub>
            </m:sSub>
          </m:e>
          <m:sup>
            <m:r>
              <m:rPr>
                <m:sty m:val="bi"/>
              </m:rPr>
              <w:rPr>
                <w:rFonts w:ascii="Cambria Math" w:hAnsi="Cambria Math"/>
              </w:rPr>
              <m:t>off</m:t>
            </m:r>
            <m:r>
              <w:rPr>
                <w:rFonts w:ascii="Cambria Math" w:hAnsi="Cambria Math"/>
              </w:rPr>
              <m:t>-</m:t>
            </m:r>
            <m:r>
              <m:rPr>
                <m:sty m:val="bi"/>
              </m:rPr>
              <w:rPr>
                <w:rFonts w:ascii="Cambria Math" w:hAnsi="Cambria Math"/>
              </w:rPr>
              <m:t>peak</m:t>
            </m:r>
          </m:sup>
        </m:sSup>
        <m:r>
          <w:rPr>
            <w:rFonts w:ascii="Cambria Math" w:hAnsi="Cambria Math"/>
          </w:rPr>
          <m:t>&lt;0</m:t>
        </m:r>
      </m:oMath>
      <w:r w:rsidRPr="00294561">
        <w:t>) the generator should be credited (the fourth row, column ‘Credit/Charge’).</w:t>
      </w:r>
    </w:p>
    <w:p w14:paraId="7AFFFD74" w14:textId="77777777" w:rsidR="0041584B" w:rsidRPr="00294561" w:rsidRDefault="0041584B" w:rsidP="0041584B">
      <w:pPr>
        <w:pStyle w:val="Heading5"/>
        <w:keepNext w:val="0"/>
        <w:keepLines w:val="0"/>
        <w:ind w:left="1418"/>
        <w:jc w:val="both"/>
      </w:pPr>
      <w:r w:rsidRPr="00294561">
        <w:t xml:space="preserve">It should be pointed out that each Branch incremental cost is included in one of two charge periods (Peak or Off-Peak but not both) based on the scenario that drives the maximum absolute value of Branch incremental cost as shown in </w:t>
      </w:r>
      <w:r>
        <w:t>Table 8.13</w:t>
      </w:r>
      <w:r w:rsidRPr="00294561">
        <w:t>.</w:t>
      </w:r>
    </w:p>
    <w:p w14:paraId="49AB4B7E" w14:textId="77777777" w:rsidR="0041584B" w:rsidRPr="00294561" w:rsidRDefault="0041584B" w:rsidP="0041584B">
      <w:pPr>
        <w:pStyle w:val="Heading5"/>
        <w:keepNext w:val="0"/>
        <w:keepLines w:val="0"/>
        <w:ind w:left="1418"/>
        <w:jc w:val="both"/>
      </w:pPr>
      <w:r w:rsidRPr="00294561">
        <w:lastRenderedPageBreak/>
        <w:t xml:space="preserve">To calculate the Peak Nodal incremental cost a sum of Peak incremental cost </w:t>
      </w:r>
      <m:oMath>
        <m:sSup>
          <m:sSupPr>
            <m:ctrlPr>
              <w:rPr>
                <w:rFonts w:ascii="Cambria Math" w:hAnsi="Cambria Math"/>
                <w:i/>
              </w:rPr>
            </m:ctrlPr>
          </m:sSupPr>
          <m:e>
            <m:r>
              <w:rPr>
                <w:rFonts w:ascii="Cambria Math" w:hAnsi="Cambria Math"/>
              </w:rPr>
              <m:t>∆</m:t>
            </m:r>
            <m:sSub>
              <m:sSubPr>
                <m:ctrlPr>
                  <w:rPr>
                    <w:rFonts w:ascii="Cambria Math" w:hAnsi="Cambria Math"/>
                    <w:i/>
                  </w:rPr>
                </m:ctrlPr>
              </m:sSubPr>
              <m:e>
                <m:r>
                  <m:rPr>
                    <m:sty m:val="bi"/>
                  </m:rPr>
                  <w:rPr>
                    <w:rFonts w:ascii="Cambria Math" w:hAnsi="Cambria Math"/>
                  </w:rPr>
                  <m:t>C</m:t>
                </m:r>
              </m:e>
              <m:sub>
                <m:r>
                  <m:rPr>
                    <m:sty m:val="bi"/>
                  </m:rPr>
                  <w:rPr>
                    <w:rFonts w:ascii="Cambria Math" w:hAnsi="Cambria Math"/>
                  </w:rPr>
                  <m:t>i</m:t>
                </m:r>
              </m:sub>
            </m:sSub>
          </m:e>
          <m:sup>
            <m:r>
              <m:rPr>
                <m:sty m:val="bi"/>
              </m:rPr>
              <w:rPr>
                <w:rFonts w:ascii="Cambria Math" w:hAnsi="Cambria Math"/>
              </w:rPr>
              <m:t>peak</m:t>
            </m:r>
          </m:sup>
        </m:sSup>
      </m:oMath>
      <w:r w:rsidRPr="00294561">
        <w:t xml:space="preserve">, each scaled by the appropriate Recovery Factor </w:t>
      </w:r>
      <w:r w:rsidRPr="00294561">
        <w:object w:dxaOrig="220" w:dyaOrig="360" w14:anchorId="6C848ABE">
          <v:shape id="_x0000_i1049" type="#_x0000_t75" style="width:12.75pt;height:20.25pt" o:ole="">
            <v:imagedata r:id="rId64" o:title=""/>
          </v:shape>
          <o:OLEObject Type="Embed" ProgID="Equation.3" ShapeID="_x0000_i1049" DrawAspect="Content" ObjectID="_1640532518" r:id="rId67"/>
        </w:object>
      </w:r>
      <w:r w:rsidRPr="00294561">
        <w:t xml:space="preserve">,  over all Branches where the Maximum Demand scenario drives reinforcements, associated with the application of an increment at the Node, should be determined. To calculate the Off-Peak Nodal incremental cost a sum of off-peak incremental cost </w:t>
      </w:r>
      <m:oMath>
        <m:sSup>
          <m:sSupPr>
            <m:ctrlPr>
              <w:rPr>
                <w:rFonts w:ascii="Cambria Math" w:hAnsi="Cambria Math"/>
                <w:i/>
              </w:rPr>
            </m:ctrlPr>
          </m:sSupPr>
          <m:e>
            <m:r>
              <w:rPr>
                <w:rFonts w:ascii="Cambria Math" w:hAnsi="Cambria Math"/>
              </w:rPr>
              <m:t>∆</m:t>
            </m:r>
            <m:sSub>
              <m:sSubPr>
                <m:ctrlPr>
                  <w:rPr>
                    <w:rFonts w:ascii="Cambria Math" w:hAnsi="Cambria Math"/>
                    <w:i/>
                  </w:rPr>
                </m:ctrlPr>
              </m:sSubPr>
              <m:e>
                <m:r>
                  <m:rPr>
                    <m:sty m:val="bi"/>
                  </m:rPr>
                  <w:rPr>
                    <w:rFonts w:ascii="Cambria Math" w:hAnsi="Cambria Math"/>
                  </w:rPr>
                  <m:t>C</m:t>
                </m:r>
              </m:e>
              <m:sub>
                <m:r>
                  <m:rPr>
                    <m:sty m:val="bi"/>
                  </m:rPr>
                  <w:rPr>
                    <w:rFonts w:ascii="Cambria Math" w:hAnsi="Cambria Math"/>
                  </w:rPr>
                  <m:t>i</m:t>
                </m:r>
              </m:sub>
            </m:sSub>
          </m:e>
          <m:sup>
            <m:r>
              <m:rPr>
                <m:sty m:val="bi"/>
              </m:rPr>
              <w:rPr>
                <w:rFonts w:ascii="Cambria Math" w:hAnsi="Cambria Math"/>
              </w:rPr>
              <m:t>off</m:t>
            </m:r>
            <m:r>
              <w:rPr>
                <w:rFonts w:ascii="Cambria Math" w:hAnsi="Cambria Math"/>
              </w:rPr>
              <m:t>-</m:t>
            </m:r>
            <m:r>
              <m:rPr>
                <m:sty m:val="bi"/>
              </m:rPr>
              <w:rPr>
                <w:rFonts w:ascii="Cambria Math" w:hAnsi="Cambria Math"/>
              </w:rPr>
              <m:t>peak</m:t>
            </m:r>
          </m:sup>
        </m:sSup>
      </m:oMath>
      <w:r w:rsidRPr="00294561">
        <w:t xml:space="preserve">, each scaled by the appropriate Recovery Factor </w:t>
      </w:r>
      <w:r w:rsidRPr="00294561">
        <w:object w:dxaOrig="220" w:dyaOrig="360" w14:anchorId="33CB7D1B">
          <v:shape id="_x0000_i1050" type="#_x0000_t75" style="width:12.75pt;height:20.25pt" o:ole="">
            <v:imagedata r:id="rId64" o:title=""/>
          </v:shape>
          <o:OLEObject Type="Embed" ProgID="Equation.3" ShapeID="_x0000_i1050" DrawAspect="Content" ObjectID="_1640532519" r:id="rId68"/>
        </w:object>
      </w:r>
      <w:r w:rsidRPr="00294561">
        <w:t xml:space="preserve">, over all Branches where the Minimum Demand scenario drives the reinforcement, associated with the application of an increment at the Node, should be determined. </w:t>
      </w:r>
    </w:p>
    <w:p w14:paraId="4B7C0BFF" w14:textId="77777777" w:rsidR="0041584B" w:rsidRPr="00294561" w:rsidRDefault="0041584B" w:rsidP="0041584B">
      <w:pPr>
        <w:pStyle w:val="Heading5"/>
        <w:keepNext w:val="0"/>
        <w:keepLines w:val="0"/>
        <w:ind w:left="1418"/>
        <w:jc w:val="both"/>
      </w:pPr>
      <w:r w:rsidRPr="00294561">
        <w:t xml:space="preserve">To calculate the £/kVA/annum Peak Off-Peak Nodal marginal charges the obtained sums should be divided by the corresponding kVA increment (using 0.1 MW at unity power factor). The last column given in </w:t>
      </w:r>
      <w:r>
        <w:t>Table 8.13</w:t>
      </w:r>
      <w:r w:rsidRPr="00294561">
        <w:t xml:space="preserve"> indicates the sign convention adopted for the output values. It should be noted that the convention follows the sign of </w:t>
      </w:r>
      <m:oMath>
        <m:r>
          <w:rPr>
            <w:rFonts w:ascii="Cambria Math" w:hAnsi="Cambria Math"/>
          </w:rPr>
          <m:t>∆</m:t>
        </m:r>
        <m:sSub>
          <m:sSubPr>
            <m:ctrlPr>
              <w:rPr>
                <w:rFonts w:ascii="Cambria Math" w:hAnsi="Cambria Math"/>
                <w:i/>
              </w:rPr>
            </m:ctrlPr>
          </m:sSubPr>
          <m:e>
            <m:r>
              <m:rPr>
                <m:sty m:val="bi"/>
              </m:rPr>
              <w:rPr>
                <w:rFonts w:ascii="Cambria Math" w:hAnsi="Cambria Math"/>
              </w:rPr>
              <m:t>C</m:t>
            </m:r>
          </m:e>
          <m:sub>
            <m:r>
              <m:rPr>
                <m:sty m:val="bi"/>
              </m:rPr>
              <w:rPr>
                <w:rFonts w:ascii="Cambria Math" w:hAnsi="Cambria Math"/>
              </w:rPr>
              <m:t>i</m:t>
            </m:r>
          </m:sub>
        </m:sSub>
      </m:oMath>
      <w:r w:rsidRPr="00294561">
        <w:t>.</w:t>
      </w:r>
    </w:p>
    <w:p w14:paraId="70E50CB3" w14:textId="77777777" w:rsidR="0041584B" w:rsidRPr="00E755CC" w:rsidRDefault="0041584B" w:rsidP="0041584B">
      <w:pPr>
        <w:rPr>
          <w:b/>
        </w:rPr>
      </w:pPr>
      <w:bookmarkStart w:id="702" w:name="_Ref253610486"/>
      <w:bookmarkStart w:id="703" w:name="_Toc253698465"/>
      <w:r w:rsidRPr="00E755CC">
        <w:rPr>
          <w:b/>
        </w:rPr>
        <w:t xml:space="preserve">Table </w:t>
      </w:r>
      <w:r>
        <w:rPr>
          <w:b/>
        </w:rPr>
        <w:t>8.13</w:t>
      </w:r>
      <w:bookmarkEnd w:id="702"/>
      <w:r w:rsidRPr="00E755CC">
        <w:rPr>
          <w:b/>
        </w:rPr>
        <w:t xml:space="preserve"> - Scenarios that drive reinforcement and the rules for the calculation of Branch reinforcement charges/credits for a generation located at a Node.</w:t>
      </w:r>
      <w:bookmarkEnd w:id="703"/>
    </w:p>
    <w:tbl>
      <w:tblPr>
        <w:tblStyle w:val="GridTable4-Accent3"/>
        <w:tblW w:w="11328" w:type="dxa"/>
        <w:jc w:val="center"/>
        <w:tblLayout w:type="fixed"/>
        <w:tblLook w:val="0620" w:firstRow="1" w:lastRow="0" w:firstColumn="0" w:lastColumn="0" w:noHBand="1" w:noVBand="1"/>
      </w:tblPr>
      <w:tblGrid>
        <w:gridCol w:w="1264"/>
        <w:gridCol w:w="2410"/>
        <w:gridCol w:w="2126"/>
        <w:gridCol w:w="1418"/>
        <w:gridCol w:w="1701"/>
        <w:gridCol w:w="992"/>
        <w:gridCol w:w="1417"/>
      </w:tblGrid>
      <w:tr w:rsidR="0041584B" w:rsidRPr="00E755CC" w14:paraId="566D7D55" w14:textId="77777777" w:rsidTr="0041584B">
        <w:trPr>
          <w:cnfStyle w:val="100000000000" w:firstRow="1" w:lastRow="0" w:firstColumn="0" w:lastColumn="0" w:oddVBand="0" w:evenVBand="0" w:oddHBand="0" w:evenHBand="0" w:firstRowFirstColumn="0" w:firstRowLastColumn="0" w:lastRowFirstColumn="0" w:lastRowLastColumn="0"/>
          <w:jc w:val="center"/>
        </w:trPr>
        <w:tc>
          <w:tcPr>
            <w:tcW w:w="1264" w:type="dxa"/>
          </w:tcPr>
          <w:p w14:paraId="1E2531C8" w14:textId="77777777" w:rsidR="0041584B" w:rsidRPr="00E755CC" w:rsidRDefault="0041584B" w:rsidP="0041584B">
            <w:pPr>
              <w:spacing w:after="0" w:line="240" w:lineRule="auto"/>
              <w:ind w:left="-56"/>
              <w:jc w:val="center"/>
              <w:rPr>
                <w:rFonts w:eastAsia="Times New Roman" w:cs="Times New Roman"/>
                <w:szCs w:val="24"/>
              </w:rPr>
            </w:pPr>
            <w:r w:rsidRPr="00E755CC">
              <w:rPr>
                <w:rFonts w:eastAsia="Times New Roman" w:cs="Times New Roman"/>
                <w:szCs w:val="24"/>
              </w:rPr>
              <w:t>Increment Direction</w:t>
            </w:r>
          </w:p>
        </w:tc>
        <w:tc>
          <w:tcPr>
            <w:tcW w:w="2410" w:type="dxa"/>
          </w:tcPr>
          <w:p w14:paraId="13F377C9" w14:textId="77777777" w:rsidR="0041584B" w:rsidRPr="00E755CC" w:rsidRDefault="0041584B" w:rsidP="0041584B">
            <w:pPr>
              <w:spacing w:after="0" w:line="240" w:lineRule="auto"/>
              <w:ind w:left="-56"/>
              <w:jc w:val="center"/>
              <w:rPr>
                <w:rFonts w:eastAsia="Times New Roman" w:cs="Times New Roman"/>
                <w:szCs w:val="24"/>
              </w:rPr>
            </w:pPr>
            <w:r w:rsidRPr="00E755CC">
              <w:rPr>
                <w:rFonts w:eastAsia="Times New Roman" w:cs="Times New Roman"/>
                <w:szCs w:val="24"/>
              </w:rPr>
              <w:t>Branch incremental cost comparison</w:t>
            </w:r>
          </w:p>
        </w:tc>
        <w:tc>
          <w:tcPr>
            <w:tcW w:w="2126" w:type="dxa"/>
          </w:tcPr>
          <w:p w14:paraId="7E472159" w14:textId="77777777" w:rsidR="0041584B" w:rsidRPr="00E755CC" w:rsidRDefault="0041584B" w:rsidP="0041584B">
            <w:pPr>
              <w:spacing w:after="0" w:line="240" w:lineRule="auto"/>
              <w:ind w:left="-56"/>
              <w:jc w:val="center"/>
              <w:rPr>
                <w:rFonts w:eastAsia="Times New Roman" w:cs="Times New Roman"/>
                <w:szCs w:val="24"/>
              </w:rPr>
            </w:pPr>
            <w:r w:rsidRPr="00E755CC">
              <w:rPr>
                <w:rFonts w:eastAsia="Times New Roman" w:cs="Times New Roman"/>
                <w:szCs w:val="24"/>
              </w:rPr>
              <w:t>Reinforcement cost scenario assigned to</w:t>
            </w:r>
          </w:p>
          <w:p w14:paraId="09D7508A" w14:textId="77777777" w:rsidR="0041584B" w:rsidRPr="00E755CC" w:rsidRDefault="0041584B" w:rsidP="0041584B">
            <w:pPr>
              <w:spacing w:after="0" w:line="240" w:lineRule="auto"/>
              <w:ind w:left="-56"/>
              <w:jc w:val="center"/>
              <w:rPr>
                <w:rFonts w:eastAsia="Times New Roman" w:cs="Times New Roman"/>
                <w:szCs w:val="24"/>
              </w:rPr>
            </w:pPr>
            <w:r w:rsidRPr="00E755CC">
              <w:rPr>
                <w:rFonts w:eastAsia="Times New Roman" w:cs="Times New Roman"/>
                <w:szCs w:val="24"/>
              </w:rPr>
              <w:t xml:space="preserve"> the Branch</w:t>
            </w:r>
          </w:p>
        </w:tc>
        <w:tc>
          <w:tcPr>
            <w:tcW w:w="1418" w:type="dxa"/>
          </w:tcPr>
          <w:p w14:paraId="243985B1" w14:textId="77777777" w:rsidR="0041584B" w:rsidRPr="00E755CC" w:rsidRDefault="0041584B" w:rsidP="0041584B">
            <w:pPr>
              <w:spacing w:after="0" w:line="240" w:lineRule="auto"/>
              <w:ind w:left="-56"/>
              <w:jc w:val="center"/>
              <w:rPr>
                <w:rFonts w:eastAsia="Times New Roman" w:cs="Times New Roman"/>
                <w:szCs w:val="24"/>
              </w:rPr>
            </w:pPr>
            <w:r w:rsidRPr="00E755CC">
              <w:rPr>
                <w:rFonts w:eastAsia="Times New Roman" w:cs="Times New Roman"/>
                <w:szCs w:val="24"/>
              </w:rPr>
              <w:t xml:space="preserve">Sign of </w:t>
            </w:r>
            <m:oMath>
              <m:r>
                <m:rPr>
                  <m:sty m:val="bi"/>
                </m:rPr>
                <w:rPr>
                  <w:rFonts w:ascii="Cambria Math" w:eastAsia="Times New Roman" w:hAnsi="Cambria Math" w:cs="Times New Roman"/>
                  <w:szCs w:val="24"/>
                </w:rPr>
                <m:t>∆</m:t>
              </m:r>
              <m:sSub>
                <m:sSubPr>
                  <m:ctrlPr>
                    <w:rPr>
                      <w:rFonts w:ascii="Cambria Math" w:eastAsia="Calibri" w:hAnsi="Cambria Math" w:cs="Times New Roman"/>
                      <w:i/>
                      <w:szCs w:val="24"/>
                      <w:lang w:val="en-US"/>
                    </w:rPr>
                  </m:ctrlPr>
                </m:sSubPr>
                <m:e>
                  <m:r>
                    <m:rPr>
                      <m:sty m:val="bi"/>
                    </m:rPr>
                    <w:rPr>
                      <w:rFonts w:ascii="Cambria Math" w:eastAsia="Times New Roman" w:hAnsi="Cambria Math" w:cs="Times New Roman"/>
                      <w:szCs w:val="24"/>
                    </w:rPr>
                    <m:t>C</m:t>
                  </m:r>
                </m:e>
                <m:sub>
                  <m:r>
                    <m:rPr>
                      <m:sty m:val="bi"/>
                    </m:rPr>
                    <w:rPr>
                      <w:rFonts w:ascii="Cambria Math" w:eastAsia="Times New Roman" w:hAnsi="Cambria Math" w:cs="Times New Roman"/>
                      <w:szCs w:val="24"/>
                    </w:rPr>
                    <m:t>i</m:t>
                  </m:r>
                </m:sub>
              </m:sSub>
            </m:oMath>
          </w:p>
        </w:tc>
        <w:tc>
          <w:tcPr>
            <w:tcW w:w="1701" w:type="dxa"/>
          </w:tcPr>
          <w:p w14:paraId="4DCA9CAF" w14:textId="77777777" w:rsidR="0041584B" w:rsidRPr="00E755CC" w:rsidRDefault="0041584B" w:rsidP="0041584B">
            <w:pPr>
              <w:spacing w:after="0" w:line="240" w:lineRule="auto"/>
              <w:ind w:left="-56"/>
              <w:jc w:val="center"/>
              <w:rPr>
                <w:rFonts w:eastAsia="Times New Roman" w:cs="Times New Roman"/>
                <w:szCs w:val="24"/>
              </w:rPr>
            </w:pPr>
            <w:r w:rsidRPr="00E755CC">
              <w:rPr>
                <w:rFonts w:eastAsia="Times New Roman" w:cs="Times New Roman"/>
                <w:szCs w:val="24"/>
              </w:rPr>
              <w:t>Accelerate</w:t>
            </w:r>
          </w:p>
          <w:p w14:paraId="70E9C70E" w14:textId="77777777" w:rsidR="0041584B" w:rsidRPr="00E755CC" w:rsidRDefault="0041584B" w:rsidP="0041584B">
            <w:pPr>
              <w:spacing w:after="0" w:line="240" w:lineRule="auto"/>
              <w:ind w:left="-56"/>
              <w:jc w:val="center"/>
              <w:rPr>
                <w:rFonts w:eastAsia="Times New Roman" w:cs="Times New Roman"/>
                <w:szCs w:val="24"/>
              </w:rPr>
            </w:pPr>
            <w:r w:rsidRPr="00E755CC">
              <w:rPr>
                <w:rFonts w:eastAsia="Times New Roman" w:cs="Times New Roman"/>
                <w:szCs w:val="24"/>
              </w:rPr>
              <w:t>/ Delay Reinforcement</w:t>
            </w:r>
          </w:p>
        </w:tc>
        <w:tc>
          <w:tcPr>
            <w:tcW w:w="992" w:type="dxa"/>
          </w:tcPr>
          <w:p w14:paraId="538649FD" w14:textId="77777777" w:rsidR="0041584B" w:rsidRPr="00E755CC" w:rsidRDefault="0041584B" w:rsidP="0041584B">
            <w:pPr>
              <w:spacing w:after="0" w:line="240" w:lineRule="auto"/>
              <w:ind w:left="-56"/>
              <w:jc w:val="center"/>
              <w:rPr>
                <w:rFonts w:eastAsia="Times New Roman" w:cs="Times New Roman"/>
                <w:szCs w:val="24"/>
              </w:rPr>
            </w:pPr>
            <w:r w:rsidRPr="00E755CC">
              <w:rPr>
                <w:rFonts w:eastAsia="Times New Roman" w:cs="Times New Roman"/>
                <w:szCs w:val="24"/>
              </w:rPr>
              <w:t>Charge</w:t>
            </w:r>
          </w:p>
          <w:p w14:paraId="61D149F2" w14:textId="77777777" w:rsidR="0041584B" w:rsidRPr="00E755CC" w:rsidRDefault="0041584B" w:rsidP="0041584B">
            <w:pPr>
              <w:spacing w:after="0" w:line="240" w:lineRule="auto"/>
              <w:ind w:left="-56"/>
              <w:jc w:val="center"/>
              <w:rPr>
                <w:rFonts w:eastAsia="Times New Roman" w:cs="Times New Roman"/>
                <w:szCs w:val="24"/>
              </w:rPr>
            </w:pPr>
            <w:r w:rsidRPr="00E755CC">
              <w:rPr>
                <w:rFonts w:eastAsia="Times New Roman" w:cs="Times New Roman"/>
                <w:szCs w:val="24"/>
              </w:rPr>
              <w:t>/Credit</w:t>
            </w:r>
          </w:p>
          <w:p w14:paraId="350EBD5B" w14:textId="77777777" w:rsidR="0041584B" w:rsidRPr="00E755CC" w:rsidRDefault="0041584B" w:rsidP="0041584B">
            <w:pPr>
              <w:spacing w:after="0" w:line="240" w:lineRule="auto"/>
              <w:ind w:left="-56"/>
              <w:jc w:val="center"/>
              <w:rPr>
                <w:rFonts w:eastAsia="Times New Roman" w:cs="Times New Roman"/>
                <w:szCs w:val="24"/>
              </w:rPr>
            </w:pPr>
            <w:r w:rsidRPr="00E755CC">
              <w:rPr>
                <w:rFonts w:eastAsia="Times New Roman" w:cs="Times New Roman"/>
                <w:szCs w:val="24"/>
              </w:rPr>
              <w:t>£/kVA/</w:t>
            </w:r>
          </w:p>
          <w:p w14:paraId="118309E1" w14:textId="77777777" w:rsidR="0041584B" w:rsidRPr="00E755CC" w:rsidRDefault="0041584B" w:rsidP="0041584B">
            <w:pPr>
              <w:spacing w:after="0" w:line="240" w:lineRule="auto"/>
              <w:ind w:left="-56"/>
              <w:jc w:val="center"/>
              <w:rPr>
                <w:rFonts w:eastAsia="Times New Roman" w:cs="Times New Roman"/>
                <w:szCs w:val="24"/>
              </w:rPr>
            </w:pPr>
            <w:r w:rsidRPr="00E755CC">
              <w:rPr>
                <w:rFonts w:eastAsia="Times New Roman" w:cs="Times New Roman"/>
                <w:szCs w:val="24"/>
              </w:rPr>
              <w:t>annum</w:t>
            </w:r>
          </w:p>
        </w:tc>
        <w:tc>
          <w:tcPr>
            <w:tcW w:w="1417" w:type="dxa"/>
          </w:tcPr>
          <w:p w14:paraId="6B1EAA98" w14:textId="77777777" w:rsidR="0041584B" w:rsidRPr="00E755CC" w:rsidRDefault="0041584B" w:rsidP="0041584B">
            <w:pPr>
              <w:spacing w:after="0" w:line="240" w:lineRule="auto"/>
              <w:ind w:left="-56"/>
              <w:jc w:val="center"/>
              <w:rPr>
                <w:rFonts w:eastAsia="Times New Roman" w:cs="Times New Roman"/>
                <w:szCs w:val="24"/>
              </w:rPr>
            </w:pPr>
            <w:r w:rsidRPr="00E755CC">
              <w:rPr>
                <w:rFonts w:eastAsia="Times New Roman" w:cs="Times New Roman"/>
                <w:szCs w:val="24"/>
              </w:rPr>
              <w:t>Output</w:t>
            </w:r>
          </w:p>
          <w:p w14:paraId="1283695B" w14:textId="77777777" w:rsidR="0041584B" w:rsidRPr="00E755CC" w:rsidRDefault="0041584B" w:rsidP="0041584B">
            <w:pPr>
              <w:spacing w:after="0" w:line="240" w:lineRule="auto"/>
              <w:ind w:left="-56"/>
              <w:jc w:val="center"/>
              <w:rPr>
                <w:rFonts w:eastAsia="Times New Roman" w:cs="Times New Roman"/>
                <w:szCs w:val="24"/>
              </w:rPr>
            </w:pPr>
            <w:r w:rsidRPr="00E755CC">
              <w:rPr>
                <w:rFonts w:eastAsia="Times New Roman" w:cs="Times New Roman"/>
                <w:szCs w:val="24"/>
              </w:rPr>
              <w:t>Convention</w:t>
            </w:r>
          </w:p>
        </w:tc>
      </w:tr>
      <w:tr w:rsidR="0041584B" w:rsidRPr="00E755CC" w14:paraId="30F9391F" w14:textId="77777777" w:rsidTr="0041584B">
        <w:trPr>
          <w:jc w:val="center"/>
        </w:trPr>
        <w:tc>
          <w:tcPr>
            <w:tcW w:w="1264" w:type="dxa"/>
          </w:tcPr>
          <w:p w14:paraId="416E0556" w14:textId="77777777" w:rsidR="0041584B" w:rsidRPr="00E755CC" w:rsidRDefault="0041584B" w:rsidP="0041584B">
            <w:pPr>
              <w:spacing w:after="0" w:line="240" w:lineRule="auto"/>
              <w:ind w:left="-56"/>
              <w:jc w:val="center"/>
              <w:rPr>
                <w:rFonts w:eastAsia="Times New Roman" w:cs="Times New Roman"/>
                <w:szCs w:val="24"/>
              </w:rPr>
            </w:pPr>
            <w:r w:rsidRPr="00E755CC">
              <w:rPr>
                <w:rFonts w:eastAsia="Times New Roman" w:cs="Times New Roman"/>
                <w:szCs w:val="24"/>
              </w:rPr>
              <w:t>Generation</w:t>
            </w:r>
          </w:p>
          <w:p w14:paraId="34CF9DD1" w14:textId="77777777" w:rsidR="0041584B" w:rsidRPr="00E755CC" w:rsidRDefault="0041584B" w:rsidP="0041584B">
            <w:pPr>
              <w:spacing w:after="0" w:line="240" w:lineRule="auto"/>
              <w:ind w:left="-56"/>
              <w:jc w:val="center"/>
              <w:rPr>
                <w:rFonts w:eastAsia="Times New Roman" w:cs="Times New Roman"/>
                <w:szCs w:val="24"/>
              </w:rPr>
            </w:pPr>
            <w:r w:rsidRPr="00E755CC">
              <w:rPr>
                <w:rFonts w:eastAsia="Times New Roman" w:cs="Times New Roman"/>
                <w:szCs w:val="24"/>
              </w:rPr>
              <w:t>Reduction</w:t>
            </w:r>
          </w:p>
        </w:tc>
        <w:tc>
          <w:tcPr>
            <w:tcW w:w="2410" w:type="dxa"/>
          </w:tcPr>
          <w:p w14:paraId="1BE63225" w14:textId="77777777" w:rsidR="0041584B" w:rsidRPr="00E755CC" w:rsidRDefault="0041584B" w:rsidP="0041584B">
            <w:pPr>
              <w:spacing w:after="0" w:line="240" w:lineRule="auto"/>
              <w:ind w:left="131" w:hanging="142"/>
              <w:jc w:val="center"/>
              <w:rPr>
                <w:rFonts w:eastAsia="Times New Roman" w:cs="Times New Roman"/>
                <w:b/>
                <w:color w:val="000000"/>
                <w:szCs w:val="24"/>
              </w:rPr>
            </w:pPr>
            <m:oMathPara>
              <m:oMath>
                <m:sSup>
                  <m:sSupPr>
                    <m:ctrlPr>
                      <w:rPr>
                        <w:rFonts w:ascii="Cambria Math" w:eastAsia="Times New Roman" w:hAnsi="Cambria Math" w:cs="Times New Roman"/>
                        <w:b/>
                        <w:i/>
                        <w:color w:val="000000"/>
                        <w:szCs w:val="24"/>
                      </w:rPr>
                    </m:ctrlPr>
                  </m:sSupPr>
                  <m:e>
                    <m:r>
                      <m:rPr>
                        <m:sty m:val="bi"/>
                      </m:rPr>
                      <w:rPr>
                        <w:rFonts w:ascii="Cambria Math" w:eastAsia="Times New Roman" w:hAnsi="Cambria Math" w:cs="Times New Roman"/>
                        <w:color w:val="000000"/>
                        <w:szCs w:val="24"/>
                      </w:rPr>
                      <m:t>abs(∆</m:t>
                    </m:r>
                    <m:sSub>
                      <m:sSubPr>
                        <m:ctrlPr>
                          <w:rPr>
                            <w:rFonts w:ascii="Cambria Math" w:eastAsia="Times New Roman" w:hAnsi="Cambria Math" w:cs="Times New Roman"/>
                            <w:b/>
                            <w:bCs/>
                            <w:i/>
                            <w:color w:val="000000"/>
                            <w:szCs w:val="24"/>
                          </w:rPr>
                        </m:ctrlPr>
                      </m:sSubPr>
                      <m:e>
                        <m:r>
                          <m:rPr>
                            <m:sty m:val="bi"/>
                          </m:rPr>
                          <w:rPr>
                            <w:rFonts w:ascii="Cambria Math" w:eastAsia="Times New Roman" w:hAnsi="Cambria Math" w:cs="Times New Roman"/>
                            <w:color w:val="000000"/>
                            <w:szCs w:val="24"/>
                          </w:rPr>
                          <m:t>C</m:t>
                        </m:r>
                      </m:e>
                      <m:sub>
                        <m:r>
                          <m:rPr>
                            <m:sty m:val="bi"/>
                          </m:rPr>
                          <w:rPr>
                            <w:rFonts w:ascii="Cambria Math" w:eastAsia="Times New Roman" w:hAnsi="Cambria Math" w:cs="Times New Roman"/>
                            <w:color w:val="000000"/>
                            <w:szCs w:val="24"/>
                          </w:rPr>
                          <m:t>i</m:t>
                        </m:r>
                      </m:sub>
                    </m:sSub>
                  </m:e>
                  <m:sup>
                    <m:r>
                      <m:rPr>
                        <m:sty m:val="bi"/>
                      </m:rPr>
                      <w:rPr>
                        <w:rFonts w:ascii="Cambria Math" w:eastAsia="Times New Roman" w:hAnsi="Cambria Math" w:cs="Times New Roman"/>
                        <w:color w:val="000000"/>
                        <w:szCs w:val="24"/>
                      </w:rPr>
                      <m:t>peak</m:t>
                    </m:r>
                  </m:sup>
                </m:sSup>
                <m:r>
                  <m:rPr>
                    <m:sty m:val="bi"/>
                  </m:rPr>
                  <w:rPr>
                    <w:rFonts w:ascii="Cambria Math" w:eastAsia="Times New Roman" w:hAnsi="Cambria Math" w:cs="Times New Roman"/>
                    <w:color w:val="000000"/>
                    <w:szCs w:val="24"/>
                  </w:rPr>
                  <m:t>)</m:t>
                </m:r>
                <m:r>
                  <w:rPr>
                    <w:rFonts w:ascii="Cambria Math" w:eastAsia="Times New Roman" w:hAnsi="Cambria Math" w:cs="Times New Roman"/>
                    <w:color w:val="000000"/>
                    <w:szCs w:val="24"/>
                  </w:rPr>
                  <m:t>&gt;</m:t>
                </m:r>
                <m:sSup>
                  <m:sSupPr>
                    <m:ctrlPr>
                      <w:rPr>
                        <w:rFonts w:ascii="Cambria Math" w:eastAsia="Times New Roman" w:hAnsi="Cambria Math" w:cs="Times New Roman"/>
                        <w:b/>
                        <w:i/>
                        <w:color w:val="000000"/>
                        <w:szCs w:val="24"/>
                      </w:rPr>
                    </m:ctrlPr>
                  </m:sSupPr>
                  <m:e>
                    <m:r>
                      <m:rPr>
                        <m:sty m:val="bi"/>
                      </m:rPr>
                      <w:rPr>
                        <w:rFonts w:ascii="Cambria Math" w:eastAsia="Times New Roman" w:hAnsi="Cambria Math" w:cs="Times New Roman"/>
                        <w:color w:val="000000"/>
                        <w:szCs w:val="24"/>
                      </w:rPr>
                      <m:t>abs(∆</m:t>
                    </m:r>
                    <m:sSub>
                      <m:sSubPr>
                        <m:ctrlPr>
                          <w:rPr>
                            <w:rFonts w:ascii="Cambria Math" w:eastAsia="Times New Roman" w:hAnsi="Cambria Math" w:cs="Times New Roman"/>
                            <w:b/>
                            <w:bCs/>
                            <w:i/>
                            <w:color w:val="000000"/>
                            <w:szCs w:val="24"/>
                          </w:rPr>
                        </m:ctrlPr>
                      </m:sSubPr>
                      <m:e>
                        <m:r>
                          <m:rPr>
                            <m:sty m:val="bi"/>
                          </m:rPr>
                          <w:rPr>
                            <w:rFonts w:ascii="Cambria Math" w:eastAsia="Times New Roman" w:hAnsi="Cambria Math" w:cs="Times New Roman"/>
                            <w:color w:val="000000"/>
                            <w:szCs w:val="24"/>
                          </w:rPr>
                          <m:t>C</m:t>
                        </m:r>
                      </m:e>
                      <m:sub>
                        <m:r>
                          <m:rPr>
                            <m:sty m:val="bi"/>
                          </m:rPr>
                          <w:rPr>
                            <w:rFonts w:ascii="Cambria Math" w:eastAsia="Times New Roman" w:hAnsi="Cambria Math" w:cs="Times New Roman"/>
                            <w:color w:val="000000"/>
                            <w:szCs w:val="24"/>
                          </w:rPr>
                          <m:t>i</m:t>
                        </m:r>
                      </m:sub>
                    </m:sSub>
                  </m:e>
                  <m:sup>
                    <m:r>
                      <m:rPr>
                        <m:sty m:val="bi"/>
                      </m:rPr>
                      <w:rPr>
                        <w:rFonts w:ascii="Cambria Math" w:eastAsia="Times New Roman" w:hAnsi="Cambria Math" w:cs="Times New Roman"/>
                        <w:color w:val="000000"/>
                        <w:szCs w:val="24"/>
                      </w:rPr>
                      <m:t>off-peak</m:t>
                    </m:r>
                  </m:sup>
                </m:sSup>
                <m:r>
                  <m:rPr>
                    <m:sty m:val="bi"/>
                  </m:rPr>
                  <w:rPr>
                    <w:rFonts w:ascii="Cambria Math" w:eastAsia="Times New Roman" w:hAnsi="Cambria Math" w:cs="Times New Roman"/>
                    <w:color w:val="000000"/>
                    <w:szCs w:val="24"/>
                  </w:rPr>
                  <m:t>)</m:t>
                </m:r>
              </m:oMath>
            </m:oMathPara>
          </w:p>
        </w:tc>
        <w:tc>
          <w:tcPr>
            <w:tcW w:w="2126" w:type="dxa"/>
          </w:tcPr>
          <w:p w14:paraId="691E7966" w14:textId="77777777" w:rsidR="0041584B" w:rsidRPr="00E755CC" w:rsidRDefault="0041584B" w:rsidP="0041584B">
            <w:pPr>
              <w:spacing w:after="0" w:line="240" w:lineRule="auto"/>
              <w:ind w:left="-56"/>
              <w:jc w:val="center"/>
              <w:rPr>
                <w:rFonts w:eastAsia="Times New Roman" w:cs="Times New Roman"/>
                <w:szCs w:val="24"/>
              </w:rPr>
            </w:pPr>
            <w:r w:rsidRPr="00E755CC">
              <w:rPr>
                <w:rFonts w:eastAsia="Times New Roman" w:cs="Times New Roman"/>
                <w:szCs w:val="24"/>
              </w:rPr>
              <w:t>Maximum Demand (Peak)</w:t>
            </w:r>
          </w:p>
        </w:tc>
        <w:tc>
          <w:tcPr>
            <w:tcW w:w="1418" w:type="dxa"/>
          </w:tcPr>
          <w:p w14:paraId="51243497" w14:textId="77777777" w:rsidR="0041584B" w:rsidRPr="00E755CC" w:rsidRDefault="0041584B" w:rsidP="0041584B">
            <w:pPr>
              <w:spacing w:after="0" w:line="240" w:lineRule="auto"/>
              <w:ind w:left="-56"/>
              <w:jc w:val="center"/>
              <w:rPr>
                <w:rFonts w:eastAsia="Times New Roman" w:cs="Times New Roman"/>
                <w:szCs w:val="24"/>
              </w:rPr>
            </w:pPr>
            <m:oMathPara>
              <m:oMath>
                <m:sSup>
                  <m:sSupPr>
                    <m:ctrlPr>
                      <w:rPr>
                        <w:rFonts w:ascii="Cambria Math" w:eastAsia="Times New Roman" w:hAnsi="Cambria Math" w:cs="Times New Roman"/>
                        <w:b/>
                        <w:i/>
                        <w:color w:val="000000"/>
                        <w:szCs w:val="24"/>
                      </w:rPr>
                    </m:ctrlPr>
                  </m:sSupPr>
                  <m:e>
                    <m:r>
                      <m:rPr>
                        <m:sty m:val="bi"/>
                      </m:rPr>
                      <w:rPr>
                        <w:rFonts w:ascii="Cambria Math" w:eastAsia="Times New Roman" w:hAnsi="Cambria Math" w:cs="Times New Roman"/>
                        <w:color w:val="000000"/>
                        <w:szCs w:val="24"/>
                      </w:rPr>
                      <m:t>∆</m:t>
                    </m:r>
                    <m:sSub>
                      <m:sSubPr>
                        <m:ctrlPr>
                          <w:rPr>
                            <w:rFonts w:ascii="Cambria Math" w:eastAsia="Times New Roman" w:hAnsi="Cambria Math" w:cs="Times New Roman"/>
                            <w:b/>
                            <w:bCs/>
                            <w:i/>
                            <w:color w:val="000000"/>
                            <w:szCs w:val="24"/>
                          </w:rPr>
                        </m:ctrlPr>
                      </m:sSubPr>
                      <m:e>
                        <m:r>
                          <m:rPr>
                            <m:sty m:val="bi"/>
                          </m:rPr>
                          <w:rPr>
                            <w:rFonts w:ascii="Cambria Math" w:eastAsia="Times New Roman" w:hAnsi="Cambria Math" w:cs="Times New Roman"/>
                            <w:color w:val="000000"/>
                            <w:szCs w:val="24"/>
                          </w:rPr>
                          <m:t>C</m:t>
                        </m:r>
                      </m:e>
                      <m:sub>
                        <m:r>
                          <m:rPr>
                            <m:sty m:val="bi"/>
                          </m:rPr>
                          <w:rPr>
                            <w:rFonts w:ascii="Cambria Math" w:eastAsia="Times New Roman" w:hAnsi="Cambria Math" w:cs="Times New Roman"/>
                            <w:color w:val="000000"/>
                            <w:szCs w:val="24"/>
                          </w:rPr>
                          <m:t>i</m:t>
                        </m:r>
                      </m:sub>
                    </m:sSub>
                  </m:e>
                  <m:sup>
                    <m:r>
                      <m:rPr>
                        <m:sty m:val="bi"/>
                      </m:rPr>
                      <w:rPr>
                        <w:rFonts w:ascii="Cambria Math" w:eastAsia="Times New Roman" w:hAnsi="Cambria Math" w:cs="Times New Roman"/>
                        <w:color w:val="000000"/>
                        <w:szCs w:val="24"/>
                      </w:rPr>
                      <m:t>peak</m:t>
                    </m:r>
                  </m:sup>
                </m:sSup>
                <m:r>
                  <m:rPr>
                    <m:sty m:val="bi"/>
                  </m:rPr>
                  <w:rPr>
                    <w:rFonts w:ascii="Cambria Math" w:eastAsia="Times New Roman" w:hAnsi="Cambria Math" w:cs="Times New Roman"/>
                    <w:color w:val="000000"/>
                    <w:szCs w:val="24"/>
                  </w:rPr>
                  <m:t>&gt;</m:t>
                </m:r>
                <m:r>
                  <w:rPr>
                    <w:rFonts w:ascii="Cambria Math" w:eastAsia="Times New Roman" w:hAnsi="Cambria Math" w:cs="Times New Roman"/>
                    <w:color w:val="000000"/>
                    <w:szCs w:val="24"/>
                  </w:rPr>
                  <m:t>0</m:t>
                </m:r>
              </m:oMath>
            </m:oMathPara>
          </w:p>
        </w:tc>
        <w:tc>
          <w:tcPr>
            <w:tcW w:w="1701" w:type="dxa"/>
          </w:tcPr>
          <w:p w14:paraId="75026C54" w14:textId="77777777" w:rsidR="0041584B" w:rsidRPr="00E755CC" w:rsidRDefault="0041584B" w:rsidP="0041584B">
            <w:pPr>
              <w:spacing w:after="0" w:line="240" w:lineRule="auto"/>
              <w:ind w:left="-56"/>
              <w:jc w:val="center"/>
              <w:rPr>
                <w:rFonts w:eastAsia="Times New Roman" w:cs="Times New Roman"/>
                <w:szCs w:val="24"/>
              </w:rPr>
            </w:pPr>
            <w:r w:rsidRPr="00E755CC">
              <w:rPr>
                <w:rFonts w:eastAsia="Times New Roman" w:cs="Times New Roman"/>
                <w:szCs w:val="24"/>
              </w:rPr>
              <w:t>Accelerate</w:t>
            </w:r>
          </w:p>
        </w:tc>
        <w:tc>
          <w:tcPr>
            <w:tcW w:w="992" w:type="dxa"/>
          </w:tcPr>
          <w:p w14:paraId="7902CCCC" w14:textId="77777777" w:rsidR="0041584B" w:rsidRPr="00E755CC" w:rsidRDefault="0041584B" w:rsidP="0041584B">
            <w:pPr>
              <w:spacing w:after="0" w:line="240" w:lineRule="auto"/>
              <w:ind w:left="-56"/>
              <w:jc w:val="center"/>
              <w:rPr>
                <w:rFonts w:eastAsia="Times New Roman" w:cs="Times New Roman"/>
                <w:szCs w:val="24"/>
              </w:rPr>
            </w:pPr>
            <w:r w:rsidRPr="00E755CC">
              <w:rPr>
                <w:rFonts w:eastAsia="Times New Roman" w:cs="Times New Roman"/>
                <w:szCs w:val="24"/>
              </w:rPr>
              <w:t>Peak</w:t>
            </w:r>
          </w:p>
          <w:p w14:paraId="7B7798BB" w14:textId="77777777" w:rsidR="0041584B" w:rsidRPr="00E755CC" w:rsidRDefault="0041584B" w:rsidP="0041584B">
            <w:pPr>
              <w:spacing w:after="0" w:line="240" w:lineRule="auto"/>
              <w:ind w:left="-56"/>
              <w:jc w:val="center"/>
              <w:rPr>
                <w:rFonts w:eastAsia="Times New Roman" w:cs="Times New Roman"/>
                <w:szCs w:val="24"/>
              </w:rPr>
            </w:pPr>
            <w:r w:rsidRPr="00E755CC">
              <w:rPr>
                <w:rFonts w:eastAsia="Times New Roman" w:cs="Times New Roman"/>
                <w:szCs w:val="24"/>
              </w:rPr>
              <w:t>Credit</w:t>
            </w:r>
          </w:p>
        </w:tc>
        <w:tc>
          <w:tcPr>
            <w:tcW w:w="1417" w:type="dxa"/>
          </w:tcPr>
          <w:p w14:paraId="362B2A0E" w14:textId="77777777" w:rsidR="0041584B" w:rsidRPr="00E755CC" w:rsidRDefault="0041584B" w:rsidP="0041584B">
            <w:pPr>
              <w:spacing w:after="0" w:line="240" w:lineRule="auto"/>
              <w:ind w:left="-56"/>
              <w:jc w:val="center"/>
              <w:rPr>
                <w:rFonts w:eastAsia="Times New Roman" w:cs="Times New Roman"/>
                <w:szCs w:val="24"/>
              </w:rPr>
            </w:pPr>
            <w:r w:rsidRPr="00E755CC">
              <w:rPr>
                <w:rFonts w:eastAsia="Times New Roman" w:cs="Times New Roman"/>
                <w:szCs w:val="24"/>
              </w:rPr>
              <w:t>Positive</w:t>
            </w:r>
          </w:p>
        </w:tc>
      </w:tr>
      <w:tr w:rsidR="0041584B" w:rsidRPr="00E755CC" w14:paraId="3DACABAA" w14:textId="77777777" w:rsidTr="0041584B">
        <w:trPr>
          <w:jc w:val="center"/>
        </w:trPr>
        <w:tc>
          <w:tcPr>
            <w:tcW w:w="1264" w:type="dxa"/>
          </w:tcPr>
          <w:p w14:paraId="64113286" w14:textId="77777777" w:rsidR="0041584B" w:rsidRPr="00E755CC" w:rsidRDefault="0041584B" w:rsidP="0041584B">
            <w:pPr>
              <w:spacing w:after="0" w:line="240" w:lineRule="auto"/>
              <w:ind w:left="-56"/>
              <w:jc w:val="center"/>
              <w:rPr>
                <w:rFonts w:eastAsia="Times New Roman" w:cs="Times New Roman"/>
                <w:szCs w:val="24"/>
              </w:rPr>
            </w:pPr>
            <w:r w:rsidRPr="00E755CC">
              <w:rPr>
                <w:rFonts w:eastAsia="Times New Roman" w:cs="Times New Roman"/>
                <w:szCs w:val="24"/>
              </w:rPr>
              <w:t>Generation</w:t>
            </w:r>
          </w:p>
          <w:p w14:paraId="02CC3DD6" w14:textId="77777777" w:rsidR="0041584B" w:rsidRPr="00E755CC" w:rsidRDefault="0041584B" w:rsidP="0041584B">
            <w:pPr>
              <w:spacing w:after="0" w:line="240" w:lineRule="auto"/>
              <w:ind w:left="-56"/>
              <w:jc w:val="center"/>
              <w:rPr>
                <w:rFonts w:eastAsia="Times New Roman" w:cs="Times New Roman"/>
                <w:szCs w:val="24"/>
              </w:rPr>
            </w:pPr>
            <w:r w:rsidRPr="00E755CC">
              <w:rPr>
                <w:rFonts w:eastAsia="Times New Roman" w:cs="Times New Roman"/>
                <w:szCs w:val="24"/>
              </w:rPr>
              <w:t>Reduction</w:t>
            </w:r>
          </w:p>
        </w:tc>
        <w:tc>
          <w:tcPr>
            <w:tcW w:w="2410" w:type="dxa"/>
          </w:tcPr>
          <w:p w14:paraId="706CF795" w14:textId="77777777" w:rsidR="0041584B" w:rsidRPr="00E755CC" w:rsidRDefault="0041584B" w:rsidP="0041584B">
            <w:pPr>
              <w:spacing w:after="0" w:line="240" w:lineRule="auto"/>
              <w:ind w:left="-56"/>
              <w:jc w:val="center"/>
              <w:rPr>
                <w:rFonts w:eastAsia="Times New Roman" w:cs="Times New Roman"/>
                <w:szCs w:val="24"/>
              </w:rPr>
            </w:pPr>
            <m:oMathPara>
              <m:oMath>
                <m:sSup>
                  <m:sSupPr>
                    <m:ctrlPr>
                      <w:rPr>
                        <w:rFonts w:ascii="Cambria Math" w:eastAsia="Times New Roman" w:hAnsi="Cambria Math" w:cs="Times New Roman"/>
                        <w:b/>
                        <w:i/>
                        <w:color w:val="000000"/>
                        <w:szCs w:val="24"/>
                      </w:rPr>
                    </m:ctrlPr>
                  </m:sSupPr>
                  <m:e>
                    <m:r>
                      <m:rPr>
                        <m:sty m:val="bi"/>
                      </m:rPr>
                      <w:rPr>
                        <w:rFonts w:ascii="Cambria Math" w:eastAsia="Times New Roman" w:hAnsi="Cambria Math" w:cs="Times New Roman"/>
                        <w:color w:val="000000"/>
                        <w:szCs w:val="24"/>
                      </w:rPr>
                      <m:t>abs(∆</m:t>
                    </m:r>
                    <m:sSub>
                      <m:sSubPr>
                        <m:ctrlPr>
                          <w:rPr>
                            <w:rFonts w:ascii="Cambria Math" w:eastAsia="Times New Roman" w:hAnsi="Cambria Math" w:cs="Times New Roman"/>
                            <w:b/>
                            <w:bCs/>
                            <w:i/>
                            <w:color w:val="000000"/>
                            <w:szCs w:val="24"/>
                          </w:rPr>
                        </m:ctrlPr>
                      </m:sSubPr>
                      <m:e>
                        <m:r>
                          <m:rPr>
                            <m:sty m:val="bi"/>
                          </m:rPr>
                          <w:rPr>
                            <w:rFonts w:ascii="Cambria Math" w:eastAsia="Times New Roman" w:hAnsi="Cambria Math" w:cs="Times New Roman"/>
                            <w:color w:val="000000"/>
                            <w:szCs w:val="24"/>
                          </w:rPr>
                          <m:t>C</m:t>
                        </m:r>
                      </m:e>
                      <m:sub>
                        <m:r>
                          <m:rPr>
                            <m:sty m:val="bi"/>
                          </m:rPr>
                          <w:rPr>
                            <w:rFonts w:ascii="Cambria Math" w:eastAsia="Times New Roman" w:hAnsi="Cambria Math" w:cs="Times New Roman"/>
                            <w:color w:val="000000"/>
                            <w:szCs w:val="24"/>
                          </w:rPr>
                          <m:t>i</m:t>
                        </m:r>
                      </m:sub>
                    </m:sSub>
                  </m:e>
                  <m:sup>
                    <m:r>
                      <m:rPr>
                        <m:sty m:val="bi"/>
                      </m:rPr>
                      <w:rPr>
                        <w:rFonts w:ascii="Cambria Math" w:eastAsia="Times New Roman" w:hAnsi="Cambria Math" w:cs="Times New Roman"/>
                        <w:color w:val="000000"/>
                        <w:szCs w:val="24"/>
                      </w:rPr>
                      <m:t>peak</m:t>
                    </m:r>
                  </m:sup>
                </m:sSup>
                <m:r>
                  <m:rPr>
                    <m:sty m:val="bi"/>
                  </m:rPr>
                  <w:rPr>
                    <w:rFonts w:ascii="Cambria Math" w:eastAsia="Times New Roman" w:hAnsi="Cambria Math" w:cs="Times New Roman"/>
                    <w:color w:val="000000"/>
                    <w:szCs w:val="24"/>
                  </w:rPr>
                  <m:t>)</m:t>
                </m:r>
                <m:r>
                  <w:rPr>
                    <w:rFonts w:ascii="Cambria Math" w:eastAsia="Times New Roman" w:hAnsi="Cambria Math" w:cs="Times New Roman"/>
                    <w:color w:val="000000"/>
                    <w:szCs w:val="24"/>
                  </w:rPr>
                  <m:t>&gt;</m:t>
                </m:r>
                <m:sSup>
                  <m:sSupPr>
                    <m:ctrlPr>
                      <w:rPr>
                        <w:rFonts w:ascii="Cambria Math" w:eastAsia="Times New Roman" w:hAnsi="Cambria Math" w:cs="Times New Roman"/>
                        <w:b/>
                        <w:i/>
                        <w:color w:val="000000"/>
                        <w:szCs w:val="24"/>
                      </w:rPr>
                    </m:ctrlPr>
                  </m:sSupPr>
                  <m:e>
                    <m:r>
                      <m:rPr>
                        <m:sty m:val="bi"/>
                      </m:rPr>
                      <w:rPr>
                        <w:rFonts w:ascii="Cambria Math" w:eastAsia="Times New Roman" w:hAnsi="Cambria Math" w:cs="Times New Roman"/>
                        <w:color w:val="000000"/>
                        <w:szCs w:val="24"/>
                      </w:rPr>
                      <m:t>abs(∆</m:t>
                    </m:r>
                    <m:sSub>
                      <m:sSubPr>
                        <m:ctrlPr>
                          <w:rPr>
                            <w:rFonts w:ascii="Cambria Math" w:eastAsia="Times New Roman" w:hAnsi="Cambria Math" w:cs="Times New Roman"/>
                            <w:b/>
                            <w:bCs/>
                            <w:i/>
                            <w:color w:val="000000"/>
                            <w:szCs w:val="24"/>
                          </w:rPr>
                        </m:ctrlPr>
                      </m:sSubPr>
                      <m:e>
                        <m:r>
                          <m:rPr>
                            <m:sty m:val="bi"/>
                          </m:rPr>
                          <w:rPr>
                            <w:rFonts w:ascii="Cambria Math" w:eastAsia="Times New Roman" w:hAnsi="Cambria Math" w:cs="Times New Roman"/>
                            <w:color w:val="000000"/>
                            <w:szCs w:val="24"/>
                          </w:rPr>
                          <m:t>C</m:t>
                        </m:r>
                      </m:e>
                      <m:sub>
                        <m:r>
                          <m:rPr>
                            <m:sty m:val="bi"/>
                          </m:rPr>
                          <w:rPr>
                            <w:rFonts w:ascii="Cambria Math" w:eastAsia="Times New Roman" w:hAnsi="Cambria Math" w:cs="Times New Roman"/>
                            <w:color w:val="000000"/>
                            <w:szCs w:val="24"/>
                          </w:rPr>
                          <m:t>i</m:t>
                        </m:r>
                      </m:sub>
                    </m:sSub>
                  </m:e>
                  <m:sup>
                    <m:r>
                      <m:rPr>
                        <m:sty m:val="bi"/>
                      </m:rPr>
                      <w:rPr>
                        <w:rFonts w:ascii="Cambria Math" w:eastAsia="Times New Roman" w:hAnsi="Cambria Math" w:cs="Times New Roman"/>
                        <w:color w:val="000000"/>
                        <w:szCs w:val="24"/>
                      </w:rPr>
                      <m:t>off-peak</m:t>
                    </m:r>
                  </m:sup>
                </m:sSup>
                <m:r>
                  <m:rPr>
                    <m:sty m:val="bi"/>
                  </m:rPr>
                  <w:rPr>
                    <w:rFonts w:ascii="Cambria Math" w:eastAsia="Times New Roman" w:hAnsi="Cambria Math" w:cs="Times New Roman"/>
                    <w:color w:val="000000"/>
                    <w:szCs w:val="24"/>
                  </w:rPr>
                  <m:t>)</m:t>
                </m:r>
              </m:oMath>
            </m:oMathPara>
          </w:p>
        </w:tc>
        <w:tc>
          <w:tcPr>
            <w:tcW w:w="2126" w:type="dxa"/>
          </w:tcPr>
          <w:p w14:paraId="1F62FBDB" w14:textId="77777777" w:rsidR="0041584B" w:rsidRPr="00E755CC" w:rsidRDefault="0041584B" w:rsidP="0041584B">
            <w:pPr>
              <w:spacing w:after="0" w:line="240" w:lineRule="auto"/>
              <w:ind w:left="-56"/>
              <w:jc w:val="center"/>
              <w:rPr>
                <w:rFonts w:eastAsia="Times New Roman" w:cs="Times New Roman"/>
                <w:szCs w:val="24"/>
              </w:rPr>
            </w:pPr>
            <w:r w:rsidRPr="00E755CC">
              <w:rPr>
                <w:rFonts w:eastAsia="Times New Roman" w:cs="Times New Roman"/>
                <w:szCs w:val="24"/>
              </w:rPr>
              <w:t>Maximum Demand (Peak)</w:t>
            </w:r>
          </w:p>
        </w:tc>
        <w:tc>
          <w:tcPr>
            <w:tcW w:w="1418" w:type="dxa"/>
          </w:tcPr>
          <w:p w14:paraId="3364BA2E" w14:textId="77777777" w:rsidR="0041584B" w:rsidRPr="00E755CC" w:rsidRDefault="0041584B" w:rsidP="0041584B">
            <w:pPr>
              <w:spacing w:after="0" w:line="240" w:lineRule="auto"/>
              <w:ind w:left="-56"/>
              <w:jc w:val="center"/>
              <w:rPr>
                <w:rFonts w:eastAsia="Times New Roman" w:cs="Times New Roman"/>
                <w:szCs w:val="24"/>
              </w:rPr>
            </w:pPr>
            <m:oMathPara>
              <m:oMath>
                <m:sSup>
                  <m:sSupPr>
                    <m:ctrlPr>
                      <w:rPr>
                        <w:rFonts w:ascii="Cambria Math" w:eastAsia="Times New Roman" w:hAnsi="Cambria Math" w:cs="Times New Roman"/>
                        <w:b/>
                        <w:i/>
                        <w:color w:val="000000"/>
                        <w:szCs w:val="24"/>
                      </w:rPr>
                    </m:ctrlPr>
                  </m:sSupPr>
                  <m:e>
                    <m:r>
                      <m:rPr>
                        <m:sty m:val="bi"/>
                      </m:rPr>
                      <w:rPr>
                        <w:rFonts w:ascii="Cambria Math" w:eastAsia="Times New Roman" w:hAnsi="Cambria Math" w:cs="Times New Roman"/>
                        <w:color w:val="000000"/>
                        <w:szCs w:val="24"/>
                      </w:rPr>
                      <m:t>∆</m:t>
                    </m:r>
                    <m:sSub>
                      <m:sSubPr>
                        <m:ctrlPr>
                          <w:rPr>
                            <w:rFonts w:ascii="Cambria Math" w:eastAsia="Times New Roman" w:hAnsi="Cambria Math" w:cs="Times New Roman"/>
                            <w:b/>
                            <w:bCs/>
                            <w:i/>
                            <w:color w:val="000000"/>
                            <w:szCs w:val="24"/>
                          </w:rPr>
                        </m:ctrlPr>
                      </m:sSubPr>
                      <m:e>
                        <m:r>
                          <m:rPr>
                            <m:sty m:val="bi"/>
                          </m:rPr>
                          <w:rPr>
                            <w:rFonts w:ascii="Cambria Math" w:eastAsia="Times New Roman" w:hAnsi="Cambria Math" w:cs="Times New Roman"/>
                            <w:color w:val="000000"/>
                            <w:szCs w:val="24"/>
                          </w:rPr>
                          <m:t>C</m:t>
                        </m:r>
                      </m:e>
                      <m:sub>
                        <m:r>
                          <m:rPr>
                            <m:sty m:val="bi"/>
                          </m:rPr>
                          <w:rPr>
                            <w:rFonts w:ascii="Cambria Math" w:eastAsia="Times New Roman" w:hAnsi="Cambria Math" w:cs="Times New Roman"/>
                            <w:color w:val="000000"/>
                            <w:szCs w:val="24"/>
                          </w:rPr>
                          <m:t>i</m:t>
                        </m:r>
                      </m:sub>
                    </m:sSub>
                  </m:e>
                  <m:sup>
                    <m:r>
                      <m:rPr>
                        <m:sty m:val="bi"/>
                      </m:rPr>
                      <w:rPr>
                        <w:rFonts w:ascii="Cambria Math" w:eastAsia="Times New Roman" w:hAnsi="Cambria Math" w:cs="Times New Roman"/>
                        <w:color w:val="000000"/>
                        <w:szCs w:val="24"/>
                      </w:rPr>
                      <m:t>peak</m:t>
                    </m:r>
                  </m:sup>
                </m:sSup>
                <m:r>
                  <m:rPr>
                    <m:sty m:val="bi"/>
                  </m:rPr>
                  <w:rPr>
                    <w:rFonts w:ascii="Cambria Math" w:eastAsia="Times New Roman" w:hAnsi="Cambria Math" w:cs="Times New Roman"/>
                    <w:color w:val="000000"/>
                    <w:szCs w:val="24"/>
                  </w:rPr>
                  <m:t>&lt;</m:t>
                </m:r>
                <m:r>
                  <w:rPr>
                    <w:rFonts w:ascii="Cambria Math" w:eastAsia="Times New Roman" w:hAnsi="Cambria Math" w:cs="Times New Roman"/>
                    <w:color w:val="000000"/>
                    <w:szCs w:val="24"/>
                  </w:rPr>
                  <m:t>0</m:t>
                </m:r>
              </m:oMath>
            </m:oMathPara>
          </w:p>
        </w:tc>
        <w:tc>
          <w:tcPr>
            <w:tcW w:w="1701" w:type="dxa"/>
          </w:tcPr>
          <w:p w14:paraId="3A474456" w14:textId="77777777" w:rsidR="0041584B" w:rsidRPr="00E755CC" w:rsidRDefault="0041584B" w:rsidP="0041584B">
            <w:pPr>
              <w:spacing w:after="0" w:line="240" w:lineRule="auto"/>
              <w:ind w:left="-56"/>
              <w:jc w:val="center"/>
              <w:rPr>
                <w:rFonts w:eastAsia="Times New Roman" w:cs="Times New Roman"/>
                <w:szCs w:val="24"/>
              </w:rPr>
            </w:pPr>
            <w:r w:rsidRPr="00E755CC">
              <w:rPr>
                <w:rFonts w:eastAsia="Times New Roman" w:cs="Times New Roman"/>
                <w:szCs w:val="24"/>
              </w:rPr>
              <w:t>Delay</w:t>
            </w:r>
          </w:p>
        </w:tc>
        <w:tc>
          <w:tcPr>
            <w:tcW w:w="992" w:type="dxa"/>
          </w:tcPr>
          <w:p w14:paraId="5B1577F9" w14:textId="77777777" w:rsidR="0041584B" w:rsidRPr="00E755CC" w:rsidRDefault="0041584B" w:rsidP="0041584B">
            <w:pPr>
              <w:spacing w:after="0" w:line="240" w:lineRule="auto"/>
              <w:ind w:left="-56"/>
              <w:jc w:val="center"/>
              <w:rPr>
                <w:rFonts w:eastAsia="Times New Roman" w:cs="Times New Roman"/>
                <w:szCs w:val="24"/>
              </w:rPr>
            </w:pPr>
            <w:r w:rsidRPr="00E755CC">
              <w:rPr>
                <w:rFonts w:eastAsia="Times New Roman" w:cs="Times New Roman"/>
                <w:szCs w:val="24"/>
              </w:rPr>
              <w:t>Peak</w:t>
            </w:r>
          </w:p>
          <w:p w14:paraId="61A87867" w14:textId="77777777" w:rsidR="0041584B" w:rsidRPr="00E755CC" w:rsidRDefault="0041584B" w:rsidP="0041584B">
            <w:pPr>
              <w:spacing w:after="0" w:line="240" w:lineRule="auto"/>
              <w:ind w:left="-56"/>
              <w:jc w:val="center"/>
              <w:rPr>
                <w:rFonts w:eastAsia="Times New Roman" w:cs="Times New Roman"/>
                <w:szCs w:val="24"/>
              </w:rPr>
            </w:pPr>
            <w:r w:rsidRPr="00E755CC">
              <w:rPr>
                <w:rFonts w:eastAsia="Times New Roman" w:cs="Times New Roman"/>
                <w:szCs w:val="24"/>
              </w:rPr>
              <w:t>Charge</w:t>
            </w:r>
          </w:p>
        </w:tc>
        <w:tc>
          <w:tcPr>
            <w:tcW w:w="1417" w:type="dxa"/>
          </w:tcPr>
          <w:p w14:paraId="171FE54E" w14:textId="77777777" w:rsidR="0041584B" w:rsidRPr="00E755CC" w:rsidRDefault="0041584B" w:rsidP="0041584B">
            <w:pPr>
              <w:spacing w:after="0" w:line="240" w:lineRule="auto"/>
              <w:ind w:left="-56"/>
              <w:jc w:val="center"/>
              <w:rPr>
                <w:rFonts w:eastAsia="Times New Roman" w:cs="Times New Roman"/>
                <w:szCs w:val="24"/>
              </w:rPr>
            </w:pPr>
            <w:r w:rsidRPr="00E755CC">
              <w:rPr>
                <w:rFonts w:eastAsia="Times New Roman" w:cs="Times New Roman"/>
                <w:szCs w:val="24"/>
              </w:rPr>
              <w:t>Negative</w:t>
            </w:r>
          </w:p>
        </w:tc>
      </w:tr>
      <w:tr w:rsidR="0041584B" w:rsidRPr="00E755CC" w14:paraId="7BE5ACEB" w14:textId="77777777" w:rsidTr="0041584B">
        <w:trPr>
          <w:jc w:val="center"/>
        </w:trPr>
        <w:tc>
          <w:tcPr>
            <w:tcW w:w="1264" w:type="dxa"/>
          </w:tcPr>
          <w:p w14:paraId="244279CB" w14:textId="77777777" w:rsidR="0041584B" w:rsidRPr="00E755CC" w:rsidRDefault="0041584B" w:rsidP="0041584B">
            <w:pPr>
              <w:spacing w:after="0" w:line="240" w:lineRule="auto"/>
              <w:ind w:left="-56"/>
              <w:jc w:val="center"/>
              <w:rPr>
                <w:rFonts w:eastAsia="Times New Roman" w:cs="Times New Roman"/>
                <w:szCs w:val="24"/>
              </w:rPr>
            </w:pPr>
            <w:r w:rsidRPr="00E755CC">
              <w:rPr>
                <w:rFonts w:eastAsia="Times New Roman" w:cs="Times New Roman"/>
                <w:szCs w:val="24"/>
              </w:rPr>
              <w:t>Generation</w:t>
            </w:r>
          </w:p>
          <w:p w14:paraId="25471CD7" w14:textId="77777777" w:rsidR="0041584B" w:rsidRPr="00E755CC" w:rsidRDefault="0041584B" w:rsidP="0041584B">
            <w:pPr>
              <w:spacing w:after="0" w:line="240" w:lineRule="auto"/>
              <w:ind w:left="-56"/>
              <w:jc w:val="center"/>
              <w:rPr>
                <w:rFonts w:eastAsia="Times New Roman" w:cs="Times New Roman"/>
                <w:szCs w:val="24"/>
              </w:rPr>
            </w:pPr>
            <w:r w:rsidRPr="00E755CC">
              <w:rPr>
                <w:rFonts w:eastAsia="Times New Roman" w:cs="Times New Roman"/>
                <w:szCs w:val="24"/>
              </w:rPr>
              <w:t>Increase</w:t>
            </w:r>
          </w:p>
        </w:tc>
        <w:tc>
          <w:tcPr>
            <w:tcW w:w="2410" w:type="dxa"/>
          </w:tcPr>
          <w:p w14:paraId="342A3182" w14:textId="77777777" w:rsidR="0041584B" w:rsidRPr="00E755CC" w:rsidRDefault="0041584B" w:rsidP="0041584B">
            <w:pPr>
              <w:spacing w:after="0" w:line="240" w:lineRule="auto"/>
              <w:ind w:left="-56"/>
              <w:jc w:val="center"/>
              <w:rPr>
                <w:rFonts w:eastAsia="Times New Roman" w:cs="Times New Roman"/>
                <w:szCs w:val="24"/>
              </w:rPr>
            </w:pPr>
            <m:oMathPara>
              <m:oMath>
                <m:sSup>
                  <m:sSupPr>
                    <m:ctrlPr>
                      <w:rPr>
                        <w:rFonts w:ascii="Cambria Math" w:eastAsia="Times New Roman" w:hAnsi="Cambria Math" w:cs="Times New Roman"/>
                        <w:b/>
                        <w:i/>
                        <w:color w:val="000000"/>
                        <w:szCs w:val="24"/>
                      </w:rPr>
                    </m:ctrlPr>
                  </m:sSupPr>
                  <m:e>
                    <m:r>
                      <m:rPr>
                        <m:sty m:val="bi"/>
                      </m:rPr>
                      <w:rPr>
                        <w:rFonts w:ascii="Cambria Math" w:eastAsia="Times New Roman" w:hAnsi="Cambria Math" w:cs="Times New Roman"/>
                        <w:color w:val="000000"/>
                        <w:szCs w:val="24"/>
                      </w:rPr>
                      <m:t>abs(∆</m:t>
                    </m:r>
                    <m:sSub>
                      <m:sSubPr>
                        <m:ctrlPr>
                          <w:rPr>
                            <w:rFonts w:ascii="Cambria Math" w:eastAsia="Times New Roman" w:hAnsi="Cambria Math" w:cs="Times New Roman"/>
                            <w:b/>
                            <w:bCs/>
                            <w:i/>
                            <w:color w:val="000000"/>
                            <w:szCs w:val="24"/>
                          </w:rPr>
                        </m:ctrlPr>
                      </m:sSubPr>
                      <m:e>
                        <m:r>
                          <m:rPr>
                            <m:sty m:val="bi"/>
                          </m:rPr>
                          <w:rPr>
                            <w:rFonts w:ascii="Cambria Math" w:eastAsia="Times New Roman" w:hAnsi="Cambria Math" w:cs="Times New Roman"/>
                            <w:color w:val="000000"/>
                            <w:szCs w:val="24"/>
                          </w:rPr>
                          <m:t>C</m:t>
                        </m:r>
                      </m:e>
                      <m:sub>
                        <m:r>
                          <m:rPr>
                            <m:sty m:val="bi"/>
                          </m:rPr>
                          <w:rPr>
                            <w:rFonts w:ascii="Cambria Math" w:eastAsia="Times New Roman" w:hAnsi="Cambria Math" w:cs="Times New Roman"/>
                            <w:color w:val="000000"/>
                            <w:szCs w:val="24"/>
                          </w:rPr>
                          <m:t>i</m:t>
                        </m:r>
                      </m:sub>
                    </m:sSub>
                  </m:e>
                  <m:sup>
                    <m:r>
                      <m:rPr>
                        <m:sty m:val="bi"/>
                      </m:rPr>
                      <w:rPr>
                        <w:rFonts w:ascii="Cambria Math" w:eastAsia="Times New Roman" w:hAnsi="Cambria Math" w:cs="Times New Roman"/>
                        <w:color w:val="000000"/>
                        <w:szCs w:val="24"/>
                      </w:rPr>
                      <m:t>peak</m:t>
                    </m:r>
                  </m:sup>
                </m:sSup>
                <m:r>
                  <m:rPr>
                    <m:sty m:val="bi"/>
                  </m:rPr>
                  <w:rPr>
                    <w:rFonts w:ascii="Cambria Math" w:eastAsia="Times New Roman" w:hAnsi="Cambria Math" w:cs="Times New Roman"/>
                    <w:color w:val="000000"/>
                    <w:szCs w:val="24"/>
                  </w:rPr>
                  <m:t>)</m:t>
                </m:r>
                <m:r>
                  <w:rPr>
                    <w:rFonts w:ascii="Cambria Math" w:eastAsia="Times New Roman" w:hAnsi="Cambria Math" w:cs="Times New Roman"/>
                    <w:color w:val="000000"/>
                    <w:szCs w:val="24"/>
                  </w:rPr>
                  <m:t>&lt;</m:t>
                </m:r>
                <m:sSup>
                  <m:sSupPr>
                    <m:ctrlPr>
                      <w:rPr>
                        <w:rFonts w:ascii="Cambria Math" w:eastAsia="Times New Roman" w:hAnsi="Cambria Math" w:cs="Times New Roman"/>
                        <w:b/>
                        <w:i/>
                        <w:color w:val="000000"/>
                        <w:szCs w:val="24"/>
                      </w:rPr>
                    </m:ctrlPr>
                  </m:sSupPr>
                  <m:e>
                    <m:r>
                      <m:rPr>
                        <m:sty m:val="bi"/>
                      </m:rPr>
                      <w:rPr>
                        <w:rFonts w:ascii="Cambria Math" w:eastAsia="Times New Roman" w:hAnsi="Cambria Math" w:cs="Times New Roman"/>
                        <w:color w:val="000000"/>
                        <w:szCs w:val="24"/>
                      </w:rPr>
                      <m:t>abs(∆</m:t>
                    </m:r>
                    <m:sSub>
                      <m:sSubPr>
                        <m:ctrlPr>
                          <w:rPr>
                            <w:rFonts w:ascii="Cambria Math" w:eastAsia="Times New Roman" w:hAnsi="Cambria Math" w:cs="Times New Roman"/>
                            <w:b/>
                            <w:bCs/>
                            <w:i/>
                            <w:color w:val="000000"/>
                            <w:szCs w:val="24"/>
                          </w:rPr>
                        </m:ctrlPr>
                      </m:sSubPr>
                      <m:e>
                        <m:r>
                          <m:rPr>
                            <m:sty m:val="bi"/>
                          </m:rPr>
                          <w:rPr>
                            <w:rFonts w:ascii="Cambria Math" w:eastAsia="Times New Roman" w:hAnsi="Cambria Math" w:cs="Times New Roman"/>
                            <w:color w:val="000000"/>
                            <w:szCs w:val="24"/>
                          </w:rPr>
                          <m:t>C</m:t>
                        </m:r>
                      </m:e>
                      <m:sub>
                        <m:r>
                          <m:rPr>
                            <m:sty m:val="bi"/>
                          </m:rPr>
                          <w:rPr>
                            <w:rFonts w:ascii="Cambria Math" w:eastAsia="Times New Roman" w:hAnsi="Cambria Math" w:cs="Times New Roman"/>
                            <w:color w:val="000000"/>
                            <w:szCs w:val="24"/>
                          </w:rPr>
                          <m:t>i</m:t>
                        </m:r>
                      </m:sub>
                    </m:sSub>
                  </m:e>
                  <m:sup>
                    <m:r>
                      <m:rPr>
                        <m:sty m:val="bi"/>
                      </m:rPr>
                      <w:rPr>
                        <w:rFonts w:ascii="Cambria Math" w:eastAsia="Times New Roman" w:hAnsi="Cambria Math" w:cs="Times New Roman"/>
                        <w:color w:val="000000"/>
                        <w:szCs w:val="24"/>
                      </w:rPr>
                      <m:t>off-peak</m:t>
                    </m:r>
                  </m:sup>
                </m:sSup>
                <m:r>
                  <m:rPr>
                    <m:sty m:val="bi"/>
                  </m:rPr>
                  <w:rPr>
                    <w:rFonts w:ascii="Cambria Math" w:eastAsia="Times New Roman" w:hAnsi="Cambria Math" w:cs="Times New Roman"/>
                    <w:color w:val="000000"/>
                    <w:szCs w:val="24"/>
                  </w:rPr>
                  <m:t>)</m:t>
                </m:r>
              </m:oMath>
            </m:oMathPara>
          </w:p>
        </w:tc>
        <w:tc>
          <w:tcPr>
            <w:tcW w:w="2126" w:type="dxa"/>
          </w:tcPr>
          <w:p w14:paraId="51BA140E" w14:textId="77777777" w:rsidR="0041584B" w:rsidRPr="00E755CC" w:rsidRDefault="0041584B" w:rsidP="0041584B">
            <w:pPr>
              <w:spacing w:after="0" w:line="240" w:lineRule="auto"/>
              <w:ind w:left="-56"/>
              <w:jc w:val="center"/>
              <w:rPr>
                <w:rFonts w:eastAsia="Times New Roman" w:cs="Times New Roman"/>
                <w:szCs w:val="24"/>
              </w:rPr>
            </w:pPr>
            <w:r w:rsidRPr="00E755CC">
              <w:rPr>
                <w:rFonts w:eastAsia="Times New Roman" w:cs="Times New Roman"/>
                <w:szCs w:val="24"/>
              </w:rPr>
              <w:t>Minimum</w:t>
            </w:r>
          </w:p>
          <w:p w14:paraId="6AA03007" w14:textId="77777777" w:rsidR="0041584B" w:rsidRPr="00E755CC" w:rsidRDefault="0041584B" w:rsidP="0041584B">
            <w:pPr>
              <w:spacing w:after="0" w:line="240" w:lineRule="auto"/>
              <w:ind w:left="-56"/>
              <w:jc w:val="center"/>
              <w:rPr>
                <w:rFonts w:eastAsia="Times New Roman" w:cs="Times New Roman"/>
                <w:szCs w:val="24"/>
              </w:rPr>
            </w:pPr>
            <w:r w:rsidRPr="00E755CC">
              <w:rPr>
                <w:rFonts w:eastAsia="Times New Roman" w:cs="Times New Roman"/>
                <w:szCs w:val="24"/>
              </w:rPr>
              <w:t xml:space="preserve">Demand </w:t>
            </w:r>
          </w:p>
          <w:p w14:paraId="1E5F7FAB" w14:textId="77777777" w:rsidR="0041584B" w:rsidRPr="00E755CC" w:rsidRDefault="0041584B" w:rsidP="0041584B">
            <w:pPr>
              <w:spacing w:after="0" w:line="240" w:lineRule="auto"/>
              <w:ind w:left="-56"/>
              <w:jc w:val="center"/>
              <w:rPr>
                <w:rFonts w:eastAsia="Times New Roman" w:cs="Times New Roman"/>
                <w:szCs w:val="24"/>
              </w:rPr>
            </w:pPr>
            <w:r w:rsidRPr="00E755CC">
              <w:rPr>
                <w:rFonts w:eastAsia="Times New Roman" w:cs="Times New Roman"/>
                <w:szCs w:val="24"/>
              </w:rPr>
              <w:t>(Off-Peak)</w:t>
            </w:r>
          </w:p>
        </w:tc>
        <w:tc>
          <w:tcPr>
            <w:tcW w:w="1418" w:type="dxa"/>
          </w:tcPr>
          <w:p w14:paraId="50B19804" w14:textId="77777777" w:rsidR="0041584B" w:rsidRPr="00E755CC" w:rsidRDefault="0041584B" w:rsidP="0041584B">
            <w:pPr>
              <w:spacing w:after="0" w:line="240" w:lineRule="auto"/>
              <w:ind w:left="-56"/>
              <w:jc w:val="center"/>
              <w:rPr>
                <w:rFonts w:eastAsia="Times New Roman" w:cs="Times New Roman"/>
                <w:szCs w:val="24"/>
              </w:rPr>
            </w:pPr>
            <m:oMathPara>
              <m:oMath>
                <m:sSup>
                  <m:sSupPr>
                    <m:ctrlPr>
                      <w:rPr>
                        <w:rFonts w:ascii="Cambria Math" w:eastAsia="Times New Roman" w:hAnsi="Cambria Math" w:cs="Times New Roman"/>
                        <w:b/>
                        <w:i/>
                        <w:color w:val="000000"/>
                        <w:szCs w:val="24"/>
                      </w:rPr>
                    </m:ctrlPr>
                  </m:sSupPr>
                  <m:e>
                    <m:r>
                      <m:rPr>
                        <m:sty m:val="bi"/>
                      </m:rPr>
                      <w:rPr>
                        <w:rFonts w:ascii="Cambria Math" w:eastAsia="Times New Roman" w:hAnsi="Cambria Math" w:cs="Times New Roman"/>
                        <w:color w:val="000000"/>
                        <w:szCs w:val="24"/>
                      </w:rPr>
                      <m:t>∆</m:t>
                    </m:r>
                    <m:sSub>
                      <m:sSubPr>
                        <m:ctrlPr>
                          <w:rPr>
                            <w:rFonts w:ascii="Cambria Math" w:eastAsia="Times New Roman" w:hAnsi="Cambria Math" w:cs="Times New Roman"/>
                            <w:b/>
                            <w:bCs/>
                            <w:i/>
                            <w:color w:val="000000"/>
                            <w:szCs w:val="24"/>
                          </w:rPr>
                        </m:ctrlPr>
                      </m:sSubPr>
                      <m:e>
                        <m:r>
                          <m:rPr>
                            <m:sty m:val="bi"/>
                          </m:rPr>
                          <w:rPr>
                            <w:rFonts w:ascii="Cambria Math" w:eastAsia="Times New Roman" w:hAnsi="Cambria Math" w:cs="Times New Roman"/>
                            <w:color w:val="000000"/>
                            <w:szCs w:val="24"/>
                          </w:rPr>
                          <m:t>C</m:t>
                        </m:r>
                      </m:e>
                      <m:sub>
                        <m:r>
                          <m:rPr>
                            <m:sty m:val="bi"/>
                          </m:rPr>
                          <w:rPr>
                            <w:rFonts w:ascii="Cambria Math" w:eastAsia="Times New Roman" w:hAnsi="Cambria Math" w:cs="Times New Roman"/>
                            <w:color w:val="000000"/>
                            <w:szCs w:val="24"/>
                          </w:rPr>
                          <m:t>i</m:t>
                        </m:r>
                      </m:sub>
                    </m:sSub>
                  </m:e>
                  <m:sup>
                    <m:r>
                      <m:rPr>
                        <m:sty m:val="bi"/>
                      </m:rPr>
                      <w:rPr>
                        <w:rFonts w:ascii="Cambria Math" w:eastAsia="Times New Roman" w:hAnsi="Cambria Math" w:cs="Times New Roman"/>
                        <w:color w:val="000000"/>
                        <w:szCs w:val="24"/>
                      </w:rPr>
                      <m:t>off-peak</m:t>
                    </m:r>
                  </m:sup>
                </m:sSup>
                <m:r>
                  <m:rPr>
                    <m:sty m:val="bi"/>
                  </m:rPr>
                  <w:rPr>
                    <w:rFonts w:ascii="Cambria Math" w:eastAsia="Times New Roman" w:hAnsi="Cambria Math" w:cs="Times New Roman"/>
                    <w:color w:val="000000"/>
                    <w:szCs w:val="24"/>
                  </w:rPr>
                  <m:t>&gt;</m:t>
                </m:r>
                <m:r>
                  <w:rPr>
                    <w:rFonts w:ascii="Cambria Math" w:eastAsia="Times New Roman" w:hAnsi="Cambria Math" w:cs="Times New Roman"/>
                    <w:color w:val="000000"/>
                    <w:szCs w:val="24"/>
                  </w:rPr>
                  <m:t>0</m:t>
                </m:r>
              </m:oMath>
            </m:oMathPara>
          </w:p>
        </w:tc>
        <w:tc>
          <w:tcPr>
            <w:tcW w:w="1701" w:type="dxa"/>
          </w:tcPr>
          <w:p w14:paraId="4821A393" w14:textId="77777777" w:rsidR="0041584B" w:rsidRPr="00E755CC" w:rsidRDefault="0041584B" w:rsidP="0041584B">
            <w:pPr>
              <w:spacing w:after="0" w:line="240" w:lineRule="auto"/>
              <w:ind w:left="-56"/>
              <w:jc w:val="center"/>
              <w:rPr>
                <w:rFonts w:eastAsia="Times New Roman" w:cs="Times New Roman"/>
                <w:szCs w:val="24"/>
              </w:rPr>
            </w:pPr>
            <w:r w:rsidRPr="00E755CC">
              <w:rPr>
                <w:rFonts w:eastAsia="Times New Roman" w:cs="Times New Roman"/>
                <w:szCs w:val="24"/>
              </w:rPr>
              <w:t>Accelerate</w:t>
            </w:r>
          </w:p>
        </w:tc>
        <w:tc>
          <w:tcPr>
            <w:tcW w:w="992" w:type="dxa"/>
          </w:tcPr>
          <w:p w14:paraId="4D8D1B3D" w14:textId="77777777" w:rsidR="0041584B" w:rsidRPr="00E755CC" w:rsidRDefault="0041584B" w:rsidP="0041584B">
            <w:pPr>
              <w:spacing w:after="0" w:line="240" w:lineRule="auto"/>
              <w:ind w:left="-56"/>
              <w:jc w:val="center"/>
              <w:rPr>
                <w:rFonts w:eastAsia="Times New Roman" w:cs="Times New Roman"/>
                <w:szCs w:val="24"/>
              </w:rPr>
            </w:pPr>
            <w:r w:rsidRPr="00E755CC">
              <w:rPr>
                <w:rFonts w:eastAsia="Times New Roman" w:cs="Times New Roman"/>
                <w:szCs w:val="24"/>
              </w:rPr>
              <w:t>Off-Peak</w:t>
            </w:r>
          </w:p>
          <w:p w14:paraId="395ACF06" w14:textId="77777777" w:rsidR="0041584B" w:rsidRPr="00E755CC" w:rsidRDefault="0041584B" w:rsidP="0041584B">
            <w:pPr>
              <w:spacing w:after="0" w:line="240" w:lineRule="auto"/>
              <w:ind w:left="-56"/>
              <w:jc w:val="center"/>
              <w:rPr>
                <w:rFonts w:eastAsia="Times New Roman" w:cs="Times New Roman"/>
                <w:szCs w:val="24"/>
              </w:rPr>
            </w:pPr>
            <w:r w:rsidRPr="00E755CC">
              <w:rPr>
                <w:rFonts w:eastAsia="Times New Roman" w:cs="Times New Roman"/>
                <w:szCs w:val="24"/>
              </w:rPr>
              <w:t>Charge</w:t>
            </w:r>
          </w:p>
        </w:tc>
        <w:tc>
          <w:tcPr>
            <w:tcW w:w="1417" w:type="dxa"/>
          </w:tcPr>
          <w:p w14:paraId="6BC4E72D" w14:textId="77777777" w:rsidR="0041584B" w:rsidRPr="00E755CC" w:rsidRDefault="0041584B" w:rsidP="0041584B">
            <w:pPr>
              <w:spacing w:after="0" w:line="240" w:lineRule="auto"/>
              <w:ind w:left="-56"/>
              <w:jc w:val="center"/>
              <w:rPr>
                <w:rFonts w:eastAsia="Times New Roman" w:cs="Times New Roman"/>
                <w:szCs w:val="24"/>
              </w:rPr>
            </w:pPr>
            <w:r w:rsidRPr="00E755CC">
              <w:rPr>
                <w:rFonts w:eastAsia="Times New Roman" w:cs="Times New Roman"/>
                <w:szCs w:val="24"/>
              </w:rPr>
              <w:t>Positive</w:t>
            </w:r>
          </w:p>
        </w:tc>
      </w:tr>
      <w:tr w:rsidR="0041584B" w:rsidRPr="00E755CC" w14:paraId="7630EE07" w14:textId="77777777" w:rsidTr="0041584B">
        <w:trPr>
          <w:jc w:val="center"/>
        </w:trPr>
        <w:tc>
          <w:tcPr>
            <w:tcW w:w="1264" w:type="dxa"/>
          </w:tcPr>
          <w:p w14:paraId="3527B213" w14:textId="77777777" w:rsidR="0041584B" w:rsidRPr="00E755CC" w:rsidRDefault="0041584B" w:rsidP="0041584B">
            <w:pPr>
              <w:spacing w:after="0" w:line="240" w:lineRule="auto"/>
              <w:ind w:left="-56"/>
              <w:jc w:val="center"/>
              <w:rPr>
                <w:rFonts w:eastAsia="Times New Roman" w:cs="Times New Roman"/>
                <w:szCs w:val="24"/>
              </w:rPr>
            </w:pPr>
            <w:r w:rsidRPr="00E755CC">
              <w:rPr>
                <w:rFonts w:eastAsia="Times New Roman" w:cs="Times New Roman"/>
                <w:szCs w:val="24"/>
              </w:rPr>
              <w:t>Generation</w:t>
            </w:r>
          </w:p>
          <w:p w14:paraId="4EE762BC" w14:textId="77777777" w:rsidR="0041584B" w:rsidRPr="00E755CC" w:rsidRDefault="0041584B" w:rsidP="0041584B">
            <w:pPr>
              <w:spacing w:after="0" w:line="240" w:lineRule="auto"/>
              <w:ind w:left="-56"/>
              <w:jc w:val="center"/>
              <w:rPr>
                <w:rFonts w:eastAsia="Times New Roman" w:cs="Times New Roman"/>
                <w:szCs w:val="24"/>
              </w:rPr>
            </w:pPr>
            <w:r w:rsidRPr="00E755CC">
              <w:rPr>
                <w:rFonts w:eastAsia="Times New Roman" w:cs="Times New Roman"/>
                <w:szCs w:val="24"/>
              </w:rPr>
              <w:t>Increase</w:t>
            </w:r>
          </w:p>
        </w:tc>
        <w:tc>
          <w:tcPr>
            <w:tcW w:w="2410" w:type="dxa"/>
          </w:tcPr>
          <w:p w14:paraId="1DC3AC5A" w14:textId="77777777" w:rsidR="0041584B" w:rsidRPr="00E755CC" w:rsidRDefault="0041584B" w:rsidP="0041584B">
            <w:pPr>
              <w:spacing w:after="0" w:line="240" w:lineRule="auto"/>
              <w:ind w:left="-56"/>
              <w:jc w:val="center"/>
              <w:rPr>
                <w:rFonts w:eastAsia="Times New Roman" w:cs="Times New Roman"/>
                <w:szCs w:val="24"/>
              </w:rPr>
            </w:pPr>
            <m:oMathPara>
              <m:oMath>
                <m:sSup>
                  <m:sSupPr>
                    <m:ctrlPr>
                      <w:rPr>
                        <w:rFonts w:ascii="Cambria Math" w:eastAsia="Times New Roman" w:hAnsi="Cambria Math" w:cs="Times New Roman"/>
                        <w:b/>
                        <w:i/>
                        <w:color w:val="000000"/>
                        <w:szCs w:val="24"/>
                      </w:rPr>
                    </m:ctrlPr>
                  </m:sSupPr>
                  <m:e>
                    <m:r>
                      <m:rPr>
                        <m:sty m:val="bi"/>
                      </m:rPr>
                      <w:rPr>
                        <w:rFonts w:ascii="Cambria Math" w:eastAsia="Times New Roman" w:hAnsi="Cambria Math" w:cs="Times New Roman"/>
                        <w:color w:val="000000"/>
                        <w:szCs w:val="24"/>
                      </w:rPr>
                      <m:t>abs(∆</m:t>
                    </m:r>
                    <m:sSub>
                      <m:sSubPr>
                        <m:ctrlPr>
                          <w:rPr>
                            <w:rFonts w:ascii="Cambria Math" w:eastAsia="Times New Roman" w:hAnsi="Cambria Math" w:cs="Times New Roman"/>
                            <w:b/>
                            <w:bCs/>
                            <w:i/>
                            <w:color w:val="000000"/>
                            <w:szCs w:val="24"/>
                          </w:rPr>
                        </m:ctrlPr>
                      </m:sSubPr>
                      <m:e>
                        <m:r>
                          <m:rPr>
                            <m:sty m:val="bi"/>
                          </m:rPr>
                          <w:rPr>
                            <w:rFonts w:ascii="Cambria Math" w:eastAsia="Times New Roman" w:hAnsi="Cambria Math" w:cs="Times New Roman"/>
                            <w:color w:val="000000"/>
                            <w:szCs w:val="24"/>
                          </w:rPr>
                          <m:t>C</m:t>
                        </m:r>
                      </m:e>
                      <m:sub>
                        <m:r>
                          <m:rPr>
                            <m:sty m:val="bi"/>
                          </m:rPr>
                          <w:rPr>
                            <w:rFonts w:ascii="Cambria Math" w:eastAsia="Times New Roman" w:hAnsi="Cambria Math" w:cs="Times New Roman"/>
                            <w:color w:val="000000"/>
                            <w:szCs w:val="24"/>
                          </w:rPr>
                          <m:t>i</m:t>
                        </m:r>
                      </m:sub>
                    </m:sSub>
                  </m:e>
                  <m:sup>
                    <m:r>
                      <m:rPr>
                        <m:sty m:val="bi"/>
                      </m:rPr>
                      <w:rPr>
                        <w:rFonts w:ascii="Cambria Math" w:eastAsia="Times New Roman" w:hAnsi="Cambria Math" w:cs="Times New Roman"/>
                        <w:color w:val="000000"/>
                        <w:szCs w:val="24"/>
                      </w:rPr>
                      <m:t>peak</m:t>
                    </m:r>
                  </m:sup>
                </m:sSup>
                <m:r>
                  <m:rPr>
                    <m:sty m:val="bi"/>
                  </m:rPr>
                  <w:rPr>
                    <w:rFonts w:ascii="Cambria Math" w:eastAsia="Times New Roman" w:hAnsi="Cambria Math" w:cs="Times New Roman"/>
                    <w:color w:val="000000"/>
                    <w:szCs w:val="24"/>
                  </w:rPr>
                  <m:t>)</m:t>
                </m:r>
                <m:r>
                  <w:rPr>
                    <w:rFonts w:ascii="Cambria Math" w:eastAsia="Times New Roman" w:hAnsi="Cambria Math" w:cs="Times New Roman"/>
                    <w:color w:val="000000"/>
                    <w:szCs w:val="24"/>
                  </w:rPr>
                  <m:t>&lt;</m:t>
                </m:r>
                <m:sSup>
                  <m:sSupPr>
                    <m:ctrlPr>
                      <w:rPr>
                        <w:rFonts w:ascii="Cambria Math" w:eastAsia="Times New Roman" w:hAnsi="Cambria Math" w:cs="Times New Roman"/>
                        <w:b/>
                        <w:i/>
                        <w:color w:val="000000"/>
                        <w:szCs w:val="24"/>
                      </w:rPr>
                    </m:ctrlPr>
                  </m:sSupPr>
                  <m:e>
                    <m:r>
                      <m:rPr>
                        <m:sty m:val="bi"/>
                      </m:rPr>
                      <w:rPr>
                        <w:rFonts w:ascii="Cambria Math" w:eastAsia="Times New Roman" w:hAnsi="Cambria Math" w:cs="Times New Roman"/>
                        <w:color w:val="000000"/>
                        <w:szCs w:val="24"/>
                      </w:rPr>
                      <m:t>abs(∆</m:t>
                    </m:r>
                    <m:sSub>
                      <m:sSubPr>
                        <m:ctrlPr>
                          <w:rPr>
                            <w:rFonts w:ascii="Cambria Math" w:eastAsia="Times New Roman" w:hAnsi="Cambria Math" w:cs="Times New Roman"/>
                            <w:b/>
                            <w:bCs/>
                            <w:i/>
                            <w:color w:val="000000"/>
                            <w:szCs w:val="24"/>
                          </w:rPr>
                        </m:ctrlPr>
                      </m:sSubPr>
                      <m:e>
                        <m:r>
                          <m:rPr>
                            <m:sty m:val="bi"/>
                          </m:rPr>
                          <w:rPr>
                            <w:rFonts w:ascii="Cambria Math" w:eastAsia="Times New Roman" w:hAnsi="Cambria Math" w:cs="Times New Roman"/>
                            <w:color w:val="000000"/>
                            <w:szCs w:val="24"/>
                          </w:rPr>
                          <m:t>C</m:t>
                        </m:r>
                      </m:e>
                      <m:sub>
                        <m:r>
                          <m:rPr>
                            <m:sty m:val="bi"/>
                          </m:rPr>
                          <w:rPr>
                            <w:rFonts w:ascii="Cambria Math" w:eastAsia="Times New Roman" w:hAnsi="Cambria Math" w:cs="Times New Roman"/>
                            <w:color w:val="000000"/>
                            <w:szCs w:val="24"/>
                          </w:rPr>
                          <m:t>i</m:t>
                        </m:r>
                      </m:sub>
                    </m:sSub>
                  </m:e>
                  <m:sup>
                    <m:r>
                      <m:rPr>
                        <m:sty m:val="bi"/>
                      </m:rPr>
                      <w:rPr>
                        <w:rFonts w:ascii="Cambria Math" w:eastAsia="Times New Roman" w:hAnsi="Cambria Math" w:cs="Times New Roman"/>
                        <w:color w:val="000000"/>
                        <w:szCs w:val="24"/>
                      </w:rPr>
                      <m:t>off-peak</m:t>
                    </m:r>
                  </m:sup>
                </m:sSup>
                <m:r>
                  <m:rPr>
                    <m:sty m:val="bi"/>
                  </m:rPr>
                  <w:rPr>
                    <w:rFonts w:ascii="Cambria Math" w:eastAsia="Times New Roman" w:hAnsi="Cambria Math" w:cs="Times New Roman"/>
                    <w:color w:val="000000"/>
                    <w:szCs w:val="24"/>
                  </w:rPr>
                  <m:t>)</m:t>
                </m:r>
              </m:oMath>
            </m:oMathPara>
          </w:p>
        </w:tc>
        <w:tc>
          <w:tcPr>
            <w:tcW w:w="2126" w:type="dxa"/>
          </w:tcPr>
          <w:p w14:paraId="76B7BB4E" w14:textId="77777777" w:rsidR="0041584B" w:rsidRPr="00E755CC" w:rsidRDefault="0041584B" w:rsidP="0041584B">
            <w:pPr>
              <w:spacing w:after="0" w:line="240" w:lineRule="auto"/>
              <w:ind w:left="-56"/>
              <w:jc w:val="center"/>
              <w:rPr>
                <w:rFonts w:eastAsia="Times New Roman" w:cs="Times New Roman"/>
                <w:szCs w:val="24"/>
              </w:rPr>
            </w:pPr>
            <w:r w:rsidRPr="00E755CC">
              <w:rPr>
                <w:rFonts w:eastAsia="Times New Roman" w:cs="Times New Roman"/>
                <w:szCs w:val="24"/>
              </w:rPr>
              <w:t>Minimum</w:t>
            </w:r>
          </w:p>
          <w:p w14:paraId="01998B89" w14:textId="77777777" w:rsidR="0041584B" w:rsidRPr="00E755CC" w:rsidRDefault="0041584B" w:rsidP="0041584B">
            <w:pPr>
              <w:spacing w:after="0" w:line="240" w:lineRule="auto"/>
              <w:ind w:left="-56"/>
              <w:jc w:val="center"/>
              <w:rPr>
                <w:rFonts w:eastAsia="Times New Roman" w:cs="Times New Roman"/>
                <w:szCs w:val="24"/>
              </w:rPr>
            </w:pPr>
            <w:r w:rsidRPr="00E755CC">
              <w:rPr>
                <w:rFonts w:eastAsia="Times New Roman" w:cs="Times New Roman"/>
                <w:szCs w:val="24"/>
              </w:rPr>
              <w:t xml:space="preserve">Demand </w:t>
            </w:r>
          </w:p>
          <w:p w14:paraId="7A8AC555" w14:textId="77777777" w:rsidR="0041584B" w:rsidRPr="00E755CC" w:rsidRDefault="0041584B" w:rsidP="0041584B">
            <w:pPr>
              <w:spacing w:after="0" w:line="240" w:lineRule="auto"/>
              <w:ind w:left="-56"/>
              <w:jc w:val="center"/>
              <w:rPr>
                <w:rFonts w:eastAsia="Times New Roman" w:cs="Times New Roman"/>
                <w:szCs w:val="24"/>
              </w:rPr>
            </w:pPr>
            <w:r w:rsidRPr="00E755CC">
              <w:rPr>
                <w:rFonts w:eastAsia="Times New Roman" w:cs="Times New Roman"/>
                <w:szCs w:val="24"/>
              </w:rPr>
              <w:t>(Off-Peak)</w:t>
            </w:r>
          </w:p>
        </w:tc>
        <w:tc>
          <w:tcPr>
            <w:tcW w:w="1418" w:type="dxa"/>
          </w:tcPr>
          <w:p w14:paraId="38C1416C" w14:textId="77777777" w:rsidR="0041584B" w:rsidRPr="00E755CC" w:rsidRDefault="0041584B" w:rsidP="0041584B">
            <w:pPr>
              <w:spacing w:after="0" w:line="240" w:lineRule="auto"/>
              <w:ind w:left="-56"/>
              <w:jc w:val="center"/>
              <w:rPr>
                <w:rFonts w:eastAsia="Times New Roman" w:cs="Times New Roman"/>
                <w:szCs w:val="24"/>
              </w:rPr>
            </w:pPr>
            <m:oMathPara>
              <m:oMath>
                <m:sSup>
                  <m:sSupPr>
                    <m:ctrlPr>
                      <w:rPr>
                        <w:rFonts w:ascii="Cambria Math" w:eastAsia="Times New Roman" w:hAnsi="Cambria Math" w:cs="Times New Roman"/>
                        <w:b/>
                        <w:i/>
                        <w:color w:val="000000"/>
                        <w:szCs w:val="24"/>
                      </w:rPr>
                    </m:ctrlPr>
                  </m:sSupPr>
                  <m:e>
                    <m:r>
                      <m:rPr>
                        <m:sty m:val="bi"/>
                      </m:rPr>
                      <w:rPr>
                        <w:rFonts w:ascii="Cambria Math" w:eastAsia="Times New Roman" w:hAnsi="Cambria Math" w:cs="Times New Roman"/>
                        <w:color w:val="000000"/>
                        <w:szCs w:val="24"/>
                      </w:rPr>
                      <m:t>∆</m:t>
                    </m:r>
                    <m:sSub>
                      <m:sSubPr>
                        <m:ctrlPr>
                          <w:rPr>
                            <w:rFonts w:ascii="Cambria Math" w:eastAsia="Times New Roman" w:hAnsi="Cambria Math" w:cs="Times New Roman"/>
                            <w:b/>
                            <w:bCs/>
                            <w:i/>
                            <w:color w:val="000000"/>
                            <w:szCs w:val="24"/>
                          </w:rPr>
                        </m:ctrlPr>
                      </m:sSubPr>
                      <m:e>
                        <m:r>
                          <m:rPr>
                            <m:sty m:val="bi"/>
                          </m:rPr>
                          <w:rPr>
                            <w:rFonts w:ascii="Cambria Math" w:eastAsia="Times New Roman" w:hAnsi="Cambria Math" w:cs="Times New Roman"/>
                            <w:color w:val="000000"/>
                            <w:szCs w:val="24"/>
                          </w:rPr>
                          <m:t>C</m:t>
                        </m:r>
                      </m:e>
                      <m:sub>
                        <m:r>
                          <m:rPr>
                            <m:sty m:val="bi"/>
                          </m:rPr>
                          <w:rPr>
                            <w:rFonts w:ascii="Cambria Math" w:eastAsia="Times New Roman" w:hAnsi="Cambria Math" w:cs="Times New Roman"/>
                            <w:color w:val="000000"/>
                            <w:szCs w:val="24"/>
                          </w:rPr>
                          <m:t>i</m:t>
                        </m:r>
                      </m:sub>
                    </m:sSub>
                  </m:e>
                  <m:sup>
                    <m:r>
                      <m:rPr>
                        <m:sty m:val="bi"/>
                      </m:rPr>
                      <w:rPr>
                        <w:rFonts w:ascii="Cambria Math" w:eastAsia="Times New Roman" w:hAnsi="Cambria Math" w:cs="Times New Roman"/>
                        <w:color w:val="000000"/>
                        <w:szCs w:val="24"/>
                      </w:rPr>
                      <m:t>off-peak</m:t>
                    </m:r>
                  </m:sup>
                </m:sSup>
                <m:r>
                  <m:rPr>
                    <m:sty m:val="bi"/>
                  </m:rPr>
                  <w:rPr>
                    <w:rFonts w:ascii="Cambria Math" w:eastAsia="Times New Roman" w:hAnsi="Cambria Math" w:cs="Times New Roman"/>
                    <w:color w:val="000000"/>
                    <w:szCs w:val="24"/>
                  </w:rPr>
                  <m:t>&lt;</m:t>
                </m:r>
                <m:r>
                  <w:rPr>
                    <w:rFonts w:ascii="Cambria Math" w:eastAsia="Times New Roman" w:hAnsi="Cambria Math" w:cs="Times New Roman"/>
                    <w:color w:val="000000"/>
                    <w:szCs w:val="24"/>
                  </w:rPr>
                  <m:t>0</m:t>
                </m:r>
              </m:oMath>
            </m:oMathPara>
          </w:p>
        </w:tc>
        <w:tc>
          <w:tcPr>
            <w:tcW w:w="1701" w:type="dxa"/>
          </w:tcPr>
          <w:p w14:paraId="68F78EB2" w14:textId="77777777" w:rsidR="0041584B" w:rsidRPr="00E755CC" w:rsidRDefault="0041584B" w:rsidP="0041584B">
            <w:pPr>
              <w:spacing w:after="0" w:line="240" w:lineRule="auto"/>
              <w:ind w:left="-56"/>
              <w:jc w:val="center"/>
              <w:rPr>
                <w:rFonts w:eastAsia="Times New Roman" w:cs="Times New Roman"/>
                <w:szCs w:val="24"/>
              </w:rPr>
            </w:pPr>
            <w:r w:rsidRPr="00E755CC">
              <w:rPr>
                <w:rFonts w:eastAsia="Times New Roman" w:cs="Times New Roman"/>
                <w:szCs w:val="24"/>
              </w:rPr>
              <w:t>Delay</w:t>
            </w:r>
          </w:p>
        </w:tc>
        <w:tc>
          <w:tcPr>
            <w:tcW w:w="992" w:type="dxa"/>
          </w:tcPr>
          <w:p w14:paraId="7C2A20EC" w14:textId="77777777" w:rsidR="0041584B" w:rsidRPr="00E755CC" w:rsidRDefault="0041584B" w:rsidP="0041584B">
            <w:pPr>
              <w:spacing w:after="0" w:line="240" w:lineRule="auto"/>
              <w:ind w:left="-56"/>
              <w:jc w:val="center"/>
              <w:rPr>
                <w:rFonts w:eastAsia="Times New Roman" w:cs="Times New Roman"/>
                <w:szCs w:val="24"/>
              </w:rPr>
            </w:pPr>
            <w:r w:rsidRPr="00E755CC">
              <w:rPr>
                <w:rFonts w:eastAsia="Times New Roman" w:cs="Times New Roman"/>
                <w:szCs w:val="24"/>
              </w:rPr>
              <w:t>Off-Peak</w:t>
            </w:r>
          </w:p>
          <w:p w14:paraId="773DEAE7" w14:textId="77777777" w:rsidR="0041584B" w:rsidRPr="00E755CC" w:rsidRDefault="0041584B" w:rsidP="0041584B">
            <w:pPr>
              <w:spacing w:after="0" w:line="240" w:lineRule="auto"/>
              <w:ind w:left="-56"/>
              <w:jc w:val="center"/>
              <w:rPr>
                <w:rFonts w:eastAsia="Times New Roman" w:cs="Times New Roman"/>
                <w:szCs w:val="24"/>
              </w:rPr>
            </w:pPr>
            <w:r w:rsidRPr="00E755CC">
              <w:rPr>
                <w:rFonts w:eastAsia="Times New Roman" w:cs="Times New Roman"/>
                <w:szCs w:val="24"/>
              </w:rPr>
              <w:t>Credit</w:t>
            </w:r>
          </w:p>
        </w:tc>
        <w:tc>
          <w:tcPr>
            <w:tcW w:w="1417" w:type="dxa"/>
          </w:tcPr>
          <w:p w14:paraId="1D6992C9" w14:textId="77777777" w:rsidR="0041584B" w:rsidRPr="00E755CC" w:rsidRDefault="0041584B" w:rsidP="0041584B">
            <w:pPr>
              <w:spacing w:after="0" w:line="240" w:lineRule="auto"/>
              <w:ind w:left="-56"/>
              <w:jc w:val="center"/>
              <w:rPr>
                <w:rFonts w:eastAsia="Times New Roman" w:cs="Times New Roman"/>
                <w:szCs w:val="24"/>
              </w:rPr>
            </w:pPr>
            <w:r w:rsidRPr="00E755CC">
              <w:rPr>
                <w:rFonts w:eastAsia="Times New Roman" w:cs="Times New Roman"/>
                <w:szCs w:val="24"/>
              </w:rPr>
              <w:t>Negative</w:t>
            </w:r>
          </w:p>
        </w:tc>
      </w:tr>
    </w:tbl>
    <w:p w14:paraId="4E28678C" w14:textId="77777777" w:rsidR="0041584B" w:rsidRPr="00294561" w:rsidRDefault="0041584B" w:rsidP="0041584B">
      <w:pPr>
        <w:pStyle w:val="DCSubHeading1Level2"/>
        <w:keepLines/>
        <w:spacing w:before="240"/>
      </w:pPr>
      <w:bookmarkStart w:id="704" w:name="DecompositionofNodalIncrementalCosts"/>
      <w:r w:rsidRPr="00294561">
        <w:t>Decomposition of Nodal Incremental Costs</w:t>
      </w:r>
      <w:bookmarkEnd w:id="704"/>
    </w:p>
    <w:p w14:paraId="7F193A00" w14:textId="77777777" w:rsidR="0041584B" w:rsidRDefault="0041584B" w:rsidP="0041584B">
      <w:pPr>
        <w:pStyle w:val="Heading2"/>
        <w:keepNext/>
      </w:pPr>
      <w:r w:rsidRPr="00294561">
        <w:t>Each charge at a Node is decomposed into two sub-elements, termed ‘local’ and ‘remote’ such that:</w:t>
      </w:r>
    </w:p>
    <w:p w14:paraId="05D31188" w14:textId="77777777" w:rsidR="0041584B" w:rsidRPr="00C70D7F" w:rsidRDefault="0041584B" w:rsidP="0041584B">
      <w:pPr>
        <w:ind w:left="1710"/>
        <w:rPr>
          <w:i/>
        </w:rPr>
      </w:pPr>
      <w:proofErr w:type="spellStart"/>
      <w:r w:rsidRPr="00C70D7F">
        <w:rPr>
          <w:i/>
        </w:rPr>
        <w:t>ChargeAtNode</w:t>
      </w:r>
      <w:r w:rsidRPr="00C70D7F">
        <w:rPr>
          <w:i/>
          <w:vertAlign w:val="superscript"/>
        </w:rPr>
        <w:t>Peak</w:t>
      </w:r>
      <w:proofErr w:type="spellEnd"/>
      <w:r w:rsidRPr="00C70D7F">
        <w:rPr>
          <w:i/>
        </w:rPr>
        <w:t xml:space="preserve"> </w:t>
      </w:r>
      <w:r w:rsidRPr="00C70D7F">
        <w:t xml:space="preserve">= </w:t>
      </w:r>
      <w:proofErr w:type="spellStart"/>
      <w:proofErr w:type="gramStart"/>
      <w:r w:rsidRPr="00C70D7F">
        <w:rPr>
          <w:i/>
        </w:rPr>
        <w:t>LocalChargeAtNode</w:t>
      </w:r>
      <w:r w:rsidRPr="00C70D7F">
        <w:rPr>
          <w:i/>
          <w:vertAlign w:val="superscript"/>
        </w:rPr>
        <w:t>Peak</w:t>
      </w:r>
      <w:proofErr w:type="spellEnd"/>
      <w:r w:rsidRPr="00C70D7F">
        <w:rPr>
          <w:i/>
          <w:vertAlign w:val="superscript"/>
        </w:rPr>
        <w:t xml:space="preserve">  </w:t>
      </w:r>
      <w:r w:rsidRPr="00C70D7F">
        <w:t>+</w:t>
      </w:r>
      <w:proofErr w:type="gramEnd"/>
      <w:r w:rsidRPr="00C70D7F">
        <w:t xml:space="preserve"> </w:t>
      </w:r>
      <w:proofErr w:type="spellStart"/>
      <w:r w:rsidRPr="00C70D7F">
        <w:rPr>
          <w:i/>
        </w:rPr>
        <w:t>RemoteChargeAtNode</w:t>
      </w:r>
      <w:r w:rsidRPr="00C70D7F">
        <w:rPr>
          <w:i/>
          <w:vertAlign w:val="superscript"/>
        </w:rPr>
        <w:t>Peak</w:t>
      </w:r>
      <w:proofErr w:type="spellEnd"/>
    </w:p>
    <w:p w14:paraId="0D5447E1" w14:textId="77777777" w:rsidR="0041584B" w:rsidRPr="00C70D7F" w:rsidRDefault="0041584B" w:rsidP="0041584B">
      <w:pPr>
        <w:ind w:left="1710"/>
        <w:rPr>
          <w:i/>
        </w:rPr>
      </w:pPr>
      <w:proofErr w:type="spellStart"/>
      <w:r w:rsidRPr="00C70D7F">
        <w:rPr>
          <w:i/>
        </w:rPr>
        <w:lastRenderedPageBreak/>
        <w:t>ChargeAtNode</w:t>
      </w:r>
      <w:r w:rsidRPr="00C70D7F">
        <w:rPr>
          <w:i/>
          <w:vertAlign w:val="superscript"/>
        </w:rPr>
        <w:t>Off</w:t>
      </w:r>
      <w:proofErr w:type="spellEnd"/>
      <w:r w:rsidRPr="00C70D7F">
        <w:rPr>
          <w:i/>
          <w:vertAlign w:val="superscript"/>
        </w:rPr>
        <w:t>-Peak</w:t>
      </w:r>
      <w:r w:rsidRPr="00C70D7F">
        <w:rPr>
          <w:i/>
        </w:rPr>
        <w:t xml:space="preserve"> </w:t>
      </w:r>
      <w:r w:rsidRPr="00C70D7F">
        <w:t xml:space="preserve">= </w:t>
      </w:r>
      <w:proofErr w:type="spellStart"/>
      <w:r w:rsidRPr="00C70D7F">
        <w:rPr>
          <w:i/>
        </w:rPr>
        <w:t>LocalChargeAtNode</w:t>
      </w:r>
      <w:r w:rsidRPr="00C70D7F">
        <w:rPr>
          <w:i/>
          <w:vertAlign w:val="superscript"/>
        </w:rPr>
        <w:t>Off</w:t>
      </w:r>
      <w:proofErr w:type="spellEnd"/>
      <w:r w:rsidRPr="00C70D7F">
        <w:rPr>
          <w:i/>
          <w:vertAlign w:val="superscript"/>
        </w:rPr>
        <w:t>-</w:t>
      </w:r>
      <w:proofErr w:type="gramStart"/>
      <w:r w:rsidRPr="00C70D7F">
        <w:rPr>
          <w:i/>
          <w:vertAlign w:val="superscript"/>
        </w:rPr>
        <w:t xml:space="preserve">Peak  </w:t>
      </w:r>
      <w:r w:rsidRPr="00C70D7F">
        <w:t>+</w:t>
      </w:r>
      <w:proofErr w:type="gramEnd"/>
      <w:r w:rsidRPr="00C70D7F">
        <w:t xml:space="preserve"> </w:t>
      </w:r>
      <w:proofErr w:type="spellStart"/>
      <w:r w:rsidRPr="00C70D7F">
        <w:rPr>
          <w:i/>
        </w:rPr>
        <w:t>RemoteChargeAtNode</w:t>
      </w:r>
      <w:r w:rsidRPr="00C70D7F">
        <w:rPr>
          <w:i/>
          <w:vertAlign w:val="superscript"/>
        </w:rPr>
        <w:t>Off</w:t>
      </w:r>
      <w:proofErr w:type="spellEnd"/>
      <w:r w:rsidRPr="00C70D7F">
        <w:rPr>
          <w:i/>
          <w:vertAlign w:val="superscript"/>
        </w:rPr>
        <w:t>-Peak</w:t>
      </w:r>
    </w:p>
    <w:p w14:paraId="7556426D" w14:textId="77777777" w:rsidR="0041584B" w:rsidRPr="00DC3216" w:rsidRDefault="0041584B" w:rsidP="0041584B">
      <w:pPr>
        <w:pStyle w:val="Heading2"/>
      </w:pPr>
      <w:r w:rsidRPr="00DC3216">
        <w:t>These sub-elements use the voltage of each Branch as a proxy to determine whether a particular Branch incremental cost should be regarded as an incremental cost associated with an asset close to the Node where the increment was applied, or whether incremental cost should be regarded as being associated with an asset that is remote from the Node.</w:t>
      </w:r>
    </w:p>
    <w:p w14:paraId="093F3893" w14:textId="77777777" w:rsidR="0041584B" w:rsidRPr="00DC3216" w:rsidRDefault="0041584B" w:rsidP="0041584B">
      <w:pPr>
        <w:pStyle w:val="Heading2"/>
      </w:pPr>
      <w:r w:rsidRPr="00DC3216">
        <w:t>The local element of each Nodal incremental cost is derived by summating the Branch incremental costs associated with:</w:t>
      </w:r>
    </w:p>
    <w:p w14:paraId="596A254F" w14:textId="77777777" w:rsidR="0041584B" w:rsidRPr="00DC3216" w:rsidRDefault="0041584B" w:rsidP="0041584B">
      <w:pPr>
        <w:pStyle w:val="Heading5"/>
        <w:ind w:left="1418"/>
      </w:pPr>
      <w:r w:rsidRPr="00DC3216">
        <w:t xml:space="preserve">Branches that are operating at the same nominal voltage as the voltage of the Node where the increment was applied; and </w:t>
      </w:r>
    </w:p>
    <w:p w14:paraId="58263398" w14:textId="77777777" w:rsidR="0041584B" w:rsidRPr="00DC3216" w:rsidRDefault="0041584B" w:rsidP="0041584B">
      <w:pPr>
        <w:pStyle w:val="Heading5"/>
        <w:ind w:left="1418"/>
      </w:pPr>
      <w:r w:rsidRPr="00DC3216">
        <w:t>Branches that represent, transformation from a higher voltage down to the same nominal voltage as the voltage of the Node where the increment was applied.</w:t>
      </w:r>
    </w:p>
    <w:p w14:paraId="4C963DA3" w14:textId="77777777" w:rsidR="0041584B" w:rsidRPr="00DC3216" w:rsidRDefault="0041584B" w:rsidP="0041584B">
      <w:pPr>
        <w:pStyle w:val="Heading2"/>
      </w:pPr>
      <w:r w:rsidRPr="00DC3216">
        <w:t>The remote element of each Nodal incremental cost is derived from the Branch incremental costs from all Branches other than those where the Branches are operating at the same nominal voltage as the voltage of the Node where the increment was applied, or where the Branches represent transformation from a higher voltage down to the same nominal voltage as the Node where the increment was applied. In other words, all Branches that are not ‘local’ are ‘remote’.</w:t>
      </w:r>
    </w:p>
    <w:p w14:paraId="3AC773E0" w14:textId="77777777" w:rsidR="0041584B" w:rsidRPr="00DC3216" w:rsidRDefault="0041584B" w:rsidP="0041584B">
      <w:pPr>
        <w:pStyle w:val="DCSubHeading1Level2"/>
      </w:pPr>
      <w:bookmarkStart w:id="705" w:name="_Toc268553698"/>
      <w:bookmarkStart w:id="706" w:name="_Toc269379887"/>
      <w:bookmarkStart w:id="707" w:name="_Toc269720536"/>
      <w:bookmarkStart w:id="708" w:name="_Toc269721232"/>
      <w:r w:rsidRPr="00DC3216">
        <w:t xml:space="preserve">Individual Connectees Connected </w:t>
      </w:r>
      <w:proofErr w:type="gramStart"/>
      <w:r w:rsidRPr="00DC3216">
        <w:t>To</w:t>
      </w:r>
      <w:proofErr w:type="gramEnd"/>
      <w:r w:rsidRPr="00DC3216">
        <w:t xml:space="preserve"> Multiple Nodes</w:t>
      </w:r>
      <w:bookmarkEnd w:id="705"/>
      <w:bookmarkEnd w:id="706"/>
      <w:bookmarkEnd w:id="707"/>
      <w:bookmarkEnd w:id="708"/>
    </w:p>
    <w:p w14:paraId="10B5342A" w14:textId="77777777" w:rsidR="0041584B" w:rsidRPr="00DC3216" w:rsidRDefault="0041584B" w:rsidP="0041584B">
      <w:pPr>
        <w:pStyle w:val="Heading2"/>
      </w:pPr>
      <w:r w:rsidRPr="00DC3216">
        <w:t xml:space="preserve">Where individual Connectees are connected to more than one Node within the Authorised Network Model (for example sites with multiple Exit Points or Entry Points) they should be considered as a single entity in the calculation of final Use of System Charges.  Such Connectees are treated as being connected to a ‘Hybrid Customer’ Node.  </w:t>
      </w:r>
    </w:p>
    <w:p w14:paraId="129EF64B" w14:textId="77777777" w:rsidR="0041584B" w:rsidRPr="00DC3216" w:rsidRDefault="0041584B" w:rsidP="0041584B">
      <w:pPr>
        <w:pStyle w:val="Heading2"/>
      </w:pPr>
      <w:r w:rsidRPr="00DC3216">
        <w:t>‘Hybrid Customer’ Nodes will, for either Demand (load) or Demand (generation) as appropriate for each individual Connectee:</w:t>
      </w:r>
    </w:p>
    <w:p w14:paraId="775B5636" w14:textId="77777777" w:rsidR="0041584B" w:rsidRPr="00DC3216" w:rsidRDefault="0041584B" w:rsidP="0041584B">
      <w:pPr>
        <w:pStyle w:val="Heading5"/>
        <w:ind w:left="1418"/>
      </w:pPr>
      <w:r w:rsidRPr="00DC3216">
        <w:lastRenderedPageBreak/>
        <w:t xml:space="preserve">combine the (Charge 1) charges associated with each of the Nodes through the use of a weighted average based on the proportion of the </w:t>
      </w:r>
      <w:proofErr w:type="spellStart"/>
      <w:r w:rsidRPr="00DC3216">
        <w:t>Connectee’s</w:t>
      </w:r>
      <w:proofErr w:type="spellEnd"/>
      <w:r w:rsidRPr="00DC3216">
        <w:t xml:space="preserve"> demand observed at each of the Nodes in the Maximum Demand Scenario, under Normal Running Arrangements;</w:t>
      </w:r>
    </w:p>
    <w:p w14:paraId="060753F3" w14:textId="77777777" w:rsidR="0041584B" w:rsidRPr="00DC3216" w:rsidRDefault="0041584B" w:rsidP="0041584B">
      <w:pPr>
        <w:pStyle w:val="Heading5"/>
        <w:ind w:left="1418"/>
      </w:pPr>
      <w:r w:rsidRPr="00DC3216">
        <w:t xml:space="preserve">combine the (Charge 2) charges associated with each of the Nodes through the use of a weighted average based on the proportion of the </w:t>
      </w:r>
      <w:proofErr w:type="spellStart"/>
      <w:r w:rsidRPr="00DC3216">
        <w:t>Connectee’s</w:t>
      </w:r>
      <w:proofErr w:type="spellEnd"/>
      <w:r w:rsidRPr="00DC3216">
        <w:t xml:space="preserve"> demand observed at each of the Nodes in the Minimum Demand Scenario, under Normal Running Arrangements; and</w:t>
      </w:r>
    </w:p>
    <w:p w14:paraId="622C4E58" w14:textId="77777777" w:rsidR="0041584B" w:rsidRPr="00DC3216" w:rsidRDefault="0041584B" w:rsidP="0041584B">
      <w:pPr>
        <w:pStyle w:val="Heading5"/>
        <w:ind w:left="1418"/>
      </w:pPr>
      <w:r w:rsidRPr="00DC3216">
        <w:t xml:space="preserve">aggregate Active Power and Reactive Power data for either Demand (Load) or Demand (Generation) as appropriate, relating to all relevant Nodes (Items 5 to 8 of in </w:t>
      </w:r>
      <w:r>
        <w:t xml:space="preserve">Table 14 </w:t>
      </w:r>
      <w:r w:rsidRPr="00DC3216">
        <w:t xml:space="preserve">Attachment </w:t>
      </w:r>
      <w:r>
        <w:t>2</w:t>
      </w:r>
      <w:r w:rsidRPr="00DC3216">
        <w:t xml:space="preserve"> below).</w:t>
      </w:r>
    </w:p>
    <w:p w14:paraId="58C6613B" w14:textId="77777777" w:rsidR="0041584B" w:rsidRPr="00DC3216" w:rsidRDefault="0041584B" w:rsidP="0041584B">
      <w:pPr>
        <w:pStyle w:val="Heading2"/>
      </w:pPr>
      <w:r w:rsidRPr="00DC3216">
        <w:t>Where ‘Hybrid Customer’ Nodes are created, the Active Power and Reactive Power data in the output information for each of the Nodes to which the Connectee is connected will be set to zero so as not to double-count the aggregate demand data stated at the ‘Hybrid Customer’ Node.</w:t>
      </w:r>
    </w:p>
    <w:p w14:paraId="4D8CF76A" w14:textId="77777777" w:rsidR="0041584B" w:rsidRPr="00294561" w:rsidRDefault="0041584B" w:rsidP="0041584B">
      <w:pPr>
        <w:pStyle w:val="Heading2"/>
      </w:pPr>
      <w:r w:rsidRPr="00DC3216">
        <w:t xml:space="preserve">An example of the creation of a ‘Hybrid Customer’ Node is given below for a single Demand (load) Connectee connected to two Nodes, designated Node A and Node B.  The 'Hybrid Customer' Node, representing this Connectee, would </w:t>
      </w:r>
      <w:r>
        <w:t>have the following output data:</w:t>
      </w:r>
    </w:p>
    <w:p w14:paraId="33FC7553" w14:textId="77777777" w:rsidR="0041584B" w:rsidRPr="00586253" w:rsidRDefault="0041584B" w:rsidP="0041584B">
      <w:pPr>
        <w:ind w:left="720"/>
      </w:pPr>
      <w:r w:rsidRPr="00586253">
        <w:t xml:space="preserve">Charge 1 hybrid = </w:t>
      </w:r>
    </w:p>
    <w:p w14:paraId="772DC67E" w14:textId="77777777" w:rsidR="0041584B" w:rsidRPr="00586253" w:rsidRDefault="0041584B" w:rsidP="0041584B">
      <w:pPr>
        <w:ind w:left="720"/>
      </w:pPr>
      <w:r w:rsidRPr="00586253">
        <w:t xml:space="preserve">((Chrg1A x </w:t>
      </w:r>
      <w:proofErr w:type="spellStart"/>
      <w:proofErr w:type="gramStart"/>
      <w:r w:rsidRPr="00586253">
        <w:t>MaxDemA</w:t>
      </w:r>
      <w:proofErr w:type="spellEnd"/>
      <w:r w:rsidRPr="00586253">
        <w:t xml:space="preserve"> )</w:t>
      </w:r>
      <w:proofErr w:type="gramEnd"/>
      <w:r w:rsidRPr="00586253">
        <w:t xml:space="preserve"> + (Chrg1B x </w:t>
      </w:r>
      <w:proofErr w:type="spellStart"/>
      <w:r w:rsidRPr="00586253">
        <w:t>MaxDemB</w:t>
      </w:r>
      <w:proofErr w:type="spellEnd"/>
      <w:r w:rsidRPr="00586253">
        <w:t xml:space="preserve"> )) / (</w:t>
      </w:r>
      <w:proofErr w:type="spellStart"/>
      <w:r w:rsidRPr="00586253">
        <w:t>MaxDemA</w:t>
      </w:r>
      <w:proofErr w:type="spellEnd"/>
      <w:r w:rsidRPr="00586253">
        <w:t xml:space="preserve"> + </w:t>
      </w:r>
      <w:proofErr w:type="spellStart"/>
      <w:r w:rsidRPr="00586253">
        <w:t>MaxDemB</w:t>
      </w:r>
      <w:proofErr w:type="spellEnd"/>
      <w:r w:rsidRPr="00586253">
        <w:t xml:space="preserve"> )</w:t>
      </w:r>
    </w:p>
    <w:p w14:paraId="3224CBB5" w14:textId="77777777" w:rsidR="0041584B" w:rsidRPr="00586253" w:rsidRDefault="0041584B" w:rsidP="0041584B">
      <w:pPr>
        <w:ind w:left="720"/>
      </w:pPr>
      <w:r w:rsidRPr="00586253">
        <w:t xml:space="preserve">Charge 2 hybrid = </w:t>
      </w:r>
    </w:p>
    <w:p w14:paraId="48A7A303" w14:textId="77777777" w:rsidR="0041584B" w:rsidRPr="00586253" w:rsidRDefault="0041584B" w:rsidP="0041584B">
      <w:pPr>
        <w:ind w:left="720"/>
      </w:pPr>
      <w:r w:rsidRPr="00586253">
        <w:t xml:space="preserve">((Chrg2A x </w:t>
      </w:r>
      <w:proofErr w:type="spellStart"/>
      <w:proofErr w:type="gramStart"/>
      <w:r w:rsidRPr="00586253">
        <w:t>MinDemA</w:t>
      </w:r>
      <w:proofErr w:type="spellEnd"/>
      <w:r w:rsidRPr="00586253">
        <w:t xml:space="preserve"> )</w:t>
      </w:r>
      <w:proofErr w:type="gramEnd"/>
      <w:r w:rsidRPr="00586253">
        <w:t xml:space="preserve"> + (Chrg2B x </w:t>
      </w:r>
      <w:proofErr w:type="spellStart"/>
      <w:r w:rsidRPr="00586253">
        <w:t>MinDemB</w:t>
      </w:r>
      <w:proofErr w:type="spellEnd"/>
      <w:r w:rsidRPr="00586253">
        <w:t xml:space="preserve"> )) / (</w:t>
      </w:r>
      <w:proofErr w:type="spellStart"/>
      <w:r w:rsidRPr="00586253">
        <w:t>MinDemA</w:t>
      </w:r>
      <w:proofErr w:type="spellEnd"/>
      <w:r w:rsidRPr="00586253">
        <w:t xml:space="preserve"> + </w:t>
      </w:r>
      <w:proofErr w:type="spellStart"/>
      <w:r w:rsidRPr="00586253">
        <w:t>MinDemB</w:t>
      </w:r>
      <w:proofErr w:type="spellEnd"/>
      <w:r w:rsidRPr="00586253">
        <w:t xml:space="preserve"> )</w:t>
      </w:r>
    </w:p>
    <w:p w14:paraId="62259622" w14:textId="77777777" w:rsidR="0041584B" w:rsidRPr="00586253" w:rsidRDefault="0041584B" w:rsidP="0041584B">
      <w:pPr>
        <w:ind w:left="720"/>
      </w:pPr>
      <w:r w:rsidRPr="00586253">
        <w:t xml:space="preserve">Max. demand data hybrid = </w:t>
      </w:r>
      <w:proofErr w:type="spellStart"/>
      <w:r w:rsidRPr="00586253">
        <w:t>MaxDemA</w:t>
      </w:r>
      <w:proofErr w:type="spellEnd"/>
      <w:r w:rsidRPr="00586253">
        <w:t xml:space="preserve"> + </w:t>
      </w:r>
      <w:proofErr w:type="spellStart"/>
      <w:r w:rsidRPr="00586253">
        <w:t>MaxDemB</w:t>
      </w:r>
      <w:proofErr w:type="spellEnd"/>
    </w:p>
    <w:p w14:paraId="56FD93B5" w14:textId="77777777" w:rsidR="0041584B" w:rsidRPr="00141441" w:rsidRDefault="0041584B" w:rsidP="0041584B">
      <w:pPr>
        <w:ind w:left="720"/>
        <w:rPr>
          <w:lang w:val="sv-SE"/>
        </w:rPr>
      </w:pPr>
      <w:r w:rsidRPr="00141441">
        <w:rPr>
          <w:lang w:val="sv-SE"/>
        </w:rPr>
        <w:t xml:space="preserve">Min. demand data hybrid= MinDemA + MinDemB </w:t>
      </w:r>
    </w:p>
    <w:p w14:paraId="59185C2C" w14:textId="77777777" w:rsidR="0041584B" w:rsidRDefault="0041584B" w:rsidP="0041584B">
      <w:pPr>
        <w:ind w:left="720"/>
      </w:pPr>
      <w:r w:rsidRPr="00586253">
        <w:t>Where</w:t>
      </w:r>
    </w:p>
    <w:p w14:paraId="1694E086" w14:textId="77777777" w:rsidR="0041584B" w:rsidRPr="00586253" w:rsidRDefault="0041584B" w:rsidP="0041584B">
      <w:pPr>
        <w:ind w:left="720"/>
      </w:pPr>
      <w:r w:rsidRPr="00586253">
        <w:lastRenderedPageBreak/>
        <w:t>Chrg1A = Charge 1 value (corresponding to the Maximum Demand Scenario) at Node A</w:t>
      </w:r>
    </w:p>
    <w:p w14:paraId="687634AB" w14:textId="77777777" w:rsidR="0041584B" w:rsidRPr="00586253" w:rsidRDefault="0041584B" w:rsidP="0041584B">
      <w:pPr>
        <w:ind w:left="720"/>
      </w:pPr>
      <w:r w:rsidRPr="00586253">
        <w:t>Chrg2A = Charge 2 value (corresponding to the Minimum Demand Scenario) at Node A</w:t>
      </w:r>
    </w:p>
    <w:p w14:paraId="19CF629C" w14:textId="77777777" w:rsidR="0041584B" w:rsidRPr="00586253" w:rsidRDefault="0041584B" w:rsidP="0041584B">
      <w:pPr>
        <w:ind w:left="720"/>
      </w:pPr>
      <w:proofErr w:type="spellStart"/>
      <w:r w:rsidRPr="00586253">
        <w:t>MaxDemA</w:t>
      </w:r>
      <w:proofErr w:type="spellEnd"/>
      <w:r w:rsidRPr="00586253">
        <w:t xml:space="preserve"> = the demand in the Maximum Demand Scenario at Node A</w:t>
      </w:r>
    </w:p>
    <w:p w14:paraId="4406B005" w14:textId="77777777" w:rsidR="0041584B" w:rsidRPr="00586253" w:rsidRDefault="0041584B" w:rsidP="0041584B">
      <w:pPr>
        <w:ind w:left="720"/>
      </w:pPr>
      <w:proofErr w:type="spellStart"/>
      <w:r w:rsidRPr="00586253">
        <w:t>MinDemA</w:t>
      </w:r>
      <w:proofErr w:type="spellEnd"/>
      <w:r w:rsidRPr="00586253">
        <w:t xml:space="preserve"> = the demand in the Minimum Demand Scenario at Node A</w:t>
      </w:r>
    </w:p>
    <w:p w14:paraId="4F9B963E" w14:textId="77777777" w:rsidR="0041584B" w:rsidRPr="00586253" w:rsidRDefault="0041584B" w:rsidP="0041584B">
      <w:pPr>
        <w:ind w:left="720"/>
      </w:pPr>
      <w:r w:rsidRPr="00586253">
        <w:t>and equivalent terms are defined for Node B.</w:t>
      </w:r>
    </w:p>
    <w:p w14:paraId="1EDFADFB" w14:textId="77777777" w:rsidR="0041584B" w:rsidRDefault="0041584B" w:rsidP="0041584B">
      <w:pPr>
        <w:pStyle w:val="DCSubHeading2Level2"/>
        <w:ind w:left="0"/>
      </w:pPr>
      <w:r>
        <w:br w:type="page"/>
      </w:r>
    </w:p>
    <w:p w14:paraId="0622276A" w14:textId="77777777" w:rsidR="0041584B" w:rsidRPr="00DC3216" w:rsidRDefault="0041584B" w:rsidP="0041584B">
      <w:pPr>
        <w:pStyle w:val="DCSubHeading1Level2"/>
        <w:jc w:val="center"/>
      </w:pPr>
      <w:bookmarkStart w:id="709" w:name="Attachment1"/>
      <w:bookmarkStart w:id="710" w:name="_Ref246842348"/>
      <w:bookmarkStart w:id="711" w:name="_Toc246843718"/>
      <w:bookmarkStart w:id="712" w:name="_Toc268553700"/>
      <w:bookmarkStart w:id="713" w:name="_Toc269379888"/>
      <w:bookmarkStart w:id="714" w:name="_Toc269720537"/>
      <w:bookmarkStart w:id="715" w:name="_Toc269721233"/>
      <w:r w:rsidRPr="00DC3216">
        <w:lastRenderedPageBreak/>
        <w:t>Attachment 1</w:t>
      </w:r>
      <w:bookmarkEnd w:id="709"/>
      <w:r w:rsidRPr="00DC3216">
        <w:t xml:space="preserve"> - Calculation of Branch Incremental Cost</w:t>
      </w:r>
      <w:bookmarkEnd w:id="710"/>
      <w:bookmarkEnd w:id="711"/>
      <w:bookmarkEnd w:id="712"/>
      <w:bookmarkEnd w:id="713"/>
      <w:bookmarkEnd w:id="714"/>
      <w:bookmarkEnd w:id="715"/>
    </w:p>
    <w:p w14:paraId="674ECDF2" w14:textId="77777777" w:rsidR="0041584B" w:rsidRPr="00DC3216" w:rsidRDefault="0041584B" w:rsidP="0041584B">
      <w:pPr>
        <w:pStyle w:val="Heading7"/>
      </w:pPr>
      <w:r w:rsidRPr="00DC3216">
        <w:t xml:space="preserve">Branch incremental cost </w:t>
      </w:r>
      <m:oMath>
        <m:r>
          <m:rPr>
            <m:sty m:val="bi"/>
          </m:rPr>
          <w:rPr>
            <w:rFonts w:ascii="Cambria Math" w:hAnsi="Cambria Math"/>
          </w:rPr>
          <m:t>∆</m:t>
        </m:r>
        <m:sSub>
          <m:sSubPr>
            <m:ctrlPr>
              <w:rPr>
                <w:rFonts w:ascii="Cambria Math" w:hAnsi="Cambria Math"/>
                <w:b/>
                <w:bCs/>
                <w:i/>
              </w:rPr>
            </m:ctrlPr>
          </m:sSubPr>
          <m:e>
            <m:r>
              <m:rPr>
                <m:sty m:val="bi"/>
              </m:rPr>
              <w:rPr>
                <w:rFonts w:ascii="Cambria Math" w:hAnsi="Cambria Math"/>
              </w:rPr>
              <m:t>C</m:t>
            </m:r>
          </m:e>
          <m:sub>
            <m:r>
              <m:rPr>
                <m:sty m:val="bi"/>
              </m:rPr>
              <w:rPr>
                <w:rFonts w:ascii="Cambria Math" w:hAnsi="Cambria Math"/>
              </w:rPr>
              <m:t>i</m:t>
            </m:r>
          </m:sub>
        </m:sSub>
      </m:oMath>
      <w:r w:rsidRPr="00DC3216">
        <w:t xml:space="preserve"> is calculated using the outputs of power flow analysis discussed in the </w:t>
      </w:r>
      <w:r>
        <w:fldChar w:fldCharType="begin"/>
      </w:r>
      <w:r>
        <w:instrText xml:space="preserve"> REF _Ref244599324 \h  \* MERGEFORMAT </w:instrText>
      </w:r>
      <w:r>
        <w:fldChar w:fldCharType="separate"/>
      </w:r>
      <w:r w:rsidRPr="00DE7858">
        <w:t>Outputs from Power Flow Analysis</w:t>
      </w:r>
      <w:r>
        <w:fldChar w:fldCharType="end"/>
      </w:r>
      <w:r w:rsidRPr="00DC3216">
        <w:t xml:space="preserve"> section and the following formulae for both Maximum and Minimum Demand Scenario:</w:t>
      </w:r>
    </w:p>
    <w:p w14:paraId="553F9ED8" w14:textId="77777777" w:rsidR="0041584B" w:rsidRPr="004B565E" w:rsidRDefault="0041584B" w:rsidP="0041584B">
      <w:pPr>
        <w:spacing w:after="0" w:line="240" w:lineRule="auto"/>
        <w:ind w:left="2160"/>
        <w:jc w:val="both"/>
        <w:rPr>
          <w:rFonts w:eastAsia="Times New Roman" w:cs="Times New Roman"/>
          <w:szCs w:val="24"/>
        </w:rPr>
      </w:pPr>
      <m:oMathPara>
        <m:oMath>
          <m:r>
            <w:rPr>
              <w:rFonts w:ascii="Cambria Math" w:eastAsia="Times New Roman" w:hAnsi="Cambria Math" w:cs="Times New Roman"/>
              <w:szCs w:val="24"/>
            </w:rPr>
            <m:t>∆</m:t>
          </m:r>
          <m:sSub>
            <m:sSubPr>
              <m:ctrlPr>
                <w:rPr>
                  <w:rFonts w:ascii="Cambria Math" w:eastAsia="Times New Roman" w:hAnsi="Cambria Math" w:cs="Times New Roman"/>
                  <w:i/>
                  <w:szCs w:val="24"/>
                </w:rPr>
              </m:ctrlPr>
            </m:sSubPr>
            <m:e>
              <m:r>
                <w:rPr>
                  <w:rFonts w:ascii="Cambria Math" w:eastAsia="Times New Roman" w:hAnsi="Cambria Math" w:cs="Times New Roman"/>
                  <w:szCs w:val="24"/>
                </w:rPr>
                <m:t>C</m:t>
              </m:r>
            </m:e>
            <m:sub>
              <m:r>
                <w:rPr>
                  <w:rFonts w:ascii="Cambria Math" w:eastAsia="Times New Roman" w:hAnsi="Cambria Math" w:cs="Times New Roman"/>
                  <w:szCs w:val="24"/>
                </w:rPr>
                <m:t>i</m:t>
              </m:r>
            </m:sub>
          </m:sSub>
          <m:r>
            <w:rPr>
              <w:rFonts w:ascii="Cambria Math" w:eastAsia="Times New Roman" w:hAnsi="Cambria Math" w:cs="Times New Roman"/>
              <w:szCs w:val="24"/>
            </w:rPr>
            <m:t>=</m:t>
          </m:r>
          <m:d>
            <m:dPr>
              <m:begChr m:val="["/>
              <m:endChr m:val="]"/>
              <m:ctrlPr>
                <w:rPr>
                  <w:rFonts w:ascii="Cambria Math" w:eastAsia="Times New Roman" w:hAnsi="Cambria Math" w:cs="Times New Roman"/>
                  <w:i/>
                  <w:szCs w:val="24"/>
                </w:rPr>
              </m:ctrlPr>
            </m:dPr>
            <m:e>
              <m:r>
                <w:rPr>
                  <w:rFonts w:ascii="Cambria Math" w:eastAsia="Times New Roman" w:hAnsi="Cambria Math" w:cs="Times New Roman"/>
                  <w:szCs w:val="24"/>
                </w:rPr>
                <m:t>NetPresentValue</m:t>
              </m:r>
              <m:d>
                <m:dPr>
                  <m:ctrlPr>
                    <w:rPr>
                      <w:rFonts w:ascii="Cambria Math" w:eastAsia="Times New Roman" w:hAnsi="Cambria Math" w:cs="Times New Roman"/>
                      <w:i/>
                      <w:szCs w:val="24"/>
                    </w:rPr>
                  </m:ctrlPr>
                </m:dPr>
                <m:e>
                  <m:r>
                    <w:rPr>
                      <w:rFonts w:ascii="Cambria Math" w:eastAsia="Times New Roman" w:hAnsi="Cambria Math" w:cs="Times New Roman"/>
                      <w:szCs w:val="24"/>
                    </w:rPr>
                    <m:t>inc</m:t>
                  </m:r>
                </m:e>
              </m:d>
              <m:r>
                <w:rPr>
                  <w:rFonts w:ascii="Cambria Math" w:eastAsia="Times New Roman" w:hAnsi="Cambria Math" w:cs="Times New Roman"/>
                  <w:szCs w:val="24"/>
                </w:rPr>
                <m:t>-NetPresentValue(base)</m:t>
              </m:r>
            </m:e>
          </m:d>
          <m:r>
            <w:rPr>
              <w:rFonts w:ascii="Cambria Math" w:eastAsia="Times New Roman" w:hAnsi="Cambria Math" w:cs="Times New Roman"/>
              <w:szCs w:val="24"/>
            </w:rPr>
            <m:t>AnnuityRate</m:t>
          </m:r>
        </m:oMath>
      </m:oMathPara>
    </w:p>
    <w:p w14:paraId="04BDADD2" w14:textId="77777777" w:rsidR="0041584B" w:rsidRPr="004B565E" w:rsidRDefault="0041584B" w:rsidP="0041584B">
      <w:pPr>
        <w:spacing w:after="0" w:line="240" w:lineRule="auto"/>
        <w:ind w:left="2160"/>
        <w:jc w:val="both"/>
        <w:rPr>
          <w:rFonts w:eastAsia="Times New Roman" w:cs="Times New Roman"/>
          <w:szCs w:val="24"/>
        </w:rPr>
      </w:pPr>
    </w:p>
    <w:p w14:paraId="7BC21399" w14:textId="77777777" w:rsidR="0041584B" w:rsidRPr="004B565E" w:rsidRDefault="0041584B" w:rsidP="0041584B">
      <w:pPr>
        <w:spacing w:before="120" w:after="120" w:line="240" w:lineRule="auto"/>
        <w:ind w:left="1440"/>
        <w:jc w:val="both"/>
        <w:rPr>
          <w:rFonts w:eastAsia="Times New Roman" w:cs="Times New Roman"/>
          <w:b/>
          <w:bCs/>
          <w:noProof/>
          <w:color w:val="000000"/>
          <w:szCs w:val="24"/>
        </w:rPr>
      </w:pPr>
      <m:oMathPara>
        <m:oMath>
          <m:r>
            <m:rPr>
              <m:sty m:val="bi"/>
            </m:rPr>
            <w:rPr>
              <w:rFonts w:ascii="Cambria Math" w:eastAsia="Times New Roman" w:hAnsi="Cambria Math" w:cs="Times New Roman"/>
              <w:color w:val="000000"/>
              <w:szCs w:val="24"/>
            </w:rPr>
            <m:t>NetPresentValue</m:t>
          </m:r>
          <m:d>
            <m:dPr>
              <m:ctrlPr>
                <w:rPr>
                  <w:rFonts w:ascii="Cambria Math" w:eastAsia="Times New Roman" w:hAnsi="Cambria Math" w:cs="Times New Roman"/>
                  <w:b/>
                  <w:bCs/>
                  <w:i/>
                  <w:color w:val="000000"/>
                  <w:szCs w:val="24"/>
                </w:rPr>
              </m:ctrlPr>
            </m:dPr>
            <m:e>
              <m:r>
                <m:rPr>
                  <m:sty m:val="bi"/>
                </m:rPr>
                <w:rPr>
                  <w:rFonts w:ascii="Cambria Math" w:eastAsia="Times New Roman" w:hAnsi="Cambria Math" w:cs="Times New Roman"/>
                  <w:color w:val="000000"/>
                  <w:szCs w:val="24"/>
                </w:rPr>
                <m:t>inc</m:t>
              </m:r>
            </m:e>
          </m:d>
          <m:r>
            <m:rPr>
              <m:sty m:val="bi"/>
            </m:rPr>
            <w:rPr>
              <w:rFonts w:ascii="Cambria Math" w:eastAsia="Times New Roman" w:hAnsi="Cambria Math" w:cs="Times New Roman"/>
              <w:color w:val="000000"/>
              <w:szCs w:val="24"/>
            </w:rPr>
            <m:t>=</m:t>
          </m:r>
          <m:f>
            <m:fPr>
              <m:ctrlPr>
                <w:rPr>
                  <w:rFonts w:ascii="Cambria Math" w:eastAsia="Times New Roman" w:hAnsi="Cambria Math" w:cs="Times New Roman"/>
                  <w:b/>
                  <w:bCs/>
                  <w:i/>
                  <w:color w:val="000000"/>
                  <w:szCs w:val="24"/>
                </w:rPr>
              </m:ctrlPr>
            </m:fPr>
            <m:num>
              <m:r>
                <m:rPr>
                  <m:sty m:val="bi"/>
                </m:rPr>
                <w:rPr>
                  <w:rFonts w:ascii="Cambria Math" w:eastAsia="Times New Roman" w:hAnsi="Cambria Math" w:cs="Times New Roman"/>
                  <w:color w:val="000000"/>
                  <w:szCs w:val="24"/>
                </w:rPr>
                <m:t>CostOfReinforcementSolution</m:t>
              </m:r>
            </m:num>
            <m:den>
              <m:sSup>
                <m:sSupPr>
                  <m:ctrlPr>
                    <w:rPr>
                      <w:rFonts w:ascii="Cambria Math" w:eastAsia="Times New Roman" w:hAnsi="Cambria Math" w:cs="Times New Roman"/>
                      <w:b/>
                      <w:bCs/>
                      <w:i/>
                      <w:color w:val="000000"/>
                      <w:szCs w:val="24"/>
                    </w:rPr>
                  </m:ctrlPr>
                </m:sSupPr>
                <m:e>
                  <m:d>
                    <m:dPr>
                      <m:begChr m:val="["/>
                      <m:endChr m:val="]"/>
                      <m:ctrlPr>
                        <w:rPr>
                          <w:rFonts w:ascii="Cambria Math" w:eastAsia="Times New Roman" w:hAnsi="Cambria Math" w:cs="Times New Roman"/>
                          <w:b/>
                          <w:bCs/>
                          <w:i/>
                          <w:color w:val="000000"/>
                          <w:szCs w:val="24"/>
                        </w:rPr>
                      </m:ctrlPr>
                    </m:dPr>
                    <m:e>
                      <m:r>
                        <m:rPr>
                          <m:sty m:val="bi"/>
                        </m:rPr>
                        <w:rPr>
                          <w:rFonts w:ascii="Cambria Math" w:eastAsia="Times New Roman" w:hAnsi="Cambria Math" w:cs="Times New Roman"/>
                          <w:color w:val="000000"/>
                          <w:szCs w:val="24"/>
                        </w:rPr>
                        <m:t>1+DiscountRate</m:t>
                      </m:r>
                    </m:e>
                  </m:d>
                </m:e>
                <m:sup>
                  <m:r>
                    <m:rPr>
                      <m:sty m:val="bi"/>
                    </m:rPr>
                    <w:rPr>
                      <w:rFonts w:ascii="Cambria Math" w:eastAsia="Times New Roman" w:hAnsi="Cambria Math" w:cs="Times New Roman"/>
                      <w:color w:val="000000"/>
                      <w:szCs w:val="24"/>
                    </w:rPr>
                    <m:t>YearsToReinforcement(inc)</m:t>
                  </m:r>
                </m:sup>
              </m:sSup>
            </m:den>
          </m:f>
        </m:oMath>
      </m:oMathPara>
    </w:p>
    <w:p w14:paraId="5F76CB44" w14:textId="77777777" w:rsidR="0041584B" w:rsidRPr="004B565E" w:rsidRDefault="0041584B" w:rsidP="0041584B">
      <w:pPr>
        <w:pStyle w:val="DCSubHeading2Level2"/>
        <w:ind w:left="0"/>
        <w:rPr>
          <w:rFonts w:eastAsiaTheme="minorEastAsia"/>
          <w:b/>
          <w:bCs/>
          <w:color w:val="000000"/>
          <w:szCs w:val="24"/>
        </w:rPr>
      </w:pPr>
      <m:oMathPara>
        <m:oMath>
          <m:r>
            <m:rPr>
              <m:sty m:val="bi"/>
            </m:rPr>
            <w:rPr>
              <w:rFonts w:ascii="Cambria Math" w:eastAsia="Times New Roman" w:hAnsi="Cambria Math" w:cs="Times New Roman"/>
              <w:color w:val="000000"/>
              <w:szCs w:val="24"/>
            </w:rPr>
            <m:t>NetPresentValue(base)=</m:t>
          </m:r>
          <m:f>
            <m:fPr>
              <m:ctrlPr>
                <w:rPr>
                  <w:rFonts w:ascii="Cambria Math" w:eastAsia="Times New Roman" w:hAnsi="Cambria Math" w:cs="Times New Roman"/>
                  <w:b/>
                  <w:bCs/>
                  <w:i/>
                  <w:color w:val="000000"/>
                  <w:szCs w:val="24"/>
                </w:rPr>
              </m:ctrlPr>
            </m:fPr>
            <m:num>
              <m:r>
                <m:rPr>
                  <m:sty m:val="bi"/>
                </m:rPr>
                <w:rPr>
                  <w:rFonts w:ascii="Cambria Math" w:eastAsia="Times New Roman" w:hAnsi="Cambria Math" w:cs="Times New Roman"/>
                  <w:color w:val="000000"/>
                  <w:szCs w:val="24"/>
                </w:rPr>
                <m:t>CostOfReinforcementSolution</m:t>
              </m:r>
            </m:num>
            <m:den>
              <m:sSup>
                <m:sSupPr>
                  <m:ctrlPr>
                    <w:rPr>
                      <w:rFonts w:ascii="Cambria Math" w:eastAsia="Times New Roman" w:hAnsi="Cambria Math" w:cs="Times New Roman"/>
                      <w:b/>
                      <w:bCs/>
                      <w:i/>
                      <w:color w:val="000000"/>
                      <w:szCs w:val="24"/>
                    </w:rPr>
                  </m:ctrlPr>
                </m:sSupPr>
                <m:e>
                  <m:d>
                    <m:dPr>
                      <m:begChr m:val="["/>
                      <m:endChr m:val="]"/>
                      <m:ctrlPr>
                        <w:rPr>
                          <w:rFonts w:ascii="Cambria Math" w:eastAsia="Times New Roman" w:hAnsi="Cambria Math" w:cs="Times New Roman"/>
                          <w:b/>
                          <w:bCs/>
                          <w:i/>
                          <w:color w:val="000000"/>
                          <w:szCs w:val="24"/>
                        </w:rPr>
                      </m:ctrlPr>
                    </m:dPr>
                    <m:e>
                      <m:r>
                        <m:rPr>
                          <m:sty m:val="bi"/>
                        </m:rPr>
                        <w:rPr>
                          <w:rFonts w:ascii="Cambria Math" w:eastAsia="Times New Roman" w:hAnsi="Cambria Math" w:cs="Times New Roman"/>
                          <w:color w:val="000000"/>
                          <w:szCs w:val="24"/>
                        </w:rPr>
                        <m:t>1+DiscountRate</m:t>
                      </m:r>
                    </m:e>
                  </m:d>
                </m:e>
                <m:sup>
                  <m:r>
                    <m:rPr>
                      <m:sty m:val="bi"/>
                    </m:rPr>
                    <w:rPr>
                      <w:rFonts w:ascii="Cambria Math" w:eastAsia="Times New Roman" w:hAnsi="Cambria Math" w:cs="Times New Roman"/>
                      <w:color w:val="000000"/>
                      <w:szCs w:val="24"/>
                    </w:rPr>
                    <m:t>YearsToReinforcement(base)</m:t>
                  </m:r>
                </m:sup>
              </m:sSup>
            </m:den>
          </m:f>
        </m:oMath>
      </m:oMathPara>
    </w:p>
    <w:p w14:paraId="6B60E51D" w14:textId="77777777" w:rsidR="0041584B" w:rsidRPr="00DC3216" w:rsidRDefault="0041584B" w:rsidP="0041584B">
      <w:pPr>
        <w:ind w:left="720"/>
      </w:pPr>
      <m:oMath>
        <m:r>
          <m:rPr>
            <m:sty m:val="bi"/>
          </m:rPr>
          <w:rPr>
            <w:rFonts w:ascii="Cambria Math" w:hAnsi="Cambria Math"/>
          </w:rPr>
          <m:t>CostofReinforcementSolution</m:t>
        </m:r>
      </m:oMath>
      <w:r w:rsidRPr="00DC3216">
        <w:t xml:space="preserve"> is the modern equivalent asset value (MEAV) of reinforcing the particular asset, bearing in mind the requirements of similar historic projects</w:t>
      </w:r>
      <w:r w:rsidRPr="00FE4229">
        <w:rPr>
          <w:vertAlign w:val="superscript"/>
        </w:rPr>
        <w:footnoteReference w:id="12"/>
      </w:r>
      <w:r w:rsidRPr="00DC3216">
        <w:t>. This cost is the same under both base and incremental conditions and it should be annualised using the following annuity rate:</w:t>
      </w:r>
    </w:p>
    <w:p w14:paraId="7F427B93" w14:textId="77777777" w:rsidR="0041584B" w:rsidRPr="00C70D7F" w:rsidRDefault="0041584B" w:rsidP="0041584B">
      <w:pPr>
        <w:autoSpaceDE w:val="0"/>
        <w:autoSpaceDN w:val="0"/>
        <w:adjustRightInd w:val="0"/>
        <w:spacing w:before="120" w:after="120"/>
        <w:ind w:left="1440"/>
        <w:jc w:val="center"/>
      </w:pPr>
      <m:oMathPara>
        <m:oMath>
          <m:r>
            <m:rPr>
              <m:sty m:val="bi"/>
            </m:rPr>
            <w:rPr>
              <w:rFonts w:ascii="Cambria Math" w:hAnsi="Cambria Math"/>
              <w:color w:val="000000"/>
            </w:rPr>
            <m:t>AnnuityRate=</m:t>
          </m:r>
          <m:f>
            <m:fPr>
              <m:ctrlPr>
                <w:rPr>
                  <w:rFonts w:ascii="Cambria Math" w:hAnsi="Cambria Math"/>
                  <w:b/>
                  <w:bCs/>
                  <w:i/>
                  <w:color w:val="000000"/>
                </w:rPr>
              </m:ctrlPr>
            </m:fPr>
            <m:num>
              <m:r>
                <m:rPr>
                  <m:sty m:val="bi"/>
                </m:rPr>
                <w:rPr>
                  <w:rFonts w:ascii="Cambria Math" w:hAnsi="Cambria Math"/>
                  <w:color w:val="000000"/>
                </w:rPr>
                <m:t>DiscountRate</m:t>
              </m:r>
            </m:num>
            <m:den>
              <m:r>
                <m:rPr>
                  <m:sty m:val="bi"/>
                </m:rPr>
                <w:rPr>
                  <w:rFonts w:ascii="Cambria Math" w:hAnsi="Cambria Math"/>
                  <w:color w:val="000000"/>
                </w:rPr>
                <m:t>1-</m:t>
              </m:r>
              <m:d>
                <m:dPr>
                  <m:begChr m:val="["/>
                  <m:endChr m:val="]"/>
                  <m:ctrlPr>
                    <w:rPr>
                      <w:rFonts w:ascii="Cambria Math" w:hAnsi="Cambria Math"/>
                      <w:b/>
                      <w:bCs/>
                      <w:i/>
                      <w:color w:val="000000"/>
                    </w:rPr>
                  </m:ctrlPr>
                </m:dPr>
                <m:e>
                  <m:f>
                    <m:fPr>
                      <m:ctrlPr>
                        <w:rPr>
                          <w:rFonts w:ascii="Cambria Math" w:hAnsi="Cambria Math"/>
                          <w:b/>
                          <w:bCs/>
                          <w:i/>
                          <w:color w:val="000000"/>
                        </w:rPr>
                      </m:ctrlPr>
                    </m:fPr>
                    <m:num>
                      <m:r>
                        <m:rPr>
                          <m:sty m:val="bi"/>
                        </m:rPr>
                        <w:rPr>
                          <w:rFonts w:ascii="Cambria Math" w:hAnsi="Cambria Math"/>
                          <w:color w:val="000000"/>
                        </w:rPr>
                        <m:t>1</m:t>
                      </m:r>
                    </m:num>
                    <m:den>
                      <m:sSup>
                        <m:sSupPr>
                          <m:ctrlPr>
                            <w:rPr>
                              <w:rFonts w:ascii="Cambria Math" w:hAnsi="Cambria Math"/>
                              <w:b/>
                              <w:bCs/>
                              <w:i/>
                              <w:color w:val="000000"/>
                            </w:rPr>
                          </m:ctrlPr>
                        </m:sSupPr>
                        <m:e>
                          <m:d>
                            <m:dPr>
                              <m:begChr m:val="["/>
                              <m:endChr m:val="]"/>
                              <m:ctrlPr>
                                <w:rPr>
                                  <w:rFonts w:ascii="Cambria Math" w:hAnsi="Cambria Math"/>
                                  <w:b/>
                                  <w:bCs/>
                                  <w:i/>
                                  <w:color w:val="000000"/>
                                </w:rPr>
                              </m:ctrlPr>
                            </m:dPr>
                            <m:e>
                              <m:r>
                                <m:rPr>
                                  <m:sty m:val="bi"/>
                                </m:rPr>
                                <w:rPr>
                                  <w:rFonts w:ascii="Cambria Math" w:hAnsi="Cambria Math"/>
                                  <w:color w:val="000000"/>
                                </w:rPr>
                                <m:t>1+DiscountRate</m:t>
                              </m:r>
                            </m:e>
                          </m:d>
                        </m:e>
                        <m:sup>
                          <m:r>
                            <m:rPr>
                              <m:sty m:val="bi"/>
                            </m:rPr>
                            <w:rPr>
                              <w:rFonts w:ascii="Cambria Math" w:hAnsi="Cambria Math"/>
                              <w:color w:val="000000"/>
                            </w:rPr>
                            <m:t>AnnuityPeriod</m:t>
                          </m:r>
                        </m:sup>
                      </m:sSup>
                    </m:den>
                  </m:f>
                </m:e>
              </m:d>
            </m:den>
          </m:f>
        </m:oMath>
      </m:oMathPara>
    </w:p>
    <w:p w14:paraId="348BA1ED" w14:textId="77777777" w:rsidR="0041584B" w:rsidRDefault="0041584B" w:rsidP="0041584B">
      <w:pPr>
        <w:ind w:left="720"/>
      </w:pPr>
      <m:oMath>
        <m:r>
          <m:rPr>
            <m:sty m:val="bi"/>
          </m:rPr>
          <w:rPr>
            <w:rFonts w:ascii="Cambria Math" w:hAnsi="Cambria Math"/>
          </w:rPr>
          <m:t>DiscountRate</m:t>
        </m:r>
      </m:oMath>
      <w:r>
        <w:t xml:space="preserve"> is</w:t>
      </w:r>
    </w:p>
    <w:p w14:paraId="6BCFCDBF" w14:textId="77777777" w:rsidR="0041584B" w:rsidRDefault="0041584B" w:rsidP="0041584B">
      <w:pPr>
        <w:ind w:left="720"/>
        <w:jc w:val="both"/>
      </w:pPr>
      <w:r>
        <w:t>set to equal the latest pre-tax real weighted average cost of capital (CC below) for each DNO Party calculated using the following formula:</w:t>
      </w:r>
    </w:p>
    <w:p w14:paraId="1E1511A0" w14:textId="77777777" w:rsidR="0041584B" w:rsidRDefault="0041584B" w:rsidP="0041584B">
      <w:pPr>
        <w:ind w:left="720"/>
        <w:jc w:val="both"/>
      </w:pPr>
      <w:r>
        <w:t>CC = (Gearing Assumption x Pre-Tax Cost of Debt) + (1- Gearing Assumption) * (Post Tax Cost of Equity / (1-Corporation Tax Rate))</w:t>
      </w:r>
    </w:p>
    <w:p w14:paraId="2951D6B5" w14:textId="77777777" w:rsidR="0041584B" w:rsidRDefault="0041584B" w:rsidP="0041584B">
      <w:pPr>
        <w:ind w:left="720"/>
        <w:jc w:val="both"/>
      </w:pPr>
      <w:r>
        <w:t>where:</w:t>
      </w:r>
    </w:p>
    <w:p w14:paraId="43A69E58" w14:textId="77777777" w:rsidR="0041584B" w:rsidRDefault="0041584B" w:rsidP="0041584B">
      <w:pPr>
        <w:ind w:left="720"/>
        <w:jc w:val="both"/>
      </w:pPr>
      <w:r>
        <w:t>Gearing Assumption is set to the ‘notional Gearing’ value referred to in the ED1 Price Control Financial Handbook;</w:t>
      </w:r>
    </w:p>
    <w:p w14:paraId="6A155F79" w14:textId="77777777" w:rsidR="0041584B" w:rsidRDefault="0041584B" w:rsidP="0041584B">
      <w:pPr>
        <w:ind w:left="720"/>
        <w:jc w:val="both"/>
      </w:pPr>
      <w:r>
        <w:lastRenderedPageBreak/>
        <w:t>Pre-Tax Cost of Debt is set to the ‘cost of corporate debt’ value specified in or calculated in accordance with the most recent Annual Iteration Process applicable when setting distribution Use of System Charges;</w:t>
      </w:r>
    </w:p>
    <w:p w14:paraId="50FC8610" w14:textId="77777777" w:rsidR="0041584B" w:rsidRDefault="0041584B" w:rsidP="0041584B">
      <w:pPr>
        <w:ind w:left="720"/>
        <w:jc w:val="both"/>
      </w:pPr>
      <w:r>
        <w:t>Post Tax Cost of Equity is set to the ‘cost of equity’ value referred to in the ED1 Price Control Financial Handbook; and</w:t>
      </w:r>
    </w:p>
    <w:p w14:paraId="02AFFD3E" w14:textId="77777777" w:rsidR="0041584B" w:rsidRDefault="0041584B" w:rsidP="0041584B">
      <w:pPr>
        <w:ind w:left="720"/>
        <w:jc w:val="both"/>
      </w:pPr>
      <w:r>
        <w:t>Corporation Tax Rate is the rate of corporation tax which is, when setting distribution Use of System Charges, expected to be applicable in respect of the Regulatory Year in which those Charges will take effect.</w:t>
      </w:r>
    </w:p>
    <w:p w14:paraId="3492D671" w14:textId="77777777" w:rsidR="0041584B" w:rsidRPr="00DC3216" w:rsidRDefault="0041584B" w:rsidP="0041584B">
      <w:pPr>
        <w:ind w:left="720"/>
      </w:pPr>
      <w:r>
        <w:t xml:space="preserve">The CC value is calculated as a </w:t>
      </w:r>
      <w:proofErr w:type="gramStart"/>
      <w:r>
        <w:t>percentage, and</w:t>
      </w:r>
      <w:proofErr w:type="gramEnd"/>
      <w:r>
        <w:t xml:space="preserve"> rounded to two decimal places.</w:t>
      </w:r>
    </w:p>
    <w:p w14:paraId="00397942" w14:textId="77777777" w:rsidR="0041584B" w:rsidRPr="00DC3216" w:rsidRDefault="0041584B" w:rsidP="0041584B">
      <w:pPr>
        <w:ind w:left="720"/>
      </w:pPr>
      <m:oMath>
        <m:r>
          <m:rPr>
            <m:sty m:val="bi"/>
          </m:rPr>
          <w:rPr>
            <w:rFonts w:ascii="Cambria Math" w:hAnsi="Cambria Math"/>
          </w:rPr>
          <m:t>AnnuityPeriod</m:t>
        </m:r>
      </m:oMath>
      <w:r w:rsidRPr="00DC3216">
        <w:t xml:space="preserve"> is the period over which costs are </w:t>
      </w:r>
      <w:proofErr w:type="gramStart"/>
      <w:r w:rsidRPr="00DC3216">
        <w:t>annualised.</w:t>
      </w:r>
      <w:proofErr w:type="gramEnd"/>
      <w:r w:rsidRPr="00DC3216">
        <w:t xml:space="preserve"> This period is set to 40 years and represents the typical life of an asset.</w:t>
      </w:r>
    </w:p>
    <w:p w14:paraId="37ED990B" w14:textId="77777777" w:rsidR="0041584B" w:rsidRPr="00DC3216" w:rsidRDefault="0041584B" w:rsidP="0041584B">
      <w:pPr>
        <w:pStyle w:val="Heading7"/>
      </w:pPr>
      <w:r w:rsidRPr="00DC3216">
        <w:t>Power flows and Branch capacities calculated by the power flow analysis under base and incremental conditions are fed into the following formulae to calculate the time to reinforcement for each asset under base and incremental conditions.</w:t>
      </w:r>
    </w:p>
    <w:p w14:paraId="3114FA17" w14:textId="77777777" w:rsidR="0041584B" w:rsidRPr="004B565E" w:rsidRDefault="0041584B" w:rsidP="0041584B">
      <w:pPr>
        <w:spacing w:after="0" w:line="240" w:lineRule="auto"/>
        <w:ind w:left="720"/>
        <w:jc w:val="center"/>
        <w:rPr>
          <w:rFonts w:eastAsia="Times New Roman" w:cs="Times New Roman"/>
          <w:szCs w:val="24"/>
        </w:rPr>
      </w:pPr>
      <m:oMathPara>
        <m:oMath>
          <m:r>
            <w:rPr>
              <w:rFonts w:ascii="Cambria Math" w:eastAsia="Times New Roman" w:hAnsi="Cambria Math" w:cs="Times New Roman"/>
              <w:szCs w:val="24"/>
            </w:rPr>
            <m:t>YearsToReinforcement</m:t>
          </m:r>
          <m:d>
            <m:dPr>
              <m:ctrlPr>
                <w:rPr>
                  <w:rFonts w:ascii="Cambria Math" w:eastAsia="Times New Roman" w:hAnsi="Cambria Math" w:cs="Times New Roman"/>
                  <w:bCs/>
                  <w:i/>
                  <w:szCs w:val="24"/>
                </w:rPr>
              </m:ctrlPr>
            </m:dPr>
            <m:e>
              <m:r>
                <w:rPr>
                  <w:rFonts w:ascii="Cambria Math" w:eastAsia="Times New Roman" w:hAnsi="Cambria Math" w:cs="Times New Roman"/>
                  <w:szCs w:val="24"/>
                </w:rPr>
                <m:t>base</m:t>
              </m:r>
            </m:e>
          </m:d>
          <m:r>
            <w:rPr>
              <w:rFonts w:ascii="Cambria Math" w:eastAsia="Times New Roman" w:hAnsi="Cambria Math" w:cs="Times New Roman"/>
              <w:szCs w:val="24"/>
            </w:rPr>
            <m:t>=</m:t>
          </m:r>
          <m:f>
            <m:fPr>
              <m:ctrlPr>
                <w:rPr>
                  <w:rFonts w:ascii="Cambria Math" w:eastAsia="Times New Roman" w:hAnsi="Cambria Math" w:cs="Times New Roman"/>
                  <w:bCs/>
                  <w:i/>
                  <w:szCs w:val="24"/>
                </w:rPr>
              </m:ctrlPr>
            </m:fPr>
            <m:num>
              <m:func>
                <m:funcPr>
                  <m:ctrlPr>
                    <w:rPr>
                      <w:rFonts w:ascii="Cambria Math" w:eastAsia="Times New Roman" w:hAnsi="Cambria Math" w:cs="Times New Roman"/>
                      <w:bCs/>
                      <w:szCs w:val="24"/>
                    </w:rPr>
                  </m:ctrlPr>
                </m:funcPr>
                <m:fName>
                  <m:r>
                    <m:rPr>
                      <m:sty m:val="p"/>
                    </m:rPr>
                    <w:rPr>
                      <w:rFonts w:ascii="Cambria Math" w:eastAsia="Times New Roman" w:hAnsi="Cambria Math" w:cs="Times New Roman"/>
                      <w:szCs w:val="24"/>
                    </w:rPr>
                    <m:t>log</m:t>
                  </m:r>
                </m:fName>
                <m:e>
                  <m:d>
                    <m:dPr>
                      <m:ctrlPr>
                        <w:rPr>
                          <w:rFonts w:ascii="Cambria Math" w:eastAsia="Times New Roman" w:hAnsi="Cambria Math" w:cs="Times New Roman"/>
                          <w:bCs/>
                          <w:i/>
                          <w:szCs w:val="24"/>
                        </w:rPr>
                      </m:ctrlPr>
                    </m:dPr>
                    <m:e>
                      <m:r>
                        <w:rPr>
                          <w:rFonts w:ascii="Cambria Math" w:eastAsia="Times New Roman" w:hAnsi="Cambria Math" w:cs="Times New Roman"/>
                          <w:szCs w:val="24"/>
                        </w:rPr>
                        <m:t>BranchCapacity</m:t>
                      </m:r>
                    </m:e>
                  </m:d>
                  <m:ctrlPr>
                    <w:rPr>
                      <w:rFonts w:ascii="Cambria Math" w:eastAsia="Times New Roman" w:hAnsi="Cambria Math" w:cs="Times New Roman"/>
                      <w:bCs/>
                      <w:i/>
                      <w:szCs w:val="24"/>
                    </w:rPr>
                  </m:ctrlPr>
                </m:e>
              </m:func>
              <m:r>
                <w:rPr>
                  <w:rFonts w:ascii="Cambria Math" w:eastAsia="Times New Roman" w:hAnsi="Cambria Math" w:cs="Times New Roman"/>
                  <w:szCs w:val="24"/>
                </w:rPr>
                <m:t>-</m:t>
              </m:r>
              <m:r>
                <m:rPr>
                  <m:sty m:val="p"/>
                </m:rPr>
                <w:rPr>
                  <w:rFonts w:ascii="Cambria Math" w:eastAsia="Times New Roman" w:hAnsi="Cambria Math" w:cs="Times New Roman"/>
                  <w:szCs w:val="24"/>
                </w:rPr>
                <m:t>log⁡(BasePowerFlow</m:t>
              </m:r>
              <m:d>
                <m:dPr>
                  <m:ctrlPr>
                    <w:rPr>
                      <w:rFonts w:ascii="Cambria Math" w:eastAsia="Times New Roman" w:hAnsi="Cambria Math" w:cs="Times New Roman"/>
                      <w:bCs/>
                      <w:szCs w:val="24"/>
                    </w:rPr>
                  </m:ctrlPr>
                </m:dPr>
                <m:e>
                  <m:r>
                    <m:rPr>
                      <m:sty m:val="p"/>
                    </m:rPr>
                    <w:rPr>
                      <w:rFonts w:ascii="Cambria Math" w:eastAsia="Times New Roman" w:hAnsi="Cambria Math" w:cs="Times New Roman"/>
                      <w:szCs w:val="24"/>
                    </w:rPr>
                    <m:t>MVA</m:t>
                  </m:r>
                </m:e>
              </m:d>
              <m:r>
                <m:rPr>
                  <m:sty m:val="p"/>
                </m:rPr>
                <w:rPr>
                  <w:rFonts w:ascii="Cambria Math" w:eastAsia="Times New Roman" w:hAnsi="Cambria Math" w:cs="Times New Roman"/>
                  <w:szCs w:val="24"/>
                </w:rPr>
                <m:t>)⁡</m:t>
              </m:r>
            </m:num>
            <m:den>
              <m:r>
                <m:rPr>
                  <m:sty m:val="p"/>
                </m:rPr>
                <w:rPr>
                  <w:rFonts w:ascii="Cambria Math" w:eastAsia="Times New Roman" w:hAnsi="Cambria Math" w:cs="Times New Roman"/>
                  <w:szCs w:val="24"/>
                </w:rPr>
                <m:t>log⁡</m:t>
              </m:r>
              <m:r>
                <w:rPr>
                  <w:rFonts w:ascii="Cambria Math" w:eastAsia="Times New Roman" w:hAnsi="Cambria Math" w:cs="Times New Roman"/>
                  <w:szCs w:val="24"/>
                </w:rPr>
                <m:t>(1+GrowthRate)</m:t>
              </m:r>
            </m:den>
          </m:f>
        </m:oMath>
      </m:oMathPara>
    </w:p>
    <w:p w14:paraId="0CCB03F9" w14:textId="77777777" w:rsidR="0041584B" w:rsidRPr="004B565E" w:rsidRDefault="0041584B" w:rsidP="0041584B">
      <w:pPr>
        <w:spacing w:after="0" w:line="240" w:lineRule="auto"/>
        <w:ind w:left="720"/>
        <w:jc w:val="center"/>
        <w:rPr>
          <w:rFonts w:eastAsia="Times New Roman" w:cs="Times New Roman"/>
          <w:bCs/>
          <w:szCs w:val="24"/>
        </w:rPr>
      </w:pPr>
    </w:p>
    <w:p w14:paraId="63642319" w14:textId="77777777" w:rsidR="0041584B" w:rsidRPr="004B565E" w:rsidRDefault="0041584B" w:rsidP="0041584B">
      <w:pPr>
        <w:spacing w:after="0" w:line="240" w:lineRule="auto"/>
        <w:ind w:left="720"/>
        <w:jc w:val="both"/>
        <w:rPr>
          <w:rFonts w:eastAsia="Times New Roman" w:cs="Times New Roman"/>
          <w:szCs w:val="24"/>
        </w:rPr>
      </w:pPr>
      <m:oMathPara>
        <m:oMath>
          <m:r>
            <w:rPr>
              <w:rFonts w:ascii="Cambria Math" w:eastAsia="Times New Roman" w:hAnsi="Cambria Math" w:cs="Times New Roman"/>
              <w:szCs w:val="24"/>
            </w:rPr>
            <m:t>YearsToReinforcement</m:t>
          </m:r>
          <m:d>
            <m:dPr>
              <m:ctrlPr>
                <w:rPr>
                  <w:rFonts w:ascii="Cambria Math" w:eastAsia="Times New Roman" w:hAnsi="Cambria Math" w:cs="Times New Roman"/>
                  <w:bCs/>
                  <w:i/>
                  <w:szCs w:val="24"/>
                </w:rPr>
              </m:ctrlPr>
            </m:dPr>
            <m:e>
              <m:r>
                <w:rPr>
                  <w:rFonts w:ascii="Cambria Math" w:eastAsia="Times New Roman" w:hAnsi="Cambria Math" w:cs="Times New Roman"/>
                  <w:szCs w:val="24"/>
                </w:rPr>
                <m:t>inc</m:t>
              </m:r>
            </m:e>
          </m:d>
          <m:r>
            <w:rPr>
              <w:rFonts w:ascii="Cambria Math" w:eastAsia="Times New Roman" w:hAnsi="Cambria Math" w:cs="Times New Roman"/>
              <w:szCs w:val="24"/>
            </w:rPr>
            <m:t>=</m:t>
          </m:r>
          <m:f>
            <m:fPr>
              <m:ctrlPr>
                <w:rPr>
                  <w:rFonts w:ascii="Cambria Math" w:eastAsia="Times New Roman" w:hAnsi="Cambria Math" w:cs="Times New Roman"/>
                  <w:bCs/>
                  <w:i/>
                  <w:szCs w:val="24"/>
                </w:rPr>
              </m:ctrlPr>
            </m:fPr>
            <m:num>
              <m:func>
                <m:funcPr>
                  <m:ctrlPr>
                    <w:rPr>
                      <w:rFonts w:ascii="Cambria Math" w:eastAsia="Times New Roman" w:hAnsi="Cambria Math" w:cs="Times New Roman"/>
                      <w:bCs/>
                      <w:szCs w:val="24"/>
                    </w:rPr>
                  </m:ctrlPr>
                </m:funcPr>
                <m:fName>
                  <m:r>
                    <m:rPr>
                      <m:sty m:val="p"/>
                    </m:rPr>
                    <w:rPr>
                      <w:rFonts w:ascii="Cambria Math" w:eastAsia="Times New Roman" w:hAnsi="Cambria Math" w:cs="Times New Roman"/>
                      <w:szCs w:val="24"/>
                    </w:rPr>
                    <m:t>log</m:t>
                  </m:r>
                </m:fName>
                <m:e>
                  <m:d>
                    <m:dPr>
                      <m:ctrlPr>
                        <w:rPr>
                          <w:rFonts w:ascii="Cambria Math" w:eastAsia="Times New Roman" w:hAnsi="Cambria Math" w:cs="Times New Roman"/>
                          <w:bCs/>
                          <w:i/>
                          <w:szCs w:val="24"/>
                        </w:rPr>
                      </m:ctrlPr>
                    </m:dPr>
                    <m:e>
                      <m:r>
                        <w:rPr>
                          <w:rFonts w:ascii="Cambria Math" w:eastAsia="Times New Roman" w:hAnsi="Cambria Math" w:cs="Times New Roman"/>
                          <w:szCs w:val="24"/>
                        </w:rPr>
                        <m:t>BranchCapacity</m:t>
                      </m:r>
                    </m:e>
                  </m:d>
                  <m:ctrlPr>
                    <w:rPr>
                      <w:rFonts w:ascii="Cambria Math" w:eastAsia="Times New Roman" w:hAnsi="Cambria Math" w:cs="Times New Roman"/>
                      <w:bCs/>
                      <w:i/>
                      <w:szCs w:val="24"/>
                    </w:rPr>
                  </m:ctrlPr>
                </m:e>
              </m:func>
              <m:r>
                <w:rPr>
                  <w:rFonts w:ascii="Cambria Math" w:eastAsia="Times New Roman" w:hAnsi="Cambria Math" w:cs="Times New Roman"/>
                  <w:szCs w:val="24"/>
                </w:rPr>
                <m:t>-</m:t>
              </m:r>
              <m:r>
                <m:rPr>
                  <m:sty m:val="p"/>
                </m:rPr>
                <w:rPr>
                  <w:rFonts w:ascii="Cambria Math" w:eastAsia="Times New Roman" w:hAnsi="Cambria Math" w:cs="Times New Roman"/>
                  <w:szCs w:val="24"/>
                </w:rPr>
                <m:t>log⁡(IncPowerFlow</m:t>
              </m:r>
              <m:d>
                <m:dPr>
                  <m:ctrlPr>
                    <w:rPr>
                      <w:rFonts w:ascii="Cambria Math" w:eastAsia="Times New Roman" w:hAnsi="Cambria Math" w:cs="Times New Roman"/>
                      <w:bCs/>
                      <w:szCs w:val="24"/>
                    </w:rPr>
                  </m:ctrlPr>
                </m:dPr>
                <m:e>
                  <m:r>
                    <m:rPr>
                      <m:sty m:val="p"/>
                    </m:rPr>
                    <w:rPr>
                      <w:rFonts w:ascii="Cambria Math" w:eastAsia="Times New Roman" w:hAnsi="Cambria Math" w:cs="Times New Roman"/>
                      <w:szCs w:val="24"/>
                    </w:rPr>
                    <m:t>MVA</m:t>
                  </m:r>
                </m:e>
              </m:d>
              <m:r>
                <m:rPr>
                  <m:sty m:val="p"/>
                </m:rPr>
                <w:rPr>
                  <w:rFonts w:ascii="Cambria Math" w:eastAsia="Times New Roman" w:hAnsi="Cambria Math" w:cs="Times New Roman"/>
                  <w:szCs w:val="24"/>
                </w:rPr>
                <m:t>)⁡</m:t>
              </m:r>
            </m:num>
            <m:den>
              <m:r>
                <m:rPr>
                  <m:sty m:val="p"/>
                </m:rPr>
                <w:rPr>
                  <w:rFonts w:ascii="Cambria Math" w:eastAsia="Times New Roman" w:hAnsi="Cambria Math" w:cs="Times New Roman"/>
                  <w:szCs w:val="24"/>
                </w:rPr>
                <m:t>log⁡</m:t>
              </m:r>
              <m:r>
                <w:rPr>
                  <w:rFonts w:ascii="Cambria Math" w:eastAsia="Times New Roman" w:hAnsi="Cambria Math" w:cs="Times New Roman"/>
                  <w:szCs w:val="24"/>
                </w:rPr>
                <m:t>(1+GrowthRate)</m:t>
              </m:r>
            </m:den>
          </m:f>
        </m:oMath>
      </m:oMathPara>
    </w:p>
    <w:p w14:paraId="13A36667" w14:textId="77777777" w:rsidR="0041584B" w:rsidRDefault="0041584B" w:rsidP="0041584B">
      <w:pPr>
        <w:pStyle w:val="DCSubHeading2Level2"/>
        <w:ind w:left="0"/>
      </w:pPr>
    </w:p>
    <w:p w14:paraId="7E9C3B9B" w14:textId="77777777" w:rsidR="0041584B" w:rsidRPr="00DC3216" w:rsidRDefault="0041584B" w:rsidP="0041584B">
      <w:pPr>
        <w:ind w:left="720"/>
        <w:jc w:val="both"/>
      </w:pPr>
      <w:r w:rsidRPr="00AF25A4">
        <w:rPr>
          <w:b/>
        </w:rPr>
        <w:t>Branch Capacity</w:t>
      </w:r>
      <w:r w:rsidRPr="00DC3216">
        <w:t xml:space="preserve"> is the MVA rating of the “critical” asset in the considered Branch divided by the corresponding Security Factor; a pair of Branch capacities is calculated for maximum demand and minimum demand conditions.</w:t>
      </w:r>
    </w:p>
    <w:p w14:paraId="4AA7A05F" w14:textId="77777777" w:rsidR="0041584B" w:rsidRPr="00DC3216" w:rsidRDefault="0041584B" w:rsidP="0041584B">
      <w:pPr>
        <w:pStyle w:val="Heading7"/>
      </w:pPr>
      <w:r w:rsidRPr="00DC3216">
        <w:t>A single underlying network growth rate is used to assess the timing of future reinforcement for demand and generation charges. It represents the long run growth of all DNO Parties’ Distribution Systems and is set to 1% growth per annum.</w:t>
      </w:r>
    </w:p>
    <w:p w14:paraId="1BC0281E" w14:textId="77777777" w:rsidR="0041584B" w:rsidRPr="00DC3216" w:rsidRDefault="0041584B" w:rsidP="0041584B">
      <w:pPr>
        <w:pStyle w:val="Heading7"/>
      </w:pPr>
      <w:r w:rsidRPr="00DC3216">
        <w:lastRenderedPageBreak/>
        <w:t xml:space="preserve">A pair of incremental costs (base and incremental) is calculated for each Branch using the procedure described in this attachment and power flows obtained from Maximum Demand Scenario and Minimum Demand Scenario. </w:t>
      </w:r>
    </w:p>
    <w:p w14:paraId="35CFC4F1" w14:textId="77777777" w:rsidR="0041584B" w:rsidRPr="00DC3216" w:rsidRDefault="0041584B" w:rsidP="0041584B">
      <w:pPr>
        <w:pStyle w:val="Heading7"/>
      </w:pPr>
      <w:r w:rsidRPr="00DC3216">
        <w:t>Sense checking of the results produced by application of the Security Factor to the Incremented Flow should be undertaken prior to the calculation of Branch incremental cost, to identify where this approach leads to an estimation of excessively large (and non-credible) changes in Branch utilisation. Where such cases are encountered a more reasonable approximation to the anticipated change in power flow in the Branch should be used in the derivation of the Branch incremental cost.</w:t>
      </w:r>
    </w:p>
    <w:p w14:paraId="7EC3144F" w14:textId="77777777" w:rsidR="0041584B" w:rsidRPr="00DC3216" w:rsidRDefault="0041584B" w:rsidP="0041584B">
      <w:pPr>
        <w:pStyle w:val="Heading7"/>
      </w:pPr>
      <w:r w:rsidRPr="00DC3216">
        <w:t xml:space="preserve">It is recommended that a more reasonable approximation to the Branch power flow under incremented conditions should be applied </w:t>
      </w:r>
      <w:proofErr w:type="gramStart"/>
      <w:r w:rsidRPr="00DC3216">
        <w:t>where:-</w:t>
      </w:r>
      <w:proofErr w:type="gramEnd"/>
    </w:p>
    <w:p w14:paraId="1CEF14D6" w14:textId="77777777" w:rsidR="0041584B" w:rsidRPr="000F29C2" w:rsidRDefault="0041584B" w:rsidP="0041584B">
      <w:pPr>
        <w:pStyle w:val="DCNormParabulletptL2"/>
        <w:jc w:val="both"/>
        <w:rPr>
          <w:u w:val="none"/>
        </w:rPr>
      </w:pPr>
      <w:r w:rsidRPr="000F29C2">
        <w:rPr>
          <w:u w:val="none"/>
        </w:rPr>
        <w:t xml:space="preserve">the Base Case Flow (MVA) for a particular Branch is less than a ‘low base case </w:t>
      </w:r>
      <w:proofErr w:type="spellStart"/>
      <w:r w:rsidRPr="000F29C2">
        <w:rPr>
          <w:u w:val="none"/>
        </w:rPr>
        <w:t>powerflow</w:t>
      </w:r>
      <w:proofErr w:type="spellEnd"/>
      <w:r w:rsidRPr="000F29C2">
        <w:rPr>
          <w:u w:val="none"/>
        </w:rPr>
        <w:t>’ threshold. This threshold should be defined by examination of the outputs from the power flow analysis, though a threshold of 0.5MVA is suggested as a reasonable ‘typical’ value; or</w:t>
      </w:r>
    </w:p>
    <w:p w14:paraId="1AFF0C38" w14:textId="77777777" w:rsidR="0041584B" w:rsidRPr="000F29C2" w:rsidRDefault="0041584B" w:rsidP="0041584B">
      <w:pPr>
        <w:pStyle w:val="DCNormParabulletptL2"/>
        <w:jc w:val="both"/>
        <w:rPr>
          <w:u w:val="none"/>
        </w:rPr>
      </w:pPr>
      <w:r w:rsidRPr="000F29C2">
        <w:rPr>
          <w:u w:val="none"/>
        </w:rPr>
        <w:t>the Security factor for a particular Branch is greater than 6; or</w:t>
      </w:r>
    </w:p>
    <w:p w14:paraId="458475D8" w14:textId="77777777" w:rsidR="0041584B" w:rsidRPr="000F29C2" w:rsidRDefault="0041584B" w:rsidP="0041584B">
      <w:pPr>
        <w:pStyle w:val="DCNormParabulletptL2"/>
        <w:jc w:val="both"/>
        <w:rPr>
          <w:u w:val="none"/>
        </w:rPr>
      </w:pPr>
      <w:r w:rsidRPr="000F29C2">
        <w:rPr>
          <w:u w:val="none"/>
        </w:rPr>
        <w:t xml:space="preserve">the absolute value of </w:t>
      </w:r>
      <w:proofErr w:type="spellStart"/>
      <w:r w:rsidRPr="000F29C2">
        <w:rPr>
          <w:u w:val="none"/>
        </w:rPr>
        <w:t>Flow_Increment</w:t>
      </w:r>
      <w:proofErr w:type="spellEnd"/>
      <w:r w:rsidRPr="000F29C2">
        <w:rPr>
          <w:u w:val="none"/>
        </w:rPr>
        <w:t xml:space="preserve"> &gt; k * </w:t>
      </w:r>
      <w:proofErr w:type="spellStart"/>
      <w:r w:rsidRPr="000F29C2">
        <w:rPr>
          <w:u w:val="none"/>
        </w:rPr>
        <w:t>Nodal_Increment</w:t>
      </w:r>
      <w:proofErr w:type="spellEnd"/>
      <w:r w:rsidRPr="000F29C2">
        <w:rPr>
          <w:u w:val="none"/>
        </w:rPr>
        <w:t>/ Security Factor</w:t>
      </w:r>
    </w:p>
    <w:p w14:paraId="05A9AD79" w14:textId="77777777" w:rsidR="0041584B" w:rsidRPr="00DC3216" w:rsidRDefault="0041584B" w:rsidP="0041584B">
      <w:pPr>
        <w:pStyle w:val="DCSubHeading2Level2"/>
        <w:ind w:left="1114"/>
      </w:pPr>
      <w:proofErr w:type="gramStart"/>
      <w:r w:rsidRPr="00DC3216">
        <w:t>Where:-</w:t>
      </w:r>
      <w:proofErr w:type="gramEnd"/>
    </w:p>
    <w:p w14:paraId="5970B1CE" w14:textId="77777777" w:rsidR="0041584B" w:rsidRPr="00DC3216" w:rsidRDefault="0041584B" w:rsidP="0041584B">
      <w:pPr>
        <w:pStyle w:val="DCNormParaL3"/>
        <w:ind w:left="1114"/>
        <w:jc w:val="both"/>
      </w:pPr>
      <w:proofErr w:type="spellStart"/>
      <w:r w:rsidRPr="00DC3216">
        <w:t>Flow_Increment</w:t>
      </w:r>
      <w:proofErr w:type="spellEnd"/>
      <w:r w:rsidRPr="00DC3216">
        <w:t xml:space="preserve"> = Incremented Flow (MVA) – Base Case </w:t>
      </w:r>
      <w:proofErr w:type="gramStart"/>
      <w:r w:rsidRPr="00DC3216">
        <w:t>Flow(</w:t>
      </w:r>
      <w:proofErr w:type="gramEnd"/>
      <w:r w:rsidRPr="00DC3216">
        <w:t>MVA)</w:t>
      </w:r>
    </w:p>
    <w:p w14:paraId="5362042D" w14:textId="77777777" w:rsidR="0041584B" w:rsidRPr="00DC3216" w:rsidRDefault="0041584B" w:rsidP="0041584B">
      <w:pPr>
        <w:pStyle w:val="DCNormParaL3"/>
        <w:ind w:left="1114"/>
        <w:jc w:val="both"/>
      </w:pPr>
      <w:proofErr w:type="spellStart"/>
      <w:r w:rsidRPr="00DC3216">
        <w:t>Nodal_Increment</w:t>
      </w:r>
      <w:proofErr w:type="spellEnd"/>
      <w:r w:rsidRPr="00DC3216">
        <w:t xml:space="preserve"> = the size of increment applied to the Node in the Incremented Flow Analysis (in MVA); and</w:t>
      </w:r>
    </w:p>
    <w:p w14:paraId="7247121A" w14:textId="77777777" w:rsidR="0041584B" w:rsidRDefault="0041584B" w:rsidP="0041584B">
      <w:pPr>
        <w:pStyle w:val="DCNormParaL3"/>
        <w:ind w:left="1114"/>
        <w:jc w:val="both"/>
      </w:pPr>
      <w:r>
        <w:object w:dxaOrig="0" w:dyaOrig="0" w14:anchorId="208B45CF">
          <v:shape id="_x0000_s1026" type="#_x0000_t75" style="position:absolute;left:0;text-align:left;margin-left:119.55pt;margin-top:66pt;width:201pt;height:40pt;z-index:251667456" wrapcoords="7415 1223 3143 4891 2176 6113 2176 7743 0 7743 81 13449 7012 15079 7334 19562 7415 19562 17248 19562 17328 19562 17651 14672 17651 14264 21278 12226 21358 7743 18699 7336 18376 5298 17248 1223 7415 1223">
            <v:imagedata r:id="rId69" o:title=""/>
            <w10:wrap type="tight"/>
          </v:shape>
          <o:OLEObject Type="Embed" ProgID="Equation.3" ShapeID="_x0000_s1026" DrawAspect="Content" ObjectID="_1640532520" r:id="rId70"/>
        </w:object>
      </w:r>
      <w:r>
        <w:object w:dxaOrig="0" w:dyaOrig="0" w14:anchorId="1A01D73D">
          <v:shape id="_x0000_s1027" type="#_x0000_t75" style="position:absolute;left:0;text-align:left;margin-left:132pt;margin-top:40.35pt;width:.4pt;height:.7pt;z-index:251668480" wrapcoords="0 0 21600 0 21600 21600 0 21600 0 0">
            <v:imagedata r:id="rId71" o:title=""/>
            <w10:wrap type="tight"/>
          </v:shape>
          <o:OLEObject Type="Embed" ProgID="Equation.3" ShapeID="_x0000_s1027" DrawAspect="Content" ObjectID="_1640532521" r:id="rId72"/>
        </w:object>
      </w:r>
      <w:r w:rsidRPr="00DC3216">
        <w:t xml:space="preserve">k is a factor to take account of losses etc., determined by examining the maximum value of Flow Increment observed in the results from the Incremented Flow Analysis, such that: </w:t>
      </w:r>
    </w:p>
    <w:p w14:paraId="2B8E74E5" w14:textId="77777777" w:rsidR="0041584B" w:rsidRDefault="0041584B" w:rsidP="0041584B">
      <w:pPr>
        <w:pStyle w:val="DCNormParaL3"/>
        <w:ind w:left="1114"/>
        <w:jc w:val="both"/>
      </w:pPr>
    </w:p>
    <w:p w14:paraId="13273C00" w14:textId="77777777" w:rsidR="0041584B" w:rsidRDefault="0041584B" w:rsidP="0041584B">
      <w:pPr>
        <w:pStyle w:val="Heading7"/>
        <w:numPr>
          <w:ilvl w:val="0"/>
          <w:numId w:val="0"/>
        </w:numPr>
        <w:ind w:left="720" w:hanging="720"/>
      </w:pPr>
    </w:p>
    <w:p w14:paraId="6335986D" w14:textId="77777777" w:rsidR="0041584B" w:rsidRPr="00DC3216" w:rsidRDefault="0041584B" w:rsidP="0041584B">
      <w:pPr>
        <w:pStyle w:val="Heading7"/>
      </w:pPr>
      <w:r w:rsidRPr="00DC3216">
        <w:lastRenderedPageBreak/>
        <w:t>Where it is identified that a more reasonable approximation to Branch power flow under incremented conditions should be used, the inputs used in the calculation of ‘Years To Reinforcement(</w:t>
      </w:r>
      <w:proofErr w:type="spellStart"/>
      <w:r w:rsidRPr="00DC3216">
        <w:t>inc</w:t>
      </w:r>
      <w:proofErr w:type="spellEnd"/>
      <w:r w:rsidRPr="00DC3216">
        <w:t xml:space="preserve">) are adjusted so that they reflect the utilisation of the Branch that would be determined if a power flow equal to ((Base Case Flow * Security Factor) + Flow Increment) were to be compared to the actual Branch rating. </w:t>
      </w:r>
    </w:p>
    <w:p w14:paraId="1A2571EE" w14:textId="77777777" w:rsidR="0041584B" w:rsidRDefault="0041584B" w:rsidP="0041584B">
      <w:pPr>
        <w:pStyle w:val="DCSubHeading2Level2"/>
        <w:ind w:left="0"/>
      </w:pPr>
      <w:r>
        <w:br w:type="page"/>
      </w:r>
    </w:p>
    <w:p w14:paraId="29907341" w14:textId="77777777" w:rsidR="0041584B" w:rsidRDefault="0041584B" w:rsidP="0041584B">
      <w:pPr>
        <w:pStyle w:val="DCHeading3"/>
        <w:contextualSpacing/>
      </w:pPr>
      <w:bookmarkStart w:id="716" w:name="Attachment2"/>
      <w:bookmarkStart w:id="717" w:name="_Toc268553701"/>
      <w:bookmarkStart w:id="718" w:name="_Ref269306840"/>
      <w:bookmarkStart w:id="719" w:name="_Ref269306868"/>
      <w:bookmarkStart w:id="720" w:name="_Ref269306880"/>
      <w:bookmarkStart w:id="721" w:name="_Toc269379889"/>
      <w:bookmarkStart w:id="722" w:name="_Toc269720538"/>
      <w:bookmarkStart w:id="723" w:name="_Toc269721234"/>
      <w:r w:rsidRPr="00DC3216">
        <w:lastRenderedPageBreak/>
        <w:t>Attachment 2</w:t>
      </w:r>
      <w:bookmarkEnd w:id="716"/>
      <w:r w:rsidRPr="00DC3216">
        <w:t xml:space="preserve"> - Calculation of Peak and Off-Peak Charges – </w:t>
      </w:r>
    </w:p>
    <w:p w14:paraId="25A25C82" w14:textId="77777777" w:rsidR="0041584B" w:rsidRPr="00DC3216" w:rsidRDefault="0041584B" w:rsidP="0041584B">
      <w:pPr>
        <w:pStyle w:val="DCHeading3"/>
        <w:contextualSpacing/>
      </w:pPr>
      <w:r w:rsidRPr="00DC3216">
        <w:t>A simple example</w:t>
      </w:r>
      <w:bookmarkEnd w:id="717"/>
      <w:bookmarkEnd w:id="718"/>
      <w:bookmarkEnd w:id="719"/>
      <w:bookmarkEnd w:id="720"/>
      <w:bookmarkEnd w:id="721"/>
      <w:bookmarkEnd w:id="722"/>
      <w:bookmarkEnd w:id="723"/>
    </w:p>
    <w:p w14:paraId="60C39D2C" w14:textId="77777777" w:rsidR="0041584B" w:rsidRPr="00C96E40" w:rsidRDefault="0041584B" w:rsidP="0041584B">
      <w:pPr>
        <w:pStyle w:val="ListParagraph"/>
        <w:numPr>
          <w:ilvl w:val="0"/>
          <w:numId w:val="75"/>
        </w:numPr>
        <w:ind w:hanging="720"/>
        <w:contextualSpacing w:val="0"/>
        <w:jc w:val="both"/>
      </w:pPr>
      <w:r w:rsidRPr="00C96E40">
        <w:t xml:space="preserve">The attachment outlines the calculation of Peak and Off-peak Nodal marginal charges for a simple example shown in Figure 7. The Branch parameters (resistances and </w:t>
      </w:r>
      <w:proofErr w:type="spellStart"/>
      <w:r w:rsidRPr="00C96E40">
        <w:t>reactances</w:t>
      </w:r>
      <w:proofErr w:type="spellEnd"/>
      <w:r w:rsidRPr="00C96E40">
        <w:t>), and Branch Ratings (Winter/Summer) given in Figure 7 should be used only for illustrative purposes.</w:t>
      </w:r>
    </w:p>
    <w:p w14:paraId="4B7198CB" w14:textId="77777777" w:rsidR="0041584B" w:rsidRPr="00C96E40" w:rsidRDefault="0041584B" w:rsidP="0041584B">
      <w:pPr>
        <w:pStyle w:val="ListParagraph"/>
        <w:numPr>
          <w:ilvl w:val="0"/>
          <w:numId w:val="75"/>
        </w:numPr>
        <w:ind w:hanging="720"/>
        <w:contextualSpacing w:val="0"/>
        <w:jc w:val="both"/>
      </w:pPr>
      <w:r w:rsidRPr="00C96E40">
        <w:t>The network example shown in Figure 7</w:t>
      </w:r>
      <w:r>
        <w:t xml:space="preserve"> </w:t>
      </w:r>
      <w:r w:rsidRPr="00C96E40">
        <w:t xml:space="preserve">represents a single supply point, which supplies two network substations under Normal Running Arrangements. Node A represents a supply point and is modelled as a slack bus. </w:t>
      </w:r>
    </w:p>
    <w:p w14:paraId="5FFF8E98" w14:textId="77777777" w:rsidR="0041584B" w:rsidRDefault="0041584B" w:rsidP="0041584B">
      <w:pPr>
        <w:pStyle w:val="Caption"/>
      </w:pPr>
      <w:bookmarkStart w:id="724" w:name="_Ref252872391"/>
      <w:bookmarkStart w:id="725" w:name="_Toc255160522"/>
      <w:r w:rsidRPr="00050497">
        <w:rPr>
          <w:noProof/>
          <w:lang w:eastAsia="en-GB"/>
        </w:rPr>
        <w:drawing>
          <wp:anchor distT="0" distB="0" distL="114300" distR="114300" simplePos="0" relativeHeight="251665408" behindDoc="0" locked="0" layoutInCell="1" allowOverlap="1" wp14:anchorId="29FB4EB3" wp14:editId="2906E1AD">
            <wp:simplePos x="0" y="0"/>
            <wp:positionH relativeFrom="column">
              <wp:posOffset>389532</wp:posOffset>
            </wp:positionH>
            <wp:positionV relativeFrom="paragraph">
              <wp:posOffset>346931</wp:posOffset>
            </wp:positionV>
            <wp:extent cx="5045075" cy="3636010"/>
            <wp:effectExtent l="0" t="0" r="3175" b="2540"/>
            <wp:wrapTopAndBottom/>
            <wp:docPr id="11" name="Picture 11" descr="BaseCaseReactan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BaseCaseReactances"/>
                    <pic:cNvPicPr>
                      <a:picLocks noChangeAspect="1" noChangeArrowheads="1"/>
                    </pic:cNvPicPr>
                  </pic:nvPicPr>
                  <pic:blipFill>
                    <a:blip r:embed="rId73" cstate="print">
                      <a:extLst>
                        <a:ext uri="{28A0092B-C50C-407E-A947-70E740481C1C}">
                          <a14:useLocalDpi xmlns:a14="http://schemas.microsoft.com/office/drawing/2010/main" val="0"/>
                        </a:ext>
                      </a:extLst>
                    </a:blip>
                    <a:srcRect l="6329" r="43401"/>
                    <a:stretch>
                      <a:fillRect/>
                    </a:stretch>
                  </pic:blipFill>
                  <pic:spPr bwMode="auto">
                    <a:xfrm>
                      <a:off x="0" y="0"/>
                      <a:ext cx="5045075" cy="36360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50497">
        <w:t xml:space="preserve">Figure </w:t>
      </w:r>
      <w:r>
        <w:t>7</w:t>
      </w:r>
      <w:bookmarkEnd w:id="724"/>
      <w:r w:rsidRPr="00050497">
        <w:t xml:space="preserve"> - Branch </w:t>
      </w:r>
      <w:proofErr w:type="spellStart"/>
      <w:r w:rsidRPr="00050497">
        <w:t>reactances</w:t>
      </w:r>
      <w:proofErr w:type="spellEnd"/>
      <w:r w:rsidRPr="00050497">
        <w:t>, resistances and ratings.</w:t>
      </w:r>
      <w:bookmarkEnd w:id="725"/>
    </w:p>
    <w:p w14:paraId="6A0E37CE" w14:textId="77777777" w:rsidR="0041584B" w:rsidRPr="00DC3216" w:rsidRDefault="0041584B" w:rsidP="0041584B">
      <w:pPr>
        <w:pStyle w:val="ListParagraph"/>
        <w:numPr>
          <w:ilvl w:val="0"/>
          <w:numId w:val="75"/>
        </w:numPr>
        <w:ind w:hanging="720"/>
        <w:contextualSpacing w:val="0"/>
        <w:jc w:val="both"/>
      </w:pPr>
      <w:r w:rsidRPr="00DC3216">
        <w:t>Both the Maximum Demand Scenario and Minimum Demand Scenario are analysed in this example.</w:t>
      </w:r>
    </w:p>
    <w:p w14:paraId="3E7FCAD4" w14:textId="77777777" w:rsidR="0041584B" w:rsidRPr="00DC3216" w:rsidRDefault="0041584B" w:rsidP="0041584B">
      <w:pPr>
        <w:pStyle w:val="DCSubHeading1Level2"/>
      </w:pPr>
      <w:r w:rsidRPr="00DC3216">
        <w:t>Base Case Analysis</w:t>
      </w:r>
    </w:p>
    <w:p w14:paraId="4794FD8F" w14:textId="77777777" w:rsidR="0041584B" w:rsidRPr="00DC3216" w:rsidRDefault="0041584B" w:rsidP="0041584B">
      <w:pPr>
        <w:pStyle w:val="ListParagraph"/>
        <w:numPr>
          <w:ilvl w:val="0"/>
          <w:numId w:val="75"/>
        </w:numPr>
        <w:ind w:hanging="720"/>
        <w:contextualSpacing w:val="0"/>
        <w:jc w:val="both"/>
      </w:pPr>
      <w:r w:rsidRPr="00DC3216">
        <w:t xml:space="preserve">The network model populated with the Maximum Demand Data is represented by a load of 48MW and 14MVAr modelled at Node C and a load of 63MW and 15.8MVAr </w:t>
      </w:r>
      <w:r w:rsidRPr="00DC3216">
        <w:lastRenderedPageBreak/>
        <w:t>modelled at Node G. The generator connected to Node D does not export any MW/</w:t>
      </w:r>
      <w:proofErr w:type="spellStart"/>
      <w:r w:rsidRPr="00DC3216">
        <w:t>MVAr</w:t>
      </w:r>
      <w:proofErr w:type="spellEnd"/>
      <w:r w:rsidRPr="00DC3216">
        <w:t xml:space="preserve"> to the network. The Base Case Flows are shown in Figure 8.</w:t>
      </w:r>
    </w:p>
    <w:p w14:paraId="39D028EC" w14:textId="77777777" w:rsidR="0041584B" w:rsidRPr="00DC3216" w:rsidRDefault="0041584B" w:rsidP="0041584B">
      <w:pPr>
        <w:pStyle w:val="ListParagraph"/>
        <w:numPr>
          <w:ilvl w:val="0"/>
          <w:numId w:val="75"/>
        </w:numPr>
        <w:ind w:hanging="720"/>
        <w:contextualSpacing w:val="0"/>
        <w:jc w:val="both"/>
      </w:pPr>
      <w:r w:rsidRPr="00DC3216">
        <w:t xml:space="preserve">The network model is populated with the Minimum Demand Data by the application of an appropriate Scaling Factor to demand (load) connected to the Nodes. The generator connected to Node exports 5.0 MW and 2.0 </w:t>
      </w:r>
      <w:proofErr w:type="spellStart"/>
      <w:r w:rsidRPr="00DC3216">
        <w:t>MVAr</w:t>
      </w:r>
      <w:proofErr w:type="spellEnd"/>
      <w:r w:rsidRPr="00DC3216">
        <w:t xml:space="preserve"> in the network The Base Case Flows are shown in Figure 9.</w:t>
      </w:r>
    </w:p>
    <w:p w14:paraId="01BEB4A3" w14:textId="77777777" w:rsidR="0041584B" w:rsidRPr="00050497" w:rsidRDefault="0041584B" w:rsidP="0041584B">
      <w:pPr>
        <w:pStyle w:val="Caption"/>
      </w:pPr>
      <w:bookmarkStart w:id="726" w:name="_Ref252874074"/>
      <w:bookmarkStart w:id="727" w:name="_Toc255160523"/>
      <w:r w:rsidRPr="00050497">
        <w:rPr>
          <w:i/>
          <w:noProof/>
          <w:lang w:eastAsia="en-GB"/>
        </w:rPr>
        <w:drawing>
          <wp:anchor distT="0" distB="0" distL="114300" distR="114300" simplePos="0" relativeHeight="251663360" behindDoc="0" locked="0" layoutInCell="1" allowOverlap="1" wp14:anchorId="080C699E" wp14:editId="5F3C759D">
            <wp:simplePos x="0" y="0"/>
            <wp:positionH relativeFrom="margin">
              <wp:align>center</wp:align>
            </wp:positionH>
            <wp:positionV relativeFrom="paragraph">
              <wp:posOffset>399415</wp:posOffset>
            </wp:positionV>
            <wp:extent cx="4157980" cy="3091180"/>
            <wp:effectExtent l="0" t="0" r="0" b="0"/>
            <wp:wrapTopAndBottom/>
            <wp:docPr id="12" name="Picture 12" descr="BaseCaseWinterPeakFlow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BaseCaseWinterPeakFlows"/>
                    <pic:cNvPicPr>
                      <a:picLocks noChangeAspect="1" noChangeArrowheads="1"/>
                    </pic:cNvPicPr>
                  </pic:nvPicPr>
                  <pic:blipFill>
                    <a:blip r:embed="rId74" cstate="print">
                      <a:extLst>
                        <a:ext uri="{28A0092B-C50C-407E-A947-70E740481C1C}">
                          <a14:useLocalDpi xmlns:a14="http://schemas.microsoft.com/office/drawing/2010/main" val="0"/>
                        </a:ext>
                      </a:extLst>
                    </a:blip>
                    <a:srcRect l="11934" r="43942"/>
                    <a:stretch>
                      <a:fillRect/>
                    </a:stretch>
                  </pic:blipFill>
                  <pic:spPr bwMode="auto">
                    <a:xfrm>
                      <a:off x="0" y="0"/>
                      <a:ext cx="4157980" cy="30911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50497">
        <w:t xml:space="preserve">Figure </w:t>
      </w:r>
      <w:r>
        <w:t>8</w:t>
      </w:r>
      <w:bookmarkEnd w:id="726"/>
      <w:r w:rsidRPr="00050497">
        <w:t xml:space="preserve"> - Base Case Flows- Maximum Demand Scenario.</w:t>
      </w:r>
      <w:bookmarkEnd w:id="727"/>
    </w:p>
    <w:p w14:paraId="0C248EF6" w14:textId="77777777" w:rsidR="0041584B" w:rsidRPr="000F29C2" w:rsidRDefault="0041584B" w:rsidP="0041584B">
      <w:pPr>
        <w:pStyle w:val="Caption"/>
      </w:pPr>
      <w:bookmarkStart w:id="728" w:name="_Ref277949584"/>
      <w:r w:rsidRPr="000F29C2">
        <w:rPr>
          <w:noProof/>
        </w:rPr>
        <w:drawing>
          <wp:anchor distT="0" distB="0" distL="114300" distR="114300" simplePos="0" relativeHeight="251664384" behindDoc="0" locked="0" layoutInCell="1" allowOverlap="1" wp14:anchorId="2D78F01D" wp14:editId="13A0477A">
            <wp:simplePos x="0" y="0"/>
            <wp:positionH relativeFrom="margin">
              <wp:align>center</wp:align>
            </wp:positionH>
            <wp:positionV relativeFrom="paragraph">
              <wp:posOffset>3459314</wp:posOffset>
            </wp:positionV>
            <wp:extent cx="3959225" cy="3129280"/>
            <wp:effectExtent l="0" t="0" r="3175" b="0"/>
            <wp:wrapTopAndBottom/>
            <wp:docPr id="13" name="Picture 13" descr="BaseCasSummerPeakFlow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BaseCasSummerPeakFlows"/>
                    <pic:cNvPicPr>
                      <a:picLocks noChangeAspect="1" noChangeArrowheads="1"/>
                    </pic:cNvPicPr>
                  </pic:nvPicPr>
                  <pic:blipFill>
                    <a:blip r:embed="rId75" cstate="print">
                      <a:extLst>
                        <a:ext uri="{28A0092B-C50C-407E-A947-70E740481C1C}">
                          <a14:useLocalDpi xmlns:a14="http://schemas.microsoft.com/office/drawing/2010/main" val="0"/>
                        </a:ext>
                      </a:extLst>
                    </a:blip>
                    <a:srcRect l="11575" r="43942"/>
                    <a:stretch>
                      <a:fillRect/>
                    </a:stretch>
                  </pic:blipFill>
                  <pic:spPr bwMode="auto">
                    <a:xfrm>
                      <a:off x="0" y="0"/>
                      <a:ext cx="3959225" cy="31292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F29C2">
        <w:t>Figure 9</w:t>
      </w:r>
      <w:bookmarkEnd w:id="728"/>
      <w:r w:rsidRPr="000F29C2">
        <w:t xml:space="preserve"> - Base Case Flows- Minimum Demand Scenario.</w:t>
      </w:r>
    </w:p>
    <w:p w14:paraId="718D1A41" w14:textId="77777777" w:rsidR="0041584B" w:rsidRPr="00DC3216" w:rsidRDefault="0041584B" w:rsidP="0041584B">
      <w:pPr>
        <w:pStyle w:val="DCSubHeading1Level2"/>
        <w:keepLines/>
      </w:pPr>
      <w:r w:rsidRPr="00DC3216">
        <w:lastRenderedPageBreak/>
        <w:t>Contingency Analysis</w:t>
      </w:r>
    </w:p>
    <w:p w14:paraId="4D352ADC" w14:textId="77777777" w:rsidR="0041584B" w:rsidRPr="00DC3216" w:rsidRDefault="0041584B" w:rsidP="0041584B">
      <w:pPr>
        <w:pStyle w:val="ListParagraph"/>
        <w:numPr>
          <w:ilvl w:val="0"/>
          <w:numId w:val="75"/>
        </w:numPr>
        <w:ind w:hanging="720"/>
        <w:contextualSpacing w:val="0"/>
      </w:pPr>
      <w:r w:rsidRPr="00DC3216">
        <w:t xml:space="preserve">The Contingency Analysis focuses on three contingencies only. The post-contingent flows are given in </w:t>
      </w:r>
      <w:r w:rsidRPr="00050497">
        <w:rPr>
          <w:b/>
        </w:rPr>
        <w:t>Figure 10, Figure 11</w:t>
      </w:r>
      <w:r w:rsidRPr="00DC3216">
        <w:t xml:space="preserve">, and </w:t>
      </w:r>
      <w:r w:rsidRPr="00050497">
        <w:rPr>
          <w:b/>
        </w:rPr>
        <w:t>Figure 12</w:t>
      </w:r>
      <w:r w:rsidRPr="00DC3216">
        <w:t xml:space="preserve"> for the Maximum Demand Scenario and in </w:t>
      </w:r>
      <w:r w:rsidRPr="008A035C">
        <w:rPr>
          <w:b/>
        </w:rPr>
        <w:t xml:space="preserve">Figure 13, Figure 14, </w:t>
      </w:r>
      <w:r w:rsidRPr="00DC3216">
        <w:t xml:space="preserve">and </w:t>
      </w:r>
      <w:r w:rsidRPr="00050497">
        <w:rPr>
          <w:b/>
        </w:rPr>
        <w:t>Figure 15</w:t>
      </w:r>
      <w:r w:rsidRPr="00DC3216">
        <w:t xml:space="preserve"> for the Minimum Demand Scenario. The dashed line shows the Branches that are subject to the outage.</w:t>
      </w:r>
    </w:p>
    <w:p w14:paraId="0BBA2333" w14:textId="77777777" w:rsidR="0041584B" w:rsidRPr="00050497" w:rsidRDefault="0041584B" w:rsidP="0041584B">
      <w:pPr>
        <w:keepNext/>
        <w:keepLines/>
        <w:spacing w:after="0"/>
        <w:ind w:firstLine="720"/>
        <w:rPr>
          <w:b/>
        </w:rPr>
      </w:pPr>
      <w:bookmarkStart w:id="729" w:name="_Ref252874827"/>
      <w:bookmarkStart w:id="730" w:name="_Toc255160525"/>
      <w:r w:rsidRPr="00050497">
        <w:rPr>
          <w:b/>
        </w:rPr>
        <w:t xml:space="preserve">Figure </w:t>
      </w:r>
      <w:r>
        <w:rPr>
          <w:b/>
        </w:rPr>
        <w:t>10</w:t>
      </w:r>
      <w:bookmarkEnd w:id="729"/>
      <w:r w:rsidRPr="00050497">
        <w:rPr>
          <w:b/>
        </w:rPr>
        <w:t xml:space="preserve"> - Maximum Demand Scenario - Contingency Case 1.</w:t>
      </w:r>
      <w:bookmarkEnd w:id="730"/>
    </w:p>
    <w:p w14:paraId="7EE516DE" w14:textId="77777777" w:rsidR="0041584B" w:rsidRDefault="0041584B" w:rsidP="0041584B">
      <w:pPr>
        <w:pStyle w:val="DCSubHeading2Level2"/>
        <w:keepLines/>
      </w:pPr>
      <w:r w:rsidRPr="00050497">
        <w:rPr>
          <w:rFonts w:ascii="Times New Roman" w:eastAsia="Times New Roman" w:hAnsi="Times New Roman" w:cs="Times New Roman"/>
          <w:noProof/>
          <w:szCs w:val="24"/>
          <w:lang w:eastAsia="en-GB"/>
        </w:rPr>
        <w:drawing>
          <wp:inline distT="0" distB="0" distL="0" distR="0" wp14:anchorId="06E2DCFB" wp14:editId="48442B80">
            <wp:extent cx="3905250" cy="3001645"/>
            <wp:effectExtent l="0" t="0" r="0" b="8255"/>
            <wp:docPr id="14" name="Picture 14" descr="WPCas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WPCase1"/>
                    <pic:cNvPicPr>
                      <a:picLocks noChangeAspect="1" noChangeArrowheads="1"/>
                    </pic:cNvPicPr>
                  </pic:nvPicPr>
                  <pic:blipFill>
                    <a:blip r:embed="rId76" cstate="print">
                      <a:extLst>
                        <a:ext uri="{28A0092B-C50C-407E-A947-70E740481C1C}">
                          <a14:useLocalDpi xmlns:a14="http://schemas.microsoft.com/office/drawing/2010/main" val="0"/>
                        </a:ext>
                      </a:extLst>
                    </a:blip>
                    <a:srcRect l="11934" r="44305"/>
                    <a:stretch>
                      <a:fillRect/>
                    </a:stretch>
                  </pic:blipFill>
                  <pic:spPr bwMode="auto">
                    <a:xfrm>
                      <a:off x="0" y="0"/>
                      <a:ext cx="3905250" cy="3001645"/>
                    </a:xfrm>
                    <a:prstGeom prst="rect">
                      <a:avLst/>
                    </a:prstGeom>
                    <a:noFill/>
                    <a:ln>
                      <a:noFill/>
                    </a:ln>
                  </pic:spPr>
                </pic:pic>
              </a:graphicData>
            </a:graphic>
          </wp:inline>
        </w:drawing>
      </w:r>
    </w:p>
    <w:p w14:paraId="35AB3D75" w14:textId="77777777" w:rsidR="0041584B" w:rsidRPr="00050497" w:rsidRDefault="0041584B" w:rsidP="0041584B">
      <w:pPr>
        <w:spacing w:after="0"/>
        <w:ind w:firstLine="720"/>
        <w:rPr>
          <w:b/>
        </w:rPr>
      </w:pPr>
      <w:bookmarkStart w:id="731" w:name="_Ref277949666"/>
      <w:r w:rsidRPr="00050497">
        <w:rPr>
          <w:b/>
        </w:rPr>
        <w:t xml:space="preserve">Figure </w:t>
      </w:r>
      <w:r>
        <w:rPr>
          <w:b/>
        </w:rPr>
        <w:t>11</w:t>
      </w:r>
      <w:bookmarkEnd w:id="731"/>
      <w:r w:rsidRPr="00050497">
        <w:rPr>
          <w:b/>
        </w:rPr>
        <w:t xml:space="preserve"> - Maximum Demand Scenario - Contingency Case 2.</w:t>
      </w:r>
    </w:p>
    <w:p w14:paraId="05618042" w14:textId="77777777" w:rsidR="0041584B" w:rsidRDefault="0041584B" w:rsidP="0041584B">
      <w:pPr>
        <w:pStyle w:val="DCSubHeading2Level2"/>
      </w:pPr>
      <w:r w:rsidRPr="00050497">
        <w:rPr>
          <w:rFonts w:ascii="Times New Roman" w:eastAsia="Times New Roman" w:hAnsi="Times New Roman" w:cs="Times New Roman"/>
          <w:noProof/>
          <w:szCs w:val="24"/>
          <w:lang w:eastAsia="en-GB"/>
        </w:rPr>
        <w:drawing>
          <wp:inline distT="0" distB="0" distL="0" distR="0" wp14:anchorId="7A45AEAE" wp14:editId="5E4B399A">
            <wp:extent cx="4034155" cy="2926080"/>
            <wp:effectExtent l="0" t="0" r="4445" b="7620"/>
            <wp:docPr id="15" name="Picture 15" descr="WPCas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WPCase2"/>
                    <pic:cNvPicPr>
                      <a:picLocks noChangeAspect="1" noChangeArrowheads="1"/>
                    </pic:cNvPicPr>
                  </pic:nvPicPr>
                  <pic:blipFill>
                    <a:blip r:embed="rId77" cstate="print">
                      <a:extLst>
                        <a:ext uri="{28A0092B-C50C-407E-A947-70E740481C1C}">
                          <a14:useLocalDpi xmlns:a14="http://schemas.microsoft.com/office/drawing/2010/main" val="0"/>
                        </a:ext>
                      </a:extLst>
                    </a:blip>
                    <a:srcRect l="11394" r="44215"/>
                    <a:stretch>
                      <a:fillRect/>
                    </a:stretch>
                  </pic:blipFill>
                  <pic:spPr bwMode="auto">
                    <a:xfrm>
                      <a:off x="0" y="0"/>
                      <a:ext cx="4034155" cy="2926080"/>
                    </a:xfrm>
                    <a:prstGeom prst="rect">
                      <a:avLst/>
                    </a:prstGeom>
                    <a:noFill/>
                    <a:ln>
                      <a:noFill/>
                    </a:ln>
                  </pic:spPr>
                </pic:pic>
              </a:graphicData>
            </a:graphic>
          </wp:inline>
        </w:drawing>
      </w:r>
    </w:p>
    <w:p w14:paraId="088213C9" w14:textId="77777777" w:rsidR="0041584B" w:rsidRDefault="0041584B" w:rsidP="0041584B">
      <w:pPr>
        <w:spacing w:after="0" w:line="240" w:lineRule="auto"/>
        <w:rPr>
          <w:rFonts w:eastAsia="Times New Roman" w:cs="Times New Roman"/>
          <w:b/>
          <w:szCs w:val="24"/>
        </w:rPr>
      </w:pPr>
      <w:bookmarkStart w:id="732" w:name="_Ref277949675"/>
    </w:p>
    <w:p w14:paraId="013DB527" w14:textId="77777777" w:rsidR="0041584B" w:rsidRPr="00050497" w:rsidRDefault="0041584B" w:rsidP="0041584B">
      <w:pPr>
        <w:keepNext/>
        <w:spacing w:after="0" w:line="240" w:lineRule="auto"/>
        <w:ind w:firstLine="720"/>
        <w:rPr>
          <w:rFonts w:eastAsia="Times New Roman" w:cs="Times New Roman"/>
          <w:b/>
          <w:szCs w:val="24"/>
        </w:rPr>
      </w:pPr>
      <w:bookmarkStart w:id="733" w:name="_Toc391559971"/>
      <w:bookmarkStart w:id="734" w:name="_Toc510303091"/>
      <w:r w:rsidRPr="0098222A">
        <w:rPr>
          <w:noProof/>
        </w:rPr>
        <w:lastRenderedPageBreak/>
        <w:drawing>
          <wp:anchor distT="0" distB="0" distL="114300" distR="114300" simplePos="0" relativeHeight="251660288" behindDoc="0" locked="0" layoutInCell="1" allowOverlap="1" wp14:anchorId="06EDB479" wp14:editId="68312C2B">
            <wp:simplePos x="0" y="0"/>
            <wp:positionH relativeFrom="column">
              <wp:posOffset>457200</wp:posOffset>
            </wp:positionH>
            <wp:positionV relativeFrom="page">
              <wp:posOffset>1197566</wp:posOffset>
            </wp:positionV>
            <wp:extent cx="4397375" cy="3388995"/>
            <wp:effectExtent l="0" t="0" r="3175" b="1905"/>
            <wp:wrapTopAndBottom/>
            <wp:docPr id="983" name="Picture 983" descr="WPCas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WPCase3"/>
                    <pic:cNvPicPr>
                      <a:picLocks noChangeAspect="1" noChangeArrowheads="1"/>
                    </pic:cNvPicPr>
                  </pic:nvPicPr>
                  <pic:blipFill>
                    <a:blip r:embed="rId78" cstate="print">
                      <a:extLst>
                        <a:ext uri="{28A0092B-C50C-407E-A947-70E740481C1C}">
                          <a14:useLocalDpi xmlns:a14="http://schemas.microsoft.com/office/drawing/2010/main" val="0"/>
                        </a:ext>
                      </a:extLst>
                    </a:blip>
                    <a:srcRect l="11752" r="43942"/>
                    <a:stretch>
                      <a:fillRect/>
                    </a:stretch>
                  </pic:blipFill>
                  <pic:spPr bwMode="auto">
                    <a:xfrm>
                      <a:off x="0" y="0"/>
                      <a:ext cx="4397375" cy="3388995"/>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733"/>
      <w:bookmarkEnd w:id="734"/>
      <w:r w:rsidRPr="00050497">
        <w:rPr>
          <w:rFonts w:eastAsia="Times New Roman" w:cs="Times New Roman"/>
          <w:b/>
          <w:szCs w:val="24"/>
        </w:rPr>
        <w:t xml:space="preserve">Figure </w:t>
      </w:r>
      <w:r>
        <w:rPr>
          <w:rFonts w:eastAsia="Times New Roman" w:cs="Times New Roman"/>
          <w:b/>
          <w:szCs w:val="24"/>
        </w:rPr>
        <w:t>12</w:t>
      </w:r>
      <w:bookmarkEnd w:id="732"/>
      <w:r w:rsidRPr="00050497">
        <w:rPr>
          <w:rFonts w:eastAsia="Times New Roman" w:cs="Times New Roman"/>
          <w:b/>
          <w:szCs w:val="24"/>
        </w:rPr>
        <w:t xml:space="preserve"> - Maximum Demand Scenario - Contingency Case 3.</w:t>
      </w:r>
    </w:p>
    <w:p w14:paraId="375B564F" w14:textId="77777777" w:rsidR="0041584B" w:rsidRDefault="0041584B" w:rsidP="0041584B">
      <w:pPr>
        <w:spacing w:after="200" w:line="276" w:lineRule="auto"/>
        <w:ind w:firstLine="720"/>
        <w:rPr>
          <w:b/>
        </w:rPr>
      </w:pPr>
      <w:bookmarkStart w:id="735" w:name="_Ref277949691"/>
    </w:p>
    <w:p w14:paraId="460AF6EE" w14:textId="77777777" w:rsidR="0041584B" w:rsidRPr="00213B09" w:rsidRDefault="0041584B" w:rsidP="0041584B">
      <w:pPr>
        <w:spacing w:after="200" w:line="276" w:lineRule="auto"/>
        <w:ind w:firstLine="720"/>
        <w:rPr>
          <w:b/>
        </w:rPr>
      </w:pPr>
      <w:r w:rsidRPr="00213B09">
        <w:rPr>
          <w:noProof/>
          <w:lang w:eastAsia="en-GB"/>
        </w:rPr>
        <w:drawing>
          <wp:anchor distT="0" distB="0" distL="114300" distR="114300" simplePos="0" relativeHeight="251669504" behindDoc="0" locked="0" layoutInCell="1" allowOverlap="1" wp14:anchorId="41785FE3" wp14:editId="42036161">
            <wp:simplePos x="0" y="0"/>
            <wp:positionH relativeFrom="column">
              <wp:posOffset>409334</wp:posOffset>
            </wp:positionH>
            <wp:positionV relativeFrom="paragraph">
              <wp:posOffset>348352</wp:posOffset>
            </wp:positionV>
            <wp:extent cx="4445635" cy="3325495"/>
            <wp:effectExtent l="0" t="0" r="0" b="8255"/>
            <wp:wrapTopAndBottom/>
            <wp:docPr id="80" name="Picture 80" descr="SPCas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SPCase1"/>
                    <pic:cNvPicPr>
                      <a:picLocks noChangeAspect="1" noChangeArrowheads="1"/>
                    </pic:cNvPicPr>
                  </pic:nvPicPr>
                  <pic:blipFill>
                    <a:blip r:embed="rId79" cstate="print">
                      <a:extLst>
                        <a:ext uri="{28A0092B-C50C-407E-A947-70E740481C1C}">
                          <a14:useLocalDpi xmlns:a14="http://schemas.microsoft.com/office/drawing/2010/main" val="0"/>
                        </a:ext>
                      </a:extLst>
                    </a:blip>
                    <a:srcRect l="11394" r="44032"/>
                    <a:stretch>
                      <a:fillRect/>
                    </a:stretch>
                  </pic:blipFill>
                  <pic:spPr bwMode="auto">
                    <a:xfrm>
                      <a:off x="0" y="0"/>
                      <a:ext cx="4445635" cy="33254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13B09">
        <w:rPr>
          <w:b/>
        </w:rPr>
        <w:t xml:space="preserve">Figure </w:t>
      </w:r>
      <w:r>
        <w:rPr>
          <w:b/>
        </w:rPr>
        <w:t>13</w:t>
      </w:r>
      <w:bookmarkEnd w:id="735"/>
      <w:r w:rsidRPr="00213B09">
        <w:rPr>
          <w:b/>
        </w:rPr>
        <w:t xml:space="preserve"> - Minimum Demand Scenario - Contingency Case 1.</w:t>
      </w:r>
    </w:p>
    <w:p w14:paraId="2DAFF2C9" w14:textId="77777777" w:rsidR="0041584B" w:rsidRPr="00213B09" w:rsidRDefault="0041584B" w:rsidP="0041584B">
      <w:pPr>
        <w:keepNext/>
        <w:keepLines/>
        <w:spacing w:after="0"/>
        <w:ind w:firstLine="720"/>
        <w:rPr>
          <w:b/>
        </w:rPr>
      </w:pPr>
      <w:bookmarkStart w:id="736" w:name="_Ref277949705"/>
      <w:r w:rsidRPr="00213B09">
        <w:rPr>
          <w:b/>
        </w:rPr>
        <w:lastRenderedPageBreak/>
        <w:t xml:space="preserve">Figure </w:t>
      </w:r>
      <w:r>
        <w:rPr>
          <w:b/>
        </w:rPr>
        <w:t>14</w:t>
      </w:r>
      <w:bookmarkEnd w:id="736"/>
      <w:r w:rsidRPr="00213B09">
        <w:rPr>
          <w:b/>
        </w:rPr>
        <w:t xml:space="preserve"> - Minimum Demand Scenario - Contingency Case 2</w:t>
      </w:r>
    </w:p>
    <w:p w14:paraId="5201D931" w14:textId="77777777" w:rsidR="0041584B" w:rsidRDefault="0041584B" w:rsidP="0041584B">
      <w:pPr>
        <w:pStyle w:val="DCSubHeading2Level2"/>
      </w:pPr>
      <w:bookmarkStart w:id="737" w:name="_Toc391559972"/>
      <w:bookmarkStart w:id="738" w:name="_Toc510303092"/>
      <w:r w:rsidRPr="00213B09">
        <w:rPr>
          <w:noProof/>
          <w:lang w:eastAsia="en-GB"/>
        </w:rPr>
        <w:drawing>
          <wp:inline distT="0" distB="0" distL="0" distR="0" wp14:anchorId="16BB9EE2" wp14:editId="36CAF302">
            <wp:extent cx="4271010" cy="3184525"/>
            <wp:effectExtent l="0" t="0" r="0" b="0"/>
            <wp:docPr id="81" name="Picture 81" descr="SPCas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SPCase2"/>
                    <pic:cNvPicPr>
                      <a:picLocks noChangeAspect="1" noChangeArrowheads="1"/>
                    </pic:cNvPicPr>
                  </pic:nvPicPr>
                  <pic:blipFill>
                    <a:blip r:embed="rId80" cstate="print">
                      <a:extLst>
                        <a:ext uri="{28A0092B-C50C-407E-A947-70E740481C1C}">
                          <a14:useLocalDpi xmlns:a14="http://schemas.microsoft.com/office/drawing/2010/main" val="0"/>
                        </a:ext>
                      </a:extLst>
                    </a:blip>
                    <a:srcRect l="11575" r="43037"/>
                    <a:stretch>
                      <a:fillRect/>
                    </a:stretch>
                  </pic:blipFill>
                  <pic:spPr bwMode="auto">
                    <a:xfrm>
                      <a:off x="0" y="0"/>
                      <a:ext cx="4271010" cy="3184525"/>
                    </a:xfrm>
                    <a:prstGeom prst="rect">
                      <a:avLst/>
                    </a:prstGeom>
                    <a:noFill/>
                    <a:ln>
                      <a:noFill/>
                    </a:ln>
                  </pic:spPr>
                </pic:pic>
              </a:graphicData>
            </a:graphic>
          </wp:inline>
        </w:drawing>
      </w:r>
      <w:bookmarkEnd w:id="737"/>
      <w:bookmarkEnd w:id="738"/>
    </w:p>
    <w:p w14:paraId="2BF61447" w14:textId="77777777" w:rsidR="0041584B" w:rsidRDefault="0041584B" w:rsidP="0041584B">
      <w:pPr>
        <w:spacing w:after="0"/>
        <w:ind w:firstLine="720"/>
        <w:rPr>
          <w:b/>
        </w:rPr>
      </w:pPr>
      <w:bookmarkStart w:id="739" w:name="_Ref252875434"/>
      <w:bookmarkStart w:id="740" w:name="_Toc255160530"/>
    </w:p>
    <w:p w14:paraId="1A74BBB7" w14:textId="77777777" w:rsidR="0041584B" w:rsidRPr="00213B09" w:rsidRDefault="0041584B" w:rsidP="0041584B">
      <w:pPr>
        <w:spacing w:after="0"/>
        <w:ind w:firstLine="720"/>
        <w:rPr>
          <w:b/>
        </w:rPr>
      </w:pPr>
      <w:r w:rsidRPr="00213B09">
        <w:rPr>
          <w:b/>
        </w:rPr>
        <w:t xml:space="preserve">Figure </w:t>
      </w:r>
      <w:r>
        <w:rPr>
          <w:b/>
        </w:rPr>
        <w:t>15</w:t>
      </w:r>
      <w:bookmarkEnd w:id="739"/>
      <w:r w:rsidRPr="00213B09">
        <w:rPr>
          <w:b/>
        </w:rPr>
        <w:t xml:space="preserve"> - Minimum Demand Scenario - Contingency Case 3.</w:t>
      </w:r>
      <w:bookmarkEnd w:id="740"/>
    </w:p>
    <w:p w14:paraId="0B521FBE" w14:textId="77777777" w:rsidR="0041584B" w:rsidRDefault="0041584B" w:rsidP="0041584B">
      <w:pPr>
        <w:pStyle w:val="DCSubHeading2Level2"/>
      </w:pPr>
      <w:bookmarkStart w:id="741" w:name="_Toc391559973"/>
      <w:bookmarkStart w:id="742" w:name="_Toc510303093"/>
      <w:r w:rsidRPr="00213B09">
        <w:rPr>
          <w:noProof/>
          <w:lang w:eastAsia="en-GB"/>
        </w:rPr>
        <w:drawing>
          <wp:inline distT="0" distB="0" distL="0" distR="0" wp14:anchorId="22D96254" wp14:editId="089DF8C0">
            <wp:extent cx="4281805" cy="3098165"/>
            <wp:effectExtent l="0" t="0" r="4445" b="6985"/>
            <wp:docPr id="82" name="Picture 82" descr="SPCas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SPCase3"/>
                    <pic:cNvPicPr>
                      <a:picLocks noChangeAspect="1" noChangeArrowheads="1"/>
                    </pic:cNvPicPr>
                  </pic:nvPicPr>
                  <pic:blipFill>
                    <a:blip r:embed="rId81" cstate="print">
                      <a:extLst>
                        <a:ext uri="{28A0092B-C50C-407E-A947-70E740481C1C}">
                          <a14:useLocalDpi xmlns:a14="http://schemas.microsoft.com/office/drawing/2010/main" val="0"/>
                        </a:ext>
                      </a:extLst>
                    </a:blip>
                    <a:srcRect l="11752" r="43942"/>
                    <a:stretch>
                      <a:fillRect/>
                    </a:stretch>
                  </pic:blipFill>
                  <pic:spPr bwMode="auto">
                    <a:xfrm>
                      <a:off x="0" y="0"/>
                      <a:ext cx="4281805" cy="3098165"/>
                    </a:xfrm>
                    <a:prstGeom prst="rect">
                      <a:avLst/>
                    </a:prstGeom>
                    <a:noFill/>
                    <a:ln>
                      <a:noFill/>
                    </a:ln>
                  </pic:spPr>
                </pic:pic>
              </a:graphicData>
            </a:graphic>
          </wp:inline>
        </w:drawing>
      </w:r>
      <w:bookmarkEnd w:id="741"/>
      <w:bookmarkEnd w:id="742"/>
      <w:r>
        <w:br w:type="page"/>
      </w:r>
    </w:p>
    <w:p w14:paraId="689881B4" w14:textId="77777777" w:rsidR="0041584B" w:rsidRDefault="0041584B" w:rsidP="0041584B">
      <w:pPr>
        <w:pStyle w:val="DCSubHeading2Level2"/>
      </w:pPr>
    </w:p>
    <w:p w14:paraId="3DB4D3BF" w14:textId="77777777" w:rsidR="0041584B" w:rsidRPr="00747FD1" w:rsidRDefault="0041584B" w:rsidP="0041584B">
      <w:pPr>
        <w:pStyle w:val="ListParagraph"/>
        <w:numPr>
          <w:ilvl w:val="0"/>
          <w:numId w:val="75"/>
        </w:numPr>
        <w:ind w:hanging="720"/>
        <w:rPr>
          <w:b/>
        </w:rPr>
      </w:pPr>
      <w:r w:rsidRPr="00B36BCA">
        <w:t>The calculation of Security Factors is summarised in</w:t>
      </w:r>
      <w:r>
        <w:t xml:space="preserve"> Table 7</w:t>
      </w:r>
      <w:r w:rsidRPr="00B36BCA">
        <w:t xml:space="preserve"> and</w:t>
      </w:r>
      <w:r>
        <w:t xml:space="preserve"> Table 7A </w:t>
      </w:r>
      <w:r w:rsidRPr="00B36BCA">
        <w:t>for the Maximum Demand Scenario and Minimum Demand Scenario, respectively. Each table contains information (for all Branches and both Maximum Demand and Minimum Demand Scenario) related to:</w:t>
      </w:r>
    </w:p>
    <w:p w14:paraId="5D2C1BCE" w14:textId="77777777" w:rsidR="0041584B" w:rsidRPr="00B36BCA" w:rsidRDefault="0041584B" w:rsidP="0041584B">
      <w:pPr>
        <w:pStyle w:val="DCNormParaL3"/>
        <w:numPr>
          <w:ilvl w:val="0"/>
          <w:numId w:val="51"/>
        </w:numPr>
      </w:pPr>
      <w:r w:rsidRPr="00B36BCA">
        <w:t>Base Case Flows.</w:t>
      </w:r>
    </w:p>
    <w:p w14:paraId="00338A60" w14:textId="77777777" w:rsidR="0041584B" w:rsidRPr="00B36BCA" w:rsidRDefault="0041584B" w:rsidP="0041584B">
      <w:pPr>
        <w:pStyle w:val="DCNormParaL3"/>
        <w:numPr>
          <w:ilvl w:val="0"/>
          <w:numId w:val="51"/>
        </w:numPr>
      </w:pPr>
      <w:r w:rsidRPr="00B36BCA">
        <w:t>Maximum Contingency Flow.</w:t>
      </w:r>
    </w:p>
    <w:p w14:paraId="545044DD" w14:textId="77777777" w:rsidR="0041584B" w:rsidRPr="00B36BCA" w:rsidRDefault="0041584B" w:rsidP="0041584B">
      <w:pPr>
        <w:pStyle w:val="DCNormParaL3"/>
        <w:numPr>
          <w:ilvl w:val="0"/>
          <w:numId w:val="51"/>
        </w:numPr>
      </w:pPr>
      <w:r w:rsidRPr="00B36BCA">
        <w:t>Security Factor which is a ratio of Maximum Contingency Flow and Base Case Flow.</w:t>
      </w:r>
    </w:p>
    <w:p w14:paraId="266EB0C6" w14:textId="77777777" w:rsidR="0041584B" w:rsidRPr="00B36BCA" w:rsidRDefault="0041584B" w:rsidP="0041584B">
      <w:pPr>
        <w:pStyle w:val="DCNormParaL3"/>
        <w:numPr>
          <w:ilvl w:val="0"/>
          <w:numId w:val="51"/>
        </w:numPr>
      </w:pPr>
      <w:r w:rsidRPr="00B36BCA">
        <w:t>Contingency Case referring to the contingency case that causes the Maximum Contingency Flow.</w:t>
      </w:r>
    </w:p>
    <w:p w14:paraId="7F805FA9" w14:textId="77777777" w:rsidR="0041584B" w:rsidRPr="00B36BCA" w:rsidRDefault="0041584B" w:rsidP="0041584B">
      <w:pPr>
        <w:pStyle w:val="DCNormParaL3"/>
        <w:numPr>
          <w:ilvl w:val="0"/>
          <w:numId w:val="51"/>
        </w:numPr>
      </w:pPr>
      <w:r w:rsidRPr="00B36BCA">
        <w:t>Branch Winter/Summer Rating.</w:t>
      </w:r>
    </w:p>
    <w:p w14:paraId="7AE2DE63" w14:textId="77777777" w:rsidR="0041584B" w:rsidRPr="00B36BCA" w:rsidRDefault="0041584B" w:rsidP="0041584B">
      <w:pPr>
        <w:pStyle w:val="DCNormParaL3"/>
        <w:numPr>
          <w:ilvl w:val="0"/>
          <w:numId w:val="51"/>
        </w:numPr>
      </w:pPr>
      <w:r w:rsidRPr="00B36BCA">
        <w:t>Branch Capacity which is a ratio of the corresponding Branch Rating and Security Factor.</w:t>
      </w:r>
    </w:p>
    <w:p w14:paraId="6C7A6FE0" w14:textId="77777777" w:rsidR="0041584B" w:rsidRDefault="0041584B" w:rsidP="0041584B">
      <w:pPr>
        <w:pStyle w:val="DCNormParaL3"/>
        <w:numPr>
          <w:ilvl w:val="0"/>
          <w:numId w:val="51"/>
        </w:numPr>
      </w:pPr>
      <w:r w:rsidRPr="00B36BCA">
        <w:t>Years to Reinforcement (base) - which is a year when the corresponding Branch will reach its Branch Capacity assuming annual Branch flow growth of 1% based on an exponential growth function. For, example Branch B5 will reach its Branch Capacity after 35.49 years for Maximum Demand Scenario because:</w:t>
      </w:r>
    </w:p>
    <w:p w14:paraId="3022E494" w14:textId="77777777" w:rsidR="0041584B" w:rsidRPr="00C70D7F" w:rsidRDefault="0041584B" w:rsidP="0041584B">
      <w:pPr>
        <w:pStyle w:val="DCNormParabulletptL2"/>
        <w:jc w:val="center"/>
      </w:pPr>
      <m:oMath>
        <m:r>
          <m:rPr>
            <m:sty m:val="p"/>
          </m:rPr>
          <w:rPr>
            <w:rFonts w:ascii="Cambria Math" w:hAnsi="Cambria Math"/>
          </w:rPr>
          <m:t>34.70=24.38*</m:t>
        </m:r>
        <m:sSup>
          <m:sSupPr>
            <m:ctrlPr>
              <w:rPr>
                <w:rFonts w:ascii="Cambria Math" w:eastAsia="Calibri" w:hAnsi="Cambria Math"/>
                <w:lang w:val="en-US"/>
              </w:rPr>
            </m:ctrlPr>
          </m:sSupPr>
          <m:e>
            <m:r>
              <m:rPr>
                <m:sty m:val="p"/>
              </m:rPr>
              <w:rPr>
                <w:rFonts w:ascii="Cambria Math" w:hAnsi="Cambria Math"/>
              </w:rPr>
              <m:t>(1+0.01)</m:t>
            </m:r>
          </m:e>
          <m:sup>
            <m:r>
              <m:rPr>
                <m:sty m:val="p"/>
              </m:rPr>
              <w:rPr>
                <w:rFonts w:ascii="Cambria Math" w:hAnsi="Cambria Math"/>
              </w:rPr>
              <m:t>35.49</m:t>
            </m:r>
          </m:sup>
        </m:sSup>
      </m:oMath>
    </w:p>
    <w:p w14:paraId="45A7D383" w14:textId="77777777" w:rsidR="0041584B" w:rsidRDefault="0041584B" w:rsidP="0041584B">
      <w:pPr>
        <w:pStyle w:val="Caption"/>
      </w:pPr>
      <w:bookmarkStart w:id="743" w:name="_Ref252885335"/>
      <w:bookmarkStart w:id="744" w:name="_Toc253698472"/>
      <w:r>
        <w:br w:type="page"/>
      </w:r>
    </w:p>
    <w:p w14:paraId="526A28F2" w14:textId="77777777" w:rsidR="0041584B" w:rsidRPr="00213B09" w:rsidRDefault="0041584B" w:rsidP="0041584B">
      <w:pPr>
        <w:pStyle w:val="Caption"/>
      </w:pPr>
      <w:r w:rsidRPr="00213B09">
        <w:lastRenderedPageBreak/>
        <w:t xml:space="preserve">Table </w:t>
      </w:r>
      <w:r>
        <w:t>7</w:t>
      </w:r>
      <w:bookmarkEnd w:id="743"/>
      <w:r w:rsidRPr="00213B09">
        <w:t xml:space="preserve"> - Calculation of Maximum Contingency Flow, Security Factors and Years to Reinforcement (Base Case) - Maximum Demand Scenario</w:t>
      </w:r>
      <w:bookmarkEnd w:id="744"/>
      <w:r w:rsidRPr="00213B09">
        <w:t>.</w:t>
      </w:r>
    </w:p>
    <w:tbl>
      <w:tblPr>
        <w:tblStyle w:val="GridTable4-Accent3"/>
        <w:tblW w:w="10768" w:type="dxa"/>
        <w:jc w:val="center"/>
        <w:tblLayout w:type="fixed"/>
        <w:tblLook w:val="0620" w:firstRow="1" w:lastRow="0" w:firstColumn="0" w:lastColumn="0" w:noHBand="1" w:noVBand="1"/>
      </w:tblPr>
      <w:tblGrid>
        <w:gridCol w:w="993"/>
        <w:gridCol w:w="1275"/>
        <w:gridCol w:w="1560"/>
        <w:gridCol w:w="1275"/>
        <w:gridCol w:w="1560"/>
        <w:gridCol w:w="992"/>
        <w:gridCol w:w="1271"/>
        <w:gridCol w:w="1842"/>
      </w:tblGrid>
      <w:tr w:rsidR="0041584B" w:rsidRPr="00C70D7F" w14:paraId="6B4EF1BF" w14:textId="77777777" w:rsidTr="0041584B">
        <w:trPr>
          <w:cnfStyle w:val="100000000000" w:firstRow="1" w:lastRow="0" w:firstColumn="0" w:lastColumn="0" w:oddVBand="0" w:evenVBand="0" w:oddHBand="0" w:evenHBand="0" w:firstRowFirstColumn="0" w:firstRowLastColumn="0" w:lastRowFirstColumn="0" w:lastRowLastColumn="0"/>
          <w:trHeight w:val="255"/>
          <w:jc w:val="center"/>
        </w:trPr>
        <w:tc>
          <w:tcPr>
            <w:tcW w:w="993" w:type="dxa"/>
            <w:noWrap/>
          </w:tcPr>
          <w:p w14:paraId="4DB1BC62" w14:textId="77777777" w:rsidR="0041584B" w:rsidRPr="001F7BF0" w:rsidRDefault="0041584B" w:rsidP="0041584B">
            <w:pPr>
              <w:pStyle w:val="DCUSATabletextnumbers"/>
              <w:rPr>
                <w:b/>
              </w:rPr>
            </w:pPr>
            <w:r w:rsidRPr="001F7BF0">
              <w:rPr>
                <w:b/>
              </w:rPr>
              <w:t>Branch</w:t>
            </w:r>
          </w:p>
        </w:tc>
        <w:tc>
          <w:tcPr>
            <w:tcW w:w="1275" w:type="dxa"/>
            <w:noWrap/>
          </w:tcPr>
          <w:p w14:paraId="3694C7BB" w14:textId="77777777" w:rsidR="0041584B" w:rsidRPr="001F7BF0" w:rsidRDefault="0041584B" w:rsidP="0041584B">
            <w:pPr>
              <w:pStyle w:val="DCUSATabletextnumbers"/>
              <w:rPr>
                <w:b/>
              </w:rPr>
            </w:pPr>
            <w:r w:rsidRPr="001F7BF0">
              <w:rPr>
                <w:b/>
              </w:rPr>
              <w:t>Base Case Flows (MVA)</w:t>
            </w:r>
          </w:p>
        </w:tc>
        <w:tc>
          <w:tcPr>
            <w:tcW w:w="1560" w:type="dxa"/>
            <w:noWrap/>
          </w:tcPr>
          <w:p w14:paraId="04BF1965" w14:textId="77777777" w:rsidR="0041584B" w:rsidRPr="001F7BF0" w:rsidRDefault="0041584B" w:rsidP="0041584B">
            <w:pPr>
              <w:pStyle w:val="DCUSATabletextnumbers"/>
              <w:rPr>
                <w:b/>
              </w:rPr>
            </w:pPr>
            <w:r w:rsidRPr="001F7BF0">
              <w:rPr>
                <w:b/>
              </w:rPr>
              <w:t xml:space="preserve">Maximum Contingency </w:t>
            </w:r>
            <w:proofErr w:type="gramStart"/>
            <w:r w:rsidRPr="001F7BF0">
              <w:rPr>
                <w:b/>
              </w:rPr>
              <w:t>Flow(</w:t>
            </w:r>
            <w:proofErr w:type="gramEnd"/>
            <w:r w:rsidRPr="001F7BF0">
              <w:rPr>
                <w:b/>
              </w:rPr>
              <w:t>MVA)</w:t>
            </w:r>
          </w:p>
        </w:tc>
        <w:tc>
          <w:tcPr>
            <w:tcW w:w="1275" w:type="dxa"/>
            <w:noWrap/>
          </w:tcPr>
          <w:p w14:paraId="323DDD9B" w14:textId="77777777" w:rsidR="0041584B" w:rsidRPr="001F7BF0" w:rsidRDefault="0041584B" w:rsidP="0041584B">
            <w:pPr>
              <w:pStyle w:val="DCUSATabletextnumbers"/>
              <w:rPr>
                <w:b/>
              </w:rPr>
            </w:pPr>
            <w:r w:rsidRPr="001F7BF0">
              <w:rPr>
                <w:b/>
              </w:rPr>
              <w:t>Security Factor</w:t>
            </w:r>
          </w:p>
        </w:tc>
        <w:tc>
          <w:tcPr>
            <w:tcW w:w="1560" w:type="dxa"/>
          </w:tcPr>
          <w:p w14:paraId="0A6B59B4" w14:textId="77777777" w:rsidR="0041584B" w:rsidRPr="001F7BF0" w:rsidRDefault="0041584B" w:rsidP="0041584B">
            <w:pPr>
              <w:pStyle w:val="DCUSATabletextnumbers"/>
              <w:rPr>
                <w:b/>
              </w:rPr>
            </w:pPr>
            <w:r w:rsidRPr="001F7BF0">
              <w:rPr>
                <w:b/>
              </w:rPr>
              <w:t>Contingency Case</w:t>
            </w:r>
          </w:p>
        </w:tc>
        <w:tc>
          <w:tcPr>
            <w:tcW w:w="992" w:type="dxa"/>
            <w:noWrap/>
          </w:tcPr>
          <w:p w14:paraId="535D126D" w14:textId="77777777" w:rsidR="0041584B" w:rsidRPr="001F7BF0" w:rsidRDefault="0041584B" w:rsidP="0041584B">
            <w:pPr>
              <w:pStyle w:val="DCUSATabletextnumbers"/>
              <w:rPr>
                <w:b/>
              </w:rPr>
            </w:pPr>
            <w:r w:rsidRPr="001F7BF0">
              <w:rPr>
                <w:b/>
              </w:rPr>
              <w:t>Winter Rating (MVA)</w:t>
            </w:r>
          </w:p>
        </w:tc>
        <w:tc>
          <w:tcPr>
            <w:tcW w:w="1271" w:type="dxa"/>
            <w:noWrap/>
          </w:tcPr>
          <w:p w14:paraId="3498B6BE" w14:textId="77777777" w:rsidR="0041584B" w:rsidRPr="001F7BF0" w:rsidRDefault="0041584B" w:rsidP="0041584B">
            <w:pPr>
              <w:pStyle w:val="DCUSATabletextnumbers"/>
              <w:rPr>
                <w:b/>
              </w:rPr>
            </w:pPr>
            <w:r w:rsidRPr="001F7BF0">
              <w:rPr>
                <w:b/>
              </w:rPr>
              <w:t>Branch Capacity (MVA)</w:t>
            </w:r>
          </w:p>
        </w:tc>
        <w:tc>
          <w:tcPr>
            <w:tcW w:w="1842" w:type="dxa"/>
            <w:noWrap/>
          </w:tcPr>
          <w:p w14:paraId="61A75403" w14:textId="77777777" w:rsidR="0041584B" w:rsidRPr="001F7BF0" w:rsidRDefault="0041584B" w:rsidP="0041584B">
            <w:pPr>
              <w:pStyle w:val="DCUSATabletextnumbers"/>
              <w:rPr>
                <w:b/>
              </w:rPr>
            </w:pPr>
            <w:r w:rsidRPr="001F7BF0">
              <w:rPr>
                <w:b/>
              </w:rPr>
              <w:t>Years to Reinforcement (base)</w:t>
            </w:r>
          </w:p>
        </w:tc>
      </w:tr>
      <w:tr w:rsidR="0041584B" w:rsidRPr="00C70D7F" w14:paraId="69C2352D" w14:textId="77777777" w:rsidTr="0041584B">
        <w:trPr>
          <w:trHeight w:val="255"/>
          <w:jc w:val="center"/>
        </w:trPr>
        <w:tc>
          <w:tcPr>
            <w:tcW w:w="993" w:type="dxa"/>
            <w:noWrap/>
          </w:tcPr>
          <w:p w14:paraId="4E9D137D" w14:textId="77777777" w:rsidR="0041584B" w:rsidRPr="00C70D7F" w:rsidRDefault="0041584B" w:rsidP="0041584B">
            <w:pPr>
              <w:pStyle w:val="DCUSATableText"/>
              <w:rPr>
                <w:lang w:val="en-US"/>
              </w:rPr>
            </w:pPr>
            <w:r w:rsidRPr="00C70D7F">
              <w:rPr>
                <w:lang w:val="en-US"/>
              </w:rPr>
              <w:t>B5</w:t>
            </w:r>
          </w:p>
        </w:tc>
        <w:tc>
          <w:tcPr>
            <w:tcW w:w="1275" w:type="dxa"/>
            <w:noWrap/>
          </w:tcPr>
          <w:p w14:paraId="7B0179D9" w14:textId="77777777" w:rsidR="0041584B" w:rsidRPr="00C70D7F" w:rsidRDefault="0041584B" w:rsidP="0041584B">
            <w:pPr>
              <w:pStyle w:val="DCUSATableText"/>
            </w:pPr>
            <w:r w:rsidRPr="00C70D7F">
              <w:t>24.38</w:t>
            </w:r>
          </w:p>
        </w:tc>
        <w:tc>
          <w:tcPr>
            <w:tcW w:w="1560" w:type="dxa"/>
            <w:noWrap/>
          </w:tcPr>
          <w:p w14:paraId="02AC7910" w14:textId="77777777" w:rsidR="0041584B" w:rsidRPr="00C70D7F" w:rsidRDefault="0041584B" w:rsidP="0041584B">
            <w:pPr>
              <w:pStyle w:val="DCUSATableText"/>
            </w:pPr>
            <w:r w:rsidRPr="00C70D7F">
              <w:t>52.69</w:t>
            </w:r>
          </w:p>
        </w:tc>
        <w:tc>
          <w:tcPr>
            <w:tcW w:w="1275" w:type="dxa"/>
            <w:noWrap/>
          </w:tcPr>
          <w:p w14:paraId="2DAD1EC6" w14:textId="77777777" w:rsidR="0041584B" w:rsidRPr="00C70D7F" w:rsidRDefault="0041584B" w:rsidP="0041584B">
            <w:pPr>
              <w:pStyle w:val="DCUSATableText"/>
            </w:pPr>
            <w:r w:rsidRPr="00C70D7F">
              <w:t>2.16</w:t>
            </w:r>
          </w:p>
        </w:tc>
        <w:tc>
          <w:tcPr>
            <w:tcW w:w="1560" w:type="dxa"/>
          </w:tcPr>
          <w:p w14:paraId="6582621A" w14:textId="77777777" w:rsidR="0041584B" w:rsidRPr="00C70D7F" w:rsidRDefault="0041584B" w:rsidP="0041584B">
            <w:pPr>
              <w:pStyle w:val="DCUSATableText"/>
            </w:pPr>
            <w:r w:rsidRPr="00C70D7F">
              <w:t>1</w:t>
            </w:r>
          </w:p>
        </w:tc>
        <w:tc>
          <w:tcPr>
            <w:tcW w:w="992" w:type="dxa"/>
            <w:noWrap/>
          </w:tcPr>
          <w:p w14:paraId="55FA7DEC" w14:textId="77777777" w:rsidR="0041584B" w:rsidRPr="00C70D7F" w:rsidRDefault="0041584B" w:rsidP="0041584B">
            <w:pPr>
              <w:pStyle w:val="DCUSATableText"/>
              <w:rPr>
                <w:lang w:val="en-US"/>
              </w:rPr>
            </w:pPr>
            <w:r w:rsidRPr="00C70D7F">
              <w:rPr>
                <w:lang w:val="en-US"/>
              </w:rPr>
              <w:t>75.00</w:t>
            </w:r>
          </w:p>
        </w:tc>
        <w:tc>
          <w:tcPr>
            <w:tcW w:w="1271" w:type="dxa"/>
            <w:noWrap/>
          </w:tcPr>
          <w:p w14:paraId="05BDB7F4" w14:textId="77777777" w:rsidR="0041584B" w:rsidRPr="00C70D7F" w:rsidRDefault="0041584B" w:rsidP="0041584B">
            <w:pPr>
              <w:pStyle w:val="DCUSATableText"/>
            </w:pPr>
            <w:r w:rsidRPr="00C70D7F">
              <w:t>34.70</w:t>
            </w:r>
          </w:p>
        </w:tc>
        <w:tc>
          <w:tcPr>
            <w:tcW w:w="1842" w:type="dxa"/>
            <w:noWrap/>
          </w:tcPr>
          <w:p w14:paraId="5A46D0B9" w14:textId="77777777" w:rsidR="0041584B" w:rsidRPr="00C70D7F" w:rsidRDefault="0041584B" w:rsidP="0041584B">
            <w:pPr>
              <w:pStyle w:val="DCUSATableText"/>
            </w:pPr>
            <w:r w:rsidRPr="00C70D7F">
              <w:t>35.49</w:t>
            </w:r>
          </w:p>
        </w:tc>
      </w:tr>
      <w:tr w:rsidR="0041584B" w:rsidRPr="00C70D7F" w14:paraId="7303DC95" w14:textId="77777777" w:rsidTr="0041584B">
        <w:trPr>
          <w:trHeight w:val="255"/>
          <w:jc w:val="center"/>
        </w:trPr>
        <w:tc>
          <w:tcPr>
            <w:tcW w:w="993" w:type="dxa"/>
            <w:noWrap/>
          </w:tcPr>
          <w:p w14:paraId="5A7EF5BC" w14:textId="77777777" w:rsidR="0041584B" w:rsidRPr="00C70D7F" w:rsidRDefault="0041584B" w:rsidP="0041584B">
            <w:pPr>
              <w:pStyle w:val="DCUSATableText"/>
              <w:rPr>
                <w:lang w:val="en-US"/>
              </w:rPr>
            </w:pPr>
            <w:r w:rsidRPr="00C70D7F">
              <w:rPr>
                <w:lang w:val="en-US"/>
              </w:rPr>
              <w:t>B9</w:t>
            </w:r>
          </w:p>
        </w:tc>
        <w:tc>
          <w:tcPr>
            <w:tcW w:w="1275" w:type="dxa"/>
            <w:noWrap/>
          </w:tcPr>
          <w:p w14:paraId="53A606D6" w14:textId="77777777" w:rsidR="0041584B" w:rsidRPr="00C70D7F" w:rsidRDefault="0041584B" w:rsidP="0041584B">
            <w:pPr>
              <w:pStyle w:val="DCUSATableText"/>
            </w:pPr>
            <w:r w:rsidRPr="00C70D7F">
              <w:t>34.60</w:t>
            </w:r>
          </w:p>
        </w:tc>
        <w:tc>
          <w:tcPr>
            <w:tcW w:w="1560" w:type="dxa"/>
            <w:noWrap/>
          </w:tcPr>
          <w:p w14:paraId="23611BE8" w14:textId="77777777" w:rsidR="0041584B" w:rsidRPr="00C70D7F" w:rsidRDefault="0041584B" w:rsidP="0041584B">
            <w:pPr>
              <w:pStyle w:val="DCUSATableText"/>
            </w:pPr>
            <w:r w:rsidRPr="00C70D7F">
              <w:t>69.42</w:t>
            </w:r>
          </w:p>
        </w:tc>
        <w:tc>
          <w:tcPr>
            <w:tcW w:w="1275" w:type="dxa"/>
            <w:noWrap/>
          </w:tcPr>
          <w:p w14:paraId="5F7856CA" w14:textId="77777777" w:rsidR="0041584B" w:rsidRPr="00C70D7F" w:rsidRDefault="0041584B" w:rsidP="0041584B">
            <w:pPr>
              <w:pStyle w:val="DCUSATableText"/>
            </w:pPr>
            <w:r w:rsidRPr="00C70D7F">
              <w:t>2.01</w:t>
            </w:r>
          </w:p>
        </w:tc>
        <w:tc>
          <w:tcPr>
            <w:tcW w:w="1560" w:type="dxa"/>
          </w:tcPr>
          <w:p w14:paraId="26A67679" w14:textId="77777777" w:rsidR="0041584B" w:rsidRPr="00C70D7F" w:rsidRDefault="0041584B" w:rsidP="0041584B">
            <w:pPr>
              <w:pStyle w:val="DCUSATableText"/>
            </w:pPr>
            <w:r w:rsidRPr="00C70D7F">
              <w:t>2</w:t>
            </w:r>
          </w:p>
        </w:tc>
        <w:tc>
          <w:tcPr>
            <w:tcW w:w="992" w:type="dxa"/>
            <w:noWrap/>
          </w:tcPr>
          <w:p w14:paraId="5B1BD9CB" w14:textId="77777777" w:rsidR="0041584B" w:rsidRPr="00C70D7F" w:rsidRDefault="0041584B" w:rsidP="0041584B">
            <w:pPr>
              <w:pStyle w:val="DCUSATableText"/>
              <w:rPr>
                <w:lang w:val="en-US"/>
              </w:rPr>
            </w:pPr>
            <w:r w:rsidRPr="00C70D7F">
              <w:rPr>
                <w:lang w:val="en-US"/>
              </w:rPr>
              <w:t>75.00</w:t>
            </w:r>
          </w:p>
        </w:tc>
        <w:tc>
          <w:tcPr>
            <w:tcW w:w="1271" w:type="dxa"/>
            <w:noWrap/>
          </w:tcPr>
          <w:p w14:paraId="567F38C8" w14:textId="77777777" w:rsidR="0041584B" w:rsidRPr="00C70D7F" w:rsidRDefault="0041584B" w:rsidP="0041584B">
            <w:pPr>
              <w:pStyle w:val="DCUSATableText"/>
            </w:pPr>
            <w:r w:rsidRPr="00C70D7F">
              <w:t>37.38</w:t>
            </w:r>
          </w:p>
        </w:tc>
        <w:tc>
          <w:tcPr>
            <w:tcW w:w="1842" w:type="dxa"/>
            <w:noWrap/>
          </w:tcPr>
          <w:p w14:paraId="69B22A0B" w14:textId="77777777" w:rsidR="0041584B" w:rsidRPr="00C70D7F" w:rsidRDefault="0041584B" w:rsidP="0041584B">
            <w:pPr>
              <w:pStyle w:val="DCUSATableText"/>
            </w:pPr>
            <w:r w:rsidRPr="00C70D7F">
              <w:t>7.78</w:t>
            </w:r>
          </w:p>
        </w:tc>
      </w:tr>
      <w:tr w:rsidR="0041584B" w:rsidRPr="00C70D7F" w14:paraId="03648048" w14:textId="77777777" w:rsidTr="0041584B">
        <w:trPr>
          <w:trHeight w:val="255"/>
          <w:jc w:val="center"/>
        </w:trPr>
        <w:tc>
          <w:tcPr>
            <w:tcW w:w="993" w:type="dxa"/>
            <w:noWrap/>
          </w:tcPr>
          <w:p w14:paraId="7632323E" w14:textId="77777777" w:rsidR="0041584B" w:rsidRPr="00C70D7F" w:rsidRDefault="0041584B" w:rsidP="0041584B">
            <w:pPr>
              <w:pStyle w:val="DCUSATableText"/>
              <w:rPr>
                <w:lang w:val="en-US"/>
              </w:rPr>
            </w:pPr>
            <w:r w:rsidRPr="00C70D7F">
              <w:rPr>
                <w:lang w:val="en-US"/>
              </w:rPr>
              <w:t>B1</w:t>
            </w:r>
          </w:p>
        </w:tc>
        <w:tc>
          <w:tcPr>
            <w:tcW w:w="1275" w:type="dxa"/>
            <w:noWrap/>
          </w:tcPr>
          <w:p w14:paraId="7EBE66EF" w14:textId="77777777" w:rsidR="0041584B" w:rsidRPr="00C70D7F" w:rsidRDefault="0041584B" w:rsidP="0041584B">
            <w:pPr>
              <w:pStyle w:val="DCUSATableText"/>
            </w:pPr>
            <w:r w:rsidRPr="00C70D7F">
              <w:t>26.85</w:t>
            </w:r>
          </w:p>
        </w:tc>
        <w:tc>
          <w:tcPr>
            <w:tcW w:w="1560" w:type="dxa"/>
            <w:noWrap/>
          </w:tcPr>
          <w:p w14:paraId="697FED1C" w14:textId="77777777" w:rsidR="0041584B" w:rsidRPr="00C70D7F" w:rsidRDefault="0041584B" w:rsidP="0041584B">
            <w:pPr>
              <w:pStyle w:val="DCUSATableText"/>
            </w:pPr>
            <w:r w:rsidRPr="00C70D7F">
              <w:t>53.01</w:t>
            </w:r>
          </w:p>
        </w:tc>
        <w:tc>
          <w:tcPr>
            <w:tcW w:w="1275" w:type="dxa"/>
            <w:noWrap/>
          </w:tcPr>
          <w:p w14:paraId="6BB848F9" w14:textId="77777777" w:rsidR="0041584B" w:rsidRPr="00C70D7F" w:rsidRDefault="0041584B" w:rsidP="0041584B">
            <w:pPr>
              <w:pStyle w:val="DCUSATableText"/>
            </w:pPr>
            <w:r w:rsidRPr="00C70D7F">
              <w:t>1.97</w:t>
            </w:r>
          </w:p>
        </w:tc>
        <w:tc>
          <w:tcPr>
            <w:tcW w:w="1560" w:type="dxa"/>
          </w:tcPr>
          <w:p w14:paraId="17D477B0" w14:textId="77777777" w:rsidR="0041584B" w:rsidRPr="00C70D7F" w:rsidRDefault="0041584B" w:rsidP="0041584B">
            <w:pPr>
              <w:pStyle w:val="DCUSATableText"/>
            </w:pPr>
            <w:r w:rsidRPr="00C70D7F">
              <w:t>2</w:t>
            </w:r>
          </w:p>
        </w:tc>
        <w:tc>
          <w:tcPr>
            <w:tcW w:w="992" w:type="dxa"/>
            <w:noWrap/>
          </w:tcPr>
          <w:p w14:paraId="4D005EE6" w14:textId="77777777" w:rsidR="0041584B" w:rsidRPr="00C70D7F" w:rsidRDefault="0041584B" w:rsidP="0041584B">
            <w:pPr>
              <w:pStyle w:val="DCUSATableText"/>
              <w:rPr>
                <w:lang w:val="en-US"/>
              </w:rPr>
            </w:pPr>
            <w:r w:rsidRPr="00C70D7F">
              <w:rPr>
                <w:lang w:val="en-US"/>
              </w:rPr>
              <w:t>75.00</w:t>
            </w:r>
          </w:p>
        </w:tc>
        <w:tc>
          <w:tcPr>
            <w:tcW w:w="1271" w:type="dxa"/>
            <w:noWrap/>
          </w:tcPr>
          <w:p w14:paraId="22456DBB" w14:textId="77777777" w:rsidR="0041584B" w:rsidRPr="00C70D7F" w:rsidRDefault="0041584B" w:rsidP="0041584B">
            <w:pPr>
              <w:pStyle w:val="DCUSATableText"/>
            </w:pPr>
            <w:r w:rsidRPr="00C70D7F">
              <w:t>37.99</w:t>
            </w:r>
          </w:p>
        </w:tc>
        <w:tc>
          <w:tcPr>
            <w:tcW w:w="1842" w:type="dxa"/>
            <w:noWrap/>
          </w:tcPr>
          <w:p w14:paraId="5C8F600B" w14:textId="77777777" w:rsidR="0041584B" w:rsidRPr="00C70D7F" w:rsidRDefault="0041584B" w:rsidP="0041584B">
            <w:pPr>
              <w:pStyle w:val="DCUSATableText"/>
            </w:pPr>
            <w:r w:rsidRPr="00C70D7F">
              <w:t>34.88</w:t>
            </w:r>
          </w:p>
        </w:tc>
      </w:tr>
      <w:tr w:rsidR="0041584B" w:rsidRPr="00C70D7F" w14:paraId="3DCB5A39" w14:textId="77777777" w:rsidTr="0041584B">
        <w:trPr>
          <w:trHeight w:val="255"/>
          <w:jc w:val="center"/>
        </w:trPr>
        <w:tc>
          <w:tcPr>
            <w:tcW w:w="993" w:type="dxa"/>
            <w:noWrap/>
          </w:tcPr>
          <w:p w14:paraId="419A0E6B" w14:textId="77777777" w:rsidR="0041584B" w:rsidRPr="00C70D7F" w:rsidRDefault="0041584B" w:rsidP="0041584B">
            <w:pPr>
              <w:pStyle w:val="DCUSATableText"/>
              <w:rPr>
                <w:lang w:val="en-US"/>
              </w:rPr>
            </w:pPr>
            <w:r w:rsidRPr="00C70D7F">
              <w:rPr>
                <w:lang w:val="en-US"/>
              </w:rPr>
              <w:t>B3</w:t>
            </w:r>
          </w:p>
        </w:tc>
        <w:tc>
          <w:tcPr>
            <w:tcW w:w="1275" w:type="dxa"/>
            <w:noWrap/>
          </w:tcPr>
          <w:p w14:paraId="4E27E48E" w14:textId="77777777" w:rsidR="0041584B" w:rsidRPr="00C70D7F" w:rsidRDefault="0041584B" w:rsidP="0041584B">
            <w:pPr>
              <w:pStyle w:val="DCUSATableText"/>
            </w:pPr>
            <w:r w:rsidRPr="00C70D7F">
              <w:t>56.87</w:t>
            </w:r>
          </w:p>
        </w:tc>
        <w:tc>
          <w:tcPr>
            <w:tcW w:w="1560" w:type="dxa"/>
            <w:noWrap/>
          </w:tcPr>
          <w:p w14:paraId="6B77F293" w14:textId="77777777" w:rsidR="0041584B" w:rsidRPr="00C70D7F" w:rsidRDefault="0041584B" w:rsidP="0041584B">
            <w:pPr>
              <w:pStyle w:val="DCUSATableText"/>
            </w:pPr>
            <w:r w:rsidRPr="00C70D7F">
              <w:t>93.46</w:t>
            </w:r>
          </w:p>
        </w:tc>
        <w:tc>
          <w:tcPr>
            <w:tcW w:w="1275" w:type="dxa"/>
            <w:noWrap/>
          </w:tcPr>
          <w:p w14:paraId="73A1ED2E" w14:textId="77777777" w:rsidR="0041584B" w:rsidRPr="00C70D7F" w:rsidRDefault="0041584B" w:rsidP="0041584B">
            <w:pPr>
              <w:pStyle w:val="DCUSATableText"/>
            </w:pPr>
            <w:r w:rsidRPr="00C70D7F">
              <w:t>1.64</w:t>
            </w:r>
          </w:p>
        </w:tc>
        <w:tc>
          <w:tcPr>
            <w:tcW w:w="1560" w:type="dxa"/>
          </w:tcPr>
          <w:p w14:paraId="2615009D" w14:textId="77777777" w:rsidR="0041584B" w:rsidRPr="00C70D7F" w:rsidRDefault="0041584B" w:rsidP="0041584B">
            <w:pPr>
              <w:pStyle w:val="DCUSATableText"/>
            </w:pPr>
            <w:r w:rsidRPr="00C70D7F">
              <w:t>3</w:t>
            </w:r>
          </w:p>
        </w:tc>
        <w:tc>
          <w:tcPr>
            <w:tcW w:w="992" w:type="dxa"/>
            <w:noWrap/>
          </w:tcPr>
          <w:p w14:paraId="0EC5471A" w14:textId="77777777" w:rsidR="0041584B" w:rsidRPr="00C70D7F" w:rsidRDefault="0041584B" w:rsidP="0041584B">
            <w:pPr>
              <w:pStyle w:val="DCUSATableText"/>
              <w:rPr>
                <w:lang w:val="en-US"/>
              </w:rPr>
            </w:pPr>
            <w:r w:rsidRPr="00C70D7F">
              <w:rPr>
                <w:lang w:val="en-US"/>
              </w:rPr>
              <w:t>95.00</w:t>
            </w:r>
          </w:p>
        </w:tc>
        <w:tc>
          <w:tcPr>
            <w:tcW w:w="1271" w:type="dxa"/>
            <w:noWrap/>
          </w:tcPr>
          <w:p w14:paraId="41456F89" w14:textId="77777777" w:rsidR="0041584B" w:rsidRPr="00C70D7F" w:rsidRDefault="0041584B" w:rsidP="0041584B">
            <w:pPr>
              <w:pStyle w:val="DCUSATableText"/>
            </w:pPr>
            <w:r w:rsidRPr="00C70D7F">
              <w:t>57.81</w:t>
            </w:r>
          </w:p>
        </w:tc>
        <w:tc>
          <w:tcPr>
            <w:tcW w:w="1842" w:type="dxa"/>
            <w:noWrap/>
          </w:tcPr>
          <w:p w14:paraId="1FD4B25D" w14:textId="77777777" w:rsidR="0041584B" w:rsidRPr="00C70D7F" w:rsidRDefault="0041584B" w:rsidP="0041584B">
            <w:pPr>
              <w:pStyle w:val="DCUSATableText"/>
            </w:pPr>
            <w:r w:rsidRPr="00C70D7F">
              <w:t>1.64</w:t>
            </w:r>
          </w:p>
        </w:tc>
      </w:tr>
      <w:tr w:rsidR="0041584B" w:rsidRPr="00C70D7F" w14:paraId="4D406F1D" w14:textId="77777777" w:rsidTr="0041584B">
        <w:trPr>
          <w:trHeight w:val="255"/>
          <w:jc w:val="center"/>
        </w:trPr>
        <w:tc>
          <w:tcPr>
            <w:tcW w:w="993" w:type="dxa"/>
            <w:noWrap/>
          </w:tcPr>
          <w:p w14:paraId="3D511EA4" w14:textId="77777777" w:rsidR="0041584B" w:rsidRPr="00C70D7F" w:rsidRDefault="0041584B" w:rsidP="0041584B">
            <w:pPr>
              <w:pStyle w:val="DCUSATableText"/>
              <w:rPr>
                <w:lang w:val="en-US"/>
              </w:rPr>
            </w:pPr>
            <w:r w:rsidRPr="00C70D7F">
              <w:rPr>
                <w:lang w:val="en-US"/>
              </w:rPr>
              <w:t>B8</w:t>
            </w:r>
          </w:p>
        </w:tc>
        <w:tc>
          <w:tcPr>
            <w:tcW w:w="1275" w:type="dxa"/>
            <w:noWrap/>
          </w:tcPr>
          <w:p w14:paraId="6C113C90" w14:textId="77777777" w:rsidR="0041584B" w:rsidRPr="00C70D7F" w:rsidRDefault="0041584B" w:rsidP="0041584B">
            <w:pPr>
              <w:pStyle w:val="DCUSATableText"/>
            </w:pPr>
            <w:r w:rsidRPr="00C70D7F">
              <w:t>34.72</w:t>
            </w:r>
          </w:p>
        </w:tc>
        <w:tc>
          <w:tcPr>
            <w:tcW w:w="1560" w:type="dxa"/>
            <w:noWrap/>
          </w:tcPr>
          <w:p w14:paraId="6C4D48FC" w14:textId="77777777" w:rsidR="0041584B" w:rsidRPr="00C70D7F" w:rsidRDefault="0041584B" w:rsidP="0041584B">
            <w:pPr>
              <w:pStyle w:val="DCUSATableText"/>
            </w:pPr>
            <w:r w:rsidRPr="00C70D7F">
              <w:t>70.03</w:t>
            </w:r>
          </w:p>
        </w:tc>
        <w:tc>
          <w:tcPr>
            <w:tcW w:w="1275" w:type="dxa"/>
            <w:noWrap/>
          </w:tcPr>
          <w:p w14:paraId="6BF5E24E" w14:textId="77777777" w:rsidR="0041584B" w:rsidRPr="00C70D7F" w:rsidRDefault="0041584B" w:rsidP="0041584B">
            <w:pPr>
              <w:pStyle w:val="DCUSATableText"/>
            </w:pPr>
            <w:r w:rsidRPr="00C70D7F">
              <w:t>2.02</w:t>
            </w:r>
          </w:p>
        </w:tc>
        <w:tc>
          <w:tcPr>
            <w:tcW w:w="1560" w:type="dxa"/>
          </w:tcPr>
          <w:p w14:paraId="52F7C6CA" w14:textId="77777777" w:rsidR="0041584B" w:rsidRPr="00C70D7F" w:rsidRDefault="0041584B" w:rsidP="0041584B">
            <w:pPr>
              <w:pStyle w:val="DCUSATableText"/>
            </w:pPr>
            <w:r w:rsidRPr="00C70D7F">
              <w:t>2</w:t>
            </w:r>
          </w:p>
        </w:tc>
        <w:tc>
          <w:tcPr>
            <w:tcW w:w="992" w:type="dxa"/>
            <w:noWrap/>
          </w:tcPr>
          <w:p w14:paraId="0692285A" w14:textId="77777777" w:rsidR="0041584B" w:rsidRPr="00C70D7F" w:rsidRDefault="0041584B" w:rsidP="0041584B">
            <w:pPr>
              <w:pStyle w:val="DCUSATableText"/>
              <w:rPr>
                <w:lang w:val="en-US"/>
              </w:rPr>
            </w:pPr>
            <w:r w:rsidRPr="00C70D7F">
              <w:rPr>
                <w:lang w:val="en-US"/>
              </w:rPr>
              <w:t>75.00</w:t>
            </w:r>
          </w:p>
        </w:tc>
        <w:tc>
          <w:tcPr>
            <w:tcW w:w="1271" w:type="dxa"/>
            <w:noWrap/>
          </w:tcPr>
          <w:p w14:paraId="3022A690" w14:textId="77777777" w:rsidR="0041584B" w:rsidRPr="00C70D7F" w:rsidRDefault="0041584B" w:rsidP="0041584B">
            <w:pPr>
              <w:pStyle w:val="DCUSATableText"/>
            </w:pPr>
            <w:r w:rsidRPr="00C70D7F">
              <w:t>37.19</w:t>
            </w:r>
          </w:p>
        </w:tc>
        <w:tc>
          <w:tcPr>
            <w:tcW w:w="1842" w:type="dxa"/>
            <w:noWrap/>
          </w:tcPr>
          <w:p w14:paraId="3C5CC00C" w14:textId="77777777" w:rsidR="0041584B" w:rsidRPr="00C70D7F" w:rsidRDefault="0041584B" w:rsidP="0041584B">
            <w:pPr>
              <w:pStyle w:val="DCUSATableText"/>
            </w:pPr>
            <w:r w:rsidRPr="00C70D7F">
              <w:t>6.89</w:t>
            </w:r>
          </w:p>
        </w:tc>
      </w:tr>
      <w:tr w:rsidR="0041584B" w:rsidRPr="00C70D7F" w14:paraId="33DE7006" w14:textId="77777777" w:rsidTr="0041584B">
        <w:trPr>
          <w:trHeight w:val="255"/>
          <w:jc w:val="center"/>
        </w:trPr>
        <w:tc>
          <w:tcPr>
            <w:tcW w:w="993" w:type="dxa"/>
            <w:noWrap/>
          </w:tcPr>
          <w:p w14:paraId="3BF394CF" w14:textId="77777777" w:rsidR="0041584B" w:rsidRPr="00C70D7F" w:rsidRDefault="0041584B" w:rsidP="0041584B">
            <w:pPr>
              <w:pStyle w:val="DCUSATableText"/>
              <w:rPr>
                <w:lang w:val="en-US"/>
              </w:rPr>
            </w:pPr>
            <w:r w:rsidRPr="00C70D7F">
              <w:rPr>
                <w:lang w:val="en-US"/>
              </w:rPr>
              <w:t>B2</w:t>
            </w:r>
          </w:p>
        </w:tc>
        <w:tc>
          <w:tcPr>
            <w:tcW w:w="1275" w:type="dxa"/>
            <w:noWrap/>
          </w:tcPr>
          <w:p w14:paraId="0AA0AAE9" w14:textId="77777777" w:rsidR="0041584B" w:rsidRPr="00C70D7F" w:rsidRDefault="0041584B" w:rsidP="0041584B">
            <w:pPr>
              <w:pStyle w:val="DCUSATableText"/>
            </w:pPr>
            <w:r w:rsidRPr="00C70D7F">
              <w:t>26.77</w:t>
            </w:r>
          </w:p>
        </w:tc>
        <w:tc>
          <w:tcPr>
            <w:tcW w:w="1560" w:type="dxa"/>
            <w:noWrap/>
          </w:tcPr>
          <w:p w14:paraId="50C95ABA" w14:textId="77777777" w:rsidR="0041584B" w:rsidRPr="00C70D7F" w:rsidRDefault="0041584B" w:rsidP="0041584B">
            <w:pPr>
              <w:pStyle w:val="DCUSATableText"/>
            </w:pPr>
            <w:r w:rsidRPr="00C70D7F">
              <w:t>52.66</w:t>
            </w:r>
          </w:p>
        </w:tc>
        <w:tc>
          <w:tcPr>
            <w:tcW w:w="1275" w:type="dxa"/>
            <w:noWrap/>
          </w:tcPr>
          <w:p w14:paraId="57AA603E" w14:textId="77777777" w:rsidR="0041584B" w:rsidRPr="00C70D7F" w:rsidRDefault="0041584B" w:rsidP="0041584B">
            <w:pPr>
              <w:pStyle w:val="DCUSATableText"/>
            </w:pPr>
            <w:r w:rsidRPr="00C70D7F">
              <w:t>1.97</w:t>
            </w:r>
          </w:p>
        </w:tc>
        <w:tc>
          <w:tcPr>
            <w:tcW w:w="1560" w:type="dxa"/>
          </w:tcPr>
          <w:p w14:paraId="3E3B2016" w14:textId="77777777" w:rsidR="0041584B" w:rsidRPr="00C70D7F" w:rsidRDefault="0041584B" w:rsidP="0041584B">
            <w:pPr>
              <w:pStyle w:val="DCUSATableText"/>
            </w:pPr>
            <w:r w:rsidRPr="00C70D7F">
              <w:t>2</w:t>
            </w:r>
          </w:p>
        </w:tc>
        <w:tc>
          <w:tcPr>
            <w:tcW w:w="992" w:type="dxa"/>
            <w:noWrap/>
          </w:tcPr>
          <w:p w14:paraId="7D4AC59A" w14:textId="77777777" w:rsidR="0041584B" w:rsidRPr="00C70D7F" w:rsidRDefault="0041584B" w:rsidP="0041584B">
            <w:pPr>
              <w:pStyle w:val="DCUSATableText"/>
              <w:rPr>
                <w:lang w:val="en-US"/>
              </w:rPr>
            </w:pPr>
            <w:r w:rsidRPr="00C70D7F">
              <w:rPr>
                <w:lang w:val="en-US"/>
              </w:rPr>
              <w:t>75.00</w:t>
            </w:r>
          </w:p>
        </w:tc>
        <w:tc>
          <w:tcPr>
            <w:tcW w:w="1271" w:type="dxa"/>
            <w:noWrap/>
          </w:tcPr>
          <w:p w14:paraId="388BAE71" w14:textId="77777777" w:rsidR="0041584B" w:rsidRPr="00C70D7F" w:rsidRDefault="0041584B" w:rsidP="0041584B">
            <w:pPr>
              <w:pStyle w:val="DCUSATableText"/>
            </w:pPr>
            <w:r w:rsidRPr="00C70D7F">
              <w:t>38.13</w:t>
            </w:r>
          </w:p>
        </w:tc>
        <w:tc>
          <w:tcPr>
            <w:tcW w:w="1842" w:type="dxa"/>
            <w:noWrap/>
          </w:tcPr>
          <w:p w14:paraId="61AFE483" w14:textId="77777777" w:rsidR="0041584B" w:rsidRPr="00C70D7F" w:rsidRDefault="0041584B" w:rsidP="0041584B">
            <w:pPr>
              <w:pStyle w:val="DCUSATableText"/>
            </w:pPr>
            <w:r w:rsidRPr="00C70D7F">
              <w:t>35.54</w:t>
            </w:r>
          </w:p>
        </w:tc>
      </w:tr>
      <w:tr w:rsidR="0041584B" w:rsidRPr="00C70D7F" w14:paraId="31F12319" w14:textId="77777777" w:rsidTr="0041584B">
        <w:trPr>
          <w:trHeight w:val="255"/>
          <w:jc w:val="center"/>
        </w:trPr>
        <w:tc>
          <w:tcPr>
            <w:tcW w:w="993" w:type="dxa"/>
            <w:noWrap/>
          </w:tcPr>
          <w:p w14:paraId="777C685F" w14:textId="77777777" w:rsidR="0041584B" w:rsidRPr="00C70D7F" w:rsidRDefault="0041584B" w:rsidP="0041584B">
            <w:pPr>
              <w:pStyle w:val="DCUSATableText"/>
              <w:rPr>
                <w:lang w:val="en-US"/>
              </w:rPr>
            </w:pPr>
            <w:r w:rsidRPr="00C70D7F">
              <w:rPr>
                <w:lang w:val="en-US"/>
              </w:rPr>
              <w:t>B4</w:t>
            </w:r>
          </w:p>
        </w:tc>
        <w:tc>
          <w:tcPr>
            <w:tcW w:w="1275" w:type="dxa"/>
            <w:noWrap/>
          </w:tcPr>
          <w:p w14:paraId="7ABD0EAD" w14:textId="77777777" w:rsidR="0041584B" w:rsidRPr="00C70D7F" w:rsidRDefault="0041584B" w:rsidP="0041584B">
            <w:pPr>
              <w:pStyle w:val="DCUSATableText"/>
            </w:pPr>
            <w:r w:rsidRPr="00C70D7F">
              <w:t>24.40</w:t>
            </w:r>
          </w:p>
        </w:tc>
        <w:tc>
          <w:tcPr>
            <w:tcW w:w="1560" w:type="dxa"/>
            <w:noWrap/>
          </w:tcPr>
          <w:p w14:paraId="41E900F4" w14:textId="77777777" w:rsidR="0041584B" w:rsidRPr="00C70D7F" w:rsidRDefault="0041584B" w:rsidP="0041584B">
            <w:pPr>
              <w:pStyle w:val="DCUSATableText"/>
            </w:pPr>
            <w:r w:rsidRPr="00C70D7F">
              <w:t>52.83</w:t>
            </w:r>
          </w:p>
        </w:tc>
        <w:tc>
          <w:tcPr>
            <w:tcW w:w="1275" w:type="dxa"/>
            <w:noWrap/>
          </w:tcPr>
          <w:p w14:paraId="22D65F18" w14:textId="77777777" w:rsidR="0041584B" w:rsidRPr="00C70D7F" w:rsidRDefault="0041584B" w:rsidP="0041584B">
            <w:pPr>
              <w:pStyle w:val="DCUSATableText"/>
            </w:pPr>
            <w:r w:rsidRPr="00C70D7F">
              <w:t>2.16</w:t>
            </w:r>
          </w:p>
        </w:tc>
        <w:tc>
          <w:tcPr>
            <w:tcW w:w="1560" w:type="dxa"/>
          </w:tcPr>
          <w:p w14:paraId="150AD604" w14:textId="77777777" w:rsidR="0041584B" w:rsidRPr="00C70D7F" w:rsidRDefault="0041584B" w:rsidP="0041584B">
            <w:pPr>
              <w:pStyle w:val="DCUSATableText"/>
            </w:pPr>
            <w:r w:rsidRPr="00C70D7F">
              <w:t>1</w:t>
            </w:r>
          </w:p>
        </w:tc>
        <w:tc>
          <w:tcPr>
            <w:tcW w:w="992" w:type="dxa"/>
            <w:noWrap/>
          </w:tcPr>
          <w:p w14:paraId="5BC11711" w14:textId="77777777" w:rsidR="0041584B" w:rsidRPr="00C70D7F" w:rsidRDefault="0041584B" w:rsidP="0041584B">
            <w:pPr>
              <w:pStyle w:val="DCUSATableText"/>
              <w:rPr>
                <w:lang w:val="en-US"/>
              </w:rPr>
            </w:pPr>
            <w:r w:rsidRPr="00C70D7F">
              <w:rPr>
                <w:lang w:val="en-US"/>
              </w:rPr>
              <w:t>75.00</w:t>
            </w:r>
          </w:p>
        </w:tc>
        <w:tc>
          <w:tcPr>
            <w:tcW w:w="1271" w:type="dxa"/>
            <w:noWrap/>
          </w:tcPr>
          <w:p w14:paraId="199EC92F" w14:textId="77777777" w:rsidR="0041584B" w:rsidRPr="00C70D7F" w:rsidRDefault="0041584B" w:rsidP="0041584B">
            <w:pPr>
              <w:pStyle w:val="DCUSATableText"/>
            </w:pPr>
            <w:r w:rsidRPr="00C70D7F">
              <w:t>34.64</w:t>
            </w:r>
          </w:p>
        </w:tc>
        <w:tc>
          <w:tcPr>
            <w:tcW w:w="1842" w:type="dxa"/>
            <w:noWrap/>
          </w:tcPr>
          <w:p w14:paraId="7B98DA06" w14:textId="77777777" w:rsidR="0041584B" w:rsidRPr="00C70D7F" w:rsidRDefault="0041584B" w:rsidP="0041584B">
            <w:pPr>
              <w:pStyle w:val="DCUSATableText"/>
            </w:pPr>
            <w:r w:rsidRPr="00C70D7F">
              <w:t>35.22</w:t>
            </w:r>
          </w:p>
        </w:tc>
      </w:tr>
      <w:tr w:rsidR="0041584B" w:rsidRPr="00C70D7F" w14:paraId="1788701C" w14:textId="77777777" w:rsidTr="0041584B">
        <w:trPr>
          <w:trHeight w:val="255"/>
          <w:jc w:val="center"/>
        </w:trPr>
        <w:tc>
          <w:tcPr>
            <w:tcW w:w="993" w:type="dxa"/>
            <w:noWrap/>
          </w:tcPr>
          <w:p w14:paraId="0ADC46EF" w14:textId="77777777" w:rsidR="0041584B" w:rsidRPr="00C70D7F" w:rsidRDefault="0041584B" w:rsidP="0041584B">
            <w:pPr>
              <w:pStyle w:val="DCUSATableText"/>
              <w:rPr>
                <w:lang w:val="en-US"/>
              </w:rPr>
            </w:pPr>
            <w:r w:rsidRPr="00C70D7F">
              <w:rPr>
                <w:lang w:val="en-US"/>
              </w:rPr>
              <w:t>B6</w:t>
            </w:r>
          </w:p>
        </w:tc>
        <w:tc>
          <w:tcPr>
            <w:tcW w:w="1275" w:type="dxa"/>
            <w:noWrap/>
          </w:tcPr>
          <w:p w14:paraId="3F99F1ED" w14:textId="77777777" w:rsidR="0041584B" w:rsidRPr="00C70D7F" w:rsidRDefault="0041584B" w:rsidP="0041584B">
            <w:pPr>
              <w:pStyle w:val="DCUSATableText"/>
            </w:pPr>
            <w:r w:rsidRPr="00C70D7F">
              <w:t>32.20</w:t>
            </w:r>
          </w:p>
        </w:tc>
        <w:tc>
          <w:tcPr>
            <w:tcW w:w="1560" w:type="dxa"/>
            <w:noWrap/>
          </w:tcPr>
          <w:p w14:paraId="0FE2E64B" w14:textId="77777777" w:rsidR="0041584B" w:rsidRPr="00C70D7F" w:rsidRDefault="0041584B" w:rsidP="0041584B">
            <w:pPr>
              <w:pStyle w:val="DCUSATableText"/>
            </w:pPr>
            <w:r w:rsidRPr="00C70D7F">
              <w:t>69.66</w:t>
            </w:r>
          </w:p>
        </w:tc>
        <w:tc>
          <w:tcPr>
            <w:tcW w:w="1275" w:type="dxa"/>
            <w:noWrap/>
          </w:tcPr>
          <w:p w14:paraId="0EA992E2" w14:textId="77777777" w:rsidR="0041584B" w:rsidRPr="00C70D7F" w:rsidRDefault="0041584B" w:rsidP="0041584B">
            <w:pPr>
              <w:pStyle w:val="DCUSATableText"/>
            </w:pPr>
            <w:r w:rsidRPr="00C70D7F">
              <w:t>2.16</w:t>
            </w:r>
          </w:p>
        </w:tc>
        <w:tc>
          <w:tcPr>
            <w:tcW w:w="1560" w:type="dxa"/>
          </w:tcPr>
          <w:p w14:paraId="1A748E18" w14:textId="77777777" w:rsidR="0041584B" w:rsidRPr="00C70D7F" w:rsidRDefault="0041584B" w:rsidP="0041584B">
            <w:pPr>
              <w:pStyle w:val="DCUSATableText"/>
            </w:pPr>
            <w:r w:rsidRPr="00C70D7F">
              <w:t>3</w:t>
            </w:r>
          </w:p>
        </w:tc>
        <w:tc>
          <w:tcPr>
            <w:tcW w:w="992" w:type="dxa"/>
            <w:noWrap/>
          </w:tcPr>
          <w:p w14:paraId="047BE5B8" w14:textId="77777777" w:rsidR="0041584B" w:rsidRPr="00C70D7F" w:rsidRDefault="0041584B" w:rsidP="0041584B">
            <w:pPr>
              <w:pStyle w:val="DCUSATableText"/>
              <w:rPr>
                <w:lang w:val="en-US"/>
              </w:rPr>
            </w:pPr>
            <w:r w:rsidRPr="00C70D7F">
              <w:rPr>
                <w:lang w:val="en-US"/>
              </w:rPr>
              <w:t>75.00</w:t>
            </w:r>
          </w:p>
        </w:tc>
        <w:tc>
          <w:tcPr>
            <w:tcW w:w="1271" w:type="dxa"/>
            <w:noWrap/>
          </w:tcPr>
          <w:p w14:paraId="202883C3" w14:textId="77777777" w:rsidR="0041584B" w:rsidRPr="00C70D7F" w:rsidRDefault="0041584B" w:rsidP="0041584B">
            <w:pPr>
              <w:pStyle w:val="DCUSATableText"/>
            </w:pPr>
            <w:r w:rsidRPr="00C70D7F">
              <w:t>34.66</w:t>
            </w:r>
          </w:p>
        </w:tc>
        <w:tc>
          <w:tcPr>
            <w:tcW w:w="1842" w:type="dxa"/>
            <w:noWrap/>
          </w:tcPr>
          <w:p w14:paraId="4D5380FE" w14:textId="77777777" w:rsidR="0041584B" w:rsidRPr="00C70D7F" w:rsidRDefault="0041584B" w:rsidP="0041584B">
            <w:pPr>
              <w:pStyle w:val="DCUSATableText"/>
            </w:pPr>
            <w:r w:rsidRPr="00C70D7F">
              <w:t>7.42</w:t>
            </w:r>
          </w:p>
        </w:tc>
      </w:tr>
      <w:tr w:rsidR="0041584B" w:rsidRPr="00C70D7F" w14:paraId="67B0C3C0" w14:textId="77777777" w:rsidTr="0041584B">
        <w:trPr>
          <w:trHeight w:val="255"/>
          <w:jc w:val="center"/>
        </w:trPr>
        <w:tc>
          <w:tcPr>
            <w:tcW w:w="993" w:type="dxa"/>
            <w:noWrap/>
          </w:tcPr>
          <w:p w14:paraId="6841A1DC" w14:textId="77777777" w:rsidR="0041584B" w:rsidRPr="00C70D7F" w:rsidRDefault="0041584B" w:rsidP="0041584B">
            <w:pPr>
              <w:pStyle w:val="DCUSATableText"/>
              <w:rPr>
                <w:lang w:val="en-US"/>
              </w:rPr>
            </w:pPr>
            <w:r w:rsidRPr="00C70D7F">
              <w:rPr>
                <w:lang w:val="en-US"/>
              </w:rPr>
              <w:t>B7</w:t>
            </w:r>
          </w:p>
        </w:tc>
        <w:tc>
          <w:tcPr>
            <w:tcW w:w="1275" w:type="dxa"/>
            <w:noWrap/>
          </w:tcPr>
          <w:p w14:paraId="38EB5DE6" w14:textId="77777777" w:rsidR="0041584B" w:rsidRPr="00C70D7F" w:rsidRDefault="0041584B" w:rsidP="0041584B">
            <w:pPr>
              <w:pStyle w:val="DCUSATableText"/>
            </w:pPr>
            <w:r w:rsidRPr="00C70D7F">
              <w:t>32.16</w:t>
            </w:r>
          </w:p>
        </w:tc>
        <w:tc>
          <w:tcPr>
            <w:tcW w:w="1560" w:type="dxa"/>
            <w:noWrap/>
          </w:tcPr>
          <w:p w14:paraId="387E0663" w14:textId="77777777" w:rsidR="0041584B" w:rsidRPr="00C70D7F" w:rsidRDefault="0041584B" w:rsidP="0041584B">
            <w:pPr>
              <w:pStyle w:val="DCUSATableText"/>
            </w:pPr>
            <w:r w:rsidRPr="00C70D7F">
              <w:t>69.46</w:t>
            </w:r>
          </w:p>
        </w:tc>
        <w:tc>
          <w:tcPr>
            <w:tcW w:w="1275" w:type="dxa"/>
            <w:noWrap/>
          </w:tcPr>
          <w:p w14:paraId="55C7E8E4" w14:textId="77777777" w:rsidR="0041584B" w:rsidRPr="00C70D7F" w:rsidRDefault="0041584B" w:rsidP="0041584B">
            <w:pPr>
              <w:pStyle w:val="DCUSATableText"/>
            </w:pPr>
            <w:r w:rsidRPr="00C70D7F">
              <w:t>2.16</w:t>
            </w:r>
          </w:p>
        </w:tc>
        <w:tc>
          <w:tcPr>
            <w:tcW w:w="1560" w:type="dxa"/>
          </w:tcPr>
          <w:p w14:paraId="713E665D" w14:textId="77777777" w:rsidR="0041584B" w:rsidRPr="00C70D7F" w:rsidRDefault="0041584B" w:rsidP="0041584B">
            <w:pPr>
              <w:pStyle w:val="DCUSATableText"/>
            </w:pPr>
            <w:r w:rsidRPr="00C70D7F">
              <w:t>3</w:t>
            </w:r>
          </w:p>
        </w:tc>
        <w:tc>
          <w:tcPr>
            <w:tcW w:w="992" w:type="dxa"/>
            <w:noWrap/>
          </w:tcPr>
          <w:p w14:paraId="01EA0170" w14:textId="77777777" w:rsidR="0041584B" w:rsidRPr="00C70D7F" w:rsidRDefault="0041584B" w:rsidP="0041584B">
            <w:pPr>
              <w:pStyle w:val="DCUSATableText"/>
              <w:rPr>
                <w:lang w:val="en-US"/>
              </w:rPr>
            </w:pPr>
            <w:r w:rsidRPr="00C70D7F">
              <w:rPr>
                <w:lang w:val="en-US"/>
              </w:rPr>
              <w:t>75.00</w:t>
            </w:r>
          </w:p>
        </w:tc>
        <w:tc>
          <w:tcPr>
            <w:tcW w:w="1271" w:type="dxa"/>
            <w:noWrap/>
          </w:tcPr>
          <w:p w14:paraId="0945DEB6" w14:textId="77777777" w:rsidR="0041584B" w:rsidRPr="00C70D7F" w:rsidRDefault="0041584B" w:rsidP="0041584B">
            <w:pPr>
              <w:pStyle w:val="DCUSATableText"/>
            </w:pPr>
            <w:r w:rsidRPr="00C70D7F">
              <w:t>34.73</w:t>
            </w:r>
          </w:p>
        </w:tc>
        <w:tc>
          <w:tcPr>
            <w:tcW w:w="1842" w:type="dxa"/>
            <w:noWrap/>
          </w:tcPr>
          <w:p w14:paraId="587DA85C" w14:textId="77777777" w:rsidR="0041584B" w:rsidRPr="00C70D7F" w:rsidRDefault="0041584B" w:rsidP="0041584B">
            <w:pPr>
              <w:pStyle w:val="DCUSATableText"/>
            </w:pPr>
            <w:r w:rsidRPr="00C70D7F">
              <w:t>7.72</w:t>
            </w:r>
          </w:p>
        </w:tc>
      </w:tr>
    </w:tbl>
    <w:p w14:paraId="035294B7" w14:textId="77777777" w:rsidR="0041584B" w:rsidRPr="00213B09" w:rsidRDefault="0041584B" w:rsidP="0041584B">
      <w:pPr>
        <w:pStyle w:val="Caption"/>
        <w:spacing w:before="240" w:after="0"/>
      </w:pPr>
      <w:bookmarkStart w:id="745" w:name="_Ref252885390"/>
      <w:bookmarkStart w:id="746" w:name="_Toc253698473"/>
      <w:r w:rsidRPr="00213B09">
        <w:t xml:space="preserve">Table </w:t>
      </w:r>
      <w:r>
        <w:t>7A</w:t>
      </w:r>
      <w:bookmarkEnd w:id="745"/>
      <w:r w:rsidRPr="00213B09">
        <w:t xml:space="preserve"> - Calculation of Maximum Contingency Flow, Security Factors and Years to Reinforcement (Base Case) - Minimum Demand Scenario</w:t>
      </w:r>
      <w:bookmarkEnd w:id="746"/>
      <w:r w:rsidRPr="00213B09">
        <w:t>.</w:t>
      </w:r>
    </w:p>
    <w:tbl>
      <w:tblPr>
        <w:tblStyle w:val="GridTable4-Accent3"/>
        <w:tblW w:w="10768" w:type="dxa"/>
        <w:jc w:val="center"/>
        <w:tblLayout w:type="fixed"/>
        <w:tblLook w:val="0620" w:firstRow="1" w:lastRow="0" w:firstColumn="0" w:lastColumn="0" w:noHBand="1" w:noVBand="1"/>
      </w:tblPr>
      <w:tblGrid>
        <w:gridCol w:w="988"/>
        <w:gridCol w:w="1275"/>
        <w:gridCol w:w="1560"/>
        <w:gridCol w:w="1134"/>
        <w:gridCol w:w="1559"/>
        <w:gridCol w:w="1134"/>
        <w:gridCol w:w="1276"/>
        <w:gridCol w:w="1842"/>
      </w:tblGrid>
      <w:tr w:rsidR="0041584B" w:rsidRPr="00C70D7F" w14:paraId="1DF8ADD9" w14:textId="77777777" w:rsidTr="0041584B">
        <w:trPr>
          <w:cnfStyle w:val="100000000000" w:firstRow="1" w:lastRow="0" w:firstColumn="0" w:lastColumn="0" w:oddVBand="0" w:evenVBand="0" w:oddHBand="0" w:evenHBand="0" w:firstRowFirstColumn="0" w:firstRowLastColumn="0" w:lastRowFirstColumn="0" w:lastRowLastColumn="0"/>
          <w:trHeight w:val="255"/>
          <w:jc w:val="center"/>
        </w:trPr>
        <w:tc>
          <w:tcPr>
            <w:tcW w:w="988" w:type="dxa"/>
            <w:noWrap/>
          </w:tcPr>
          <w:p w14:paraId="121FDC8B" w14:textId="77777777" w:rsidR="0041584B" w:rsidRPr="001F7BF0" w:rsidRDefault="0041584B" w:rsidP="0041584B">
            <w:pPr>
              <w:pStyle w:val="DCUSATabletextnumbers"/>
              <w:rPr>
                <w:b/>
                <w:lang w:val="en-US"/>
              </w:rPr>
            </w:pPr>
            <w:r w:rsidRPr="001F7BF0">
              <w:rPr>
                <w:b/>
                <w:lang w:val="en-US"/>
              </w:rPr>
              <w:t>Branch</w:t>
            </w:r>
          </w:p>
        </w:tc>
        <w:tc>
          <w:tcPr>
            <w:tcW w:w="1275" w:type="dxa"/>
            <w:noWrap/>
          </w:tcPr>
          <w:p w14:paraId="6B5C6C7B" w14:textId="77777777" w:rsidR="0041584B" w:rsidRPr="001F7BF0" w:rsidRDefault="0041584B" w:rsidP="0041584B">
            <w:pPr>
              <w:pStyle w:val="DCUSATabletextnumbers"/>
              <w:rPr>
                <w:b/>
                <w:lang w:val="en-US"/>
              </w:rPr>
            </w:pPr>
            <w:r w:rsidRPr="001F7BF0">
              <w:rPr>
                <w:b/>
                <w:lang w:val="en-US"/>
              </w:rPr>
              <w:t>Base Case Flows (MVA)</w:t>
            </w:r>
          </w:p>
        </w:tc>
        <w:tc>
          <w:tcPr>
            <w:tcW w:w="1560" w:type="dxa"/>
            <w:noWrap/>
          </w:tcPr>
          <w:p w14:paraId="53BA8D10" w14:textId="77777777" w:rsidR="0041584B" w:rsidRPr="001F7BF0" w:rsidRDefault="0041584B" w:rsidP="0041584B">
            <w:pPr>
              <w:pStyle w:val="DCUSATabletextnumbers"/>
              <w:rPr>
                <w:b/>
                <w:lang w:val="en-US"/>
              </w:rPr>
            </w:pPr>
            <w:r w:rsidRPr="001F7BF0">
              <w:rPr>
                <w:b/>
                <w:lang w:val="en-US"/>
              </w:rPr>
              <w:t xml:space="preserve">Maximum Contingency </w:t>
            </w:r>
            <w:proofErr w:type="gramStart"/>
            <w:r w:rsidRPr="001F7BF0">
              <w:rPr>
                <w:b/>
                <w:lang w:val="en-US"/>
              </w:rPr>
              <w:t>Flow(</w:t>
            </w:r>
            <w:proofErr w:type="gramEnd"/>
            <w:r w:rsidRPr="001F7BF0">
              <w:rPr>
                <w:b/>
                <w:lang w:val="en-US"/>
              </w:rPr>
              <w:t>MVA)</w:t>
            </w:r>
          </w:p>
        </w:tc>
        <w:tc>
          <w:tcPr>
            <w:tcW w:w="1134" w:type="dxa"/>
            <w:noWrap/>
          </w:tcPr>
          <w:p w14:paraId="36C28BAF" w14:textId="77777777" w:rsidR="0041584B" w:rsidRPr="001F7BF0" w:rsidRDefault="0041584B" w:rsidP="0041584B">
            <w:pPr>
              <w:pStyle w:val="DCUSATabletextnumbers"/>
              <w:rPr>
                <w:b/>
                <w:lang w:val="en-US"/>
              </w:rPr>
            </w:pPr>
            <w:r w:rsidRPr="001F7BF0">
              <w:rPr>
                <w:b/>
                <w:lang w:val="en-US"/>
              </w:rPr>
              <w:t>Security Factor</w:t>
            </w:r>
          </w:p>
        </w:tc>
        <w:tc>
          <w:tcPr>
            <w:tcW w:w="1559" w:type="dxa"/>
          </w:tcPr>
          <w:p w14:paraId="60758F7D" w14:textId="77777777" w:rsidR="0041584B" w:rsidRPr="001F7BF0" w:rsidRDefault="0041584B" w:rsidP="0041584B">
            <w:pPr>
              <w:pStyle w:val="DCUSATabletextnumbers"/>
              <w:rPr>
                <w:b/>
                <w:lang w:val="en-US"/>
              </w:rPr>
            </w:pPr>
            <w:r w:rsidRPr="001F7BF0">
              <w:rPr>
                <w:b/>
                <w:lang w:val="en-US"/>
              </w:rPr>
              <w:t>Contingency Case</w:t>
            </w:r>
          </w:p>
        </w:tc>
        <w:tc>
          <w:tcPr>
            <w:tcW w:w="1134" w:type="dxa"/>
            <w:noWrap/>
          </w:tcPr>
          <w:p w14:paraId="190EA33A" w14:textId="77777777" w:rsidR="0041584B" w:rsidRPr="001F7BF0" w:rsidRDefault="0041584B" w:rsidP="0041584B">
            <w:pPr>
              <w:pStyle w:val="DCUSATabletextnumbers"/>
              <w:rPr>
                <w:b/>
                <w:lang w:val="en-US"/>
              </w:rPr>
            </w:pPr>
            <w:r w:rsidRPr="001F7BF0">
              <w:rPr>
                <w:b/>
                <w:lang w:val="en-US"/>
              </w:rPr>
              <w:t>Summer Rating (MVA)</w:t>
            </w:r>
          </w:p>
        </w:tc>
        <w:tc>
          <w:tcPr>
            <w:tcW w:w="1276" w:type="dxa"/>
            <w:noWrap/>
          </w:tcPr>
          <w:p w14:paraId="6198A25D" w14:textId="77777777" w:rsidR="0041584B" w:rsidRPr="001F7BF0" w:rsidRDefault="0041584B" w:rsidP="0041584B">
            <w:pPr>
              <w:pStyle w:val="DCUSATabletextnumbers"/>
              <w:rPr>
                <w:b/>
                <w:lang w:val="en-US"/>
              </w:rPr>
            </w:pPr>
            <w:r w:rsidRPr="001F7BF0">
              <w:rPr>
                <w:b/>
                <w:lang w:val="en-US"/>
              </w:rPr>
              <w:t>Branch Capacity (MVA)</w:t>
            </w:r>
          </w:p>
        </w:tc>
        <w:tc>
          <w:tcPr>
            <w:tcW w:w="1842" w:type="dxa"/>
            <w:noWrap/>
          </w:tcPr>
          <w:p w14:paraId="3799AFC3" w14:textId="77777777" w:rsidR="0041584B" w:rsidRPr="001F7BF0" w:rsidRDefault="0041584B" w:rsidP="0041584B">
            <w:pPr>
              <w:pStyle w:val="DCUSATabletextnumbers"/>
              <w:rPr>
                <w:b/>
                <w:lang w:val="en-US"/>
              </w:rPr>
            </w:pPr>
            <w:r w:rsidRPr="001F7BF0">
              <w:rPr>
                <w:b/>
                <w:lang w:val="en-US"/>
              </w:rPr>
              <w:t>Years to Reinforcement (base)</w:t>
            </w:r>
          </w:p>
        </w:tc>
      </w:tr>
      <w:tr w:rsidR="0041584B" w:rsidRPr="00C70D7F" w14:paraId="56769A75" w14:textId="77777777" w:rsidTr="0041584B">
        <w:trPr>
          <w:trHeight w:val="255"/>
          <w:jc w:val="center"/>
        </w:trPr>
        <w:tc>
          <w:tcPr>
            <w:tcW w:w="988" w:type="dxa"/>
            <w:noWrap/>
          </w:tcPr>
          <w:p w14:paraId="683227C9" w14:textId="77777777" w:rsidR="0041584B" w:rsidRPr="00C70D7F" w:rsidRDefault="0041584B" w:rsidP="0041584B">
            <w:pPr>
              <w:pStyle w:val="DCUSATableText"/>
              <w:rPr>
                <w:lang w:val="en-US"/>
              </w:rPr>
            </w:pPr>
            <w:r w:rsidRPr="00C70D7F">
              <w:rPr>
                <w:lang w:val="en-US"/>
              </w:rPr>
              <w:t>B5</w:t>
            </w:r>
          </w:p>
        </w:tc>
        <w:tc>
          <w:tcPr>
            <w:tcW w:w="1275" w:type="dxa"/>
            <w:noWrap/>
          </w:tcPr>
          <w:p w14:paraId="672D2E92" w14:textId="77777777" w:rsidR="0041584B" w:rsidRPr="00C70D7F" w:rsidRDefault="0041584B" w:rsidP="0041584B">
            <w:pPr>
              <w:pStyle w:val="DCUSATableText"/>
            </w:pPr>
            <w:r w:rsidRPr="00C70D7F">
              <w:t>8.25</w:t>
            </w:r>
          </w:p>
        </w:tc>
        <w:tc>
          <w:tcPr>
            <w:tcW w:w="1560" w:type="dxa"/>
            <w:noWrap/>
          </w:tcPr>
          <w:p w14:paraId="4B608E1A" w14:textId="77777777" w:rsidR="0041584B" w:rsidRPr="00C70D7F" w:rsidRDefault="0041584B" w:rsidP="0041584B">
            <w:pPr>
              <w:pStyle w:val="DCUSATableText"/>
            </w:pPr>
            <w:r w:rsidRPr="00C70D7F">
              <w:t>17.02</w:t>
            </w:r>
          </w:p>
        </w:tc>
        <w:tc>
          <w:tcPr>
            <w:tcW w:w="1134" w:type="dxa"/>
            <w:noWrap/>
          </w:tcPr>
          <w:p w14:paraId="523846F9" w14:textId="77777777" w:rsidR="0041584B" w:rsidRPr="00C70D7F" w:rsidRDefault="0041584B" w:rsidP="0041584B">
            <w:pPr>
              <w:pStyle w:val="DCUSATableText"/>
            </w:pPr>
            <w:r w:rsidRPr="00C70D7F">
              <w:t>2.06</w:t>
            </w:r>
          </w:p>
        </w:tc>
        <w:tc>
          <w:tcPr>
            <w:tcW w:w="1559" w:type="dxa"/>
          </w:tcPr>
          <w:p w14:paraId="54079BE4" w14:textId="77777777" w:rsidR="0041584B" w:rsidRPr="00C70D7F" w:rsidRDefault="0041584B" w:rsidP="0041584B">
            <w:pPr>
              <w:pStyle w:val="DCUSATableText"/>
            </w:pPr>
            <w:r w:rsidRPr="00C70D7F">
              <w:t>1</w:t>
            </w:r>
          </w:p>
        </w:tc>
        <w:tc>
          <w:tcPr>
            <w:tcW w:w="1134" w:type="dxa"/>
            <w:noWrap/>
          </w:tcPr>
          <w:p w14:paraId="42F46713" w14:textId="77777777" w:rsidR="0041584B" w:rsidRPr="00C70D7F" w:rsidRDefault="0041584B" w:rsidP="0041584B">
            <w:pPr>
              <w:pStyle w:val="DCUSATableText"/>
            </w:pPr>
            <w:r w:rsidRPr="00C70D7F">
              <w:t>75.00</w:t>
            </w:r>
          </w:p>
        </w:tc>
        <w:tc>
          <w:tcPr>
            <w:tcW w:w="1276" w:type="dxa"/>
            <w:noWrap/>
          </w:tcPr>
          <w:p w14:paraId="3523174C" w14:textId="77777777" w:rsidR="0041584B" w:rsidRPr="00C70D7F" w:rsidRDefault="0041584B" w:rsidP="0041584B">
            <w:pPr>
              <w:pStyle w:val="DCUSATableText"/>
            </w:pPr>
            <w:r w:rsidRPr="00C70D7F">
              <w:t>36.35</w:t>
            </w:r>
          </w:p>
        </w:tc>
        <w:tc>
          <w:tcPr>
            <w:tcW w:w="1842" w:type="dxa"/>
            <w:noWrap/>
          </w:tcPr>
          <w:p w14:paraId="1E419ED2" w14:textId="77777777" w:rsidR="0041584B" w:rsidRPr="00C70D7F" w:rsidRDefault="0041584B" w:rsidP="0041584B">
            <w:pPr>
              <w:pStyle w:val="DCUSATableText"/>
            </w:pPr>
            <w:r w:rsidRPr="00C70D7F">
              <w:t>149.04</w:t>
            </w:r>
          </w:p>
        </w:tc>
      </w:tr>
      <w:tr w:rsidR="0041584B" w:rsidRPr="00C70D7F" w14:paraId="4D355FE5" w14:textId="77777777" w:rsidTr="0041584B">
        <w:trPr>
          <w:trHeight w:val="255"/>
          <w:jc w:val="center"/>
        </w:trPr>
        <w:tc>
          <w:tcPr>
            <w:tcW w:w="988" w:type="dxa"/>
            <w:noWrap/>
          </w:tcPr>
          <w:p w14:paraId="1F104EE0" w14:textId="77777777" w:rsidR="0041584B" w:rsidRPr="00C70D7F" w:rsidRDefault="0041584B" w:rsidP="0041584B">
            <w:pPr>
              <w:pStyle w:val="DCUSATableText"/>
              <w:rPr>
                <w:lang w:val="en-US"/>
              </w:rPr>
            </w:pPr>
            <w:r w:rsidRPr="00C70D7F">
              <w:rPr>
                <w:lang w:val="en-US"/>
              </w:rPr>
              <w:t>B9</w:t>
            </w:r>
          </w:p>
        </w:tc>
        <w:tc>
          <w:tcPr>
            <w:tcW w:w="1275" w:type="dxa"/>
            <w:noWrap/>
          </w:tcPr>
          <w:p w14:paraId="4FAEAF15" w14:textId="77777777" w:rsidR="0041584B" w:rsidRPr="00C70D7F" w:rsidRDefault="0041584B" w:rsidP="0041584B">
            <w:pPr>
              <w:pStyle w:val="DCUSATableText"/>
            </w:pPr>
            <w:r w:rsidRPr="00C70D7F">
              <w:t>11.12</w:t>
            </w:r>
          </w:p>
        </w:tc>
        <w:tc>
          <w:tcPr>
            <w:tcW w:w="1560" w:type="dxa"/>
            <w:noWrap/>
          </w:tcPr>
          <w:p w14:paraId="7B7F8BF2" w14:textId="77777777" w:rsidR="0041584B" w:rsidRPr="00C70D7F" w:rsidRDefault="0041584B" w:rsidP="0041584B">
            <w:pPr>
              <w:pStyle w:val="DCUSATableText"/>
            </w:pPr>
            <w:r w:rsidRPr="00C70D7F">
              <w:t>22.04</w:t>
            </w:r>
          </w:p>
        </w:tc>
        <w:tc>
          <w:tcPr>
            <w:tcW w:w="1134" w:type="dxa"/>
            <w:noWrap/>
          </w:tcPr>
          <w:p w14:paraId="6728C284" w14:textId="77777777" w:rsidR="0041584B" w:rsidRPr="00C70D7F" w:rsidRDefault="0041584B" w:rsidP="0041584B">
            <w:pPr>
              <w:pStyle w:val="DCUSATableText"/>
            </w:pPr>
            <w:r w:rsidRPr="00C70D7F">
              <w:t>1.98</w:t>
            </w:r>
          </w:p>
        </w:tc>
        <w:tc>
          <w:tcPr>
            <w:tcW w:w="1559" w:type="dxa"/>
          </w:tcPr>
          <w:p w14:paraId="21BB28AF" w14:textId="77777777" w:rsidR="0041584B" w:rsidRPr="00C70D7F" w:rsidRDefault="0041584B" w:rsidP="0041584B">
            <w:pPr>
              <w:pStyle w:val="DCUSATableText"/>
            </w:pPr>
            <w:r w:rsidRPr="00C70D7F">
              <w:t>2</w:t>
            </w:r>
          </w:p>
        </w:tc>
        <w:tc>
          <w:tcPr>
            <w:tcW w:w="1134" w:type="dxa"/>
            <w:noWrap/>
          </w:tcPr>
          <w:p w14:paraId="2414762D" w14:textId="77777777" w:rsidR="0041584B" w:rsidRPr="00C70D7F" w:rsidRDefault="0041584B" w:rsidP="0041584B">
            <w:pPr>
              <w:pStyle w:val="DCUSATableText"/>
            </w:pPr>
            <w:r w:rsidRPr="00C70D7F">
              <w:t>75.00</w:t>
            </w:r>
          </w:p>
        </w:tc>
        <w:tc>
          <w:tcPr>
            <w:tcW w:w="1276" w:type="dxa"/>
            <w:noWrap/>
          </w:tcPr>
          <w:p w14:paraId="40066374" w14:textId="77777777" w:rsidR="0041584B" w:rsidRPr="00C70D7F" w:rsidRDefault="0041584B" w:rsidP="0041584B">
            <w:pPr>
              <w:pStyle w:val="DCUSATableText"/>
            </w:pPr>
            <w:r w:rsidRPr="00C70D7F">
              <w:t>37.86</w:t>
            </w:r>
          </w:p>
        </w:tc>
        <w:tc>
          <w:tcPr>
            <w:tcW w:w="1842" w:type="dxa"/>
            <w:noWrap/>
          </w:tcPr>
          <w:p w14:paraId="50224171" w14:textId="77777777" w:rsidR="0041584B" w:rsidRPr="00C70D7F" w:rsidRDefault="0041584B" w:rsidP="0041584B">
            <w:pPr>
              <w:pStyle w:val="DCUSATableText"/>
            </w:pPr>
            <w:r w:rsidRPr="00C70D7F">
              <w:t>123.10</w:t>
            </w:r>
          </w:p>
        </w:tc>
      </w:tr>
      <w:tr w:rsidR="0041584B" w:rsidRPr="00C70D7F" w14:paraId="70CC8EF8" w14:textId="77777777" w:rsidTr="0041584B">
        <w:trPr>
          <w:trHeight w:val="255"/>
          <w:jc w:val="center"/>
        </w:trPr>
        <w:tc>
          <w:tcPr>
            <w:tcW w:w="988" w:type="dxa"/>
            <w:noWrap/>
          </w:tcPr>
          <w:p w14:paraId="13ACB7D9" w14:textId="77777777" w:rsidR="0041584B" w:rsidRPr="00C70D7F" w:rsidRDefault="0041584B" w:rsidP="0041584B">
            <w:pPr>
              <w:pStyle w:val="DCUSATableText"/>
              <w:rPr>
                <w:lang w:val="en-US"/>
              </w:rPr>
            </w:pPr>
            <w:r w:rsidRPr="00C70D7F">
              <w:rPr>
                <w:lang w:val="en-US"/>
              </w:rPr>
              <w:t>B1</w:t>
            </w:r>
          </w:p>
        </w:tc>
        <w:tc>
          <w:tcPr>
            <w:tcW w:w="1275" w:type="dxa"/>
            <w:noWrap/>
          </w:tcPr>
          <w:p w14:paraId="6415C9A2" w14:textId="77777777" w:rsidR="0041584B" w:rsidRPr="00C70D7F" w:rsidRDefault="0041584B" w:rsidP="0041584B">
            <w:pPr>
              <w:pStyle w:val="DCUSATableText"/>
            </w:pPr>
            <w:r w:rsidRPr="00C70D7F">
              <w:t>8.65</w:t>
            </w:r>
          </w:p>
        </w:tc>
        <w:tc>
          <w:tcPr>
            <w:tcW w:w="1560" w:type="dxa"/>
            <w:noWrap/>
          </w:tcPr>
          <w:p w14:paraId="32E548D5" w14:textId="77777777" w:rsidR="0041584B" w:rsidRPr="00C70D7F" w:rsidRDefault="0041584B" w:rsidP="0041584B">
            <w:pPr>
              <w:pStyle w:val="DCUSATableText"/>
            </w:pPr>
            <w:r w:rsidRPr="00C70D7F">
              <w:t>17.06</w:t>
            </w:r>
          </w:p>
        </w:tc>
        <w:tc>
          <w:tcPr>
            <w:tcW w:w="1134" w:type="dxa"/>
            <w:noWrap/>
          </w:tcPr>
          <w:p w14:paraId="2127EC52" w14:textId="77777777" w:rsidR="0041584B" w:rsidRPr="00C70D7F" w:rsidRDefault="0041584B" w:rsidP="0041584B">
            <w:pPr>
              <w:pStyle w:val="DCUSATableText"/>
            </w:pPr>
            <w:r w:rsidRPr="00C70D7F">
              <w:t>1.97</w:t>
            </w:r>
          </w:p>
        </w:tc>
        <w:tc>
          <w:tcPr>
            <w:tcW w:w="1559" w:type="dxa"/>
          </w:tcPr>
          <w:p w14:paraId="13A1D092" w14:textId="77777777" w:rsidR="0041584B" w:rsidRPr="00C70D7F" w:rsidRDefault="0041584B" w:rsidP="0041584B">
            <w:pPr>
              <w:pStyle w:val="DCUSATableText"/>
            </w:pPr>
            <w:r w:rsidRPr="00C70D7F">
              <w:t>2</w:t>
            </w:r>
          </w:p>
        </w:tc>
        <w:tc>
          <w:tcPr>
            <w:tcW w:w="1134" w:type="dxa"/>
            <w:noWrap/>
          </w:tcPr>
          <w:p w14:paraId="41CB2F28" w14:textId="77777777" w:rsidR="0041584B" w:rsidRPr="00C70D7F" w:rsidRDefault="0041584B" w:rsidP="0041584B">
            <w:pPr>
              <w:pStyle w:val="DCUSATableText"/>
            </w:pPr>
            <w:r w:rsidRPr="00C70D7F">
              <w:t>60.00</w:t>
            </w:r>
          </w:p>
        </w:tc>
        <w:tc>
          <w:tcPr>
            <w:tcW w:w="1276" w:type="dxa"/>
            <w:noWrap/>
          </w:tcPr>
          <w:p w14:paraId="2ADCDB43" w14:textId="77777777" w:rsidR="0041584B" w:rsidRPr="00C70D7F" w:rsidRDefault="0041584B" w:rsidP="0041584B">
            <w:pPr>
              <w:pStyle w:val="DCUSATableText"/>
            </w:pPr>
            <w:r w:rsidRPr="00C70D7F">
              <w:t>30.41</w:t>
            </w:r>
          </w:p>
        </w:tc>
        <w:tc>
          <w:tcPr>
            <w:tcW w:w="1842" w:type="dxa"/>
            <w:noWrap/>
          </w:tcPr>
          <w:p w14:paraId="75D468FC" w14:textId="77777777" w:rsidR="0041584B" w:rsidRPr="00C70D7F" w:rsidRDefault="0041584B" w:rsidP="0041584B">
            <w:pPr>
              <w:pStyle w:val="DCUSATableText"/>
            </w:pPr>
            <w:r w:rsidRPr="00C70D7F">
              <w:t>126.39</w:t>
            </w:r>
          </w:p>
        </w:tc>
      </w:tr>
      <w:tr w:rsidR="0041584B" w:rsidRPr="00C70D7F" w14:paraId="15558D06" w14:textId="77777777" w:rsidTr="0041584B">
        <w:trPr>
          <w:trHeight w:val="255"/>
          <w:jc w:val="center"/>
        </w:trPr>
        <w:tc>
          <w:tcPr>
            <w:tcW w:w="988" w:type="dxa"/>
            <w:noWrap/>
          </w:tcPr>
          <w:p w14:paraId="7295B102" w14:textId="77777777" w:rsidR="0041584B" w:rsidRPr="00C70D7F" w:rsidRDefault="0041584B" w:rsidP="0041584B">
            <w:pPr>
              <w:pStyle w:val="DCUSATableText"/>
              <w:rPr>
                <w:lang w:val="en-US"/>
              </w:rPr>
            </w:pPr>
            <w:r w:rsidRPr="00C70D7F">
              <w:rPr>
                <w:lang w:val="en-US"/>
              </w:rPr>
              <w:t>B3</w:t>
            </w:r>
          </w:p>
        </w:tc>
        <w:tc>
          <w:tcPr>
            <w:tcW w:w="1275" w:type="dxa"/>
            <w:noWrap/>
          </w:tcPr>
          <w:p w14:paraId="73B48FBC" w14:textId="77777777" w:rsidR="0041584B" w:rsidRPr="00C70D7F" w:rsidRDefault="0041584B" w:rsidP="0041584B">
            <w:pPr>
              <w:pStyle w:val="DCUSATableText"/>
            </w:pPr>
            <w:r w:rsidRPr="00C70D7F">
              <w:t>13.62</w:t>
            </w:r>
          </w:p>
        </w:tc>
        <w:tc>
          <w:tcPr>
            <w:tcW w:w="1560" w:type="dxa"/>
            <w:noWrap/>
          </w:tcPr>
          <w:p w14:paraId="70FB22CB" w14:textId="77777777" w:rsidR="0041584B" w:rsidRPr="00C70D7F" w:rsidRDefault="0041584B" w:rsidP="0041584B">
            <w:pPr>
              <w:pStyle w:val="DCUSATableText"/>
            </w:pPr>
            <w:r w:rsidRPr="00C70D7F">
              <w:t>24.58</w:t>
            </w:r>
          </w:p>
        </w:tc>
        <w:tc>
          <w:tcPr>
            <w:tcW w:w="1134" w:type="dxa"/>
            <w:noWrap/>
          </w:tcPr>
          <w:p w14:paraId="6D72BD8E" w14:textId="77777777" w:rsidR="0041584B" w:rsidRPr="00C70D7F" w:rsidRDefault="0041584B" w:rsidP="0041584B">
            <w:pPr>
              <w:pStyle w:val="DCUSATableText"/>
            </w:pPr>
            <w:r w:rsidRPr="00C70D7F">
              <w:t>1.80</w:t>
            </w:r>
          </w:p>
        </w:tc>
        <w:tc>
          <w:tcPr>
            <w:tcW w:w="1559" w:type="dxa"/>
          </w:tcPr>
          <w:p w14:paraId="65DEDB82" w14:textId="77777777" w:rsidR="0041584B" w:rsidRPr="00C70D7F" w:rsidRDefault="0041584B" w:rsidP="0041584B">
            <w:pPr>
              <w:pStyle w:val="DCUSATableText"/>
            </w:pPr>
            <w:r w:rsidRPr="00C70D7F">
              <w:t>3</w:t>
            </w:r>
          </w:p>
        </w:tc>
        <w:tc>
          <w:tcPr>
            <w:tcW w:w="1134" w:type="dxa"/>
            <w:noWrap/>
          </w:tcPr>
          <w:p w14:paraId="3197EBDC" w14:textId="77777777" w:rsidR="0041584B" w:rsidRPr="00C70D7F" w:rsidRDefault="0041584B" w:rsidP="0041584B">
            <w:pPr>
              <w:pStyle w:val="DCUSATableText"/>
            </w:pPr>
            <w:r w:rsidRPr="00C70D7F">
              <w:t>60.00</w:t>
            </w:r>
          </w:p>
        </w:tc>
        <w:tc>
          <w:tcPr>
            <w:tcW w:w="1276" w:type="dxa"/>
            <w:noWrap/>
          </w:tcPr>
          <w:p w14:paraId="2C402466" w14:textId="77777777" w:rsidR="0041584B" w:rsidRPr="00C70D7F" w:rsidRDefault="0041584B" w:rsidP="0041584B">
            <w:pPr>
              <w:pStyle w:val="DCUSATableText"/>
            </w:pPr>
            <w:r w:rsidRPr="00C70D7F">
              <w:t>33.25</w:t>
            </w:r>
          </w:p>
        </w:tc>
        <w:tc>
          <w:tcPr>
            <w:tcW w:w="1842" w:type="dxa"/>
            <w:noWrap/>
          </w:tcPr>
          <w:p w14:paraId="33C12FDA" w14:textId="77777777" w:rsidR="0041584B" w:rsidRPr="00C70D7F" w:rsidRDefault="0041584B" w:rsidP="0041584B">
            <w:pPr>
              <w:pStyle w:val="DCUSATableText"/>
            </w:pPr>
            <w:r w:rsidRPr="00C70D7F">
              <w:t>89.70</w:t>
            </w:r>
          </w:p>
        </w:tc>
      </w:tr>
      <w:tr w:rsidR="0041584B" w:rsidRPr="00C70D7F" w14:paraId="641B7F2F" w14:textId="77777777" w:rsidTr="0041584B">
        <w:trPr>
          <w:trHeight w:val="255"/>
          <w:jc w:val="center"/>
        </w:trPr>
        <w:tc>
          <w:tcPr>
            <w:tcW w:w="988" w:type="dxa"/>
            <w:noWrap/>
          </w:tcPr>
          <w:p w14:paraId="0E0FD5F5" w14:textId="77777777" w:rsidR="0041584B" w:rsidRPr="00C70D7F" w:rsidRDefault="0041584B" w:rsidP="0041584B">
            <w:pPr>
              <w:pStyle w:val="DCUSATableText"/>
              <w:rPr>
                <w:lang w:val="en-US"/>
              </w:rPr>
            </w:pPr>
            <w:r w:rsidRPr="00C70D7F">
              <w:rPr>
                <w:lang w:val="en-US"/>
              </w:rPr>
              <w:t>B8</w:t>
            </w:r>
          </w:p>
        </w:tc>
        <w:tc>
          <w:tcPr>
            <w:tcW w:w="1275" w:type="dxa"/>
            <w:noWrap/>
          </w:tcPr>
          <w:p w14:paraId="108FC304" w14:textId="77777777" w:rsidR="0041584B" w:rsidRPr="00C70D7F" w:rsidRDefault="0041584B" w:rsidP="0041584B">
            <w:pPr>
              <w:pStyle w:val="DCUSATableText"/>
            </w:pPr>
            <w:r w:rsidRPr="00C70D7F">
              <w:t>11.13</w:t>
            </w:r>
          </w:p>
        </w:tc>
        <w:tc>
          <w:tcPr>
            <w:tcW w:w="1560" w:type="dxa"/>
            <w:noWrap/>
          </w:tcPr>
          <w:p w14:paraId="76392DF7" w14:textId="77777777" w:rsidR="0041584B" w:rsidRPr="00C70D7F" w:rsidRDefault="0041584B" w:rsidP="0041584B">
            <w:pPr>
              <w:pStyle w:val="DCUSATableText"/>
            </w:pPr>
            <w:r w:rsidRPr="00C70D7F">
              <w:t>22.08</w:t>
            </w:r>
          </w:p>
        </w:tc>
        <w:tc>
          <w:tcPr>
            <w:tcW w:w="1134" w:type="dxa"/>
            <w:noWrap/>
          </w:tcPr>
          <w:p w14:paraId="0AA561CF" w14:textId="77777777" w:rsidR="0041584B" w:rsidRPr="00C70D7F" w:rsidRDefault="0041584B" w:rsidP="0041584B">
            <w:pPr>
              <w:pStyle w:val="DCUSATableText"/>
            </w:pPr>
            <w:r w:rsidRPr="00C70D7F">
              <w:t>1.98</w:t>
            </w:r>
          </w:p>
        </w:tc>
        <w:tc>
          <w:tcPr>
            <w:tcW w:w="1559" w:type="dxa"/>
          </w:tcPr>
          <w:p w14:paraId="05A5E618" w14:textId="77777777" w:rsidR="0041584B" w:rsidRPr="00C70D7F" w:rsidRDefault="0041584B" w:rsidP="0041584B">
            <w:pPr>
              <w:pStyle w:val="DCUSATableText"/>
            </w:pPr>
            <w:r w:rsidRPr="00C70D7F">
              <w:t>2</w:t>
            </w:r>
          </w:p>
        </w:tc>
        <w:tc>
          <w:tcPr>
            <w:tcW w:w="1134" w:type="dxa"/>
            <w:noWrap/>
          </w:tcPr>
          <w:p w14:paraId="4878DA6B" w14:textId="77777777" w:rsidR="0041584B" w:rsidRPr="00C70D7F" w:rsidRDefault="0041584B" w:rsidP="0041584B">
            <w:pPr>
              <w:pStyle w:val="DCUSATableText"/>
            </w:pPr>
            <w:r w:rsidRPr="00C70D7F">
              <w:t>60.00</w:t>
            </w:r>
          </w:p>
        </w:tc>
        <w:tc>
          <w:tcPr>
            <w:tcW w:w="1276" w:type="dxa"/>
            <w:noWrap/>
          </w:tcPr>
          <w:p w14:paraId="5F602172" w14:textId="77777777" w:rsidR="0041584B" w:rsidRPr="00C70D7F" w:rsidRDefault="0041584B" w:rsidP="0041584B">
            <w:pPr>
              <w:pStyle w:val="DCUSATableText"/>
            </w:pPr>
            <w:r w:rsidRPr="00C70D7F">
              <w:t>30.25</w:t>
            </w:r>
          </w:p>
        </w:tc>
        <w:tc>
          <w:tcPr>
            <w:tcW w:w="1842" w:type="dxa"/>
            <w:noWrap/>
          </w:tcPr>
          <w:p w14:paraId="05F005CF" w14:textId="77777777" w:rsidR="0041584B" w:rsidRPr="00C70D7F" w:rsidRDefault="0041584B" w:rsidP="0041584B">
            <w:pPr>
              <w:pStyle w:val="DCUSATableText"/>
            </w:pPr>
            <w:r w:rsidRPr="00C70D7F">
              <w:t>100.45</w:t>
            </w:r>
          </w:p>
        </w:tc>
      </w:tr>
      <w:tr w:rsidR="0041584B" w:rsidRPr="00C70D7F" w14:paraId="7E4A7396" w14:textId="77777777" w:rsidTr="0041584B">
        <w:trPr>
          <w:trHeight w:val="255"/>
          <w:jc w:val="center"/>
        </w:trPr>
        <w:tc>
          <w:tcPr>
            <w:tcW w:w="988" w:type="dxa"/>
            <w:noWrap/>
          </w:tcPr>
          <w:p w14:paraId="0DEB15A1" w14:textId="77777777" w:rsidR="0041584B" w:rsidRPr="00C70D7F" w:rsidRDefault="0041584B" w:rsidP="0041584B">
            <w:pPr>
              <w:pStyle w:val="DCUSATableText"/>
              <w:rPr>
                <w:lang w:val="en-US"/>
              </w:rPr>
            </w:pPr>
            <w:r w:rsidRPr="00C70D7F">
              <w:rPr>
                <w:lang w:val="en-US"/>
              </w:rPr>
              <w:t>B2</w:t>
            </w:r>
          </w:p>
        </w:tc>
        <w:tc>
          <w:tcPr>
            <w:tcW w:w="1275" w:type="dxa"/>
            <w:noWrap/>
          </w:tcPr>
          <w:p w14:paraId="0EA97604" w14:textId="77777777" w:rsidR="0041584B" w:rsidRPr="00C70D7F" w:rsidRDefault="0041584B" w:rsidP="0041584B">
            <w:pPr>
              <w:pStyle w:val="DCUSATableText"/>
            </w:pPr>
            <w:r w:rsidRPr="00C70D7F">
              <w:t>8.64</w:t>
            </w:r>
          </w:p>
        </w:tc>
        <w:tc>
          <w:tcPr>
            <w:tcW w:w="1560" w:type="dxa"/>
            <w:noWrap/>
          </w:tcPr>
          <w:p w14:paraId="16213798" w14:textId="77777777" w:rsidR="0041584B" w:rsidRPr="00C70D7F" w:rsidRDefault="0041584B" w:rsidP="0041584B">
            <w:pPr>
              <w:pStyle w:val="DCUSATableText"/>
            </w:pPr>
            <w:r w:rsidRPr="00C70D7F">
              <w:t>17.02</w:t>
            </w:r>
          </w:p>
        </w:tc>
        <w:tc>
          <w:tcPr>
            <w:tcW w:w="1134" w:type="dxa"/>
            <w:noWrap/>
          </w:tcPr>
          <w:p w14:paraId="135E8848" w14:textId="77777777" w:rsidR="0041584B" w:rsidRPr="00C70D7F" w:rsidRDefault="0041584B" w:rsidP="0041584B">
            <w:pPr>
              <w:pStyle w:val="DCUSATableText"/>
            </w:pPr>
            <w:r w:rsidRPr="00C70D7F">
              <w:t>1.97</w:t>
            </w:r>
          </w:p>
        </w:tc>
        <w:tc>
          <w:tcPr>
            <w:tcW w:w="1559" w:type="dxa"/>
          </w:tcPr>
          <w:p w14:paraId="2C9EDF44" w14:textId="77777777" w:rsidR="0041584B" w:rsidRPr="00C70D7F" w:rsidRDefault="0041584B" w:rsidP="0041584B">
            <w:pPr>
              <w:pStyle w:val="DCUSATableText"/>
            </w:pPr>
            <w:r w:rsidRPr="00C70D7F">
              <w:t>2</w:t>
            </w:r>
          </w:p>
        </w:tc>
        <w:tc>
          <w:tcPr>
            <w:tcW w:w="1134" w:type="dxa"/>
            <w:noWrap/>
          </w:tcPr>
          <w:p w14:paraId="65E7F484" w14:textId="77777777" w:rsidR="0041584B" w:rsidRPr="00C70D7F" w:rsidRDefault="0041584B" w:rsidP="0041584B">
            <w:pPr>
              <w:pStyle w:val="DCUSATableText"/>
            </w:pPr>
            <w:r w:rsidRPr="00C70D7F">
              <w:t>75.00</w:t>
            </w:r>
          </w:p>
        </w:tc>
        <w:tc>
          <w:tcPr>
            <w:tcW w:w="1276" w:type="dxa"/>
            <w:noWrap/>
          </w:tcPr>
          <w:p w14:paraId="0E9C4A5E" w14:textId="77777777" w:rsidR="0041584B" w:rsidRPr="00C70D7F" w:rsidRDefault="0041584B" w:rsidP="0041584B">
            <w:pPr>
              <w:pStyle w:val="DCUSATableText"/>
            </w:pPr>
            <w:r w:rsidRPr="00C70D7F">
              <w:t>38.05</w:t>
            </w:r>
          </w:p>
        </w:tc>
        <w:tc>
          <w:tcPr>
            <w:tcW w:w="1842" w:type="dxa"/>
            <w:noWrap/>
          </w:tcPr>
          <w:p w14:paraId="1CDDA688" w14:textId="77777777" w:rsidR="0041584B" w:rsidRPr="00C70D7F" w:rsidRDefault="0041584B" w:rsidP="0041584B">
            <w:pPr>
              <w:pStyle w:val="DCUSATableText"/>
            </w:pPr>
            <w:r w:rsidRPr="00C70D7F">
              <w:t>149.04</w:t>
            </w:r>
          </w:p>
        </w:tc>
      </w:tr>
      <w:tr w:rsidR="0041584B" w:rsidRPr="00C70D7F" w14:paraId="45E3980B" w14:textId="77777777" w:rsidTr="0041584B">
        <w:trPr>
          <w:trHeight w:val="255"/>
          <w:jc w:val="center"/>
        </w:trPr>
        <w:tc>
          <w:tcPr>
            <w:tcW w:w="988" w:type="dxa"/>
            <w:noWrap/>
          </w:tcPr>
          <w:p w14:paraId="09414CF0" w14:textId="77777777" w:rsidR="0041584B" w:rsidRPr="00C70D7F" w:rsidRDefault="0041584B" w:rsidP="0041584B">
            <w:pPr>
              <w:pStyle w:val="DCUSATableText"/>
              <w:rPr>
                <w:lang w:val="en-US"/>
              </w:rPr>
            </w:pPr>
            <w:r w:rsidRPr="00C70D7F">
              <w:rPr>
                <w:lang w:val="en-US"/>
              </w:rPr>
              <w:t>B4</w:t>
            </w:r>
          </w:p>
        </w:tc>
        <w:tc>
          <w:tcPr>
            <w:tcW w:w="1275" w:type="dxa"/>
            <w:noWrap/>
          </w:tcPr>
          <w:p w14:paraId="29314803" w14:textId="77777777" w:rsidR="0041584B" w:rsidRPr="00C70D7F" w:rsidRDefault="0041584B" w:rsidP="0041584B">
            <w:pPr>
              <w:pStyle w:val="DCUSATableText"/>
            </w:pPr>
            <w:r w:rsidRPr="00C70D7F">
              <w:t>8.25</w:t>
            </w:r>
          </w:p>
        </w:tc>
        <w:tc>
          <w:tcPr>
            <w:tcW w:w="1560" w:type="dxa"/>
            <w:noWrap/>
          </w:tcPr>
          <w:p w14:paraId="62A4771A" w14:textId="77777777" w:rsidR="0041584B" w:rsidRPr="00C70D7F" w:rsidRDefault="0041584B" w:rsidP="0041584B">
            <w:pPr>
              <w:pStyle w:val="DCUSATableText"/>
            </w:pPr>
            <w:r w:rsidRPr="00C70D7F">
              <w:t>17.03</w:t>
            </w:r>
          </w:p>
        </w:tc>
        <w:tc>
          <w:tcPr>
            <w:tcW w:w="1134" w:type="dxa"/>
            <w:noWrap/>
          </w:tcPr>
          <w:p w14:paraId="5A79FC62" w14:textId="77777777" w:rsidR="0041584B" w:rsidRPr="00C70D7F" w:rsidRDefault="0041584B" w:rsidP="0041584B">
            <w:pPr>
              <w:pStyle w:val="DCUSATableText"/>
            </w:pPr>
            <w:r w:rsidRPr="00C70D7F">
              <w:t>2.06</w:t>
            </w:r>
          </w:p>
        </w:tc>
        <w:tc>
          <w:tcPr>
            <w:tcW w:w="1559" w:type="dxa"/>
          </w:tcPr>
          <w:p w14:paraId="14D41093" w14:textId="77777777" w:rsidR="0041584B" w:rsidRPr="00C70D7F" w:rsidRDefault="0041584B" w:rsidP="0041584B">
            <w:pPr>
              <w:pStyle w:val="DCUSATableText"/>
            </w:pPr>
            <w:r w:rsidRPr="00C70D7F">
              <w:t>1</w:t>
            </w:r>
          </w:p>
        </w:tc>
        <w:tc>
          <w:tcPr>
            <w:tcW w:w="1134" w:type="dxa"/>
            <w:noWrap/>
          </w:tcPr>
          <w:p w14:paraId="268C8A21" w14:textId="77777777" w:rsidR="0041584B" w:rsidRPr="00C70D7F" w:rsidRDefault="0041584B" w:rsidP="0041584B">
            <w:pPr>
              <w:pStyle w:val="DCUSATableText"/>
            </w:pPr>
            <w:r w:rsidRPr="00C70D7F">
              <w:t>60.00</w:t>
            </w:r>
          </w:p>
        </w:tc>
        <w:tc>
          <w:tcPr>
            <w:tcW w:w="1276" w:type="dxa"/>
            <w:noWrap/>
          </w:tcPr>
          <w:p w14:paraId="789BECB3" w14:textId="77777777" w:rsidR="0041584B" w:rsidRPr="00C70D7F" w:rsidRDefault="0041584B" w:rsidP="0041584B">
            <w:pPr>
              <w:pStyle w:val="DCUSATableText"/>
            </w:pPr>
            <w:r w:rsidRPr="00C70D7F">
              <w:t>29.07</w:t>
            </w:r>
          </w:p>
        </w:tc>
        <w:tc>
          <w:tcPr>
            <w:tcW w:w="1842" w:type="dxa"/>
            <w:noWrap/>
          </w:tcPr>
          <w:p w14:paraId="10D491A1" w14:textId="77777777" w:rsidR="0041584B" w:rsidRPr="00C70D7F" w:rsidRDefault="0041584B" w:rsidP="0041584B">
            <w:pPr>
              <w:pStyle w:val="DCUSATableText"/>
            </w:pPr>
            <w:r w:rsidRPr="00C70D7F">
              <w:t>126.54</w:t>
            </w:r>
          </w:p>
        </w:tc>
      </w:tr>
      <w:tr w:rsidR="0041584B" w:rsidRPr="00C70D7F" w14:paraId="50AE981D" w14:textId="77777777" w:rsidTr="0041584B">
        <w:trPr>
          <w:trHeight w:val="255"/>
          <w:jc w:val="center"/>
        </w:trPr>
        <w:tc>
          <w:tcPr>
            <w:tcW w:w="988" w:type="dxa"/>
            <w:noWrap/>
          </w:tcPr>
          <w:p w14:paraId="474CAD92" w14:textId="77777777" w:rsidR="0041584B" w:rsidRPr="00C70D7F" w:rsidRDefault="0041584B" w:rsidP="0041584B">
            <w:pPr>
              <w:pStyle w:val="DCUSATableText"/>
              <w:rPr>
                <w:lang w:val="en-US"/>
              </w:rPr>
            </w:pPr>
            <w:r w:rsidRPr="00C70D7F">
              <w:rPr>
                <w:lang w:val="en-US"/>
              </w:rPr>
              <w:t>B6</w:t>
            </w:r>
          </w:p>
        </w:tc>
        <w:tc>
          <w:tcPr>
            <w:tcW w:w="1275" w:type="dxa"/>
            <w:noWrap/>
          </w:tcPr>
          <w:p w14:paraId="63AB9021" w14:textId="77777777" w:rsidR="0041584B" w:rsidRPr="00C70D7F" w:rsidRDefault="0041584B" w:rsidP="0041584B">
            <w:pPr>
              <w:pStyle w:val="DCUSATableText"/>
            </w:pPr>
            <w:r w:rsidRPr="00C70D7F">
              <w:t>10.72</w:t>
            </w:r>
          </w:p>
        </w:tc>
        <w:tc>
          <w:tcPr>
            <w:tcW w:w="1560" w:type="dxa"/>
            <w:noWrap/>
          </w:tcPr>
          <w:p w14:paraId="47C536E0" w14:textId="77777777" w:rsidR="0041584B" w:rsidRPr="00C70D7F" w:rsidRDefault="0041584B" w:rsidP="0041584B">
            <w:pPr>
              <w:pStyle w:val="DCUSATableText"/>
            </w:pPr>
            <w:r w:rsidRPr="00C70D7F">
              <w:t>22.05</w:t>
            </w:r>
          </w:p>
        </w:tc>
        <w:tc>
          <w:tcPr>
            <w:tcW w:w="1134" w:type="dxa"/>
            <w:noWrap/>
          </w:tcPr>
          <w:p w14:paraId="73D716FF" w14:textId="77777777" w:rsidR="0041584B" w:rsidRPr="00C70D7F" w:rsidRDefault="0041584B" w:rsidP="0041584B">
            <w:pPr>
              <w:pStyle w:val="DCUSATableText"/>
            </w:pPr>
            <w:r w:rsidRPr="00C70D7F">
              <w:t>2.06</w:t>
            </w:r>
          </w:p>
        </w:tc>
        <w:tc>
          <w:tcPr>
            <w:tcW w:w="1559" w:type="dxa"/>
          </w:tcPr>
          <w:p w14:paraId="1D9A3CDC" w14:textId="77777777" w:rsidR="0041584B" w:rsidRPr="00C70D7F" w:rsidRDefault="0041584B" w:rsidP="0041584B">
            <w:pPr>
              <w:pStyle w:val="DCUSATableText"/>
            </w:pPr>
            <w:r w:rsidRPr="00C70D7F">
              <w:t>3</w:t>
            </w:r>
          </w:p>
        </w:tc>
        <w:tc>
          <w:tcPr>
            <w:tcW w:w="1134" w:type="dxa"/>
            <w:noWrap/>
          </w:tcPr>
          <w:p w14:paraId="411D8017" w14:textId="77777777" w:rsidR="0041584B" w:rsidRPr="00C70D7F" w:rsidRDefault="0041584B" w:rsidP="0041584B">
            <w:pPr>
              <w:pStyle w:val="DCUSATableText"/>
            </w:pPr>
            <w:r w:rsidRPr="00C70D7F">
              <w:t>60.00</w:t>
            </w:r>
          </w:p>
        </w:tc>
        <w:tc>
          <w:tcPr>
            <w:tcW w:w="1276" w:type="dxa"/>
            <w:noWrap/>
          </w:tcPr>
          <w:p w14:paraId="23C7C6BA" w14:textId="77777777" w:rsidR="0041584B" w:rsidRPr="00C70D7F" w:rsidRDefault="0041584B" w:rsidP="0041584B">
            <w:pPr>
              <w:pStyle w:val="DCUSATableText"/>
            </w:pPr>
            <w:r w:rsidRPr="00C70D7F">
              <w:t>29.16</w:t>
            </w:r>
          </w:p>
        </w:tc>
        <w:tc>
          <w:tcPr>
            <w:tcW w:w="1842" w:type="dxa"/>
            <w:noWrap/>
          </w:tcPr>
          <w:p w14:paraId="421F9547" w14:textId="77777777" w:rsidR="0041584B" w:rsidRPr="00C70D7F" w:rsidRDefault="0041584B" w:rsidP="0041584B">
            <w:pPr>
              <w:pStyle w:val="DCUSATableText"/>
            </w:pPr>
            <w:r w:rsidRPr="00C70D7F">
              <w:t>100.58</w:t>
            </w:r>
          </w:p>
        </w:tc>
      </w:tr>
      <w:tr w:rsidR="0041584B" w:rsidRPr="00C70D7F" w14:paraId="6E557C6A" w14:textId="77777777" w:rsidTr="0041584B">
        <w:trPr>
          <w:trHeight w:val="255"/>
          <w:jc w:val="center"/>
        </w:trPr>
        <w:tc>
          <w:tcPr>
            <w:tcW w:w="988" w:type="dxa"/>
            <w:noWrap/>
          </w:tcPr>
          <w:p w14:paraId="550E69C6" w14:textId="77777777" w:rsidR="0041584B" w:rsidRPr="00C70D7F" w:rsidRDefault="0041584B" w:rsidP="0041584B">
            <w:pPr>
              <w:pStyle w:val="DCUSATableText"/>
              <w:rPr>
                <w:lang w:val="en-US"/>
              </w:rPr>
            </w:pPr>
            <w:r w:rsidRPr="00C70D7F">
              <w:rPr>
                <w:lang w:val="en-US"/>
              </w:rPr>
              <w:t>B7</w:t>
            </w:r>
          </w:p>
        </w:tc>
        <w:tc>
          <w:tcPr>
            <w:tcW w:w="1275" w:type="dxa"/>
            <w:noWrap/>
          </w:tcPr>
          <w:p w14:paraId="24FCB795" w14:textId="77777777" w:rsidR="0041584B" w:rsidRPr="00C70D7F" w:rsidRDefault="0041584B" w:rsidP="0041584B">
            <w:pPr>
              <w:pStyle w:val="DCUSATableText"/>
            </w:pPr>
            <w:r w:rsidRPr="00C70D7F">
              <w:t>10.71</w:t>
            </w:r>
          </w:p>
        </w:tc>
        <w:tc>
          <w:tcPr>
            <w:tcW w:w="1560" w:type="dxa"/>
            <w:noWrap/>
          </w:tcPr>
          <w:p w14:paraId="0E1BA320" w14:textId="77777777" w:rsidR="0041584B" w:rsidRPr="00C70D7F" w:rsidRDefault="0041584B" w:rsidP="0041584B">
            <w:pPr>
              <w:pStyle w:val="DCUSATableText"/>
            </w:pPr>
            <w:r w:rsidRPr="00C70D7F">
              <w:t>22.04</w:t>
            </w:r>
          </w:p>
        </w:tc>
        <w:tc>
          <w:tcPr>
            <w:tcW w:w="1134" w:type="dxa"/>
            <w:noWrap/>
          </w:tcPr>
          <w:p w14:paraId="554DCDDA" w14:textId="77777777" w:rsidR="0041584B" w:rsidRPr="00C70D7F" w:rsidRDefault="0041584B" w:rsidP="0041584B">
            <w:pPr>
              <w:pStyle w:val="DCUSATableText"/>
            </w:pPr>
            <w:r w:rsidRPr="00C70D7F">
              <w:t>2.06</w:t>
            </w:r>
          </w:p>
        </w:tc>
        <w:tc>
          <w:tcPr>
            <w:tcW w:w="1559" w:type="dxa"/>
          </w:tcPr>
          <w:p w14:paraId="24DF0C1F" w14:textId="77777777" w:rsidR="0041584B" w:rsidRPr="00C70D7F" w:rsidRDefault="0041584B" w:rsidP="0041584B">
            <w:pPr>
              <w:pStyle w:val="DCUSATableText"/>
            </w:pPr>
            <w:r w:rsidRPr="00C70D7F">
              <w:t>3</w:t>
            </w:r>
          </w:p>
        </w:tc>
        <w:tc>
          <w:tcPr>
            <w:tcW w:w="1134" w:type="dxa"/>
            <w:noWrap/>
          </w:tcPr>
          <w:p w14:paraId="1BE0D8A1" w14:textId="77777777" w:rsidR="0041584B" w:rsidRPr="00C70D7F" w:rsidRDefault="0041584B" w:rsidP="0041584B">
            <w:pPr>
              <w:pStyle w:val="DCUSATableText"/>
            </w:pPr>
            <w:r w:rsidRPr="00C70D7F">
              <w:t>75.00</w:t>
            </w:r>
          </w:p>
        </w:tc>
        <w:tc>
          <w:tcPr>
            <w:tcW w:w="1276" w:type="dxa"/>
            <w:noWrap/>
          </w:tcPr>
          <w:p w14:paraId="1BE36A63" w14:textId="77777777" w:rsidR="0041584B" w:rsidRPr="00C70D7F" w:rsidRDefault="0041584B" w:rsidP="0041584B">
            <w:pPr>
              <w:pStyle w:val="DCUSATableText"/>
            </w:pPr>
            <w:r w:rsidRPr="00C70D7F">
              <w:t>36.46</w:t>
            </w:r>
          </w:p>
        </w:tc>
        <w:tc>
          <w:tcPr>
            <w:tcW w:w="1842" w:type="dxa"/>
            <w:noWrap/>
          </w:tcPr>
          <w:p w14:paraId="7E751FE4" w14:textId="77777777" w:rsidR="0041584B" w:rsidRPr="00C70D7F" w:rsidRDefault="0041584B" w:rsidP="0041584B">
            <w:pPr>
              <w:pStyle w:val="DCUSATableText"/>
            </w:pPr>
            <w:r w:rsidRPr="00C70D7F">
              <w:t>123.09</w:t>
            </w:r>
          </w:p>
        </w:tc>
      </w:tr>
    </w:tbl>
    <w:p w14:paraId="6092E1D2" w14:textId="77777777" w:rsidR="0041584B" w:rsidRDefault="0041584B" w:rsidP="0041584B">
      <w:pPr>
        <w:pStyle w:val="NoSpacing"/>
      </w:pPr>
    </w:p>
    <w:p w14:paraId="7DEE241B" w14:textId="77777777" w:rsidR="0041584B" w:rsidRPr="00B36BCA" w:rsidRDefault="0041584B" w:rsidP="0041584B">
      <w:pPr>
        <w:pStyle w:val="DCSubHeading1Level2"/>
        <w:keepLines/>
      </w:pPr>
      <w:r w:rsidRPr="00B36BCA">
        <w:t xml:space="preserve">Incremented Flow Analysis </w:t>
      </w:r>
    </w:p>
    <w:p w14:paraId="33EC1273" w14:textId="77777777" w:rsidR="0041584B" w:rsidRPr="00B36BCA" w:rsidRDefault="0041584B" w:rsidP="0041584B">
      <w:pPr>
        <w:pStyle w:val="Heading7"/>
      </w:pPr>
      <w:r w:rsidRPr="00B36BCA">
        <w:t>The Incremented Flow Analysis needs to be carried out once the Branch Capacity and Security Factors are determined. For the network example used in this attachment six power flow studies are required to determine the Incremented Flows. These studies are listed in table</w:t>
      </w:r>
      <w:r>
        <w:t xml:space="preserve"> 8</w:t>
      </w:r>
      <w:r w:rsidRPr="00B36BCA">
        <w:t>.</w:t>
      </w:r>
    </w:p>
    <w:p w14:paraId="028C9C53" w14:textId="77777777" w:rsidR="0041584B" w:rsidRDefault="0041584B" w:rsidP="0041584B">
      <w:pPr>
        <w:spacing w:after="0"/>
        <w:rPr>
          <w:b/>
        </w:rPr>
      </w:pPr>
      <w:bookmarkStart w:id="747" w:name="_Toc253698474"/>
      <w:r>
        <w:rPr>
          <w:b/>
        </w:rPr>
        <w:br w:type="page"/>
      </w:r>
    </w:p>
    <w:p w14:paraId="6755C7C2" w14:textId="77777777" w:rsidR="0041584B" w:rsidRPr="00213B09" w:rsidRDefault="0041584B" w:rsidP="0041584B">
      <w:pPr>
        <w:spacing w:after="0"/>
        <w:rPr>
          <w:b/>
        </w:rPr>
      </w:pPr>
      <w:r w:rsidRPr="00213B09">
        <w:rPr>
          <w:b/>
        </w:rPr>
        <w:lastRenderedPageBreak/>
        <w:t xml:space="preserve">Table </w:t>
      </w:r>
      <w:r>
        <w:rPr>
          <w:b/>
        </w:rPr>
        <w:t>8</w:t>
      </w:r>
      <w:r w:rsidRPr="00213B09">
        <w:rPr>
          <w:b/>
        </w:rPr>
        <w:t xml:space="preserve"> - Incremented Flow Analysis – Studies</w:t>
      </w:r>
      <w:bookmarkEnd w:id="747"/>
    </w:p>
    <w:tbl>
      <w:tblPr>
        <w:tblpPr w:leftFromText="180" w:rightFromText="180" w:vertAnchor="text" w:tblpXSpec="center" w:tblpY="1"/>
        <w:tblOverlap w:val="never"/>
        <w:tblW w:w="5000" w:type="pct"/>
        <w:tblLayout w:type="fixed"/>
        <w:tblLook w:val="0000" w:firstRow="0" w:lastRow="0" w:firstColumn="0" w:lastColumn="0" w:noHBand="0" w:noVBand="0"/>
      </w:tblPr>
      <w:tblGrid>
        <w:gridCol w:w="846"/>
        <w:gridCol w:w="2020"/>
        <w:gridCol w:w="1218"/>
        <w:gridCol w:w="1647"/>
        <w:gridCol w:w="1784"/>
        <w:gridCol w:w="1504"/>
      </w:tblGrid>
      <w:tr w:rsidR="0041584B" w:rsidRPr="00C70D7F" w14:paraId="67053ED4" w14:textId="77777777" w:rsidTr="0041584B">
        <w:trPr>
          <w:trHeight w:val="645"/>
        </w:trPr>
        <w:tc>
          <w:tcPr>
            <w:tcW w:w="469" w:type="pct"/>
            <w:tcBorders>
              <w:top w:val="single" w:sz="4" w:space="0" w:color="auto"/>
              <w:left w:val="single" w:sz="4" w:space="0" w:color="auto"/>
              <w:bottom w:val="nil"/>
              <w:right w:val="single" w:sz="4" w:space="0" w:color="auto"/>
            </w:tcBorders>
            <w:vAlign w:val="center"/>
          </w:tcPr>
          <w:p w14:paraId="60DD52BD" w14:textId="77777777" w:rsidR="0041584B" w:rsidRPr="00C70D7F" w:rsidRDefault="0041584B" w:rsidP="0041584B">
            <w:pPr>
              <w:rPr>
                <w:b/>
                <w:bCs/>
              </w:rPr>
            </w:pPr>
          </w:p>
        </w:tc>
        <w:tc>
          <w:tcPr>
            <w:tcW w:w="1120" w:type="pct"/>
            <w:tcBorders>
              <w:top w:val="single" w:sz="4" w:space="0" w:color="auto"/>
              <w:left w:val="single" w:sz="4" w:space="0" w:color="auto"/>
              <w:bottom w:val="nil"/>
              <w:right w:val="single" w:sz="4" w:space="0" w:color="auto"/>
            </w:tcBorders>
            <w:noWrap/>
            <w:vAlign w:val="center"/>
          </w:tcPr>
          <w:p w14:paraId="25BC17C5" w14:textId="77777777" w:rsidR="0041584B" w:rsidRPr="00C70D7F" w:rsidRDefault="0041584B" w:rsidP="0041584B">
            <w:pPr>
              <w:rPr>
                <w:b/>
                <w:bCs/>
              </w:rPr>
            </w:pPr>
            <w:r w:rsidRPr="00C70D7F">
              <w:rPr>
                <w:b/>
                <w:bCs/>
              </w:rPr>
              <w:t> </w:t>
            </w:r>
          </w:p>
        </w:tc>
        <w:tc>
          <w:tcPr>
            <w:tcW w:w="3411" w:type="pct"/>
            <w:gridSpan w:val="4"/>
            <w:tcBorders>
              <w:top w:val="single" w:sz="4" w:space="0" w:color="auto"/>
              <w:left w:val="single" w:sz="4" w:space="0" w:color="auto"/>
              <w:bottom w:val="nil"/>
              <w:right w:val="single" w:sz="4" w:space="0" w:color="000000"/>
            </w:tcBorders>
            <w:noWrap/>
            <w:vAlign w:val="center"/>
          </w:tcPr>
          <w:p w14:paraId="3BE8A4C0" w14:textId="77777777" w:rsidR="0041584B" w:rsidRPr="00C70D7F" w:rsidRDefault="0041584B" w:rsidP="0041584B">
            <w:pPr>
              <w:jc w:val="center"/>
              <w:rPr>
                <w:b/>
                <w:bCs/>
              </w:rPr>
            </w:pPr>
            <w:r w:rsidRPr="00C70D7F">
              <w:rPr>
                <w:b/>
                <w:bCs/>
              </w:rPr>
              <w:t>Increment Applied</w:t>
            </w:r>
          </w:p>
        </w:tc>
      </w:tr>
      <w:tr w:rsidR="0041584B" w:rsidRPr="00C70D7F" w14:paraId="629CCFD6" w14:textId="77777777" w:rsidTr="0041584B">
        <w:trPr>
          <w:trHeight w:val="315"/>
        </w:trPr>
        <w:tc>
          <w:tcPr>
            <w:tcW w:w="469" w:type="pct"/>
            <w:tcBorders>
              <w:top w:val="nil"/>
              <w:left w:val="single" w:sz="4" w:space="0" w:color="auto"/>
              <w:bottom w:val="nil"/>
              <w:right w:val="single" w:sz="4" w:space="0" w:color="auto"/>
            </w:tcBorders>
            <w:vAlign w:val="center"/>
          </w:tcPr>
          <w:p w14:paraId="4F482621" w14:textId="77777777" w:rsidR="0041584B" w:rsidRPr="00AF25A4" w:rsidRDefault="0041584B" w:rsidP="0041584B">
            <w:pPr>
              <w:pStyle w:val="DCUSATableText"/>
            </w:pPr>
            <w:r w:rsidRPr="00AF25A4">
              <w:t>Study</w:t>
            </w:r>
          </w:p>
        </w:tc>
        <w:tc>
          <w:tcPr>
            <w:tcW w:w="1120" w:type="pct"/>
            <w:tcBorders>
              <w:top w:val="nil"/>
              <w:left w:val="single" w:sz="4" w:space="0" w:color="auto"/>
              <w:bottom w:val="nil"/>
              <w:right w:val="single" w:sz="4" w:space="0" w:color="auto"/>
            </w:tcBorders>
            <w:noWrap/>
            <w:vAlign w:val="center"/>
          </w:tcPr>
          <w:p w14:paraId="1DEB9509" w14:textId="77777777" w:rsidR="0041584B" w:rsidRPr="00AF25A4" w:rsidRDefault="0041584B" w:rsidP="0041584B">
            <w:pPr>
              <w:pStyle w:val="DCUSATableText"/>
            </w:pPr>
            <w:r w:rsidRPr="00AF25A4">
              <w:t> </w:t>
            </w:r>
          </w:p>
        </w:tc>
        <w:tc>
          <w:tcPr>
            <w:tcW w:w="1588" w:type="pct"/>
            <w:gridSpan w:val="2"/>
            <w:tcBorders>
              <w:top w:val="nil"/>
              <w:left w:val="single" w:sz="4" w:space="0" w:color="auto"/>
              <w:bottom w:val="nil"/>
              <w:right w:val="nil"/>
            </w:tcBorders>
            <w:noWrap/>
            <w:vAlign w:val="center"/>
          </w:tcPr>
          <w:p w14:paraId="71C133F6" w14:textId="77777777" w:rsidR="0041584B" w:rsidRPr="00AF25A4" w:rsidRDefault="0041584B" w:rsidP="0041584B">
            <w:pPr>
              <w:pStyle w:val="DCUSATableText"/>
            </w:pPr>
            <w:r w:rsidRPr="00AF25A4">
              <w:t>Maximum Demand Scenario</w:t>
            </w:r>
          </w:p>
        </w:tc>
        <w:tc>
          <w:tcPr>
            <w:tcW w:w="1823" w:type="pct"/>
            <w:gridSpan w:val="2"/>
            <w:tcBorders>
              <w:top w:val="nil"/>
              <w:left w:val="single" w:sz="4" w:space="0" w:color="auto"/>
              <w:bottom w:val="nil"/>
              <w:right w:val="single" w:sz="4" w:space="0" w:color="000000"/>
            </w:tcBorders>
            <w:noWrap/>
            <w:vAlign w:val="center"/>
          </w:tcPr>
          <w:p w14:paraId="1BF35F54" w14:textId="77777777" w:rsidR="0041584B" w:rsidRPr="00AF25A4" w:rsidRDefault="0041584B" w:rsidP="0041584B">
            <w:pPr>
              <w:pStyle w:val="DCUSATableText"/>
            </w:pPr>
            <w:r w:rsidRPr="00AF25A4">
              <w:t>Minimum Demand Scenario</w:t>
            </w:r>
          </w:p>
        </w:tc>
      </w:tr>
      <w:tr w:rsidR="0041584B" w:rsidRPr="00C70D7F" w14:paraId="63B61C7B" w14:textId="77777777" w:rsidTr="0041584B">
        <w:trPr>
          <w:trHeight w:val="945"/>
        </w:trPr>
        <w:tc>
          <w:tcPr>
            <w:tcW w:w="469" w:type="pct"/>
            <w:tcBorders>
              <w:top w:val="nil"/>
              <w:left w:val="single" w:sz="4" w:space="0" w:color="auto"/>
              <w:bottom w:val="single" w:sz="4" w:space="0" w:color="auto"/>
              <w:right w:val="single" w:sz="4" w:space="0" w:color="auto"/>
            </w:tcBorders>
            <w:vAlign w:val="center"/>
          </w:tcPr>
          <w:p w14:paraId="34DE3908" w14:textId="77777777" w:rsidR="0041584B" w:rsidRPr="00AF25A4" w:rsidRDefault="0041584B" w:rsidP="0041584B">
            <w:pPr>
              <w:pStyle w:val="DCUSATableText"/>
            </w:pPr>
          </w:p>
        </w:tc>
        <w:tc>
          <w:tcPr>
            <w:tcW w:w="1120" w:type="pct"/>
            <w:tcBorders>
              <w:top w:val="nil"/>
              <w:left w:val="single" w:sz="4" w:space="0" w:color="auto"/>
              <w:bottom w:val="single" w:sz="4" w:space="0" w:color="auto"/>
              <w:right w:val="single" w:sz="4" w:space="0" w:color="auto"/>
            </w:tcBorders>
            <w:vAlign w:val="center"/>
          </w:tcPr>
          <w:p w14:paraId="4C3EBE26" w14:textId="77777777" w:rsidR="0041584B" w:rsidRPr="00AF25A4" w:rsidRDefault="0041584B" w:rsidP="0041584B">
            <w:pPr>
              <w:pStyle w:val="DCUSATableText"/>
            </w:pPr>
            <w:r w:rsidRPr="00AF25A4">
              <w:t xml:space="preserve">Type of Demand </w:t>
            </w:r>
          </w:p>
          <w:p w14:paraId="1E119445" w14:textId="77777777" w:rsidR="0041584B" w:rsidRPr="00AF25A4" w:rsidRDefault="0041584B" w:rsidP="0041584B">
            <w:pPr>
              <w:pStyle w:val="DCUSATableText"/>
            </w:pPr>
            <w:r w:rsidRPr="00AF25A4">
              <w:t>at Node Being Incremented</w:t>
            </w:r>
          </w:p>
        </w:tc>
        <w:tc>
          <w:tcPr>
            <w:tcW w:w="675" w:type="pct"/>
            <w:tcBorders>
              <w:top w:val="nil"/>
              <w:left w:val="nil"/>
              <w:bottom w:val="single" w:sz="4" w:space="0" w:color="auto"/>
              <w:right w:val="nil"/>
            </w:tcBorders>
            <w:noWrap/>
            <w:vAlign w:val="center"/>
          </w:tcPr>
          <w:p w14:paraId="2371D417" w14:textId="77777777" w:rsidR="0041584B" w:rsidRPr="00AF25A4" w:rsidRDefault="0041584B" w:rsidP="0041584B">
            <w:pPr>
              <w:pStyle w:val="DCUSATableText"/>
            </w:pPr>
            <w:r w:rsidRPr="00AF25A4">
              <w:t>Power Factor</w:t>
            </w:r>
          </w:p>
        </w:tc>
        <w:tc>
          <w:tcPr>
            <w:tcW w:w="913" w:type="pct"/>
            <w:tcBorders>
              <w:top w:val="nil"/>
              <w:left w:val="single" w:sz="4" w:space="0" w:color="auto"/>
              <w:bottom w:val="single" w:sz="4" w:space="0" w:color="auto"/>
              <w:right w:val="single" w:sz="4" w:space="0" w:color="auto"/>
            </w:tcBorders>
            <w:noWrap/>
            <w:vAlign w:val="center"/>
          </w:tcPr>
          <w:p w14:paraId="60E23299" w14:textId="77777777" w:rsidR="0041584B" w:rsidRPr="00AF25A4" w:rsidRDefault="0041584B" w:rsidP="0041584B">
            <w:pPr>
              <w:pStyle w:val="DCUSATableText"/>
            </w:pPr>
            <w:r w:rsidRPr="00AF25A4">
              <w:t>Direction</w:t>
            </w:r>
          </w:p>
        </w:tc>
        <w:tc>
          <w:tcPr>
            <w:tcW w:w="989" w:type="pct"/>
            <w:tcBorders>
              <w:top w:val="nil"/>
              <w:left w:val="nil"/>
              <w:bottom w:val="single" w:sz="4" w:space="0" w:color="auto"/>
              <w:right w:val="nil"/>
            </w:tcBorders>
            <w:noWrap/>
            <w:vAlign w:val="center"/>
          </w:tcPr>
          <w:p w14:paraId="60BBF2EB" w14:textId="77777777" w:rsidR="0041584B" w:rsidRPr="00AF25A4" w:rsidRDefault="0041584B" w:rsidP="0041584B">
            <w:pPr>
              <w:pStyle w:val="DCUSATableText"/>
            </w:pPr>
            <w:r w:rsidRPr="00AF25A4">
              <w:t>Power Factor</w:t>
            </w:r>
          </w:p>
        </w:tc>
        <w:tc>
          <w:tcPr>
            <w:tcW w:w="834" w:type="pct"/>
            <w:tcBorders>
              <w:top w:val="nil"/>
              <w:left w:val="single" w:sz="4" w:space="0" w:color="auto"/>
              <w:bottom w:val="single" w:sz="4" w:space="0" w:color="auto"/>
              <w:right w:val="single" w:sz="4" w:space="0" w:color="auto"/>
            </w:tcBorders>
            <w:noWrap/>
            <w:vAlign w:val="center"/>
          </w:tcPr>
          <w:p w14:paraId="25630B52" w14:textId="77777777" w:rsidR="0041584B" w:rsidRPr="00AF25A4" w:rsidRDefault="0041584B" w:rsidP="0041584B">
            <w:pPr>
              <w:pStyle w:val="DCUSATableText"/>
            </w:pPr>
            <w:r w:rsidRPr="00AF25A4">
              <w:t>Direction</w:t>
            </w:r>
          </w:p>
        </w:tc>
      </w:tr>
      <w:tr w:rsidR="0041584B" w:rsidRPr="00C70D7F" w14:paraId="4B0B4FEB" w14:textId="77777777" w:rsidTr="0041584B">
        <w:trPr>
          <w:trHeight w:val="315"/>
        </w:trPr>
        <w:tc>
          <w:tcPr>
            <w:tcW w:w="469" w:type="pct"/>
            <w:tcBorders>
              <w:top w:val="nil"/>
              <w:left w:val="single" w:sz="4" w:space="0" w:color="auto"/>
              <w:bottom w:val="single" w:sz="4" w:space="0" w:color="auto"/>
              <w:right w:val="nil"/>
            </w:tcBorders>
            <w:vAlign w:val="center"/>
          </w:tcPr>
          <w:p w14:paraId="5C6F96C3" w14:textId="77777777" w:rsidR="0041584B" w:rsidRPr="00C70D7F" w:rsidRDefault="0041584B" w:rsidP="0041584B">
            <w:pPr>
              <w:pStyle w:val="DCUSATableText"/>
            </w:pPr>
            <w:r w:rsidRPr="00C70D7F">
              <w:t>1-2</w:t>
            </w:r>
          </w:p>
        </w:tc>
        <w:tc>
          <w:tcPr>
            <w:tcW w:w="1120" w:type="pct"/>
            <w:tcBorders>
              <w:top w:val="nil"/>
              <w:left w:val="single" w:sz="4" w:space="0" w:color="auto"/>
              <w:bottom w:val="single" w:sz="4" w:space="0" w:color="auto"/>
              <w:right w:val="nil"/>
            </w:tcBorders>
            <w:noWrap/>
            <w:vAlign w:val="center"/>
          </w:tcPr>
          <w:p w14:paraId="3FF7AF40" w14:textId="77777777" w:rsidR="0041584B" w:rsidRPr="00C70D7F" w:rsidRDefault="0041584B" w:rsidP="0041584B">
            <w:pPr>
              <w:pStyle w:val="DCUSATableText"/>
            </w:pPr>
            <w:r w:rsidRPr="00C70D7F">
              <w:t>Node G Demand</w:t>
            </w:r>
          </w:p>
        </w:tc>
        <w:tc>
          <w:tcPr>
            <w:tcW w:w="675" w:type="pct"/>
            <w:tcBorders>
              <w:top w:val="nil"/>
              <w:left w:val="single" w:sz="4" w:space="0" w:color="auto"/>
              <w:bottom w:val="single" w:sz="4" w:space="0" w:color="auto"/>
              <w:right w:val="nil"/>
            </w:tcBorders>
            <w:noWrap/>
            <w:vAlign w:val="center"/>
          </w:tcPr>
          <w:p w14:paraId="1C0B001F" w14:textId="77777777" w:rsidR="0041584B" w:rsidRPr="00C70D7F" w:rsidRDefault="0041584B" w:rsidP="0041584B">
            <w:pPr>
              <w:pStyle w:val="DCUSATableText"/>
            </w:pPr>
            <w:r w:rsidRPr="00C70D7F">
              <w:t>0.95</w:t>
            </w:r>
          </w:p>
        </w:tc>
        <w:tc>
          <w:tcPr>
            <w:tcW w:w="913" w:type="pct"/>
            <w:tcBorders>
              <w:top w:val="nil"/>
              <w:left w:val="single" w:sz="4" w:space="0" w:color="auto"/>
              <w:bottom w:val="single" w:sz="4" w:space="0" w:color="auto"/>
              <w:right w:val="single" w:sz="4" w:space="0" w:color="auto"/>
            </w:tcBorders>
            <w:noWrap/>
            <w:vAlign w:val="center"/>
          </w:tcPr>
          <w:p w14:paraId="6D105EE1" w14:textId="77777777" w:rsidR="0041584B" w:rsidRPr="00C70D7F" w:rsidRDefault="0041584B" w:rsidP="0041584B">
            <w:pPr>
              <w:pStyle w:val="DCUSATableText"/>
            </w:pPr>
            <w:r w:rsidRPr="00C70D7F">
              <w:t>Load</w:t>
            </w:r>
          </w:p>
        </w:tc>
        <w:tc>
          <w:tcPr>
            <w:tcW w:w="989" w:type="pct"/>
            <w:tcBorders>
              <w:top w:val="nil"/>
              <w:left w:val="nil"/>
              <w:bottom w:val="single" w:sz="4" w:space="0" w:color="auto"/>
              <w:right w:val="nil"/>
            </w:tcBorders>
            <w:noWrap/>
            <w:vAlign w:val="center"/>
          </w:tcPr>
          <w:p w14:paraId="2814D1BB" w14:textId="77777777" w:rsidR="0041584B" w:rsidRPr="00C70D7F" w:rsidRDefault="0041584B" w:rsidP="0041584B">
            <w:pPr>
              <w:pStyle w:val="DCUSATableText"/>
            </w:pPr>
            <w:r w:rsidRPr="00C70D7F">
              <w:t>0.95</w:t>
            </w:r>
          </w:p>
        </w:tc>
        <w:tc>
          <w:tcPr>
            <w:tcW w:w="834" w:type="pct"/>
            <w:tcBorders>
              <w:top w:val="nil"/>
              <w:left w:val="single" w:sz="4" w:space="0" w:color="auto"/>
              <w:bottom w:val="single" w:sz="4" w:space="0" w:color="auto"/>
              <w:right w:val="single" w:sz="4" w:space="0" w:color="auto"/>
            </w:tcBorders>
            <w:noWrap/>
            <w:vAlign w:val="center"/>
          </w:tcPr>
          <w:p w14:paraId="41BEAD4E" w14:textId="77777777" w:rsidR="0041584B" w:rsidRPr="00C70D7F" w:rsidRDefault="0041584B" w:rsidP="0041584B">
            <w:pPr>
              <w:pStyle w:val="DCUSATableText"/>
            </w:pPr>
            <w:r w:rsidRPr="00C70D7F">
              <w:t>Generation</w:t>
            </w:r>
          </w:p>
        </w:tc>
      </w:tr>
      <w:tr w:rsidR="0041584B" w:rsidRPr="00C70D7F" w14:paraId="763D99DB" w14:textId="77777777" w:rsidTr="0041584B">
        <w:trPr>
          <w:trHeight w:val="315"/>
        </w:trPr>
        <w:tc>
          <w:tcPr>
            <w:tcW w:w="469" w:type="pct"/>
            <w:tcBorders>
              <w:top w:val="nil"/>
              <w:left w:val="single" w:sz="4" w:space="0" w:color="auto"/>
              <w:bottom w:val="single" w:sz="4" w:space="0" w:color="auto"/>
              <w:right w:val="nil"/>
            </w:tcBorders>
            <w:vAlign w:val="center"/>
          </w:tcPr>
          <w:p w14:paraId="0C05C842" w14:textId="77777777" w:rsidR="0041584B" w:rsidRPr="00C70D7F" w:rsidRDefault="0041584B" w:rsidP="0041584B">
            <w:pPr>
              <w:pStyle w:val="DCUSATableText"/>
            </w:pPr>
            <w:r w:rsidRPr="00C70D7F">
              <w:t>3-4</w:t>
            </w:r>
          </w:p>
        </w:tc>
        <w:tc>
          <w:tcPr>
            <w:tcW w:w="1120" w:type="pct"/>
            <w:tcBorders>
              <w:top w:val="nil"/>
              <w:left w:val="single" w:sz="4" w:space="0" w:color="auto"/>
              <w:bottom w:val="single" w:sz="4" w:space="0" w:color="auto"/>
              <w:right w:val="nil"/>
            </w:tcBorders>
            <w:noWrap/>
            <w:vAlign w:val="center"/>
          </w:tcPr>
          <w:p w14:paraId="54E0564E" w14:textId="77777777" w:rsidR="0041584B" w:rsidRPr="00C70D7F" w:rsidRDefault="0041584B" w:rsidP="0041584B">
            <w:pPr>
              <w:pStyle w:val="DCUSATableText"/>
            </w:pPr>
            <w:r w:rsidRPr="00C70D7F">
              <w:t>Node C Demand</w:t>
            </w:r>
          </w:p>
        </w:tc>
        <w:tc>
          <w:tcPr>
            <w:tcW w:w="675" w:type="pct"/>
            <w:tcBorders>
              <w:top w:val="nil"/>
              <w:left w:val="single" w:sz="4" w:space="0" w:color="auto"/>
              <w:bottom w:val="single" w:sz="4" w:space="0" w:color="auto"/>
              <w:right w:val="nil"/>
            </w:tcBorders>
            <w:noWrap/>
            <w:vAlign w:val="center"/>
          </w:tcPr>
          <w:p w14:paraId="3D5BCF5E" w14:textId="77777777" w:rsidR="0041584B" w:rsidRPr="00C70D7F" w:rsidRDefault="0041584B" w:rsidP="0041584B">
            <w:pPr>
              <w:pStyle w:val="DCUSATableText"/>
            </w:pPr>
            <w:r w:rsidRPr="00C70D7F">
              <w:t>0.95</w:t>
            </w:r>
          </w:p>
        </w:tc>
        <w:tc>
          <w:tcPr>
            <w:tcW w:w="913" w:type="pct"/>
            <w:tcBorders>
              <w:top w:val="nil"/>
              <w:left w:val="single" w:sz="4" w:space="0" w:color="auto"/>
              <w:bottom w:val="single" w:sz="4" w:space="0" w:color="auto"/>
              <w:right w:val="single" w:sz="4" w:space="0" w:color="auto"/>
            </w:tcBorders>
            <w:noWrap/>
            <w:vAlign w:val="center"/>
          </w:tcPr>
          <w:p w14:paraId="062F2B9C" w14:textId="77777777" w:rsidR="0041584B" w:rsidRPr="00C70D7F" w:rsidRDefault="0041584B" w:rsidP="0041584B">
            <w:pPr>
              <w:pStyle w:val="DCUSATableText"/>
            </w:pPr>
            <w:r w:rsidRPr="00C70D7F">
              <w:t>Load</w:t>
            </w:r>
          </w:p>
        </w:tc>
        <w:tc>
          <w:tcPr>
            <w:tcW w:w="989" w:type="pct"/>
            <w:tcBorders>
              <w:top w:val="nil"/>
              <w:left w:val="nil"/>
              <w:bottom w:val="single" w:sz="4" w:space="0" w:color="auto"/>
              <w:right w:val="nil"/>
            </w:tcBorders>
            <w:noWrap/>
            <w:vAlign w:val="center"/>
          </w:tcPr>
          <w:p w14:paraId="5AA8A6B5" w14:textId="77777777" w:rsidR="0041584B" w:rsidRPr="00C70D7F" w:rsidRDefault="0041584B" w:rsidP="0041584B">
            <w:pPr>
              <w:pStyle w:val="DCUSATableText"/>
            </w:pPr>
            <w:r w:rsidRPr="00C70D7F">
              <w:t>0.95</w:t>
            </w:r>
          </w:p>
        </w:tc>
        <w:tc>
          <w:tcPr>
            <w:tcW w:w="834" w:type="pct"/>
            <w:tcBorders>
              <w:top w:val="nil"/>
              <w:left w:val="single" w:sz="4" w:space="0" w:color="auto"/>
              <w:bottom w:val="single" w:sz="4" w:space="0" w:color="auto"/>
              <w:right w:val="single" w:sz="4" w:space="0" w:color="auto"/>
            </w:tcBorders>
            <w:noWrap/>
            <w:vAlign w:val="center"/>
          </w:tcPr>
          <w:p w14:paraId="13105FF3" w14:textId="77777777" w:rsidR="0041584B" w:rsidRPr="00C70D7F" w:rsidRDefault="0041584B" w:rsidP="0041584B">
            <w:pPr>
              <w:pStyle w:val="DCUSATableText"/>
            </w:pPr>
            <w:r w:rsidRPr="00C70D7F">
              <w:t>Generation</w:t>
            </w:r>
          </w:p>
        </w:tc>
      </w:tr>
      <w:tr w:rsidR="0041584B" w:rsidRPr="00C70D7F" w14:paraId="72444D1F" w14:textId="77777777" w:rsidTr="0041584B">
        <w:trPr>
          <w:trHeight w:val="315"/>
        </w:trPr>
        <w:tc>
          <w:tcPr>
            <w:tcW w:w="469" w:type="pct"/>
            <w:tcBorders>
              <w:top w:val="nil"/>
              <w:left w:val="single" w:sz="4" w:space="0" w:color="auto"/>
              <w:bottom w:val="single" w:sz="4" w:space="0" w:color="auto"/>
              <w:right w:val="nil"/>
            </w:tcBorders>
            <w:vAlign w:val="center"/>
          </w:tcPr>
          <w:p w14:paraId="344469AF" w14:textId="77777777" w:rsidR="0041584B" w:rsidRPr="00C70D7F" w:rsidRDefault="0041584B" w:rsidP="0041584B">
            <w:pPr>
              <w:pStyle w:val="DCUSATableText"/>
            </w:pPr>
            <w:r w:rsidRPr="00C70D7F">
              <w:t>5-6</w:t>
            </w:r>
          </w:p>
        </w:tc>
        <w:tc>
          <w:tcPr>
            <w:tcW w:w="1120" w:type="pct"/>
            <w:tcBorders>
              <w:top w:val="nil"/>
              <w:left w:val="single" w:sz="4" w:space="0" w:color="auto"/>
              <w:bottom w:val="single" w:sz="4" w:space="0" w:color="auto"/>
              <w:right w:val="nil"/>
            </w:tcBorders>
            <w:noWrap/>
            <w:vAlign w:val="center"/>
          </w:tcPr>
          <w:p w14:paraId="3F97339E" w14:textId="77777777" w:rsidR="0041584B" w:rsidRPr="00C70D7F" w:rsidRDefault="0041584B" w:rsidP="0041584B">
            <w:pPr>
              <w:pStyle w:val="DCUSATableText"/>
            </w:pPr>
            <w:r w:rsidRPr="00C70D7F">
              <w:t>Node D Generation</w:t>
            </w:r>
          </w:p>
        </w:tc>
        <w:tc>
          <w:tcPr>
            <w:tcW w:w="675" w:type="pct"/>
            <w:tcBorders>
              <w:top w:val="nil"/>
              <w:left w:val="single" w:sz="4" w:space="0" w:color="auto"/>
              <w:bottom w:val="single" w:sz="4" w:space="0" w:color="auto"/>
              <w:right w:val="nil"/>
            </w:tcBorders>
            <w:noWrap/>
            <w:vAlign w:val="center"/>
          </w:tcPr>
          <w:p w14:paraId="26A41475" w14:textId="77777777" w:rsidR="0041584B" w:rsidRPr="00C70D7F" w:rsidRDefault="0041584B" w:rsidP="0041584B">
            <w:pPr>
              <w:pStyle w:val="DCUSATableText"/>
            </w:pPr>
            <w:r w:rsidRPr="00C70D7F">
              <w:t>Unity</w:t>
            </w:r>
          </w:p>
        </w:tc>
        <w:tc>
          <w:tcPr>
            <w:tcW w:w="913" w:type="pct"/>
            <w:tcBorders>
              <w:top w:val="nil"/>
              <w:left w:val="single" w:sz="4" w:space="0" w:color="auto"/>
              <w:bottom w:val="single" w:sz="4" w:space="0" w:color="auto"/>
              <w:right w:val="single" w:sz="4" w:space="0" w:color="auto"/>
            </w:tcBorders>
            <w:noWrap/>
            <w:vAlign w:val="center"/>
          </w:tcPr>
          <w:p w14:paraId="7FB1A118" w14:textId="77777777" w:rsidR="0041584B" w:rsidRPr="00C70D7F" w:rsidRDefault="0041584B" w:rsidP="0041584B">
            <w:pPr>
              <w:pStyle w:val="DCUSATableText"/>
            </w:pPr>
            <w:r w:rsidRPr="00C70D7F">
              <w:t>Load</w:t>
            </w:r>
          </w:p>
        </w:tc>
        <w:tc>
          <w:tcPr>
            <w:tcW w:w="989" w:type="pct"/>
            <w:tcBorders>
              <w:top w:val="nil"/>
              <w:left w:val="nil"/>
              <w:bottom w:val="single" w:sz="4" w:space="0" w:color="auto"/>
              <w:right w:val="nil"/>
            </w:tcBorders>
            <w:noWrap/>
            <w:vAlign w:val="center"/>
          </w:tcPr>
          <w:p w14:paraId="5C7E18B1" w14:textId="77777777" w:rsidR="0041584B" w:rsidRPr="00C70D7F" w:rsidRDefault="0041584B" w:rsidP="0041584B">
            <w:pPr>
              <w:pStyle w:val="DCUSATableText"/>
            </w:pPr>
            <w:r w:rsidRPr="00C70D7F">
              <w:t>Unity</w:t>
            </w:r>
          </w:p>
        </w:tc>
        <w:tc>
          <w:tcPr>
            <w:tcW w:w="834" w:type="pct"/>
            <w:tcBorders>
              <w:top w:val="nil"/>
              <w:left w:val="single" w:sz="4" w:space="0" w:color="auto"/>
              <w:bottom w:val="single" w:sz="4" w:space="0" w:color="auto"/>
              <w:right w:val="single" w:sz="4" w:space="0" w:color="auto"/>
            </w:tcBorders>
            <w:noWrap/>
            <w:vAlign w:val="center"/>
          </w:tcPr>
          <w:p w14:paraId="6C862B9E" w14:textId="77777777" w:rsidR="0041584B" w:rsidRPr="00C70D7F" w:rsidRDefault="0041584B" w:rsidP="0041584B">
            <w:pPr>
              <w:pStyle w:val="DCUSATableText"/>
            </w:pPr>
            <w:r w:rsidRPr="00C70D7F">
              <w:t>Generation</w:t>
            </w:r>
          </w:p>
        </w:tc>
      </w:tr>
    </w:tbl>
    <w:p w14:paraId="414FA0DD" w14:textId="77777777" w:rsidR="0041584B" w:rsidRPr="002A058F" w:rsidRDefault="0041584B" w:rsidP="0041584B">
      <w:pPr>
        <w:pStyle w:val="Heading7"/>
        <w:spacing w:before="240"/>
      </w:pPr>
      <w:r w:rsidRPr="002A058F">
        <w:t>For example, two studies are required to assess the impact of the increments applied to Node G. For Maximum Demand Scenario an increment of 0.1 MW at 0.95 power factor would be applied in the load direction, while for Minimum Demand Scenario the same increment would be applied but in the generation direction. The Incremented Flows for both studies are shown below (Figure 16 and Figure 17).</w:t>
      </w:r>
    </w:p>
    <w:p w14:paraId="26DB08D7" w14:textId="77777777" w:rsidR="0041584B" w:rsidRPr="00A15C50" w:rsidRDefault="0041584B" w:rsidP="0041584B">
      <w:pPr>
        <w:keepNext/>
        <w:keepLines/>
        <w:spacing w:after="0"/>
        <w:jc w:val="center"/>
        <w:rPr>
          <w:b/>
        </w:rPr>
      </w:pPr>
      <w:bookmarkStart w:id="748" w:name="_Ref277949869"/>
      <w:bookmarkStart w:id="749" w:name="_Toc255160531"/>
      <w:r w:rsidRPr="00A15C50">
        <w:rPr>
          <w:b/>
        </w:rPr>
        <w:t xml:space="preserve">Figure </w:t>
      </w:r>
      <w:r>
        <w:rPr>
          <w:b/>
        </w:rPr>
        <w:t>16</w:t>
      </w:r>
      <w:bookmarkEnd w:id="748"/>
      <w:r w:rsidRPr="00A15C50">
        <w:rPr>
          <w:b/>
        </w:rPr>
        <w:t xml:space="preserve"> - Node G incremented power flow analysis for Maximum Demand Scenario.</w:t>
      </w:r>
      <w:bookmarkEnd w:id="749"/>
    </w:p>
    <w:p w14:paraId="3BEEEFAE" w14:textId="77777777" w:rsidR="0041584B" w:rsidRDefault="0041584B" w:rsidP="0041584B">
      <w:pPr>
        <w:pStyle w:val="DCHeading1"/>
        <w:keepNext/>
        <w:keepLines/>
        <w:spacing w:after="0"/>
      </w:pPr>
      <w:bookmarkStart w:id="750" w:name="_Toc391559974"/>
      <w:bookmarkStart w:id="751" w:name="_Toc510303094"/>
      <w:bookmarkStart w:id="752" w:name="_Toc513018505"/>
      <w:bookmarkStart w:id="753" w:name="_Toc518333690"/>
      <w:bookmarkStart w:id="754" w:name="_Toc527908546"/>
      <w:r w:rsidRPr="00A15C50">
        <w:rPr>
          <w:noProof/>
          <w:lang w:eastAsia="en-GB"/>
        </w:rPr>
        <w:drawing>
          <wp:inline distT="0" distB="0" distL="0" distR="0" wp14:anchorId="2F5C9520" wp14:editId="0DD1A905">
            <wp:extent cx="4894580" cy="3216275"/>
            <wp:effectExtent l="0" t="0" r="1270" b="3175"/>
            <wp:docPr id="83" name="Picture 83" descr="NodeGincrementwin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NodeGincrementwinter"/>
                    <pic:cNvPicPr>
                      <a:picLocks noChangeAspect="1" noChangeArrowheads="1"/>
                    </pic:cNvPicPr>
                  </pic:nvPicPr>
                  <pic:blipFill>
                    <a:blip r:embed="rId82" cstate="print">
                      <a:extLst>
                        <a:ext uri="{28A0092B-C50C-407E-A947-70E740481C1C}">
                          <a14:useLocalDpi xmlns:a14="http://schemas.microsoft.com/office/drawing/2010/main" val="0"/>
                        </a:ext>
                      </a:extLst>
                    </a:blip>
                    <a:srcRect l="11575" r="39059"/>
                    <a:stretch>
                      <a:fillRect/>
                    </a:stretch>
                  </pic:blipFill>
                  <pic:spPr bwMode="auto">
                    <a:xfrm>
                      <a:off x="0" y="0"/>
                      <a:ext cx="4894580" cy="3216275"/>
                    </a:xfrm>
                    <a:prstGeom prst="rect">
                      <a:avLst/>
                    </a:prstGeom>
                    <a:noFill/>
                    <a:ln>
                      <a:noFill/>
                    </a:ln>
                  </pic:spPr>
                </pic:pic>
              </a:graphicData>
            </a:graphic>
          </wp:inline>
        </w:drawing>
      </w:r>
      <w:bookmarkEnd w:id="750"/>
      <w:bookmarkEnd w:id="751"/>
      <w:bookmarkEnd w:id="752"/>
      <w:bookmarkEnd w:id="753"/>
      <w:bookmarkEnd w:id="754"/>
    </w:p>
    <w:p w14:paraId="586DBC4D" w14:textId="77777777" w:rsidR="0041584B" w:rsidRDefault="0041584B" w:rsidP="0041584B">
      <w:pPr>
        <w:spacing w:after="0"/>
        <w:jc w:val="center"/>
        <w:rPr>
          <w:b/>
        </w:rPr>
      </w:pPr>
      <w:bookmarkStart w:id="755" w:name="_Ref277949878"/>
      <w:bookmarkStart w:id="756" w:name="_Toc255160532"/>
    </w:p>
    <w:p w14:paraId="04DDCADD" w14:textId="77777777" w:rsidR="0041584B" w:rsidRDefault="0041584B" w:rsidP="0041584B">
      <w:pPr>
        <w:spacing w:after="0"/>
        <w:jc w:val="center"/>
        <w:rPr>
          <w:b/>
        </w:rPr>
      </w:pPr>
    </w:p>
    <w:p w14:paraId="4BBC418C" w14:textId="77777777" w:rsidR="0041584B" w:rsidRDefault="0041584B" w:rsidP="0041584B">
      <w:pPr>
        <w:spacing w:after="0"/>
        <w:jc w:val="center"/>
        <w:rPr>
          <w:b/>
        </w:rPr>
      </w:pPr>
    </w:p>
    <w:p w14:paraId="102B79B8" w14:textId="77777777" w:rsidR="0041584B" w:rsidRDefault="0041584B" w:rsidP="0041584B">
      <w:pPr>
        <w:spacing w:after="0"/>
        <w:jc w:val="center"/>
        <w:rPr>
          <w:b/>
        </w:rPr>
      </w:pPr>
    </w:p>
    <w:p w14:paraId="6EE943DC" w14:textId="77777777" w:rsidR="0041584B" w:rsidRDefault="0041584B" w:rsidP="0041584B">
      <w:pPr>
        <w:spacing w:after="0"/>
        <w:jc w:val="center"/>
        <w:rPr>
          <w:b/>
        </w:rPr>
      </w:pPr>
    </w:p>
    <w:p w14:paraId="05DD3BB9" w14:textId="77777777" w:rsidR="0041584B" w:rsidRPr="00A15C50" w:rsidRDefault="0041584B" w:rsidP="0041584B">
      <w:pPr>
        <w:spacing w:after="0"/>
        <w:jc w:val="center"/>
        <w:rPr>
          <w:b/>
        </w:rPr>
      </w:pPr>
      <w:r w:rsidRPr="00A15C50">
        <w:rPr>
          <w:b/>
        </w:rPr>
        <w:lastRenderedPageBreak/>
        <w:t xml:space="preserve">Figure </w:t>
      </w:r>
      <w:r>
        <w:rPr>
          <w:b/>
        </w:rPr>
        <w:t>17</w:t>
      </w:r>
      <w:bookmarkEnd w:id="755"/>
      <w:r w:rsidRPr="00A15C50">
        <w:rPr>
          <w:b/>
        </w:rPr>
        <w:t xml:space="preserve"> - Node G incremented power flow analysis for Minimum Demand Scenario.</w:t>
      </w:r>
      <w:bookmarkEnd w:id="756"/>
    </w:p>
    <w:p w14:paraId="1348D1CC" w14:textId="77777777" w:rsidR="0041584B" w:rsidRDefault="0041584B" w:rsidP="0041584B">
      <w:pPr>
        <w:pStyle w:val="DCHeading1"/>
        <w:spacing w:after="0"/>
      </w:pPr>
      <w:bookmarkStart w:id="757" w:name="_Toc391559975"/>
      <w:bookmarkStart w:id="758" w:name="_Toc510303095"/>
      <w:bookmarkStart w:id="759" w:name="_Toc513018506"/>
      <w:bookmarkStart w:id="760" w:name="_Toc518333691"/>
      <w:bookmarkStart w:id="761" w:name="_Toc527908547"/>
      <w:r w:rsidRPr="00A15C50">
        <w:rPr>
          <w:noProof/>
          <w:lang w:eastAsia="en-GB"/>
        </w:rPr>
        <w:drawing>
          <wp:inline distT="0" distB="0" distL="0" distR="0" wp14:anchorId="3F4DE7BA" wp14:editId="2ABFAC47">
            <wp:extent cx="4787265" cy="3324225"/>
            <wp:effectExtent l="0" t="0" r="0" b="9525"/>
            <wp:docPr id="84" name="Picture 84" descr="NodeGincrementsum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NodeGincrementsummer"/>
                    <pic:cNvPicPr>
                      <a:picLocks noChangeAspect="1" noChangeArrowheads="1"/>
                    </pic:cNvPicPr>
                  </pic:nvPicPr>
                  <pic:blipFill>
                    <a:blip r:embed="rId83" cstate="print">
                      <a:extLst>
                        <a:ext uri="{28A0092B-C50C-407E-A947-70E740481C1C}">
                          <a14:useLocalDpi xmlns:a14="http://schemas.microsoft.com/office/drawing/2010/main" val="0"/>
                        </a:ext>
                      </a:extLst>
                    </a:blip>
                    <a:srcRect l="12117" r="38957"/>
                    <a:stretch>
                      <a:fillRect/>
                    </a:stretch>
                  </pic:blipFill>
                  <pic:spPr bwMode="auto">
                    <a:xfrm>
                      <a:off x="0" y="0"/>
                      <a:ext cx="4787265" cy="3324225"/>
                    </a:xfrm>
                    <a:prstGeom prst="rect">
                      <a:avLst/>
                    </a:prstGeom>
                    <a:noFill/>
                    <a:ln>
                      <a:noFill/>
                    </a:ln>
                  </pic:spPr>
                </pic:pic>
              </a:graphicData>
            </a:graphic>
          </wp:inline>
        </w:drawing>
      </w:r>
      <w:bookmarkEnd w:id="757"/>
      <w:bookmarkEnd w:id="758"/>
      <w:bookmarkEnd w:id="759"/>
      <w:bookmarkEnd w:id="760"/>
      <w:bookmarkEnd w:id="761"/>
    </w:p>
    <w:p w14:paraId="6BA52B51" w14:textId="77777777" w:rsidR="0041584B" w:rsidRPr="001C522D" w:rsidRDefault="0041584B" w:rsidP="0041584B">
      <w:pPr>
        <w:pStyle w:val="Heading7"/>
      </w:pPr>
      <w:r w:rsidRPr="001C522D">
        <w:t xml:space="preserve">Using the following </w:t>
      </w:r>
      <w:r>
        <w:t>Table 10</w:t>
      </w:r>
      <w:r w:rsidRPr="001C522D">
        <w:t xml:space="preserve"> of Branch reinforcement cost and the algorithm in Attachment 1, Branch incremental cost is calculated for both Maximum and Minimum Demand Scenarios. The critical scenario that drives the Branch reinforcement is then identified as the scenario with the highest absolute value of associated Branch incremental cost. For example, for Branch i, if |</w:t>
      </w:r>
      <w:r>
        <w:pict w14:anchorId="30E27794">
          <v:shape id="_x0000_i1051" type="#_x0000_t75" style="width:36.4pt;height:15pt" equationxml="&lt;">
            <v:imagedata r:id="rId84" o:title="" chromakey="white"/>
          </v:shape>
        </w:pict>
      </w:r>
      <w:r w:rsidRPr="001C522D">
        <w:t>| &gt; |</w:t>
      </w:r>
      <w:r>
        <w:pict w14:anchorId="7B1237D0">
          <v:shape id="_x0000_i1052" type="#_x0000_t75" style="width:59.25pt;height:15pt" equationxml="&lt;">
            <v:imagedata r:id="rId85" o:title="" chromakey="white"/>
          </v:shape>
        </w:pict>
      </w:r>
      <w:r w:rsidRPr="001C522D">
        <w:t>|, the scenario that drives the reinforcement of the Branch is Peak; otherwise it is Off-Peak.</w:t>
      </w:r>
    </w:p>
    <w:p w14:paraId="3A7BA2B6" w14:textId="77777777" w:rsidR="0041584B" w:rsidRPr="0046277E" w:rsidRDefault="0041584B" w:rsidP="0041584B">
      <w:pPr>
        <w:spacing w:after="0"/>
        <w:jc w:val="center"/>
        <w:rPr>
          <w:b/>
        </w:rPr>
      </w:pPr>
      <w:bookmarkStart w:id="762" w:name="_Ref278372792"/>
      <w:r w:rsidRPr="0046277E">
        <w:rPr>
          <w:b/>
        </w:rPr>
        <w:t xml:space="preserve">Table </w:t>
      </w:r>
      <w:r>
        <w:rPr>
          <w:b/>
        </w:rPr>
        <w:t>10</w:t>
      </w:r>
      <w:bookmarkEnd w:id="762"/>
      <w:r w:rsidRPr="0046277E">
        <w:rPr>
          <w:b/>
        </w:rPr>
        <w:t xml:space="preserve"> - Branch Reinforcement Cost</w:t>
      </w:r>
    </w:p>
    <w:tbl>
      <w:tblPr>
        <w:tblStyle w:val="GridTable4-Accent3"/>
        <w:tblW w:w="4101" w:type="dxa"/>
        <w:jc w:val="center"/>
        <w:tblLook w:val="0620" w:firstRow="1" w:lastRow="0" w:firstColumn="0" w:lastColumn="0" w:noHBand="1" w:noVBand="1"/>
      </w:tblPr>
      <w:tblGrid>
        <w:gridCol w:w="1406"/>
        <w:gridCol w:w="2695"/>
      </w:tblGrid>
      <w:tr w:rsidR="0041584B" w:rsidRPr="001C522D" w14:paraId="12A1C443" w14:textId="77777777" w:rsidTr="0041584B">
        <w:trPr>
          <w:cnfStyle w:val="100000000000" w:firstRow="1" w:lastRow="0" w:firstColumn="0" w:lastColumn="0" w:oddVBand="0" w:evenVBand="0" w:oddHBand="0" w:evenHBand="0" w:firstRowFirstColumn="0" w:firstRowLastColumn="0" w:lastRowFirstColumn="0" w:lastRowLastColumn="0"/>
          <w:trHeight w:val="645"/>
          <w:jc w:val="center"/>
        </w:trPr>
        <w:tc>
          <w:tcPr>
            <w:tcW w:w="1406" w:type="dxa"/>
            <w:noWrap/>
          </w:tcPr>
          <w:p w14:paraId="341DE354" w14:textId="77777777" w:rsidR="0041584B" w:rsidRPr="001C522D" w:rsidRDefault="0041584B" w:rsidP="0041584B">
            <w:pPr>
              <w:pStyle w:val="DCUSATableText"/>
            </w:pPr>
            <w:r w:rsidRPr="001C522D">
              <w:t>Branch</w:t>
            </w:r>
          </w:p>
        </w:tc>
        <w:tc>
          <w:tcPr>
            <w:tcW w:w="2695" w:type="dxa"/>
          </w:tcPr>
          <w:p w14:paraId="79A6E4BB" w14:textId="77777777" w:rsidR="0041584B" w:rsidRPr="001C522D" w:rsidRDefault="0041584B" w:rsidP="0041584B">
            <w:pPr>
              <w:pStyle w:val="DCUSATableText"/>
            </w:pPr>
            <w:r w:rsidRPr="001C522D">
              <w:t>Reinforcement Cost</w:t>
            </w:r>
            <w:r>
              <w:t xml:space="preserve"> </w:t>
            </w:r>
            <w:r w:rsidRPr="001C522D">
              <w:t>(£)</w:t>
            </w:r>
          </w:p>
        </w:tc>
      </w:tr>
      <w:tr w:rsidR="0041584B" w:rsidRPr="001C522D" w14:paraId="3FD5C4F8" w14:textId="77777777" w:rsidTr="0041584B">
        <w:trPr>
          <w:trHeight w:val="300"/>
          <w:jc w:val="center"/>
        </w:trPr>
        <w:tc>
          <w:tcPr>
            <w:tcW w:w="1406" w:type="dxa"/>
            <w:noWrap/>
          </w:tcPr>
          <w:p w14:paraId="62F2E839" w14:textId="77777777" w:rsidR="0041584B" w:rsidRPr="001C522D" w:rsidRDefault="0041584B" w:rsidP="0041584B">
            <w:pPr>
              <w:pStyle w:val="DCUSATableText"/>
            </w:pPr>
            <w:r w:rsidRPr="001C522D">
              <w:t>B1</w:t>
            </w:r>
          </w:p>
        </w:tc>
        <w:tc>
          <w:tcPr>
            <w:tcW w:w="2695" w:type="dxa"/>
            <w:noWrap/>
          </w:tcPr>
          <w:p w14:paraId="1BC3C127" w14:textId="77777777" w:rsidR="0041584B" w:rsidRPr="001C522D" w:rsidRDefault="0041584B" w:rsidP="0041584B">
            <w:pPr>
              <w:pStyle w:val="DCUSATableText"/>
            </w:pPr>
            <w:r w:rsidRPr="001C522D">
              <w:t>1156250</w:t>
            </w:r>
          </w:p>
        </w:tc>
      </w:tr>
      <w:tr w:rsidR="0041584B" w:rsidRPr="001C522D" w14:paraId="1BC7DB79" w14:textId="77777777" w:rsidTr="0041584B">
        <w:trPr>
          <w:trHeight w:val="300"/>
          <w:jc w:val="center"/>
        </w:trPr>
        <w:tc>
          <w:tcPr>
            <w:tcW w:w="1406" w:type="dxa"/>
            <w:noWrap/>
          </w:tcPr>
          <w:p w14:paraId="06F222BB" w14:textId="77777777" w:rsidR="0041584B" w:rsidRPr="001C522D" w:rsidRDefault="0041584B" w:rsidP="0041584B">
            <w:pPr>
              <w:pStyle w:val="DCUSATableText"/>
            </w:pPr>
            <w:r w:rsidRPr="001C522D">
              <w:t>B2</w:t>
            </w:r>
          </w:p>
        </w:tc>
        <w:tc>
          <w:tcPr>
            <w:tcW w:w="2695" w:type="dxa"/>
            <w:noWrap/>
          </w:tcPr>
          <w:p w14:paraId="122B2219" w14:textId="77777777" w:rsidR="0041584B" w:rsidRPr="001C522D" w:rsidRDefault="0041584B" w:rsidP="0041584B">
            <w:pPr>
              <w:pStyle w:val="DCUSATableText"/>
            </w:pPr>
            <w:r w:rsidRPr="001C522D">
              <w:t>946500</w:t>
            </w:r>
          </w:p>
        </w:tc>
      </w:tr>
      <w:tr w:rsidR="0041584B" w:rsidRPr="001C522D" w14:paraId="57134ABE" w14:textId="77777777" w:rsidTr="0041584B">
        <w:trPr>
          <w:trHeight w:val="300"/>
          <w:jc w:val="center"/>
        </w:trPr>
        <w:tc>
          <w:tcPr>
            <w:tcW w:w="1406" w:type="dxa"/>
            <w:noWrap/>
          </w:tcPr>
          <w:p w14:paraId="5D3B61E2" w14:textId="77777777" w:rsidR="0041584B" w:rsidRPr="001C522D" w:rsidRDefault="0041584B" w:rsidP="0041584B">
            <w:pPr>
              <w:pStyle w:val="DCUSATableText"/>
            </w:pPr>
            <w:r w:rsidRPr="001C522D">
              <w:t>B3</w:t>
            </w:r>
          </w:p>
        </w:tc>
        <w:tc>
          <w:tcPr>
            <w:tcW w:w="2695" w:type="dxa"/>
            <w:noWrap/>
          </w:tcPr>
          <w:p w14:paraId="4A270C65" w14:textId="77777777" w:rsidR="0041584B" w:rsidRPr="001C522D" w:rsidRDefault="0041584B" w:rsidP="0041584B">
            <w:pPr>
              <w:pStyle w:val="DCUSATableText"/>
            </w:pPr>
            <w:r w:rsidRPr="001C522D">
              <w:t>2312000</w:t>
            </w:r>
          </w:p>
        </w:tc>
      </w:tr>
      <w:tr w:rsidR="0041584B" w:rsidRPr="001C522D" w14:paraId="1FF690F3" w14:textId="77777777" w:rsidTr="0041584B">
        <w:trPr>
          <w:trHeight w:val="300"/>
          <w:jc w:val="center"/>
        </w:trPr>
        <w:tc>
          <w:tcPr>
            <w:tcW w:w="1406" w:type="dxa"/>
            <w:noWrap/>
          </w:tcPr>
          <w:p w14:paraId="1A2742E0" w14:textId="77777777" w:rsidR="0041584B" w:rsidRPr="001C522D" w:rsidRDefault="0041584B" w:rsidP="0041584B">
            <w:pPr>
              <w:pStyle w:val="DCUSATableText"/>
            </w:pPr>
            <w:r w:rsidRPr="001C522D">
              <w:t>B4</w:t>
            </w:r>
          </w:p>
        </w:tc>
        <w:tc>
          <w:tcPr>
            <w:tcW w:w="2695" w:type="dxa"/>
            <w:noWrap/>
          </w:tcPr>
          <w:p w14:paraId="6F3D5BC5" w14:textId="77777777" w:rsidR="0041584B" w:rsidRPr="001C522D" w:rsidRDefault="0041584B" w:rsidP="0041584B">
            <w:pPr>
              <w:pStyle w:val="DCUSATableText"/>
            </w:pPr>
            <w:r w:rsidRPr="001C522D">
              <w:t>1156250</w:t>
            </w:r>
          </w:p>
        </w:tc>
      </w:tr>
      <w:tr w:rsidR="0041584B" w:rsidRPr="001C522D" w14:paraId="4C63111B" w14:textId="77777777" w:rsidTr="0041584B">
        <w:trPr>
          <w:trHeight w:val="300"/>
          <w:jc w:val="center"/>
        </w:trPr>
        <w:tc>
          <w:tcPr>
            <w:tcW w:w="1406" w:type="dxa"/>
            <w:noWrap/>
          </w:tcPr>
          <w:p w14:paraId="512381D5" w14:textId="77777777" w:rsidR="0041584B" w:rsidRPr="001C522D" w:rsidRDefault="0041584B" w:rsidP="0041584B">
            <w:pPr>
              <w:pStyle w:val="DCUSATableText"/>
            </w:pPr>
            <w:r w:rsidRPr="001C522D">
              <w:t>B5</w:t>
            </w:r>
          </w:p>
        </w:tc>
        <w:tc>
          <w:tcPr>
            <w:tcW w:w="2695" w:type="dxa"/>
            <w:noWrap/>
          </w:tcPr>
          <w:p w14:paraId="5A38B420" w14:textId="77777777" w:rsidR="0041584B" w:rsidRPr="001C522D" w:rsidRDefault="0041584B" w:rsidP="0041584B">
            <w:pPr>
              <w:pStyle w:val="DCUSATableText"/>
            </w:pPr>
            <w:r w:rsidRPr="001C522D">
              <w:t>946500</w:t>
            </w:r>
          </w:p>
        </w:tc>
      </w:tr>
      <w:tr w:rsidR="0041584B" w:rsidRPr="001C522D" w14:paraId="64FE579B" w14:textId="77777777" w:rsidTr="0041584B">
        <w:trPr>
          <w:trHeight w:val="300"/>
          <w:jc w:val="center"/>
        </w:trPr>
        <w:tc>
          <w:tcPr>
            <w:tcW w:w="1406" w:type="dxa"/>
            <w:noWrap/>
          </w:tcPr>
          <w:p w14:paraId="0F941EB7" w14:textId="77777777" w:rsidR="0041584B" w:rsidRPr="001C522D" w:rsidRDefault="0041584B" w:rsidP="0041584B">
            <w:pPr>
              <w:pStyle w:val="DCUSATableText"/>
            </w:pPr>
            <w:r w:rsidRPr="001C522D">
              <w:t>B6</w:t>
            </w:r>
          </w:p>
        </w:tc>
        <w:tc>
          <w:tcPr>
            <w:tcW w:w="2695" w:type="dxa"/>
            <w:noWrap/>
          </w:tcPr>
          <w:p w14:paraId="406B0728" w14:textId="77777777" w:rsidR="0041584B" w:rsidRPr="001C522D" w:rsidRDefault="0041584B" w:rsidP="0041584B">
            <w:pPr>
              <w:pStyle w:val="DCUSATableText"/>
            </w:pPr>
            <w:r w:rsidRPr="001C522D">
              <w:t>2312000</w:t>
            </w:r>
          </w:p>
        </w:tc>
      </w:tr>
      <w:tr w:rsidR="0041584B" w:rsidRPr="001C522D" w14:paraId="6247349F" w14:textId="77777777" w:rsidTr="0041584B">
        <w:trPr>
          <w:trHeight w:val="300"/>
          <w:jc w:val="center"/>
        </w:trPr>
        <w:tc>
          <w:tcPr>
            <w:tcW w:w="1406" w:type="dxa"/>
            <w:noWrap/>
          </w:tcPr>
          <w:p w14:paraId="0C73B97E" w14:textId="77777777" w:rsidR="0041584B" w:rsidRPr="001C522D" w:rsidRDefault="0041584B" w:rsidP="0041584B">
            <w:pPr>
              <w:pStyle w:val="DCUSATableText"/>
            </w:pPr>
            <w:r w:rsidRPr="001C522D">
              <w:t>B7</w:t>
            </w:r>
          </w:p>
        </w:tc>
        <w:tc>
          <w:tcPr>
            <w:tcW w:w="2695" w:type="dxa"/>
            <w:noWrap/>
          </w:tcPr>
          <w:p w14:paraId="4E9FC4A1" w14:textId="77777777" w:rsidR="0041584B" w:rsidRPr="001C522D" w:rsidRDefault="0041584B" w:rsidP="0041584B">
            <w:pPr>
              <w:pStyle w:val="DCUSATableText"/>
            </w:pPr>
            <w:r w:rsidRPr="001C522D">
              <w:t>946500</w:t>
            </w:r>
          </w:p>
        </w:tc>
      </w:tr>
      <w:tr w:rsidR="0041584B" w:rsidRPr="001C522D" w14:paraId="12091447" w14:textId="77777777" w:rsidTr="0041584B">
        <w:trPr>
          <w:trHeight w:val="300"/>
          <w:jc w:val="center"/>
        </w:trPr>
        <w:tc>
          <w:tcPr>
            <w:tcW w:w="1406" w:type="dxa"/>
            <w:noWrap/>
          </w:tcPr>
          <w:p w14:paraId="60BA9353" w14:textId="77777777" w:rsidR="0041584B" w:rsidRPr="001C522D" w:rsidRDefault="0041584B" w:rsidP="0041584B">
            <w:pPr>
              <w:pStyle w:val="DCUSATableText"/>
            </w:pPr>
            <w:r w:rsidRPr="001C522D">
              <w:t>B8</w:t>
            </w:r>
          </w:p>
        </w:tc>
        <w:tc>
          <w:tcPr>
            <w:tcW w:w="2695" w:type="dxa"/>
            <w:noWrap/>
          </w:tcPr>
          <w:p w14:paraId="70B2AFA4" w14:textId="77777777" w:rsidR="0041584B" w:rsidRPr="001C522D" w:rsidRDefault="0041584B" w:rsidP="0041584B">
            <w:pPr>
              <w:pStyle w:val="DCUSATableText"/>
            </w:pPr>
            <w:r w:rsidRPr="001C522D">
              <w:t>1156250</w:t>
            </w:r>
          </w:p>
        </w:tc>
      </w:tr>
      <w:tr w:rsidR="0041584B" w:rsidRPr="001C522D" w14:paraId="7EDDDB6C" w14:textId="77777777" w:rsidTr="0041584B">
        <w:trPr>
          <w:trHeight w:val="315"/>
          <w:jc w:val="center"/>
        </w:trPr>
        <w:tc>
          <w:tcPr>
            <w:tcW w:w="1406" w:type="dxa"/>
            <w:noWrap/>
          </w:tcPr>
          <w:p w14:paraId="015B9847" w14:textId="77777777" w:rsidR="0041584B" w:rsidRPr="001C522D" w:rsidRDefault="0041584B" w:rsidP="0041584B">
            <w:pPr>
              <w:pStyle w:val="DCUSATableText"/>
            </w:pPr>
            <w:r w:rsidRPr="001C522D">
              <w:t>B9</w:t>
            </w:r>
          </w:p>
        </w:tc>
        <w:tc>
          <w:tcPr>
            <w:tcW w:w="2695" w:type="dxa"/>
            <w:noWrap/>
          </w:tcPr>
          <w:p w14:paraId="31ED7CEA" w14:textId="77777777" w:rsidR="0041584B" w:rsidRPr="001C522D" w:rsidRDefault="0041584B" w:rsidP="0041584B">
            <w:pPr>
              <w:pStyle w:val="DCUSATableText"/>
            </w:pPr>
            <w:r w:rsidRPr="001C522D">
              <w:t>946500</w:t>
            </w:r>
          </w:p>
        </w:tc>
      </w:tr>
    </w:tbl>
    <w:p w14:paraId="2037AF57" w14:textId="77777777" w:rsidR="0041584B" w:rsidRPr="001C522D" w:rsidRDefault="0041584B" w:rsidP="0041584B">
      <w:pPr>
        <w:pStyle w:val="Heading7"/>
        <w:spacing w:before="240"/>
      </w:pPr>
      <w:r w:rsidRPr="001C522D">
        <w:t>Summaries of the Incremented Flow Analysis and the Branch incremental cost calculation are given in</w:t>
      </w:r>
      <w:r>
        <w:t xml:space="preserve"> Table 14</w:t>
      </w:r>
      <w:r w:rsidRPr="00C70D7F">
        <w:t xml:space="preserve">. </w:t>
      </w:r>
      <w:r w:rsidRPr="001C522D">
        <w:t>The following columns are given in the table:</w:t>
      </w:r>
    </w:p>
    <w:p w14:paraId="134E6A76" w14:textId="77777777" w:rsidR="0041584B" w:rsidRPr="001C522D" w:rsidRDefault="0041584B" w:rsidP="0041584B">
      <w:pPr>
        <w:ind w:left="1287" w:hanging="567"/>
        <w:jc w:val="both"/>
      </w:pPr>
      <w:r w:rsidRPr="001C522D">
        <w:lastRenderedPageBreak/>
        <w:t>(1)</w:t>
      </w:r>
      <w:r w:rsidRPr="001C522D">
        <w:tab/>
        <w:t>Generation/Demand identifier.</w:t>
      </w:r>
    </w:p>
    <w:p w14:paraId="4256D9C7" w14:textId="77777777" w:rsidR="0041584B" w:rsidRPr="001C522D" w:rsidRDefault="0041584B" w:rsidP="0041584B">
      <w:pPr>
        <w:ind w:left="1287" w:hanging="567"/>
        <w:jc w:val="both"/>
      </w:pPr>
      <w:r w:rsidRPr="001C522D">
        <w:t>(2)</w:t>
      </w:r>
      <w:r w:rsidRPr="001C522D">
        <w:tab/>
        <w:t>Node where the corresponding increment was applied.</w:t>
      </w:r>
    </w:p>
    <w:p w14:paraId="18ED87E1" w14:textId="77777777" w:rsidR="0041584B" w:rsidRPr="001C522D" w:rsidRDefault="0041584B" w:rsidP="0041584B">
      <w:pPr>
        <w:ind w:left="1287" w:hanging="567"/>
        <w:jc w:val="both"/>
      </w:pPr>
      <w:r w:rsidRPr="001C522D">
        <w:t>(3)</w:t>
      </w:r>
      <w:r w:rsidRPr="001C522D">
        <w:tab/>
        <w:t>Branch ID – only for Branches which kVA flow increment is larger than 1 kVA and 0.01% of the Base Case Flow.</w:t>
      </w:r>
    </w:p>
    <w:p w14:paraId="6B827B62" w14:textId="77777777" w:rsidR="0041584B" w:rsidRPr="001C522D" w:rsidRDefault="0041584B" w:rsidP="0041584B">
      <w:pPr>
        <w:ind w:left="1287" w:hanging="567"/>
        <w:jc w:val="both"/>
      </w:pPr>
      <w:r w:rsidRPr="001C522D">
        <w:t>(4)</w:t>
      </w:r>
      <w:r w:rsidRPr="001C522D">
        <w:tab/>
        <w:t>Base Case Flow (MVA) of the Branch for the scenario that drives reinforcement of the Branch.  The scenario (either Maximum Demand Scenario-Peak, or Minimum Demand Scenario -Off-Peak) that drives reinforcement of the Branch is the one with the highest absolute value of associated Branch incremental cost.</w:t>
      </w:r>
    </w:p>
    <w:p w14:paraId="07C444BC" w14:textId="77777777" w:rsidR="0041584B" w:rsidRPr="001C522D" w:rsidRDefault="0041584B" w:rsidP="0041584B">
      <w:pPr>
        <w:ind w:left="1287" w:hanging="567"/>
        <w:jc w:val="both"/>
      </w:pPr>
      <w:r w:rsidRPr="001C522D">
        <w:t>(5)</w:t>
      </w:r>
      <w:r w:rsidRPr="001C522D">
        <w:tab/>
        <w:t>Branch Capacity (MVA) of the Branch (see previous section – Contingency Analysis).</w:t>
      </w:r>
    </w:p>
    <w:p w14:paraId="0F8D8397" w14:textId="77777777" w:rsidR="0041584B" w:rsidRPr="001C522D" w:rsidRDefault="0041584B" w:rsidP="0041584B">
      <w:pPr>
        <w:ind w:left="1287" w:hanging="567"/>
        <w:jc w:val="both"/>
      </w:pPr>
      <w:r w:rsidRPr="001C522D">
        <w:t>(6)</w:t>
      </w:r>
      <w:r w:rsidRPr="001C522D">
        <w:tab/>
        <w:t>Branch Incremented Flows (MVA) for the scenario that drive reinforcement of the Branch.</w:t>
      </w:r>
    </w:p>
    <w:p w14:paraId="42FE0089" w14:textId="77777777" w:rsidR="0041584B" w:rsidRPr="001C522D" w:rsidRDefault="0041584B" w:rsidP="0041584B">
      <w:pPr>
        <w:ind w:left="1287" w:hanging="567"/>
        <w:jc w:val="both"/>
      </w:pPr>
      <w:r w:rsidRPr="001C522D">
        <w:t>(7)</w:t>
      </w:r>
      <w:r w:rsidRPr="001C522D">
        <w:tab/>
        <w:t>Years to Reinforcement (base) in years - is the time to reinforcement of the Branch calculated under Base Case conditions as discussed in the previous section (see previous section – Contingency Analysis).</w:t>
      </w:r>
    </w:p>
    <w:p w14:paraId="256768F4" w14:textId="77777777" w:rsidR="0041584B" w:rsidRPr="001C522D" w:rsidRDefault="0041584B" w:rsidP="0041584B">
      <w:pPr>
        <w:ind w:left="1287" w:hanging="567"/>
        <w:jc w:val="both"/>
      </w:pPr>
      <w:r w:rsidRPr="001C522D">
        <w:t>(8)</w:t>
      </w:r>
      <w:r w:rsidRPr="001C522D">
        <w:tab/>
        <w:t>Years to Reinforcement (</w:t>
      </w:r>
      <w:proofErr w:type="spellStart"/>
      <w:r w:rsidRPr="001C522D">
        <w:t>inc</w:t>
      </w:r>
      <w:proofErr w:type="spellEnd"/>
      <w:r w:rsidRPr="001C522D">
        <w:t>) in years - is the time to reinforcement of the Branch calculated under incremental conditions as discussed in Attachment 1 above.</w:t>
      </w:r>
    </w:p>
    <w:p w14:paraId="0B3222AC" w14:textId="77777777" w:rsidR="0041584B" w:rsidRPr="001C522D" w:rsidRDefault="0041584B" w:rsidP="0041584B">
      <w:pPr>
        <w:ind w:left="1287" w:hanging="567"/>
        <w:jc w:val="both"/>
      </w:pPr>
      <w:r w:rsidRPr="001C522D">
        <w:t>(9)</w:t>
      </w:r>
      <w:r w:rsidRPr="001C522D">
        <w:tab/>
        <w:t>A product of Net Present Value (base) and annuity rate for the scenario that drives reinforcement of the Branch.</w:t>
      </w:r>
    </w:p>
    <w:p w14:paraId="1D68E5A5" w14:textId="77777777" w:rsidR="0041584B" w:rsidRPr="001C522D" w:rsidRDefault="0041584B" w:rsidP="0041584B">
      <w:pPr>
        <w:ind w:left="1287" w:hanging="567"/>
        <w:jc w:val="both"/>
      </w:pPr>
      <w:r w:rsidRPr="001C522D">
        <w:t>(10)</w:t>
      </w:r>
      <w:r w:rsidRPr="001C522D">
        <w:tab/>
        <w:t>A product of Net Present Value (</w:t>
      </w:r>
      <w:proofErr w:type="spellStart"/>
      <w:r w:rsidRPr="001C522D">
        <w:t>inc</w:t>
      </w:r>
      <w:proofErr w:type="spellEnd"/>
      <w:r w:rsidRPr="001C522D">
        <w:t>) and annuity rate for the scenario that drives reinforcement of the Branch.</w:t>
      </w:r>
    </w:p>
    <w:p w14:paraId="5C3EB784" w14:textId="77777777" w:rsidR="0041584B" w:rsidRPr="001C522D" w:rsidRDefault="0041584B" w:rsidP="0041584B">
      <w:pPr>
        <w:ind w:left="1287" w:hanging="567"/>
        <w:jc w:val="both"/>
      </w:pPr>
      <w:r w:rsidRPr="001C522D">
        <w:t>(11)</w:t>
      </w:r>
      <w:r w:rsidRPr="001C522D">
        <w:tab/>
        <w:t xml:space="preserve">Branch incremental cost  </w:t>
      </w:r>
      <m:oMath>
        <m:r>
          <m:rPr>
            <m:sty m:val="p"/>
          </m:rPr>
          <w:rPr>
            <w:rFonts w:ascii="Cambria Math" w:hAnsi="Cambria Math"/>
          </w:rPr>
          <m:t>∆</m:t>
        </m:r>
        <m:sSub>
          <m:sSubPr>
            <m:ctrlPr>
              <w:rPr>
                <w:rFonts w:ascii="Cambria Math" w:hAnsi="Cambria Math"/>
              </w:rPr>
            </m:ctrlPr>
          </m:sSubPr>
          <m:e>
            <m:r>
              <w:rPr>
                <w:rFonts w:ascii="Cambria Math" w:hAnsi="Cambria Math"/>
              </w:rPr>
              <m:t>C</m:t>
            </m:r>
          </m:e>
          <m:sub>
            <m:r>
              <w:rPr>
                <w:rFonts w:ascii="Cambria Math" w:hAnsi="Cambria Math"/>
              </w:rPr>
              <m:t>i</m:t>
            </m:r>
          </m:sub>
        </m:sSub>
      </m:oMath>
      <w:r w:rsidRPr="001C522D">
        <w:t xml:space="preserve"> is the difference between the values given in the columns 10 and 9.</w:t>
      </w:r>
    </w:p>
    <w:p w14:paraId="6D133537" w14:textId="77777777" w:rsidR="0041584B" w:rsidRDefault="0041584B" w:rsidP="0041584B">
      <w:pPr>
        <w:ind w:left="1287" w:hanging="567"/>
        <w:jc w:val="both"/>
      </w:pPr>
      <w:r w:rsidRPr="001C522D">
        <w:t>(12)</w:t>
      </w:r>
      <w:r w:rsidRPr="001C522D">
        <w:tab/>
        <w:t>The last column identifies the scenario that drives the reinforcement of the Branch.</w:t>
      </w:r>
    </w:p>
    <w:p w14:paraId="14ED7F43" w14:textId="77777777" w:rsidR="0041584B" w:rsidRPr="001C522D" w:rsidRDefault="0041584B" w:rsidP="0041584B">
      <w:pPr>
        <w:ind w:left="1287" w:hanging="567"/>
        <w:jc w:val="both"/>
      </w:pPr>
    </w:p>
    <w:p w14:paraId="7637DF9D" w14:textId="77777777" w:rsidR="0041584B" w:rsidRPr="00B7495E" w:rsidRDefault="0041584B" w:rsidP="0041584B">
      <w:pPr>
        <w:pStyle w:val="Heading7"/>
      </w:pPr>
      <w:r w:rsidRPr="00B7495E">
        <w:lastRenderedPageBreak/>
        <w:t xml:space="preserve">Using the information provided in Table </w:t>
      </w:r>
      <w:r>
        <w:t>14</w:t>
      </w:r>
      <w:r w:rsidRPr="00B7495E">
        <w:t xml:space="preserve"> the Peak Nodal incremental cost and Off-Peak Nodal incremental cost for the generator connected to Node D can be calculated:</w:t>
      </w:r>
    </w:p>
    <w:p w14:paraId="588A85AA" w14:textId="77777777" w:rsidR="0041584B" w:rsidRPr="0098222A" w:rsidRDefault="0041584B" w:rsidP="0041584B">
      <w:pPr>
        <w:pStyle w:val="ListParagraph"/>
        <w:numPr>
          <w:ilvl w:val="0"/>
          <w:numId w:val="88"/>
        </w:numPr>
      </w:pPr>
      <w:r w:rsidRPr="0098222A">
        <w:t>The Peak Nodal incremental cost is the sum of 294.87, -1278.73 and -328.68 which gives the total of -1312.54 £/annum.</w:t>
      </w:r>
    </w:p>
    <w:p w14:paraId="5536BFDF" w14:textId="77777777" w:rsidR="0041584B" w:rsidRPr="0098222A" w:rsidRDefault="0041584B" w:rsidP="0041584B">
      <w:pPr>
        <w:pStyle w:val="ListParagraph"/>
        <w:numPr>
          <w:ilvl w:val="0"/>
          <w:numId w:val="88"/>
        </w:numPr>
      </w:pPr>
      <w:r w:rsidRPr="0098222A">
        <w:t>The Off-Peak Nodal incremental cost is the sum of all Off-Peak Branch incremental costs which is -18.77 £/annum.</w:t>
      </w:r>
    </w:p>
    <w:p w14:paraId="306BA42E" w14:textId="77777777" w:rsidR="0041584B" w:rsidRPr="00B7495E" w:rsidRDefault="0041584B" w:rsidP="0041584B">
      <w:pPr>
        <w:pStyle w:val="Heading7"/>
      </w:pPr>
      <w:r w:rsidRPr="00B7495E">
        <w:t xml:space="preserve">For the demand located at Node C the corresponding costs are the sum of all Peak Branch incremental costs which based on Table </w:t>
      </w:r>
      <w:r>
        <w:t>14</w:t>
      </w:r>
      <w:r w:rsidRPr="00B7495E">
        <w:t xml:space="preserve"> the Peak Nodal incremental cost and Off-Peak Nodal incremental cost for the generator connected to Node D can be calculated: Table </w:t>
      </w:r>
      <w:r>
        <w:t>21</w:t>
      </w:r>
      <w:r w:rsidRPr="00B7495E">
        <w:t xml:space="preserve"> gives 2777.8 £/annum; and the sum of all Off</w:t>
      </w:r>
      <w:r w:rsidRPr="00B7495E">
        <w:noBreakHyphen/>
        <w:t xml:space="preserve">Peak Branch incremental costs which gives -10.52 £/annum. </w:t>
      </w:r>
    </w:p>
    <w:p w14:paraId="2C864E35" w14:textId="77777777" w:rsidR="0041584B" w:rsidRDefault="0041584B" w:rsidP="0041584B">
      <w:pPr>
        <w:pStyle w:val="Heading7"/>
      </w:pPr>
      <w:r w:rsidRPr="00B7495E">
        <w:t>The Nodal marginal charges are obtained by dividing the Nodal incremental cost by the magnitude (in kVA) of the load or generation increment, as appropriate.</w:t>
      </w:r>
    </w:p>
    <w:p w14:paraId="37730465" w14:textId="77777777" w:rsidR="0041584B" w:rsidRDefault="0041584B" w:rsidP="0041584B">
      <w:pPr>
        <w:spacing w:after="200" w:line="276" w:lineRule="auto"/>
        <w:rPr>
          <w:b/>
        </w:rPr>
        <w:sectPr w:rsidR="0041584B" w:rsidSect="0041584B">
          <w:footerReference w:type="default" r:id="rId86"/>
          <w:pgSz w:w="11909" w:h="16834" w:code="9"/>
          <w:pgMar w:top="1440" w:right="1440" w:bottom="1440" w:left="1440" w:header="709" w:footer="709" w:gutter="0"/>
          <w:cols w:space="708"/>
          <w:docGrid w:linePitch="360"/>
        </w:sectPr>
      </w:pPr>
    </w:p>
    <w:p w14:paraId="527C78EC" w14:textId="77777777" w:rsidR="0041584B" w:rsidRDefault="0041584B" w:rsidP="0041584B">
      <w:pPr>
        <w:pStyle w:val="Caption"/>
      </w:pPr>
      <w:r w:rsidRPr="00507652">
        <w:lastRenderedPageBreak/>
        <w:t xml:space="preserve">Table </w:t>
      </w:r>
      <w:r>
        <w:t>14</w:t>
      </w:r>
      <w:r w:rsidRPr="00507652">
        <w:t xml:space="preserve"> - Incremented flow analysis</w:t>
      </w:r>
    </w:p>
    <w:tbl>
      <w:tblPr>
        <w:tblStyle w:val="GridTable4-Accent3"/>
        <w:tblW w:w="5104" w:type="pct"/>
        <w:tblInd w:w="-289" w:type="dxa"/>
        <w:tblLook w:val="0620" w:firstRow="1" w:lastRow="0" w:firstColumn="0" w:lastColumn="0" w:noHBand="1" w:noVBand="1"/>
      </w:tblPr>
      <w:tblGrid>
        <w:gridCol w:w="1190"/>
        <w:gridCol w:w="987"/>
        <w:gridCol w:w="977"/>
        <w:gridCol w:w="950"/>
        <w:gridCol w:w="1136"/>
        <w:gridCol w:w="1523"/>
        <w:gridCol w:w="876"/>
        <w:gridCol w:w="876"/>
        <w:gridCol w:w="1670"/>
        <w:gridCol w:w="1670"/>
        <w:gridCol w:w="1283"/>
        <w:gridCol w:w="1096"/>
      </w:tblGrid>
      <w:tr w:rsidR="0041584B" w:rsidRPr="00C70D7F" w14:paraId="4C9E8AB2" w14:textId="77777777" w:rsidTr="0041584B">
        <w:trPr>
          <w:cnfStyle w:val="100000000000" w:firstRow="1" w:lastRow="0" w:firstColumn="0" w:lastColumn="0" w:oddVBand="0" w:evenVBand="0" w:oddHBand="0" w:evenHBand="0" w:firstRowFirstColumn="0" w:firstRowLastColumn="0" w:lastRowFirstColumn="0" w:lastRowLastColumn="0"/>
          <w:trHeight w:val="276"/>
        </w:trPr>
        <w:tc>
          <w:tcPr>
            <w:tcW w:w="399" w:type="pct"/>
            <w:vMerge w:val="restart"/>
          </w:tcPr>
          <w:p w14:paraId="0C37D499" w14:textId="77777777" w:rsidR="0041584B" w:rsidRPr="00C70D7F" w:rsidRDefault="0041584B" w:rsidP="0041584B">
            <w:pPr>
              <w:pStyle w:val="DCUSATableText"/>
            </w:pPr>
            <w:r w:rsidRPr="00C70D7F">
              <w:rPr>
                <w:lang w:val="en-US"/>
              </w:rPr>
              <w:t>Gen/Dem</w:t>
            </w:r>
          </w:p>
        </w:tc>
        <w:tc>
          <w:tcPr>
            <w:tcW w:w="365" w:type="pct"/>
            <w:vMerge w:val="restart"/>
          </w:tcPr>
          <w:p w14:paraId="54E3A369" w14:textId="77777777" w:rsidR="0041584B" w:rsidRPr="00C70D7F" w:rsidRDefault="0041584B" w:rsidP="0041584B">
            <w:pPr>
              <w:pStyle w:val="DCUSATableText"/>
            </w:pPr>
            <w:r w:rsidRPr="00C70D7F">
              <w:rPr>
                <w:lang w:val="en-US"/>
              </w:rPr>
              <w:t>At Node</w:t>
            </w:r>
          </w:p>
        </w:tc>
        <w:tc>
          <w:tcPr>
            <w:tcW w:w="343" w:type="pct"/>
            <w:vMerge w:val="restart"/>
          </w:tcPr>
          <w:p w14:paraId="3C00C4F7" w14:textId="77777777" w:rsidR="0041584B" w:rsidRPr="00C70D7F" w:rsidRDefault="0041584B" w:rsidP="0041584B">
            <w:pPr>
              <w:pStyle w:val="DCUSATableText"/>
            </w:pPr>
            <w:r w:rsidRPr="00C70D7F">
              <w:rPr>
                <w:lang w:val="en-US"/>
              </w:rPr>
              <w:t>Branch</w:t>
            </w:r>
          </w:p>
        </w:tc>
        <w:tc>
          <w:tcPr>
            <w:tcW w:w="334" w:type="pct"/>
            <w:vMerge w:val="restart"/>
          </w:tcPr>
          <w:p w14:paraId="04911F0F" w14:textId="77777777" w:rsidR="0041584B" w:rsidRPr="00C70D7F" w:rsidRDefault="0041584B" w:rsidP="0041584B">
            <w:pPr>
              <w:pStyle w:val="DCUSATableText"/>
            </w:pPr>
            <w:r w:rsidRPr="00C70D7F">
              <w:t xml:space="preserve">Base Case Flow </w:t>
            </w:r>
            <w:r w:rsidRPr="00C70D7F">
              <w:br/>
              <w:t>(MVA)</w:t>
            </w:r>
          </w:p>
        </w:tc>
        <w:tc>
          <w:tcPr>
            <w:tcW w:w="399" w:type="pct"/>
            <w:vMerge w:val="restart"/>
          </w:tcPr>
          <w:p w14:paraId="4E61486F" w14:textId="77777777" w:rsidR="0041584B" w:rsidRPr="00C70D7F" w:rsidRDefault="0041584B" w:rsidP="0041584B">
            <w:pPr>
              <w:pStyle w:val="DCUSATableText"/>
            </w:pPr>
            <w:r w:rsidRPr="00C70D7F">
              <w:rPr>
                <w:lang w:val="en-US"/>
              </w:rPr>
              <w:t>Asset Capacity (MVA)</w:t>
            </w:r>
          </w:p>
        </w:tc>
        <w:tc>
          <w:tcPr>
            <w:tcW w:w="535" w:type="pct"/>
            <w:vMerge w:val="restart"/>
          </w:tcPr>
          <w:p w14:paraId="052496D4" w14:textId="77777777" w:rsidR="0041584B" w:rsidRPr="00C70D7F" w:rsidRDefault="0041584B" w:rsidP="0041584B">
            <w:pPr>
              <w:pStyle w:val="DCUSATableText"/>
            </w:pPr>
            <w:r w:rsidRPr="00C70D7F">
              <w:rPr>
                <w:lang w:val="en-US"/>
              </w:rPr>
              <w:t>Incremented Flow</w:t>
            </w:r>
            <w:r w:rsidRPr="00C70D7F">
              <w:rPr>
                <w:lang w:val="en-US"/>
              </w:rPr>
              <w:br/>
              <w:t xml:space="preserve"> (MVA)</w:t>
            </w:r>
          </w:p>
        </w:tc>
        <w:tc>
          <w:tcPr>
            <w:tcW w:w="308" w:type="pct"/>
            <w:vMerge w:val="restart"/>
          </w:tcPr>
          <w:p w14:paraId="67BB07F3" w14:textId="77777777" w:rsidR="0041584B" w:rsidRPr="00C70D7F" w:rsidRDefault="0041584B" w:rsidP="0041584B">
            <w:pPr>
              <w:pStyle w:val="DCUSATableText"/>
            </w:pPr>
            <w:r w:rsidRPr="00C70D7F">
              <w:rPr>
                <w:lang w:val="en-US"/>
              </w:rPr>
              <w:t xml:space="preserve">Years to </w:t>
            </w:r>
            <w:proofErr w:type="spellStart"/>
            <w:r w:rsidRPr="00C70D7F">
              <w:rPr>
                <w:lang w:val="en-US"/>
              </w:rPr>
              <w:t>Reinf</w:t>
            </w:r>
            <w:proofErr w:type="spellEnd"/>
            <w:r w:rsidRPr="00C70D7F">
              <w:rPr>
                <w:lang w:val="en-US"/>
              </w:rPr>
              <w:t>.</w:t>
            </w:r>
            <w:r w:rsidRPr="00C70D7F">
              <w:rPr>
                <w:lang w:val="en-US"/>
              </w:rPr>
              <w:br/>
              <w:t>(base)</w:t>
            </w:r>
          </w:p>
        </w:tc>
        <w:tc>
          <w:tcPr>
            <w:tcW w:w="308" w:type="pct"/>
            <w:vMerge w:val="restart"/>
          </w:tcPr>
          <w:p w14:paraId="0D2CD351" w14:textId="77777777" w:rsidR="0041584B" w:rsidRPr="00C70D7F" w:rsidRDefault="0041584B" w:rsidP="0041584B">
            <w:pPr>
              <w:pStyle w:val="DCUSATableText"/>
            </w:pPr>
            <w:r w:rsidRPr="00C70D7F">
              <w:rPr>
                <w:lang w:val="en-US"/>
              </w:rPr>
              <w:t xml:space="preserve">Years to </w:t>
            </w:r>
            <w:proofErr w:type="spellStart"/>
            <w:r w:rsidRPr="00C70D7F">
              <w:rPr>
                <w:lang w:val="en-US"/>
              </w:rPr>
              <w:t>Reinf</w:t>
            </w:r>
            <w:proofErr w:type="spellEnd"/>
            <w:r w:rsidRPr="00C70D7F">
              <w:rPr>
                <w:lang w:val="en-US"/>
              </w:rPr>
              <w:t>.</w:t>
            </w:r>
            <w:r w:rsidRPr="00C70D7F">
              <w:rPr>
                <w:lang w:val="en-US"/>
              </w:rPr>
              <w:br/>
              <w:t>(</w:t>
            </w:r>
            <w:proofErr w:type="spellStart"/>
            <w:r w:rsidRPr="00C70D7F">
              <w:rPr>
                <w:lang w:val="en-US"/>
              </w:rPr>
              <w:t>inc</w:t>
            </w:r>
            <w:proofErr w:type="spellEnd"/>
            <w:r w:rsidRPr="00C70D7F">
              <w:rPr>
                <w:lang w:val="en-US"/>
              </w:rPr>
              <w:t>)</w:t>
            </w:r>
          </w:p>
        </w:tc>
        <w:tc>
          <w:tcPr>
            <w:tcW w:w="587" w:type="pct"/>
            <w:vMerge w:val="restart"/>
          </w:tcPr>
          <w:p w14:paraId="0BB37C55" w14:textId="77777777" w:rsidR="0041584B" w:rsidRPr="00C70D7F" w:rsidRDefault="0041584B" w:rsidP="0041584B">
            <w:pPr>
              <w:pStyle w:val="DCUSATableText"/>
            </w:pPr>
            <w:r w:rsidRPr="00C70D7F">
              <w:rPr>
                <w:lang w:val="en-US"/>
              </w:rPr>
              <w:t xml:space="preserve">NPV*Annuity Rate (base) </w:t>
            </w:r>
            <w:r w:rsidRPr="00C70D7F">
              <w:rPr>
                <w:lang w:val="en-US"/>
              </w:rPr>
              <w:br/>
              <w:t>(£/annum)</w:t>
            </w:r>
          </w:p>
        </w:tc>
        <w:tc>
          <w:tcPr>
            <w:tcW w:w="587" w:type="pct"/>
            <w:vMerge w:val="restart"/>
          </w:tcPr>
          <w:p w14:paraId="7FB57B4D" w14:textId="77777777" w:rsidR="0041584B" w:rsidRPr="00C70D7F" w:rsidRDefault="0041584B" w:rsidP="0041584B">
            <w:pPr>
              <w:pStyle w:val="DCUSATableText"/>
            </w:pPr>
            <w:r w:rsidRPr="00C70D7F">
              <w:rPr>
                <w:lang w:val="en-US"/>
              </w:rPr>
              <w:t>NPV*Annuity Rate (</w:t>
            </w:r>
            <w:proofErr w:type="spellStart"/>
            <w:r w:rsidRPr="00C70D7F">
              <w:rPr>
                <w:lang w:val="en-US"/>
              </w:rPr>
              <w:t>inc</w:t>
            </w:r>
            <w:proofErr w:type="spellEnd"/>
            <w:r w:rsidRPr="00C70D7F">
              <w:rPr>
                <w:lang w:val="en-US"/>
              </w:rPr>
              <w:t>)</w:t>
            </w:r>
            <w:r w:rsidRPr="00C70D7F">
              <w:rPr>
                <w:lang w:val="en-US"/>
              </w:rPr>
              <w:br/>
              <w:t>(£/annum)</w:t>
            </w:r>
          </w:p>
        </w:tc>
        <w:tc>
          <w:tcPr>
            <w:tcW w:w="451" w:type="pct"/>
            <w:vMerge w:val="restart"/>
            <w:noWrap/>
          </w:tcPr>
          <w:p w14:paraId="7048428A" w14:textId="77777777" w:rsidR="0041584B" w:rsidRPr="00C70D7F" w:rsidRDefault="0041584B" w:rsidP="0041584B">
            <w:pPr>
              <w:pStyle w:val="DCUSATableText"/>
            </w:pPr>
            <w:r>
              <w:rPr>
                <w:noProof/>
                <w:lang w:eastAsia="en-GB"/>
              </w:rPr>
              <w:drawing>
                <wp:anchor distT="0" distB="0" distL="114300" distR="114300" simplePos="0" relativeHeight="251661312" behindDoc="0" locked="0" layoutInCell="1" allowOverlap="1" wp14:anchorId="2D355EF1" wp14:editId="73881D2A">
                  <wp:simplePos x="0" y="0"/>
                  <wp:positionH relativeFrom="column">
                    <wp:posOffset>64770</wp:posOffset>
                  </wp:positionH>
                  <wp:positionV relativeFrom="paragraph">
                    <wp:posOffset>109220</wp:posOffset>
                  </wp:positionV>
                  <wp:extent cx="247015" cy="161925"/>
                  <wp:effectExtent l="0" t="0" r="635" b="9525"/>
                  <wp:wrapNone/>
                  <wp:docPr id="98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7"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47015" cy="161925"/>
                          </a:xfrm>
                          <a:prstGeom prst="rect">
                            <a:avLst/>
                          </a:prstGeom>
                          <a:noFill/>
                        </pic:spPr>
                      </pic:pic>
                    </a:graphicData>
                  </a:graphic>
                </wp:anchor>
              </w:drawing>
            </w:r>
          </w:p>
          <w:p w14:paraId="1F2D94DB" w14:textId="77777777" w:rsidR="0041584B" w:rsidRPr="00C70D7F" w:rsidRDefault="0041584B" w:rsidP="0041584B">
            <w:pPr>
              <w:pStyle w:val="DCUSATableText"/>
            </w:pPr>
            <w:r w:rsidRPr="00C70D7F">
              <w:rPr>
                <w:lang w:val="en-US"/>
              </w:rPr>
              <w:t>(£/annum)</w:t>
            </w:r>
          </w:p>
        </w:tc>
        <w:tc>
          <w:tcPr>
            <w:tcW w:w="385" w:type="pct"/>
            <w:vMerge w:val="restart"/>
          </w:tcPr>
          <w:p w14:paraId="32B45E9D" w14:textId="77777777" w:rsidR="0041584B" w:rsidRPr="00C70D7F" w:rsidRDefault="0041584B" w:rsidP="0041584B">
            <w:pPr>
              <w:pStyle w:val="DCUSATableText"/>
            </w:pPr>
            <w:r w:rsidRPr="00C70D7F">
              <w:rPr>
                <w:lang w:val="en-US"/>
              </w:rPr>
              <w:t xml:space="preserve">Peak </w:t>
            </w:r>
            <w:r w:rsidRPr="00C70D7F">
              <w:rPr>
                <w:lang w:val="en-US"/>
              </w:rPr>
              <w:br/>
              <w:t>Off-peak</w:t>
            </w:r>
          </w:p>
        </w:tc>
      </w:tr>
      <w:tr w:rsidR="0041584B" w:rsidRPr="00C70D7F" w14:paraId="6998AC9E" w14:textId="77777777" w:rsidTr="0041584B">
        <w:trPr>
          <w:trHeight w:val="654"/>
        </w:trPr>
        <w:tc>
          <w:tcPr>
            <w:tcW w:w="399" w:type="pct"/>
            <w:vMerge/>
          </w:tcPr>
          <w:p w14:paraId="793BAA73" w14:textId="77777777" w:rsidR="0041584B" w:rsidRPr="00C70D7F" w:rsidRDefault="0041584B" w:rsidP="0041584B">
            <w:pPr>
              <w:pStyle w:val="DCUSATableText"/>
            </w:pPr>
          </w:p>
        </w:tc>
        <w:tc>
          <w:tcPr>
            <w:tcW w:w="365" w:type="pct"/>
            <w:vMerge/>
          </w:tcPr>
          <w:p w14:paraId="0106EB2D" w14:textId="77777777" w:rsidR="0041584B" w:rsidRPr="00C70D7F" w:rsidRDefault="0041584B" w:rsidP="0041584B">
            <w:pPr>
              <w:pStyle w:val="DCUSATableText"/>
            </w:pPr>
          </w:p>
        </w:tc>
        <w:tc>
          <w:tcPr>
            <w:tcW w:w="343" w:type="pct"/>
            <w:vMerge/>
          </w:tcPr>
          <w:p w14:paraId="0178D852" w14:textId="77777777" w:rsidR="0041584B" w:rsidRPr="00C70D7F" w:rsidRDefault="0041584B" w:rsidP="0041584B">
            <w:pPr>
              <w:pStyle w:val="DCUSATableText"/>
            </w:pPr>
          </w:p>
        </w:tc>
        <w:tc>
          <w:tcPr>
            <w:tcW w:w="334" w:type="pct"/>
            <w:vMerge/>
          </w:tcPr>
          <w:p w14:paraId="140F7365" w14:textId="77777777" w:rsidR="0041584B" w:rsidRPr="00C70D7F" w:rsidRDefault="0041584B" w:rsidP="0041584B">
            <w:pPr>
              <w:pStyle w:val="DCUSATableText"/>
            </w:pPr>
          </w:p>
        </w:tc>
        <w:tc>
          <w:tcPr>
            <w:tcW w:w="399" w:type="pct"/>
            <w:vMerge/>
          </w:tcPr>
          <w:p w14:paraId="2FCAB21C" w14:textId="77777777" w:rsidR="0041584B" w:rsidRPr="00C70D7F" w:rsidRDefault="0041584B" w:rsidP="0041584B">
            <w:pPr>
              <w:pStyle w:val="DCUSATableText"/>
            </w:pPr>
          </w:p>
        </w:tc>
        <w:tc>
          <w:tcPr>
            <w:tcW w:w="535" w:type="pct"/>
            <w:vMerge/>
          </w:tcPr>
          <w:p w14:paraId="0E1FA126" w14:textId="77777777" w:rsidR="0041584B" w:rsidRPr="00C70D7F" w:rsidRDefault="0041584B" w:rsidP="0041584B">
            <w:pPr>
              <w:pStyle w:val="DCUSATableText"/>
            </w:pPr>
          </w:p>
        </w:tc>
        <w:tc>
          <w:tcPr>
            <w:tcW w:w="308" w:type="pct"/>
            <w:vMerge/>
          </w:tcPr>
          <w:p w14:paraId="6E75D6C7" w14:textId="77777777" w:rsidR="0041584B" w:rsidRPr="00C70D7F" w:rsidRDefault="0041584B" w:rsidP="0041584B">
            <w:pPr>
              <w:pStyle w:val="DCUSATableText"/>
            </w:pPr>
          </w:p>
        </w:tc>
        <w:tc>
          <w:tcPr>
            <w:tcW w:w="308" w:type="pct"/>
            <w:vMerge/>
          </w:tcPr>
          <w:p w14:paraId="39BD79AE" w14:textId="77777777" w:rsidR="0041584B" w:rsidRPr="00C70D7F" w:rsidRDefault="0041584B" w:rsidP="0041584B">
            <w:pPr>
              <w:pStyle w:val="DCUSATableText"/>
            </w:pPr>
          </w:p>
        </w:tc>
        <w:tc>
          <w:tcPr>
            <w:tcW w:w="587" w:type="pct"/>
            <w:vMerge/>
          </w:tcPr>
          <w:p w14:paraId="34F1E14D" w14:textId="77777777" w:rsidR="0041584B" w:rsidRPr="00C70D7F" w:rsidRDefault="0041584B" w:rsidP="0041584B">
            <w:pPr>
              <w:pStyle w:val="DCUSATableText"/>
            </w:pPr>
          </w:p>
        </w:tc>
        <w:tc>
          <w:tcPr>
            <w:tcW w:w="587" w:type="pct"/>
            <w:vMerge/>
          </w:tcPr>
          <w:p w14:paraId="3E5D1FB0" w14:textId="77777777" w:rsidR="0041584B" w:rsidRPr="00C70D7F" w:rsidRDefault="0041584B" w:rsidP="0041584B">
            <w:pPr>
              <w:pStyle w:val="DCUSATableText"/>
            </w:pPr>
          </w:p>
        </w:tc>
        <w:tc>
          <w:tcPr>
            <w:tcW w:w="451" w:type="pct"/>
            <w:vMerge/>
          </w:tcPr>
          <w:p w14:paraId="15957F2D" w14:textId="77777777" w:rsidR="0041584B" w:rsidRPr="00C70D7F" w:rsidRDefault="0041584B" w:rsidP="0041584B">
            <w:pPr>
              <w:pStyle w:val="DCUSATableText"/>
            </w:pPr>
          </w:p>
        </w:tc>
        <w:tc>
          <w:tcPr>
            <w:tcW w:w="385" w:type="pct"/>
            <w:vMerge/>
          </w:tcPr>
          <w:p w14:paraId="233CABD4" w14:textId="77777777" w:rsidR="0041584B" w:rsidRPr="00C70D7F" w:rsidRDefault="0041584B" w:rsidP="0041584B">
            <w:pPr>
              <w:pStyle w:val="DCUSATableText"/>
            </w:pPr>
          </w:p>
        </w:tc>
      </w:tr>
      <w:tr w:rsidR="0041584B" w:rsidRPr="00C70D7F" w14:paraId="2BA70249" w14:textId="77777777" w:rsidTr="0041584B">
        <w:trPr>
          <w:trHeight w:val="654"/>
        </w:trPr>
        <w:tc>
          <w:tcPr>
            <w:tcW w:w="399" w:type="pct"/>
            <w:vMerge/>
          </w:tcPr>
          <w:p w14:paraId="212329FA" w14:textId="77777777" w:rsidR="0041584B" w:rsidRPr="00C70D7F" w:rsidRDefault="0041584B" w:rsidP="0041584B">
            <w:pPr>
              <w:pStyle w:val="DCUSATableText"/>
            </w:pPr>
          </w:p>
        </w:tc>
        <w:tc>
          <w:tcPr>
            <w:tcW w:w="365" w:type="pct"/>
            <w:vMerge/>
          </w:tcPr>
          <w:p w14:paraId="5D0E29F8" w14:textId="77777777" w:rsidR="0041584B" w:rsidRPr="00C70D7F" w:rsidRDefault="0041584B" w:rsidP="0041584B">
            <w:pPr>
              <w:pStyle w:val="DCUSATableText"/>
            </w:pPr>
          </w:p>
        </w:tc>
        <w:tc>
          <w:tcPr>
            <w:tcW w:w="343" w:type="pct"/>
            <w:vMerge/>
          </w:tcPr>
          <w:p w14:paraId="036CFA3F" w14:textId="77777777" w:rsidR="0041584B" w:rsidRPr="00C70D7F" w:rsidRDefault="0041584B" w:rsidP="0041584B">
            <w:pPr>
              <w:pStyle w:val="DCUSATableText"/>
            </w:pPr>
          </w:p>
        </w:tc>
        <w:tc>
          <w:tcPr>
            <w:tcW w:w="334" w:type="pct"/>
            <w:vMerge/>
          </w:tcPr>
          <w:p w14:paraId="06C8ECA0" w14:textId="77777777" w:rsidR="0041584B" w:rsidRPr="00C70D7F" w:rsidRDefault="0041584B" w:rsidP="0041584B">
            <w:pPr>
              <w:pStyle w:val="DCUSATableText"/>
            </w:pPr>
          </w:p>
        </w:tc>
        <w:tc>
          <w:tcPr>
            <w:tcW w:w="399" w:type="pct"/>
            <w:vMerge/>
          </w:tcPr>
          <w:p w14:paraId="652A7044" w14:textId="77777777" w:rsidR="0041584B" w:rsidRPr="00C70D7F" w:rsidRDefault="0041584B" w:rsidP="0041584B">
            <w:pPr>
              <w:pStyle w:val="DCUSATableText"/>
            </w:pPr>
          </w:p>
        </w:tc>
        <w:tc>
          <w:tcPr>
            <w:tcW w:w="535" w:type="pct"/>
            <w:vMerge/>
          </w:tcPr>
          <w:p w14:paraId="2821DF1C" w14:textId="77777777" w:rsidR="0041584B" w:rsidRPr="00C70D7F" w:rsidRDefault="0041584B" w:rsidP="0041584B">
            <w:pPr>
              <w:pStyle w:val="DCUSATableText"/>
            </w:pPr>
          </w:p>
        </w:tc>
        <w:tc>
          <w:tcPr>
            <w:tcW w:w="308" w:type="pct"/>
            <w:vMerge/>
          </w:tcPr>
          <w:p w14:paraId="3678F90F" w14:textId="77777777" w:rsidR="0041584B" w:rsidRPr="00C70D7F" w:rsidRDefault="0041584B" w:rsidP="0041584B">
            <w:pPr>
              <w:pStyle w:val="DCUSATableText"/>
            </w:pPr>
          </w:p>
        </w:tc>
        <w:tc>
          <w:tcPr>
            <w:tcW w:w="308" w:type="pct"/>
            <w:vMerge/>
          </w:tcPr>
          <w:p w14:paraId="59F77DA7" w14:textId="77777777" w:rsidR="0041584B" w:rsidRPr="00C70D7F" w:rsidRDefault="0041584B" w:rsidP="0041584B">
            <w:pPr>
              <w:pStyle w:val="DCUSATableText"/>
            </w:pPr>
          </w:p>
        </w:tc>
        <w:tc>
          <w:tcPr>
            <w:tcW w:w="587" w:type="pct"/>
            <w:vMerge/>
          </w:tcPr>
          <w:p w14:paraId="069C5B45" w14:textId="77777777" w:rsidR="0041584B" w:rsidRPr="00C70D7F" w:rsidRDefault="0041584B" w:rsidP="0041584B">
            <w:pPr>
              <w:pStyle w:val="DCUSATableText"/>
            </w:pPr>
          </w:p>
        </w:tc>
        <w:tc>
          <w:tcPr>
            <w:tcW w:w="587" w:type="pct"/>
            <w:vMerge/>
          </w:tcPr>
          <w:p w14:paraId="37661340" w14:textId="77777777" w:rsidR="0041584B" w:rsidRPr="00C70D7F" w:rsidRDefault="0041584B" w:rsidP="0041584B">
            <w:pPr>
              <w:pStyle w:val="DCUSATableText"/>
            </w:pPr>
          </w:p>
        </w:tc>
        <w:tc>
          <w:tcPr>
            <w:tcW w:w="451" w:type="pct"/>
            <w:vMerge/>
          </w:tcPr>
          <w:p w14:paraId="61FD4608" w14:textId="77777777" w:rsidR="0041584B" w:rsidRPr="00C70D7F" w:rsidRDefault="0041584B" w:rsidP="0041584B">
            <w:pPr>
              <w:pStyle w:val="DCUSATableText"/>
            </w:pPr>
          </w:p>
        </w:tc>
        <w:tc>
          <w:tcPr>
            <w:tcW w:w="385" w:type="pct"/>
            <w:vMerge/>
          </w:tcPr>
          <w:p w14:paraId="4C747B32" w14:textId="77777777" w:rsidR="0041584B" w:rsidRPr="00C70D7F" w:rsidRDefault="0041584B" w:rsidP="0041584B">
            <w:pPr>
              <w:pStyle w:val="DCUSATableText"/>
            </w:pPr>
          </w:p>
        </w:tc>
      </w:tr>
      <w:tr w:rsidR="0041584B" w:rsidRPr="00C70D7F" w14:paraId="6311ED83" w14:textId="77777777" w:rsidTr="0041584B">
        <w:trPr>
          <w:trHeight w:val="315"/>
        </w:trPr>
        <w:tc>
          <w:tcPr>
            <w:tcW w:w="399" w:type="pct"/>
            <w:noWrap/>
          </w:tcPr>
          <w:p w14:paraId="410F6B2F" w14:textId="77777777" w:rsidR="0041584B" w:rsidRPr="00C70D7F" w:rsidRDefault="0041584B" w:rsidP="0041584B">
            <w:pPr>
              <w:pStyle w:val="DCUSATableText"/>
            </w:pPr>
            <w:r w:rsidRPr="00C70D7F">
              <w:rPr>
                <w:lang w:val="en-US"/>
              </w:rPr>
              <w:t>Gen</w:t>
            </w:r>
          </w:p>
        </w:tc>
        <w:tc>
          <w:tcPr>
            <w:tcW w:w="365" w:type="pct"/>
            <w:vMerge w:val="restart"/>
          </w:tcPr>
          <w:p w14:paraId="078FBA8D" w14:textId="77777777" w:rsidR="0041584B" w:rsidRPr="00C70D7F" w:rsidRDefault="0041584B" w:rsidP="0041584B">
            <w:pPr>
              <w:pStyle w:val="DCUSATableText"/>
            </w:pPr>
            <w:r w:rsidRPr="00C70D7F">
              <w:rPr>
                <w:lang w:val="en-US"/>
              </w:rPr>
              <w:t>Node D</w:t>
            </w:r>
          </w:p>
        </w:tc>
        <w:tc>
          <w:tcPr>
            <w:tcW w:w="343" w:type="pct"/>
          </w:tcPr>
          <w:p w14:paraId="2FF469D9" w14:textId="77777777" w:rsidR="0041584B" w:rsidRPr="00C70D7F" w:rsidRDefault="0041584B" w:rsidP="0041584B">
            <w:pPr>
              <w:pStyle w:val="DCUSATableText"/>
            </w:pPr>
            <w:r w:rsidRPr="00C70D7F">
              <w:t>B5</w:t>
            </w:r>
          </w:p>
        </w:tc>
        <w:tc>
          <w:tcPr>
            <w:tcW w:w="334" w:type="pct"/>
            <w:noWrap/>
          </w:tcPr>
          <w:p w14:paraId="4E8D6D44" w14:textId="77777777" w:rsidR="0041584B" w:rsidRPr="00C70D7F" w:rsidRDefault="0041584B" w:rsidP="0041584B">
            <w:pPr>
              <w:pStyle w:val="DCUSATableText"/>
            </w:pPr>
            <w:r w:rsidRPr="00C70D7F">
              <w:t>24.38</w:t>
            </w:r>
          </w:p>
        </w:tc>
        <w:tc>
          <w:tcPr>
            <w:tcW w:w="399" w:type="pct"/>
            <w:noWrap/>
          </w:tcPr>
          <w:p w14:paraId="22A5B5D4" w14:textId="77777777" w:rsidR="0041584B" w:rsidRPr="00C70D7F" w:rsidRDefault="0041584B" w:rsidP="0041584B">
            <w:pPr>
              <w:pStyle w:val="DCUSATableText"/>
            </w:pPr>
            <w:r w:rsidRPr="00C70D7F">
              <w:t>34.70</w:t>
            </w:r>
          </w:p>
        </w:tc>
        <w:tc>
          <w:tcPr>
            <w:tcW w:w="535" w:type="pct"/>
            <w:noWrap/>
          </w:tcPr>
          <w:p w14:paraId="4A3D3D9D" w14:textId="77777777" w:rsidR="0041584B" w:rsidRPr="00C70D7F" w:rsidRDefault="0041584B" w:rsidP="0041584B">
            <w:pPr>
              <w:pStyle w:val="DCUSATableText"/>
            </w:pPr>
            <w:r w:rsidRPr="00C70D7F">
              <w:t>24.54</w:t>
            </w:r>
          </w:p>
        </w:tc>
        <w:tc>
          <w:tcPr>
            <w:tcW w:w="308" w:type="pct"/>
            <w:noWrap/>
          </w:tcPr>
          <w:p w14:paraId="2A718156" w14:textId="77777777" w:rsidR="0041584B" w:rsidRPr="00C70D7F" w:rsidRDefault="0041584B" w:rsidP="0041584B">
            <w:pPr>
              <w:pStyle w:val="DCUSATableText"/>
            </w:pPr>
            <w:r w:rsidRPr="00C70D7F">
              <w:t>35.48</w:t>
            </w:r>
          </w:p>
        </w:tc>
        <w:tc>
          <w:tcPr>
            <w:tcW w:w="308" w:type="pct"/>
            <w:noWrap/>
          </w:tcPr>
          <w:p w14:paraId="5F7B76CA" w14:textId="77777777" w:rsidR="0041584B" w:rsidRPr="00C70D7F" w:rsidRDefault="0041584B" w:rsidP="0041584B">
            <w:pPr>
              <w:pStyle w:val="DCUSATableText"/>
            </w:pPr>
            <w:r w:rsidRPr="00C70D7F">
              <w:t>34.83</w:t>
            </w:r>
          </w:p>
        </w:tc>
        <w:tc>
          <w:tcPr>
            <w:tcW w:w="587" w:type="pct"/>
            <w:noWrap/>
          </w:tcPr>
          <w:p w14:paraId="1E890637" w14:textId="77777777" w:rsidR="0041584B" w:rsidRPr="00C70D7F" w:rsidRDefault="0041584B" w:rsidP="0041584B">
            <w:pPr>
              <w:pStyle w:val="DCUSATableText"/>
            </w:pPr>
            <w:r w:rsidRPr="00C70D7F">
              <w:t>6576.14</w:t>
            </w:r>
          </w:p>
        </w:tc>
        <w:tc>
          <w:tcPr>
            <w:tcW w:w="587" w:type="pct"/>
            <w:noWrap/>
          </w:tcPr>
          <w:p w14:paraId="09C035DD" w14:textId="77777777" w:rsidR="0041584B" w:rsidRPr="00C70D7F" w:rsidRDefault="0041584B" w:rsidP="0041584B">
            <w:pPr>
              <w:pStyle w:val="DCUSATableText"/>
            </w:pPr>
            <w:r w:rsidRPr="00C70D7F">
              <w:t>6871.01</w:t>
            </w:r>
          </w:p>
        </w:tc>
        <w:tc>
          <w:tcPr>
            <w:tcW w:w="451" w:type="pct"/>
            <w:noWrap/>
          </w:tcPr>
          <w:p w14:paraId="2DDF1682" w14:textId="77777777" w:rsidR="0041584B" w:rsidRPr="00C70D7F" w:rsidRDefault="0041584B" w:rsidP="0041584B">
            <w:pPr>
              <w:pStyle w:val="DCUSATableText"/>
            </w:pPr>
            <w:r w:rsidRPr="00C70D7F">
              <w:t>294.87</w:t>
            </w:r>
          </w:p>
        </w:tc>
        <w:tc>
          <w:tcPr>
            <w:tcW w:w="385" w:type="pct"/>
            <w:noWrap/>
          </w:tcPr>
          <w:p w14:paraId="626F4E0B" w14:textId="77777777" w:rsidR="0041584B" w:rsidRPr="00C70D7F" w:rsidRDefault="0041584B" w:rsidP="0041584B">
            <w:pPr>
              <w:pStyle w:val="DCUSATableText"/>
            </w:pPr>
            <w:r w:rsidRPr="00C70D7F">
              <w:t>Peak</w:t>
            </w:r>
          </w:p>
        </w:tc>
      </w:tr>
      <w:tr w:rsidR="0041584B" w:rsidRPr="00C70D7F" w14:paraId="49F89234" w14:textId="77777777" w:rsidTr="0041584B">
        <w:trPr>
          <w:trHeight w:val="315"/>
        </w:trPr>
        <w:tc>
          <w:tcPr>
            <w:tcW w:w="399" w:type="pct"/>
            <w:noWrap/>
          </w:tcPr>
          <w:p w14:paraId="41D19B8C" w14:textId="77777777" w:rsidR="0041584B" w:rsidRPr="00C70D7F" w:rsidRDefault="0041584B" w:rsidP="0041584B">
            <w:pPr>
              <w:pStyle w:val="DCUSATableText"/>
            </w:pPr>
            <w:r w:rsidRPr="00C70D7F">
              <w:rPr>
                <w:lang w:val="en-US"/>
              </w:rPr>
              <w:t>Gen</w:t>
            </w:r>
          </w:p>
        </w:tc>
        <w:tc>
          <w:tcPr>
            <w:tcW w:w="365" w:type="pct"/>
            <w:vMerge/>
          </w:tcPr>
          <w:p w14:paraId="21492559" w14:textId="77777777" w:rsidR="0041584B" w:rsidRPr="00C70D7F" w:rsidRDefault="0041584B" w:rsidP="0041584B">
            <w:pPr>
              <w:pStyle w:val="DCUSATableText"/>
            </w:pPr>
          </w:p>
        </w:tc>
        <w:tc>
          <w:tcPr>
            <w:tcW w:w="343" w:type="pct"/>
          </w:tcPr>
          <w:p w14:paraId="0E2A98DB" w14:textId="77777777" w:rsidR="0041584B" w:rsidRPr="00C70D7F" w:rsidRDefault="0041584B" w:rsidP="0041584B">
            <w:pPr>
              <w:pStyle w:val="DCUSATableText"/>
            </w:pPr>
            <w:r w:rsidRPr="00C70D7F">
              <w:t>B9</w:t>
            </w:r>
          </w:p>
        </w:tc>
        <w:tc>
          <w:tcPr>
            <w:tcW w:w="334" w:type="pct"/>
            <w:noWrap/>
          </w:tcPr>
          <w:p w14:paraId="1336D504" w14:textId="77777777" w:rsidR="0041584B" w:rsidRPr="00C70D7F" w:rsidRDefault="0041584B" w:rsidP="0041584B">
            <w:pPr>
              <w:pStyle w:val="DCUSATableText"/>
            </w:pPr>
            <w:r w:rsidRPr="00C70D7F">
              <w:t>34.6</w:t>
            </w:r>
          </w:p>
        </w:tc>
        <w:tc>
          <w:tcPr>
            <w:tcW w:w="399" w:type="pct"/>
            <w:noWrap/>
          </w:tcPr>
          <w:p w14:paraId="3996AA8F" w14:textId="77777777" w:rsidR="0041584B" w:rsidRPr="00C70D7F" w:rsidRDefault="0041584B" w:rsidP="0041584B">
            <w:pPr>
              <w:pStyle w:val="DCUSATableText"/>
            </w:pPr>
            <w:r w:rsidRPr="00C70D7F">
              <w:t>37.38</w:t>
            </w:r>
          </w:p>
        </w:tc>
        <w:tc>
          <w:tcPr>
            <w:tcW w:w="535" w:type="pct"/>
            <w:noWrap/>
          </w:tcPr>
          <w:p w14:paraId="6419FAF3" w14:textId="77777777" w:rsidR="0041584B" w:rsidRPr="00C70D7F" w:rsidRDefault="0041584B" w:rsidP="0041584B">
            <w:pPr>
              <w:pStyle w:val="DCUSATableText"/>
            </w:pPr>
            <w:r w:rsidRPr="00C70D7F">
              <w:t>34.44</w:t>
            </w:r>
          </w:p>
        </w:tc>
        <w:tc>
          <w:tcPr>
            <w:tcW w:w="308" w:type="pct"/>
            <w:noWrap/>
          </w:tcPr>
          <w:p w14:paraId="53BD35A9" w14:textId="77777777" w:rsidR="0041584B" w:rsidRPr="00C70D7F" w:rsidRDefault="0041584B" w:rsidP="0041584B">
            <w:pPr>
              <w:pStyle w:val="DCUSATableText"/>
            </w:pPr>
            <w:r w:rsidRPr="00C70D7F">
              <w:t>7.77</w:t>
            </w:r>
          </w:p>
        </w:tc>
        <w:tc>
          <w:tcPr>
            <w:tcW w:w="308" w:type="pct"/>
            <w:noWrap/>
          </w:tcPr>
          <w:p w14:paraId="1CC07820" w14:textId="77777777" w:rsidR="0041584B" w:rsidRPr="00C70D7F" w:rsidRDefault="0041584B" w:rsidP="0041584B">
            <w:pPr>
              <w:pStyle w:val="DCUSATableText"/>
            </w:pPr>
            <w:r w:rsidRPr="00C70D7F">
              <w:t>8.24</w:t>
            </w:r>
          </w:p>
        </w:tc>
        <w:tc>
          <w:tcPr>
            <w:tcW w:w="587" w:type="pct"/>
            <w:noWrap/>
          </w:tcPr>
          <w:p w14:paraId="1ECD3466" w14:textId="77777777" w:rsidR="0041584B" w:rsidRPr="00C70D7F" w:rsidRDefault="0041584B" w:rsidP="0041584B">
            <w:pPr>
              <w:pStyle w:val="DCUSATableText"/>
            </w:pPr>
            <w:r w:rsidRPr="00C70D7F">
              <w:t>41784.75</w:t>
            </w:r>
          </w:p>
        </w:tc>
        <w:tc>
          <w:tcPr>
            <w:tcW w:w="587" w:type="pct"/>
            <w:noWrap/>
          </w:tcPr>
          <w:p w14:paraId="415FFF8D" w14:textId="77777777" w:rsidR="0041584B" w:rsidRPr="00C70D7F" w:rsidRDefault="0041584B" w:rsidP="0041584B">
            <w:pPr>
              <w:pStyle w:val="DCUSATableText"/>
            </w:pPr>
            <w:r w:rsidRPr="00C70D7F">
              <w:t>40506.03</w:t>
            </w:r>
          </w:p>
        </w:tc>
        <w:tc>
          <w:tcPr>
            <w:tcW w:w="451" w:type="pct"/>
            <w:noWrap/>
          </w:tcPr>
          <w:p w14:paraId="1ADB9D8A" w14:textId="77777777" w:rsidR="0041584B" w:rsidRPr="00C70D7F" w:rsidRDefault="0041584B" w:rsidP="0041584B">
            <w:pPr>
              <w:pStyle w:val="DCUSATableText"/>
            </w:pPr>
            <w:r w:rsidRPr="00C70D7F">
              <w:t>-1278.73</w:t>
            </w:r>
          </w:p>
        </w:tc>
        <w:tc>
          <w:tcPr>
            <w:tcW w:w="385" w:type="pct"/>
            <w:noWrap/>
          </w:tcPr>
          <w:p w14:paraId="76377E63" w14:textId="77777777" w:rsidR="0041584B" w:rsidRPr="00C70D7F" w:rsidRDefault="0041584B" w:rsidP="0041584B">
            <w:pPr>
              <w:pStyle w:val="DCUSATableText"/>
            </w:pPr>
            <w:r w:rsidRPr="00C70D7F">
              <w:t>Peak</w:t>
            </w:r>
          </w:p>
        </w:tc>
      </w:tr>
      <w:tr w:rsidR="0041584B" w:rsidRPr="00C70D7F" w14:paraId="6D03A405" w14:textId="77777777" w:rsidTr="0041584B">
        <w:trPr>
          <w:trHeight w:val="315"/>
        </w:trPr>
        <w:tc>
          <w:tcPr>
            <w:tcW w:w="399" w:type="pct"/>
            <w:noWrap/>
          </w:tcPr>
          <w:p w14:paraId="600DA0A4" w14:textId="77777777" w:rsidR="0041584B" w:rsidRPr="00C70D7F" w:rsidRDefault="0041584B" w:rsidP="0041584B">
            <w:pPr>
              <w:pStyle w:val="DCUSATableText"/>
            </w:pPr>
            <w:r w:rsidRPr="00C70D7F">
              <w:rPr>
                <w:lang w:val="en-US"/>
              </w:rPr>
              <w:t>Gen</w:t>
            </w:r>
          </w:p>
        </w:tc>
        <w:tc>
          <w:tcPr>
            <w:tcW w:w="365" w:type="pct"/>
            <w:vMerge/>
          </w:tcPr>
          <w:p w14:paraId="05D8A5EC" w14:textId="77777777" w:rsidR="0041584B" w:rsidRPr="00C70D7F" w:rsidRDefault="0041584B" w:rsidP="0041584B">
            <w:pPr>
              <w:pStyle w:val="DCUSATableText"/>
            </w:pPr>
          </w:p>
        </w:tc>
        <w:tc>
          <w:tcPr>
            <w:tcW w:w="343" w:type="pct"/>
          </w:tcPr>
          <w:p w14:paraId="63620940" w14:textId="77777777" w:rsidR="0041584B" w:rsidRPr="00C70D7F" w:rsidRDefault="0041584B" w:rsidP="0041584B">
            <w:pPr>
              <w:pStyle w:val="DCUSATableText"/>
            </w:pPr>
            <w:r w:rsidRPr="00C70D7F">
              <w:t>B1</w:t>
            </w:r>
          </w:p>
        </w:tc>
        <w:tc>
          <w:tcPr>
            <w:tcW w:w="334" w:type="pct"/>
            <w:noWrap/>
          </w:tcPr>
          <w:p w14:paraId="4309D722" w14:textId="77777777" w:rsidR="0041584B" w:rsidRPr="00C70D7F" w:rsidRDefault="0041584B" w:rsidP="0041584B">
            <w:pPr>
              <w:pStyle w:val="DCUSATableText"/>
            </w:pPr>
            <w:r w:rsidRPr="00C70D7F">
              <w:t>26.85</w:t>
            </w:r>
          </w:p>
        </w:tc>
        <w:tc>
          <w:tcPr>
            <w:tcW w:w="399" w:type="pct"/>
            <w:noWrap/>
          </w:tcPr>
          <w:p w14:paraId="6B8F08FE" w14:textId="77777777" w:rsidR="0041584B" w:rsidRPr="00C70D7F" w:rsidRDefault="0041584B" w:rsidP="0041584B">
            <w:pPr>
              <w:pStyle w:val="DCUSATableText"/>
            </w:pPr>
            <w:r w:rsidRPr="00C70D7F">
              <w:t>37.99</w:t>
            </w:r>
          </w:p>
        </w:tc>
        <w:tc>
          <w:tcPr>
            <w:tcW w:w="535" w:type="pct"/>
            <w:noWrap/>
          </w:tcPr>
          <w:p w14:paraId="6958E9B6" w14:textId="77777777" w:rsidR="0041584B" w:rsidRPr="00C70D7F" w:rsidRDefault="0041584B" w:rsidP="0041584B">
            <w:pPr>
              <w:pStyle w:val="DCUSATableText"/>
            </w:pPr>
            <w:r w:rsidRPr="00C70D7F">
              <w:t>26.69</w:t>
            </w:r>
          </w:p>
        </w:tc>
        <w:tc>
          <w:tcPr>
            <w:tcW w:w="308" w:type="pct"/>
            <w:noWrap/>
          </w:tcPr>
          <w:p w14:paraId="130AEB9F" w14:textId="77777777" w:rsidR="0041584B" w:rsidRPr="00C70D7F" w:rsidRDefault="0041584B" w:rsidP="0041584B">
            <w:pPr>
              <w:pStyle w:val="DCUSATableText"/>
            </w:pPr>
            <w:r w:rsidRPr="00C70D7F">
              <w:t>34.87</w:t>
            </w:r>
          </w:p>
        </w:tc>
        <w:tc>
          <w:tcPr>
            <w:tcW w:w="308" w:type="pct"/>
            <w:noWrap/>
          </w:tcPr>
          <w:p w14:paraId="24FDF9F2" w14:textId="77777777" w:rsidR="0041584B" w:rsidRPr="00C70D7F" w:rsidRDefault="0041584B" w:rsidP="0041584B">
            <w:pPr>
              <w:pStyle w:val="DCUSATableText"/>
            </w:pPr>
            <w:r w:rsidRPr="00C70D7F">
              <w:t>35.47</w:t>
            </w:r>
          </w:p>
        </w:tc>
        <w:tc>
          <w:tcPr>
            <w:tcW w:w="587" w:type="pct"/>
            <w:noWrap/>
          </w:tcPr>
          <w:p w14:paraId="3E6A81D2" w14:textId="77777777" w:rsidR="0041584B" w:rsidRPr="00C70D7F" w:rsidRDefault="0041584B" w:rsidP="0041584B">
            <w:pPr>
              <w:pStyle w:val="DCUSATableText"/>
            </w:pPr>
            <w:r w:rsidRPr="00C70D7F">
              <w:t>8366.34</w:t>
            </w:r>
          </w:p>
        </w:tc>
        <w:tc>
          <w:tcPr>
            <w:tcW w:w="587" w:type="pct"/>
            <w:noWrap/>
          </w:tcPr>
          <w:p w14:paraId="17032504" w14:textId="77777777" w:rsidR="0041584B" w:rsidRPr="00C70D7F" w:rsidRDefault="0041584B" w:rsidP="0041584B">
            <w:pPr>
              <w:pStyle w:val="DCUSATableText"/>
            </w:pPr>
            <w:r w:rsidRPr="00C70D7F">
              <w:t>8037.65</w:t>
            </w:r>
          </w:p>
        </w:tc>
        <w:tc>
          <w:tcPr>
            <w:tcW w:w="451" w:type="pct"/>
            <w:noWrap/>
          </w:tcPr>
          <w:p w14:paraId="6EAFC81E" w14:textId="77777777" w:rsidR="0041584B" w:rsidRPr="00C70D7F" w:rsidRDefault="0041584B" w:rsidP="0041584B">
            <w:pPr>
              <w:pStyle w:val="DCUSATableText"/>
            </w:pPr>
            <w:r w:rsidRPr="00C70D7F">
              <w:t>-328.68</w:t>
            </w:r>
          </w:p>
        </w:tc>
        <w:tc>
          <w:tcPr>
            <w:tcW w:w="385" w:type="pct"/>
            <w:noWrap/>
          </w:tcPr>
          <w:p w14:paraId="689D138B" w14:textId="77777777" w:rsidR="0041584B" w:rsidRPr="00C70D7F" w:rsidRDefault="0041584B" w:rsidP="0041584B">
            <w:pPr>
              <w:pStyle w:val="DCUSATableText"/>
            </w:pPr>
            <w:r w:rsidRPr="00C70D7F">
              <w:t>Peak</w:t>
            </w:r>
          </w:p>
        </w:tc>
      </w:tr>
      <w:tr w:rsidR="0041584B" w:rsidRPr="00C70D7F" w14:paraId="41982847" w14:textId="77777777" w:rsidTr="0041584B">
        <w:trPr>
          <w:trHeight w:val="315"/>
        </w:trPr>
        <w:tc>
          <w:tcPr>
            <w:tcW w:w="399" w:type="pct"/>
            <w:noWrap/>
          </w:tcPr>
          <w:p w14:paraId="3FB83C91" w14:textId="77777777" w:rsidR="0041584B" w:rsidRPr="00C70D7F" w:rsidRDefault="0041584B" w:rsidP="0041584B">
            <w:pPr>
              <w:pStyle w:val="DCUSATableText"/>
            </w:pPr>
            <w:r w:rsidRPr="00C70D7F">
              <w:rPr>
                <w:lang w:val="en-US"/>
              </w:rPr>
              <w:t>Gen</w:t>
            </w:r>
          </w:p>
        </w:tc>
        <w:tc>
          <w:tcPr>
            <w:tcW w:w="365" w:type="pct"/>
            <w:vMerge/>
          </w:tcPr>
          <w:p w14:paraId="19F85E1F" w14:textId="77777777" w:rsidR="0041584B" w:rsidRPr="00C70D7F" w:rsidRDefault="0041584B" w:rsidP="0041584B">
            <w:pPr>
              <w:pStyle w:val="DCUSATableText"/>
            </w:pPr>
          </w:p>
        </w:tc>
        <w:tc>
          <w:tcPr>
            <w:tcW w:w="343" w:type="pct"/>
          </w:tcPr>
          <w:p w14:paraId="683F7DC3" w14:textId="77777777" w:rsidR="0041584B" w:rsidRPr="00C70D7F" w:rsidRDefault="0041584B" w:rsidP="0041584B">
            <w:pPr>
              <w:pStyle w:val="DCUSATableText"/>
            </w:pPr>
            <w:r w:rsidRPr="00C70D7F">
              <w:t>B3</w:t>
            </w:r>
          </w:p>
        </w:tc>
        <w:tc>
          <w:tcPr>
            <w:tcW w:w="334" w:type="pct"/>
            <w:noWrap/>
          </w:tcPr>
          <w:p w14:paraId="66C88C03" w14:textId="77777777" w:rsidR="0041584B" w:rsidRPr="00C70D7F" w:rsidRDefault="0041584B" w:rsidP="0041584B">
            <w:pPr>
              <w:pStyle w:val="DCUSATableText"/>
            </w:pPr>
            <w:r w:rsidRPr="00C70D7F">
              <w:t>13.62</w:t>
            </w:r>
          </w:p>
        </w:tc>
        <w:tc>
          <w:tcPr>
            <w:tcW w:w="399" w:type="pct"/>
            <w:noWrap/>
          </w:tcPr>
          <w:p w14:paraId="36B037B1" w14:textId="77777777" w:rsidR="0041584B" w:rsidRPr="00C70D7F" w:rsidRDefault="0041584B" w:rsidP="0041584B">
            <w:pPr>
              <w:pStyle w:val="DCUSATableText"/>
            </w:pPr>
            <w:r w:rsidRPr="00C70D7F">
              <w:t>33.25</w:t>
            </w:r>
          </w:p>
        </w:tc>
        <w:tc>
          <w:tcPr>
            <w:tcW w:w="535" w:type="pct"/>
            <w:noWrap/>
          </w:tcPr>
          <w:p w14:paraId="21554AA8" w14:textId="77777777" w:rsidR="0041584B" w:rsidRPr="00C70D7F" w:rsidRDefault="0041584B" w:rsidP="0041584B">
            <w:pPr>
              <w:pStyle w:val="DCUSATableText"/>
            </w:pPr>
            <w:r w:rsidRPr="00C70D7F">
              <w:t>13.53</w:t>
            </w:r>
          </w:p>
        </w:tc>
        <w:tc>
          <w:tcPr>
            <w:tcW w:w="308" w:type="pct"/>
            <w:noWrap/>
          </w:tcPr>
          <w:p w14:paraId="601DE233" w14:textId="77777777" w:rsidR="0041584B" w:rsidRPr="00C70D7F" w:rsidRDefault="0041584B" w:rsidP="0041584B">
            <w:pPr>
              <w:pStyle w:val="DCUSATableText"/>
            </w:pPr>
            <w:r w:rsidRPr="00C70D7F">
              <w:t>89.69</w:t>
            </w:r>
          </w:p>
        </w:tc>
        <w:tc>
          <w:tcPr>
            <w:tcW w:w="308" w:type="pct"/>
            <w:noWrap/>
          </w:tcPr>
          <w:p w14:paraId="757BB031" w14:textId="77777777" w:rsidR="0041584B" w:rsidRPr="00C70D7F" w:rsidRDefault="0041584B" w:rsidP="0041584B">
            <w:pPr>
              <w:pStyle w:val="DCUSATableText"/>
            </w:pPr>
            <w:r w:rsidRPr="00C70D7F">
              <w:t>90.35</w:t>
            </w:r>
          </w:p>
        </w:tc>
        <w:tc>
          <w:tcPr>
            <w:tcW w:w="587" w:type="pct"/>
            <w:noWrap/>
          </w:tcPr>
          <w:p w14:paraId="252336B2" w14:textId="77777777" w:rsidR="0041584B" w:rsidRPr="00C70D7F" w:rsidRDefault="0041584B" w:rsidP="0041584B">
            <w:pPr>
              <w:pStyle w:val="DCUSATableText"/>
            </w:pPr>
            <w:r w:rsidRPr="00C70D7F">
              <w:t>431.65</w:t>
            </w:r>
          </w:p>
        </w:tc>
        <w:tc>
          <w:tcPr>
            <w:tcW w:w="587" w:type="pct"/>
            <w:noWrap/>
          </w:tcPr>
          <w:p w14:paraId="52F61DE9" w14:textId="77777777" w:rsidR="0041584B" w:rsidRPr="00C70D7F" w:rsidRDefault="0041584B" w:rsidP="0041584B">
            <w:pPr>
              <w:pStyle w:val="DCUSATableText"/>
            </w:pPr>
            <w:r w:rsidRPr="00C70D7F">
              <w:t>412.88</w:t>
            </w:r>
          </w:p>
        </w:tc>
        <w:tc>
          <w:tcPr>
            <w:tcW w:w="451" w:type="pct"/>
            <w:noWrap/>
          </w:tcPr>
          <w:p w14:paraId="46E645EA" w14:textId="77777777" w:rsidR="0041584B" w:rsidRPr="00C70D7F" w:rsidRDefault="0041584B" w:rsidP="0041584B">
            <w:pPr>
              <w:pStyle w:val="DCUSATableText"/>
            </w:pPr>
            <w:r w:rsidRPr="00C70D7F">
              <w:t>-18.77</w:t>
            </w:r>
          </w:p>
        </w:tc>
        <w:tc>
          <w:tcPr>
            <w:tcW w:w="385" w:type="pct"/>
            <w:noWrap/>
          </w:tcPr>
          <w:p w14:paraId="0B150CC9" w14:textId="77777777" w:rsidR="0041584B" w:rsidRPr="00C70D7F" w:rsidRDefault="0041584B" w:rsidP="0041584B">
            <w:pPr>
              <w:pStyle w:val="DCUSATableText"/>
            </w:pPr>
            <w:r w:rsidRPr="00C70D7F">
              <w:t>Off-peak</w:t>
            </w:r>
          </w:p>
        </w:tc>
      </w:tr>
      <w:tr w:rsidR="0041584B" w:rsidRPr="00C70D7F" w14:paraId="6966913B" w14:textId="77777777" w:rsidTr="0041584B">
        <w:trPr>
          <w:trHeight w:val="315"/>
        </w:trPr>
        <w:tc>
          <w:tcPr>
            <w:tcW w:w="399" w:type="pct"/>
            <w:noWrap/>
          </w:tcPr>
          <w:p w14:paraId="054DFA8C" w14:textId="77777777" w:rsidR="0041584B" w:rsidRPr="00C70D7F" w:rsidRDefault="0041584B" w:rsidP="0041584B">
            <w:pPr>
              <w:pStyle w:val="DCUSATableText"/>
            </w:pPr>
            <w:r w:rsidRPr="00C70D7F">
              <w:rPr>
                <w:lang w:val="en-US"/>
              </w:rPr>
              <w:t>Dem</w:t>
            </w:r>
          </w:p>
        </w:tc>
        <w:tc>
          <w:tcPr>
            <w:tcW w:w="365" w:type="pct"/>
            <w:vMerge w:val="restart"/>
          </w:tcPr>
          <w:p w14:paraId="1B917CAB" w14:textId="77777777" w:rsidR="0041584B" w:rsidRPr="00C70D7F" w:rsidRDefault="0041584B" w:rsidP="0041584B">
            <w:pPr>
              <w:pStyle w:val="DCUSATableText"/>
            </w:pPr>
            <w:r w:rsidRPr="00C70D7F">
              <w:rPr>
                <w:lang w:val="en-US"/>
              </w:rPr>
              <w:t>Node C</w:t>
            </w:r>
          </w:p>
        </w:tc>
        <w:tc>
          <w:tcPr>
            <w:tcW w:w="343" w:type="pct"/>
          </w:tcPr>
          <w:p w14:paraId="37685B40" w14:textId="77777777" w:rsidR="0041584B" w:rsidRPr="00C70D7F" w:rsidRDefault="0041584B" w:rsidP="0041584B">
            <w:pPr>
              <w:pStyle w:val="DCUSATableText"/>
            </w:pPr>
            <w:r w:rsidRPr="00C70D7F">
              <w:t>B5</w:t>
            </w:r>
          </w:p>
        </w:tc>
        <w:tc>
          <w:tcPr>
            <w:tcW w:w="334" w:type="pct"/>
            <w:noWrap/>
          </w:tcPr>
          <w:p w14:paraId="398189C1" w14:textId="77777777" w:rsidR="0041584B" w:rsidRPr="00C70D7F" w:rsidRDefault="0041584B" w:rsidP="0041584B">
            <w:pPr>
              <w:pStyle w:val="DCUSATableText"/>
            </w:pPr>
            <w:r w:rsidRPr="00C70D7F">
              <w:t>24.38</w:t>
            </w:r>
          </w:p>
        </w:tc>
        <w:tc>
          <w:tcPr>
            <w:tcW w:w="399" w:type="pct"/>
            <w:noWrap/>
          </w:tcPr>
          <w:p w14:paraId="398E9358" w14:textId="77777777" w:rsidR="0041584B" w:rsidRPr="00C70D7F" w:rsidRDefault="0041584B" w:rsidP="0041584B">
            <w:pPr>
              <w:pStyle w:val="DCUSATableText"/>
            </w:pPr>
            <w:r w:rsidRPr="00C70D7F">
              <w:t>34.70</w:t>
            </w:r>
          </w:p>
        </w:tc>
        <w:tc>
          <w:tcPr>
            <w:tcW w:w="535" w:type="pct"/>
            <w:noWrap/>
          </w:tcPr>
          <w:p w14:paraId="2DB775D4" w14:textId="77777777" w:rsidR="0041584B" w:rsidRPr="00C70D7F" w:rsidRDefault="0041584B" w:rsidP="0041584B">
            <w:pPr>
              <w:pStyle w:val="DCUSATableText"/>
            </w:pPr>
            <w:r w:rsidRPr="00C70D7F">
              <w:t>24.60</w:t>
            </w:r>
          </w:p>
        </w:tc>
        <w:tc>
          <w:tcPr>
            <w:tcW w:w="308" w:type="pct"/>
            <w:noWrap/>
          </w:tcPr>
          <w:p w14:paraId="72301E34" w14:textId="77777777" w:rsidR="0041584B" w:rsidRPr="00C70D7F" w:rsidRDefault="0041584B" w:rsidP="0041584B">
            <w:pPr>
              <w:pStyle w:val="DCUSATableText"/>
            </w:pPr>
            <w:r w:rsidRPr="00C70D7F">
              <w:t>35.48</w:t>
            </w:r>
          </w:p>
        </w:tc>
        <w:tc>
          <w:tcPr>
            <w:tcW w:w="308" w:type="pct"/>
            <w:noWrap/>
          </w:tcPr>
          <w:p w14:paraId="3B03A914" w14:textId="77777777" w:rsidR="0041584B" w:rsidRPr="00C70D7F" w:rsidRDefault="0041584B" w:rsidP="0041584B">
            <w:pPr>
              <w:pStyle w:val="DCUSATableText"/>
            </w:pPr>
            <w:r w:rsidRPr="00C70D7F">
              <w:t>34.58</w:t>
            </w:r>
          </w:p>
        </w:tc>
        <w:tc>
          <w:tcPr>
            <w:tcW w:w="587" w:type="pct"/>
            <w:noWrap/>
          </w:tcPr>
          <w:p w14:paraId="167A253B" w14:textId="77777777" w:rsidR="0041584B" w:rsidRPr="00C70D7F" w:rsidRDefault="0041584B" w:rsidP="0041584B">
            <w:pPr>
              <w:pStyle w:val="DCUSATableText"/>
            </w:pPr>
            <w:r w:rsidRPr="00C70D7F">
              <w:t>6576.14</w:t>
            </w:r>
          </w:p>
        </w:tc>
        <w:tc>
          <w:tcPr>
            <w:tcW w:w="587" w:type="pct"/>
            <w:noWrap/>
          </w:tcPr>
          <w:p w14:paraId="66F30E6A" w14:textId="77777777" w:rsidR="0041584B" w:rsidRPr="00C70D7F" w:rsidRDefault="0041584B" w:rsidP="0041584B">
            <w:pPr>
              <w:pStyle w:val="DCUSATableText"/>
            </w:pPr>
            <w:r w:rsidRPr="00C70D7F">
              <w:t>6984.45</w:t>
            </w:r>
          </w:p>
        </w:tc>
        <w:tc>
          <w:tcPr>
            <w:tcW w:w="451" w:type="pct"/>
            <w:noWrap/>
          </w:tcPr>
          <w:p w14:paraId="157CEB60" w14:textId="77777777" w:rsidR="0041584B" w:rsidRPr="00C70D7F" w:rsidRDefault="0041584B" w:rsidP="0041584B">
            <w:pPr>
              <w:pStyle w:val="DCUSATableText"/>
            </w:pPr>
            <w:r w:rsidRPr="00C70D7F">
              <w:t>408.32</w:t>
            </w:r>
          </w:p>
        </w:tc>
        <w:tc>
          <w:tcPr>
            <w:tcW w:w="385" w:type="pct"/>
            <w:noWrap/>
          </w:tcPr>
          <w:p w14:paraId="745E86CE" w14:textId="77777777" w:rsidR="0041584B" w:rsidRPr="00C70D7F" w:rsidRDefault="0041584B" w:rsidP="0041584B">
            <w:pPr>
              <w:pStyle w:val="DCUSATableText"/>
            </w:pPr>
            <w:r w:rsidRPr="00C70D7F">
              <w:t>Peak</w:t>
            </w:r>
          </w:p>
        </w:tc>
      </w:tr>
      <w:tr w:rsidR="0041584B" w:rsidRPr="00C70D7F" w14:paraId="0EAB61DD" w14:textId="77777777" w:rsidTr="0041584B">
        <w:trPr>
          <w:trHeight w:val="315"/>
        </w:trPr>
        <w:tc>
          <w:tcPr>
            <w:tcW w:w="399" w:type="pct"/>
            <w:noWrap/>
          </w:tcPr>
          <w:p w14:paraId="1EDE8324" w14:textId="77777777" w:rsidR="0041584B" w:rsidRPr="00C70D7F" w:rsidRDefault="0041584B" w:rsidP="0041584B">
            <w:pPr>
              <w:pStyle w:val="DCUSATableText"/>
            </w:pPr>
            <w:r w:rsidRPr="00C70D7F">
              <w:rPr>
                <w:lang w:val="en-US"/>
              </w:rPr>
              <w:t>Dem</w:t>
            </w:r>
          </w:p>
        </w:tc>
        <w:tc>
          <w:tcPr>
            <w:tcW w:w="365" w:type="pct"/>
            <w:vMerge/>
          </w:tcPr>
          <w:p w14:paraId="5959B579" w14:textId="77777777" w:rsidR="0041584B" w:rsidRPr="00C70D7F" w:rsidRDefault="0041584B" w:rsidP="0041584B">
            <w:pPr>
              <w:pStyle w:val="DCUSATableText"/>
            </w:pPr>
          </w:p>
        </w:tc>
        <w:tc>
          <w:tcPr>
            <w:tcW w:w="343" w:type="pct"/>
          </w:tcPr>
          <w:p w14:paraId="6193C20A" w14:textId="77777777" w:rsidR="0041584B" w:rsidRPr="00C70D7F" w:rsidRDefault="0041584B" w:rsidP="0041584B">
            <w:pPr>
              <w:pStyle w:val="DCUSATableText"/>
            </w:pPr>
            <w:r w:rsidRPr="00C70D7F">
              <w:t>B9</w:t>
            </w:r>
          </w:p>
        </w:tc>
        <w:tc>
          <w:tcPr>
            <w:tcW w:w="334" w:type="pct"/>
            <w:noWrap/>
          </w:tcPr>
          <w:p w14:paraId="7C87E6BA" w14:textId="77777777" w:rsidR="0041584B" w:rsidRPr="00C70D7F" w:rsidRDefault="0041584B" w:rsidP="0041584B">
            <w:pPr>
              <w:pStyle w:val="DCUSATableText"/>
            </w:pPr>
            <w:r w:rsidRPr="00C70D7F">
              <w:t>34.6</w:t>
            </w:r>
          </w:p>
        </w:tc>
        <w:tc>
          <w:tcPr>
            <w:tcW w:w="399" w:type="pct"/>
            <w:noWrap/>
          </w:tcPr>
          <w:p w14:paraId="04AB5965" w14:textId="77777777" w:rsidR="0041584B" w:rsidRPr="00C70D7F" w:rsidRDefault="0041584B" w:rsidP="0041584B">
            <w:pPr>
              <w:pStyle w:val="DCUSATableText"/>
            </w:pPr>
            <w:r w:rsidRPr="00C70D7F">
              <w:t>37.38</w:t>
            </w:r>
          </w:p>
        </w:tc>
        <w:tc>
          <w:tcPr>
            <w:tcW w:w="535" w:type="pct"/>
            <w:noWrap/>
          </w:tcPr>
          <w:p w14:paraId="3C9139DB" w14:textId="77777777" w:rsidR="0041584B" w:rsidRPr="00C70D7F" w:rsidRDefault="0041584B" w:rsidP="0041584B">
            <w:pPr>
              <w:pStyle w:val="DCUSATableText"/>
            </w:pPr>
            <w:r w:rsidRPr="00C70D7F">
              <w:t>34.44</w:t>
            </w:r>
          </w:p>
        </w:tc>
        <w:tc>
          <w:tcPr>
            <w:tcW w:w="308" w:type="pct"/>
            <w:noWrap/>
          </w:tcPr>
          <w:p w14:paraId="2A6548F2" w14:textId="77777777" w:rsidR="0041584B" w:rsidRPr="00C70D7F" w:rsidRDefault="0041584B" w:rsidP="0041584B">
            <w:pPr>
              <w:pStyle w:val="DCUSATableText"/>
            </w:pPr>
            <w:r w:rsidRPr="00C70D7F">
              <w:t>7.77</w:t>
            </w:r>
          </w:p>
        </w:tc>
        <w:tc>
          <w:tcPr>
            <w:tcW w:w="308" w:type="pct"/>
            <w:noWrap/>
          </w:tcPr>
          <w:p w14:paraId="0AAC4336" w14:textId="77777777" w:rsidR="0041584B" w:rsidRPr="00C70D7F" w:rsidRDefault="0041584B" w:rsidP="0041584B">
            <w:pPr>
              <w:pStyle w:val="DCUSATableText"/>
            </w:pPr>
            <w:r w:rsidRPr="00C70D7F">
              <w:t>8.24</w:t>
            </w:r>
          </w:p>
        </w:tc>
        <w:tc>
          <w:tcPr>
            <w:tcW w:w="587" w:type="pct"/>
            <w:noWrap/>
          </w:tcPr>
          <w:p w14:paraId="0D9B1330" w14:textId="77777777" w:rsidR="0041584B" w:rsidRPr="00C70D7F" w:rsidRDefault="0041584B" w:rsidP="0041584B">
            <w:pPr>
              <w:pStyle w:val="DCUSATableText"/>
            </w:pPr>
            <w:r w:rsidRPr="00C70D7F">
              <w:t>41784.75</w:t>
            </w:r>
          </w:p>
        </w:tc>
        <w:tc>
          <w:tcPr>
            <w:tcW w:w="587" w:type="pct"/>
            <w:noWrap/>
          </w:tcPr>
          <w:p w14:paraId="113BBE21" w14:textId="77777777" w:rsidR="0041584B" w:rsidRPr="00C70D7F" w:rsidRDefault="0041584B" w:rsidP="0041584B">
            <w:pPr>
              <w:pStyle w:val="DCUSATableText"/>
            </w:pPr>
            <w:r w:rsidRPr="00C70D7F">
              <w:t>40506.03</w:t>
            </w:r>
          </w:p>
        </w:tc>
        <w:tc>
          <w:tcPr>
            <w:tcW w:w="451" w:type="pct"/>
            <w:noWrap/>
          </w:tcPr>
          <w:p w14:paraId="3BF9B97A" w14:textId="77777777" w:rsidR="0041584B" w:rsidRPr="00C70D7F" w:rsidRDefault="0041584B" w:rsidP="0041584B">
            <w:pPr>
              <w:pStyle w:val="DCUSATableText"/>
            </w:pPr>
            <w:r w:rsidRPr="00C70D7F">
              <w:t>-1278.73</w:t>
            </w:r>
          </w:p>
        </w:tc>
        <w:tc>
          <w:tcPr>
            <w:tcW w:w="385" w:type="pct"/>
            <w:noWrap/>
          </w:tcPr>
          <w:p w14:paraId="764D4DB7" w14:textId="77777777" w:rsidR="0041584B" w:rsidRPr="00C70D7F" w:rsidRDefault="0041584B" w:rsidP="0041584B">
            <w:pPr>
              <w:pStyle w:val="DCUSATableText"/>
            </w:pPr>
            <w:r w:rsidRPr="00C70D7F">
              <w:t>Peak</w:t>
            </w:r>
          </w:p>
        </w:tc>
      </w:tr>
      <w:tr w:rsidR="0041584B" w:rsidRPr="00C70D7F" w14:paraId="4818288E" w14:textId="77777777" w:rsidTr="0041584B">
        <w:trPr>
          <w:trHeight w:val="315"/>
        </w:trPr>
        <w:tc>
          <w:tcPr>
            <w:tcW w:w="399" w:type="pct"/>
            <w:noWrap/>
          </w:tcPr>
          <w:p w14:paraId="5FD622D7" w14:textId="77777777" w:rsidR="0041584B" w:rsidRPr="00C70D7F" w:rsidRDefault="0041584B" w:rsidP="0041584B">
            <w:pPr>
              <w:pStyle w:val="DCUSATableText"/>
            </w:pPr>
            <w:r w:rsidRPr="00C70D7F">
              <w:rPr>
                <w:lang w:val="en-US"/>
              </w:rPr>
              <w:t>Dem</w:t>
            </w:r>
          </w:p>
        </w:tc>
        <w:tc>
          <w:tcPr>
            <w:tcW w:w="365" w:type="pct"/>
            <w:vMerge/>
          </w:tcPr>
          <w:p w14:paraId="35037DDA" w14:textId="77777777" w:rsidR="0041584B" w:rsidRPr="00C70D7F" w:rsidRDefault="0041584B" w:rsidP="0041584B">
            <w:pPr>
              <w:pStyle w:val="DCUSATableText"/>
            </w:pPr>
          </w:p>
        </w:tc>
        <w:tc>
          <w:tcPr>
            <w:tcW w:w="343" w:type="pct"/>
          </w:tcPr>
          <w:p w14:paraId="61FFF5AD" w14:textId="77777777" w:rsidR="0041584B" w:rsidRPr="00C70D7F" w:rsidRDefault="0041584B" w:rsidP="0041584B">
            <w:pPr>
              <w:pStyle w:val="DCUSATableText"/>
            </w:pPr>
            <w:r w:rsidRPr="00C70D7F">
              <w:t>B1</w:t>
            </w:r>
          </w:p>
        </w:tc>
        <w:tc>
          <w:tcPr>
            <w:tcW w:w="334" w:type="pct"/>
            <w:noWrap/>
          </w:tcPr>
          <w:p w14:paraId="3380D3C0" w14:textId="77777777" w:rsidR="0041584B" w:rsidRPr="00C70D7F" w:rsidRDefault="0041584B" w:rsidP="0041584B">
            <w:pPr>
              <w:pStyle w:val="DCUSATableText"/>
            </w:pPr>
            <w:r w:rsidRPr="00C70D7F">
              <w:t>26.85</w:t>
            </w:r>
          </w:p>
        </w:tc>
        <w:tc>
          <w:tcPr>
            <w:tcW w:w="399" w:type="pct"/>
            <w:noWrap/>
          </w:tcPr>
          <w:p w14:paraId="704847C9" w14:textId="77777777" w:rsidR="0041584B" w:rsidRPr="00C70D7F" w:rsidRDefault="0041584B" w:rsidP="0041584B">
            <w:pPr>
              <w:pStyle w:val="DCUSATableText"/>
            </w:pPr>
            <w:r w:rsidRPr="00C70D7F">
              <w:t>37.99</w:t>
            </w:r>
          </w:p>
        </w:tc>
        <w:tc>
          <w:tcPr>
            <w:tcW w:w="535" w:type="pct"/>
            <w:noWrap/>
          </w:tcPr>
          <w:p w14:paraId="1FF6DE76" w14:textId="77777777" w:rsidR="0041584B" w:rsidRPr="00C70D7F" w:rsidRDefault="0041584B" w:rsidP="0041584B">
            <w:pPr>
              <w:pStyle w:val="DCUSATableText"/>
            </w:pPr>
            <w:r w:rsidRPr="00C70D7F">
              <w:t>26.74</w:t>
            </w:r>
          </w:p>
        </w:tc>
        <w:tc>
          <w:tcPr>
            <w:tcW w:w="308" w:type="pct"/>
            <w:noWrap/>
          </w:tcPr>
          <w:p w14:paraId="5CC112D5" w14:textId="77777777" w:rsidR="0041584B" w:rsidRPr="00C70D7F" w:rsidRDefault="0041584B" w:rsidP="0041584B">
            <w:pPr>
              <w:pStyle w:val="DCUSATableText"/>
            </w:pPr>
            <w:r w:rsidRPr="00C70D7F">
              <w:t>34.87</w:t>
            </w:r>
          </w:p>
        </w:tc>
        <w:tc>
          <w:tcPr>
            <w:tcW w:w="308" w:type="pct"/>
            <w:noWrap/>
          </w:tcPr>
          <w:p w14:paraId="75FC5788" w14:textId="77777777" w:rsidR="0041584B" w:rsidRPr="00C70D7F" w:rsidRDefault="0041584B" w:rsidP="0041584B">
            <w:pPr>
              <w:pStyle w:val="DCUSATableText"/>
            </w:pPr>
            <w:r w:rsidRPr="00C70D7F">
              <w:t>35.29</w:t>
            </w:r>
          </w:p>
        </w:tc>
        <w:tc>
          <w:tcPr>
            <w:tcW w:w="587" w:type="pct"/>
            <w:noWrap/>
          </w:tcPr>
          <w:p w14:paraId="6CB6FAA8" w14:textId="77777777" w:rsidR="0041584B" w:rsidRPr="00C70D7F" w:rsidRDefault="0041584B" w:rsidP="0041584B">
            <w:pPr>
              <w:pStyle w:val="DCUSATableText"/>
            </w:pPr>
            <w:r w:rsidRPr="00C70D7F">
              <w:t>8366.34</w:t>
            </w:r>
          </w:p>
        </w:tc>
        <w:tc>
          <w:tcPr>
            <w:tcW w:w="587" w:type="pct"/>
            <w:noWrap/>
          </w:tcPr>
          <w:p w14:paraId="42BB01C8" w14:textId="77777777" w:rsidR="0041584B" w:rsidRPr="00C70D7F" w:rsidRDefault="0041584B" w:rsidP="0041584B">
            <w:pPr>
              <w:pStyle w:val="DCUSATableText"/>
            </w:pPr>
            <w:r w:rsidRPr="00C70D7F">
              <w:t>8139.17</w:t>
            </w:r>
          </w:p>
        </w:tc>
        <w:tc>
          <w:tcPr>
            <w:tcW w:w="451" w:type="pct"/>
            <w:noWrap/>
          </w:tcPr>
          <w:p w14:paraId="1B402E26" w14:textId="77777777" w:rsidR="0041584B" w:rsidRPr="00C70D7F" w:rsidRDefault="0041584B" w:rsidP="0041584B">
            <w:pPr>
              <w:pStyle w:val="DCUSATableText"/>
            </w:pPr>
            <w:r w:rsidRPr="00C70D7F">
              <w:t>-227.17</w:t>
            </w:r>
          </w:p>
        </w:tc>
        <w:tc>
          <w:tcPr>
            <w:tcW w:w="385" w:type="pct"/>
            <w:noWrap/>
          </w:tcPr>
          <w:p w14:paraId="08372F24" w14:textId="77777777" w:rsidR="0041584B" w:rsidRPr="00C70D7F" w:rsidRDefault="0041584B" w:rsidP="0041584B">
            <w:pPr>
              <w:pStyle w:val="DCUSATableText"/>
            </w:pPr>
            <w:r w:rsidRPr="00C70D7F">
              <w:t>Peak</w:t>
            </w:r>
          </w:p>
        </w:tc>
      </w:tr>
      <w:tr w:rsidR="0041584B" w:rsidRPr="00C70D7F" w14:paraId="01E5EE4E" w14:textId="77777777" w:rsidTr="0041584B">
        <w:trPr>
          <w:trHeight w:val="315"/>
        </w:trPr>
        <w:tc>
          <w:tcPr>
            <w:tcW w:w="399" w:type="pct"/>
            <w:noWrap/>
          </w:tcPr>
          <w:p w14:paraId="61D8BD6E" w14:textId="77777777" w:rsidR="0041584B" w:rsidRPr="00C70D7F" w:rsidRDefault="0041584B" w:rsidP="0041584B">
            <w:pPr>
              <w:pStyle w:val="DCUSATableText"/>
            </w:pPr>
            <w:r w:rsidRPr="00C70D7F">
              <w:rPr>
                <w:lang w:val="en-US"/>
              </w:rPr>
              <w:t>Dem</w:t>
            </w:r>
          </w:p>
        </w:tc>
        <w:tc>
          <w:tcPr>
            <w:tcW w:w="365" w:type="pct"/>
            <w:vMerge/>
          </w:tcPr>
          <w:p w14:paraId="52E809BD" w14:textId="77777777" w:rsidR="0041584B" w:rsidRPr="00C70D7F" w:rsidRDefault="0041584B" w:rsidP="0041584B">
            <w:pPr>
              <w:pStyle w:val="DCUSATableText"/>
            </w:pPr>
          </w:p>
        </w:tc>
        <w:tc>
          <w:tcPr>
            <w:tcW w:w="343" w:type="pct"/>
          </w:tcPr>
          <w:p w14:paraId="2ACA7D44" w14:textId="77777777" w:rsidR="0041584B" w:rsidRPr="00C70D7F" w:rsidRDefault="0041584B" w:rsidP="0041584B">
            <w:pPr>
              <w:pStyle w:val="DCUSATableText"/>
            </w:pPr>
            <w:r w:rsidRPr="00C70D7F">
              <w:t>B3</w:t>
            </w:r>
          </w:p>
        </w:tc>
        <w:tc>
          <w:tcPr>
            <w:tcW w:w="334" w:type="pct"/>
            <w:noWrap/>
          </w:tcPr>
          <w:p w14:paraId="353458DE" w14:textId="77777777" w:rsidR="0041584B" w:rsidRPr="00C70D7F" w:rsidRDefault="0041584B" w:rsidP="0041584B">
            <w:pPr>
              <w:pStyle w:val="DCUSATableText"/>
            </w:pPr>
            <w:r w:rsidRPr="00C70D7F">
              <w:t>13.62</w:t>
            </w:r>
          </w:p>
        </w:tc>
        <w:tc>
          <w:tcPr>
            <w:tcW w:w="399" w:type="pct"/>
            <w:noWrap/>
          </w:tcPr>
          <w:p w14:paraId="34421B35" w14:textId="77777777" w:rsidR="0041584B" w:rsidRPr="00C70D7F" w:rsidRDefault="0041584B" w:rsidP="0041584B">
            <w:pPr>
              <w:pStyle w:val="DCUSATableText"/>
            </w:pPr>
            <w:r w:rsidRPr="00C70D7F">
              <w:t>33.25</w:t>
            </w:r>
          </w:p>
        </w:tc>
        <w:tc>
          <w:tcPr>
            <w:tcW w:w="535" w:type="pct"/>
            <w:noWrap/>
          </w:tcPr>
          <w:p w14:paraId="671AA2EF" w14:textId="77777777" w:rsidR="0041584B" w:rsidRPr="00C70D7F" w:rsidRDefault="0041584B" w:rsidP="0041584B">
            <w:pPr>
              <w:pStyle w:val="DCUSATableText"/>
            </w:pPr>
            <w:r w:rsidRPr="00C70D7F">
              <w:t>13.57</w:t>
            </w:r>
          </w:p>
        </w:tc>
        <w:tc>
          <w:tcPr>
            <w:tcW w:w="308" w:type="pct"/>
            <w:noWrap/>
          </w:tcPr>
          <w:p w14:paraId="03E98D22" w14:textId="77777777" w:rsidR="0041584B" w:rsidRPr="00C70D7F" w:rsidRDefault="0041584B" w:rsidP="0041584B">
            <w:pPr>
              <w:pStyle w:val="DCUSATableText"/>
            </w:pPr>
            <w:r w:rsidRPr="00C70D7F">
              <w:t>89.69</w:t>
            </w:r>
          </w:p>
        </w:tc>
        <w:tc>
          <w:tcPr>
            <w:tcW w:w="308" w:type="pct"/>
            <w:noWrap/>
          </w:tcPr>
          <w:p w14:paraId="31D810D1" w14:textId="77777777" w:rsidR="0041584B" w:rsidRPr="00C70D7F" w:rsidRDefault="0041584B" w:rsidP="0041584B">
            <w:pPr>
              <w:pStyle w:val="DCUSATableText"/>
            </w:pPr>
            <w:r w:rsidRPr="00C70D7F">
              <w:t>90.06</w:t>
            </w:r>
          </w:p>
        </w:tc>
        <w:tc>
          <w:tcPr>
            <w:tcW w:w="587" w:type="pct"/>
            <w:noWrap/>
          </w:tcPr>
          <w:p w14:paraId="4909F5FF" w14:textId="77777777" w:rsidR="0041584B" w:rsidRPr="00C70D7F" w:rsidRDefault="0041584B" w:rsidP="0041584B">
            <w:pPr>
              <w:pStyle w:val="DCUSATableText"/>
            </w:pPr>
            <w:r w:rsidRPr="00C70D7F">
              <w:t>431.65</w:t>
            </w:r>
          </w:p>
        </w:tc>
        <w:tc>
          <w:tcPr>
            <w:tcW w:w="587" w:type="pct"/>
            <w:noWrap/>
          </w:tcPr>
          <w:p w14:paraId="1E2F09D6" w14:textId="77777777" w:rsidR="0041584B" w:rsidRPr="00C70D7F" w:rsidRDefault="0041584B" w:rsidP="0041584B">
            <w:pPr>
              <w:pStyle w:val="DCUSATableText"/>
            </w:pPr>
            <w:r w:rsidRPr="00C70D7F">
              <w:t>421.13</w:t>
            </w:r>
          </w:p>
        </w:tc>
        <w:tc>
          <w:tcPr>
            <w:tcW w:w="451" w:type="pct"/>
            <w:noWrap/>
          </w:tcPr>
          <w:p w14:paraId="0D991430" w14:textId="77777777" w:rsidR="0041584B" w:rsidRPr="00C70D7F" w:rsidRDefault="0041584B" w:rsidP="0041584B">
            <w:pPr>
              <w:pStyle w:val="DCUSATableText"/>
            </w:pPr>
            <w:r w:rsidRPr="00C70D7F">
              <w:t>-10.52</w:t>
            </w:r>
          </w:p>
        </w:tc>
        <w:tc>
          <w:tcPr>
            <w:tcW w:w="385" w:type="pct"/>
            <w:noWrap/>
          </w:tcPr>
          <w:p w14:paraId="44A826D1" w14:textId="77777777" w:rsidR="0041584B" w:rsidRPr="00C70D7F" w:rsidRDefault="0041584B" w:rsidP="0041584B">
            <w:pPr>
              <w:pStyle w:val="DCUSATableText"/>
            </w:pPr>
            <w:r w:rsidRPr="00C70D7F">
              <w:t>Off-peak</w:t>
            </w:r>
          </w:p>
        </w:tc>
      </w:tr>
      <w:tr w:rsidR="0041584B" w:rsidRPr="00C70D7F" w14:paraId="5682E9F9" w14:textId="77777777" w:rsidTr="0041584B">
        <w:trPr>
          <w:trHeight w:val="315"/>
        </w:trPr>
        <w:tc>
          <w:tcPr>
            <w:tcW w:w="399" w:type="pct"/>
            <w:noWrap/>
          </w:tcPr>
          <w:p w14:paraId="6CF3D9A9" w14:textId="77777777" w:rsidR="0041584B" w:rsidRPr="00C70D7F" w:rsidRDefault="0041584B" w:rsidP="0041584B">
            <w:pPr>
              <w:pStyle w:val="DCUSATableText"/>
            </w:pPr>
            <w:r w:rsidRPr="00C70D7F">
              <w:rPr>
                <w:lang w:val="en-US"/>
              </w:rPr>
              <w:t>Dem</w:t>
            </w:r>
          </w:p>
        </w:tc>
        <w:tc>
          <w:tcPr>
            <w:tcW w:w="365" w:type="pct"/>
            <w:vMerge/>
          </w:tcPr>
          <w:p w14:paraId="61F2127E" w14:textId="77777777" w:rsidR="0041584B" w:rsidRPr="00C70D7F" w:rsidRDefault="0041584B" w:rsidP="0041584B">
            <w:pPr>
              <w:pStyle w:val="DCUSATableText"/>
            </w:pPr>
          </w:p>
        </w:tc>
        <w:tc>
          <w:tcPr>
            <w:tcW w:w="343" w:type="pct"/>
          </w:tcPr>
          <w:p w14:paraId="1EBC647C" w14:textId="77777777" w:rsidR="0041584B" w:rsidRPr="00C70D7F" w:rsidRDefault="0041584B" w:rsidP="0041584B">
            <w:pPr>
              <w:pStyle w:val="DCUSATableText"/>
            </w:pPr>
            <w:r w:rsidRPr="00C70D7F">
              <w:t>B8</w:t>
            </w:r>
          </w:p>
        </w:tc>
        <w:tc>
          <w:tcPr>
            <w:tcW w:w="334" w:type="pct"/>
            <w:noWrap/>
          </w:tcPr>
          <w:p w14:paraId="3C67B46D" w14:textId="77777777" w:rsidR="0041584B" w:rsidRPr="00C70D7F" w:rsidRDefault="0041584B" w:rsidP="0041584B">
            <w:pPr>
              <w:pStyle w:val="DCUSATableText"/>
            </w:pPr>
            <w:r w:rsidRPr="00C70D7F">
              <w:t>34.72</w:t>
            </w:r>
          </w:p>
        </w:tc>
        <w:tc>
          <w:tcPr>
            <w:tcW w:w="399" w:type="pct"/>
            <w:noWrap/>
          </w:tcPr>
          <w:p w14:paraId="71818918" w14:textId="77777777" w:rsidR="0041584B" w:rsidRPr="00C70D7F" w:rsidRDefault="0041584B" w:rsidP="0041584B">
            <w:pPr>
              <w:pStyle w:val="DCUSATableText"/>
            </w:pPr>
            <w:r w:rsidRPr="00C70D7F">
              <w:t>37.18</w:t>
            </w:r>
          </w:p>
        </w:tc>
        <w:tc>
          <w:tcPr>
            <w:tcW w:w="535" w:type="pct"/>
            <w:noWrap/>
          </w:tcPr>
          <w:p w14:paraId="11755336" w14:textId="77777777" w:rsidR="0041584B" w:rsidRPr="00C70D7F" w:rsidRDefault="0041584B" w:rsidP="0041584B">
            <w:pPr>
              <w:pStyle w:val="DCUSATableText"/>
            </w:pPr>
            <w:r w:rsidRPr="00C70D7F">
              <w:t>34.56</w:t>
            </w:r>
          </w:p>
        </w:tc>
        <w:tc>
          <w:tcPr>
            <w:tcW w:w="308" w:type="pct"/>
            <w:noWrap/>
          </w:tcPr>
          <w:p w14:paraId="5D05EAE6" w14:textId="77777777" w:rsidR="0041584B" w:rsidRPr="00C70D7F" w:rsidRDefault="0041584B" w:rsidP="0041584B">
            <w:pPr>
              <w:pStyle w:val="DCUSATableText"/>
            </w:pPr>
            <w:r w:rsidRPr="00C70D7F">
              <w:t>6.89</w:t>
            </w:r>
          </w:p>
        </w:tc>
        <w:tc>
          <w:tcPr>
            <w:tcW w:w="308" w:type="pct"/>
            <w:noWrap/>
          </w:tcPr>
          <w:p w14:paraId="471160CE" w14:textId="77777777" w:rsidR="0041584B" w:rsidRPr="00C70D7F" w:rsidRDefault="0041584B" w:rsidP="0041584B">
            <w:pPr>
              <w:pStyle w:val="DCUSATableText"/>
            </w:pPr>
            <w:r w:rsidRPr="00C70D7F">
              <w:t>7.35</w:t>
            </w:r>
          </w:p>
        </w:tc>
        <w:tc>
          <w:tcPr>
            <w:tcW w:w="587" w:type="pct"/>
            <w:noWrap/>
          </w:tcPr>
          <w:p w14:paraId="00BBA438" w14:textId="77777777" w:rsidR="0041584B" w:rsidRPr="00C70D7F" w:rsidRDefault="0041584B" w:rsidP="0041584B">
            <w:pPr>
              <w:pStyle w:val="DCUSATableText"/>
            </w:pPr>
            <w:r w:rsidRPr="00C70D7F">
              <w:t>54128.66</w:t>
            </w:r>
          </w:p>
        </w:tc>
        <w:tc>
          <w:tcPr>
            <w:tcW w:w="587" w:type="pct"/>
            <w:noWrap/>
          </w:tcPr>
          <w:p w14:paraId="3997A29B" w14:textId="77777777" w:rsidR="0041584B" w:rsidRPr="00C70D7F" w:rsidRDefault="0041584B" w:rsidP="0041584B">
            <w:pPr>
              <w:pStyle w:val="DCUSATableText"/>
            </w:pPr>
            <w:r w:rsidRPr="00C70D7F">
              <w:t>52477.83</w:t>
            </w:r>
          </w:p>
        </w:tc>
        <w:tc>
          <w:tcPr>
            <w:tcW w:w="451" w:type="pct"/>
            <w:noWrap/>
          </w:tcPr>
          <w:p w14:paraId="0945D8DF" w14:textId="77777777" w:rsidR="0041584B" w:rsidRPr="00C70D7F" w:rsidRDefault="0041584B" w:rsidP="0041584B">
            <w:pPr>
              <w:pStyle w:val="DCUSATableText"/>
            </w:pPr>
            <w:r w:rsidRPr="00C70D7F">
              <w:t>-1650.84</w:t>
            </w:r>
          </w:p>
        </w:tc>
        <w:tc>
          <w:tcPr>
            <w:tcW w:w="385" w:type="pct"/>
            <w:noWrap/>
          </w:tcPr>
          <w:p w14:paraId="579DA9AB" w14:textId="77777777" w:rsidR="0041584B" w:rsidRPr="00C70D7F" w:rsidRDefault="0041584B" w:rsidP="0041584B">
            <w:pPr>
              <w:pStyle w:val="DCUSATableText"/>
            </w:pPr>
            <w:r w:rsidRPr="00C70D7F">
              <w:t>Peak</w:t>
            </w:r>
          </w:p>
        </w:tc>
      </w:tr>
      <w:tr w:rsidR="0041584B" w:rsidRPr="00C70D7F" w14:paraId="173C6B10" w14:textId="77777777" w:rsidTr="0041584B">
        <w:trPr>
          <w:trHeight w:val="315"/>
        </w:trPr>
        <w:tc>
          <w:tcPr>
            <w:tcW w:w="399" w:type="pct"/>
            <w:noWrap/>
          </w:tcPr>
          <w:p w14:paraId="7756E206" w14:textId="77777777" w:rsidR="0041584B" w:rsidRPr="00C70D7F" w:rsidRDefault="0041584B" w:rsidP="0041584B">
            <w:pPr>
              <w:pStyle w:val="DCUSATableText"/>
            </w:pPr>
            <w:r w:rsidRPr="00C70D7F">
              <w:rPr>
                <w:lang w:val="en-US"/>
              </w:rPr>
              <w:t>Dem</w:t>
            </w:r>
          </w:p>
        </w:tc>
        <w:tc>
          <w:tcPr>
            <w:tcW w:w="365" w:type="pct"/>
            <w:vMerge/>
          </w:tcPr>
          <w:p w14:paraId="5B2A07F3" w14:textId="77777777" w:rsidR="0041584B" w:rsidRPr="00C70D7F" w:rsidRDefault="0041584B" w:rsidP="0041584B">
            <w:pPr>
              <w:pStyle w:val="DCUSATableText"/>
            </w:pPr>
          </w:p>
        </w:tc>
        <w:tc>
          <w:tcPr>
            <w:tcW w:w="343" w:type="pct"/>
          </w:tcPr>
          <w:p w14:paraId="767FD435" w14:textId="77777777" w:rsidR="0041584B" w:rsidRPr="00C70D7F" w:rsidRDefault="0041584B" w:rsidP="0041584B">
            <w:pPr>
              <w:pStyle w:val="DCUSATableText"/>
            </w:pPr>
            <w:r w:rsidRPr="00C70D7F">
              <w:t>B2</w:t>
            </w:r>
          </w:p>
        </w:tc>
        <w:tc>
          <w:tcPr>
            <w:tcW w:w="334" w:type="pct"/>
            <w:noWrap/>
          </w:tcPr>
          <w:p w14:paraId="20FCFAC7" w14:textId="77777777" w:rsidR="0041584B" w:rsidRPr="00C70D7F" w:rsidRDefault="0041584B" w:rsidP="0041584B">
            <w:pPr>
              <w:pStyle w:val="DCUSATableText"/>
            </w:pPr>
            <w:r w:rsidRPr="00C70D7F">
              <w:t>26.77</w:t>
            </w:r>
          </w:p>
        </w:tc>
        <w:tc>
          <w:tcPr>
            <w:tcW w:w="399" w:type="pct"/>
            <w:noWrap/>
          </w:tcPr>
          <w:p w14:paraId="242D7225" w14:textId="77777777" w:rsidR="0041584B" w:rsidRPr="00C70D7F" w:rsidRDefault="0041584B" w:rsidP="0041584B">
            <w:pPr>
              <w:pStyle w:val="DCUSATableText"/>
            </w:pPr>
            <w:r w:rsidRPr="00C70D7F">
              <w:t>38.13</w:t>
            </w:r>
          </w:p>
        </w:tc>
        <w:tc>
          <w:tcPr>
            <w:tcW w:w="535" w:type="pct"/>
            <w:noWrap/>
          </w:tcPr>
          <w:p w14:paraId="7E80C4B6" w14:textId="77777777" w:rsidR="0041584B" w:rsidRPr="00C70D7F" w:rsidRDefault="0041584B" w:rsidP="0041584B">
            <w:pPr>
              <w:pStyle w:val="DCUSATableText"/>
            </w:pPr>
            <w:r w:rsidRPr="00C70D7F">
              <w:t>26.66</w:t>
            </w:r>
          </w:p>
        </w:tc>
        <w:tc>
          <w:tcPr>
            <w:tcW w:w="308" w:type="pct"/>
            <w:noWrap/>
          </w:tcPr>
          <w:p w14:paraId="2D078111" w14:textId="77777777" w:rsidR="0041584B" w:rsidRPr="00C70D7F" w:rsidRDefault="0041584B" w:rsidP="0041584B">
            <w:pPr>
              <w:pStyle w:val="DCUSATableText"/>
            </w:pPr>
            <w:r w:rsidRPr="00C70D7F">
              <w:t>35.54</w:t>
            </w:r>
          </w:p>
        </w:tc>
        <w:tc>
          <w:tcPr>
            <w:tcW w:w="308" w:type="pct"/>
            <w:noWrap/>
          </w:tcPr>
          <w:p w14:paraId="13EF21E6" w14:textId="77777777" w:rsidR="0041584B" w:rsidRPr="00C70D7F" w:rsidRDefault="0041584B" w:rsidP="0041584B">
            <w:pPr>
              <w:pStyle w:val="DCUSATableText"/>
            </w:pPr>
            <w:r w:rsidRPr="00C70D7F">
              <w:t>35.95</w:t>
            </w:r>
          </w:p>
        </w:tc>
        <w:tc>
          <w:tcPr>
            <w:tcW w:w="587" w:type="pct"/>
            <w:noWrap/>
          </w:tcPr>
          <w:p w14:paraId="57F43B49" w14:textId="77777777" w:rsidR="0041584B" w:rsidRPr="00C70D7F" w:rsidRDefault="0041584B" w:rsidP="0041584B">
            <w:pPr>
              <w:pStyle w:val="DCUSATableText"/>
            </w:pPr>
            <w:r w:rsidRPr="00C70D7F">
              <w:t>6551.07</w:t>
            </w:r>
          </w:p>
        </w:tc>
        <w:tc>
          <w:tcPr>
            <w:tcW w:w="587" w:type="pct"/>
            <w:noWrap/>
          </w:tcPr>
          <w:p w14:paraId="4F934B57" w14:textId="77777777" w:rsidR="0041584B" w:rsidRPr="00C70D7F" w:rsidRDefault="0041584B" w:rsidP="0041584B">
            <w:pPr>
              <w:pStyle w:val="DCUSATableText"/>
            </w:pPr>
            <w:r w:rsidRPr="00C70D7F">
              <w:t>6372.66</w:t>
            </w:r>
          </w:p>
        </w:tc>
        <w:tc>
          <w:tcPr>
            <w:tcW w:w="451" w:type="pct"/>
            <w:noWrap/>
          </w:tcPr>
          <w:p w14:paraId="60BE310E" w14:textId="77777777" w:rsidR="0041584B" w:rsidRPr="00C70D7F" w:rsidRDefault="0041584B" w:rsidP="0041584B">
            <w:pPr>
              <w:pStyle w:val="DCUSATableText"/>
            </w:pPr>
            <w:r w:rsidRPr="00C70D7F">
              <w:t>-178.41</w:t>
            </w:r>
          </w:p>
        </w:tc>
        <w:tc>
          <w:tcPr>
            <w:tcW w:w="385" w:type="pct"/>
            <w:noWrap/>
          </w:tcPr>
          <w:p w14:paraId="7B6CC7DD" w14:textId="77777777" w:rsidR="0041584B" w:rsidRPr="00C70D7F" w:rsidRDefault="0041584B" w:rsidP="0041584B">
            <w:pPr>
              <w:pStyle w:val="DCUSATableText"/>
            </w:pPr>
            <w:r w:rsidRPr="00C70D7F">
              <w:t>Peak</w:t>
            </w:r>
          </w:p>
        </w:tc>
      </w:tr>
      <w:tr w:rsidR="0041584B" w:rsidRPr="00C70D7F" w14:paraId="3BB23453" w14:textId="77777777" w:rsidTr="0041584B">
        <w:trPr>
          <w:trHeight w:val="315"/>
        </w:trPr>
        <w:tc>
          <w:tcPr>
            <w:tcW w:w="399" w:type="pct"/>
            <w:noWrap/>
          </w:tcPr>
          <w:p w14:paraId="03E40F5F" w14:textId="77777777" w:rsidR="0041584B" w:rsidRPr="00C70D7F" w:rsidRDefault="0041584B" w:rsidP="0041584B">
            <w:pPr>
              <w:pStyle w:val="DCUSATableText"/>
            </w:pPr>
            <w:r w:rsidRPr="00C70D7F">
              <w:rPr>
                <w:lang w:val="en-US"/>
              </w:rPr>
              <w:t>Dem</w:t>
            </w:r>
          </w:p>
        </w:tc>
        <w:tc>
          <w:tcPr>
            <w:tcW w:w="365" w:type="pct"/>
            <w:vMerge/>
          </w:tcPr>
          <w:p w14:paraId="5F2E58B9" w14:textId="77777777" w:rsidR="0041584B" w:rsidRPr="00C70D7F" w:rsidRDefault="0041584B" w:rsidP="0041584B">
            <w:pPr>
              <w:pStyle w:val="DCUSATableText"/>
            </w:pPr>
          </w:p>
        </w:tc>
        <w:tc>
          <w:tcPr>
            <w:tcW w:w="343" w:type="pct"/>
          </w:tcPr>
          <w:p w14:paraId="100E874E" w14:textId="77777777" w:rsidR="0041584B" w:rsidRPr="00C70D7F" w:rsidRDefault="0041584B" w:rsidP="0041584B">
            <w:pPr>
              <w:pStyle w:val="DCUSATableText"/>
            </w:pPr>
            <w:r w:rsidRPr="00C70D7F">
              <w:t>B4</w:t>
            </w:r>
          </w:p>
        </w:tc>
        <w:tc>
          <w:tcPr>
            <w:tcW w:w="334" w:type="pct"/>
            <w:noWrap/>
          </w:tcPr>
          <w:p w14:paraId="18696380" w14:textId="77777777" w:rsidR="0041584B" w:rsidRPr="00C70D7F" w:rsidRDefault="0041584B" w:rsidP="0041584B">
            <w:pPr>
              <w:pStyle w:val="DCUSATableText"/>
            </w:pPr>
            <w:r w:rsidRPr="00C70D7F">
              <w:t>24.4</w:t>
            </w:r>
          </w:p>
        </w:tc>
        <w:tc>
          <w:tcPr>
            <w:tcW w:w="399" w:type="pct"/>
            <w:noWrap/>
          </w:tcPr>
          <w:p w14:paraId="1E1AE6C4" w14:textId="77777777" w:rsidR="0041584B" w:rsidRPr="00C70D7F" w:rsidRDefault="0041584B" w:rsidP="0041584B">
            <w:pPr>
              <w:pStyle w:val="DCUSATableText"/>
            </w:pPr>
            <w:r w:rsidRPr="00C70D7F">
              <w:t>34.64</w:t>
            </w:r>
          </w:p>
        </w:tc>
        <w:tc>
          <w:tcPr>
            <w:tcW w:w="535" w:type="pct"/>
            <w:noWrap/>
          </w:tcPr>
          <w:p w14:paraId="0913A8B3" w14:textId="77777777" w:rsidR="0041584B" w:rsidRPr="00C70D7F" w:rsidRDefault="0041584B" w:rsidP="0041584B">
            <w:pPr>
              <w:pStyle w:val="DCUSATableText"/>
            </w:pPr>
            <w:r w:rsidRPr="00C70D7F">
              <w:t>24.63</w:t>
            </w:r>
          </w:p>
        </w:tc>
        <w:tc>
          <w:tcPr>
            <w:tcW w:w="308" w:type="pct"/>
            <w:noWrap/>
          </w:tcPr>
          <w:p w14:paraId="523B970B" w14:textId="77777777" w:rsidR="0041584B" w:rsidRPr="00C70D7F" w:rsidRDefault="0041584B" w:rsidP="0041584B">
            <w:pPr>
              <w:pStyle w:val="DCUSATableText"/>
            </w:pPr>
            <w:r w:rsidRPr="00C70D7F">
              <w:t>35.22</w:t>
            </w:r>
          </w:p>
        </w:tc>
        <w:tc>
          <w:tcPr>
            <w:tcW w:w="308" w:type="pct"/>
            <w:noWrap/>
          </w:tcPr>
          <w:p w14:paraId="531E6DCB" w14:textId="77777777" w:rsidR="0041584B" w:rsidRPr="00C70D7F" w:rsidRDefault="0041584B" w:rsidP="0041584B">
            <w:pPr>
              <w:pStyle w:val="DCUSATableText"/>
            </w:pPr>
            <w:r w:rsidRPr="00C70D7F">
              <w:t>34.27</w:t>
            </w:r>
          </w:p>
        </w:tc>
        <w:tc>
          <w:tcPr>
            <w:tcW w:w="587" w:type="pct"/>
            <w:noWrap/>
          </w:tcPr>
          <w:p w14:paraId="5166D4B2" w14:textId="77777777" w:rsidR="0041584B" w:rsidRPr="00C70D7F" w:rsidRDefault="0041584B" w:rsidP="0041584B">
            <w:pPr>
              <w:pStyle w:val="DCUSATableText"/>
            </w:pPr>
            <w:r w:rsidRPr="00C70D7F">
              <w:t>8177.67</w:t>
            </w:r>
          </w:p>
        </w:tc>
        <w:tc>
          <w:tcPr>
            <w:tcW w:w="587" w:type="pct"/>
            <w:noWrap/>
          </w:tcPr>
          <w:p w14:paraId="70FA833B" w14:textId="77777777" w:rsidR="0041584B" w:rsidRPr="00C70D7F" w:rsidRDefault="0041584B" w:rsidP="0041584B">
            <w:pPr>
              <w:pStyle w:val="DCUSATableText"/>
            </w:pPr>
            <w:r w:rsidRPr="00C70D7F">
              <w:t>8708.68</w:t>
            </w:r>
          </w:p>
        </w:tc>
        <w:tc>
          <w:tcPr>
            <w:tcW w:w="451" w:type="pct"/>
            <w:noWrap/>
          </w:tcPr>
          <w:p w14:paraId="55897514" w14:textId="77777777" w:rsidR="0041584B" w:rsidRPr="00C70D7F" w:rsidRDefault="0041584B" w:rsidP="0041584B">
            <w:pPr>
              <w:pStyle w:val="DCUSATableText"/>
            </w:pPr>
            <w:r w:rsidRPr="00C70D7F">
              <w:t>531.01</w:t>
            </w:r>
          </w:p>
        </w:tc>
        <w:tc>
          <w:tcPr>
            <w:tcW w:w="385" w:type="pct"/>
            <w:noWrap/>
          </w:tcPr>
          <w:p w14:paraId="155D69D8" w14:textId="77777777" w:rsidR="0041584B" w:rsidRPr="00C70D7F" w:rsidRDefault="0041584B" w:rsidP="0041584B">
            <w:pPr>
              <w:pStyle w:val="DCUSATableText"/>
            </w:pPr>
            <w:r w:rsidRPr="00C70D7F">
              <w:t>Peak</w:t>
            </w:r>
          </w:p>
        </w:tc>
      </w:tr>
      <w:tr w:rsidR="0041584B" w:rsidRPr="00C70D7F" w14:paraId="61B2CFD0" w14:textId="77777777" w:rsidTr="0041584B">
        <w:trPr>
          <w:trHeight w:val="315"/>
        </w:trPr>
        <w:tc>
          <w:tcPr>
            <w:tcW w:w="399" w:type="pct"/>
            <w:noWrap/>
          </w:tcPr>
          <w:p w14:paraId="3E8E181D" w14:textId="77777777" w:rsidR="0041584B" w:rsidRPr="00C70D7F" w:rsidRDefault="0041584B" w:rsidP="0041584B">
            <w:pPr>
              <w:pStyle w:val="DCUSATableText"/>
            </w:pPr>
            <w:r w:rsidRPr="00C70D7F">
              <w:rPr>
                <w:lang w:val="en-US"/>
              </w:rPr>
              <w:t>Dem</w:t>
            </w:r>
          </w:p>
        </w:tc>
        <w:tc>
          <w:tcPr>
            <w:tcW w:w="365" w:type="pct"/>
            <w:vMerge/>
          </w:tcPr>
          <w:p w14:paraId="6C3FE0B5" w14:textId="77777777" w:rsidR="0041584B" w:rsidRPr="00C70D7F" w:rsidRDefault="0041584B" w:rsidP="0041584B">
            <w:pPr>
              <w:pStyle w:val="DCUSATableText"/>
            </w:pPr>
          </w:p>
        </w:tc>
        <w:tc>
          <w:tcPr>
            <w:tcW w:w="343" w:type="pct"/>
          </w:tcPr>
          <w:p w14:paraId="699C673A" w14:textId="77777777" w:rsidR="0041584B" w:rsidRPr="00C70D7F" w:rsidRDefault="0041584B" w:rsidP="0041584B">
            <w:pPr>
              <w:pStyle w:val="DCUSATableText"/>
            </w:pPr>
            <w:r w:rsidRPr="00C70D7F">
              <w:t>B6</w:t>
            </w:r>
          </w:p>
        </w:tc>
        <w:tc>
          <w:tcPr>
            <w:tcW w:w="334" w:type="pct"/>
            <w:noWrap/>
          </w:tcPr>
          <w:p w14:paraId="3031166E" w14:textId="77777777" w:rsidR="0041584B" w:rsidRPr="00C70D7F" w:rsidRDefault="0041584B" w:rsidP="0041584B">
            <w:pPr>
              <w:pStyle w:val="DCUSATableText"/>
            </w:pPr>
            <w:r w:rsidRPr="00C70D7F">
              <w:t>32.2</w:t>
            </w:r>
          </w:p>
        </w:tc>
        <w:tc>
          <w:tcPr>
            <w:tcW w:w="399" w:type="pct"/>
            <w:noWrap/>
          </w:tcPr>
          <w:p w14:paraId="66364530" w14:textId="77777777" w:rsidR="0041584B" w:rsidRPr="00C70D7F" w:rsidRDefault="0041584B" w:rsidP="0041584B">
            <w:pPr>
              <w:pStyle w:val="DCUSATableText"/>
            </w:pPr>
            <w:r w:rsidRPr="00C70D7F">
              <w:t>34.67</w:t>
            </w:r>
          </w:p>
        </w:tc>
        <w:tc>
          <w:tcPr>
            <w:tcW w:w="535" w:type="pct"/>
            <w:noWrap/>
          </w:tcPr>
          <w:p w14:paraId="4B092A5D" w14:textId="77777777" w:rsidR="0041584B" w:rsidRPr="00C70D7F" w:rsidRDefault="0041584B" w:rsidP="0041584B">
            <w:pPr>
              <w:pStyle w:val="DCUSATableText"/>
            </w:pPr>
            <w:r w:rsidRPr="00C70D7F">
              <w:t>32.37</w:t>
            </w:r>
          </w:p>
        </w:tc>
        <w:tc>
          <w:tcPr>
            <w:tcW w:w="308" w:type="pct"/>
            <w:noWrap/>
          </w:tcPr>
          <w:p w14:paraId="39AB0927" w14:textId="77777777" w:rsidR="0041584B" w:rsidRPr="00C70D7F" w:rsidRDefault="0041584B" w:rsidP="0041584B">
            <w:pPr>
              <w:pStyle w:val="DCUSATableText"/>
            </w:pPr>
            <w:r w:rsidRPr="00C70D7F">
              <w:t>7.42</w:t>
            </w:r>
          </w:p>
        </w:tc>
        <w:tc>
          <w:tcPr>
            <w:tcW w:w="308" w:type="pct"/>
            <w:noWrap/>
          </w:tcPr>
          <w:p w14:paraId="718AEF10" w14:textId="77777777" w:rsidR="0041584B" w:rsidRPr="00C70D7F" w:rsidRDefault="0041584B" w:rsidP="0041584B">
            <w:pPr>
              <w:pStyle w:val="DCUSATableText"/>
            </w:pPr>
            <w:r w:rsidRPr="00C70D7F">
              <w:t>6.89</w:t>
            </w:r>
          </w:p>
        </w:tc>
        <w:tc>
          <w:tcPr>
            <w:tcW w:w="587" w:type="pct"/>
            <w:noWrap/>
          </w:tcPr>
          <w:p w14:paraId="7A02271B" w14:textId="77777777" w:rsidR="0041584B" w:rsidRPr="00C70D7F" w:rsidRDefault="0041584B" w:rsidP="0041584B">
            <w:pPr>
              <w:pStyle w:val="DCUSATableText"/>
            </w:pPr>
            <w:r w:rsidRPr="00C70D7F">
              <w:t>104456.61</w:t>
            </w:r>
          </w:p>
        </w:tc>
        <w:tc>
          <w:tcPr>
            <w:tcW w:w="587" w:type="pct"/>
            <w:noWrap/>
          </w:tcPr>
          <w:p w14:paraId="3FA31F09" w14:textId="77777777" w:rsidR="0041584B" w:rsidRPr="00C70D7F" w:rsidRDefault="0041584B" w:rsidP="0041584B">
            <w:pPr>
              <w:pStyle w:val="DCUSATableText"/>
            </w:pPr>
            <w:r w:rsidRPr="00C70D7F">
              <w:t>108210.81</w:t>
            </w:r>
          </w:p>
        </w:tc>
        <w:tc>
          <w:tcPr>
            <w:tcW w:w="451" w:type="pct"/>
            <w:noWrap/>
          </w:tcPr>
          <w:p w14:paraId="6FEA6938" w14:textId="77777777" w:rsidR="0041584B" w:rsidRPr="00C70D7F" w:rsidRDefault="0041584B" w:rsidP="0041584B">
            <w:pPr>
              <w:pStyle w:val="DCUSATableText"/>
            </w:pPr>
            <w:r w:rsidRPr="00C70D7F">
              <w:t>3754.20</w:t>
            </w:r>
          </w:p>
        </w:tc>
        <w:tc>
          <w:tcPr>
            <w:tcW w:w="385" w:type="pct"/>
            <w:noWrap/>
          </w:tcPr>
          <w:p w14:paraId="0ED37817" w14:textId="77777777" w:rsidR="0041584B" w:rsidRPr="00C70D7F" w:rsidRDefault="0041584B" w:rsidP="0041584B">
            <w:pPr>
              <w:pStyle w:val="DCUSATableText"/>
            </w:pPr>
            <w:r w:rsidRPr="00C70D7F">
              <w:t>Peak</w:t>
            </w:r>
          </w:p>
        </w:tc>
      </w:tr>
      <w:tr w:rsidR="0041584B" w:rsidRPr="00C70D7F" w14:paraId="729D242D" w14:textId="77777777" w:rsidTr="0041584B">
        <w:trPr>
          <w:trHeight w:val="315"/>
        </w:trPr>
        <w:tc>
          <w:tcPr>
            <w:tcW w:w="399" w:type="pct"/>
            <w:noWrap/>
          </w:tcPr>
          <w:p w14:paraId="23DB4704" w14:textId="77777777" w:rsidR="0041584B" w:rsidRPr="00C70D7F" w:rsidRDefault="0041584B" w:rsidP="0041584B">
            <w:pPr>
              <w:pStyle w:val="DCUSATableText"/>
            </w:pPr>
            <w:r w:rsidRPr="00C70D7F">
              <w:rPr>
                <w:lang w:val="en-US"/>
              </w:rPr>
              <w:t>Dem</w:t>
            </w:r>
          </w:p>
        </w:tc>
        <w:tc>
          <w:tcPr>
            <w:tcW w:w="365" w:type="pct"/>
            <w:vMerge/>
          </w:tcPr>
          <w:p w14:paraId="2E401FDF" w14:textId="77777777" w:rsidR="0041584B" w:rsidRPr="00C70D7F" w:rsidRDefault="0041584B" w:rsidP="0041584B">
            <w:pPr>
              <w:pStyle w:val="DCUSATableText"/>
            </w:pPr>
          </w:p>
        </w:tc>
        <w:tc>
          <w:tcPr>
            <w:tcW w:w="343" w:type="pct"/>
          </w:tcPr>
          <w:p w14:paraId="6D13896C" w14:textId="77777777" w:rsidR="0041584B" w:rsidRPr="00C70D7F" w:rsidRDefault="0041584B" w:rsidP="0041584B">
            <w:pPr>
              <w:pStyle w:val="DCUSATableText"/>
            </w:pPr>
            <w:r w:rsidRPr="00C70D7F">
              <w:t>B7</w:t>
            </w:r>
          </w:p>
        </w:tc>
        <w:tc>
          <w:tcPr>
            <w:tcW w:w="334" w:type="pct"/>
            <w:noWrap/>
          </w:tcPr>
          <w:p w14:paraId="218BE527" w14:textId="77777777" w:rsidR="0041584B" w:rsidRPr="00C70D7F" w:rsidRDefault="0041584B" w:rsidP="0041584B">
            <w:pPr>
              <w:pStyle w:val="DCUSATableText"/>
            </w:pPr>
            <w:r w:rsidRPr="00C70D7F">
              <w:t>32.16</w:t>
            </w:r>
          </w:p>
        </w:tc>
        <w:tc>
          <w:tcPr>
            <w:tcW w:w="399" w:type="pct"/>
            <w:noWrap/>
          </w:tcPr>
          <w:p w14:paraId="0EE2D8D2" w14:textId="77777777" w:rsidR="0041584B" w:rsidRPr="00C70D7F" w:rsidRDefault="0041584B" w:rsidP="0041584B">
            <w:pPr>
              <w:pStyle w:val="DCUSATableText"/>
            </w:pPr>
            <w:r w:rsidRPr="00C70D7F">
              <w:t>34.73</w:t>
            </w:r>
          </w:p>
        </w:tc>
        <w:tc>
          <w:tcPr>
            <w:tcW w:w="535" w:type="pct"/>
            <w:noWrap/>
          </w:tcPr>
          <w:p w14:paraId="2FA4A6FD" w14:textId="77777777" w:rsidR="0041584B" w:rsidRPr="00C70D7F" w:rsidRDefault="0041584B" w:rsidP="0041584B">
            <w:pPr>
              <w:pStyle w:val="DCUSATableText"/>
            </w:pPr>
            <w:r w:rsidRPr="00C70D7F">
              <w:t>32.32</w:t>
            </w:r>
          </w:p>
        </w:tc>
        <w:tc>
          <w:tcPr>
            <w:tcW w:w="308" w:type="pct"/>
            <w:noWrap/>
          </w:tcPr>
          <w:p w14:paraId="5AA70250" w14:textId="77777777" w:rsidR="0041584B" w:rsidRPr="00C70D7F" w:rsidRDefault="0041584B" w:rsidP="0041584B">
            <w:pPr>
              <w:pStyle w:val="DCUSATableText"/>
            </w:pPr>
            <w:r w:rsidRPr="00C70D7F">
              <w:t>7.71</w:t>
            </w:r>
          </w:p>
        </w:tc>
        <w:tc>
          <w:tcPr>
            <w:tcW w:w="308" w:type="pct"/>
            <w:noWrap/>
          </w:tcPr>
          <w:p w14:paraId="54109F10" w14:textId="77777777" w:rsidR="0041584B" w:rsidRPr="00C70D7F" w:rsidRDefault="0041584B" w:rsidP="0041584B">
            <w:pPr>
              <w:pStyle w:val="DCUSATableText"/>
            </w:pPr>
            <w:r w:rsidRPr="00C70D7F">
              <w:t>7.21</w:t>
            </w:r>
          </w:p>
        </w:tc>
        <w:tc>
          <w:tcPr>
            <w:tcW w:w="587" w:type="pct"/>
            <w:noWrap/>
          </w:tcPr>
          <w:p w14:paraId="1CB30726" w14:textId="77777777" w:rsidR="0041584B" w:rsidRPr="00C70D7F" w:rsidRDefault="0041584B" w:rsidP="0041584B">
            <w:pPr>
              <w:pStyle w:val="DCUSATableText"/>
            </w:pPr>
            <w:r w:rsidRPr="00C70D7F">
              <w:t>41946.47</w:t>
            </w:r>
          </w:p>
        </w:tc>
        <w:tc>
          <w:tcPr>
            <w:tcW w:w="587" w:type="pct"/>
            <w:noWrap/>
          </w:tcPr>
          <w:p w14:paraId="1B260A95" w14:textId="77777777" w:rsidR="0041584B" w:rsidRPr="00C70D7F" w:rsidRDefault="0041584B" w:rsidP="0041584B">
            <w:pPr>
              <w:pStyle w:val="DCUSATableText"/>
            </w:pPr>
            <w:r w:rsidRPr="00C70D7F">
              <w:t>43365.89</w:t>
            </w:r>
          </w:p>
        </w:tc>
        <w:tc>
          <w:tcPr>
            <w:tcW w:w="451" w:type="pct"/>
            <w:noWrap/>
          </w:tcPr>
          <w:p w14:paraId="1D70BE70" w14:textId="77777777" w:rsidR="0041584B" w:rsidRPr="00C70D7F" w:rsidRDefault="0041584B" w:rsidP="0041584B">
            <w:pPr>
              <w:pStyle w:val="DCUSATableText"/>
            </w:pPr>
            <w:r w:rsidRPr="00C70D7F">
              <w:t>1419.42</w:t>
            </w:r>
          </w:p>
        </w:tc>
        <w:tc>
          <w:tcPr>
            <w:tcW w:w="385" w:type="pct"/>
            <w:noWrap/>
          </w:tcPr>
          <w:p w14:paraId="09468D08" w14:textId="77777777" w:rsidR="0041584B" w:rsidRPr="00C70D7F" w:rsidRDefault="0041584B" w:rsidP="0041584B">
            <w:pPr>
              <w:pStyle w:val="DCUSATableText"/>
            </w:pPr>
            <w:r w:rsidRPr="00C70D7F">
              <w:t>Peak</w:t>
            </w:r>
          </w:p>
        </w:tc>
      </w:tr>
      <w:tr w:rsidR="0041584B" w:rsidRPr="00C70D7F" w14:paraId="0B0A1464" w14:textId="77777777" w:rsidTr="0041584B">
        <w:trPr>
          <w:trHeight w:val="315"/>
        </w:trPr>
        <w:tc>
          <w:tcPr>
            <w:tcW w:w="399" w:type="pct"/>
            <w:noWrap/>
          </w:tcPr>
          <w:p w14:paraId="1181BC00" w14:textId="77777777" w:rsidR="0041584B" w:rsidRPr="00C70D7F" w:rsidRDefault="0041584B" w:rsidP="0041584B">
            <w:pPr>
              <w:pStyle w:val="DCUSATableText"/>
            </w:pPr>
            <w:r w:rsidRPr="00C70D7F">
              <w:rPr>
                <w:lang w:val="en-US"/>
              </w:rPr>
              <w:t>Dem</w:t>
            </w:r>
          </w:p>
        </w:tc>
        <w:tc>
          <w:tcPr>
            <w:tcW w:w="365" w:type="pct"/>
            <w:vMerge w:val="restart"/>
          </w:tcPr>
          <w:p w14:paraId="391603F9" w14:textId="77777777" w:rsidR="0041584B" w:rsidRPr="00C70D7F" w:rsidRDefault="0041584B" w:rsidP="0041584B">
            <w:pPr>
              <w:pStyle w:val="DCUSATableText"/>
            </w:pPr>
            <w:r w:rsidRPr="00C70D7F">
              <w:rPr>
                <w:lang w:val="en-US"/>
              </w:rPr>
              <w:t>Node G</w:t>
            </w:r>
          </w:p>
        </w:tc>
        <w:tc>
          <w:tcPr>
            <w:tcW w:w="343" w:type="pct"/>
          </w:tcPr>
          <w:p w14:paraId="1CA3353C" w14:textId="77777777" w:rsidR="0041584B" w:rsidRPr="00C70D7F" w:rsidRDefault="0041584B" w:rsidP="0041584B">
            <w:pPr>
              <w:pStyle w:val="DCUSATableText"/>
            </w:pPr>
            <w:r w:rsidRPr="00C70D7F">
              <w:t>B5</w:t>
            </w:r>
          </w:p>
        </w:tc>
        <w:tc>
          <w:tcPr>
            <w:tcW w:w="334" w:type="pct"/>
            <w:noWrap/>
          </w:tcPr>
          <w:p w14:paraId="3C3E071A" w14:textId="77777777" w:rsidR="0041584B" w:rsidRPr="00C70D7F" w:rsidRDefault="0041584B" w:rsidP="0041584B">
            <w:pPr>
              <w:pStyle w:val="DCUSATableText"/>
            </w:pPr>
            <w:r w:rsidRPr="00C70D7F">
              <w:t>24.38</w:t>
            </w:r>
          </w:p>
        </w:tc>
        <w:tc>
          <w:tcPr>
            <w:tcW w:w="399" w:type="pct"/>
            <w:noWrap/>
          </w:tcPr>
          <w:p w14:paraId="32A35526" w14:textId="77777777" w:rsidR="0041584B" w:rsidRPr="00C70D7F" w:rsidRDefault="0041584B" w:rsidP="0041584B">
            <w:pPr>
              <w:pStyle w:val="DCUSATableText"/>
            </w:pPr>
            <w:r w:rsidRPr="00C70D7F">
              <w:t>34.70</w:t>
            </w:r>
          </w:p>
        </w:tc>
        <w:tc>
          <w:tcPr>
            <w:tcW w:w="535" w:type="pct"/>
            <w:noWrap/>
          </w:tcPr>
          <w:p w14:paraId="3F067171" w14:textId="77777777" w:rsidR="0041584B" w:rsidRPr="00C70D7F" w:rsidRDefault="0041584B" w:rsidP="0041584B">
            <w:pPr>
              <w:pStyle w:val="DCUSATableText"/>
            </w:pPr>
            <w:r w:rsidRPr="00C70D7F">
              <w:t>24.35</w:t>
            </w:r>
          </w:p>
        </w:tc>
        <w:tc>
          <w:tcPr>
            <w:tcW w:w="308" w:type="pct"/>
            <w:noWrap/>
          </w:tcPr>
          <w:p w14:paraId="753ABF55" w14:textId="77777777" w:rsidR="0041584B" w:rsidRPr="00C70D7F" w:rsidRDefault="0041584B" w:rsidP="0041584B">
            <w:pPr>
              <w:pStyle w:val="DCUSATableText"/>
            </w:pPr>
            <w:r w:rsidRPr="00C70D7F">
              <w:t>35.48</w:t>
            </w:r>
          </w:p>
        </w:tc>
        <w:tc>
          <w:tcPr>
            <w:tcW w:w="308" w:type="pct"/>
            <w:noWrap/>
          </w:tcPr>
          <w:p w14:paraId="69CB246D" w14:textId="77777777" w:rsidR="0041584B" w:rsidRPr="00C70D7F" w:rsidRDefault="0041584B" w:rsidP="0041584B">
            <w:pPr>
              <w:pStyle w:val="DCUSATableText"/>
            </w:pPr>
            <w:r w:rsidRPr="00C70D7F">
              <w:t>35.61</w:t>
            </w:r>
          </w:p>
        </w:tc>
        <w:tc>
          <w:tcPr>
            <w:tcW w:w="587" w:type="pct"/>
            <w:noWrap/>
          </w:tcPr>
          <w:p w14:paraId="31414FE0" w14:textId="77777777" w:rsidR="0041584B" w:rsidRPr="00C70D7F" w:rsidRDefault="0041584B" w:rsidP="0041584B">
            <w:pPr>
              <w:pStyle w:val="DCUSATableText"/>
            </w:pPr>
            <w:r w:rsidRPr="00C70D7F">
              <w:t>6576.14</w:t>
            </w:r>
          </w:p>
        </w:tc>
        <w:tc>
          <w:tcPr>
            <w:tcW w:w="587" w:type="pct"/>
            <w:noWrap/>
          </w:tcPr>
          <w:p w14:paraId="31A21BE4" w14:textId="77777777" w:rsidR="0041584B" w:rsidRPr="00C70D7F" w:rsidRDefault="0041584B" w:rsidP="0041584B">
            <w:pPr>
              <w:pStyle w:val="DCUSATableText"/>
            </w:pPr>
            <w:r w:rsidRPr="00C70D7F">
              <w:t>6522.07</w:t>
            </w:r>
          </w:p>
        </w:tc>
        <w:tc>
          <w:tcPr>
            <w:tcW w:w="451" w:type="pct"/>
            <w:noWrap/>
          </w:tcPr>
          <w:p w14:paraId="3314D9AA" w14:textId="77777777" w:rsidR="0041584B" w:rsidRPr="00C70D7F" w:rsidRDefault="0041584B" w:rsidP="0041584B">
            <w:pPr>
              <w:pStyle w:val="DCUSATableText"/>
            </w:pPr>
            <w:r w:rsidRPr="00C70D7F">
              <w:t>-54.07</w:t>
            </w:r>
          </w:p>
        </w:tc>
        <w:tc>
          <w:tcPr>
            <w:tcW w:w="385" w:type="pct"/>
            <w:noWrap/>
          </w:tcPr>
          <w:p w14:paraId="41EF0E72" w14:textId="77777777" w:rsidR="0041584B" w:rsidRPr="00C70D7F" w:rsidRDefault="0041584B" w:rsidP="0041584B">
            <w:pPr>
              <w:pStyle w:val="DCUSATableText"/>
            </w:pPr>
            <w:r w:rsidRPr="00C70D7F">
              <w:t>Peak</w:t>
            </w:r>
          </w:p>
        </w:tc>
      </w:tr>
      <w:tr w:rsidR="0041584B" w:rsidRPr="00C70D7F" w14:paraId="608ACB3D" w14:textId="77777777" w:rsidTr="0041584B">
        <w:trPr>
          <w:trHeight w:val="315"/>
        </w:trPr>
        <w:tc>
          <w:tcPr>
            <w:tcW w:w="399" w:type="pct"/>
            <w:noWrap/>
          </w:tcPr>
          <w:p w14:paraId="1CBD062A" w14:textId="77777777" w:rsidR="0041584B" w:rsidRPr="00C70D7F" w:rsidRDefault="0041584B" w:rsidP="0041584B">
            <w:pPr>
              <w:pStyle w:val="DCUSATableText"/>
            </w:pPr>
            <w:r w:rsidRPr="00C70D7F">
              <w:rPr>
                <w:lang w:val="en-US"/>
              </w:rPr>
              <w:t>Dem</w:t>
            </w:r>
          </w:p>
        </w:tc>
        <w:tc>
          <w:tcPr>
            <w:tcW w:w="365" w:type="pct"/>
            <w:vMerge/>
          </w:tcPr>
          <w:p w14:paraId="1AA237D3" w14:textId="77777777" w:rsidR="0041584B" w:rsidRPr="00C70D7F" w:rsidRDefault="0041584B" w:rsidP="0041584B">
            <w:pPr>
              <w:pStyle w:val="DCUSATableText"/>
            </w:pPr>
          </w:p>
        </w:tc>
        <w:tc>
          <w:tcPr>
            <w:tcW w:w="343" w:type="pct"/>
          </w:tcPr>
          <w:p w14:paraId="5C4466D4" w14:textId="77777777" w:rsidR="0041584B" w:rsidRPr="00C70D7F" w:rsidRDefault="0041584B" w:rsidP="0041584B">
            <w:pPr>
              <w:pStyle w:val="DCUSATableText"/>
            </w:pPr>
            <w:r w:rsidRPr="00C70D7F">
              <w:t>B9</w:t>
            </w:r>
          </w:p>
        </w:tc>
        <w:tc>
          <w:tcPr>
            <w:tcW w:w="334" w:type="pct"/>
            <w:noWrap/>
          </w:tcPr>
          <w:p w14:paraId="4729B04D" w14:textId="77777777" w:rsidR="0041584B" w:rsidRPr="00C70D7F" w:rsidRDefault="0041584B" w:rsidP="0041584B">
            <w:pPr>
              <w:pStyle w:val="DCUSATableText"/>
            </w:pPr>
            <w:r w:rsidRPr="00C70D7F">
              <w:t>34.6</w:t>
            </w:r>
          </w:p>
        </w:tc>
        <w:tc>
          <w:tcPr>
            <w:tcW w:w="399" w:type="pct"/>
            <w:noWrap/>
          </w:tcPr>
          <w:p w14:paraId="255D5949" w14:textId="77777777" w:rsidR="0041584B" w:rsidRPr="00C70D7F" w:rsidRDefault="0041584B" w:rsidP="0041584B">
            <w:pPr>
              <w:pStyle w:val="DCUSATableText"/>
            </w:pPr>
            <w:r w:rsidRPr="00C70D7F">
              <w:t>37.38</w:t>
            </w:r>
          </w:p>
        </w:tc>
        <w:tc>
          <w:tcPr>
            <w:tcW w:w="535" w:type="pct"/>
            <w:noWrap/>
          </w:tcPr>
          <w:p w14:paraId="0936FACC" w14:textId="77777777" w:rsidR="0041584B" w:rsidRPr="00C70D7F" w:rsidRDefault="0041584B" w:rsidP="0041584B">
            <w:pPr>
              <w:pStyle w:val="DCUSATableText"/>
            </w:pPr>
            <w:r w:rsidRPr="00C70D7F">
              <w:t>34.69</w:t>
            </w:r>
          </w:p>
        </w:tc>
        <w:tc>
          <w:tcPr>
            <w:tcW w:w="308" w:type="pct"/>
            <w:noWrap/>
          </w:tcPr>
          <w:p w14:paraId="1D401D35" w14:textId="77777777" w:rsidR="0041584B" w:rsidRPr="00C70D7F" w:rsidRDefault="0041584B" w:rsidP="0041584B">
            <w:pPr>
              <w:pStyle w:val="DCUSATableText"/>
            </w:pPr>
            <w:r w:rsidRPr="00C70D7F">
              <w:t>7.77</w:t>
            </w:r>
          </w:p>
        </w:tc>
        <w:tc>
          <w:tcPr>
            <w:tcW w:w="308" w:type="pct"/>
            <w:noWrap/>
          </w:tcPr>
          <w:p w14:paraId="3FAD3D77" w14:textId="77777777" w:rsidR="0041584B" w:rsidRPr="00C70D7F" w:rsidRDefault="0041584B" w:rsidP="0041584B">
            <w:pPr>
              <w:pStyle w:val="DCUSATableText"/>
            </w:pPr>
            <w:r w:rsidRPr="00C70D7F">
              <w:t>7.51</w:t>
            </w:r>
          </w:p>
        </w:tc>
        <w:tc>
          <w:tcPr>
            <w:tcW w:w="587" w:type="pct"/>
            <w:noWrap/>
          </w:tcPr>
          <w:p w14:paraId="741BD572" w14:textId="77777777" w:rsidR="0041584B" w:rsidRPr="00C70D7F" w:rsidRDefault="0041584B" w:rsidP="0041584B">
            <w:pPr>
              <w:pStyle w:val="DCUSATableText"/>
            </w:pPr>
            <w:r w:rsidRPr="00C70D7F">
              <w:t>41784.75</w:t>
            </w:r>
          </w:p>
        </w:tc>
        <w:tc>
          <w:tcPr>
            <w:tcW w:w="587" w:type="pct"/>
            <w:noWrap/>
          </w:tcPr>
          <w:p w14:paraId="6AD860BC" w14:textId="77777777" w:rsidR="0041584B" w:rsidRPr="00C70D7F" w:rsidRDefault="0041584B" w:rsidP="0041584B">
            <w:pPr>
              <w:pStyle w:val="DCUSATableText"/>
            </w:pPr>
            <w:r w:rsidRPr="00C70D7F">
              <w:t>42519.02</w:t>
            </w:r>
          </w:p>
        </w:tc>
        <w:tc>
          <w:tcPr>
            <w:tcW w:w="451" w:type="pct"/>
            <w:noWrap/>
          </w:tcPr>
          <w:p w14:paraId="0A0402E9" w14:textId="77777777" w:rsidR="0041584B" w:rsidRPr="00C70D7F" w:rsidRDefault="0041584B" w:rsidP="0041584B">
            <w:pPr>
              <w:pStyle w:val="DCUSATableText"/>
            </w:pPr>
            <w:r w:rsidRPr="00C70D7F">
              <w:t>734.26</w:t>
            </w:r>
          </w:p>
        </w:tc>
        <w:tc>
          <w:tcPr>
            <w:tcW w:w="385" w:type="pct"/>
            <w:noWrap/>
          </w:tcPr>
          <w:p w14:paraId="56F06CCD" w14:textId="77777777" w:rsidR="0041584B" w:rsidRPr="00C70D7F" w:rsidRDefault="0041584B" w:rsidP="0041584B">
            <w:pPr>
              <w:pStyle w:val="DCUSATableText"/>
            </w:pPr>
            <w:r w:rsidRPr="00C70D7F">
              <w:t>Peak</w:t>
            </w:r>
          </w:p>
        </w:tc>
      </w:tr>
      <w:tr w:rsidR="0041584B" w:rsidRPr="00C70D7F" w14:paraId="03E97F72" w14:textId="77777777" w:rsidTr="0041584B">
        <w:trPr>
          <w:trHeight w:val="315"/>
        </w:trPr>
        <w:tc>
          <w:tcPr>
            <w:tcW w:w="399" w:type="pct"/>
            <w:noWrap/>
          </w:tcPr>
          <w:p w14:paraId="47A3CA09" w14:textId="77777777" w:rsidR="0041584B" w:rsidRPr="00C70D7F" w:rsidRDefault="0041584B" w:rsidP="0041584B">
            <w:pPr>
              <w:pStyle w:val="DCUSATableText"/>
            </w:pPr>
            <w:r w:rsidRPr="00C70D7F">
              <w:rPr>
                <w:lang w:val="en-US"/>
              </w:rPr>
              <w:t>Dem</w:t>
            </w:r>
          </w:p>
        </w:tc>
        <w:tc>
          <w:tcPr>
            <w:tcW w:w="365" w:type="pct"/>
            <w:vMerge/>
          </w:tcPr>
          <w:p w14:paraId="718AA42B" w14:textId="77777777" w:rsidR="0041584B" w:rsidRPr="00C70D7F" w:rsidRDefault="0041584B" w:rsidP="0041584B">
            <w:pPr>
              <w:pStyle w:val="DCUSATableText"/>
            </w:pPr>
          </w:p>
        </w:tc>
        <w:tc>
          <w:tcPr>
            <w:tcW w:w="343" w:type="pct"/>
          </w:tcPr>
          <w:p w14:paraId="6EC8EAD9" w14:textId="77777777" w:rsidR="0041584B" w:rsidRPr="00C70D7F" w:rsidRDefault="0041584B" w:rsidP="0041584B">
            <w:pPr>
              <w:pStyle w:val="DCUSATableText"/>
            </w:pPr>
            <w:r w:rsidRPr="00C70D7F">
              <w:t>B1</w:t>
            </w:r>
          </w:p>
        </w:tc>
        <w:tc>
          <w:tcPr>
            <w:tcW w:w="334" w:type="pct"/>
            <w:noWrap/>
          </w:tcPr>
          <w:p w14:paraId="2CE66FF5" w14:textId="77777777" w:rsidR="0041584B" w:rsidRPr="00C70D7F" w:rsidRDefault="0041584B" w:rsidP="0041584B">
            <w:pPr>
              <w:pStyle w:val="DCUSATableText"/>
            </w:pPr>
            <w:r w:rsidRPr="00C70D7F">
              <w:t>26.85</w:t>
            </w:r>
          </w:p>
        </w:tc>
        <w:tc>
          <w:tcPr>
            <w:tcW w:w="399" w:type="pct"/>
            <w:noWrap/>
          </w:tcPr>
          <w:p w14:paraId="1F61DDDA" w14:textId="77777777" w:rsidR="0041584B" w:rsidRPr="00C70D7F" w:rsidRDefault="0041584B" w:rsidP="0041584B">
            <w:pPr>
              <w:pStyle w:val="DCUSATableText"/>
            </w:pPr>
            <w:r w:rsidRPr="00C70D7F">
              <w:t>37.99</w:t>
            </w:r>
          </w:p>
        </w:tc>
        <w:tc>
          <w:tcPr>
            <w:tcW w:w="535" w:type="pct"/>
            <w:noWrap/>
          </w:tcPr>
          <w:p w14:paraId="0888B17E" w14:textId="77777777" w:rsidR="0041584B" w:rsidRPr="00C70D7F" w:rsidRDefault="0041584B" w:rsidP="0041584B">
            <w:pPr>
              <w:pStyle w:val="DCUSATableText"/>
            </w:pPr>
            <w:r w:rsidRPr="00C70D7F">
              <w:t>26.77</w:t>
            </w:r>
          </w:p>
        </w:tc>
        <w:tc>
          <w:tcPr>
            <w:tcW w:w="308" w:type="pct"/>
            <w:noWrap/>
          </w:tcPr>
          <w:p w14:paraId="7F0DD236" w14:textId="77777777" w:rsidR="0041584B" w:rsidRPr="00C70D7F" w:rsidRDefault="0041584B" w:rsidP="0041584B">
            <w:pPr>
              <w:pStyle w:val="DCUSATableText"/>
            </w:pPr>
            <w:r w:rsidRPr="00C70D7F">
              <w:t>34.87</w:t>
            </w:r>
          </w:p>
        </w:tc>
        <w:tc>
          <w:tcPr>
            <w:tcW w:w="308" w:type="pct"/>
            <w:noWrap/>
          </w:tcPr>
          <w:p w14:paraId="50465E99" w14:textId="77777777" w:rsidR="0041584B" w:rsidRPr="00C70D7F" w:rsidRDefault="0041584B" w:rsidP="0041584B">
            <w:pPr>
              <w:pStyle w:val="DCUSATableText"/>
            </w:pPr>
            <w:r w:rsidRPr="00C70D7F">
              <w:t>35.17</w:t>
            </w:r>
          </w:p>
        </w:tc>
        <w:tc>
          <w:tcPr>
            <w:tcW w:w="587" w:type="pct"/>
            <w:noWrap/>
          </w:tcPr>
          <w:p w14:paraId="36A7EC86" w14:textId="77777777" w:rsidR="0041584B" w:rsidRPr="00C70D7F" w:rsidRDefault="0041584B" w:rsidP="0041584B">
            <w:pPr>
              <w:pStyle w:val="DCUSATableText"/>
            </w:pPr>
            <w:r w:rsidRPr="00C70D7F">
              <w:t>8366.34</w:t>
            </w:r>
          </w:p>
        </w:tc>
        <w:tc>
          <w:tcPr>
            <w:tcW w:w="587" w:type="pct"/>
            <w:noWrap/>
          </w:tcPr>
          <w:p w14:paraId="63299B75" w14:textId="77777777" w:rsidR="0041584B" w:rsidRPr="00C70D7F" w:rsidRDefault="0041584B" w:rsidP="0041584B">
            <w:pPr>
              <w:pStyle w:val="DCUSATableText"/>
            </w:pPr>
            <w:r w:rsidRPr="00C70D7F">
              <w:t>8200.59</w:t>
            </w:r>
          </w:p>
        </w:tc>
        <w:tc>
          <w:tcPr>
            <w:tcW w:w="451" w:type="pct"/>
            <w:noWrap/>
          </w:tcPr>
          <w:p w14:paraId="4E3DBBFB" w14:textId="77777777" w:rsidR="0041584B" w:rsidRPr="00C70D7F" w:rsidRDefault="0041584B" w:rsidP="0041584B">
            <w:pPr>
              <w:pStyle w:val="DCUSATableText"/>
            </w:pPr>
            <w:r w:rsidRPr="00C70D7F">
              <w:t>-165.74</w:t>
            </w:r>
          </w:p>
        </w:tc>
        <w:tc>
          <w:tcPr>
            <w:tcW w:w="385" w:type="pct"/>
            <w:noWrap/>
          </w:tcPr>
          <w:p w14:paraId="31617C47" w14:textId="77777777" w:rsidR="0041584B" w:rsidRPr="00C70D7F" w:rsidRDefault="0041584B" w:rsidP="0041584B">
            <w:pPr>
              <w:pStyle w:val="DCUSATableText"/>
            </w:pPr>
            <w:r w:rsidRPr="00C70D7F">
              <w:t>Peak</w:t>
            </w:r>
          </w:p>
        </w:tc>
      </w:tr>
      <w:tr w:rsidR="0041584B" w:rsidRPr="00C70D7F" w14:paraId="6F3A8E9A" w14:textId="77777777" w:rsidTr="0041584B">
        <w:trPr>
          <w:trHeight w:val="315"/>
        </w:trPr>
        <w:tc>
          <w:tcPr>
            <w:tcW w:w="399" w:type="pct"/>
            <w:noWrap/>
          </w:tcPr>
          <w:p w14:paraId="2FCAEF1D" w14:textId="77777777" w:rsidR="0041584B" w:rsidRPr="00C70D7F" w:rsidRDefault="0041584B" w:rsidP="0041584B">
            <w:pPr>
              <w:pStyle w:val="DCUSATableText"/>
            </w:pPr>
            <w:r w:rsidRPr="00C70D7F">
              <w:rPr>
                <w:lang w:val="en-US"/>
              </w:rPr>
              <w:t>Dem</w:t>
            </w:r>
          </w:p>
        </w:tc>
        <w:tc>
          <w:tcPr>
            <w:tcW w:w="365" w:type="pct"/>
            <w:vMerge/>
          </w:tcPr>
          <w:p w14:paraId="1743F5F1" w14:textId="77777777" w:rsidR="0041584B" w:rsidRPr="00C70D7F" w:rsidRDefault="0041584B" w:rsidP="0041584B">
            <w:pPr>
              <w:pStyle w:val="DCUSATableText"/>
            </w:pPr>
          </w:p>
        </w:tc>
        <w:tc>
          <w:tcPr>
            <w:tcW w:w="343" w:type="pct"/>
          </w:tcPr>
          <w:p w14:paraId="253EE031" w14:textId="77777777" w:rsidR="0041584B" w:rsidRPr="00C70D7F" w:rsidRDefault="0041584B" w:rsidP="0041584B">
            <w:pPr>
              <w:pStyle w:val="DCUSATableText"/>
            </w:pPr>
            <w:r w:rsidRPr="00C70D7F">
              <w:t>B3</w:t>
            </w:r>
          </w:p>
        </w:tc>
        <w:tc>
          <w:tcPr>
            <w:tcW w:w="334" w:type="pct"/>
            <w:noWrap/>
          </w:tcPr>
          <w:p w14:paraId="782B6FC5" w14:textId="77777777" w:rsidR="0041584B" w:rsidRPr="00C70D7F" w:rsidRDefault="0041584B" w:rsidP="0041584B">
            <w:pPr>
              <w:pStyle w:val="DCUSATableText"/>
            </w:pPr>
            <w:r w:rsidRPr="00C70D7F">
              <w:t>13.62</w:t>
            </w:r>
          </w:p>
        </w:tc>
        <w:tc>
          <w:tcPr>
            <w:tcW w:w="399" w:type="pct"/>
            <w:noWrap/>
          </w:tcPr>
          <w:p w14:paraId="356BCCB5" w14:textId="77777777" w:rsidR="0041584B" w:rsidRPr="00C70D7F" w:rsidRDefault="0041584B" w:rsidP="0041584B">
            <w:pPr>
              <w:pStyle w:val="DCUSATableText"/>
            </w:pPr>
            <w:r w:rsidRPr="00C70D7F">
              <w:t>33.25</w:t>
            </w:r>
          </w:p>
        </w:tc>
        <w:tc>
          <w:tcPr>
            <w:tcW w:w="535" w:type="pct"/>
            <w:noWrap/>
          </w:tcPr>
          <w:p w14:paraId="03990437" w14:textId="77777777" w:rsidR="0041584B" w:rsidRPr="00C70D7F" w:rsidRDefault="0041584B" w:rsidP="0041584B">
            <w:pPr>
              <w:pStyle w:val="DCUSATableText"/>
            </w:pPr>
            <w:r w:rsidRPr="00C70D7F">
              <w:t>13.56</w:t>
            </w:r>
          </w:p>
        </w:tc>
        <w:tc>
          <w:tcPr>
            <w:tcW w:w="308" w:type="pct"/>
            <w:noWrap/>
          </w:tcPr>
          <w:p w14:paraId="204357E5" w14:textId="77777777" w:rsidR="0041584B" w:rsidRPr="00C70D7F" w:rsidRDefault="0041584B" w:rsidP="0041584B">
            <w:pPr>
              <w:pStyle w:val="DCUSATableText"/>
            </w:pPr>
            <w:r w:rsidRPr="00C70D7F">
              <w:t>89.69</w:t>
            </w:r>
          </w:p>
        </w:tc>
        <w:tc>
          <w:tcPr>
            <w:tcW w:w="308" w:type="pct"/>
            <w:noWrap/>
          </w:tcPr>
          <w:p w14:paraId="528FC295" w14:textId="77777777" w:rsidR="0041584B" w:rsidRPr="00C70D7F" w:rsidRDefault="0041584B" w:rsidP="0041584B">
            <w:pPr>
              <w:pStyle w:val="DCUSATableText"/>
            </w:pPr>
            <w:r w:rsidRPr="00C70D7F">
              <w:t>90.13</w:t>
            </w:r>
          </w:p>
        </w:tc>
        <w:tc>
          <w:tcPr>
            <w:tcW w:w="587" w:type="pct"/>
            <w:noWrap/>
          </w:tcPr>
          <w:p w14:paraId="7028B886" w14:textId="77777777" w:rsidR="0041584B" w:rsidRPr="00C70D7F" w:rsidRDefault="0041584B" w:rsidP="0041584B">
            <w:pPr>
              <w:pStyle w:val="DCUSATableText"/>
            </w:pPr>
            <w:r w:rsidRPr="00C70D7F">
              <w:t>431.65</w:t>
            </w:r>
          </w:p>
        </w:tc>
        <w:tc>
          <w:tcPr>
            <w:tcW w:w="587" w:type="pct"/>
            <w:noWrap/>
          </w:tcPr>
          <w:p w14:paraId="653BEA2F" w14:textId="77777777" w:rsidR="0041584B" w:rsidRPr="00C70D7F" w:rsidRDefault="0041584B" w:rsidP="0041584B">
            <w:pPr>
              <w:pStyle w:val="DCUSATableText"/>
            </w:pPr>
            <w:r w:rsidRPr="00C70D7F">
              <w:t>419.05</w:t>
            </w:r>
          </w:p>
        </w:tc>
        <w:tc>
          <w:tcPr>
            <w:tcW w:w="451" w:type="pct"/>
            <w:noWrap/>
          </w:tcPr>
          <w:p w14:paraId="4693F081" w14:textId="77777777" w:rsidR="0041584B" w:rsidRPr="00C70D7F" w:rsidRDefault="0041584B" w:rsidP="0041584B">
            <w:pPr>
              <w:pStyle w:val="DCUSATableText"/>
            </w:pPr>
            <w:r w:rsidRPr="00C70D7F">
              <w:t>-12.59</w:t>
            </w:r>
          </w:p>
        </w:tc>
        <w:tc>
          <w:tcPr>
            <w:tcW w:w="385" w:type="pct"/>
            <w:noWrap/>
          </w:tcPr>
          <w:p w14:paraId="347E6021" w14:textId="77777777" w:rsidR="0041584B" w:rsidRPr="00C70D7F" w:rsidRDefault="0041584B" w:rsidP="0041584B">
            <w:pPr>
              <w:pStyle w:val="DCUSATableText"/>
            </w:pPr>
            <w:r w:rsidRPr="00C70D7F">
              <w:t>Off-peak</w:t>
            </w:r>
          </w:p>
        </w:tc>
      </w:tr>
      <w:tr w:rsidR="0041584B" w:rsidRPr="00C70D7F" w14:paraId="508F3B83" w14:textId="77777777" w:rsidTr="0041584B">
        <w:trPr>
          <w:trHeight w:val="315"/>
        </w:trPr>
        <w:tc>
          <w:tcPr>
            <w:tcW w:w="399" w:type="pct"/>
            <w:noWrap/>
          </w:tcPr>
          <w:p w14:paraId="347DA820" w14:textId="77777777" w:rsidR="0041584B" w:rsidRPr="00C70D7F" w:rsidRDefault="0041584B" w:rsidP="0041584B">
            <w:pPr>
              <w:pStyle w:val="DCUSATableText"/>
            </w:pPr>
            <w:r w:rsidRPr="00C70D7F">
              <w:rPr>
                <w:lang w:val="en-US"/>
              </w:rPr>
              <w:t>Dem</w:t>
            </w:r>
          </w:p>
        </w:tc>
        <w:tc>
          <w:tcPr>
            <w:tcW w:w="365" w:type="pct"/>
            <w:vMerge/>
          </w:tcPr>
          <w:p w14:paraId="53A7A8F8" w14:textId="77777777" w:rsidR="0041584B" w:rsidRPr="00C70D7F" w:rsidRDefault="0041584B" w:rsidP="0041584B">
            <w:pPr>
              <w:pStyle w:val="DCUSATableText"/>
            </w:pPr>
          </w:p>
        </w:tc>
        <w:tc>
          <w:tcPr>
            <w:tcW w:w="343" w:type="pct"/>
          </w:tcPr>
          <w:p w14:paraId="620A07A9" w14:textId="77777777" w:rsidR="0041584B" w:rsidRPr="00C70D7F" w:rsidRDefault="0041584B" w:rsidP="0041584B">
            <w:pPr>
              <w:pStyle w:val="DCUSATableText"/>
            </w:pPr>
            <w:r w:rsidRPr="00C70D7F">
              <w:t>B8</w:t>
            </w:r>
          </w:p>
        </w:tc>
        <w:tc>
          <w:tcPr>
            <w:tcW w:w="334" w:type="pct"/>
            <w:noWrap/>
          </w:tcPr>
          <w:p w14:paraId="35D4C8DE" w14:textId="77777777" w:rsidR="0041584B" w:rsidRPr="00C70D7F" w:rsidRDefault="0041584B" w:rsidP="0041584B">
            <w:pPr>
              <w:pStyle w:val="DCUSATableText"/>
            </w:pPr>
            <w:r w:rsidRPr="00C70D7F">
              <w:t>11.13</w:t>
            </w:r>
          </w:p>
        </w:tc>
        <w:tc>
          <w:tcPr>
            <w:tcW w:w="399" w:type="pct"/>
            <w:noWrap/>
          </w:tcPr>
          <w:p w14:paraId="3F2ACAC2" w14:textId="77777777" w:rsidR="0041584B" w:rsidRPr="00C70D7F" w:rsidRDefault="0041584B" w:rsidP="0041584B">
            <w:pPr>
              <w:pStyle w:val="DCUSATableText"/>
            </w:pPr>
            <w:r w:rsidRPr="00C70D7F">
              <w:t>30.24</w:t>
            </w:r>
          </w:p>
        </w:tc>
        <w:tc>
          <w:tcPr>
            <w:tcW w:w="535" w:type="pct"/>
            <w:noWrap/>
          </w:tcPr>
          <w:p w14:paraId="67B153B5" w14:textId="77777777" w:rsidR="0041584B" w:rsidRPr="00C70D7F" w:rsidRDefault="0041584B" w:rsidP="0041584B">
            <w:pPr>
              <w:pStyle w:val="DCUSATableText"/>
            </w:pPr>
            <w:r w:rsidRPr="00C70D7F">
              <w:t>11.11</w:t>
            </w:r>
          </w:p>
        </w:tc>
        <w:tc>
          <w:tcPr>
            <w:tcW w:w="308" w:type="pct"/>
            <w:noWrap/>
          </w:tcPr>
          <w:p w14:paraId="18E541CA" w14:textId="77777777" w:rsidR="0041584B" w:rsidRPr="00C70D7F" w:rsidRDefault="0041584B" w:rsidP="0041584B">
            <w:pPr>
              <w:pStyle w:val="DCUSATableText"/>
            </w:pPr>
            <w:r w:rsidRPr="00C70D7F">
              <w:t>100.47</w:t>
            </w:r>
          </w:p>
        </w:tc>
        <w:tc>
          <w:tcPr>
            <w:tcW w:w="308" w:type="pct"/>
            <w:noWrap/>
          </w:tcPr>
          <w:p w14:paraId="2E199F9A" w14:textId="77777777" w:rsidR="0041584B" w:rsidRPr="00C70D7F" w:rsidRDefault="0041584B" w:rsidP="0041584B">
            <w:pPr>
              <w:pStyle w:val="DCUSATableText"/>
            </w:pPr>
            <w:r w:rsidRPr="00C70D7F">
              <w:t>100.65</w:t>
            </w:r>
          </w:p>
        </w:tc>
        <w:tc>
          <w:tcPr>
            <w:tcW w:w="587" w:type="pct"/>
            <w:noWrap/>
          </w:tcPr>
          <w:p w14:paraId="280C99C8" w14:textId="77777777" w:rsidR="0041584B" w:rsidRPr="00C70D7F" w:rsidRDefault="0041584B" w:rsidP="0041584B">
            <w:pPr>
              <w:pStyle w:val="DCUSATableText"/>
            </w:pPr>
            <w:r w:rsidRPr="00C70D7F">
              <w:t>105.15</w:t>
            </w:r>
          </w:p>
        </w:tc>
        <w:tc>
          <w:tcPr>
            <w:tcW w:w="587" w:type="pct"/>
            <w:noWrap/>
          </w:tcPr>
          <w:p w14:paraId="06746866" w14:textId="77777777" w:rsidR="0041584B" w:rsidRPr="00C70D7F" w:rsidRDefault="0041584B" w:rsidP="0041584B">
            <w:pPr>
              <w:pStyle w:val="DCUSATableText"/>
            </w:pPr>
            <w:r w:rsidRPr="00C70D7F">
              <w:t>103.89</w:t>
            </w:r>
          </w:p>
        </w:tc>
        <w:tc>
          <w:tcPr>
            <w:tcW w:w="451" w:type="pct"/>
            <w:noWrap/>
          </w:tcPr>
          <w:p w14:paraId="3AD5C342" w14:textId="77777777" w:rsidR="0041584B" w:rsidRPr="00C70D7F" w:rsidRDefault="0041584B" w:rsidP="0041584B">
            <w:pPr>
              <w:pStyle w:val="DCUSATableText"/>
            </w:pPr>
            <w:r w:rsidRPr="00C70D7F">
              <w:t>-1.26</w:t>
            </w:r>
          </w:p>
        </w:tc>
        <w:tc>
          <w:tcPr>
            <w:tcW w:w="385" w:type="pct"/>
            <w:noWrap/>
          </w:tcPr>
          <w:p w14:paraId="35B08947" w14:textId="77777777" w:rsidR="0041584B" w:rsidRPr="00C70D7F" w:rsidRDefault="0041584B" w:rsidP="0041584B">
            <w:pPr>
              <w:pStyle w:val="DCUSATableText"/>
            </w:pPr>
            <w:r w:rsidRPr="00C70D7F">
              <w:t>Off-peak</w:t>
            </w:r>
          </w:p>
        </w:tc>
      </w:tr>
      <w:tr w:rsidR="0041584B" w:rsidRPr="00C70D7F" w14:paraId="1CEEC11D" w14:textId="77777777" w:rsidTr="0041584B">
        <w:trPr>
          <w:trHeight w:val="315"/>
        </w:trPr>
        <w:tc>
          <w:tcPr>
            <w:tcW w:w="399" w:type="pct"/>
            <w:noWrap/>
          </w:tcPr>
          <w:p w14:paraId="21EAFED0" w14:textId="77777777" w:rsidR="0041584B" w:rsidRPr="00C70D7F" w:rsidRDefault="0041584B" w:rsidP="0041584B">
            <w:pPr>
              <w:pStyle w:val="DCUSATableText"/>
            </w:pPr>
            <w:r w:rsidRPr="00C70D7F">
              <w:rPr>
                <w:lang w:val="en-US"/>
              </w:rPr>
              <w:t>Dem</w:t>
            </w:r>
          </w:p>
        </w:tc>
        <w:tc>
          <w:tcPr>
            <w:tcW w:w="365" w:type="pct"/>
            <w:vMerge/>
          </w:tcPr>
          <w:p w14:paraId="4F3E2C75" w14:textId="77777777" w:rsidR="0041584B" w:rsidRPr="00C70D7F" w:rsidRDefault="0041584B" w:rsidP="0041584B">
            <w:pPr>
              <w:pStyle w:val="DCUSATableText"/>
            </w:pPr>
          </w:p>
        </w:tc>
        <w:tc>
          <w:tcPr>
            <w:tcW w:w="343" w:type="pct"/>
          </w:tcPr>
          <w:p w14:paraId="1F3C5581" w14:textId="77777777" w:rsidR="0041584B" w:rsidRPr="00C70D7F" w:rsidRDefault="0041584B" w:rsidP="0041584B">
            <w:pPr>
              <w:pStyle w:val="DCUSATableText"/>
            </w:pPr>
            <w:r w:rsidRPr="00C70D7F">
              <w:t>B4</w:t>
            </w:r>
          </w:p>
        </w:tc>
        <w:tc>
          <w:tcPr>
            <w:tcW w:w="334" w:type="pct"/>
            <w:noWrap/>
          </w:tcPr>
          <w:p w14:paraId="68A8F6E6" w14:textId="77777777" w:rsidR="0041584B" w:rsidRPr="00C70D7F" w:rsidRDefault="0041584B" w:rsidP="0041584B">
            <w:pPr>
              <w:pStyle w:val="DCUSATableText"/>
            </w:pPr>
            <w:r w:rsidRPr="00C70D7F">
              <w:t>24.4</w:t>
            </w:r>
          </w:p>
        </w:tc>
        <w:tc>
          <w:tcPr>
            <w:tcW w:w="399" w:type="pct"/>
            <w:noWrap/>
          </w:tcPr>
          <w:p w14:paraId="3514C8DF" w14:textId="77777777" w:rsidR="0041584B" w:rsidRPr="00C70D7F" w:rsidRDefault="0041584B" w:rsidP="0041584B">
            <w:pPr>
              <w:pStyle w:val="DCUSATableText"/>
            </w:pPr>
            <w:r w:rsidRPr="00C70D7F">
              <w:t>34.64</w:t>
            </w:r>
          </w:p>
        </w:tc>
        <w:tc>
          <w:tcPr>
            <w:tcW w:w="535" w:type="pct"/>
            <w:noWrap/>
          </w:tcPr>
          <w:p w14:paraId="796ADB64" w14:textId="77777777" w:rsidR="0041584B" w:rsidRPr="00C70D7F" w:rsidRDefault="0041584B" w:rsidP="0041584B">
            <w:pPr>
              <w:pStyle w:val="DCUSATableText"/>
            </w:pPr>
            <w:r w:rsidRPr="00C70D7F">
              <w:t>24.35</w:t>
            </w:r>
          </w:p>
        </w:tc>
        <w:tc>
          <w:tcPr>
            <w:tcW w:w="308" w:type="pct"/>
            <w:noWrap/>
          </w:tcPr>
          <w:p w14:paraId="136F7701" w14:textId="77777777" w:rsidR="0041584B" w:rsidRPr="00C70D7F" w:rsidRDefault="0041584B" w:rsidP="0041584B">
            <w:pPr>
              <w:pStyle w:val="DCUSATableText"/>
            </w:pPr>
            <w:r w:rsidRPr="00C70D7F">
              <w:t>35.22</w:t>
            </w:r>
          </w:p>
        </w:tc>
        <w:tc>
          <w:tcPr>
            <w:tcW w:w="308" w:type="pct"/>
            <w:noWrap/>
          </w:tcPr>
          <w:p w14:paraId="36351597" w14:textId="77777777" w:rsidR="0041584B" w:rsidRPr="00C70D7F" w:rsidRDefault="0041584B" w:rsidP="0041584B">
            <w:pPr>
              <w:pStyle w:val="DCUSATableText"/>
            </w:pPr>
            <w:r w:rsidRPr="00C70D7F">
              <w:t>35.42</w:t>
            </w:r>
          </w:p>
        </w:tc>
        <w:tc>
          <w:tcPr>
            <w:tcW w:w="587" w:type="pct"/>
            <w:noWrap/>
          </w:tcPr>
          <w:p w14:paraId="2D8A0C7C" w14:textId="77777777" w:rsidR="0041584B" w:rsidRPr="00C70D7F" w:rsidRDefault="0041584B" w:rsidP="0041584B">
            <w:pPr>
              <w:pStyle w:val="DCUSATableText"/>
            </w:pPr>
            <w:r w:rsidRPr="00C70D7F">
              <w:t>8177.67</w:t>
            </w:r>
          </w:p>
        </w:tc>
        <w:tc>
          <w:tcPr>
            <w:tcW w:w="587" w:type="pct"/>
            <w:noWrap/>
          </w:tcPr>
          <w:p w14:paraId="240DC797" w14:textId="77777777" w:rsidR="0041584B" w:rsidRPr="00C70D7F" w:rsidRDefault="0041584B" w:rsidP="0041584B">
            <w:pPr>
              <w:pStyle w:val="DCUSATableText"/>
            </w:pPr>
            <w:r w:rsidRPr="00C70D7F">
              <w:t>8065.96</w:t>
            </w:r>
          </w:p>
        </w:tc>
        <w:tc>
          <w:tcPr>
            <w:tcW w:w="451" w:type="pct"/>
            <w:noWrap/>
          </w:tcPr>
          <w:p w14:paraId="3FAEBDD4" w14:textId="77777777" w:rsidR="0041584B" w:rsidRPr="00C70D7F" w:rsidRDefault="0041584B" w:rsidP="0041584B">
            <w:pPr>
              <w:pStyle w:val="DCUSATableText"/>
            </w:pPr>
            <w:r w:rsidRPr="00C70D7F">
              <w:t>-111.72</w:t>
            </w:r>
          </w:p>
        </w:tc>
        <w:tc>
          <w:tcPr>
            <w:tcW w:w="385" w:type="pct"/>
            <w:noWrap/>
          </w:tcPr>
          <w:p w14:paraId="2DB53CEB" w14:textId="77777777" w:rsidR="0041584B" w:rsidRPr="00C70D7F" w:rsidRDefault="0041584B" w:rsidP="0041584B">
            <w:pPr>
              <w:pStyle w:val="DCUSATableText"/>
            </w:pPr>
            <w:r w:rsidRPr="00C70D7F">
              <w:t>Peak</w:t>
            </w:r>
          </w:p>
        </w:tc>
      </w:tr>
      <w:tr w:rsidR="0041584B" w:rsidRPr="00C70D7F" w14:paraId="4366F477" w14:textId="77777777" w:rsidTr="0041584B">
        <w:trPr>
          <w:trHeight w:val="315"/>
        </w:trPr>
        <w:tc>
          <w:tcPr>
            <w:tcW w:w="399" w:type="pct"/>
            <w:noWrap/>
          </w:tcPr>
          <w:p w14:paraId="0E7342CA" w14:textId="77777777" w:rsidR="0041584B" w:rsidRPr="00C70D7F" w:rsidRDefault="0041584B" w:rsidP="0041584B">
            <w:pPr>
              <w:pStyle w:val="DCUSATableText"/>
            </w:pPr>
            <w:r w:rsidRPr="00C70D7F">
              <w:rPr>
                <w:lang w:val="en-US"/>
              </w:rPr>
              <w:t>Dem</w:t>
            </w:r>
          </w:p>
        </w:tc>
        <w:tc>
          <w:tcPr>
            <w:tcW w:w="365" w:type="pct"/>
            <w:vMerge/>
          </w:tcPr>
          <w:p w14:paraId="76D5FD45" w14:textId="77777777" w:rsidR="0041584B" w:rsidRPr="00C70D7F" w:rsidRDefault="0041584B" w:rsidP="0041584B">
            <w:pPr>
              <w:pStyle w:val="DCUSATableText"/>
            </w:pPr>
          </w:p>
        </w:tc>
        <w:tc>
          <w:tcPr>
            <w:tcW w:w="343" w:type="pct"/>
          </w:tcPr>
          <w:p w14:paraId="0A62419F" w14:textId="77777777" w:rsidR="0041584B" w:rsidRPr="00C70D7F" w:rsidRDefault="0041584B" w:rsidP="0041584B">
            <w:pPr>
              <w:pStyle w:val="DCUSATableText"/>
            </w:pPr>
            <w:r w:rsidRPr="00C70D7F">
              <w:t>B6</w:t>
            </w:r>
          </w:p>
        </w:tc>
        <w:tc>
          <w:tcPr>
            <w:tcW w:w="334" w:type="pct"/>
            <w:noWrap/>
          </w:tcPr>
          <w:p w14:paraId="767C267B" w14:textId="77777777" w:rsidR="0041584B" w:rsidRPr="00C70D7F" w:rsidRDefault="0041584B" w:rsidP="0041584B">
            <w:pPr>
              <w:pStyle w:val="DCUSATableText"/>
            </w:pPr>
            <w:r w:rsidRPr="00C70D7F">
              <w:t>10.72</w:t>
            </w:r>
          </w:p>
        </w:tc>
        <w:tc>
          <w:tcPr>
            <w:tcW w:w="399" w:type="pct"/>
            <w:noWrap/>
          </w:tcPr>
          <w:p w14:paraId="13DD45F5" w14:textId="77777777" w:rsidR="0041584B" w:rsidRPr="00C70D7F" w:rsidRDefault="0041584B" w:rsidP="0041584B">
            <w:pPr>
              <w:pStyle w:val="DCUSATableText"/>
            </w:pPr>
            <w:r w:rsidRPr="00C70D7F">
              <w:t>29.17</w:t>
            </w:r>
          </w:p>
        </w:tc>
        <w:tc>
          <w:tcPr>
            <w:tcW w:w="535" w:type="pct"/>
            <w:noWrap/>
          </w:tcPr>
          <w:p w14:paraId="2AD1727D" w14:textId="77777777" w:rsidR="0041584B" w:rsidRPr="00C70D7F" w:rsidRDefault="0041584B" w:rsidP="0041584B">
            <w:pPr>
              <w:pStyle w:val="DCUSATableText"/>
            </w:pPr>
            <w:r w:rsidRPr="00C70D7F">
              <w:t>10.70</w:t>
            </w:r>
          </w:p>
        </w:tc>
        <w:tc>
          <w:tcPr>
            <w:tcW w:w="308" w:type="pct"/>
            <w:noWrap/>
          </w:tcPr>
          <w:p w14:paraId="4021FEE0" w14:textId="77777777" w:rsidR="0041584B" w:rsidRPr="00C70D7F" w:rsidRDefault="0041584B" w:rsidP="0041584B">
            <w:pPr>
              <w:pStyle w:val="DCUSATableText"/>
            </w:pPr>
            <w:r w:rsidRPr="00C70D7F">
              <w:t>100.60</w:t>
            </w:r>
          </w:p>
        </w:tc>
        <w:tc>
          <w:tcPr>
            <w:tcW w:w="308" w:type="pct"/>
            <w:noWrap/>
          </w:tcPr>
          <w:p w14:paraId="733BAC91" w14:textId="77777777" w:rsidR="0041584B" w:rsidRPr="00C70D7F" w:rsidRDefault="0041584B" w:rsidP="0041584B">
            <w:pPr>
              <w:pStyle w:val="DCUSATableText"/>
            </w:pPr>
            <w:r w:rsidRPr="00C70D7F">
              <w:t>100.79</w:t>
            </w:r>
          </w:p>
        </w:tc>
        <w:tc>
          <w:tcPr>
            <w:tcW w:w="587" w:type="pct"/>
            <w:noWrap/>
          </w:tcPr>
          <w:p w14:paraId="535824AB" w14:textId="77777777" w:rsidR="0041584B" w:rsidRPr="00C70D7F" w:rsidRDefault="0041584B" w:rsidP="0041584B">
            <w:pPr>
              <w:pStyle w:val="DCUSATableText"/>
            </w:pPr>
            <w:r w:rsidRPr="00C70D7F">
              <w:t>208.35</w:t>
            </w:r>
          </w:p>
        </w:tc>
        <w:tc>
          <w:tcPr>
            <w:tcW w:w="587" w:type="pct"/>
            <w:noWrap/>
          </w:tcPr>
          <w:p w14:paraId="7783A6D5" w14:textId="77777777" w:rsidR="0041584B" w:rsidRPr="00C70D7F" w:rsidRDefault="0041584B" w:rsidP="0041584B">
            <w:pPr>
              <w:pStyle w:val="DCUSATableText"/>
            </w:pPr>
            <w:r w:rsidRPr="00C70D7F">
              <w:t>205.76</w:t>
            </w:r>
          </w:p>
        </w:tc>
        <w:tc>
          <w:tcPr>
            <w:tcW w:w="451" w:type="pct"/>
            <w:noWrap/>
          </w:tcPr>
          <w:p w14:paraId="10A43D1B" w14:textId="77777777" w:rsidR="0041584B" w:rsidRPr="00C70D7F" w:rsidRDefault="0041584B" w:rsidP="0041584B">
            <w:pPr>
              <w:pStyle w:val="DCUSATableText"/>
            </w:pPr>
            <w:r w:rsidRPr="00C70D7F">
              <w:t>-2.59</w:t>
            </w:r>
          </w:p>
        </w:tc>
        <w:tc>
          <w:tcPr>
            <w:tcW w:w="385" w:type="pct"/>
            <w:noWrap/>
          </w:tcPr>
          <w:p w14:paraId="07C8F4E0" w14:textId="77777777" w:rsidR="0041584B" w:rsidRPr="00C70D7F" w:rsidRDefault="0041584B" w:rsidP="0041584B">
            <w:pPr>
              <w:pStyle w:val="DCUSATableText"/>
            </w:pPr>
            <w:r w:rsidRPr="00C70D7F">
              <w:t>Off-Peak</w:t>
            </w:r>
          </w:p>
        </w:tc>
      </w:tr>
      <w:tr w:rsidR="0041584B" w:rsidRPr="00C70D7F" w14:paraId="3A74C2D8" w14:textId="77777777" w:rsidTr="0041584B">
        <w:trPr>
          <w:trHeight w:val="315"/>
        </w:trPr>
        <w:tc>
          <w:tcPr>
            <w:tcW w:w="399" w:type="pct"/>
            <w:noWrap/>
          </w:tcPr>
          <w:p w14:paraId="5FBD50D2" w14:textId="77777777" w:rsidR="0041584B" w:rsidRPr="00C70D7F" w:rsidRDefault="0041584B" w:rsidP="0041584B">
            <w:pPr>
              <w:pStyle w:val="DCUSATableText"/>
            </w:pPr>
            <w:r w:rsidRPr="00C70D7F">
              <w:rPr>
                <w:lang w:val="en-US"/>
              </w:rPr>
              <w:t>Dem</w:t>
            </w:r>
          </w:p>
        </w:tc>
        <w:tc>
          <w:tcPr>
            <w:tcW w:w="365" w:type="pct"/>
            <w:vMerge/>
          </w:tcPr>
          <w:p w14:paraId="7CD26F16" w14:textId="77777777" w:rsidR="0041584B" w:rsidRPr="00C70D7F" w:rsidRDefault="0041584B" w:rsidP="0041584B">
            <w:pPr>
              <w:pStyle w:val="DCUSATableText"/>
            </w:pPr>
          </w:p>
        </w:tc>
        <w:tc>
          <w:tcPr>
            <w:tcW w:w="343" w:type="pct"/>
          </w:tcPr>
          <w:p w14:paraId="2FFCA74A" w14:textId="77777777" w:rsidR="0041584B" w:rsidRPr="00C70D7F" w:rsidRDefault="0041584B" w:rsidP="0041584B">
            <w:pPr>
              <w:pStyle w:val="DCUSATableText"/>
            </w:pPr>
            <w:r w:rsidRPr="00C70D7F">
              <w:t>B7</w:t>
            </w:r>
          </w:p>
        </w:tc>
        <w:tc>
          <w:tcPr>
            <w:tcW w:w="334" w:type="pct"/>
            <w:noWrap/>
          </w:tcPr>
          <w:p w14:paraId="0AAA84F2" w14:textId="77777777" w:rsidR="0041584B" w:rsidRPr="00C70D7F" w:rsidRDefault="0041584B" w:rsidP="0041584B">
            <w:pPr>
              <w:pStyle w:val="DCUSATableText"/>
            </w:pPr>
            <w:r w:rsidRPr="00C70D7F">
              <w:t>32.16</w:t>
            </w:r>
          </w:p>
        </w:tc>
        <w:tc>
          <w:tcPr>
            <w:tcW w:w="399" w:type="pct"/>
            <w:noWrap/>
          </w:tcPr>
          <w:p w14:paraId="4ABB0132" w14:textId="77777777" w:rsidR="0041584B" w:rsidRPr="00C70D7F" w:rsidRDefault="0041584B" w:rsidP="0041584B">
            <w:pPr>
              <w:pStyle w:val="DCUSATableText"/>
            </w:pPr>
            <w:r w:rsidRPr="00C70D7F">
              <w:t>34.73</w:t>
            </w:r>
          </w:p>
        </w:tc>
        <w:tc>
          <w:tcPr>
            <w:tcW w:w="535" w:type="pct"/>
            <w:noWrap/>
          </w:tcPr>
          <w:p w14:paraId="0329A75F" w14:textId="77777777" w:rsidR="0041584B" w:rsidRPr="00C70D7F" w:rsidRDefault="0041584B" w:rsidP="0041584B">
            <w:pPr>
              <w:pStyle w:val="DCUSATableText"/>
            </w:pPr>
            <w:r w:rsidRPr="00C70D7F">
              <w:t>32.25</w:t>
            </w:r>
          </w:p>
        </w:tc>
        <w:tc>
          <w:tcPr>
            <w:tcW w:w="308" w:type="pct"/>
            <w:noWrap/>
          </w:tcPr>
          <w:p w14:paraId="70069092" w14:textId="77777777" w:rsidR="0041584B" w:rsidRPr="00C70D7F" w:rsidRDefault="0041584B" w:rsidP="0041584B">
            <w:pPr>
              <w:pStyle w:val="DCUSATableText"/>
            </w:pPr>
            <w:r w:rsidRPr="00C70D7F">
              <w:t>7.71</w:t>
            </w:r>
          </w:p>
        </w:tc>
        <w:tc>
          <w:tcPr>
            <w:tcW w:w="308" w:type="pct"/>
            <w:noWrap/>
          </w:tcPr>
          <w:p w14:paraId="46E51F8F" w14:textId="77777777" w:rsidR="0041584B" w:rsidRPr="00C70D7F" w:rsidRDefault="0041584B" w:rsidP="0041584B">
            <w:pPr>
              <w:pStyle w:val="DCUSATableText"/>
            </w:pPr>
            <w:r w:rsidRPr="00C70D7F">
              <w:t>7.43</w:t>
            </w:r>
          </w:p>
        </w:tc>
        <w:tc>
          <w:tcPr>
            <w:tcW w:w="587" w:type="pct"/>
            <w:noWrap/>
          </w:tcPr>
          <w:p w14:paraId="5EF89EB8" w14:textId="77777777" w:rsidR="0041584B" w:rsidRPr="00C70D7F" w:rsidRDefault="0041584B" w:rsidP="0041584B">
            <w:pPr>
              <w:pStyle w:val="DCUSATableText"/>
            </w:pPr>
            <w:r w:rsidRPr="00C70D7F">
              <w:t>41946.47</w:t>
            </w:r>
          </w:p>
        </w:tc>
        <w:tc>
          <w:tcPr>
            <w:tcW w:w="587" w:type="pct"/>
            <w:noWrap/>
          </w:tcPr>
          <w:p w14:paraId="02EDD6A8" w14:textId="77777777" w:rsidR="0041584B" w:rsidRPr="00C70D7F" w:rsidRDefault="0041584B" w:rsidP="0041584B">
            <w:pPr>
              <w:pStyle w:val="DCUSATableText"/>
            </w:pPr>
            <w:r w:rsidRPr="00C70D7F">
              <w:t>42739.94</w:t>
            </w:r>
          </w:p>
        </w:tc>
        <w:tc>
          <w:tcPr>
            <w:tcW w:w="451" w:type="pct"/>
            <w:noWrap/>
          </w:tcPr>
          <w:p w14:paraId="7950AE63" w14:textId="77777777" w:rsidR="0041584B" w:rsidRPr="00C70D7F" w:rsidRDefault="0041584B" w:rsidP="0041584B">
            <w:pPr>
              <w:pStyle w:val="DCUSATableText"/>
            </w:pPr>
            <w:r w:rsidRPr="00C70D7F">
              <w:t>793.47</w:t>
            </w:r>
          </w:p>
        </w:tc>
        <w:tc>
          <w:tcPr>
            <w:tcW w:w="385" w:type="pct"/>
            <w:noWrap/>
          </w:tcPr>
          <w:p w14:paraId="273F177C" w14:textId="77777777" w:rsidR="0041584B" w:rsidRPr="00C70D7F" w:rsidRDefault="0041584B" w:rsidP="0041584B">
            <w:pPr>
              <w:pStyle w:val="DCUSATableText"/>
            </w:pPr>
            <w:r w:rsidRPr="00C70D7F">
              <w:t>Peak</w:t>
            </w:r>
          </w:p>
        </w:tc>
      </w:tr>
    </w:tbl>
    <w:p w14:paraId="2C63A74B" w14:textId="77777777" w:rsidR="0041584B" w:rsidRDefault="0041584B" w:rsidP="0041584B">
      <w:pPr>
        <w:spacing w:after="200" w:line="276" w:lineRule="auto"/>
        <w:sectPr w:rsidR="0041584B" w:rsidSect="0041584B">
          <w:pgSz w:w="16834" w:h="11909" w:orient="landscape" w:code="9"/>
          <w:pgMar w:top="1440" w:right="1440" w:bottom="1440" w:left="1440" w:header="709" w:footer="709" w:gutter="0"/>
          <w:cols w:space="708"/>
          <w:vAlign w:val="center"/>
          <w:docGrid w:linePitch="360"/>
        </w:sectPr>
      </w:pPr>
    </w:p>
    <w:p w14:paraId="0615C563" w14:textId="77777777" w:rsidR="0041584B" w:rsidRPr="00132B99" w:rsidRDefault="0041584B" w:rsidP="0041584B">
      <w:pPr>
        <w:pStyle w:val="DCHeading3"/>
      </w:pPr>
      <w:bookmarkStart w:id="763" w:name="Attachment3"/>
      <w:bookmarkStart w:id="764" w:name="_Toc268553702"/>
      <w:bookmarkStart w:id="765" w:name="_Ref269305583"/>
      <w:bookmarkStart w:id="766" w:name="_Ref269305610"/>
      <w:bookmarkStart w:id="767" w:name="_Ref269306897"/>
      <w:bookmarkStart w:id="768" w:name="_Ref269306911"/>
      <w:bookmarkStart w:id="769" w:name="_Toc269379890"/>
      <w:bookmarkStart w:id="770" w:name="_Toc269720539"/>
      <w:bookmarkStart w:id="771" w:name="_Toc269721235"/>
      <w:bookmarkStart w:id="772" w:name="_Toc391559976"/>
      <w:bookmarkStart w:id="773" w:name="_Toc510303096"/>
      <w:bookmarkStart w:id="774" w:name="_Toc513018507"/>
      <w:bookmarkStart w:id="775" w:name="_Toc518333692"/>
      <w:bookmarkStart w:id="776" w:name="_Toc527908548"/>
      <w:r w:rsidRPr="00132B99">
        <w:lastRenderedPageBreak/>
        <w:t>Attachment 3</w:t>
      </w:r>
      <w:bookmarkEnd w:id="763"/>
      <w:r w:rsidRPr="00132B99">
        <w:t xml:space="preserve"> - Output Results</w:t>
      </w:r>
      <w:bookmarkEnd w:id="764"/>
      <w:bookmarkEnd w:id="765"/>
      <w:bookmarkEnd w:id="766"/>
      <w:bookmarkEnd w:id="767"/>
      <w:bookmarkEnd w:id="768"/>
      <w:bookmarkEnd w:id="769"/>
      <w:bookmarkEnd w:id="770"/>
      <w:bookmarkEnd w:id="771"/>
      <w:bookmarkEnd w:id="772"/>
      <w:bookmarkEnd w:id="773"/>
      <w:bookmarkEnd w:id="774"/>
      <w:bookmarkEnd w:id="775"/>
      <w:bookmarkEnd w:id="776"/>
    </w:p>
    <w:p w14:paraId="0C4211FA" w14:textId="77777777" w:rsidR="0041584B" w:rsidRPr="0021310E" w:rsidRDefault="0041584B" w:rsidP="0041584B">
      <w:pPr>
        <w:pStyle w:val="ListParagraph"/>
        <w:numPr>
          <w:ilvl w:val="0"/>
          <w:numId w:val="79"/>
        </w:numPr>
        <w:ind w:hanging="720"/>
        <w:contextualSpacing w:val="0"/>
      </w:pPr>
      <w:r w:rsidRPr="0021310E">
        <w:t>The final output of the work outlined in this Schedule 18 are Peak and marginal charges in £/kVA/annum. This is not however the final EDCM Use of System Charge and further calculations under EDCM are required to derive this final charge.</w:t>
      </w:r>
    </w:p>
    <w:p w14:paraId="5DB86156" w14:textId="77777777" w:rsidR="0041584B" w:rsidRPr="00507652" w:rsidRDefault="0041584B" w:rsidP="0041584B">
      <w:pPr>
        <w:pStyle w:val="ListParagraph"/>
        <w:numPr>
          <w:ilvl w:val="0"/>
          <w:numId w:val="79"/>
        </w:numPr>
        <w:ind w:hanging="720"/>
        <w:contextualSpacing w:val="0"/>
      </w:pPr>
      <w:r w:rsidRPr="00507652">
        <w:t xml:space="preserve">The output data listed in table </w:t>
      </w:r>
      <w:r>
        <w:t>3</w:t>
      </w:r>
      <w:r w:rsidRPr="00507652">
        <w:t xml:space="preserve"> below are the minimum necessary for the calculation of the final EDCM Use of System Charges. For each Node where demand or generation is located a single pair of charges is required. For a Node where both demand and generation are located a double pair of charges is required (there will be two entries where ‘Node ID’ would be the same but all other values would be different).</w:t>
      </w:r>
    </w:p>
    <w:p w14:paraId="057AFEF5" w14:textId="77777777" w:rsidR="0041584B" w:rsidRPr="00507652" w:rsidRDefault="0041584B" w:rsidP="0041584B">
      <w:pPr>
        <w:pStyle w:val="ListParagraph"/>
        <w:numPr>
          <w:ilvl w:val="0"/>
          <w:numId w:val="79"/>
        </w:numPr>
        <w:ind w:hanging="720"/>
        <w:contextualSpacing w:val="0"/>
      </w:pPr>
      <w:r w:rsidRPr="00507652">
        <w:t>The outputs from the Power Flow Analysis, the Branch Rating Data and the network cost data (see Figure 5) will also be retained in the interests of transparency.</w:t>
      </w:r>
    </w:p>
    <w:p w14:paraId="5A93A0E5" w14:textId="77777777" w:rsidR="0041584B" w:rsidRPr="00507652" w:rsidRDefault="0041584B" w:rsidP="0041584B">
      <w:pPr>
        <w:pStyle w:val="Caption"/>
        <w:keepNext/>
      </w:pPr>
      <w:bookmarkStart w:id="777" w:name="_Ref277948735"/>
      <w:bookmarkStart w:id="778" w:name="_Toc253698476"/>
      <w:r w:rsidRPr="00507652">
        <w:t xml:space="preserve">Table </w:t>
      </w:r>
      <w:bookmarkEnd w:id="777"/>
      <w:r>
        <w:t>3</w:t>
      </w:r>
      <w:r w:rsidRPr="00507652">
        <w:t xml:space="preserve"> - Output information required to calculate final EHV charge</w:t>
      </w:r>
    </w:p>
    <w:tbl>
      <w:tblPr>
        <w:tblStyle w:val="GridTable4-Accent3"/>
        <w:tblW w:w="0" w:type="auto"/>
        <w:tblLook w:val="0620" w:firstRow="1" w:lastRow="0" w:firstColumn="0" w:lastColumn="0" w:noHBand="1" w:noVBand="1"/>
      </w:tblPr>
      <w:tblGrid>
        <w:gridCol w:w="2595"/>
        <w:gridCol w:w="6421"/>
      </w:tblGrid>
      <w:tr w:rsidR="0041584B" w:rsidRPr="00132B99" w14:paraId="084F9BE8" w14:textId="77777777" w:rsidTr="0041584B">
        <w:trPr>
          <w:cnfStyle w:val="100000000000" w:firstRow="1" w:lastRow="0" w:firstColumn="0" w:lastColumn="0" w:oddVBand="0" w:evenVBand="0" w:oddHBand="0" w:evenHBand="0" w:firstRowFirstColumn="0" w:firstRowLastColumn="0" w:lastRowFirstColumn="0" w:lastRowLastColumn="0"/>
        </w:trPr>
        <w:tc>
          <w:tcPr>
            <w:tcW w:w="0" w:type="auto"/>
          </w:tcPr>
          <w:bookmarkEnd w:id="778"/>
          <w:p w14:paraId="6C904B41" w14:textId="77777777" w:rsidR="0041584B" w:rsidRPr="00507652" w:rsidRDefault="0041584B" w:rsidP="0041584B">
            <w:pPr>
              <w:pStyle w:val="DCUSATableText"/>
            </w:pPr>
            <w:r w:rsidRPr="00507652">
              <w:t>Item Name</w:t>
            </w:r>
          </w:p>
        </w:tc>
        <w:tc>
          <w:tcPr>
            <w:tcW w:w="0" w:type="auto"/>
          </w:tcPr>
          <w:p w14:paraId="76A3E330" w14:textId="77777777" w:rsidR="0041584B" w:rsidRPr="00507652" w:rsidRDefault="0041584B" w:rsidP="0041584B">
            <w:pPr>
              <w:pStyle w:val="DCUSATableText"/>
            </w:pPr>
            <w:r w:rsidRPr="00507652">
              <w:t>Details</w:t>
            </w:r>
          </w:p>
        </w:tc>
      </w:tr>
      <w:tr w:rsidR="0041584B" w:rsidRPr="00132B99" w14:paraId="2840CE3A" w14:textId="77777777" w:rsidTr="0041584B">
        <w:tc>
          <w:tcPr>
            <w:tcW w:w="0" w:type="auto"/>
          </w:tcPr>
          <w:p w14:paraId="711CC34F" w14:textId="77777777" w:rsidR="0041584B" w:rsidRPr="00132B99" w:rsidRDefault="0041584B" w:rsidP="0041584B">
            <w:pPr>
              <w:pStyle w:val="DCUSATableText"/>
            </w:pPr>
            <w:r w:rsidRPr="00132B99">
              <w:t>Location ID</w:t>
            </w:r>
          </w:p>
        </w:tc>
        <w:tc>
          <w:tcPr>
            <w:tcW w:w="0" w:type="auto"/>
          </w:tcPr>
          <w:p w14:paraId="777D9818" w14:textId="77777777" w:rsidR="0041584B" w:rsidRPr="00132B99" w:rsidRDefault="0041584B" w:rsidP="0041584B">
            <w:pPr>
              <w:pStyle w:val="DCUSATableText"/>
            </w:pPr>
            <w:r w:rsidRPr="00132B99">
              <w:t>Unique identifier of the Node.</w:t>
            </w:r>
          </w:p>
        </w:tc>
      </w:tr>
      <w:tr w:rsidR="0041584B" w:rsidRPr="00132B99" w14:paraId="7CB8D2CC" w14:textId="77777777" w:rsidTr="0041584B">
        <w:tc>
          <w:tcPr>
            <w:tcW w:w="0" w:type="auto"/>
          </w:tcPr>
          <w:p w14:paraId="59344423" w14:textId="77777777" w:rsidR="0041584B" w:rsidRPr="00132B99" w:rsidRDefault="0041584B" w:rsidP="0041584B">
            <w:pPr>
              <w:pStyle w:val="DCUSATableText"/>
            </w:pPr>
            <w:r w:rsidRPr="00132B99">
              <w:t>Demand Type ID</w:t>
            </w:r>
          </w:p>
        </w:tc>
        <w:tc>
          <w:tcPr>
            <w:tcW w:w="0" w:type="auto"/>
          </w:tcPr>
          <w:p w14:paraId="4526CDFA" w14:textId="77777777" w:rsidR="0041584B" w:rsidRPr="00132B99" w:rsidRDefault="0041584B" w:rsidP="0041584B">
            <w:pPr>
              <w:pStyle w:val="DCUSATableText"/>
            </w:pPr>
            <w:r w:rsidRPr="00132B99">
              <w:t>Identifier for the type of demand (either ‘Demand’ or ‘Generation’)</w:t>
            </w:r>
          </w:p>
        </w:tc>
      </w:tr>
      <w:tr w:rsidR="0041584B" w:rsidRPr="00132B99" w14:paraId="57FE6CA3" w14:textId="77777777" w:rsidTr="0041584B">
        <w:tc>
          <w:tcPr>
            <w:tcW w:w="0" w:type="auto"/>
          </w:tcPr>
          <w:p w14:paraId="597BDA4A" w14:textId="77777777" w:rsidR="0041584B" w:rsidRPr="00132B99" w:rsidRDefault="0041584B" w:rsidP="0041584B">
            <w:pPr>
              <w:pStyle w:val="DCUSATableText"/>
            </w:pPr>
            <w:r w:rsidRPr="00132B99">
              <w:t>Local Charge 1: Local Element of Peak Charge (£/kVA/annum)</w:t>
            </w:r>
          </w:p>
        </w:tc>
        <w:tc>
          <w:tcPr>
            <w:tcW w:w="0" w:type="auto"/>
          </w:tcPr>
          <w:p w14:paraId="7F721E39" w14:textId="77777777" w:rsidR="0041584B" w:rsidRPr="00132B99" w:rsidRDefault="0041584B" w:rsidP="0041584B">
            <w:pPr>
              <w:pStyle w:val="DCUSATableText"/>
            </w:pPr>
            <w:r w:rsidRPr="00132B99">
              <w:t xml:space="preserve">See the </w:t>
            </w:r>
            <w:r>
              <w:fldChar w:fldCharType="begin"/>
            </w:r>
            <w:r>
              <w:instrText xml:space="preserve"> REF _Ref253697146 \h  \* MERGEFORMAT </w:instrText>
            </w:r>
            <w:r>
              <w:fldChar w:fldCharType="separate"/>
            </w:r>
            <w:r w:rsidRPr="004B265B">
              <w:rPr>
                <w:b/>
              </w:rPr>
              <w:t>Output results</w:t>
            </w:r>
            <w:r>
              <w:fldChar w:fldCharType="end"/>
            </w:r>
            <w:r w:rsidRPr="00132B99">
              <w:t xml:space="preserve"> Section. A positive value of Peak Charge represents a charge to demand (load) at the Node (or a credit to generation), whilst a negative value represents a credit to demand (load) at the Node (or a charge to generation)</w:t>
            </w:r>
          </w:p>
        </w:tc>
      </w:tr>
      <w:tr w:rsidR="0041584B" w:rsidRPr="00132B99" w14:paraId="72F5705F" w14:textId="77777777" w:rsidTr="0041584B">
        <w:tc>
          <w:tcPr>
            <w:tcW w:w="0" w:type="auto"/>
          </w:tcPr>
          <w:p w14:paraId="569A93D6" w14:textId="77777777" w:rsidR="0041584B" w:rsidRPr="00132B99" w:rsidRDefault="0041584B" w:rsidP="0041584B">
            <w:pPr>
              <w:pStyle w:val="DCUSATableText"/>
            </w:pPr>
            <w:r w:rsidRPr="00132B99">
              <w:t>Remote Charge 1: Remote Element of Peak Charge (£/kVA/annum)</w:t>
            </w:r>
          </w:p>
        </w:tc>
        <w:tc>
          <w:tcPr>
            <w:tcW w:w="0" w:type="auto"/>
          </w:tcPr>
          <w:p w14:paraId="032664CB" w14:textId="77777777" w:rsidR="0041584B" w:rsidRPr="00132B99" w:rsidRDefault="0041584B" w:rsidP="0041584B">
            <w:pPr>
              <w:pStyle w:val="DCUSATableText"/>
            </w:pPr>
            <w:r w:rsidRPr="00132B99">
              <w:t xml:space="preserve">See the </w:t>
            </w:r>
            <w:r>
              <w:fldChar w:fldCharType="begin"/>
            </w:r>
            <w:r>
              <w:instrText xml:space="preserve"> REF _Ref253697146 \h  \* MERGEFORMAT </w:instrText>
            </w:r>
            <w:r>
              <w:fldChar w:fldCharType="separate"/>
            </w:r>
            <w:r w:rsidRPr="004B265B">
              <w:rPr>
                <w:b/>
              </w:rPr>
              <w:t>Output results</w:t>
            </w:r>
            <w:r>
              <w:fldChar w:fldCharType="end"/>
            </w:r>
            <w:r w:rsidRPr="00132B99">
              <w:t xml:space="preserve"> Section. A positive value of Peak Charge represents a charge to demand (load) at the Node (or a credit to generation), whilst a negative value represents a credit to demand (load) at the Node (or a charge to generation)</w:t>
            </w:r>
          </w:p>
        </w:tc>
      </w:tr>
      <w:tr w:rsidR="0041584B" w:rsidRPr="00132B99" w14:paraId="0119742E" w14:textId="77777777" w:rsidTr="0041584B">
        <w:tc>
          <w:tcPr>
            <w:tcW w:w="0" w:type="auto"/>
          </w:tcPr>
          <w:p w14:paraId="4CE4E84C" w14:textId="77777777" w:rsidR="0041584B" w:rsidRPr="00132B99" w:rsidRDefault="0041584B" w:rsidP="0041584B">
            <w:pPr>
              <w:pStyle w:val="DCUSATableText"/>
            </w:pPr>
            <w:r w:rsidRPr="00132B99">
              <w:t>Active power (kW) for Maximum Demand Scenario.</w:t>
            </w:r>
          </w:p>
        </w:tc>
        <w:tc>
          <w:tcPr>
            <w:tcW w:w="0" w:type="auto"/>
          </w:tcPr>
          <w:p w14:paraId="04B078DD" w14:textId="77777777" w:rsidR="0041584B" w:rsidRPr="00132B99" w:rsidRDefault="0041584B" w:rsidP="0041584B">
            <w:pPr>
              <w:pStyle w:val="DCUSATableText"/>
            </w:pPr>
            <w:r w:rsidRPr="00132B99">
              <w:t>For a Node where demand (load) is located this would be the total kW demand (load) connected to the Node (negative value) in the Maximum Demand Scenario. For a Node where a generator is located this would be the total kW generation connected to the Node (positive value) in the Maximum Demand Scenario.</w:t>
            </w:r>
          </w:p>
        </w:tc>
      </w:tr>
      <w:tr w:rsidR="0041584B" w:rsidRPr="00132B99" w14:paraId="50753C0E" w14:textId="77777777" w:rsidTr="0041584B">
        <w:trPr>
          <w:trHeight w:val="558"/>
        </w:trPr>
        <w:tc>
          <w:tcPr>
            <w:tcW w:w="0" w:type="auto"/>
          </w:tcPr>
          <w:p w14:paraId="488ABD89" w14:textId="77777777" w:rsidR="0041584B" w:rsidRPr="00132B99" w:rsidRDefault="0041584B" w:rsidP="0041584B">
            <w:pPr>
              <w:pStyle w:val="DCUSATableText"/>
            </w:pPr>
            <w:r w:rsidRPr="00132B99">
              <w:t>Reactive power (</w:t>
            </w:r>
            <w:proofErr w:type="spellStart"/>
            <w:r w:rsidRPr="00132B99">
              <w:t>kVAr</w:t>
            </w:r>
            <w:proofErr w:type="spellEnd"/>
            <w:r w:rsidRPr="00132B99">
              <w:t>) for Maximum Demand Scenario.</w:t>
            </w:r>
          </w:p>
        </w:tc>
        <w:tc>
          <w:tcPr>
            <w:tcW w:w="0" w:type="auto"/>
          </w:tcPr>
          <w:p w14:paraId="0D960CC9" w14:textId="77777777" w:rsidR="0041584B" w:rsidRPr="00132B99" w:rsidRDefault="0041584B" w:rsidP="0041584B">
            <w:pPr>
              <w:pStyle w:val="DCUSATableText"/>
            </w:pPr>
            <w:r w:rsidRPr="00132B99">
              <w:t xml:space="preserve">For a Node where demand (load) is located this would be the total </w:t>
            </w:r>
            <w:proofErr w:type="spellStart"/>
            <w:r w:rsidRPr="00132B99">
              <w:t>kVAr</w:t>
            </w:r>
            <w:proofErr w:type="spellEnd"/>
            <w:r w:rsidRPr="00132B99">
              <w:t xml:space="preserve"> demand (load) connected to the Node in the Maximum Demand Scenario. For a Node where a generator is located this would be the total </w:t>
            </w:r>
            <w:proofErr w:type="spellStart"/>
            <w:r w:rsidRPr="00132B99">
              <w:t>kVAr</w:t>
            </w:r>
            <w:proofErr w:type="spellEnd"/>
            <w:r w:rsidRPr="00132B99">
              <w:t xml:space="preserve"> generation connected to the Node in the Maximum Demand Scenario.</w:t>
            </w:r>
            <w:bookmarkStart w:id="779" w:name="_Ref253696885"/>
            <w:r w:rsidRPr="00FE4229">
              <w:rPr>
                <w:vertAlign w:val="superscript"/>
              </w:rPr>
              <w:footnoteReference w:id="13"/>
            </w:r>
            <w:bookmarkEnd w:id="779"/>
          </w:p>
        </w:tc>
      </w:tr>
    </w:tbl>
    <w:p w14:paraId="3C8DD867" w14:textId="77777777" w:rsidR="0041584B" w:rsidRPr="00132B99" w:rsidRDefault="0041584B" w:rsidP="0041584B">
      <w:pPr>
        <w:pStyle w:val="DCHeading3"/>
      </w:pPr>
      <w:bookmarkStart w:id="780" w:name="_Toc391559977"/>
      <w:bookmarkStart w:id="781" w:name="_Toc510303097"/>
      <w:bookmarkStart w:id="782" w:name="_Toc513018508"/>
      <w:bookmarkStart w:id="783" w:name="_Toc518333693"/>
      <w:bookmarkStart w:id="784" w:name="_Toc527908549"/>
      <w:bookmarkStart w:id="785" w:name="_Ref269380097"/>
      <w:bookmarkStart w:id="786" w:name="_Ref269380140"/>
      <w:bookmarkStart w:id="787" w:name="_Toc269721236"/>
      <w:r w:rsidRPr="00132B99">
        <w:lastRenderedPageBreak/>
        <w:t>SCHEDULE 18 – EHV CHARGING METHODOLOGY (LRIC MODEL)</w:t>
      </w:r>
      <w:bookmarkEnd w:id="780"/>
      <w:bookmarkEnd w:id="781"/>
      <w:bookmarkEnd w:id="782"/>
      <w:bookmarkEnd w:id="783"/>
      <w:bookmarkEnd w:id="784"/>
    </w:p>
    <w:p w14:paraId="28B3AFCD" w14:textId="77777777" w:rsidR="0041584B" w:rsidRPr="00507652" w:rsidRDefault="0041584B" w:rsidP="0041584B">
      <w:pPr>
        <w:jc w:val="center"/>
        <w:rPr>
          <w:b/>
        </w:rPr>
      </w:pPr>
      <w:bookmarkStart w:id="788" w:name="Annex2"/>
      <w:r w:rsidRPr="00507652">
        <w:rPr>
          <w:b/>
        </w:rPr>
        <w:t>Annex 2</w:t>
      </w:r>
      <w:bookmarkEnd w:id="788"/>
      <w:r w:rsidRPr="00507652">
        <w:rPr>
          <w:b/>
        </w:rPr>
        <w:t xml:space="preserve"> – Derivation of the LRIC charging formula</w:t>
      </w:r>
      <w:bookmarkEnd w:id="785"/>
      <w:bookmarkEnd w:id="786"/>
      <w:bookmarkEnd w:id="787"/>
    </w:p>
    <w:p w14:paraId="106C10C9" w14:textId="77777777" w:rsidR="0041584B" w:rsidRPr="00132B99" w:rsidRDefault="0041584B" w:rsidP="0041584B">
      <w:pPr>
        <w:pStyle w:val="DCNormaParaL1"/>
      </w:pPr>
      <w:r w:rsidRPr="00132B99">
        <w:t>The essential concept of the LRIC charging model is one of marginal pricing which is applicable to competitive markets.  At the equilibrium point of supply and demand the clearing price in £/unit, being the cost (£) of producing another unit of output, is the economically efficient price because producers and consumers know this cost and can adjust their behaviour.  The concept is illustratively shown in Figure 18</w:t>
      </w:r>
      <w:r>
        <w:t xml:space="preserve"> </w:t>
      </w:r>
      <w:r w:rsidRPr="00132B99">
        <w:t xml:space="preserve">through definitions of </w:t>
      </w:r>
      <w:r w:rsidRPr="00507652">
        <w:rPr>
          <w:i/>
        </w:rPr>
        <w:t>marginal</w:t>
      </w:r>
      <w:r w:rsidRPr="00132B99">
        <w:t xml:space="preserve"> and </w:t>
      </w:r>
      <w:r w:rsidRPr="00507652">
        <w:rPr>
          <w:i/>
        </w:rPr>
        <w:t xml:space="preserve">incremental </w:t>
      </w:r>
      <w:r w:rsidRPr="00132B99">
        <w:t xml:space="preserve">costs.  Assuming a non-linear cost-demand curve, where demand can be either load or generation, marginal cost is the first derivative at the point </w:t>
      </w:r>
      <w:r w:rsidRPr="00507652">
        <w:rPr>
          <w:i/>
        </w:rPr>
        <w:t>(D</w:t>
      </w:r>
      <w:r w:rsidRPr="00507652">
        <w:rPr>
          <w:i/>
          <w:vertAlign w:val="superscript"/>
        </w:rPr>
        <w:t>0</w:t>
      </w:r>
      <w:r w:rsidRPr="00507652">
        <w:rPr>
          <w:i/>
        </w:rPr>
        <w:t>, C</w:t>
      </w:r>
      <w:r w:rsidRPr="00507652">
        <w:rPr>
          <w:i/>
          <w:vertAlign w:val="superscript"/>
        </w:rPr>
        <w:t>0</w:t>
      </w:r>
      <w:r w:rsidRPr="00507652">
        <w:rPr>
          <w:i/>
        </w:rPr>
        <w:t>)</w:t>
      </w:r>
      <w:r w:rsidRPr="00132B99">
        <w:t xml:space="preserve"> and it is denoted as </w:t>
      </w:r>
      <w:proofErr w:type="spellStart"/>
      <w:r w:rsidRPr="00507652">
        <w:rPr>
          <w:i/>
        </w:rPr>
        <w:t>tg</w:t>
      </w:r>
      <w:proofErr w:type="spellEnd"/>
      <w:r w:rsidRPr="00507652">
        <w:rPr>
          <w:i/>
        </w:rPr>
        <w:t>β</w:t>
      </w:r>
      <w:r w:rsidRPr="00132B99">
        <w:t xml:space="preserve"> in Figure 18(a).  Marginal cost is calculated analytically when the non-linear cost-demand relationship is known and is in explicit form.  In many instances, and in particular when the non-linear relationship is very complex or specified implicitly, it is preferable to calculate the first derivative in a numerical way using finite increments, which gives the incremental cost – Figure 18(b).  Given the current point </w:t>
      </w:r>
      <w:r w:rsidRPr="00507652">
        <w:rPr>
          <w:i/>
        </w:rPr>
        <w:t>(D</w:t>
      </w:r>
      <w:r w:rsidRPr="00507652">
        <w:rPr>
          <w:i/>
          <w:vertAlign w:val="superscript"/>
        </w:rPr>
        <w:t>0</w:t>
      </w:r>
      <w:r w:rsidRPr="00507652">
        <w:rPr>
          <w:i/>
        </w:rPr>
        <w:t>, C</w:t>
      </w:r>
      <w:r w:rsidRPr="00507652">
        <w:rPr>
          <w:i/>
          <w:vertAlign w:val="superscript"/>
        </w:rPr>
        <w:t>0</w:t>
      </w:r>
      <w:r w:rsidRPr="00507652">
        <w:rPr>
          <w:i/>
        </w:rPr>
        <w:t xml:space="preserve">), </w:t>
      </w:r>
      <w:r w:rsidRPr="00132B99">
        <w:t xml:space="preserve">demand is incremented by </w:t>
      </w:r>
      <w:r w:rsidRPr="00507652">
        <w:rPr>
          <w:i/>
        </w:rPr>
        <w:t>ΔD</w:t>
      </w:r>
      <w:r w:rsidRPr="00132B99">
        <w:t xml:space="preserve"> first, new cost </w:t>
      </w:r>
      <w:r w:rsidRPr="00507652">
        <w:rPr>
          <w:i/>
        </w:rPr>
        <w:t>(C</w:t>
      </w:r>
      <w:r w:rsidRPr="00507652">
        <w:rPr>
          <w:i/>
          <w:vertAlign w:val="superscript"/>
        </w:rPr>
        <w:t>0</w:t>
      </w:r>
      <w:r w:rsidRPr="00507652">
        <w:rPr>
          <w:i/>
        </w:rPr>
        <w:t>+ΔC)</w:t>
      </w:r>
      <w:r w:rsidRPr="00132B99">
        <w:t xml:space="preserve"> is calculated from the cost curve next and the ratio of </w:t>
      </w:r>
      <w:r w:rsidRPr="00507652">
        <w:rPr>
          <w:i/>
        </w:rPr>
        <w:t xml:space="preserve">ΔC to ΔD </w:t>
      </w:r>
      <w:r w:rsidRPr="00132B99">
        <w:t xml:space="preserve">gives the incremental cost </w:t>
      </w:r>
      <w:proofErr w:type="spellStart"/>
      <w:r w:rsidRPr="00507652">
        <w:rPr>
          <w:i/>
        </w:rPr>
        <w:t>tgγ</w:t>
      </w:r>
      <w:proofErr w:type="spellEnd"/>
      <w:r w:rsidRPr="00132B99">
        <w:t xml:space="preserve">.  The smaller the increment </w:t>
      </w:r>
      <w:r w:rsidRPr="00507652">
        <w:rPr>
          <w:i/>
        </w:rPr>
        <w:t>ΔD</w:t>
      </w:r>
      <w:r w:rsidRPr="00132B99">
        <w:t>, the closer the incremental cost to the marginal cost is.</w:t>
      </w:r>
    </w:p>
    <w:p w14:paraId="1CCCA32C" w14:textId="77777777" w:rsidR="0041584B" w:rsidRPr="00507652" w:rsidRDefault="0041584B" w:rsidP="0041584B">
      <w:pPr>
        <w:jc w:val="center"/>
        <w:rPr>
          <w:b/>
        </w:rPr>
      </w:pPr>
      <w:r w:rsidRPr="00507652">
        <w:rPr>
          <w:b/>
        </w:rPr>
        <w:t xml:space="preserve">Figure </w:t>
      </w:r>
      <w:r>
        <w:rPr>
          <w:b/>
        </w:rPr>
        <w:t>18</w:t>
      </w:r>
      <w:r w:rsidRPr="00507652">
        <w:rPr>
          <w:b/>
        </w:rPr>
        <w:t xml:space="preserve"> - Concept of marginal (a) and incremental costs (b)</w:t>
      </w:r>
    </w:p>
    <w:p w14:paraId="719C92A4" w14:textId="77777777" w:rsidR="0041584B" w:rsidRPr="00C70D7F" w:rsidRDefault="0041584B" w:rsidP="0041584B">
      <w:r>
        <w:rPr>
          <w:noProof/>
          <w:lang w:eastAsia="en-GB"/>
        </w:rPr>
        <mc:AlternateContent>
          <mc:Choice Requires="wpg">
            <w:drawing>
              <wp:anchor distT="0" distB="0" distL="114300" distR="114300" simplePos="0" relativeHeight="251662336" behindDoc="0" locked="0" layoutInCell="1" allowOverlap="1" wp14:anchorId="47D3B763" wp14:editId="202F36CB">
                <wp:simplePos x="0" y="0"/>
                <wp:positionH relativeFrom="column">
                  <wp:posOffset>71120</wp:posOffset>
                </wp:positionH>
                <wp:positionV relativeFrom="paragraph">
                  <wp:posOffset>46990</wp:posOffset>
                </wp:positionV>
                <wp:extent cx="5739130" cy="2207895"/>
                <wp:effectExtent l="0" t="38100" r="52070" b="1905"/>
                <wp:wrapNone/>
                <wp:docPr id="985" name="Group 1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39130" cy="2207895"/>
                          <a:chOff x="1246" y="8614"/>
                          <a:chExt cx="9548" cy="3477"/>
                        </a:xfrm>
                      </wpg:grpSpPr>
                      <wps:wsp>
                        <wps:cNvPr id="986" name="Text Box 136"/>
                        <wps:cNvSpPr txBox="1">
                          <a:spLocks noChangeArrowheads="1"/>
                        </wps:cNvSpPr>
                        <wps:spPr bwMode="auto">
                          <a:xfrm>
                            <a:off x="4325" y="10956"/>
                            <a:ext cx="1009" cy="654"/>
                          </a:xfrm>
                          <a:prstGeom prst="rect">
                            <a:avLst/>
                          </a:prstGeom>
                          <a:noFill/>
                          <a:ln>
                            <a:noFill/>
                          </a:ln>
                          <a:extLst>
                            <a:ext uri="{909E8E84-426E-40DD-AFC4-6F175D3DCCD1}">
                              <a14:hiddenFill xmlns:a14="http://schemas.microsoft.com/office/drawing/2010/main">
                                <a:solidFill>
                                  <a:srgbClr val="005696"/>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C54C4C" w14:textId="77777777" w:rsidR="0041584B" w:rsidRPr="003765DA" w:rsidRDefault="0041584B" w:rsidP="0041584B">
                              <w:pPr>
                                <w:autoSpaceDE w:val="0"/>
                                <w:autoSpaceDN w:val="0"/>
                                <w:adjustRightInd w:val="0"/>
                                <w:jc w:val="center"/>
                                <w:rPr>
                                  <w:b/>
                                  <w:bCs/>
                                </w:rPr>
                              </w:pPr>
                              <w:r w:rsidRPr="003765DA">
                                <w:rPr>
                                  <w:b/>
                                  <w:bCs/>
                                </w:rPr>
                                <w:t>Demand</w:t>
                              </w:r>
                            </w:p>
                          </w:txbxContent>
                        </wps:txbx>
                        <wps:bodyPr rot="0" vert="horz" wrap="square" lIns="0" tIns="0" rIns="0" bIns="0" anchor="t" anchorCtr="0" upright="1">
                          <a:spAutoFit/>
                        </wps:bodyPr>
                      </wps:wsp>
                      <wps:wsp>
                        <wps:cNvPr id="987" name="Line 137"/>
                        <wps:cNvCnPr/>
                        <wps:spPr bwMode="auto">
                          <a:xfrm flipV="1">
                            <a:off x="1531" y="8628"/>
                            <a:ext cx="0" cy="2791"/>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988" name="Line 138"/>
                        <wps:cNvCnPr/>
                        <wps:spPr bwMode="auto">
                          <a:xfrm>
                            <a:off x="1246" y="11282"/>
                            <a:ext cx="4163" cy="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989" name="Text Box 139"/>
                        <wps:cNvSpPr txBox="1">
                          <a:spLocks noChangeArrowheads="1"/>
                        </wps:cNvSpPr>
                        <wps:spPr bwMode="auto">
                          <a:xfrm>
                            <a:off x="1531" y="8614"/>
                            <a:ext cx="941" cy="867"/>
                          </a:xfrm>
                          <a:prstGeom prst="rect">
                            <a:avLst/>
                          </a:prstGeom>
                          <a:noFill/>
                          <a:ln>
                            <a:noFill/>
                          </a:ln>
                          <a:extLst>
                            <a:ext uri="{909E8E84-426E-40DD-AFC4-6F175D3DCCD1}">
                              <a14:hiddenFill xmlns:a14="http://schemas.microsoft.com/office/drawing/2010/main">
                                <a:solidFill>
                                  <a:srgbClr val="005696"/>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02705C" w14:textId="77777777" w:rsidR="0041584B" w:rsidRPr="003765DA" w:rsidRDefault="0041584B" w:rsidP="0041584B">
                              <w:pPr>
                                <w:autoSpaceDE w:val="0"/>
                                <w:autoSpaceDN w:val="0"/>
                                <w:adjustRightInd w:val="0"/>
                                <w:rPr>
                                  <w:b/>
                                  <w:bCs/>
                                  <w:sz w:val="28"/>
                                  <w:szCs w:val="28"/>
                                </w:rPr>
                              </w:pPr>
                              <w:r w:rsidRPr="003765DA">
                                <w:rPr>
                                  <w:b/>
                                  <w:bCs/>
                                  <w:sz w:val="28"/>
                                  <w:szCs w:val="28"/>
                                </w:rPr>
                                <w:t>Cost</w:t>
                              </w:r>
                            </w:p>
                          </w:txbxContent>
                        </wps:txbx>
                        <wps:bodyPr rot="0" vert="horz" wrap="square" lIns="91440" tIns="45720" rIns="91440" bIns="45720" anchor="t" anchorCtr="0" upright="1">
                          <a:spAutoFit/>
                        </wps:bodyPr>
                      </wps:wsp>
                      <wps:wsp>
                        <wps:cNvPr id="990" name="Arc 140"/>
                        <wps:cNvSpPr>
                          <a:spLocks/>
                        </wps:cNvSpPr>
                        <wps:spPr bwMode="auto">
                          <a:xfrm rot="5400000">
                            <a:off x="2494" y="8883"/>
                            <a:ext cx="1809" cy="2008"/>
                          </a:xfrm>
                          <a:custGeom>
                            <a:avLst/>
                            <a:gdLst>
                              <a:gd name="T0" fmla="*/ 0 w 21600"/>
                              <a:gd name="T1" fmla="*/ 0 h 21600"/>
                              <a:gd name="T2" fmla="*/ 1809 w 21600"/>
                              <a:gd name="T3" fmla="*/ 1904 h 21600"/>
                              <a:gd name="T4" fmla="*/ 0 w 21600"/>
                              <a:gd name="T5" fmla="*/ 2008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496" y="0"/>
                                  <a:pt x="20978" y="9004"/>
                                  <a:pt x="21571" y="20485"/>
                                </a:cubicBezTo>
                              </a:path>
                              <a:path w="21600" h="21600" stroke="0" extrusionOk="0">
                                <a:moveTo>
                                  <a:pt x="-1" y="0"/>
                                </a:moveTo>
                                <a:cubicBezTo>
                                  <a:pt x="11496" y="0"/>
                                  <a:pt x="20978" y="9004"/>
                                  <a:pt x="21571" y="20485"/>
                                </a:cubicBezTo>
                                <a:lnTo>
                                  <a:pt x="0" y="21600"/>
                                </a:lnTo>
                                <a:lnTo>
                                  <a:pt x="-1" y="0"/>
                                </a:lnTo>
                                <a:close/>
                              </a:path>
                            </a:pathLst>
                          </a:custGeom>
                          <a:noFill/>
                          <a:ln w="19050">
                            <a:solidFill>
                              <a:srgbClr val="000000"/>
                            </a:solidFill>
                            <a:round/>
                            <a:headEnd/>
                            <a:tailEnd/>
                          </a:ln>
                          <a:extLst>
                            <a:ext uri="{909E8E84-426E-40DD-AFC4-6F175D3DCCD1}">
                              <a14:hiddenFill xmlns:a14="http://schemas.microsoft.com/office/drawing/2010/main">
                                <a:solidFill>
                                  <a:srgbClr val="005696"/>
                                </a:solidFill>
                              </a14:hiddenFill>
                            </a:ext>
                          </a:extLst>
                        </wps:spPr>
                        <wps:bodyPr rot="0" vert="horz" wrap="none" lIns="91440" tIns="45720" rIns="91440" bIns="45720" anchor="ctr" anchorCtr="0" upright="1">
                          <a:noAutofit/>
                        </wps:bodyPr>
                      </wps:wsp>
                      <wps:wsp>
                        <wps:cNvPr id="991" name="Line 141"/>
                        <wps:cNvCnPr/>
                        <wps:spPr bwMode="auto">
                          <a:xfrm flipV="1">
                            <a:off x="2866" y="8866"/>
                            <a:ext cx="2195" cy="25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92" name="Text Box 142"/>
                        <wps:cNvSpPr txBox="1">
                          <a:spLocks noChangeArrowheads="1"/>
                        </wps:cNvSpPr>
                        <wps:spPr bwMode="auto">
                          <a:xfrm>
                            <a:off x="3898" y="9450"/>
                            <a:ext cx="316" cy="723"/>
                          </a:xfrm>
                          <a:prstGeom prst="rect">
                            <a:avLst/>
                          </a:prstGeom>
                          <a:noFill/>
                          <a:ln>
                            <a:noFill/>
                          </a:ln>
                          <a:extLst>
                            <a:ext uri="{909E8E84-426E-40DD-AFC4-6F175D3DCCD1}">
                              <a14:hiddenFill xmlns:a14="http://schemas.microsoft.com/office/drawing/2010/main">
                                <a:solidFill>
                                  <a:srgbClr val="005696"/>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451ADE" w14:textId="77777777" w:rsidR="0041584B" w:rsidRPr="003765DA" w:rsidRDefault="0041584B" w:rsidP="0041584B">
                              <w:pPr>
                                <w:autoSpaceDE w:val="0"/>
                                <w:autoSpaceDN w:val="0"/>
                                <w:adjustRightInd w:val="0"/>
                                <w:rPr>
                                  <w:rFonts w:ascii="Arial" w:hAnsi="Arial" w:cs="Arial"/>
                                  <w:b/>
                                  <w:bCs/>
                                  <w:sz w:val="28"/>
                                  <w:szCs w:val="28"/>
                                </w:rPr>
                              </w:pPr>
                              <w:r w:rsidRPr="003765DA">
                                <w:rPr>
                                  <w:rFonts w:ascii="Arial" w:hAnsi="Arial" w:cs="Arial"/>
                                  <w:b/>
                                  <w:bCs/>
                                  <w:sz w:val="28"/>
                                  <w:szCs w:val="28"/>
                                </w:rPr>
                                <w:t>A</w:t>
                              </w:r>
                            </w:p>
                          </w:txbxContent>
                        </wps:txbx>
                        <wps:bodyPr rot="0" vert="horz" wrap="square" lIns="0" tIns="0" rIns="0" bIns="0" anchor="t" anchorCtr="0" upright="1">
                          <a:spAutoFit/>
                        </wps:bodyPr>
                      </wps:wsp>
                      <wps:wsp>
                        <wps:cNvPr id="993" name="Text Box 143"/>
                        <wps:cNvSpPr txBox="1">
                          <a:spLocks noChangeArrowheads="1"/>
                        </wps:cNvSpPr>
                        <wps:spPr bwMode="auto">
                          <a:xfrm>
                            <a:off x="3852" y="11352"/>
                            <a:ext cx="473" cy="723"/>
                          </a:xfrm>
                          <a:prstGeom prst="rect">
                            <a:avLst/>
                          </a:prstGeom>
                          <a:noFill/>
                          <a:ln>
                            <a:noFill/>
                          </a:ln>
                          <a:extLst>
                            <a:ext uri="{909E8E84-426E-40DD-AFC4-6F175D3DCCD1}">
                              <a14:hiddenFill xmlns:a14="http://schemas.microsoft.com/office/drawing/2010/main">
                                <a:solidFill>
                                  <a:srgbClr val="005696"/>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4CF0AF" w14:textId="77777777" w:rsidR="0041584B" w:rsidRPr="003765DA" w:rsidRDefault="0041584B" w:rsidP="0041584B">
                              <w:pPr>
                                <w:autoSpaceDE w:val="0"/>
                                <w:autoSpaceDN w:val="0"/>
                                <w:adjustRightInd w:val="0"/>
                                <w:jc w:val="center"/>
                                <w:rPr>
                                  <w:b/>
                                  <w:bCs/>
                                  <w:sz w:val="28"/>
                                  <w:szCs w:val="28"/>
                                </w:rPr>
                              </w:pPr>
                              <w:r w:rsidRPr="003765DA">
                                <w:rPr>
                                  <w:b/>
                                  <w:bCs/>
                                  <w:sz w:val="28"/>
                                  <w:szCs w:val="28"/>
                                </w:rPr>
                                <w:t>D</w:t>
                              </w:r>
                              <w:r w:rsidRPr="003765DA">
                                <w:rPr>
                                  <w:b/>
                                  <w:bCs/>
                                  <w:sz w:val="28"/>
                                  <w:szCs w:val="28"/>
                                  <w:vertAlign w:val="superscript"/>
                                </w:rPr>
                                <w:t>0</w:t>
                              </w:r>
                            </w:p>
                          </w:txbxContent>
                        </wps:txbx>
                        <wps:bodyPr rot="0" vert="horz" wrap="square" lIns="0" tIns="0" rIns="0" bIns="0" anchor="t" anchorCtr="0" upright="1">
                          <a:spAutoFit/>
                        </wps:bodyPr>
                      </wps:wsp>
                      <wps:wsp>
                        <wps:cNvPr id="994" name="Line 144"/>
                        <wps:cNvCnPr/>
                        <wps:spPr bwMode="auto">
                          <a:xfrm>
                            <a:off x="4059" y="9819"/>
                            <a:ext cx="0" cy="158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995" name="Text Box 145"/>
                        <wps:cNvSpPr txBox="1">
                          <a:spLocks noChangeArrowheads="1"/>
                        </wps:cNvSpPr>
                        <wps:spPr bwMode="auto">
                          <a:xfrm>
                            <a:off x="1610" y="9563"/>
                            <a:ext cx="469" cy="723"/>
                          </a:xfrm>
                          <a:prstGeom prst="rect">
                            <a:avLst/>
                          </a:prstGeom>
                          <a:noFill/>
                          <a:ln>
                            <a:noFill/>
                          </a:ln>
                          <a:extLst>
                            <a:ext uri="{909E8E84-426E-40DD-AFC4-6F175D3DCCD1}">
                              <a14:hiddenFill xmlns:a14="http://schemas.microsoft.com/office/drawing/2010/main">
                                <a:solidFill>
                                  <a:srgbClr val="005696"/>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DBB524" w14:textId="77777777" w:rsidR="0041584B" w:rsidRPr="003765DA" w:rsidRDefault="0041584B" w:rsidP="0041584B">
                              <w:pPr>
                                <w:autoSpaceDE w:val="0"/>
                                <w:autoSpaceDN w:val="0"/>
                                <w:adjustRightInd w:val="0"/>
                                <w:jc w:val="center"/>
                                <w:rPr>
                                  <w:b/>
                                  <w:bCs/>
                                  <w:sz w:val="28"/>
                                  <w:szCs w:val="28"/>
                                </w:rPr>
                              </w:pPr>
                              <w:r w:rsidRPr="003765DA">
                                <w:rPr>
                                  <w:b/>
                                  <w:bCs/>
                                  <w:sz w:val="28"/>
                                  <w:szCs w:val="28"/>
                                </w:rPr>
                                <w:t>C</w:t>
                              </w:r>
                              <w:r w:rsidRPr="003765DA">
                                <w:rPr>
                                  <w:b/>
                                  <w:bCs/>
                                  <w:sz w:val="28"/>
                                  <w:szCs w:val="28"/>
                                  <w:vertAlign w:val="superscript"/>
                                </w:rPr>
                                <w:t>0</w:t>
                              </w:r>
                            </w:p>
                          </w:txbxContent>
                        </wps:txbx>
                        <wps:bodyPr rot="0" vert="horz" wrap="square" lIns="0" tIns="0" rIns="0" bIns="0" anchor="t" anchorCtr="0" upright="1">
                          <a:spAutoFit/>
                        </wps:bodyPr>
                      </wps:wsp>
                      <wps:wsp>
                        <wps:cNvPr id="996" name="Line 146"/>
                        <wps:cNvCnPr/>
                        <wps:spPr bwMode="auto">
                          <a:xfrm flipV="1">
                            <a:off x="1425" y="9974"/>
                            <a:ext cx="3200" cy="1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997" name="Text Box 147"/>
                        <wps:cNvSpPr txBox="1">
                          <a:spLocks noChangeArrowheads="1"/>
                        </wps:cNvSpPr>
                        <wps:spPr bwMode="auto">
                          <a:xfrm>
                            <a:off x="3318" y="10892"/>
                            <a:ext cx="504" cy="723"/>
                          </a:xfrm>
                          <a:prstGeom prst="rect">
                            <a:avLst/>
                          </a:prstGeom>
                          <a:noFill/>
                          <a:ln>
                            <a:noFill/>
                          </a:ln>
                          <a:extLst>
                            <a:ext uri="{909E8E84-426E-40DD-AFC4-6F175D3DCCD1}">
                              <a14:hiddenFill xmlns:a14="http://schemas.microsoft.com/office/drawing/2010/main">
                                <a:solidFill>
                                  <a:srgbClr val="005696"/>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E53D0E" w14:textId="77777777" w:rsidR="0041584B" w:rsidRPr="003765DA" w:rsidRDefault="0041584B" w:rsidP="0041584B">
                              <w:pPr>
                                <w:autoSpaceDE w:val="0"/>
                                <w:autoSpaceDN w:val="0"/>
                                <w:adjustRightInd w:val="0"/>
                                <w:jc w:val="center"/>
                                <w:rPr>
                                  <w:b/>
                                  <w:bCs/>
                                  <w:sz w:val="28"/>
                                  <w:szCs w:val="28"/>
                                  <w:lang w:val="el-GR"/>
                                </w:rPr>
                              </w:pPr>
                              <w:r w:rsidRPr="003765DA">
                                <w:rPr>
                                  <w:b/>
                                  <w:bCs/>
                                  <w:sz w:val="28"/>
                                  <w:szCs w:val="28"/>
                                </w:rPr>
                                <w:t>tg</w:t>
                              </w:r>
                              <w:r w:rsidRPr="003765DA">
                                <w:rPr>
                                  <w:b/>
                                  <w:bCs/>
                                  <w:sz w:val="28"/>
                                  <w:szCs w:val="28"/>
                                  <w:lang w:val="el-GR"/>
                                </w:rPr>
                                <w:t>β</w:t>
                              </w:r>
                            </w:p>
                          </w:txbxContent>
                        </wps:txbx>
                        <wps:bodyPr rot="0" vert="horz" wrap="square" lIns="0" tIns="0" rIns="0" bIns="0" anchor="t" anchorCtr="0" upright="1">
                          <a:spAutoFit/>
                        </wps:bodyPr>
                      </wps:wsp>
                      <wps:wsp>
                        <wps:cNvPr id="998" name="Oval 148"/>
                        <wps:cNvSpPr>
                          <a:spLocks noChangeArrowheads="1"/>
                        </wps:cNvSpPr>
                        <wps:spPr bwMode="auto">
                          <a:xfrm>
                            <a:off x="3990" y="9912"/>
                            <a:ext cx="140" cy="14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999" name="Text Box 149"/>
                        <wps:cNvSpPr txBox="1">
                          <a:spLocks noChangeArrowheads="1"/>
                        </wps:cNvSpPr>
                        <wps:spPr bwMode="auto">
                          <a:xfrm>
                            <a:off x="9646" y="10960"/>
                            <a:ext cx="1053" cy="654"/>
                          </a:xfrm>
                          <a:prstGeom prst="rect">
                            <a:avLst/>
                          </a:prstGeom>
                          <a:noFill/>
                          <a:ln>
                            <a:noFill/>
                          </a:ln>
                          <a:extLst>
                            <a:ext uri="{909E8E84-426E-40DD-AFC4-6F175D3DCCD1}">
                              <a14:hiddenFill xmlns:a14="http://schemas.microsoft.com/office/drawing/2010/main">
                                <a:solidFill>
                                  <a:srgbClr val="005696"/>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981657" w14:textId="77777777" w:rsidR="0041584B" w:rsidRPr="00E47383" w:rsidRDefault="0041584B" w:rsidP="0041584B">
                              <w:pPr>
                                <w:autoSpaceDE w:val="0"/>
                                <w:autoSpaceDN w:val="0"/>
                                <w:adjustRightInd w:val="0"/>
                                <w:jc w:val="center"/>
                                <w:rPr>
                                  <w:b/>
                                  <w:bCs/>
                                </w:rPr>
                              </w:pPr>
                              <w:r w:rsidRPr="00E47383">
                                <w:rPr>
                                  <w:b/>
                                  <w:bCs/>
                                </w:rPr>
                                <w:t>Demand</w:t>
                              </w:r>
                            </w:p>
                          </w:txbxContent>
                        </wps:txbx>
                        <wps:bodyPr rot="0" vert="horz" wrap="square" lIns="0" tIns="0" rIns="0" bIns="0" anchor="t" anchorCtr="0" upright="1">
                          <a:spAutoFit/>
                        </wps:bodyPr>
                      </wps:wsp>
                      <wps:wsp>
                        <wps:cNvPr id="1000" name="Line 150"/>
                        <wps:cNvCnPr/>
                        <wps:spPr bwMode="auto">
                          <a:xfrm flipV="1">
                            <a:off x="6397" y="8632"/>
                            <a:ext cx="0" cy="2791"/>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1001" name="Line 151"/>
                        <wps:cNvCnPr/>
                        <wps:spPr bwMode="auto">
                          <a:xfrm>
                            <a:off x="6112" y="11285"/>
                            <a:ext cx="4682" cy="13"/>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1002" name="Text Box 152"/>
                        <wps:cNvSpPr txBox="1">
                          <a:spLocks noChangeArrowheads="1"/>
                        </wps:cNvSpPr>
                        <wps:spPr bwMode="auto">
                          <a:xfrm>
                            <a:off x="6481" y="8615"/>
                            <a:ext cx="696" cy="723"/>
                          </a:xfrm>
                          <a:prstGeom prst="rect">
                            <a:avLst/>
                          </a:prstGeom>
                          <a:noFill/>
                          <a:ln>
                            <a:noFill/>
                          </a:ln>
                          <a:extLst>
                            <a:ext uri="{909E8E84-426E-40DD-AFC4-6F175D3DCCD1}">
                              <a14:hiddenFill xmlns:a14="http://schemas.microsoft.com/office/drawing/2010/main">
                                <a:solidFill>
                                  <a:srgbClr val="005696"/>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4E6806" w14:textId="77777777" w:rsidR="0041584B" w:rsidRPr="00E47383" w:rsidRDefault="0041584B" w:rsidP="0041584B">
                              <w:pPr>
                                <w:autoSpaceDE w:val="0"/>
                                <w:autoSpaceDN w:val="0"/>
                                <w:adjustRightInd w:val="0"/>
                                <w:rPr>
                                  <w:b/>
                                  <w:bCs/>
                                  <w:sz w:val="28"/>
                                  <w:szCs w:val="28"/>
                                </w:rPr>
                              </w:pPr>
                              <w:r w:rsidRPr="00E47383">
                                <w:rPr>
                                  <w:b/>
                                  <w:bCs/>
                                  <w:sz w:val="28"/>
                                  <w:szCs w:val="28"/>
                                </w:rPr>
                                <w:t>Cost</w:t>
                              </w:r>
                            </w:p>
                          </w:txbxContent>
                        </wps:txbx>
                        <wps:bodyPr rot="0" vert="horz" wrap="square" lIns="0" tIns="0" rIns="0" bIns="0" anchor="t" anchorCtr="0" upright="1">
                          <a:spAutoFit/>
                        </wps:bodyPr>
                      </wps:wsp>
                      <wps:wsp>
                        <wps:cNvPr id="1003" name="Arc 153"/>
                        <wps:cNvSpPr>
                          <a:spLocks/>
                        </wps:cNvSpPr>
                        <wps:spPr bwMode="auto">
                          <a:xfrm rot="5400000">
                            <a:off x="7360" y="8888"/>
                            <a:ext cx="1809" cy="2006"/>
                          </a:xfrm>
                          <a:custGeom>
                            <a:avLst/>
                            <a:gdLst>
                              <a:gd name="T0" fmla="*/ 0 w 21600"/>
                              <a:gd name="T1" fmla="*/ 0 h 21600"/>
                              <a:gd name="T2" fmla="*/ 1809 w 21600"/>
                              <a:gd name="T3" fmla="*/ 1903 h 21600"/>
                              <a:gd name="T4" fmla="*/ 0 w 21600"/>
                              <a:gd name="T5" fmla="*/ 2006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496" y="0"/>
                                  <a:pt x="20978" y="9004"/>
                                  <a:pt x="21571" y="20485"/>
                                </a:cubicBezTo>
                              </a:path>
                              <a:path w="21600" h="21600" stroke="0" extrusionOk="0">
                                <a:moveTo>
                                  <a:pt x="-1" y="0"/>
                                </a:moveTo>
                                <a:cubicBezTo>
                                  <a:pt x="11496" y="0"/>
                                  <a:pt x="20978" y="9004"/>
                                  <a:pt x="21571" y="20485"/>
                                </a:cubicBezTo>
                                <a:lnTo>
                                  <a:pt x="0" y="21600"/>
                                </a:lnTo>
                                <a:lnTo>
                                  <a:pt x="-1" y="0"/>
                                </a:lnTo>
                                <a:close/>
                              </a:path>
                            </a:pathLst>
                          </a:custGeom>
                          <a:noFill/>
                          <a:ln w="19050">
                            <a:solidFill>
                              <a:srgbClr val="000000"/>
                            </a:solidFill>
                            <a:round/>
                            <a:headEnd/>
                            <a:tailEnd/>
                          </a:ln>
                          <a:extLst>
                            <a:ext uri="{909E8E84-426E-40DD-AFC4-6F175D3DCCD1}">
                              <a14:hiddenFill xmlns:a14="http://schemas.microsoft.com/office/drawing/2010/main">
                                <a:solidFill>
                                  <a:srgbClr val="005696"/>
                                </a:solidFill>
                              </a14:hiddenFill>
                            </a:ext>
                          </a:extLst>
                        </wps:spPr>
                        <wps:bodyPr rot="0" vert="horz" wrap="none" lIns="91440" tIns="45720" rIns="91440" bIns="45720" anchor="ctr" anchorCtr="0" upright="1">
                          <a:noAutofit/>
                        </wps:bodyPr>
                      </wps:wsp>
                      <wps:wsp>
                        <wps:cNvPr id="1004" name="Oval 154"/>
                        <wps:cNvSpPr>
                          <a:spLocks noChangeArrowheads="1"/>
                        </wps:cNvSpPr>
                        <wps:spPr bwMode="auto">
                          <a:xfrm>
                            <a:off x="8677" y="10145"/>
                            <a:ext cx="144" cy="137"/>
                          </a:xfrm>
                          <a:prstGeom prst="ellipse">
                            <a:avLst/>
                          </a:prstGeom>
                          <a:solidFill>
                            <a:srgbClr val="000000"/>
                          </a:solidFill>
                          <a:ln w="9525">
                            <a:solidFill>
                              <a:srgbClr val="000000"/>
                            </a:solidFill>
                            <a:round/>
                            <a:headEnd/>
                            <a:tailEnd/>
                          </a:ln>
                        </wps:spPr>
                        <wps:bodyPr rot="0" vert="horz" wrap="none" lIns="91440" tIns="45720" rIns="91440" bIns="45720" anchor="ctr" anchorCtr="0" upright="1">
                          <a:noAutofit/>
                        </wps:bodyPr>
                      </wps:wsp>
                      <wps:wsp>
                        <wps:cNvPr id="1005" name="Line 155"/>
                        <wps:cNvCnPr/>
                        <wps:spPr bwMode="auto">
                          <a:xfrm flipV="1">
                            <a:off x="8164" y="8839"/>
                            <a:ext cx="1421" cy="232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06" name="Text Box 156"/>
                        <wps:cNvSpPr txBox="1">
                          <a:spLocks noChangeArrowheads="1"/>
                        </wps:cNvSpPr>
                        <wps:spPr bwMode="auto">
                          <a:xfrm>
                            <a:off x="8353" y="9791"/>
                            <a:ext cx="262" cy="723"/>
                          </a:xfrm>
                          <a:prstGeom prst="rect">
                            <a:avLst/>
                          </a:prstGeom>
                          <a:noFill/>
                          <a:ln>
                            <a:noFill/>
                          </a:ln>
                          <a:extLst>
                            <a:ext uri="{909E8E84-426E-40DD-AFC4-6F175D3DCCD1}">
                              <a14:hiddenFill xmlns:a14="http://schemas.microsoft.com/office/drawing/2010/main">
                                <a:solidFill>
                                  <a:srgbClr val="005696"/>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09AED4" w14:textId="77777777" w:rsidR="0041584B" w:rsidRPr="00E47383" w:rsidRDefault="0041584B" w:rsidP="0041584B">
                              <w:pPr>
                                <w:autoSpaceDE w:val="0"/>
                                <w:autoSpaceDN w:val="0"/>
                                <w:adjustRightInd w:val="0"/>
                                <w:rPr>
                                  <w:rFonts w:ascii="Arial" w:hAnsi="Arial" w:cs="Arial"/>
                                  <w:b/>
                                  <w:bCs/>
                                  <w:sz w:val="28"/>
                                  <w:szCs w:val="28"/>
                                </w:rPr>
                              </w:pPr>
                              <w:r w:rsidRPr="00E47383">
                                <w:rPr>
                                  <w:rFonts w:ascii="Arial" w:hAnsi="Arial" w:cs="Arial"/>
                                  <w:b/>
                                  <w:bCs/>
                                  <w:sz w:val="28"/>
                                  <w:szCs w:val="28"/>
                                </w:rPr>
                                <w:t>A</w:t>
                              </w:r>
                            </w:p>
                          </w:txbxContent>
                        </wps:txbx>
                        <wps:bodyPr rot="0" vert="horz" wrap="square" lIns="0" tIns="0" rIns="0" bIns="0" anchor="t" anchorCtr="0" upright="1">
                          <a:spAutoFit/>
                        </wps:bodyPr>
                      </wps:wsp>
                      <wps:wsp>
                        <wps:cNvPr id="1007" name="Text Box 157"/>
                        <wps:cNvSpPr txBox="1">
                          <a:spLocks noChangeArrowheads="1"/>
                        </wps:cNvSpPr>
                        <wps:spPr bwMode="auto">
                          <a:xfrm>
                            <a:off x="8495" y="11359"/>
                            <a:ext cx="417" cy="723"/>
                          </a:xfrm>
                          <a:prstGeom prst="rect">
                            <a:avLst/>
                          </a:prstGeom>
                          <a:noFill/>
                          <a:ln>
                            <a:noFill/>
                          </a:ln>
                          <a:extLst>
                            <a:ext uri="{909E8E84-426E-40DD-AFC4-6F175D3DCCD1}">
                              <a14:hiddenFill xmlns:a14="http://schemas.microsoft.com/office/drawing/2010/main">
                                <a:solidFill>
                                  <a:srgbClr val="005696"/>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401A3E" w14:textId="77777777" w:rsidR="0041584B" w:rsidRPr="00E47383" w:rsidRDefault="0041584B" w:rsidP="0041584B">
                              <w:pPr>
                                <w:autoSpaceDE w:val="0"/>
                                <w:autoSpaceDN w:val="0"/>
                                <w:adjustRightInd w:val="0"/>
                                <w:jc w:val="center"/>
                                <w:rPr>
                                  <w:b/>
                                  <w:bCs/>
                                  <w:sz w:val="28"/>
                                  <w:szCs w:val="28"/>
                                </w:rPr>
                              </w:pPr>
                              <w:r w:rsidRPr="00E47383">
                                <w:rPr>
                                  <w:b/>
                                  <w:bCs/>
                                  <w:sz w:val="28"/>
                                  <w:szCs w:val="28"/>
                                </w:rPr>
                                <w:t>D</w:t>
                              </w:r>
                              <w:r w:rsidRPr="00E47383">
                                <w:rPr>
                                  <w:b/>
                                  <w:bCs/>
                                  <w:sz w:val="28"/>
                                  <w:szCs w:val="28"/>
                                  <w:vertAlign w:val="superscript"/>
                                </w:rPr>
                                <w:t>0</w:t>
                              </w:r>
                            </w:p>
                          </w:txbxContent>
                        </wps:txbx>
                        <wps:bodyPr rot="0" vert="horz" wrap="square" lIns="0" tIns="0" rIns="0" bIns="0" anchor="t" anchorCtr="0" upright="1">
                          <a:spAutoFit/>
                        </wps:bodyPr>
                      </wps:wsp>
                      <wps:wsp>
                        <wps:cNvPr id="1008" name="Text Box 158"/>
                        <wps:cNvSpPr txBox="1">
                          <a:spLocks noChangeArrowheads="1"/>
                        </wps:cNvSpPr>
                        <wps:spPr bwMode="auto">
                          <a:xfrm>
                            <a:off x="9221" y="9763"/>
                            <a:ext cx="1510" cy="723"/>
                          </a:xfrm>
                          <a:prstGeom prst="rect">
                            <a:avLst/>
                          </a:prstGeom>
                          <a:noFill/>
                          <a:ln>
                            <a:noFill/>
                          </a:ln>
                          <a:extLst>
                            <a:ext uri="{909E8E84-426E-40DD-AFC4-6F175D3DCCD1}">
                              <a14:hiddenFill xmlns:a14="http://schemas.microsoft.com/office/drawing/2010/main">
                                <a:solidFill>
                                  <a:srgbClr val="005696"/>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BF6E12" w14:textId="77777777" w:rsidR="0041584B" w:rsidRPr="00E47383" w:rsidRDefault="0041584B" w:rsidP="0041584B">
                              <w:pPr>
                                <w:autoSpaceDE w:val="0"/>
                                <w:autoSpaceDN w:val="0"/>
                                <w:adjustRightInd w:val="0"/>
                                <w:jc w:val="center"/>
                                <w:rPr>
                                  <w:b/>
                                  <w:bCs/>
                                  <w:sz w:val="28"/>
                                  <w:szCs w:val="28"/>
                                  <w:lang w:val="el-GR"/>
                                </w:rPr>
                              </w:pPr>
                              <w:r w:rsidRPr="00E47383">
                                <w:rPr>
                                  <w:b/>
                                  <w:bCs/>
                                  <w:sz w:val="28"/>
                                  <w:szCs w:val="28"/>
                                </w:rPr>
                                <w:t>tg</w:t>
                              </w:r>
                              <w:r w:rsidRPr="00E47383">
                                <w:rPr>
                                  <w:b/>
                                  <w:bCs/>
                                  <w:sz w:val="28"/>
                                  <w:szCs w:val="28"/>
                                  <w:lang w:val="el-GR"/>
                                </w:rPr>
                                <w:t>γ</w:t>
                              </w:r>
                              <w:r w:rsidRPr="00E47383">
                                <w:rPr>
                                  <w:b/>
                                  <w:bCs/>
                                  <w:sz w:val="28"/>
                                  <w:szCs w:val="28"/>
                                </w:rPr>
                                <w:t>=</w:t>
                              </w:r>
                              <w:r w:rsidRPr="00E47383">
                                <w:rPr>
                                  <w:b/>
                                  <w:bCs/>
                                  <w:sz w:val="28"/>
                                  <w:szCs w:val="28"/>
                                  <w:lang w:val="el-GR"/>
                                </w:rPr>
                                <w:t>Δ</w:t>
                              </w:r>
                              <w:r w:rsidRPr="00E47383">
                                <w:rPr>
                                  <w:b/>
                                  <w:bCs/>
                                  <w:sz w:val="28"/>
                                  <w:szCs w:val="28"/>
                                </w:rPr>
                                <w:t>C/</w:t>
                              </w:r>
                              <w:r w:rsidRPr="00E47383">
                                <w:rPr>
                                  <w:b/>
                                  <w:bCs/>
                                  <w:sz w:val="28"/>
                                  <w:szCs w:val="28"/>
                                  <w:lang w:val="el-GR"/>
                                </w:rPr>
                                <w:t>Δ</w:t>
                              </w:r>
                              <w:r w:rsidRPr="00E47383">
                                <w:rPr>
                                  <w:b/>
                                  <w:bCs/>
                                  <w:sz w:val="28"/>
                                  <w:szCs w:val="28"/>
                                </w:rPr>
                                <w:t>D</w:t>
                              </w:r>
                            </w:p>
                          </w:txbxContent>
                        </wps:txbx>
                        <wps:bodyPr rot="0" vert="horz" wrap="square" lIns="0" tIns="0" rIns="0" bIns="0" anchor="t" anchorCtr="0" upright="1">
                          <a:spAutoFit/>
                        </wps:bodyPr>
                      </wps:wsp>
                      <wps:wsp>
                        <wps:cNvPr id="1009" name="Line 159"/>
                        <wps:cNvCnPr/>
                        <wps:spPr bwMode="auto">
                          <a:xfrm>
                            <a:off x="8760" y="9823"/>
                            <a:ext cx="0" cy="158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010" name="Text Box 160"/>
                        <wps:cNvSpPr txBox="1">
                          <a:spLocks noChangeArrowheads="1"/>
                        </wps:cNvSpPr>
                        <wps:spPr bwMode="auto">
                          <a:xfrm>
                            <a:off x="5777" y="10070"/>
                            <a:ext cx="476" cy="723"/>
                          </a:xfrm>
                          <a:prstGeom prst="rect">
                            <a:avLst/>
                          </a:prstGeom>
                          <a:noFill/>
                          <a:ln>
                            <a:noFill/>
                          </a:ln>
                          <a:extLst>
                            <a:ext uri="{909E8E84-426E-40DD-AFC4-6F175D3DCCD1}">
                              <a14:hiddenFill xmlns:a14="http://schemas.microsoft.com/office/drawing/2010/main">
                                <a:solidFill>
                                  <a:srgbClr val="005696"/>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C76C81" w14:textId="77777777" w:rsidR="0041584B" w:rsidRPr="00E47383" w:rsidRDefault="0041584B" w:rsidP="0041584B">
                              <w:pPr>
                                <w:autoSpaceDE w:val="0"/>
                                <w:autoSpaceDN w:val="0"/>
                                <w:adjustRightInd w:val="0"/>
                                <w:jc w:val="center"/>
                                <w:rPr>
                                  <w:b/>
                                  <w:bCs/>
                                  <w:sz w:val="28"/>
                                  <w:szCs w:val="28"/>
                                </w:rPr>
                              </w:pPr>
                              <w:r w:rsidRPr="00E47383">
                                <w:rPr>
                                  <w:b/>
                                  <w:bCs/>
                                  <w:sz w:val="28"/>
                                  <w:szCs w:val="28"/>
                                </w:rPr>
                                <w:t>C</w:t>
                              </w:r>
                              <w:r w:rsidRPr="00E47383">
                                <w:rPr>
                                  <w:b/>
                                  <w:bCs/>
                                  <w:sz w:val="28"/>
                                  <w:szCs w:val="28"/>
                                  <w:vertAlign w:val="superscript"/>
                                </w:rPr>
                                <w:t>0</w:t>
                              </w:r>
                            </w:p>
                          </w:txbxContent>
                        </wps:txbx>
                        <wps:bodyPr rot="0" vert="horz" wrap="square" lIns="0" tIns="0" rIns="0" bIns="0" anchor="t" anchorCtr="0" upright="1">
                          <a:spAutoFit/>
                        </wps:bodyPr>
                      </wps:wsp>
                      <wps:wsp>
                        <wps:cNvPr id="1011" name="Line 161"/>
                        <wps:cNvCnPr/>
                        <wps:spPr bwMode="auto">
                          <a:xfrm flipV="1">
                            <a:off x="6291" y="10234"/>
                            <a:ext cx="3201" cy="14"/>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012" name="Text Box 162"/>
                        <wps:cNvSpPr txBox="1">
                          <a:spLocks noChangeArrowheads="1"/>
                        </wps:cNvSpPr>
                        <wps:spPr bwMode="auto">
                          <a:xfrm>
                            <a:off x="9048" y="11368"/>
                            <a:ext cx="907" cy="723"/>
                          </a:xfrm>
                          <a:prstGeom prst="rect">
                            <a:avLst/>
                          </a:prstGeom>
                          <a:noFill/>
                          <a:ln>
                            <a:noFill/>
                          </a:ln>
                          <a:extLst>
                            <a:ext uri="{909E8E84-426E-40DD-AFC4-6F175D3DCCD1}">
                              <a14:hiddenFill xmlns:a14="http://schemas.microsoft.com/office/drawing/2010/main">
                                <a:solidFill>
                                  <a:srgbClr val="005696"/>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04ECAC" w14:textId="77777777" w:rsidR="0041584B" w:rsidRPr="00E47383" w:rsidRDefault="0041584B" w:rsidP="0041584B">
                              <w:pPr>
                                <w:autoSpaceDE w:val="0"/>
                                <w:autoSpaceDN w:val="0"/>
                                <w:adjustRightInd w:val="0"/>
                                <w:jc w:val="center"/>
                                <w:rPr>
                                  <w:b/>
                                  <w:bCs/>
                                  <w:sz w:val="28"/>
                                  <w:szCs w:val="28"/>
                                  <w:lang w:val="el-GR"/>
                                </w:rPr>
                              </w:pPr>
                              <w:r w:rsidRPr="00E47383">
                                <w:rPr>
                                  <w:b/>
                                  <w:bCs/>
                                  <w:sz w:val="28"/>
                                  <w:szCs w:val="28"/>
                                </w:rPr>
                                <w:t>D</w:t>
                              </w:r>
                              <w:r w:rsidRPr="00E47383">
                                <w:rPr>
                                  <w:b/>
                                  <w:bCs/>
                                  <w:sz w:val="28"/>
                                  <w:szCs w:val="28"/>
                                  <w:vertAlign w:val="superscript"/>
                                </w:rPr>
                                <w:t>0</w:t>
                              </w:r>
                              <w:r w:rsidRPr="00E47383">
                                <w:rPr>
                                  <w:b/>
                                  <w:bCs/>
                                  <w:sz w:val="28"/>
                                  <w:szCs w:val="28"/>
                                </w:rPr>
                                <w:t>+</w:t>
                              </w:r>
                              <w:r w:rsidRPr="00E47383">
                                <w:rPr>
                                  <w:b/>
                                  <w:bCs/>
                                  <w:sz w:val="28"/>
                                  <w:szCs w:val="28"/>
                                  <w:lang w:val="el-GR"/>
                                </w:rPr>
                                <w:t>Δ</w:t>
                              </w:r>
                              <w:r w:rsidRPr="00E47383">
                                <w:rPr>
                                  <w:b/>
                                  <w:bCs/>
                                  <w:sz w:val="28"/>
                                  <w:szCs w:val="28"/>
                                </w:rPr>
                                <w:t>D</w:t>
                              </w:r>
                            </w:p>
                          </w:txbxContent>
                        </wps:txbx>
                        <wps:bodyPr rot="0" vert="horz" wrap="square" lIns="0" tIns="0" rIns="0" bIns="0" anchor="t" anchorCtr="0" upright="1">
                          <a:spAutoFit/>
                        </wps:bodyPr>
                      </wps:wsp>
                      <wps:wsp>
                        <wps:cNvPr id="1013" name="Line 163"/>
                        <wps:cNvCnPr/>
                        <wps:spPr bwMode="auto">
                          <a:xfrm>
                            <a:off x="9165" y="9360"/>
                            <a:ext cx="27" cy="205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014" name="Oval 164"/>
                        <wps:cNvSpPr>
                          <a:spLocks noChangeArrowheads="1"/>
                        </wps:cNvSpPr>
                        <wps:spPr bwMode="auto">
                          <a:xfrm>
                            <a:off x="9094" y="9438"/>
                            <a:ext cx="146" cy="137"/>
                          </a:xfrm>
                          <a:prstGeom prst="ellipse">
                            <a:avLst/>
                          </a:prstGeom>
                          <a:solidFill>
                            <a:srgbClr val="000000"/>
                          </a:solidFill>
                          <a:ln w="9525">
                            <a:solidFill>
                              <a:srgbClr val="000000"/>
                            </a:solidFill>
                            <a:round/>
                            <a:headEnd/>
                            <a:tailEnd/>
                          </a:ln>
                        </wps:spPr>
                        <wps:bodyPr rot="0" vert="horz" wrap="none" lIns="91440" tIns="45720" rIns="91440" bIns="45720" anchor="ctr" anchorCtr="0" upright="1">
                          <a:noAutofit/>
                        </wps:bodyPr>
                      </wps:wsp>
                      <wps:wsp>
                        <wps:cNvPr id="1015" name="Text Box 165"/>
                        <wps:cNvSpPr txBox="1">
                          <a:spLocks noChangeArrowheads="1"/>
                        </wps:cNvSpPr>
                        <wps:spPr bwMode="auto">
                          <a:xfrm>
                            <a:off x="5388" y="9361"/>
                            <a:ext cx="893" cy="723"/>
                          </a:xfrm>
                          <a:prstGeom prst="rect">
                            <a:avLst/>
                          </a:prstGeom>
                          <a:noFill/>
                          <a:ln>
                            <a:noFill/>
                          </a:ln>
                          <a:extLst>
                            <a:ext uri="{909E8E84-426E-40DD-AFC4-6F175D3DCCD1}">
                              <a14:hiddenFill xmlns:a14="http://schemas.microsoft.com/office/drawing/2010/main">
                                <a:solidFill>
                                  <a:srgbClr val="005696"/>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CEE1BA" w14:textId="77777777" w:rsidR="0041584B" w:rsidRPr="00E47383" w:rsidRDefault="0041584B" w:rsidP="0041584B">
                              <w:pPr>
                                <w:autoSpaceDE w:val="0"/>
                                <w:autoSpaceDN w:val="0"/>
                                <w:adjustRightInd w:val="0"/>
                                <w:jc w:val="center"/>
                                <w:rPr>
                                  <w:b/>
                                  <w:bCs/>
                                  <w:sz w:val="28"/>
                                  <w:szCs w:val="28"/>
                                  <w:lang w:val="el-GR"/>
                                </w:rPr>
                              </w:pPr>
                              <w:r w:rsidRPr="00E47383">
                                <w:rPr>
                                  <w:b/>
                                  <w:bCs/>
                                  <w:sz w:val="28"/>
                                  <w:szCs w:val="28"/>
                                </w:rPr>
                                <w:t>C</w:t>
                              </w:r>
                              <w:r w:rsidRPr="00E47383">
                                <w:rPr>
                                  <w:b/>
                                  <w:bCs/>
                                  <w:sz w:val="28"/>
                                  <w:szCs w:val="28"/>
                                  <w:vertAlign w:val="superscript"/>
                                </w:rPr>
                                <w:t>0</w:t>
                              </w:r>
                              <w:r w:rsidRPr="00E47383">
                                <w:rPr>
                                  <w:b/>
                                  <w:bCs/>
                                  <w:sz w:val="28"/>
                                  <w:szCs w:val="28"/>
                                </w:rPr>
                                <w:t>+</w:t>
                              </w:r>
                              <w:r w:rsidRPr="00E47383">
                                <w:rPr>
                                  <w:b/>
                                  <w:bCs/>
                                  <w:sz w:val="28"/>
                                  <w:szCs w:val="28"/>
                                  <w:lang w:val="el-GR"/>
                                </w:rPr>
                                <w:t>Δ</w:t>
                              </w:r>
                              <w:r w:rsidRPr="00E47383">
                                <w:rPr>
                                  <w:b/>
                                  <w:bCs/>
                                  <w:sz w:val="28"/>
                                  <w:szCs w:val="28"/>
                                </w:rPr>
                                <w:t>C</w:t>
                              </w:r>
                            </w:p>
                          </w:txbxContent>
                        </wps:txbx>
                        <wps:bodyPr rot="0" vert="horz" wrap="square" lIns="0" tIns="0" rIns="0" bIns="0" anchor="t" anchorCtr="0" upright="1">
                          <a:spAutoFit/>
                        </wps:bodyPr>
                      </wps:wsp>
                      <wps:wsp>
                        <wps:cNvPr id="1016" name="Line 166"/>
                        <wps:cNvCnPr/>
                        <wps:spPr bwMode="auto">
                          <a:xfrm flipV="1">
                            <a:off x="6290" y="9525"/>
                            <a:ext cx="3201" cy="16"/>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017" name="Text Box 167"/>
                        <wps:cNvSpPr txBox="1">
                          <a:spLocks noChangeArrowheads="1"/>
                        </wps:cNvSpPr>
                        <wps:spPr bwMode="auto">
                          <a:xfrm>
                            <a:off x="8666" y="9114"/>
                            <a:ext cx="414" cy="723"/>
                          </a:xfrm>
                          <a:prstGeom prst="rect">
                            <a:avLst/>
                          </a:prstGeom>
                          <a:noFill/>
                          <a:ln>
                            <a:noFill/>
                          </a:ln>
                          <a:extLst>
                            <a:ext uri="{909E8E84-426E-40DD-AFC4-6F175D3DCCD1}">
                              <a14:hiddenFill xmlns:a14="http://schemas.microsoft.com/office/drawing/2010/main">
                                <a:solidFill>
                                  <a:srgbClr val="005696"/>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37B65E" w14:textId="77777777" w:rsidR="0041584B" w:rsidRPr="00E47383" w:rsidRDefault="0041584B" w:rsidP="0041584B">
                              <w:pPr>
                                <w:autoSpaceDE w:val="0"/>
                                <w:autoSpaceDN w:val="0"/>
                                <w:adjustRightInd w:val="0"/>
                                <w:jc w:val="center"/>
                                <w:rPr>
                                  <w:rFonts w:ascii="Arial" w:hAnsi="Arial" w:cs="Arial"/>
                                  <w:b/>
                                  <w:bCs/>
                                  <w:sz w:val="28"/>
                                  <w:szCs w:val="28"/>
                                </w:rPr>
                              </w:pPr>
                              <w:r w:rsidRPr="00E47383">
                                <w:rPr>
                                  <w:rFonts w:ascii="Arial" w:hAnsi="Arial" w:cs="Arial"/>
                                  <w:b/>
                                  <w:bCs/>
                                  <w:sz w:val="28"/>
                                  <w:szCs w:val="28"/>
                                </w:rPr>
                                <w:t>A’</w:t>
                              </w:r>
                            </w:p>
                          </w:txbxContent>
                        </wps:txbx>
                        <wps:bodyPr rot="0" vert="horz" wrap="squar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47D3B763" id="Group 135" o:spid="_x0000_s1085" style="position:absolute;margin-left:5.6pt;margin-top:3.7pt;width:451.9pt;height:173.85pt;z-index:251662336" coordorigin="1246,8614" coordsize="9548,34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">
                <v:shapetype id="_x0000_t202" coordsize="21600,21600" o:spt="202" path="m,l,21600r21600,l21600,xe">
                  <v:stroke joinstyle="miter"/>
                  <v:path gradientshapeok="t" o:connecttype="rect"/>
                </v:shapetype>
                <v:shape id="Text Box 136" o:spid="_x0000_s1086" type="#_x0000_t202" style="position:absolute;left:4325;top:10956;width:1009;height:6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" filled="f" fillcolor="#005696" stroked="f">
                  <v:textbox style="mso-fit-shape-to-text:t" inset="0,0,0,0">
                    <w:txbxContent>
                      <w:p w14:paraId="2FC54C4C" w14:textId="77777777" w:rsidR="0041584B" w:rsidRPr="003765DA" w:rsidRDefault="0041584B" w:rsidP="0041584B">
                        <w:pPr>
                          <w:autoSpaceDE w:val="0"/>
                          <w:autoSpaceDN w:val="0"/>
                          <w:adjustRightInd w:val="0"/>
                          <w:jc w:val="center"/>
                          <w:rPr>
                            <w:b/>
                            <w:bCs/>
                          </w:rPr>
                        </w:pPr>
                        <w:r w:rsidRPr="003765DA">
                          <w:rPr>
                            <w:b/>
                            <w:bCs/>
                          </w:rPr>
                          <w:t>Demand</w:t>
                        </w:r>
                      </w:p>
                    </w:txbxContent>
                  </v:textbox>
                </v:shape>
                <v:line id="Line 137" o:spid="_x0000_s1087" style="position:absolute;flip:y;visibility:visible;mso-wrap-style:square" from="1531,8628" to="1531,114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">
                  <v:stroke endarrow="block" endarrowwidth="narrow"/>
                </v:line>
                <v:line id="Line 138" o:spid="_x0000_s1088" style="position:absolute;visibility:visible;mso-wrap-style:square" from="1246,11282" to="5409,112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">
                  <v:stroke endarrow="block" endarrowwidth="narrow"/>
                </v:line>
                <v:shape id="Text Box 139" o:spid="_x0000_s1089" type="#_x0000_t202" style="position:absolute;left:1531;top:8614;width:941;height:8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" filled="f" fillcolor="#005696" stroked="f">
                  <v:textbox style="mso-fit-shape-to-text:t">
                    <w:txbxContent>
                      <w:p w14:paraId="6702705C" w14:textId="77777777" w:rsidR="0041584B" w:rsidRPr="003765DA" w:rsidRDefault="0041584B" w:rsidP="0041584B">
                        <w:pPr>
                          <w:autoSpaceDE w:val="0"/>
                          <w:autoSpaceDN w:val="0"/>
                          <w:adjustRightInd w:val="0"/>
                          <w:rPr>
                            <w:b/>
                            <w:bCs/>
                            <w:sz w:val="28"/>
                            <w:szCs w:val="28"/>
                          </w:rPr>
                        </w:pPr>
                        <w:r w:rsidRPr="003765DA">
                          <w:rPr>
                            <w:b/>
                            <w:bCs/>
                            <w:sz w:val="28"/>
                            <w:szCs w:val="28"/>
                          </w:rPr>
                          <w:t>Cost</w:t>
                        </w:r>
                      </w:p>
                    </w:txbxContent>
                  </v:textbox>
                </v:shape>
                <v:shape id="Arc 140" o:spid="_x0000_s1090" style="position:absolute;left:2494;top:8883;width:1809;height:2008;rotation:90;visibility:visible;mso-wrap-style:none;v-text-anchor:middle"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" path="m-1,nfc11496,,20978,9004,21571,20485em-1,nsc11496,,20978,9004,21571,20485l,21600,-1,xe" filled="f" fillcolor="#005696" strokeweight="1.5pt">
                  <v:path arrowok="t" o:extrusionok="f" o:connecttype="custom" o:connectlocs="0,0;152,177;0,187" o:connectangles="0,0,0"/>
                </v:shape>
                <v:line id="Line 141" o:spid="_x0000_s1091" style="position:absolute;flip:y;visibility:visible;mso-wrap-style:square" from="2866,8866" to="5061,113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"/>
                <v:shape id="Text Box 142" o:spid="_x0000_s1092" type="#_x0000_t202" style="position:absolute;left:3898;top:9450;width:316;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" filled="f" fillcolor="#005696" stroked="f">
                  <v:textbox style="mso-fit-shape-to-text:t" inset="0,0,0,0">
                    <w:txbxContent>
                      <w:p w14:paraId="26451ADE" w14:textId="77777777" w:rsidR="0041584B" w:rsidRPr="003765DA" w:rsidRDefault="0041584B" w:rsidP="0041584B">
                        <w:pPr>
                          <w:autoSpaceDE w:val="0"/>
                          <w:autoSpaceDN w:val="0"/>
                          <w:adjustRightInd w:val="0"/>
                          <w:rPr>
                            <w:rFonts w:ascii="Arial" w:hAnsi="Arial" w:cs="Arial"/>
                            <w:b/>
                            <w:bCs/>
                            <w:sz w:val="28"/>
                            <w:szCs w:val="28"/>
                          </w:rPr>
                        </w:pPr>
                        <w:r w:rsidRPr="003765DA">
                          <w:rPr>
                            <w:rFonts w:ascii="Arial" w:hAnsi="Arial" w:cs="Arial"/>
                            <w:b/>
                            <w:bCs/>
                            <w:sz w:val="28"/>
                            <w:szCs w:val="28"/>
                          </w:rPr>
                          <w:t>A</w:t>
                        </w:r>
                      </w:p>
                    </w:txbxContent>
                  </v:textbox>
                </v:shape>
                <v:shape id="Text Box 143" o:spid="_x0000_s1093" type="#_x0000_t202" style="position:absolute;left:3852;top:11352;width:473;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" filled="f" fillcolor="#005696" stroked="f">
                  <v:textbox style="mso-fit-shape-to-text:t" inset="0,0,0,0">
                    <w:txbxContent>
                      <w:p w14:paraId="454CF0AF" w14:textId="77777777" w:rsidR="0041584B" w:rsidRPr="003765DA" w:rsidRDefault="0041584B" w:rsidP="0041584B">
                        <w:pPr>
                          <w:autoSpaceDE w:val="0"/>
                          <w:autoSpaceDN w:val="0"/>
                          <w:adjustRightInd w:val="0"/>
                          <w:jc w:val="center"/>
                          <w:rPr>
                            <w:b/>
                            <w:bCs/>
                            <w:sz w:val="28"/>
                            <w:szCs w:val="28"/>
                          </w:rPr>
                        </w:pPr>
                        <w:r w:rsidRPr="003765DA">
                          <w:rPr>
                            <w:b/>
                            <w:bCs/>
                            <w:sz w:val="28"/>
                            <w:szCs w:val="28"/>
                          </w:rPr>
                          <w:t>D</w:t>
                        </w:r>
                        <w:r w:rsidRPr="003765DA">
                          <w:rPr>
                            <w:b/>
                            <w:bCs/>
                            <w:sz w:val="28"/>
                            <w:szCs w:val="28"/>
                            <w:vertAlign w:val="superscript"/>
                          </w:rPr>
                          <w:t>0</w:t>
                        </w:r>
                      </w:p>
                    </w:txbxContent>
                  </v:textbox>
                </v:shape>
                <v:line id="Line 144" o:spid="_x0000_s1094" style="position:absolute;visibility:visible;mso-wrap-style:square" from="4059,9819" to="4059,113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">
                  <v:stroke dashstyle="dash"/>
                </v:line>
                <v:shape id="Text Box 145" o:spid="_x0000_s1095" type="#_x0000_t202" style="position:absolute;left:1610;top:9563;width:469;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" filled="f" fillcolor="#005696" stroked="f">
                  <v:textbox style="mso-fit-shape-to-text:t" inset="0,0,0,0">
                    <w:txbxContent>
                      <w:p w14:paraId="0ADBB524" w14:textId="77777777" w:rsidR="0041584B" w:rsidRPr="003765DA" w:rsidRDefault="0041584B" w:rsidP="0041584B">
                        <w:pPr>
                          <w:autoSpaceDE w:val="0"/>
                          <w:autoSpaceDN w:val="0"/>
                          <w:adjustRightInd w:val="0"/>
                          <w:jc w:val="center"/>
                          <w:rPr>
                            <w:b/>
                            <w:bCs/>
                            <w:sz w:val="28"/>
                            <w:szCs w:val="28"/>
                          </w:rPr>
                        </w:pPr>
                        <w:r w:rsidRPr="003765DA">
                          <w:rPr>
                            <w:b/>
                            <w:bCs/>
                            <w:sz w:val="28"/>
                            <w:szCs w:val="28"/>
                          </w:rPr>
                          <w:t>C</w:t>
                        </w:r>
                        <w:r w:rsidRPr="003765DA">
                          <w:rPr>
                            <w:b/>
                            <w:bCs/>
                            <w:sz w:val="28"/>
                            <w:szCs w:val="28"/>
                            <w:vertAlign w:val="superscript"/>
                          </w:rPr>
                          <w:t>0</w:t>
                        </w:r>
                      </w:p>
                    </w:txbxContent>
                  </v:textbox>
                </v:shape>
                <v:line id="Line 146" o:spid="_x0000_s1096" style="position:absolute;flip:y;visibility:visible;mso-wrap-style:square" from="1425,9974" to="4625,9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">
                  <v:stroke dashstyle="dash"/>
                </v:line>
                <v:shape id="Text Box 147" o:spid="_x0000_s1097" type="#_x0000_t202" style="position:absolute;left:3318;top:10892;width:50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" filled="f" fillcolor="#005696" stroked="f">
                  <v:textbox style="mso-fit-shape-to-text:t" inset="0,0,0,0">
                    <w:txbxContent>
                      <w:p w14:paraId="67E53D0E" w14:textId="77777777" w:rsidR="0041584B" w:rsidRPr="003765DA" w:rsidRDefault="0041584B" w:rsidP="0041584B">
                        <w:pPr>
                          <w:autoSpaceDE w:val="0"/>
                          <w:autoSpaceDN w:val="0"/>
                          <w:adjustRightInd w:val="0"/>
                          <w:jc w:val="center"/>
                          <w:rPr>
                            <w:b/>
                            <w:bCs/>
                            <w:sz w:val="28"/>
                            <w:szCs w:val="28"/>
                            <w:lang w:val="el-GR"/>
                          </w:rPr>
                        </w:pPr>
                        <w:r w:rsidRPr="003765DA">
                          <w:rPr>
                            <w:b/>
                            <w:bCs/>
                            <w:sz w:val="28"/>
                            <w:szCs w:val="28"/>
                          </w:rPr>
                          <w:t>tg</w:t>
                        </w:r>
                        <w:r w:rsidRPr="003765DA">
                          <w:rPr>
                            <w:b/>
                            <w:bCs/>
                            <w:sz w:val="28"/>
                            <w:szCs w:val="28"/>
                            <w:lang w:val="el-GR"/>
                          </w:rPr>
                          <w:t>β</w:t>
                        </w:r>
                      </w:p>
                    </w:txbxContent>
                  </v:textbox>
                </v:shape>
                <v:oval id="Oval 148" o:spid="_x0000_s1098" style="position:absolute;left:3990;top:9912;width:140;height:1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" fillcolor="black"/>
                <v:shape id="Text Box 149" o:spid="_x0000_s1099" type="#_x0000_t202" style="position:absolute;left:9646;top:10960;width:1053;height:6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" filled="f" fillcolor="#005696" stroked="f">
                  <v:textbox style="mso-fit-shape-to-text:t" inset="0,0,0,0">
                    <w:txbxContent>
                      <w:p w14:paraId="7F981657" w14:textId="77777777" w:rsidR="0041584B" w:rsidRPr="00E47383" w:rsidRDefault="0041584B" w:rsidP="0041584B">
                        <w:pPr>
                          <w:autoSpaceDE w:val="0"/>
                          <w:autoSpaceDN w:val="0"/>
                          <w:adjustRightInd w:val="0"/>
                          <w:jc w:val="center"/>
                          <w:rPr>
                            <w:b/>
                            <w:bCs/>
                          </w:rPr>
                        </w:pPr>
                        <w:r w:rsidRPr="00E47383">
                          <w:rPr>
                            <w:b/>
                            <w:bCs/>
                          </w:rPr>
                          <w:t>Demand</w:t>
                        </w:r>
                      </w:p>
                    </w:txbxContent>
                  </v:textbox>
                </v:shape>
                <v:line id="Line 150" o:spid="_x0000_s1100" style="position:absolute;flip:y;visibility:visible;mso-wrap-style:square" from="6397,8632" to="6397,114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">
                  <v:stroke endarrow="block" endarrowwidth="narrow"/>
                </v:line>
                <v:line id="Line 151" o:spid="_x0000_s1101" style="position:absolute;visibility:visible;mso-wrap-style:square" from="6112,11285" to="10794,112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">
                  <v:stroke endarrow="block" endarrowwidth="narrow"/>
                </v:line>
                <v:shape id="Text Box 152" o:spid="_x0000_s1102" type="#_x0000_t202" style="position:absolute;left:6481;top:8615;width:696;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" filled="f" fillcolor="#005696" stroked="f">
                  <v:textbox style="mso-fit-shape-to-text:t" inset="0,0,0,0">
                    <w:txbxContent>
                      <w:p w14:paraId="2E4E6806" w14:textId="77777777" w:rsidR="0041584B" w:rsidRPr="00E47383" w:rsidRDefault="0041584B" w:rsidP="0041584B">
                        <w:pPr>
                          <w:autoSpaceDE w:val="0"/>
                          <w:autoSpaceDN w:val="0"/>
                          <w:adjustRightInd w:val="0"/>
                          <w:rPr>
                            <w:b/>
                            <w:bCs/>
                            <w:sz w:val="28"/>
                            <w:szCs w:val="28"/>
                          </w:rPr>
                        </w:pPr>
                        <w:r w:rsidRPr="00E47383">
                          <w:rPr>
                            <w:b/>
                            <w:bCs/>
                            <w:sz w:val="28"/>
                            <w:szCs w:val="28"/>
                          </w:rPr>
                          <w:t>Cost</w:t>
                        </w:r>
                      </w:p>
                    </w:txbxContent>
                  </v:textbox>
                </v:shape>
                <v:shape id="Arc 153" o:spid="_x0000_s1103" style="position:absolute;left:7360;top:8888;width:1809;height:2006;rotation:90;visibility:visible;mso-wrap-style:none;v-text-anchor:middle"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" path="m-1,nfc11496,,20978,9004,21571,20485em-1,nsc11496,,20978,9004,21571,20485l,21600,-1,xe" filled="f" fillcolor="#005696" strokeweight="1.5pt">
                  <v:path arrowok="t" o:extrusionok="f" o:connecttype="custom" o:connectlocs="0,0;152,177;0,186" o:connectangles="0,0,0"/>
                </v:shape>
                <v:oval id="Oval 154" o:spid="_x0000_s1104" style="position:absolute;left:8677;top:10145;width:144;height:137;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" fillcolor="black"/>
                <v:line id="Line 155" o:spid="_x0000_s1105" style="position:absolute;flip:y;visibility:visible;mso-wrap-style:square" from="8164,8839" to="9585,111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"/>
                <v:shape id="Text Box 156" o:spid="_x0000_s1106" type="#_x0000_t202" style="position:absolute;left:8353;top:9791;width:262;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" filled="f" fillcolor="#005696" stroked="f">
                  <v:textbox style="mso-fit-shape-to-text:t" inset="0,0,0,0">
                    <w:txbxContent>
                      <w:p w14:paraId="4E09AED4" w14:textId="77777777" w:rsidR="0041584B" w:rsidRPr="00E47383" w:rsidRDefault="0041584B" w:rsidP="0041584B">
                        <w:pPr>
                          <w:autoSpaceDE w:val="0"/>
                          <w:autoSpaceDN w:val="0"/>
                          <w:adjustRightInd w:val="0"/>
                          <w:rPr>
                            <w:rFonts w:ascii="Arial" w:hAnsi="Arial" w:cs="Arial"/>
                            <w:b/>
                            <w:bCs/>
                            <w:sz w:val="28"/>
                            <w:szCs w:val="28"/>
                          </w:rPr>
                        </w:pPr>
                        <w:r w:rsidRPr="00E47383">
                          <w:rPr>
                            <w:rFonts w:ascii="Arial" w:hAnsi="Arial" w:cs="Arial"/>
                            <w:b/>
                            <w:bCs/>
                            <w:sz w:val="28"/>
                            <w:szCs w:val="28"/>
                          </w:rPr>
                          <w:t>A</w:t>
                        </w:r>
                      </w:p>
                    </w:txbxContent>
                  </v:textbox>
                </v:shape>
                <v:shape id="Text Box 157" o:spid="_x0000_s1107" type="#_x0000_t202" style="position:absolute;left:8495;top:11359;width:417;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" filled="f" fillcolor="#005696" stroked="f">
                  <v:textbox style="mso-fit-shape-to-text:t" inset="0,0,0,0">
                    <w:txbxContent>
                      <w:p w14:paraId="55401A3E" w14:textId="77777777" w:rsidR="0041584B" w:rsidRPr="00E47383" w:rsidRDefault="0041584B" w:rsidP="0041584B">
                        <w:pPr>
                          <w:autoSpaceDE w:val="0"/>
                          <w:autoSpaceDN w:val="0"/>
                          <w:adjustRightInd w:val="0"/>
                          <w:jc w:val="center"/>
                          <w:rPr>
                            <w:b/>
                            <w:bCs/>
                            <w:sz w:val="28"/>
                            <w:szCs w:val="28"/>
                          </w:rPr>
                        </w:pPr>
                        <w:r w:rsidRPr="00E47383">
                          <w:rPr>
                            <w:b/>
                            <w:bCs/>
                            <w:sz w:val="28"/>
                            <w:szCs w:val="28"/>
                          </w:rPr>
                          <w:t>D</w:t>
                        </w:r>
                        <w:r w:rsidRPr="00E47383">
                          <w:rPr>
                            <w:b/>
                            <w:bCs/>
                            <w:sz w:val="28"/>
                            <w:szCs w:val="28"/>
                            <w:vertAlign w:val="superscript"/>
                          </w:rPr>
                          <w:t>0</w:t>
                        </w:r>
                      </w:p>
                    </w:txbxContent>
                  </v:textbox>
                </v:shape>
                <v:shape id="Text Box 158" o:spid="_x0000_s1108" type="#_x0000_t202" style="position:absolute;left:9221;top:9763;width:1510;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" filled="f" fillcolor="#005696" stroked="f">
                  <v:textbox style="mso-fit-shape-to-text:t" inset="0,0,0,0">
                    <w:txbxContent>
                      <w:p w14:paraId="62BF6E12" w14:textId="77777777" w:rsidR="0041584B" w:rsidRPr="00E47383" w:rsidRDefault="0041584B" w:rsidP="0041584B">
                        <w:pPr>
                          <w:autoSpaceDE w:val="0"/>
                          <w:autoSpaceDN w:val="0"/>
                          <w:adjustRightInd w:val="0"/>
                          <w:jc w:val="center"/>
                          <w:rPr>
                            <w:b/>
                            <w:bCs/>
                            <w:sz w:val="28"/>
                            <w:szCs w:val="28"/>
                            <w:lang w:val="el-GR"/>
                          </w:rPr>
                        </w:pPr>
                        <w:r w:rsidRPr="00E47383">
                          <w:rPr>
                            <w:b/>
                            <w:bCs/>
                            <w:sz w:val="28"/>
                            <w:szCs w:val="28"/>
                          </w:rPr>
                          <w:t>tg</w:t>
                        </w:r>
                        <w:r w:rsidRPr="00E47383">
                          <w:rPr>
                            <w:b/>
                            <w:bCs/>
                            <w:sz w:val="28"/>
                            <w:szCs w:val="28"/>
                            <w:lang w:val="el-GR"/>
                          </w:rPr>
                          <w:t>γ</w:t>
                        </w:r>
                        <w:r w:rsidRPr="00E47383">
                          <w:rPr>
                            <w:b/>
                            <w:bCs/>
                            <w:sz w:val="28"/>
                            <w:szCs w:val="28"/>
                          </w:rPr>
                          <w:t>=</w:t>
                        </w:r>
                        <w:r w:rsidRPr="00E47383">
                          <w:rPr>
                            <w:b/>
                            <w:bCs/>
                            <w:sz w:val="28"/>
                            <w:szCs w:val="28"/>
                            <w:lang w:val="el-GR"/>
                          </w:rPr>
                          <w:t>Δ</w:t>
                        </w:r>
                        <w:r w:rsidRPr="00E47383">
                          <w:rPr>
                            <w:b/>
                            <w:bCs/>
                            <w:sz w:val="28"/>
                            <w:szCs w:val="28"/>
                          </w:rPr>
                          <w:t>C/</w:t>
                        </w:r>
                        <w:r w:rsidRPr="00E47383">
                          <w:rPr>
                            <w:b/>
                            <w:bCs/>
                            <w:sz w:val="28"/>
                            <w:szCs w:val="28"/>
                            <w:lang w:val="el-GR"/>
                          </w:rPr>
                          <w:t>Δ</w:t>
                        </w:r>
                        <w:r w:rsidRPr="00E47383">
                          <w:rPr>
                            <w:b/>
                            <w:bCs/>
                            <w:sz w:val="28"/>
                            <w:szCs w:val="28"/>
                          </w:rPr>
                          <w:t>D</w:t>
                        </w:r>
                      </w:p>
                    </w:txbxContent>
                  </v:textbox>
                </v:shape>
                <v:line id="Line 159" o:spid="_x0000_s1109" style="position:absolute;visibility:visible;mso-wrap-style:square" from="8760,9823" to="8760,114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">
                  <v:stroke dashstyle="dash"/>
                </v:line>
                <v:shape id="Text Box 160" o:spid="_x0000_s1110" type="#_x0000_t202" style="position:absolute;left:5777;top:10070;width:476;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" filled="f" fillcolor="#005696" stroked="f">
                  <v:textbox style="mso-fit-shape-to-text:t" inset="0,0,0,0">
                    <w:txbxContent>
                      <w:p w14:paraId="2DC76C81" w14:textId="77777777" w:rsidR="0041584B" w:rsidRPr="00E47383" w:rsidRDefault="0041584B" w:rsidP="0041584B">
                        <w:pPr>
                          <w:autoSpaceDE w:val="0"/>
                          <w:autoSpaceDN w:val="0"/>
                          <w:adjustRightInd w:val="0"/>
                          <w:jc w:val="center"/>
                          <w:rPr>
                            <w:b/>
                            <w:bCs/>
                            <w:sz w:val="28"/>
                            <w:szCs w:val="28"/>
                          </w:rPr>
                        </w:pPr>
                        <w:r w:rsidRPr="00E47383">
                          <w:rPr>
                            <w:b/>
                            <w:bCs/>
                            <w:sz w:val="28"/>
                            <w:szCs w:val="28"/>
                          </w:rPr>
                          <w:t>C</w:t>
                        </w:r>
                        <w:r w:rsidRPr="00E47383">
                          <w:rPr>
                            <w:b/>
                            <w:bCs/>
                            <w:sz w:val="28"/>
                            <w:szCs w:val="28"/>
                            <w:vertAlign w:val="superscript"/>
                          </w:rPr>
                          <w:t>0</w:t>
                        </w:r>
                      </w:p>
                    </w:txbxContent>
                  </v:textbox>
                </v:shape>
                <v:line id="Line 161" o:spid="_x0000_s1111" style="position:absolute;flip:y;visibility:visible;mso-wrap-style:square" from="6291,10234" to="9492,102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">
                  <v:stroke dashstyle="dash"/>
                </v:line>
                <v:shape id="Text Box 162" o:spid="_x0000_s1112" type="#_x0000_t202" style="position:absolute;left:9048;top:11368;width:907;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" filled="f" fillcolor="#005696" stroked="f">
                  <v:textbox style="mso-fit-shape-to-text:t" inset="0,0,0,0">
                    <w:txbxContent>
                      <w:p w14:paraId="7D04ECAC" w14:textId="77777777" w:rsidR="0041584B" w:rsidRPr="00E47383" w:rsidRDefault="0041584B" w:rsidP="0041584B">
                        <w:pPr>
                          <w:autoSpaceDE w:val="0"/>
                          <w:autoSpaceDN w:val="0"/>
                          <w:adjustRightInd w:val="0"/>
                          <w:jc w:val="center"/>
                          <w:rPr>
                            <w:b/>
                            <w:bCs/>
                            <w:sz w:val="28"/>
                            <w:szCs w:val="28"/>
                            <w:lang w:val="el-GR"/>
                          </w:rPr>
                        </w:pPr>
                        <w:r w:rsidRPr="00E47383">
                          <w:rPr>
                            <w:b/>
                            <w:bCs/>
                            <w:sz w:val="28"/>
                            <w:szCs w:val="28"/>
                          </w:rPr>
                          <w:t>D</w:t>
                        </w:r>
                        <w:r w:rsidRPr="00E47383">
                          <w:rPr>
                            <w:b/>
                            <w:bCs/>
                            <w:sz w:val="28"/>
                            <w:szCs w:val="28"/>
                            <w:vertAlign w:val="superscript"/>
                          </w:rPr>
                          <w:t>0</w:t>
                        </w:r>
                        <w:r w:rsidRPr="00E47383">
                          <w:rPr>
                            <w:b/>
                            <w:bCs/>
                            <w:sz w:val="28"/>
                            <w:szCs w:val="28"/>
                          </w:rPr>
                          <w:t>+</w:t>
                        </w:r>
                        <w:r w:rsidRPr="00E47383">
                          <w:rPr>
                            <w:b/>
                            <w:bCs/>
                            <w:sz w:val="28"/>
                            <w:szCs w:val="28"/>
                            <w:lang w:val="el-GR"/>
                          </w:rPr>
                          <w:t>Δ</w:t>
                        </w:r>
                        <w:r w:rsidRPr="00E47383">
                          <w:rPr>
                            <w:b/>
                            <w:bCs/>
                            <w:sz w:val="28"/>
                            <w:szCs w:val="28"/>
                          </w:rPr>
                          <w:t>D</w:t>
                        </w:r>
                      </w:p>
                    </w:txbxContent>
                  </v:textbox>
                </v:shape>
                <v:line id="Line 163" o:spid="_x0000_s1113" style="position:absolute;visibility:visible;mso-wrap-style:square" from="9165,9360" to="9192,114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">
                  <v:stroke dashstyle="dash"/>
                </v:line>
                <v:oval id="Oval 164" o:spid="_x0000_s1114" style="position:absolute;left:9094;top:9438;width:146;height:137;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" fillcolor="black"/>
                <v:shape id="Text Box 165" o:spid="_x0000_s1115" type="#_x0000_t202" style="position:absolute;left:5388;top:9361;width:893;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" filled="f" fillcolor="#005696" stroked="f">
                  <v:textbox style="mso-fit-shape-to-text:t" inset="0,0,0,0">
                    <w:txbxContent>
                      <w:p w14:paraId="16CEE1BA" w14:textId="77777777" w:rsidR="0041584B" w:rsidRPr="00E47383" w:rsidRDefault="0041584B" w:rsidP="0041584B">
                        <w:pPr>
                          <w:autoSpaceDE w:val="0"/>
                          <w:autoSpaceDN w:val="0"/>
                          <w:adjustRightInd w:val="0"/>
                          <w:jc w:val="center"/>
                          <w:rPr>
                            <w:b/>
                            <w:bCs/>
                            <w:sz w:val="28"/>
                            <w:szCs w:val="28"/>
                            <w:lang w:val="el-GR"/>
                          </w:rPr>
                        </w:pPr>
                        <w:r w:rsidRPr="00E47383">
                          <w:rPr>
                            <w:b/>
                            <w:bCs/>
                            <w:sz w:val="28"/>
                            <w:szCs w:val="28"/>
                          </w:rPr>
                          <w:t>C</w:t>
                        </w:r>
                        <w:r w:rsidRPr="00E47383">
                          <w:rPr>
                            <w:b/>
                            <w:bCs/>
                            <w:sz w:val="28"/>
                            <w:szCs w:val="28"/>
                            <w:vertAlign w:val="superscript"/>
                          </w:rPr>
                          <w:t>0</w:t>
                        </w:r>
                        <w:r w:rsidRPr="00E47383">
                          <w:rPr>
                            <w:b/>
                            <w:bCs/>
                            <w:sz w:val="28"/>
                            <w:szCs w:val="28"/>
                          </w:rPr>
                          <w:t>+</w:t>
                        </w:r>
                        <w:r w:rsidRPr="00E47383">
                          <w:rPr>
                            <w:b/>
                            <w:bCs/>
                            <w:sz w:val="28"/>
                            <w:szCs w:val="28"/>
                            <w:lang w:val="el-GR"/>
                          </w:rPr>
                          <w:t>Δ</w:t>
                        </w:r>
                        <w:r w:rsidRPr="00E47383">
                          <w:rPr>
                            <w:b/>
                            <w:bCs/>
                            <w:sz w:val="28"/>
                            <w:szCs w:val="28"/>
                          </w:rPr>
                          <w:t>C</w:t>
                        </w:r>
                      </w:p>
                    </w:txbxContent>
                  </v:textbox>
                </v:shape>
                <v:line id="Line 166" o:spid="_x0000_s1116" style="position:absolute;flip:y;visibility:visible;mso-wrap-style:square" from="6290,9525" to="9491,95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">
                  <v:stroke dashstyle="dash"/>
                </v:line>
                <v:shape id="Text Box 167" o:spid="_x0000_s1117" type="#_x0000_t202" style="position:absolute;left:8666;top:9114;width:41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" filled="f" fillcolor="#005696" stroked="f">
                  <v:textbox style="mso-fit-shape-to-text:t" inset="0,0,0,0">
                    <w:txbxContent>
                      <w:p w14:paraId="0437B65E" w14:textId="77777777" w:rsidR="0041584B" w:rsidRPr="00E47383" w:rsidRDefault="0041584B" w:rsidP="0041584B">
                        <w:pPr>
                          <w:autoSpaceDE w:val="0"/>
                          <w:autoSpaceDN w:val="0"/>
                          <w:adjustRightInd w:val="0"/>
                          <w:jc w:val="center"/>
                          <w:rPr>
                            <w:rFonts w:ascii="Arial" w:hAnsi="Arial" w:cs="Arial"/>
                            <w:b/>
                            <w:bCs/>
                            <w:sz w:val="28"/>
                            <w:szCs w:val="28"/>
                          </w:rPr>
                        </w:pPr>
                        <w:r w:rsidRPr="00E47383">
                          <w:rPr>
                            <w:rFonts w:ascii="Arial" w:hAnsi="Arial" w:cs="Arial"/>
                            <w:b/>
                            <w:bCs/>
                            <w:sz w:val="28"/>
                            <w:szCs w:val="28"/>
                          </w:rPr>
                          <w:t>A’</w:t>
                        </w:r>
                      </w:p>
                    </w:txbxContent>
                  </v:textbox>
                </v:shape>
              </v:group>
            </w:pict>
          </mc:Fallback>
        </mc:AlternateContent>
      </w:r>
    </w:p>
    <w:p w14:paraId="1EB29E9B" w14:textId="77777777" w:rsidR="0041584B" w:rsidRPr="00C70D7F" w:rsidRDefault="0041584B" w:rsidP="0041584B"/>
    <w:p w14:paraId="457B720E" w14:textId="77777777" w:rsidR="0041584B" w:rsidRPr="00C70D7F" w:rsidRDefault="0041584B" w:rsidP="0041584B"/>
    <w:p w14:paraId="2BD36372" w14:textId="77777777" w:rsidR="0041584B" w:rsidRPr="00C70D7F" w:rsidRDefault="0041584B" w:rsidP="0041584B"/>
    <w:p w14:paraId="679AD684" w14:textId="77777777" w:rsidR="0041584B" w:rsidRPr="00C70D7F" w:rsidRDefault="0041584B" w:rsidP="0041584B"/>
    <w:p w14:paraId="3A247872" w14:textId="77777777" w:rsidR="0041584B" w:rsidRPr="00C70D7F" w:rsidRDefault="0041584B" w:rsidP="0041584B">
      <w:pPr>
        <w:rPr>
          <w:b/>
        </w:rPr>
      </w:pPr>
      <w:r w:rsidRPr="00C70D7F">
        <w:tab/>
      </w:r>
      <w:r w:rsidRPr="00C70D7F">
        <w:tab/>
      </w:r>
      <w:r w:rsidRPr="00C70D7F">
        <w:tab/>
      </w:r>
      <w:r w:rsidRPr="00C70D7F">
        <w:rPr>
          <w:b/>
        </w:rPr>
        <w:t>(a)</w:t>
      </w:r>
      <w:r w:rsidRPr="00C70D7F">
        <w:rPr>
          <w:b/>
        </w:rPr>
        <w:tab/>
      </w:r>
      <w:r w:rsidRPr="00C70D7F">
        <w:rPr>
          <w:b/>
        </w:rPr>
        <w:tab/>
      </w:r>
      <w:r w:rsidRPr="00C70D7F">
        <w:rPr>
          <w:b/>
        </w:rPr>
        <w:tab/>
      </w:r>
      <w:r w:rsidRPr="00C70D7F">
        <w:rPr>
          <w:b/>
        </w:rPr>
        <w:tab/>
      </w:r>
      <w:r w:rsidRPr="00C70D7F">
        <w:rPr>
          <w:b/>
        </w:rPr>
        <w:tab/>
      </w:r>
      <w:r w:rsidRPr="00C70D7F">
        <w:rPr>
          <w:b/>
        </w:rPr>
        <w:tab/>
      </w:r>
      <w:r w:rsidRPr="00C70D7F">
        <w:rPr>
          <w:b/>
        </w:rPr>
        <w:tab/>
        <w:t>(b)</w:t>
      </w:r>
    </w:p>
    <w:p w14:paraId="242D75DF" w14:textId="77777777" w:rsidR="0041584B" w:rsidRPr="00C70D7F" w:rsidRDefault="0041584B" w:rsidP="0041584B">
      <w:pPr>
        <w:pStyle w:val="DCNormaParaL1"/>
      </w:pPr>
      <w:r w:rsidRPr="00C70D7F">
        <w:t xml:space="preserve">The LRIC cost model is specified on a Branch-by-Branch basis, that is, a cost expression is associated with each Branch of the network.  The Branch cost is the </w:t>
      </w:r>
      <w:proofErr w:type="spellStart"/>
      <w:r w:rsidRPr="00C70D7F">
        <w:t>annuitised</w:t>
      </w:r>
      <w:proofErr w:type="spellEnd"/>
      <w:r w:rsidRPr="00C70D7F">
        <w:t xml:space="preserve"> NPV reinforcement cost, or in mathematical terms:</w:t>
      </w:r>
    </w:p>
    <w:p w14:paraId="7F0FB849" w14:textId="77777777" w:rsidR="0041584B" w:rsidRDefault="0041584B" w:rsidP="0041584B">
      <w:pPr>
        <w:ind w:right="-472"/>
      </w:pPr>
      <m:oMath>
        <m:r>
          <w:rPr>
            <w:rFonts w:ascii="Cambria Math"/>
            <w:sz w:val="22"/>
          </w:rPr>
          <w:lastRenderedPageBreak/>
          <m:t>Branc</m:t>
        </m:r>
        <m:r>
          <w:rPr>
            <w:rFonts w:ascii="Cambria Math"/>
            <w:sz w:val="22"/>
          </w:rPr>
          <m:t>h</m:t>
        </m:r>
        <m:r>
          <w:rPr>
            <w:rFonts w:ascii="Cambria Math"/>
            <w:sz w:val="22"/>
          </w:rPr>
          <m:t>Cos</m:t>
        </m:r>
        <m:sSub>
          <m:sSubPr>
            <m:ctrlPr>
              <w:rPr>
                <w:rFonts w:ascii="Cambria Math" w:hAnsi="Cambria Math"/>
                <w:i/>
                <w:sz w:val="22"/>
              </w:rPr>
            </m:ctrlPr>
          </m:sSubPr>
          <m:e>
            <m:r>
              <w:rPr>
                <w:rFonts w:ascii="Cambria Math"/>
                <w:sz w:val="22"/>
              </w:rPr>
              <m:t>t</m:t>
            </m:r>
          </m:e>
          <m:sub>
            <m:r>
              <w:rPr>
                <w:rFonts w:ascii="Cambria Math"/>
                <w:sz w:val="22"/>
              </w:rPr>
              <m:t>i</m:t>
            </m:r>
          </m:sub>
        </m:sSub>
        <m:r>
          <w:rPr>
            <w:rFonts w:ascii="Cambria Math"/>
            <w:sz w:val="22"/>
          </w:rPr>
          <m:t>=NP</m:t>
        </m:r>
        <m:sSub>
          <m:sSubPr>
            <m:ctrlPr>
              <w:rPr>
                <w:rFonts w:ascii="Cambria Math" w:hAnsi="Cambria Math"/>
                <w:i/>
                <w:sz w:val="22"/>
              </w:rPr>
            </m:ctrlPr>
          </m:sSubPr>
          <m:e>
            <m:r>
              <w:rPr>
                <w:rFonts w:ascii="Cambria Math"/>
                <w:sz w:val="22"/>
              </w:rPr>
              <m:t>V</m:t>
            </m:r>
          </m:e>
          <m:sub>
            <m:r>
              <w:rPr>
                <w:rFonts w:ascii="Cambria Math"/>
                <w:sz w:val="22"/>
              </w:rPr>
              <m:t>i</m:t>
            </m:r>
          </m:sub>
        </m:sSub>
        <m:r>
          <w:rPr>
            <w:rFonts w:ascii="Cambria Math" w:hAnsi="Cambria Math" w:cs="Cambria Math"/>
            <w:sz w:val="22"/>
          </w:rPr>
          <m:t>⋅</m:t>
        </m:r>
        <m:r>
          <w:rPr>
            <w:rFonts w:ascii="Cambria Math"/>
            <w:sz w:val="22"/>
          </w:rPr>
          <m:t>AnnuityRate=</m:t>
        </m:r>
        <m:f>
          <m:fPr>
            <m:ctrlPr>
              <w:rPr>
                <w:rFonts w:ascii="Cambria Math" w:hAnsi="Cambria Math"/>
                <w:i/>
                <w:sz w:val="22"/>
              </w:rPr>
            </m:ctrlPr>
          </m:fPr>
          <m:num>
            <w:bookmarkStart w:id="789" w:name="_Hlk27651661"/>
            <m:r>
              <w:rPr>
                <w:rFonts w:ascii="Cambria Math" w:hAnsi="Cambria Math"/>
                <w:sz w:val="22"/>
              </w:rPr>
              <m:t>CostOfReinforcementSolutio</m:t>
            </m:r>
            <m:sSub>
              <m:sSubPr>
                <m:ctrlPr>
                  <w:rPr>
                    <w:rFonts w:ascii="Cambria Math" w:hAnsi="Cambria Math"/>
                    <w:i/>
                    <w:sz w:val="22"/>
                  </w:rPr>
                </m:ctrlPr>
              </m:sSubPr>
              <m:e>
                <m:r>
                  <w:rPr>
                    <w:rFonts w:ascii="Cambria Math"/>
                    <w:sz w:val="22"/>
                  </w:rPr>
                  <m:t>n</m:t>
                </m:r>
              </m:e>
              <m:sub>
                <m:r>
                  <w:rPr>
                    <w:rFonts w:ascii="Cambria Math"/>
                    <w:sz w:val="22"/>
                  </w:rPr>
                  <m:t>i</m:t>
                </m:r>
              </m:sub>
            </m:sSub>
            <w:bookmarkEnd w:id="789"/>
          </m:num>
          <m:den>
            <m:r>
              <w:rPr>
                <w:rFonts w:ascii="Cambria Math"/>
                <w:sz w:val="22"/>
              </w:rPr>
              <m:t>(1+DiscountRate</m:t>
            </m:r>
            <m:sSup>
              <m:sSupPr>
                <m:ctrlPr>
                  <w:rPr>
                    <w:rFonts w:ascii="Cambria Math" w:hAnsi="Cambria Math"/>
                    <w:i/>
                    <w:sz w:val="22"/>
                  </w:rPr>
                </m:ctrlPr>
              </m:sSupPr>
              <m:e>
                <m:r>
                  <w:rPr>
                    <w:rFonts w:ascii="Cambria Math"/>
                    <w:sz w:val="22"/>
                  </w:rPr>
                  <m:t>)</m:t>
                </m:r>
              </m:e>
              <m:sup>
                <m:r>
                  <w:rPr>
                    <w:rFonts w:ascii="Cambria Math" w:hAnsi="Cambria Math"/>
                    <w:sz w:val="22"/>
                  </w:rPr>
                  <m:t>YearsToReinforcemen</m:t>
                </m:r>
                <m:sSub>
                  <m:sSubPr>
                    <m:ctrlPr>
                      <w:rPr>
                        <w:rFonts w:ascii="Cambria Math" w:hAnsi="Cambria Math"/>
                        <w:i/>
                        <w:sz w:val="22"/>
                      </w:rPr>
                    </m:ctrlPr>
                  </m:sSubPr>
                  <m:e>
                    <m:r>
                      <w:rPr>
                        <w:rFonts w:ascii="Cambria Math"/>
                        <w:sz w:val="22"/>
                      </w:rPr>
                      <m:t>t</m:t>
                    </m:r>
                  </m:e>
                  <m:sub>
                    <m:r>
                      <w:rPr>
                        <w:rFonts w:ascii="Cambria Math"/>
                        <w:sz w:val="22"/>
                      </w:rPr>
                      <m:t>i</m:t>
                    </m:r>
                  </m:sub>
                </m:sSub>
                <m:r>
                  <w:rPr>
                    <w:rFonts w:ascii="Cambria Math"/>
                    <w:sz w:val="22"/>
                  </w:rPr>
                  <m:t>()</m:t>
                </m:r>
              </m:sup>
            </m:sSup>
          </m:den>
        </m:f>
        <m:r>
          <w:rPr>
            <w:rFonts w:ascii="Cambria Math" w:hAnsi="Cambria Math" w:cs="Cambria Math"/>
            <w:sz w:val="22"/>
          </w:rPr>
          <m:t>⋅</m:t>
        </m:r>
        <m:r>
          <w:rPr>
            <w:rFonts w:ascii="Cambria Math"/>
            <w:sz w:val="22"/>
          </w:rPr>
          <m:t>AnnuityRate</m:t>
        </m:r>
        <m:r>
          <w:rPr>
            <w:rFonts w:ascii="Cambria Math"/>
            <w:sz w:val="22"/>
          </w:rPr>
          <m:t>£</m:t>
        </m:r>
        <m:r>
          <w:rPr>
            <w:rFonts w:ascii="Cambria Math"/>
            <w:sz w:val="22"/>
          </w:rPr>
          <m:t>/annum</m:t>
        </m:r>
      </m:oMath>
      <w:r>
        <w:t xml:space="preserve"> </w:t>
      </w:r>
    </w:p>
    <w:p w14:paraId="191DC547" w14:textId="77777777" w:rsidR="0041584B" w:rsidRPr="003554D5" w:rsidRDefault="0041584B" w:rsidP="0041584B">
      <w:pPr>
        <w:pStyle w:val="DCNormaParaL1"/>
      </w:pPr>
      <w:r w:rsidRPr="003554D5">
        <w:t xml:space="preserve">where </w:t>
      </w:r>
      <w:r w:rsidRPr="00507652">
        <w:rPr>
          <w:i/>
        </w:rPr>
        <w:t>i</w:t>
      </w:r>
      <w:r w:rsidRPr="003554D5">
        <w:t xml:space="preserve"> is index of Branch, </w:t>
      </w:r>
      <w:proofErr w:type="spellStart"/>
      <w:r w:rsidRPr="00507652">
        <w:rPr>
          <w:i/>
        </w:rPr>
        <w:t>NPV</w:t>
      </w:r>
      <w:r w:rsidRPr="00507652">
        <w:rPr>
          <w:i/>
          <w:vertAlign w:val="subscript"/>
        </w:rPr>
        <w:t>i</w:t>
      </w:r>
      <w:proofErr w:type="spellEnd"/>
      <w:r w:rsidRPr="003554D5">
        <w:t xml:space="preserve"> is present value of the Branch cost </w:t>
      </w:r>
      <w:bookmarkStart w:id="790" w:name="_Hlk27650975"/>
      <w:proofErr w:type="spellStart"/>
      <w:r w:rsidRPr="00507652">
        <w:rPr>
          <w:i/>
        </w:rPr>
        <w:t>CostOfReinforcementSolution</w:t>
      </w:r>
      <w:r w:rsidRPr="00507652">
        <w:rPr>
          <w:vertAlign w:val="subscript"/>
        </w:rPr>
        <w:t>i</w:t>
      </w:r>
      <w:bookmarkEnd w:id="790"/>
      <w:proofErr w:type="spellEnd"/>
      <w:r w:rsidRPr="003554D5">
        <w:t xml:space="preserve"> discounted at rate </w:t>
      </w:r>
      <w:proofErr w:type="spellStart"/>
      <w:r w:rsidRPr="00507652">
        <w:rPr>
          <w:i/>
        </w:rPr>
        <w:t>DiscountRate</w:t>
      </w:r>
      <w:proofErr w:type="spellEnd"/>
      <w:r w:rsidRPr="00507652">
        <w:rPr>
          <w:i/>
        </w:rPr>
        <w:t xml:space="preserve"> </w:t>
      </w:r>
      <w:r w:rsidRPr="003554D5">
        <w:t xml:space="preserve">specified by regulator, </w:t>
      </w:r>
      <w:proofErr w:type="spellStart"/>
      <w:r w:rsidRPr="00507652">
        <w:rPr>
          <w:i/>
        </w:rPr>
        <w:t>YearsToReinforcement</w:t>
      </w:r>
      <w:r w:rsidRPr="00507652">
        <w:rPr>
          <w:i/>
          <w:vertAlign w:val="subscript"/>
        </w:rPr>
        <w:t>i</w:t>
      </w:r>
      <w:proofErr w:type="spellEnd"/>
      <w:r w:rsidRPr="00507652">
        <w:rPr>
          <w:i/>
        </w:rPr>
        <w:t>()</w:t>
      </w:r>
      <w:r w:rsidRPr="003554D5">
        <w:t xml:space="preserve"> is time in future when reinforcement of </w:t>
      </w:r>
      <w:proofErr w:type="spellStart"/>
      <w:r w:rsidRPr="00507652">
        <w:rPr>
          <w:i/>
        </w:rPr>
        <w:t>Branch</w:t>
      </w:r>
      <w:r w:rsidRPr="009536D6">
        <w:rPr>
          <w:i/>
          <w:vertAlign w:val="subscript"/>
        </w:rPr>
        <w:t>i</w:t>
      </w:r>
      <w:proofErr w:type="spellEnd"/>
      <w:r w:rsidRPr="003554D5">
        <w:t xml:space="preserve"> will be required if the power flow grows at the given rate, and </w:t>
      </w:r>
      <w:proofErr w:type="spellStart"/>
      <w:r w:rsidRPr="00507652">
        <w:rPr>
          <w:i/>
        </w:rPr>
        <w:t>AnnuityRate</w:t>
      </w:r>
      <w:proofErr w:type="spellEnd"/>
      <w:r w:rsidRPr="003554D5">
        <w:t xml:space="preserve"> is the standard annuity factor calculated from the discount rate and annuity period.  It needs to be stressed that the only quantity that depends on Connectees’ demands (both load and generation) is time to reinforcement </w:t>
      </w:r>
      <w:proofErr w:type="spellStart"/>
      <w:proofErr w:type="gramStart"/>
      <w:r w:rsidRPr="00507652">
        <w:rPr>
          <w:i/>
        </w:rPr>
        <w:t>YearsToReinforcement</w:t>
      </w:r>
      <w:r w:rsidRPr="00507652">
        <w:rPr>
          <w:i/>
          <w:vertAlign w:val="subscript"/>
        </w:rPr>
        <w:t>i</w:t>
      </w:r>
      <w:proofErr w:type="spellEnd"/>
      <w:r w:rsidRPr="00507652">
        <w:rPr>
          <w:i/>
        </w:rPr>
        <w:t>(</w:t>
      </w:r>
      <w:proofErr w:type="gramEnd"/>
      <w:r w:rsidRPr="00507652">
        <w:rPr>
          <w:i/>
        </w:rPr>
        <w:t>),</w:t>
      </w:r>
      <w:r w:rsidRPr="003554D5">
        <w:t xml:space="preserve"> the others are constants.</w:t>
      </w:r>
    </w:p>
    <w:p w14:paraId="2625F8E8" w14:textId="77777777" w:rsidR="0041584B" w:rsidRPr="003554D5" w:rsidRDefault="0041584B" w:rsidP="0041584B">
      <w:pPr>
        <w:pStyle w:val="DCNormaParaL1"/>
      </w:pPr>
      <w:r w:rsidRPr="003554D5">
        <w:t xml:space="preserve">Branch marginal cost is the first derivative of the Branch cost (1) with respect to demand (either load or generation) connected at any Node </w:t>
      </w:r>
      <w:r w:rsidRPr="00507652">
        <w:rPr>
          <w:i/>
        </w:rPr>
        <w:t>k.</w:t>
      </w:r>
      <w:r w:rsidRPr="003554D5">
        <w:t xml:space="preserve"> As </w:t>
      </w:r>
      <w:proofErr w:type="spellStart"/>
      <w:proofErr w:type="gramStart"/>
      <w:r w:rsidRPr="00507652">
        <w:rPr>
          <w:i/>
        </w:rPr>
        <w:t>YearsToReinforcement</w:t>
      </w:r>
      <w:r w:rsidRPr="00507652">
        <w:rPr>
          <w:i/>
          <w:vertAlign w:val="subscript"/>
        </w:rPr>
        <w:t>i</w:t>
      </w:r>
      <w:proofErr w:type="spellEnd"/>
      <w:r w:rsidRPr="00507652">
        <w:rPr>
          <w:i/>
        </w:rPr>
        <w:t>(</w:t>
      </w:r>
      <w:proofErr w:type="gramEnd"/>
      <w:r w:rsidRPr="00507652">
        <w:rPr>
          <w:i/>
        </w:rPr>
        <w:t>),</w:t>
      </w:r>
      <w:r w:rsidRPr="003554D5">
        <w:t xml:space="preserve"> in expression (1) is a function of the power flow in Branch </w:t>
      </w:r>
      <w:r w:rsidRPr="00507652">
        <w:rPr>
          <w:i/>
        </w:rPr>
        <w:t>i</w:t>
      </w:r>
      <w:r w:rsidRPr="003554D5">
        <w:t xml:space="preserve">, which is in turn a function of all demands </w:t>
      </w:r>
      <w:r w:rsidRPr="00507652">
        <w:rPr>
          <w:i/>
        </w:rPr>
        <w:t>D</w:t>
      </w:r>
      <w:r w:rsidRPr="00507652">
        <w:rPr>
          <w:i/>
          <w:vertAlign w:val="subscript"/>
        </w:rPr>
        <w:t>k</w:t>
      </w:r>
      <w:r w:rsidRPr="003554D5">
        <w:t xml:space="preserve">, </w:t>
      </w:r>
      <w:r w:rsidRPr="00507652">
        <w:rPr>
          <w:i/>
        </w:rPr>
        <w:t>k=1,2</w:t>
      </w:r>
      <w:r w:rsidRPr="003554D5">
        <w:t>,…, the chain rule needs to be applied to derive expression (1):</w:t>
      </w:r>
    </w:p>
    <w:p w14:paraId="19CA9408" w14:textId="77777777" w:rsidR="0041584B" w:rsidRDefault="0041584B" w:rsidP="0041584B">
      <m:oMathPara>
        <m:oMath>
          <m:r>
            <w:rPr>
              <w:rFonts w:ascii="Cambria Math"/>
            </w:rPr>
            <m:t>Branc</m:t>
          </m:r>
          <m:r>
            <w:rPr>
              <w:rFonts w:ascii="Cambria Math"/>
            </w:rPr>
            <m:t>h</m:t>
          </m:r>
          <m:r>
            <w:rPr>
              <w:rFonts w:ascii="Cambria Math"/>
            </w:rPr>
            <m:t>MarginalCos</m:t>
          </m:r>
          <m:sSubSup>
            <m:sSubSupPr>
              <m:ctrlPr>
                <w:rPr>
                  <w:rFonts w:ascii="Cambria Math" w:hAnsi="Cambria Math"/>
                  <w:i/>
                </w:rPr>
              </m:ctrlPr>
            </m:sSubSupPr>
            <m:e>
              <m:r>
                <w:rPr>
                  <w:rFonts w:ascii="Cambria Math"/>
                </w:rPr>
                <m:t>t</m:t>
              </m:r>
            </m:e>
            <m:sub>
              <m:r>
                <w:rPr>
                  <w:rFonts w:ascii="Cambria Math"/>
                </w:rPr>
                <m:t>i</m:t>
              </m:r>
            </m:sub>
            <m:sup>
              <m:r>
                <w:rPr>
                  <w:rFonts w:ascii="Cambria Math"/>
                </w:rPr>
                <m:t>k</m:t>
              </m:r>
            </m:sup>
          </m:sSubSup>
          <m:r>
            <w:rPr>
              <w:rFonts w:ascii="Cambria Math"/>
            </w:rPr>
            <m:t>=</m:t>
          </m:r>
          <m:f>
            <m:fPr>
              <m:ctrlPr>
                <w:rPr>
                  <w:rFonts w:ascii="Cambria Math" w:hAnsi="Cambria Math"/>
                  <w:i/>
                </w:rPr>
              </m:ctrlPr>
            </m:fPr>
            <m:num>
              <m:r>
                <w:rPr>
                  <w:rFonts w:ascii="Cambria Math"/>
                </w:rPr>
                <m:t>∂Branc</m:t>
              </m:r>
              <m:r>
                <w:rPr>
                  <w:rFonts w:ascii="Cambria Math"/>
                </w:rPr>
                <m:t>h</m:t>
              </m:r>
              <m:r>
                <w:rPr>
                  <w:rFonts w:ascii="Cambria Math"/>
                </w:rPr>
                <m:t>Cos</m:t>
              </m:r>
              <m:sSub>
                <m:sSubPr>
                  <m:ctrlPr>
                    <w:rPr>
                      <w:rFonts w:ascii="Cambria Math" w:hAnsi="Cambria Math"/>
                      <w:i/>
                    </w:rPr>
                  </m:ctrlPr>
                </m:sSubPr>
                <m:e>
                  <m:r>
                    <w:rPr>
                      <w:rFonts w:ascii="Cambria Math"/>
                    </w:rPr>
                    <m:t>t</m:t>
                  </m:r>
                </m:e>
                <m:sub>
                  <m:r>
                    <w:rPr>
                      <w:rFonts w:ascii="Cambria Math"/>
                    </w:rPr>
                    <m:t>i</m:t>
                  </m:r>
                </m:sub>
              </m:sSub>
            </m:num>
            <m:den>
              <m:r>
                <w:rPr>
                  <w:rFonts w:ascii="Cambria Math"/>
                </w:rPr>
                <m:t>∂</m:t>
              </m:r>
              <m:sSub>
                <m:sSubPr>
                  <m:ctrlPr>
                    <w:rPr>
                      <w:rFonts w:ascii="Cambria Math" w:hAnsi="Cambria Math"/>
                      <w:i/>
                    </w:rPr>
                  </m:ctrlPr>
                </m:sSubPr>
                <m:e>
                  <m:r>
                    <w:rPr>
                      <w:rFonts w:ascii="Cambria Math"/>
                    </w:rPr>
                    <m:t>D</m:t>
                  </m:r>
                </m:e>
                <m:sub>
                  <m:r>
                    <w:rPr>
                      <w:rFonts w:ascii="Cambria Math"/>
                    </w:rPr>
                    <m:t>k</m:t>
                  </m:r>
                </m:sub>
              </m:sSub>
            </m:den>
          </m:f>
          <m:r>
            <w:rPr>
              <w:rFonts w:ascii="Cambria Math"/>
            </w:rPr>
            <m:t>=</m:t>
          </m:r>
          <m:r>
            <m:rPr>
              <m:sty m:val="p"/>
            </m:rPr>
            <w:rPr>
              <w:rFonts w:ascii="Cambria Math" w:hAnsi="Cambria Math"/>
            </w:rPr>
            <w:br/>
          </m:r>
        </m:oMath>
        <m:oMath>
          <m:f>
            <m:fPr>
              <m:ctrlPr>
                <w:rPr>
                  <w:rFonts w:ascii="Cambria Math" w:hAnsi="Cambria Math"/>
                  <w:i/>
                </w:rPr>
              </m:ctrlPr>
            </m:fPr>
            <m:num>
              <m:r>
                <w:rPr>
                  <w:rFonts w:ascii="Cambria Math"/>
                </w:rPr>
                <m:t>∂Branc</m:t>
              </m:r>
              <m:r>
                <w:rPr>
                  <w:rFonts w:ascii="Cambria Math"/>
                </w:rPr>
                <m:t>h</m:t>
              </m:r>
              <m:r>
                <w:rPr>
                  <w:rFonts w:ascii="Cambria Math"/>
                </w:rPr>
                <m:t>Cos</m:t>
              </m:r>
              <m:sSub>
                <m:sSubPr>
                  <m:ctrlPr>
                    <w:rPr>
                      <w:rFonts w:ascii="Cambria Math" w:hAnsi="Cambria Math"/>
                      <w:i/>
                    </w:rPr>
                  </m:ctrlPr>
                </m:sSubPr>
                <m:e>
                  <m:r>
                    <w:rPr>
                      <w:rFonts w:ascii="Cambria Math"/>
                    </w:rPr>
                    <m:t>t</m:t>
                  </m:r>
                </m:e>
                <m:sub>
                  <m:r>
                    <w:rPr>
                      <w:rFonts w:ascii="Cambria Math"/>
                    </w:rPr>
                    <m:t>i</m:t>
                  </m:r>
                </m:sub>
              </m:sSub>
            </m:num>
            <m:den>
              <m:r>
                <w:rPr>
                  <w:rFonts w:ascii="Cambria Math"/>
                </w:rPr>
                <m:t>∂</m:t>
              </m:r>
              <m:r>
                <w:rPr>
                  <w:rFonts w:ascii="Cambria Math" w:hAnsi="Cambria Math"/>
                </w:rPr>
                <m:t>YearsToReinforcemen</m:t>
              </m:r>
              <m:sSub>
                <m:sSubPr>
                  <m:ctrlPr>
                    <w:rPr>
                      <w:rFonts w:ascii="Cambria Math" w:hAnsi="Cambria Math"/>
                      <w:i/>
                    </w:rPr>
                  </m:ctrlPr>
                </m:sSubPr>
                <m:e>
                  <m:r>
                    <w:rPr>
                      <w:rFonts w:ascii="Cambria Math"/>
                    </w:rPr>
                    <m:t>t</m:t>
                  </m:r>
                </m:e>
                <m:sub>
                  <m:r>
                    <w:rPr>
                      <w:rFonts w:ascii="Cambria Math"/>
                    </w:rPr>
                    <m:t>i</m:t>
                  </m:r>
                </m:sub>
              </m:sSub>
            </m:den>
          </m:f>
          <m:f>
            <m:fPr>
              <m:ctrlPr>
                <w:rPr>
                  <w:rFonts w:ascii="Cambria Math" w:hAnsi="Cambria Math"/>
                  <w:i/>
                </w:rPr>
              </m:ctrlPr>
            </m:fPr>
            <m:num>
              <m:r>
                <w:rPr>
                  <w:rFonts w:ascii="Cambria Math"/>
                </w:rPr>
                <m:t>∂</m:t>
              </m:r>
              <m:r>
                <w:rPr>
                  <w:rFonts w:ascii="Cambria Math" w:hAnsi="Cambria Math"/>
                </w:rPr>
                <m:t>YearsToReinforcemen</m:t>
              </m:r>
              <m:sSub>
                <m:sSubPr>
                  <m:ctrlPr>
                    <w:rPr>
                      <w:rFonts w:ascii="Cambria Math" w:hAnsi="Cambria Math"/>
                      <w:i/>
                    </w:rPr>
                  </m:ctrlPr>
                </m:sSubPr>
                <m:e>
                  <m:r>
                    <w:rPr>
                      <w:rFonts w:ascii="Cambria Math"/>
                    </w:rPr>
                    <m:t>t</m:t>
                  </m:r>
                </m:e>
                <m:sub>
                  <m:r>
                    <w:rPr>
                      <w:rFonts w:ascii="Cambria Math"/>
                    </w:rPr>
                    <m:t>i</m:t>
                  </m:r>
                </m:sub>
              </m:sSub>
            </m:num>
            <m:den>
              <m:r>
                <w:rPr>
                  <w:rFonts w:ascii="Cambria Math"/>
                </w:rPr>
                <m:t>∂flo</m:t>
              </m:r>
              <m:sSub>
                <m:sSubPr>
                  <m:ctrlPr>
                    <w:rPr>
                      <w:rFonts w:ascii="Cambria Math" w:hAnsi="Cambria Math"/>
                      <w:i/>
                    </w:rPr>
                  </m:ctrlPr>
                </m:sSubPr>
                <m:e>
                  <m:r>
                    <w:rPr>
                      <w:rFonts w:ascii="Cambria Math"/>
                    </w:rPr>
                    <m:t>w</m:t>
                  </m:r>
                </m:e>
                <m:sub>
                  <m:r>
                    <w:rPr>
                      <w:rFonts w:ascii="Cambria Math"/>
                    </w:rPr>
                    <m:t>i</m:t>
                  </m:r>
                </m:sub>
              </m:sSub>
            </m:den>
          </m:f>
          <m:f>
            <m:fPr>
              <m:ctrlPr>
                <w:rPr>
                  <w:rFonts w:ascii="Cambria Math" w:hAnsi="Cambria Math"/>
                  <w:i/>
                </w:rPr>
              </m:ctrlPr>
            </m:fPr>
            <m:num>
              <m:r>
                <w:rPr>
                  <w:rFonts w:ascii="Cambria Math"/>
                </w:rPr>
                <m:t>∂</m:t>
              </m:r>
              <w:bookmarkStart w:id="791" w:name="_Hlk27651884"/>
              <m:r>
                <w:rPr>
                  <w:rFonts w:ascii="Cambria Math"/>
                </w:rPr>
                <m:t>flo</m:t>
              </m:r>
              <m:sSub>
                <m:sSubPr>
                  <m:ctrlPr>
                    <w:rPr>
                      <w:rFonts w:ascii="Cambria Math" w:hAnsi="Cambria Math"/>
                      <w:i/>
                    </w:rPr>
                  </m:ctrlPr>
                </m:sSubPr>
                <m:e>
                  <m:r>
                    <w:rPr>
                      <w:rFonts w:ascii="Cambria Math"/>
                    </w:rPr>
                    <m:t>w</m:t>
                  </m:r>
                </m:e>
                <m:sub>
                  <m:r>
                    <w:rPr>
                      <w:rFonts w:ascii="Cambria Math"/>
                    </w:rPr>
                    <m:t>i</m:t>
                  </m:r>
                </m:sub>
              </m:sSub>
              <w:bookmarkEnd w:id="791"/>
            </m:num>
            <m:den>
              <m:r>
                <w:rPr>
                  <w:rFonts w:ascii="Cambria Math"/>
                </w:rPr>
                <m:t>∂</m:t>
              </m:r>
              <m:sSub>
                <m:sSubPr>
                  <m:ctrlPr>
                    <w:rPr>
                      <w:rFonts w:ascii="Cambria Math" w:hAnsi="Cambria Math"/>
                      <w:i/>
                    </w:rPr>
                  </m:ctrlPr>
                </m:sSubPr>
                <m:e>
                  <m:r>
                    <w:rPr>
                      <w:rFonts w:ascii="Cambria Math"/>
                    </w:rPr>
                    <m:t>D</m:t>
                  </m:r>
                </m:e>
                <m:sub>
                  <m:r>
                    <w:rPr>
                      <w:rFonts w:ascii="Cambria Math"/>
                    </w:rPr>
                    <m:t>k</m:t>
                  </m:r>
                </m:sub>
              </m:sSub>
            </m:den>
          </m:f>
          <m:r>
            <w:rPr>
              <w:rFonts w:ascii="Cambria Math"/>
            </w:rPr>
            <m:t>£</m:t>
          </m:r>
          <m:r>
            <w:rPr>
              <w:rFonts w:ascii="Cambria Math"/>
            </w:rPr>
            <m:t>/kVA/annum,</m:t>
          </m:r>
        </m:oMath>
      </m:oMathPara>
    </w:p>
    <w:p w14:paraId="0B9DAFC8" w14:textId="77777777" w:rsidR="0041584B" w:rsidRDefault="0041584B" w:rsidP="0041584B">
      <w:r w:rsidRPr="003554D5">
        <w:t xml:space="preserve">where </w:t>
      </w:r>
      <w:r w:rsidRPr="00507652">
        <w:rPr>
          <w:i/>
        </w:rPr>
        <w:t>Dk</w:t>
      </w:r>
      <w:r w:rsidRPr="003554D5">
        <w:t xml:space="preserve"> is demand at Node</w:t>
      </w:r>
      <w:r w:rsidRPr="00507652">
        <w:rPr>
          <w:i/>
        </w:rPr>
        <w:t xml:space="preserve"> k</w:t>
      </w:r>
      <w:r w:rsidRPr="003554D5">
        <w:t xml:space="preserve"> and </w:t>
      </w:r>
      <m:oMath>
        <m:r>
          <w:rPr>
            <w:rFonts w:ascii="Cambria Math"/>
          </w:rPr>
          <m:t>flo</m:t>
        </m:r>
        <m:sSub>
          <m:sSubPr>
            <m:ctrlPr>
              <w:rPr>
                <w:rFonts w:ascii="Cambria Math" w:hAnsi="Cambria Math"/>
                <w:i/>
              </w:rPr>
            </m:ctrlPr>
          </m:sSubPr>
          <m:e>
            <m:r>
              <w:rPr>
                <w:rFonts w:ascii="Cambria Math"/>
              </w:rPr>
              <m:t>w</m:t>
            </m:r>
          </m:e>
          <m:sub>
            <m:r>
              <w:rPr>
                <w:rFonts w:ascii="Cambria Math"/>
              </w:rPr>
              <m:t>i</m:t>
            </m:r>
          </m:sub>
        </m:sSub>
      </m:oMath>
      <w:r>
        <w:rPr>
          <w:rFonts w:eastAsiaTheme="minorEastAsia"/>
        </w:rPr>
        <w:t xml:space="preserve"> </w:t>
      </w:r>
      <w:r w:rsidRPr="003554D5">
        <w:t xml:space="preserve">is power flow in </w:t>
      </w:r>
      <w:proofErr w:type="spellStart"/>
      <w:r w:rsidRPr="00507652">
        <w:rPr>
          <w:i/>
        </w:rPr>
        <w:t>Branch</w:t>
      </w:r>
      <w:r w:rsidRPr="009536D6">
        <w:rPr>
          <w:i/>
          <w:vertAlign w:val="subscript"/>
        </w:rPr>
        <w:t>i</w:t>
      </w:r>
      <w:proofErr w:type="spellEnd"/>
      <w:r w:rsidRPr="003554D5">
        <w:t xml:space="preserve">. </w:t>
      </w:r>
    </w:p>
    <w:p w14:paraId="3B6D39F6" w14:textId="77777777" w:rsidR="0041584B" w:rsidRPr="003554D5" w:rsidRDefault="0041584B" w:rsidP="0041584B">
      <w:r w:rsidRPr="003554D5">
        <w:t>The corresponding incremental cost is, in a similar way, given by expression:</w:t>
      </w:r>
    </w:p>
    <w:p w14:paraId="685575F2" w14:textId="77777777" w:rsidR="0041584B" w:rsidRDefault="0041584B" w:rsidP="0041584B">
      <w:pPr>
        <w:pStyle w:val="DCNormaParaL1"/>
        <w:rPr>
          <w:position w:val="-64"/>
        </w:rPr>
      </w:pPr>
      <m:oMathPara>
        <m:oMath>
          <m:r>
            <w:rPr>
              <w:rFonts w:ascii="Cambria Math"/>
            </w:rPr>
            <m:t>Branc</m:t>
          </m:r>
          <m:r>
            <w:rPr>
              <w:rFonts w:ascii="Cambria Math"/>
            </w:rPr>
            <m:t>h</m:t>
          </m:r>
          <m:r>
            <w:rPr>
              <w:rFonts w:ascii="Cambria Math"/>
            </w:rPr>
            <m:t>IncrementalCos</m:t>
          </m:r>
          <m:sSubSup>
            <m:sSubSupPr>
              <m:ctrlPr>
                <w:rPr>
                  <w:rFonts w:ascii="Cambria Math" w:hAnsi="Cambria Math"/>
                  <w:i/>
                </w:rPr>
              </m:ctrlPr>
            </m:sSubSupPr>
            <m:e>
              <m:r>
                <w:rPr>
                  <w:rFonts w:ascii="Cambria Math"/>
                </w:rPr>
                <m:t>t</m:t>
              </m:r>
            </m:e>
            <m:sub>
              <m:r>
                <w:rPr>
                  <w:rFonts w:ascii="Cambria Math"/>
                </w:rPr>
                <m:t>i</m:t>
              </m:r>
            </m:sub>
            <m:sup>
              <m:r>
                <w:rPr>
                  <w:rFonts w:ascii="Cambria Math"/>
                </w:rPr>
                <m:t>k</m:t>
              </m:r>
            </m:sup>
          </m:sSubSup>
          <m:r>
            <w:rPr>
              <w:rFonts w:ascii="Cambria Math"/>
            </w:rPr>
            <m:t>=</m:t>
          </m:r>
          <m:f>
            <m:fPr>
              <m:ctrlPr>
                <w:rPr>
                  <w:rFonts w:ascii="Cambria Math" w:hAnsi="Cambria Math"/>
                  <w:i/>
                </w:rPr>
              </m:ctrlPr>
            </m:fPr>
            <m:num>
              <m:r>
                <w:rPr>
                  <w:rFonts w:ascii="Cambria Math"/>
                </w:rPr>
                <m:t>ΔBranc</m:t>
              </m:r>
              <m:r>
                <w:rPr>
                  <w:rFonts w:ascii="Cambria Math"/>
                </w:rPr>
                <m:t>h</m:t>
              </m:r>
              <m:r>
                <w:rPr>
                  <w:rFonts w:ascii="Cambria Math"/>
                </w:rPr>
                <m:t>Cos</m:t>
              </m:r>
              <m:sSub>
                <m:sSubPr>
                  <m:ctrlPr>
                    <w:rPr>
                      <w:rFonts w:ascii="Cambria Math" w:hAnsi="Cambria Math"/>
                      <w:i/>
                    </w:rPr>
                  </m:ctrlPr>
                </m:sSubPr>
                <m:e>
                  <m:r>
                    <w:rPr>
                      <w:rFonts w:ascii="Cambria Math"/>
                    </w:rPr>
                    <m:t>t</m:t>
                  </m:r>
                </m:e>
                <m:sub>
                  <m:r>
                    <w:rPr>
                      <w:rFonts w:ascii="Cambria Math"/>
                    </w:rPr>
                    <m:t>i</m:t>
                  </m:r>
                </m:sub>
              </m:sSub>
            </m:num>
            <m:den>
              <m:r>
                <w:rPr>
                  <w:rFonts w:ascii="Cambria Math"/>
                </w:rPr>
                <m:t>Δ</m:t>
              </m:r>
              <m:sSub>
                <m:sSubPr>
                  <m:ctrlPr>
                    <w:rPr>
                      <w:rFonts w:ascii="Cambria Math" w:hAnsi="Cambria Math"/>
                      <w:i/>
                    </w:rPr>
                  </m:ctrlPr>
                </m:sSubPr>
                <m:e>
                  <m:r>
                    <w:rPr>
                      <w:rFonts w:ascii="Cambria Math"/>
                    </w:rPr>
                    <m:t>D</m:t>
                  </m:r>
                </m:e>
                <m:sub>
                  <m:r>
                    <w:rPr>
                      <w:rFonts w:ascii="Cambria Math"/>
                    </w:rPr>
                    <m:t>k</m:t>
                  </m:r>
                </m:sub>
              </m:sSub>
            </m:den>
          </m:f>
          <m:r>
            <w:rPr>
              <w:rFonts w:ascii="Cambria Math"/>
            </w:rPr>
            <m:t>=</m:t>
          </m:r>
          <m:r>
            <m:rPr>
              <m:sty m:val="p"/>
            </m:rPr>
            <w:rPr>
              <w:rFonts w:ascii="Cambria Math" w:hAnsi="Cambria Math"/>
            </w:rPr>
            <w:br/>
          </m:r>
        </m:oMath>
        <m:oMath>
          <m:f>
            <m:fPr>
              <m:ctrlPr>
                <w:rPr>
                  <w:rFonts w:ascii="Cambria Math" w:hAnsi="Cambria Math"/>
                  <w:i/>
                </w:rPr>
              </m:ctrlPr>
            </m:fPr>
            <m:num>
              <m:r>
                <w:rPr>
                  <w:rFonts w:ascii="Cambria Math"/>
                </w:rPr>
                <m:t>ΔBranc</m:t>
              </m:r>
              <m:r>
                <w:rPr>
                  <w:rFonts w:ascii="Cambria Math"/>
                </w:rPr>
                <m:t>h</m:t>
              </m:r>
              <m:r>
                <w:rPr>
                  <w:rFonts w:ascii="Cambria Math"/>
                </w:rPr>
                <m:t>Cos</m:t>
              </m:r>
              <m:sSub>
                <m:sSubPr>
                  <m:ctrlPr>
                    <w:rPr>
                      <w:rFonts w:ascii="Cambria Math" w:hAnsi="Cambria Math"/>
                      <w:i/>
                    </w:rPr>
                  </m:ctrlPr>
                </m:sSubPr>
                <m:e>
                  <m:r>
                    <w:rPr>
                      <w:rFonts w:ascii="Cambria Math"/>
                    </w:rPr>
                    <m:t>t</m:t>
                  </m:r>
                </m:e>
                <m:sub>
                  <m:r>
                    <w:rPr>
                      <w:rFonts w:ascii="Cambria Math"/>
                    </w:rPr>
                    <m:t>i</m:t>
                  </m:r>
                </m:sub>
              </m:sSub>
            </m:num>
            <m:den>
              <m:r>
                <w:rPr>
                  <w:rFonts w:ascii="Cambria Math"/>
                </w:rPr>
                <m:t>Δ</m:t>
              </m:r>
              <m:r>
                <w:rPr>
                  <w:rFonts w:ascii="Cambria Math" w:hAnsi="Cambria Math"/>
                </w:rPr>
                <m:t>YearsToReinforcemen</m:t>
              </m:r>
              <m:sSub>
                <m:sSubPr>
                  <m:ctrlPr>
                    <w:rPr>
                      <w:rFonts w:ascii="Cambria Math" w:hAnsi="Cambria Math"/>
                      <w:i/>
                    </w:rPr>
                  </m:ctrlPr>
                </m:sSubPr>
                <m:e>
                  <m:r>
                    <w:rPr>
                      <w:rFonts w:ascii="Cambria Math"/>
                    </w:rPr>
                    <m:t>t</m:t>
                  </m:r>
                </m:e>
                <m:sub>
                  <m:r>
                    <w:rPr>
                      <w:rFonts w:ascii="Cambria Math"/>
                    </w:rPr>
                    <m:t>i</m:t>
                  </m:r>
                </m:sub>
              </m:sSub>
            </m:den>
          </m:f>
          <m:f>
            <m:fPr>
              <m:ctrlPr>
                <w:rPr>
                  <w:rFonts w:ascii="Cambria Math" w:hAnsi="Cambria Math"/>
                  <w:i/>
                </w:rPr>
              </m:ctrlPr>
            </m:fPr>
            <m:num>
              <m:r>
                <w:rPr>
                  <w:rFonts w:ascii="Cambria Math"/>
                </w:rPr>
                <m:t>Δ</m:t>
              </m:r>
              <m:r>
                <w:rPr>
                  <w:rFonts w:ascii="Cambria Math" w:hAnsi="Cambria Math"/>
                </w:rPr>
                <m:t>YearsToReinforcemen</m:t>
              </m:r>
              <m:sSub>
                <m:sSubPr>
                  <m:ctrlPr>
                    <w:rPr>
                      <w:rFonts w:ascii="Cambria Math" w:hAnsi="Cambria Math"/>
                      <w:i/>
                    </w:rPr>
                  </m:ctrlPr>
                </m:sSubPr>
                <m:e>
                  <m:r>
                    <w:rPr>
                      <w:rFonts w:ascii="Cambria Math"/>
                    </w:rPr>
                    <m:t>t</m:t>
                  </m:r>
                </m:e>
                <m:sub>
                  <m:r>
                    <w:rPr>
                      <w:rFonts w:ascii="Cambria Math"/>
                    </w:rPr>
                    <m:t>i</m:t>
                  </m:r>
                </m:sub>
              </m:sSub>
            </m:num>
            <m:den>
              <m:r>
                <w:rPr>
                  <w:rFonts w:ascii="Cambria Math"/>
                </w:rPr>
                <m:t>Δflo</m:t>
              </m:r>
              <m:sSub>
                <m:sSubPr>
                  <m:ctrlPr>
                    <w:rPr>
                      <w:rFonts w:ascii="Cambria Math" w:hAnsi="Cambria Math"/>
                      <w:i/>
                    </w:rPr>
                  </m:ctrlPr>
                </m:sSubPr>
                <m:e>
                  <m:r>
                    <w:rPr>
                      <w:rFonts w:ascii="Cambria Math"/>
                    </w:rPr>
                    <m:t>w</m:t>
                  </m:r>
                </m:e>
                <m:sub>
                  <m:r>
                    <w:rPr>
                      <w:rFonts w:ascii="Cambria Math"/>
                    </w:rPr>
                    <m:t>i</m:t>
                  </m:r>
                </m:sub>
              </m:sSub>
            </m:den>
          </m:f>
          <m:f>
            <m:fPr>
              <m:ctrlPr>
                <w:rPr>
                  <w:rFonts w:ascii="Cambria Math" w:hAnsi="Cambria Math"/>
                  <w:i/>
                </w:rPr>
              </m:ctrlPr>
            </m:fPr>
            <m:num>
              <m:r>
                <w:rPr>
                  <w:rFonts w:ascii="Cambria Math"/>
                </w:rPr>
                <m:t>Δflo</m:t>
              </m:r>
              <m:sSub>
                <m:sSubPr>
                  <m:ctrlPr>
                    <w:rPr>
                      <w:rFonts w:ascii="Cambria Math" w:hAnsi="Cambria Math"/>
                      <w:i/>
                    </w:rPr>
                  </m:ctrlPr>
                </m:sSubPr>
                <m:e>
                  <m:r>
                    <w:rPr>
                      <w:rFonts w:ascii="Cambria Math"/>
                    </w:rPr>
                    <m:t>w</m:t>
                  </m:r>
                </m:e>
                <m:sub>
                  <m:r>
                    <w:rPr>
                      <w:rFonts w:ascii="Cambria Math"/>
                    </w:rPr>
                    <m:t>i</m:t>
                  </m:r>
                </m:sub>
              </m:sSub>
            </m:num>
            <m:den>
              <m:r>
                <w:rPr>
                  <w:rFonts w:ascii="Cambria Math"/>
                </w:rPr>
                <m:t>Δ</m:t>
              </m:r>
              <m:sSub>
                <m:sSubPr>
                  <m:ctrlPr>
                    <w:rPr>
                      <w:rFonts w:ascii="Cambria Math" w:hAnsi="Cambria Math"/>
                      <w:i/>
                    </w:rPr>
                  </m:ctrlPr>
                </m:sSubPr>
                <m:e>
                  <m:r>
                    <w:rPr>
                      <w:rFonts w:ascii="Cambria Math"/>
                    </w:rPr>
                    <m:t>D</m:t>
                  </m:r>
                </m:e>
                <m:sub>
                  <m:r>
                    <w:rPr>
                      <w:rFonts w:ascii="Cambria Math"/>
                    </w:rPr>
                    <m:t>k</m:t>
                  </m:r>
                </m:sub>
              </m:sSub>
            </m:den>
          </m:f>
          <m:r>
            <w:rPr>
              <w:rFonts w:ascii="Cambria Math"/>
            </w:rPr>
            <m:t>£</m:t>
          </m:r>
          <m:r>
            <w:rPr>
              <w:rFonts w:ascii="Cambria Math"/>
            </w:rPr>
            <m:t>/kVA/annum.</m:t>
          </m:r>
        </m:oMath>
      </m:oMathPara>
    </w:p>
    <w:p w14:paraId="319AAE1D" w14:textId="77777777" w:rsidR="0041584B" w:rsidRPr="00507652" w:rsidRDefault="0041584B" w:rsidP="0041584B">
      <w:pPr>
        <w:pStyle w:val="DCNormaParaL1"/>
      </w:pPr>
      <w:r w:rsidRPr="003554D5">
        <w:t xml:space="preserve">It is also possible to apply an alternative approach to calculate Branch incremental cost. The finite differences are applied to </w:t>
      </w:r>
      <w:proofErr w:type="spellStart"/>
      <w:r w:rsidRPr="00507652">
        <w:rPr>
          <w:i/>
        </w:rPr>
        <w:t>BranchCost</w:t>
      </w:r>
      <w:r w:rsidRPr="00507652">
        <w:rPr>
          <w:i/>
          <w:vertAlign w:val="subscript"/>
        </w:rPr>
        <w:t>i</w:t>
      </w:r>
      <w:proofErr w:type="spellEnd"/>
      <w:r w:rsidRPr="00507652">
        <w:rPr>
          <w:vertAlign w:val="subscript"/>
        </w:rPr>
        <w:t xml:space="preserve"> </w:t>
      </w:r>
      <w:r w:rsidRPr="003554D5">
        <w:t xml:space="preserve">and </w:t>
      </w:r>
      <w:proofErr w:type="spellStart"/>
      <w:proofErr w:type="gramStart"/>
      <w:r w:rsidRPr="00507652">
        <w:rPr>
          <w:i/>
        </w:rPr>
        <w:t>YearsToReinforcement</w:t>
      </w:r>
      <w:r w:rsidRPr="00507652">
        <w:rPr>
          <w:i/>
          <w:vertAlign w:val="subscript"/>
        </w:rPr>
        <w:t>i</w:t>
      </w:r>
      <w:proofErr w:type="spellEnd"/>
      <w:r w:rsidRPr="00507652">
        <w:rPr>
          <w:i/>
        </w:rPr>
        <w:t>(</w:t>
      </w:r>
      <w:proofErr w:type="gramEnd"/>
      <w:r w:rsidRPr="00507652">
        <w:rPr>
          <w:i/>
        </w:rPr>
        <w:t>),</w:t>
      </w:r>
      <w:r w:rsidRPr="003554D5">
        <w:t xml:space="preserve"> and the first derivative to </w:t>
      </w:r>
      <w:proofErr w:type="spellStart"/>
      <w:r w:rsidRPr="00507652">
        <w:rPr>
          <w:i/>
        </w:rPr>
        <w:t>flow</w:t>
      </w:r>
      <w:r w:rsidRPr="00507652">
        <w:rPr>
          <w:i/>
          <w:vertAlign w:val="subscript"/>
        </w:rPr>
        <w:t>i</w:t>
      </w:r>
      <w:proofErr w:type="spellEnd"/>
    </w:p>
    <w:p w14:paraId="16166947" w14:textId="77777777" w:rsidR="0041584B" w:rsidRDefault="0041584B" w:rsidP="0041584B">
      <m:oMathPara>
        <m:oMath>
          <m:r>
            <w:rPr>
              <w:rFonts w:ascii="Cambria Math"/>
            </w:rPr>
            <m:t>Branc</m:t>
          </m:r>
          <m:r>
            <w:rPr>
              <w:rFonts w:ascii="Cambria Math"/>
            </w:rPr>
            <m:t>h</m:t>
          </m:r>
          <m:r>
            <w:rPr>
              <w:rFonts w:ascii="Cambria Math"/>
            </w:rPr>
            <m:t>IncrementalCos</m:t>
          </m:r>
          <m:sSubSup>
            <m:sSubSupPr>
              <m:ctrlPr>
                <w:rPr>
                  <w:rFonts w:ascii="Cambria Math" w:hAnsi="Cambria Math"/>
                  <w:i/>
                </w:rPr>
              </m:ctrlPr>
            </m:sSubSupPr>
            <m:e>
              <m:r>
                <w:rPr>
                  <w:rFonts w:ascii="Cambria Math"/>
                </w:rPr>
                <m:t>t</m:t>
              </m:r>
            </m:e>
            <m:sub>
              <m:r>
                <w:rPr>
                  <w:rFonts w:ascii="Cambria Math"/>
                </w:rPr>
                <m:t>i</m:t>
              </m:r>
            </m:sub>
            <m:sup>
              <m:r>
                <w:rPr>
                  <w:rFonts w:ascii="Cambria Math"/>
                </w:rPr>
                <m:t>k</m:t>
              </m:r>
            </m:sup>
          </m:sSubSup>
          <m:r>
            <w:rPr>
              <w:rFonts w:ascii="Cambria Math"/>
            </w:rPr>
            <m:t>=</m:t>
          </m:r>
          <m:f>
            <m:fPr>
              <m:ctrlPr>
                <w:rPr>
                  <w:rFonts w:ascii="Cambria Math" w:hAnsi="Cambria Math"/>
                  <w:i/>
                </w:rPr>
              </m:ctrlPr>
            </m:fPr>
            <m:num>
              <m:r>
                <w:rPr>
                  <w:rFonts w:ascii="Cambria Math"/>
                </w:rPr>
                <m:t>ΔBranc</m:t>
              </m:r>
              <m:r>
                <w:rPr>
                  <w:rFonts w:ascii="Cambria Math"/>
                </w:rPr>
                <m:t>h</m:t>
              </m:r>
              <m:r>
                <w:rPr>
                  <w:rFonts w:ascii="Cambria Math"/>
                </w:rPr>
                <m:t>Cos</m:t>
              </m:r>
              <m:sSub>
                <m:sSubPr>
                  <m:ctrlPr>
                    <w:rPr>
                      <w:rFonts w:ascii="Cambria Math" w:hAnsi="Cambria Math"/>
                      <w:i/>
                    </w:rPr>
                  </m:ctrlPr>
                </m:sSubPr>
                <m:e>
                  <m:r>
                    <w:rPr>
                      <w:rFonts w:ascii="Cambria Math"/>
                    </w:rPr>
                    <m:t>t</m:t>
                  </m:r>
                </m:e>
                <m:sub>
                  <m:r>
                    <w:rPr>
                      <w:rFonts w:ascii="Cambria Math"/>
                    </w:rPr>
                    <m:t>i</m:t>
                  </m:r>
                </m:sub>
              </m:sSub>
            </m:num>
            <m:den>
              <m:r>
                <w:rPr>
                  <w:rFonts w:ascii="Cambria Math"/>
                </w:rPr>
                <m:t>Δ</m:t>
              </m:r>
              <m:sSub>
                <m:sSubPr>
                  <m:ctrlPr>
                    <w:rPr>
                      <w:rFonts w:ascii="Cambria Math" w:hAnsi="Cambria Math"/>
                      <w:i/>
                    </w:rPr>
                  </m:ctrlPr>
                </m:sSubPr>
                <m:e>
                  <m:r>
                    <w:rPr>
                      <w:rFonts w:ascii="Cambria Math"/>
                    </w:rPr>
                    <m:t>D</m:t>
                  </m:r>
                </m:e>
                <m:sub>
                  <m:r>
                    <w:rPr>
                      <w:rFonts w:ascii="Cambria Math"/>
                    </w:rPr>
                    <m:t>k</m:t>
                  </m:r>
                </m:sub>
              </m:sSub>
            </m:den>
          </m:f>
          <m:r>
            <w:rPr>
              <w:rFonts w:ascii="Cambria Math"/>
            </w:rPr>
            <m:t>=</m:t>
          </m:r>
          <m:r>
            <m:rPr>
              <m:sty m:val="p"/>
            </m:rPr>
            <w:rPr>
              <w:rFonts w:ascii="Cambria Math" w:hAnsi="Cambria Math"/>
            </w:rPr>
            <w:br/>
          </m:r>
        </m:oMath>
        <m:oMath>
          <m:f>
            <m:fPr>
              <m:ctrlPr>
                <w:rPr>
                  <w:rFonts w:ascii="Cambria Math" w:hAnsi="Cambria Math"/>
                  <w:i/>
                </w:rPr>
              </m:ctrlPr>
            </m:fPr>
            <m:num>
              <m:r>
                <w:rPr>
                  <w:rFonts w:ascii="Cambria Math"/>
                </w:rPr>
                <m:t>ΔBranc</m:t>
              </m:r>
              <m:r>
                <w:rPr>
                  <w:rFonts w:ascii="Cambria Math"/>
                </w:rPr>
                <m:t>h</m:t>
              </m:r>
              <m:r>
                <w:rPr>
                  <w:rFonts w:ascii="Cambria Math"/>
                </w:rPr>
                <m:t>Cos</m:t>
              </m:r>
              <m:sSub>
                <m:sSubPr>
                  <m:ctrlPr>
                    <w:rPr>
                      <w:rFonts w:ascii="Cambria Math" w:hAnsi="Cambria Math"/>
                      <w:i/>
                    </w:rPr>
                  </m:ctrlPr>
                </m:sSubPr>
                <m:e>
                  <m:r>
                    <w:rPr>
                      <w:rFonts w:ascii="Cambria Math"/>
                    </w:rPr>
                    <m:t>t</m:t>
                  </m:r>
                </m:e>
                <m:sub>
                  <m:r>
                    <w:rPr>
                      <w:rFonts w:ascii="Cambria Math"/>
                    </w:rPr>
                    <m:t>i</m:t>
                  </m:r>
                </m:sub>
              </m:sSub>
            </m:num>
            <m:den>
              <m:r>
                <w:rPr>
                  <w:rFonts w:ascii="Cambria Math"/>
                </w:rPr>
                <m:t>Δ</m:t>
              </m:r>
              <m:r>
                <w:rPr>
                  <w:rFonts w:ascii="Cambria Math" w:hAnsi="Cambria Math"/>
                </w:rPr>
                <m:t>YearsToReinforcemen</m:t>
              </m:r>
              <m:sSub>
                <m:sSubPr>
                  <m:ctrlPr>
                    <w:rPr>
                      <w:rFonts w:ascii="Cambria Math" w:hAnsi="Cambria Math"/>
                      <w:i/>
                    </w:rPr>
                  </m:ctrlPr>
                </m:sSubPr>
                <m:e>
                  <m:r>
                    <w:rPr>
                      <w:rFonts w:ascii="Cambria Math"/>
                    </w:rPr>
                    <m:t>t</m:t>
                  </m:r>
                </m:e>
                <m:sub>
                  <m:r>
                    <w:rPr>
                      <w:rFonts w:ascii="Cambria Math"/>
                    </w:rPr>
                    <m:t>i</m:t>
                  </m:r>
                </m:sub>
              </m:sSub>
            </m:den>
          </m:f>
          <m:f>
            <m:fPr>
              <m:ctrlPr>
                <w:rPr>
                  <w:rFonts w:ascii="Cambria Math" w:hAnsi="Cambria Math"/>
                  <w:i/>
                </w:rPr>
              </m:ctrlPr>
            </m:fPr>
            <m:num>
              <m:r>
                <w:rPr>
                  <w:rFonts w:ascii="Cambria Math"/>
                </w:rPr>
                <m:t>Δ</m:t>
              </m:r>
              <m:r>
                <w:rPr>
                  <w:rFonts w:ascii="Cambria Math" w:hAnsi="Cambria Math"/>
                </w:rPr>
                <m:t>YearsToReinforcemen</m:t>
              </m:r>
              <m:sSub>
                <m:sSubPr>
                  <m:ctrlPr>
                    <w:rPr>
                      <w:rFonts w:ascii="Cambria Math" w:hAnsi="Cambria Math"/>
                      <w:i/>
                    </w:rPr>
                  </m:ctrlPr>
                </m:sSubPr>
                <m:e>
                  <m:r>
                    <w:rPr>
                      <w:rFonts w:ascii="Cambria Math"/>
                    </w:rPr>
                    <m:t>t</m:t>
                  </m:r>
                </m:e>
                <m:sub>
                  <m:r>
                    <w:rPr>
                      <w:rFonts w:ascii="Cambria Math"/>
                    </w:rPr>
                    <m:t>i</m:t>
                  </m:r>
                </m:sub>
              </m:sSub>
            </m:num>
            <m:den>
              <m:r>
                <w:rPr>
                  <w:rFonts w:ascii="Cambria Math"/>
                </w:rPr>
                <m:t>Δflo</m:t>
              </m:r>
              <m:sSub>
                <m:sSubPr>
                  <m:ctrlPr>
                    <w:rPr>
                      <w:rFonts w:ascii="Cambria Math" w:hAnsi="Cambria Math"/>
                      <w:i/>
                    </w:rPr>
                  </m:ctrlPr>
                </m:sSubPr>
                <m:e>
                  <m:r>
                    <w:rPr>
                      <w:rFonts w:ascii="Cambria Math"/>
                    </w:rPr>
                    <m:t>w</m:t>
                  </m:r>
                </m:e>
                <m:sub>
                  <m:r>
                    <w:rPr>
                      <w:rFonts w:ascii="Cambria Math"/>
                    </w:rPr>
                    <m:t>i</m:t>
                  </m:r>
                </m:sub>
              </m:sSub>
            </m:den>
          </m:f>
          <m:f>
            <m:fPr>
              <m:ctrlPr>
                <w:rPr>
                  <w:rFonts w:ascii="Cambria Math" w:hAnsi="Cambria Math"/>
                  <w:i/>
                </w:rPr>
              </m:ctrlPr>
            </m:fPr>
            <m:num>
              <m:r>
                <w:rPr>
                  <w:rFonts w:ascii="Cambria Math"/>
                </w:rPr>
                <m:t>∂flo</m:t>
              </m:r>
              <m:sSub>
                <m:sSubPr>
                  <m:ctrlPr>
                    <w:rPr>
                      <w:rFonts w:ascii="Cambria Math" w:hAnsi="Cambria Math"/>
                      <w:i/>
                    </w:rPr>
                  </m:ctrlPr>
                </m:sSubPr>
                <m:e>
                  <m:r>
                    <w:rPr>
                      <w:rFonts w:ascii="Cambria Math"/>
                    </w:rPr>
                    <m:t>w</m:t>
                  </m:r>
                </m:e>
                <m:sub>
                  <m:r>
                    <w:rPr>
                      <w:rFonts w:ascii="Cambria Math"/>
                    </w:rPr>
                    <m:t>i</m:t>
                  </m:r>
                </m:sub>
              </m:sSub>
            </m:num>
            <m:den>
              <m:r>
                <w:rPr>
                  <w:rFonts w:ascii="Cambria Math"/>
                </w:rPr>
                <m:t>∂</m:t>
              </m:r>
              <m:sSub>
                <m:sSubPr>
                  <m:ctrlPr>
                    <w:rPr>
                      <w:rFonts w:ascii="Cambria Math" w:hAnsi="Cambria Math"/>
                      <w:i/>
                    </w:rPr>
                  </m:ctrlPr>
                </m:sSubPr>
                <m:e>
                  <m:r>
                    <w:rPr>
                      <w:rFonts w:ascii="Cambria Math"/>
                    </w:rPr>
                    <m:t>D</m:t>
                  </m:r>
                </m:e>
                <m:sub>
                  <m:r>
                    <w:rPr>
                      <w:rFonts w:ascii="Cambria Math"/>
                    </w:rPr>
                    <m:t>k</m:t>
                  </m:r>
                </m:sub>
              </m:sSub>
            </m:den>
          </m:f>
          <m:r>
            <w:rPr>
              <w:rFonts w:ascii="Cambria Math"/>
            </w:rPr>
            <m:t>£</m:t>
          </m:r>
          <m:r>
            <w:rPr>
              <w:rFonts w:ascii="Cambria Math"/>
            </w:rPr>
            <m:t>/kVA/annum,</m:t>
          </m:r>
        </m:oMath>
      </m:oMathPara>
    </w:p>
    <w:p w14:paraId="74D17AFE" w14:textId="77777777" w:rsidR="0041584B" w:rsidRPr="00D21E85" w:rsidRDefault="0041584B" w:rsidP="0041584B">
      <w:r w:rsidRPr="00D21E85">
        <w:lastRenderedPageBreak/>
        <w:t xml:space="preserve">where partial derivative </w:t>
      </w:r>
      <m:oMath>
        <m:f>
          <m:fPr>
            <m:ctrlPr>
              <w:rPr>
                <w:rFonts w:ascii="Cambria Math" w:hAnsi="Cambria Math"/>
                <w:i/>
              </w:rPr>
            </m:ctrlPr>
          </m:fPr>
          <m:num>
            <m:r>
              <w:rPr>
                <w:rFonts w:ascii="Cambria Math"/>
              </w:rPr>
              <m:t>∂flo</m:t>
            </m:r>
            <m:sSub>
              <m:sSubPr>
                <m:ctrlPr>
                  <w:rPr>
                    <w:rFonts w:ascii="Cambria Math" w:hAnsi="Cambria Math"/>
                    <w:i/>
                  </w:rPr>
                </m:ctrlPr>
              </m:sSubPr>
              <m:e>
                <m:r>
                  <w:rPr>
                    <w:rFonts w:ascii="Cambria Math"/>
                  </w:rPr>
                  <m:t>w</m:t>
                </m:r>
              </m:e>
              <m:sub>
                <m:r>
                  <w:rPr>
                    <w:rFonts w:ascii="Cambria Math"/>
                  </w:rPr>
                  <m:t>i</m:t>
                </m:r>
              </m:sub>
            </m:sSub>
          </m:num>
          <m:den>
            <m:r>
              <w:rPr>
                <w:rFonts w:ascii="Cambria Math"/>
              </w:rPr>
              <m:t>∂</m:t>
            </m:r>
            <m:sSub>
              <m:sSubPr>
                <m:ctrlPr>
                  <w:rPr>
                    <w:rFonts w:ascii="Cambria Math" w:hAnsi="Cambria Math"/>
                    <w:i/>
                  </w:rPr>
                </m:ctrlPr>
              </m:sSubPr>
              <m:e>
                <m:r>
                  <w:rPr>
                    <w:rFonts w:ascii="Cambria Math"/>
                  </w:rPr>
                  <m:t>D</m:t>
                </m:r>
              </m:e>
              <m:sub>
                <m:r>
                  <w:rPr>
                    <w:rFonts w:ascii="Cambria Math"/>
                  </w:rPr>
                  <m:t>k</m:t>
                </m:r>
              </m:sub>
            </m:sSub>
          </m:den>
        </m:f>
      </m:oMath>
      <w:r w:rsidRPr="00D21E85">
        <w:t xml:space="preserve"> is calculated analytically.</w:t>
      </w:r>
    </w:p>
    <w:p w14:paraId="236856F0" w14:textId="77777777" w:rsidR="0041584B" w:rsidRPr="00D21E85" w:rsidRDefault="0041584B" w:rsidP="0041584B">
      <w:r w:rsidRPr="00D21E85">
        <w:t>The main algorithmic steps to calculate Branch incremental cost (3) or (4) are given below:</w:t>
      </w:r>
    </w:p>
    <w:p w14:paraId="74DC07FB" w14:textId="77777777" w:rsidR="0041584B" w:rsidRPr="0014181E" w:rsidRDefault="0041584B" w:rsidP="0041584B">
      <w:pPr>
        <w:pStyle w:val="ListParagraph"/>
        <w:numPr>
          <w:ilvl w:val="0"/>
          <w:numId w:val="76"/>
        </w:numPr>
        <w:ind w:hanging="720"/>
        <w:contextualSpacing w:val="0"/>
      </w:pPr>
      <w:r w:rsidRPr="0014181E">
        <w:t xml:space="preserve">(Base Power Flow) Set all demands (i.e. loads and generations) to the base values and calculate base power flow in the considered Branch </w:t>
      </w:r>
      <w:proofErr w:type="spellStart"/>
      <w:proofErr w:type="gramStart"/>
      <w:r w:rsidRPr="0014181E">
        <w:rPr>
          <w:i/>
        </w:rPr>
        <w:t>BasePowerFlow</w:t>
      </w:r>
      <w:r w:rsidRPr="0014181E">
        <w:rPr>
          <w:i/>
          <w:vertAlign w:val="subscript"/>
        </w:rPr>
        <w:t>i</w:t>
      </w:r>
      <w:proofErr w:type="spellEnd"/>
      <w:r w:rsidRPr="0014181E">
        <w:rPr>
          <w:i/>
        </w:rPr>
        <w:t>(</w:t>
      </w:r>
      <w:proofErr w:type="gramEnd"/>
      <w:r w:rsidRPr="0014181E">
        <w:rPr>
          <w:i/>
        </w:rPr>
        <w:t>MVA)</w:t>
      </w:r>
      <w:r w:rsidRPr="0014181E">
        <w:t xml:space="preserve"> using the full AC </w:t>
      </w:r>
      <w:proofErr w:type="spellStart"/>
      <w:r w:rsidRPr="0014181E">
        <w:t>powerflow</w:t>
      </w:r>
      <w:proofErr w:type="spellEnd"/>
      <w:r w:rsidRPr="0014181E">
        <w:t xml:space="preserve"> model.</w:t>
      </w:r>
    </w:p>
    <w:p w14:paraId="382B1D5F" w14:textId="77777777" w:rsidR="0041584B" w:rsidRPr="00D21E85" w:rsidRDefault="0041584B" w:rsidP="0041584B">
      <w:pPr>
        <w:pStyle w:val="ListParagraph"/>
        <w:numPr>
          <w:ilvl w:val="0"/>
          <w:numId w:val="76"/>
        </w:numPr>
        <w:ind w:hanging="720"/>
        <w:contextualSpacing w:val="0"/>
      </w:pPr>
      <w:r w:rsidRPr="00D21E85">
        <w:t xml:space="preserve">(Base Branch Cost) From the base power flow </w:t>
      </w:r>
      <w:proofErr w:type="spellStart"/>
      <w:proofErr w:type="gramStart"/>
      <w:r w:rsidRPr="00507652">
        <w:rPr>
          <w:i/>
        </w:rPr>
        <w:t>BasePowerFlow</w:t>
      </w:r>
      <w:r w:rsidRPr="00507652">
        <w:rPr>
          <w:i/>
          <w:vertAlign w:val="subscript"/>
        </w:rPr>
        <w:t>i</w:t>
      </w:r>
      <w:proofErr w:type="spellEnd"/>
      <w:r w:rsidRPr="00507652">
        <w:rPr>
          <w:i/>
        </w:rPr>
        <w:t>(</w:t>
      </w:r>
      <w:proofErr w:type="gramEnd"/>
      <w:r w:rsidRPr="00507652">
        <w:rPr>
          <w:i/>
        </w:rPr>
        <w:t>MVA)</w:t>
      </w:r>
      <w:r w:rsidRPr="00D21E85">
        <w:t xml:space="preserve">, Branch </w:t>
      </w:r>
      <w:r w:rsidRPr="00507652">
        <w:rPr>
          <w:i/>
        </w:rPr>
        <w:t xml:space="preserve">i </w:t>
      </w:r>
      <w:r w:rsidRPr="00D21E85">
        <w:t xml:space="preserve">capacity (MVA) and assumed exponential power flow growth calculate base time to reinforcement </w:t>
      </w:r>
      <w:proofErr w:type="spellStart"/>
      <w:r w:rsidRPr="00507652">
        <w:rPr>
          <w:i/>
        </w:rPr>
        <w:t>YearsToReinforcement</w:t>
      </w:r>
      <w:r w:rsidRPr="00507652">
        <w:rPr>
          <w:i/>
          <w:vertAlign w:val="subscript"/>
        </w:rPr>
        <w:t>i</w:t>
      </w:r>
      <w:proofErr w:type="spellEnd"/>
      <w:r w:rsidRPr="00507652">
        <w:rPr>
          <w:i/>
        </w:rPr>
        <w:t>(base)</w:t>
      </w:r>
      <w:r w:rsidRPr="00D21E85">
        <w:t xml:space="preserve"> and then base Branch cost </w:t>
      </w:r>
      <w:proofErr w:type="spellStart"/>
      <w:r w:rsidRPr="00507652">
        <w:rPr>
          <w:i/>
        </w:rPr>
        <w:t>BranchCost</w:t>
      </w:r>
      <w:r w:rsidRPr="00507652">
        <w:rPr>
          <w:i/>
          <w:vertAlign w:val="subscript"/>
        </w:rPr>
        <w:t>i</w:t>
      </w:r>
      <w:proofErr w:type="spellEnd"/>
      <w:r w:rsidRPr="00507652">
        <w:rPr>
          <w:i/>
        </w:rPr>
        <w:t>(base)</w:t>
      </w:r>
      <w:r w:rsidRPr="00D21E85">
        <w:t xml:space="preserve"> in £/annum with the aid of expression (1).</w:t>
      </w:r>
    </w:p>
    <w:p w14:paraId="6912A2A5" w14:textId="77777777" w:rsidR="0041584B" w:rsidRPr="00D21E85" w:rsidRDefault="0041584B" w:rsidP="0041584B">
      <w:pPr>
        <w:pStyle w:val="Heading2"/>
        <w:numPr>
          <w:ilvl w:val="0"/>
          <w:numId w:val="77"/>
        </w:numPr>
        <w:ind w:hanging="720"/>
      </w:pPr>
      <w:r w:rsidRPr="00D21E85">
        <w:t xml:space="preserve">(Incremented Power Flow - expression (3)) Increment demand at Node </w:t>
      </w:r>
      <w:r w:rsidRPr="0014181E">
        <w:rPr>
          <w:i/>
        </w:rPr>
        <w:t>k</w:t>
      </w:r>
      <w:r w:rsidRPr="00D21E85">
        <w:t xml:space="preserve"> by </w:t>
      </w:r>
      <w:proofErr w:type="spellStart"/>
      <w:r w:rsidRPr="0014181E">
        <w:rPr>
          <w:i/>
        </w:rPr>
        <w:t>ΔD</w:t>
      </w:r>
      <w:r w:rsidRPr="0014181E">
        <w:rPr>
          <w:i/>
          <w:vertAlign w:val="subscript"/>
        </w:rPr>
        <w:t>k</w:t>
      </w:r>
      <w:proofErr w:type="spellEnd"/>
      <w:r w:rsidRPr="0014181E">
        <w:rPr>
          <w:vertAlign w:val="subscript"/>
        </w:rPr>
        <w:t xml:space="preserve"> </w:t>
      </w:r>
      <w:r w:rsidRPr="00D21E85">
        <w:t xml:space="preserve">and recalculate power flows using the AC power flow model.  This gives incremented power flow in the considered Branch </w:t>
      </w:r>
      <w:proofErr w:type="spellStart"/>
      <w:proofErr w:type="gramStart"/>
      <w:r w:rsidRPr="0014181E">
        <w:rPr>
          <w:i/>
        </w:rPr>
        <w:t>IncPowerFlow</w:t>
      </w:r>
      <w:r w:rsidRPr="0014181E">
        <w:rPr>
          <w:i/>
          <w:vertAlign w:val="subscript"/>
        </w:rPr>
        <w:t>i</w:t>
      </w:r>
      <w:proofErr w:type="spellEnd"/>
      <w:r w:rsidRPr="0014181E">
        <w:rPr>
          <w:i/>
        </w:rPr>
        <w:t>(</w:t>
      </w:r>
      <w:proofErr w:type="gramEnd"/>
      <w:r w:rsidRPr="0014181E">
        <w:rPr>
          <w:i/>
        </w:rPr>
        <w:t>MVA</w:t>
      </w:r>
      <w:r w:rsidRPr="00D21E85">
        <w:t>).</w:t>
      </w:r>
    </w:p>
    <w:p w14:paraId="0AF68BAE" w14:textId="77777777" w:rsidR="0041584B" w:rsidRPr="00D21E85" w:rsidRDefault="0041584B" w:rsidP="0041584B">
      <w:pPr>
        <w:pStyle w:val="Heading2"/>
        <w:numPr>
          <w:ilvl w:val="0"/>
          <w:numId w:val="77"/>
        </w:numPr>
        <w:ind w:hanging="720"/>
      </w:pPr>
      <w:r w:rsidRPr="00D21E85">
        <w:t xml:space="preserve">(Incremented Power Flow - expression (4)) Calculate analytically from the AC </w:t>
      </w:r>
      <w:proofErr w:type="spellStart"/>
      <w:r w:rsidRPr="00D21E85">
        <w:t>powerflow</w:t>
      </w:r>
      <w:proofErr w:type="spellEnd"/>
      <w:r w:rsidRPr="00D21E85">
        <w:t xml:space="preserve"> model sensitivity coefficient </w:t>
      </w:r>
      <w:proofErr w:type="spellStart"/>
      <w:r w:rsidRPr="00507652">
        <w:rPr>
          <w:i/>
          <w:vertAlign w:val="subscript"/>
        </w:rPr>
        <w:t>si</w:t>
      </w:r>
      <w:r w:rsidRPr="00507652">
        <w:rPr>
          <w:i/>
          <w:vertAlign w:val="superscript"/>
        </w:rPr>
        <w:t>k</w:t>
      </w:r>
      <w:proofErr w:type="spellEnd"/>
      <w:r w:rsidRPr="00507652">
        <w:rPr>
          <w:i/>
        </w:rPr>
        <w:t>=∂</w:t>
      </w:r>
      <w:proofErr w:type="spellStart"/>
      <w:r w:rsidRPr="00507652">
        <w:rPr>
          <w:i/>
        </w:rPr>
        <w:t>flow</w:t>
      </w:r>
      <w:r w:rsidRPr="00507652">
        <w:rPr>
          <w:i/>
          <w:vertAlign w:val="subscript"/>
        </w:rPr>
        <w:t>i</w:t>
      </w:r>
      <w:proofErr w:type="spellEnd"/>
      <w:r w:rsidRPr="00507652">
        <w:rPr>
          <w:i/>
        </w:rPr>
        <w:t>/∂D</w:t>
      </w:r>
      <w:r w:rsidRPr="00507652">
        <w:rPr>
          <w:i/>
          <w:vertAlign w:val="subscript"/>
        </w:rPr>
        <w:t>k</w:t>
      </w:r>
      <w:r w:rsidRPr="00507652">
        <w:rPr>
          <w:vertAlign w:val="subscript"/>
        </w:rPr>
        <w:t xml:space="preserve"> </w:t>
      </w:r>
      <w:r w:rsidRPr="00D21E85">
        <w:t xml:space="preserve">giving the </w:t>
      </w:r>
      <w:proofErr w:type="spellStart"/>
      <w:r w:rsidRPr="00D21E85">
        <w:t>linearised</w:t>
      </w:r>
      <w:proofErr w:type="spellEnd"/>
      <w:r w:rsidRPr="00D21E85">
        <w:t xml:space="preserve"> relationship between power flow in Branch </w:t>
      </w:r>
      <w:r w:rsidRPr="00C64BBF">
        <w:rPr>
          <w:i/>
        </w:rPr>
        <w:t>i</w:t>
      </w:r>
      <w:r w:rsidRPr="00D21E85">
        <w:t xml:space="preserve"> and demand at Node </w:t>
      </w:r>
      <w:r w:rsidRPr="00C64BBF">
        <w:rPr>
          <w:i/>
        </w:rPr>
        <w:t>k</w:t>
      </w:r>
      <w:r w:rsidRPr="00D21E85">
        <w:t>.  The incremented power flow in the considered Branch is:</w:t>
      </w:r>
    </w:p>
    <w:p w14:paraId="2F594FBA" w14:textId="77777777" w:rsidR="0041584B" w:rsidRPr="00D21E85" w:rsidRDefault="0041584B" w:rsidP="0041584B">
      <w:r w:rsidRPr="00D21E85">
        <w:tab/>
      </w:r>
      <m:oMath>
        <m:r>
          <w:rPr>
            <w:rFonts w:ascii="Cambria Math"/>
          </w:rPr>
          <m:t>IncPowerFlo</m:t>
        </m:r>
        <m:sSub>
          <m:sSubPr>
            <m:ctrlPr>
              <w:rPr>
                <w:rFonts w:ascii="Cambria Math" w:hAnsi="Cambria Math"/>
                <w:i/>
              </w:rPr>
            </m:ctrlPr>
          </m:sSubPr>
          <m:e>
            <m:r>
              <w:rPr>
                <w:rFonts w:ascii="Cambria Math"/>
              </w:rPr>
              <m:t>w</m:t>
            </m:r>
          </m:e>
          <m:sub>
            <m:r>
              <w:rPr>
                <w:rFonts w:ascii="Cambria Math"/>
              </w:rPr>
              <m:t>i</m:t>
            </m:r>
          </m:sub>
        </m:sSub>
        <m:r>
          <w:rPr>
            <w:rFonts w:ascii="Cambria Math"/>
          </w:rPr>
          <m:t>(MVA)=BasePowerFlo</m:t>
        </m:r>
        <m:sSub>
          <m:sSubPr>
            <m:ctrlPr>
              <w:rPr>
                <w:rFonts w:ascii="Cambria Math" w:hAnsi="Cambria Math"/>
                <w:i/>
              </w:rPr>
            </m:ctrlPr>
          </m:sSubPr>
          <m:e>
            <m:r>
              <w:rPr>
                <w:rFonts w:ascii="Cambria Math"/>
              </w:rPr>
              <m:t>w</m:t>
            </m:r>
          </m:e>
          <m:sub>
            <m:r>
              <w:rPr>
                <w:rFonts w:ascii="Cambria Math"/>
              </w:rPr>
              <m:t>i</m:t>
            </m:r>
          </m:sub>
        </m:sSub>
        <m:r>
          <w:rPr>
            <w:rFonts w:ascii="Cambria Math"/>
          </w:rPr>
          <m:t>(MVA)+</m:t>
        </m:r>
        <m:sSubSup>
          <m:sSubSupPr>
            <m:ctrlPr>
              <w:rPr>
                <w:rFonts w:ascii="Cambria Math" w:hAnsi="Cambria Math"/>
                <w:i/>
              </w:rPr>
            </m:ctrlPr>
          </m:sSubSupPr>
          <m:e>
            <m:r>
              <w:rPr>
                <w:rFonts w:ascii="Cambria Math"/>
              </w:rPr>
              <m:t>s</m:t>
            </m:r>
          </m:e>
          <m:sub>
            <m:r>
              <w:rPr>
                <w:rFonts w:ascii="Cambria Math"/>
              </w:rPr>
              <m:t>i</m:t>
            </m:r>
          </m:sub>
          <m:sup>
            <m:r>
              <w:rPr>
                <w:rFonts w:ascii="Cambria Math"/>
              </w:rPr>
              <m:t>k</m:t>
            </m:r>
          </m:sup>
        </m:sSubSup>
        <m:r>
          <w:rPr>
            <w:rFonts w:ascii="Cambria Math" w:hAnsi="Cambria Math" w:cs="Cambria Math"/>
          </w:rPr>
          <m:t>⋅</m:t>
        </m:r>
        <m:r>
          <w:rPr>
            <w:rFonts w:ascii="Cambria Math"/>
          </w:rPr>
          <m:t>Δ</m:t>
        </m:r>
        <m:sSub>
          <m:sSubPr>
            <m:ctrlPr>
              <w:rPr>
                <w:rFonts w:ascii="Cambria Math" w:hAnsi="Cambria Math"/>
                <w:i/>
              </w:rPr>
            </m:ctrlPr>
          </m:sSubPr>
          <m:e>
            <m:r>
              <w:rPr>
                <w:rFonts w:ascii="Cambria Math"/>
              </w:rPr>
              <m:t>D</m:t>
            </m:r>
          </m:e>
          <m:sub>
            <m:r>
              <w:rPr>
                <w:rFonts w:ascii="Cambria Math"/>
              </w:rPr>
              <m:t>k</m:t>
            </m:r>
          </m:sub>
        </m:sSub>
        <m:r>
          <w:rPr>
            <w:rFonts w:ascii="Cambria Math"/>
          </w:rPr>
          <m:t>.</m:t>
        </m:r>
      </m:oMath>
      <w:r w:rsidRPr="00D21E85">
        <w:tab/>
      </w:r>
      <w:r w:rsidRPr="00D21E85">
        <w:tab/>
        <w:t>(5)</w:t>
      </w:r>
    </w:p>
    <w:p w14:paraId="10547148" w14:textId="77777777" w:rsidR="0041584B" w:rsidRPr="00D21E85" w:rsidRDefault="0041584B" w:rsidP="0041584B">
      <w:pPr>
        <w:pStyle w:val="ListParagraph"/>
        <w:numPr>
          <w:ilvl w:val="0"/>
          <w:numId w:val="78"/>
        </w:numPr>
        <w:ind w:hanging="720"/>
        <w:contextualSpacing w:val="0"/>
      </w:pPr>
      <w:r w:rsidRPr="00D21E85">
        <w:t xml:space="preserve">(Incremented Branch Cost) from the incremented power flow </w:t>
      </w:r>
      <w:proofErr w:type="spellStart"/>
      <w:proofErr w:type="gramStart"/>
      <w:r w:rsidRPr="00507652">
        <w:rPr>
          <w:i/>
        </w:rPr>
        <w:t>IncPowerFlow</w:t>
      </w:r>
      <w:r w:rsidRPr="00507652">
        <w:rPr>
          <w:i/>
          <w:vertAlign w:val="subscript"/>
        </w:rPr>
        <w:t>i</w:t>
      </w:r>
      <w:proofErr w:type="spellEnd"/>
      <w:r w:rsidRPr="00507652">
        <w:rPr>
          <w:i/>
        </w:rPr>
        <w:t>(</w:t>
      </w:r>
      <w:proofErr w:type="gramEnd"/>
      <w:r w:rsidRPr="00507652">
        <w:rPr>
          <w:i/>
        </w:rPr>
        <w:t>MVA</w:t>
      </w:r>
      <w:r w:rsidRPr="00D21E85">
        <w:t xml:space="preserve">), Branch </w:t>
      </w:r>
      <w:r w:rsidRPr="00C64BBF">
        <w:rPr>
          <w:i/>
        </w:rPr>
        <w:t>i</w:t>
      </w:r>
      <w:r w:rsidRPr="00D21E85">
        <w:t xml:space="preserve"> capacity (MVA) and assumed exponential power flow growth calculate incremented time to reinforcement </w:t>
      </w:r>
      <w:proofErr w:type="spellStart"/>
      <w:r w:rsidRPr="00C64BBF">
        <w:rPr>
          <w:i/>
        </w:rPr>
        <w:t>YearsToReinforcement</w:t>
      </w:r>
      <w:r w:rsidRPr="00C64BBF">
        <w:rPr>
          <w:i/>
          <w:vertAlign w:val="subscript"/>
        </w:rPr>
        <w:t>i</w:t>
      </w:r>
      <w:proofErr w:type="spellEnd"/>
      <w:r w:rsidRPr="00C64BBF">
        <w:rPr>
          <w:i/>
        </w:rPr>
        <w:t>(</w:t>
      </w:r>
      <w:proofErr w:type="spellStart"/>
      <w:r w:rsidRPr="00C64BBF">
        <w:rPr>
          <w:i/>
        </w:rPr>
        <w:t>inc</w:t>
      </w:r>
      <w:proofErr w:type="spellEnd"/>
      <w:r w:rsidRPr="00C64BBF">
        <w:rPr>
          <w:i/>
        </w:rPr>
        <w:t>)</w:t>
      </w:r>
      <w:r w:rsidRPr="00D21E85">
        <w:t xml:space="preserve"> and then incremented Branch cost </w:t>
      </w:r>
      <w:proofErr w:type="spellStart"/>
      <w:r w:rsidRPr="00C64BBF">
        <w:rPr>
          <w:i/>
        </w:rPr>
        <w:t>BranchCost</w:t>
      </w:r>
      <w:r w:rsidRPr="00C64BBF">
        <w:rPr>
          <w:i/>
          <w:vertAlign w:val="subscript"/>
        </w:rPr>
        <w:t>i</w:t>
      </w:r>
      <w:proofErr w:type="spellEnd"/>
      <w:r w:rsidRPr="00C64BBF">
        <w:rPr>
          <w:i/>
        </w:rPr>
        <w:t>(</w:t>
      </w:r>
      <w:proofErr w:type="spellStart"/>
      <w:r w:rsidRPr="00C64BBF">
        <w:rPr>
          <w:i/>
        </w:rPr>
        <w:t>inc</w:t>
      </w:r>
      <w:proofErr w:type="spellEnd"/>
      <w:r w:rsidRPr="00C64BBF">
        <w:rPr>
          <w:i/>
        </w:rPr>
        <w:t>)</w:t>
      </w:r>
      <w:r w:rsidRPr="00D21E85">
        <w:t xml:space="preserve"> in £/annum with the aid of expression (1).</w:t>
      </w:r>
    </w:p>
    <w:p w14:paraId="128AA16A" w14:textId="77777777" w:rsidR="0041584B" w:rsidRPr="00D21E85" w:rsidRDefault="0041584B" w:rsidP="0041584B">
      <w:pPr>
        <w:pStyle w:val="ListParagraph"/>
        <w:numPr>
          <w:ilvl w:val="0"/>
          <w:numId w:val="78"/>
        </w:numPr>
        <w:ind w:hanging="720"/>
        <w:contextualSpacing w:val="0"/>
      </w:pPr>
      <w:r w:rsidRPr="00D21E85">
        <w:t>(Branch Incremental Cost) Branch incremental cost in £/annum is finally calculated as:</w:t>
      </w:r>
    </w:p>
    <w:p w14:paraId="6B5F1335" w14:textId="77777777" w:rsidR="0041584B" w:rsidRPr="00D21E85" w:rsidRDefault="0041584B" w:rsidP="0041584B">
      <w:pPr>
        <w:ind w:firstLine="720"/>
      </w:pPr>
      <m:oMath>
        <m:r>
          <w:rPr>
            <w:rFonts w:ascii="Cambria Math"/>
          </w:rPr>
          <m:t>Branc</m:t>
        </m:r>
        <m:r>
          <w:rPr>
            <w:rFonts w:ascii="Cambria Math"/>
          </w:rPr>
          <m:t>h</m:t>
        </m:r>
        <m:r>
          <w:rPr>
            <w:rFonts w:ascii="Cambria Math"/>
          </w:rPr>
          <m:t>IncrementalCos</m:t>
        </m:r>
        <m:sSubSup>
          <m:sSubSupPr>
            <m:ctrlPr>
              <w:rPr>
                <w:rFonts w:ascii="Cambria Math" w:hAnsi="Cambria Math"/>
                <w:i/>
              </w:rPr>
            </m:ctrlPr>
          </m:sSubSupPr>
          <m:e>
            <m:r>
              <w:rPr>
                <w:rFonts w:ascii="Cambria Math"/>
              </w:rPr>
              <m:t>t</m:t>
            </m:r>
          </m:e>
          <m:sub>
            <m:r>
              <w:rPr>
                <w:rFonts w:ascii="Cambria Math"/>
              </w:rPr>
              <m:t>i</m:t>
            </m:r>
          </m:sub>
          <m:sup>
            <m:r>
              <w:rPr>
                <w:rFonts w:ascii="Cambria Math"/>
              </w:rPr>
              <m:t>k</m:t>
            </m:r>
          </m:sup>
        </m:sSubSup>
        <m:r>
          <w:rPr>
            <w:rFonts w:ascii="Cambria Math"/>
          </w:rPr>
          <m:t>=Branc</m:t>
        </m:r>
        <m:r>
          <w:rPr>
            <w:rFonts w:ascii="Cambria Math"/>
          </w:rPr>
          <m:t>h</m:t>
        </m:r>
        <m:r>
          <w:rPr>
            <w:rFonts w:ascii="Cambria Math"/>
          </w:rPr>
          <m:t>Cos</m:t>
        </m:r>
        <m:sSub>
          <m:sSubPr>
            <m:ctrlPr>
              <w:rPr>
                <w:rFonts w:ascii="Cambria Math" w:hAnsi="Cambria Math"/>
                <w:i/>
              </w:rPr>
            </m:ctrlPr>
          </m:sSubPr>
          <m:e>
            <m:r>
              <w:rPr>
                <w:rFonts w:ascii="Cambria Math"/>
              </w:rPr>
              <m:t>t</m:t>
            </m:r>
          </m:e>
          <m:sub>
            <m:r>
              <w:rPr>
                <w:rFonts w:ascii="Cambria Math"/>
              </w:rPr>
              <m:t>i</m:t>
            </m:r>
          </m:sub>
        </m:sSub>
        <m:r>
          <w:rPr>
            <w:rFonts w:ascii="Cambria Math"/>
          </w:rPr>
          <m:t>(inc)</m:t>
        </m:r>
        <m:r>
          <w:rPr>
            <w:rFonts w:ascii="Cambria Math"/>
          </w:rPr>
          <m:t>-</m:t>
        </m:r>
        <m:r>
          <w:rPr>
            <w:rFonts w:ascii="Cambria Math"/>
          </w:rPr>
          <m:t>Branc</m:t>
        </m:r>
        <m:r>
          <w:rPr>
            <w:rFonts w:ascii="Cambria Math"/>
          </w:rPr>
          <m:t>h</m:t>
        </m:r>
        <m:r>
          <w:rPr>
            <w:rFonts w:ascii="Cambria Math"/>
          </w:rPr>
          <m:t>Cos</m:t>
        </m:r>
        <m:sSub>
          <m:sSubPr>
            <m:ctrlPr>
              <w:rPr>
                <w:rFonts w:ascii="Cambria Math" w:hAnsi="Cambria Math"/>
                <w:i/>
              </w:rPr>
            </m:ctrlPr>
          </m:sSubPr>
          <m:e>
            <m:r>
              <w:rPr>
                <w:rFonts w:ascii="Cambria Math"/>
              </w:rPr>
              <m:t>t</m:t>
            </m:r>
          </m:e>
          <m:sub>
            <m:r>
              <w:rPr>
                <w:rFonts w:ascii="Cambria Math"/>
              </w:rPr>
              <m:t>i</m:t>
            </m:r>
          </m:sub>
        </m:sSub>
        <m:r>
          <w:rPr>
            <w:rFonts w:ascii="Cambria Math"/>
          </w:rPr>
          <m:t>(base)</m:t>
        </m:r>
        <m:r>
          <w:rPr>
            <w:rFonts w:ascii="Cambria Math"/>
          </w:rPr>
          <m:t>£</m:t>
        </m:r>
        <m:r>
          <w:rPr>
            <w:rFonts w:ascii="Cambria Math"/>
          </w:rPr>
          <m:t>/annum,</m:t>
        </m:r>
      </m:oMath>
      <w:r w:rsidRPr="00D21E85">
        <w:tab/>
      </w:r>
      <w:r w:rsidRPr="00D21E85">
        <w:tab/>
      </w:r>
      <w:r w:rsidRPr="00D21E85">
        <w:tab/>
      </w:r>
      <w:r w:rsidRPr="00D21E85">
        <w:tab/>
      </w:r>
      <w:r w:rsidRPr="00D21E85">
        <w:tab/>
      </w:r>
      <w:r w:rsidRPr="00D21E85">
        <w:tab/>
      </w:r>
      <w:r w:rsidRPr="00D21E85">
        <w:tab/>
      </w:r>
      <w:r w:rsidRPr="00D21E85">
        <w:tab/>
      </w:r>
      <w:r w:rsidRPr="00D21E85">
        <w:tab/>
      </w:r>
      <w:r w:rsidRPr="00D21E85">
        <w:tab/>
      </w:r>
      <w:r w:rsidRPr="00D21E85">
        <w:tab/>
      </w:r>
      <w:r w:rsidRPr="00D21E85">
        <w:tab/>
        <w:t>(6)</w:t>
      </w:r>
    </w:p>
    <w:p w14:paraId="3970BED5" w14:textId="77777777" w:rsidR="0041584B" w:rsidRDefault="0041584B" w:rsidP="0041584B">
      <w:pPr>
        <w:ind w:left="720"/>
      </w:pPr>
    </w:p>
    <w:p w14:paraId="3555BE7B" w14:textId="77777777" w:rsidR="0041584B" w:rsidRDefault="0041584B" w:rsidP="0041584B">
      <w:pPr>
        <w:ind w:left="720"/>
      </w:pPr>
      <w:r w:rsidRPr="00D21E85">
        <w:lastRenderedPageBreak/>
        <w:t xml:space="preserve">Demand Connectees (both load and generation) use several Branches to offtake their load or inject the generation.  These Branches can be identified by the magnitude of the incremented power flow </w:t>
      </w:r>
    </w:p>
    <w:p w14:paraId="35794B01" w14:textId="77777777" w:rsidR="0041584B" w:rsidRDefault="0041584B" w:rsidP="0041584B">
      <m:oMathPara>
        <m:oMath>
          <m:r>
            <w:rPr>
              <w:rFonts w:ascii="Cambria Math"/>
            </w:rPr>
            <m:t>Δflo</m:t>
          </m:r>
          <m:sSub>
            <m:sSubPr>
              <m:ctrlPr>
                <w:rPr>
                  <w:rFonts w:ascii="Cambria Math" w:hAnsi="Cambria Math"/>
                  <w:i/>
                </w:rPr>
              </m:ctrlPr>
            </m:sSubPr>
            <m:e>
              <m:r>
                <w:rPr>
                  <w:rFonts w:ascii="Cambria Math"/>
                </w:rPr>
                <m:t>w</m:t>
              </m:r>
            </m:e>
            <m:sub>
              <m:r>
                <w:rPr>
                  <w:rFonts w:ascii="Cambria Math"/>
                </w:rPr>
                <m:t>i</m:t>
              </m:r>
            </m:sub>
          </m:sSub>
          <m:r>
            <w:rPr>
              <w:rFonts w:ascii="Cambria Math"/>
            </w:rPr>
            <m:t xml:space="preserve"> (=IncPowerFlo</m:t>
          </m:r>
          <m:sSub>
            <m:sSubPr>
              <m:ctrlPr>
                <w:rPr>
                  <w:rFonts w:ascii="Cambria Math" w:hAnsi="Cambria Math"/>
                  <w:i/>
                </w:rPr>
              </m:ctrlPr>
            </m:sSubPr>
            <m:e>
              <m:r>
                <w:rPr>
                  <w:rFonts w:ascii="Cambria Math"/>
                </w:rPr>
                <m:t>w</m:t>
              </m:r>
            </m:e>
            <m:sub>
              <m:r>
                <w:rPr>
                  <w:rFonts w:ascii="Cambria Math"/>
                </w:rPr>
                <m:t>i</m:t>
              </m:r>
            </m:sub>
          </m:sSub>
          <m:d>
            <m:dPr>
              <m:ctrlPr>
                <w:rPr>
                  <w:rFonts w:ascii="Cambria Math" w:hAnsi="Cambria Math"/>
                  <w:i/>
                </w:rPr>
              </m:ctrlPr>
            </m:dPr>
            <m:e>
              <m:r>
                <w:rPr>
                  <w:rFonts w:ascii="Cambria Math"/>
                </w:rPr>
                <m:t>MVA</m:t>
              </m:r>
            </m:e>
          </m:d>
          <m:r>
            <w:rPr>
              <w:rFonts w:ascii="Cambria Math"/>
            </w:rPr>
            <m:t>-</m:t>
          </m:r>
          <m:r>
            <w:rPr>
              <w:rFonts w:ascii="Cambria Math"/>
            </w:rPr>
            <m:t>BasePowerFlo</m:t>
          </m:r>
          <m:sSub>
            <m:sSubPr>
              <m:ctrlPr>
                <w:rPr>
                  <w:rFonts w:ascii="Cambria Math" w:hAnsi="Cambria Math"/>
                  <w:i/>
                </w:rPr>
              </m:ctrlPr>
            </m:sSubPr>
            <m:e>
              <m:r>
                <w:rPr>
                  <w:rFonts w:ascii="Cambria Math"/>
                </w:rPr>
                <m:t>w</m:t>
              </m:r>
            </m:e>
            <m:sub>
              <m:r>
                <w:rPr>
                  <w:rFonts w:ascii="Cambria Math"/>
                </w:rPr>
                <m:t>i</m:t>
              </m:r>
            </m:sub>
          </m:sSub>
          <m:r>
            <w:rPr>
              <w:rFonts w:ascii="Cambria Math"/>
            </w:rPr>
            <m:t>(MVA))</m:t>
          </m:r>
        </m:oMath>
      </m:oMathPara>
    </w:p>
    <w:p w14:paraId="093F226F" w14:textId="77777777" w:rsidR="0041584B" w:rsidRPr="00D21E85" w:rsidRDefault="0041584B" w:rsidP="0041584B">
      <w:pPr>
        <w:ind w:left="720"/>
      </w:pPr>
      <w:r w:rsidRPr="00D21E85">
        <w:t>The Branch incremental costs of these Branches need to be summated in order to calculate the incremental cost for a Connectee connected at any Node.  More specifically, assuming a single operating regime is studied, the LRIC charging formula for the demand Connectee (either load or generation) connected at Node k becomes:</w:t>
      </w:r>
    </w:p>
    <w:p w14:paraId="5618B139" w14:textId="77777777" w:rsidR="0041584B" w:rsidRPr="00D21E85" w:rsidRDefault="0041584B" w:rsidP="0041584B">
      <w:pPr>
        <w:ind w:left="720"/>
      </w:pPr>
      <m:oMath>
        <m:r>
          <w:rPr>
            <w:rFonts w:ascii="Cambria Math"/>
          </w:rPr>
          <m:t>NodalIncrementalCos</m:t>
        </m:r>
        <m:sSub>
          <m:sSubPr>
            <m:ctrlPr>
              <w:rPr>
                <w:rFonts w:ascii="Cambria Math" w:hAnsi="Cambria Math"/>
                <w:i/>
              </w:rPr>
            </m:ctrlPr>
          </m:sSubPr>
          <m:e>
            <m:r>
              <w:rPr>
                <w:rFonts w:ascii="Cambria Math"/>
              </w:rPr>
              <m:t>t</m:t>
            </m:r>
          </m:e>
          <m:sub>
            <m:r>
              <w:rPr>
                <w:rFonts w:ascii="Cambria Math"/>
              </w:rPr>
              <m:t>k</m:t>
            </m:r>
          </m:sub>
        </m:sSub>
        <m:r>
          <w:rPr>
            <w:rFonts w:ascii="Cambria Math"/>
          </w:rPr>
          <m:t>=</m:t>
        </m:r>
        <m:nary>
          <m:naryPr>
            <m:chr m:val="∑"/>
            <m:supHide m:val="1"/>
            <m:ctrlPr>
              <w:rPr>
                <w:rFonts w:ascii="Cambria Math" w:hAnsi="Cambria Math"/>
                <w:i/>
              </w:rPr>
            </m:ctrlPr>
          </m:naryPr>
          <m:sub>
            <m:r>
              <w:rPr>
                <w:rFonts w:ascii="Cambria Math"/>
              </w:rPr>
              <m:t>i</m:t>
            </m:r>
          </m:sub>
          <m:sup/>
          <m:e>
            <m:r>
              <w:rPr>
                <w:rFonts w:ascii="Cambria Math"/>
              </w:rPr>
              <m:t>Branc</m:t>
            </m:r>
            <m:r>
              <w:rPr>
                <w:rFonts w:ascii="Cambria Math"/>
              </w:rPr>
              <m:t>h</m:t>
            </m:r>
            <m:r>
              <w:rPr>
                <w:rFonts w:ascii="Cambria Math"/>
              </w:rPr>
              <m:t>IncrementalCos</m:t>
            </m:r>
            <m:sSubSup>
              <m:sSubSupPr>
                <m:ctrlPr>
                  <w:rPr>
                    <w:rFonts w:ascii="Cambria Math" w:hAnsi="Cambria Math"/>
                    <w:i/>
                  </w:rPr>
                </m:ctrlPr>
              </m:sSubSupPr>
              <m:e>
                <m:r>
                  <w:rPr>
                    <w:rFonts w:ascii="Cambria Math"/>
                  </w:rPr>
                  <m:t>t</m:t>
                </m:r>
              </m:e>
              <m:sub>
                <m:r>
                  <w:rPr>
                    <w:rFonts w:ascii="Cambria Math"/>
                  </w:rPr>
                  <m:t>i</m:t>
                </m:r>
              </m:sub>
              <m:sup>
                <m:r>
                  <w:rPr>
                    <w:rFonts w:ascii="Cambria Math"/>
                  </w:rPr>
                  <m:t>k</m:t>
                </m:r>
              </m:sup>
            </m:sSubSup>
          </m:e>
        </m:nary>
        <m:r>
          <w:rPr>
            <w:rFonts w:ascii="Cambria Math"/>
          </w:rPr>
          <m:t>£</m:t>
        </m:r>
        <m:r>
          <w:rPr>
            <w:rFonts w:ascii="Cambria Math"/>
          </w:rPr>
          <m:t>/annum,</m:t>
        </m:r>
      </m:oMath>
      <w:r>
        <w:tab/>
      </w:r>
      <w:r w:rsidRPr="00D21E85">
        <w:tab/>
        <w:t>(7)</w:t>
      </w:r>
    </w:p>
    <w:p w14:paraId="0C53BAB1" w14:textId="77777777" w:rsidR="0041584B" w:rsidRPr="00D21E85" w:rsidRDefault="0041584B" w:rsidP="0041584B">
      <w:pPr>
        <w:ind w:left="720"/>
      </w:pPr>
      <w:bookmarkStart w:id="792" w:name="_Toc269379892"/>
      <w:bookmarkStart w:id="793" w:name="_Toc269720541"/>
      <w:bookmarkStart w:id="794" w:name="_Toc269721237"/>
      <w:r w:rsidRPr="00D21E85">
        <w:t>where summation goes over “relevant” network Branches, that is, Branches which are used by the considered</w:t>
      </w:r>
      <w:bookmarkEnd w:id="792"/>
      <w:r w:rsidRPr="00D21E85">
        <w:t xml:space="preserve"> Connectee.</w:t>
      </w:r>
      <w:bookmarkEnd w:id="793"/>
      <w:bookmarkEnd w:id="794"/>
    </w:p>
    <w:p w14:paraId="032DC9C2" w14:textId="77777777" w:rsidR="0041584B" w:rsidRPr="00D21E85" w:rsidRDefault="0041584B" w:rsidP="0041584B">
      <w:pPr>
        <w:ind w:left="720"/>
      </w:pPr>
      <w:r w:rsidRPr="00D21E85">
        <w:t>Finally, Nodal marginal charges are derived by dividing the Nodal incremental cost by the assumed demand increment:</w:t>
      </w:r>
    </w:p>
    <w:p w14:paraId="0EA1C676" w14:textId="77777777" w:rsidR="0041584B" w:rsidRPr="00D21E85" w:rsidRDefault="0041584B" w:rsidP="0041584B">
      <w:pPr>
        <w:ind w:left="720"/>
      </w:pPr>
      <m:oMathPara>
        <m:oMath>
          <m:r>
            <w:rPr>
              <w:rFonts w:ascii="Cambria Math"/>
            </w:rPr>
            <m:t>C</m:t>
          </m:r>
          <m:r>
            <w:rPr>
              <w:rFonts w:ascii="Cambria Math"/>
            </w:rPr>
            <m:t>h</m:t>
          </m:r>
          <m:func>
            <m:funcPr>
              <m:ctrlPr>
                <w:rPr>
                  <w:rFonts w:ascii="Cambria Math" w:hAnsi="Cambria Math"/>
                  <w:i/>
                </w:rPr>
              </m:ctrlPr>
            </m:funcPr>
            <m:fName>
              <m:r>
                <w:rPr>
                  <w:rFonts w:ascii="Cambria Math"/>
                </w:rPr>
                <m:t>arg</m:t>
              </m:r>
            </m:fName>
            <m:e>
              <m:r>
                <w:rPr>
                  <w:rFonts w:ascii="Cambria Math"/>
                </w:rPr>
                <m:t>e</m:t>
              </m:r>
            </m:e>
          </m:func>
          <m:r>
            <w:rPr>
              <w:rFonts w:ascii="Cambria Math"/>
            </w:rPr>
            <m:t>AtNod</m:t>
          </m:r>
          <m:sSub>
            <m:sSubPr>
              <m:ctrlPr>
                <w:rPr>
                  <w:rFonts w:ascii="Cambria Math" w:hAnsi="Cambria Math"/>
                  <w:i/>
                </w:rPr>
              </m:ctrlPr>
            </m:sSubPr>
            <m:e>
              <m:r>
                <w:rPr>
                  <w:rFonts w:ascii="Cambria Math"/>
                </w:rPr>
                <m:t>e</m:t>
              </m:r>
            </m:e>
            <m:sub>
              <m:r>
                <w:rPr>
                  <w:rFonts w:ascii="Cambria Math"/>
                </w:rPr>
                <m:t>k</m:t>
              </m:r>
            </m:sub>
          </m:sSub>
          <m:r>
            <w:rPr>
              <w:rFonts w:ascii="Cambria Math"/>
            </w:rPr>
            <m:t>=</m:t>
          </m:r>
          <m:f>
            <m:fPr>
              <m:ctrlPr>
                <w:rPr>
                  <w:rFonts w:ascii="Cambria Math" w:hAnsi="Cambria Math"/>
                  <w:i/>
                </w:rPr>
              </m:ctrlPr>
            </m:fPr>
            <m:num>
              <m:r>
                <w:rPr>
                  <w:rFonts w:ascii="Cambria Math"/>
                </w:rPr>
                <m:t>NodalIncrementalCos</m:t>
              </m:r>
              <m:sSub>
                <m:sSubPr>
                  <m:ctrlPr>
                    <w:rPr>
                      <w:rFonts w:ascii="Cambria Math" w:hAnsi="Cambria Math"/>
                      <w:i/>
                    </w:rPr>
                  </m:ctrlPr>
                </m:sSubPr>
                <m:e>
                  <m:r>
                    <w:rPr>
                      <w:rFonts w:ascii="Cambria Math"/>
                    </w:rPr>
                    <m:t>t</m:t>
                  </m:r>
                </m:e>
                <m:sub>
                  <m:r>
                    <w:rPr>
                      <w:rFonts w:ascii="Cambria Math"/>
                    </w:rPr>
                    <m:t>k</m:t>
                  </m:r>
                </m:sub>
              </m:sSub>
            </m:num>
            <m:den>
              <m:r>
                <w:rPr>
                  <w:rFonts w:ascii="Cambria Math"/>
                </w:rPr>
                <m:t>Δ</m:t>
              </m:r>
              <m:sSub>
                <m:sSubPr>
                  <m:ctrlPr>
                    <w:rPr>
                      <w:rFonts w:ascii="Cambria Math" w:hAnsi="Cambria Math"/>
                      <w:i/>
                    </w:rPr>
                  </m:ctrlPr>
                </m:sSubPr>
                <m:e>
                  <m:r>
                    <w:rPr>
                      <w:rFonts w:ascii="Cambria Math"/>
                    </w:rPr>
                    <m:t>D</m:t>
                  </m:r>
                </m:e>
                <m:sub>
                  <m:r>
                    <w:rPr>
                      <w:rFonts w:ascii="Cambria Math"/>
                    </w:rPr>
                    <m:t>k</m:t>
                  </m:r>
                </m:sub>
              </m:sSub>
            </m:den>
          </m:f>
          <m:r>
            <w:rPr>
              <w:rFonts w:ascii="Cambria Math"/>
            </w:rPr>
            <m:t>£</m:t>
          </m:r>
          <m:r>
            <w:rPr>
              <w:rFonts w:ascii="Cambria Math"/>
            </w:rPr>
            <m:t>/kVA/annum,</m:t>
          </m:r>
        </m:oMath>
      </m:oMathPara>
    </w:p>
    <w:p w14:paraId="6F474C12" w14:textId="77777777" w:rsidR="0041584B" w:rsidRPr="00F34570" w:rsidRDefault="0041584B" w:rsidP="0041584B">
      <w:pPr>
        <w:ind w:left="720"/>
      </w:pPr>
      <w:r w:rsidRPr="00D21E85">
        <w:t xml:space="preserve">where </w:t>
      </w:r>
      <w:proofErr w:type="spellStart"/>
      <w:r w:rsidRPr="00C64BBF">
        <w:rPr>
          <w:i/>
        </w:rPr>
        <w:t>ΔD</w:t>
      </w:r>
      <w:r w:rsidRPr="00C64BBF">
        <w:rPr>
          <w:i/>
          <w:vertAlign w:val="subscript"/>
        </w:rPr>
        <w:t>k</w:t>
      </w:r>
      <w:proofErr w:type="spellEnd"/>
      <w:r w:rsidRPr="00C64BBF">
        <w:rPr>
          <w:i/>
        </w:rPr>
        <w:t xml:space="preserve"> </w:t>
      </w:r>
      <w:r w:rsidRPr="00D21E85">
        <w:t>is assumed demand increment at</w:t>
      </w:r>
      <m:oMath>
        <m:r>
          <w:rPr>
            <w:rFonts w:ascii="Cambria Math"/>
          </w:rPr>
          <m:t xml:space="preserve"> Nod</m:t>
        </m:r>
        <m:sSub>
          <m:sSubPr>
            <m:ctrlPr>
              <w:rPr>
                <w:rFonts w:ascii="Cambria Math" w:hAnsi="Cambria Math"/>
                <w:i/>
              </w:rPr>
            </m:ctrlPr>
          </m:sSubPr>
          <m:e>
            <m:r>
              <w:rPr>
                <w:rFonts w:ascii="Cambria Math"/>
              </w:rPr>
              <m:t>e</m:t>
            </m:r>
          </m:e>
          <m:sub>
            <m:r>
              <w:rPr>
                <w:rFonts w:ascii="Cambria Math"/>
              </w:rPr>
              <m:t>k</m:t>
            </m:r>
          </m:sub>
        </m:sSub>
      </m:oMath>
    </w:p>
    <w:p w14:paraId="1D3E5005" w14:textId="77777777" w:rsidR="0041584B" w:rsidRDefault="0041584B"/>
    <w:sectPr w:rsidR="0041584B">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28" w:author="Hollie Nicholls" w:date="2020-01-14T18:31:00Z" w:initials="HN">
    <w:p w14:paraId="7263AEBE" w14:textId="77777777" w:rsidR="00C5015B" w:rsidRDefault="00C5015B">
      <w:pPr>
        <w:pStyle w:val="CommentText"/>
      </w:pPr>
      <w:r>
        <w:rPr>
          <w:rStyle w:val="CommentReference"/>
        </w:rPr>
        <w:annotationRef/>
      </w:r>
      <w:r>
        <w:t xml:space="preserve">This text has been changed since the introduction of this pre-release version of the legal text. Outstanding EDCM LRIC assumption number 20 needs reviewing and the Working Group to discuss the </w:t>
      </w:r>
      <w:proofErr w:type="gramStart"/>
      <w:r>
        <w:t>longer term</w:t>
      </w:r>
      <w:proofErr w:type="gramEnd"/>
      <w:r>
        <w:t xml:space="preserve"> solution  </w:t>
      </w:r>
    </w:p>
  </w:comment>
  <w:comment w:id="229" w:author="Hollie Nicholls" w:date="2020-01-14T18:33:00Z" w:initials="HN">
    <w:p w14:paraId="7533AF13" w14:textId="77777777" w:rsidR="00C5015B" w:rsidRDefault="00C5015B">
      <w:pPr>
        <w:pStyle w:val="CommentText"/>
      </w:pPr>
      <w:r>
        <w:rPr>
          <w:rStyle w:val="CommentReference"/>
        </w:rPr>
        <w:annotationRef/>
      </w:r>
      <w:r>
        <w:t>As above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263AEBE" w15:done="0"/>
  <w15:commentEx w15:paraId="7533AF1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263AEBE" w16cid:durableId="21C88789"/>
  <w16cid:commentId w16cid:paraId="7533AF13" w16cid:durableId="21C887F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3DDF07" w14:textId="77777777" w:rsidR="0041584B" w:rsidRDefault="0041584B" w:rsidP="0041584B">
      <w:pPr>
        <w:spacing w:after="0" w:line="240" w:lineRule="auto"/>
      </w:pPr>
      <w:r>
        <w:separator/>
      </w:r>
    </w:p>
  </w:endnote>
  <w:endnote w:type="continuationSeparator" w:id="0">
    <w:p w14:paraId="22865D2B" w14:textId="77777777" w:rsidR="0041584B" w:rsidRDefault="0041584B" w:rsidP="004158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 New Roman Bold">
    <w:altName w:val="Times New Roman"/>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B0C67E" w14:textId="77777777" w:rsidR="0041584B" w:rsidRDefault="0041584B">
    <w:pPr>
      <w:pStyle w:val="Footer"/>
      <w:tabs>
        <w:tab w:val="center" w:pos="4514"/>
      </w:tabs>
    </w:pPr>
    <w:r>
      <w:rPr>
        <w:rStyle w:val="PageNumber"/>
      </w:rPr>
      <w:t>Schedule 18</w:t>
    </w:r>
    <w:r>
      <w:rPr>
        <w:rStyle w:val="PageNumber"/>
      </w:rPr>
      <w:tab/>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835</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82FF95" w14:textId="77777777" w:rsidR="0041584B" w:rsidRDefault="0041584B" w:rsidP="0041584B">
      <w:pPr>
        <w:spacing w:after="0" w:line="240" w:lineRule="auto"/>
      </w:pPr>
      <w:r>
        <w:separator/>
      </w:r>
    </w:p>
  </w:footnote>
  <w:footnote w:type="continuationSeparator" w:id="0">
    <w:p w14:paraId="7397BE67" w14:textId="77777777" w:rsidR="0041584B" w:rsidRDefault="0041584B" w:rsidP="0041584B">
      <w:pPr>
        <w:spacing w:after="0" w:line="240" w:lineRule="auto"/>
      </w:pPr>
      <w:r>
        <w:continuationSeparator/>
      </w:r>
    </w:p>
  </w:footnote>
  <w:footnote w:id="1">
    <w:p w14:paraId="5C774EB7" w14:textId="77777777" w:rsidR="0041584B" w:rsidRPr="0037103E" w:rsidRDefault="0041584B" w:rsidP="0041584B">
      <w:pPr>
        <w:pStyle w:val="FootnoteText"/>
        <w:rPr>
          <w:rFonts w:ascii="Times New Roman" w:hAnsi="Times New Roman"/>
          <w:sz w:val="18"/>
        </w:rPr>
      </w:pPr>
      <w:r w:rsidRPr="0037103E">
        <w:rPr>
          <w:rStyle w:val="FootnoteReference"/>
          <w:rFonts w:ascii="Times New Roman" w:hAnsi="Times New Roman"/>
          <w:sz w:val="18"/>
        </w:rPr>
        <w:footnoteRef/>
      </w:r>
      <w:r w:rsidRPr="0037103E">
        <w:rPr>
          <w:rFonts w:ascii="Times New Roman" w:hAnsi="Times New Roman"/>
          <w:sz w:val="18"/>
        </w:rPr>
        <w:t xml:space="preserve"> Guidance on creation of a suitable network model is provided in section 4</w:t>
      </w:r>
      <w:r w:rsidRPr="0037103E">
        <w:rPr>
          <w:rFonts w:ascii="Times New Roman" w:hAnsi="Times New Roman"/>
          <w:sz w:val="18"/>
        </w:rPr>
        <w:fldChar w:fldCharType="begin"/>
      </w:r>
      <w:r w:rsidRPr="0037103E">
        <w:rPr>
          <w:rFonts w:ascii="Times New Roman" w:hAnsi="Times New Roman"/>
          <w:sz w:val="18"/>
        </w:rPr>
        <w:instrText xml:space="preserve"> REF _Ref269303599 \h  \* MERGEFORMAT </w:instrText>
      </w:r>
      <w:r w:rsidRPr="0037103E">
        <w:rPr>
          <w:rFonts w:ascii="Times New Roman" w:hAnsi="Times New Roman"/>
          <w:sz w:val="18"/>
        </w:rPr>
      </w:r>
      <w:r w:rsidRPr="0037103E">
        <w:rPr>
          <w:rFonts w:ascii="Times New Roman" w:hAnsi="Times New Roman"/>
          <w:sz w:val="18"/>
        </w:rPr>
        <w:fldChar w:fldCharType="separate"/>
      </w:r>
      <w:r w:rsidRPr="004B265B">
        <w:rPr>
          <w:rFonts w:ascii="Times New Roman" w:hAnsi="Times New Roman"/>
          <w:sz w:val="18"/>
        </w:rPr>
        <w:t>Authorised Network Model</w:t>
      </w:r>
      <w:r w:rsidRPr="0037103E">
        <w:rPr>
          <w:rFonts w:ascii="Times New Roman" w:hAnsi="Times New Roman"/>
          <w:sz w:val="18"/>
        </w:rPr>
        <w:fldChar w:fldCharType="end"/>
      </w:r>
      <w:r w:rsidRPr="0037103E">
        <w:rPr>
          <w:rFonts w:ascii="Times New Roman" w:hAnsi="Times New Roman"/>
          <w:sz w:val="18"/>
        </w:rPr>
        <w:t xml:space="preserve"> of Annex 1.</w:t>
      </w:r>
    </w:p>
  </w:footnote>
  <w:footnote w:id="2">
    <w:p w14:paraId="6813AE00" w14:textId="77777777" w:rsidR="0041584B" w:rsidRPr="0037103E" w:rsidRDefault="0041584B" w:rsidP="0041584B">
      <w:pPr>
        <w:pStyle w:val="FootnoteText"/>
        <w:rPr>
          <w:rFonts w:ascii="Times New Roman" w:hAnsi="Times New Roman"/>
          <w:sz w:val="18"/>
        </w:rPr>
      </w:pPr>
      <w:r w:rsidRPr="0037103E">
        <w:rPr>
          <w:rStyle w:val="FootnoteReference"/>
          <w:rFonts w:ascii="Times New Roman" w:hAnsi="Times New Roman"/>
          <w:sz w:val="18"/>
        </w:rPr>
        <w:footnoteRef/>
      </w:r>
      <w:r w:rsidRPr="0037103E">
        <w:rPr>
          <w:rFonts w:ascii="Times New Roman" w:hAnsi="Times New Roman"/>
          <w:sz w:val="18"/>
        </w:rPr>
        <w:t xml:space="preserve"> Guidance on the power-flow analysis required to consider these conditions is provided in sections 6.3 and 6.10 of Annex 1.</w:t>
      </w:r>
    </w:p>
  </w:footnote>
  <w:footnote w:id="3">
    <w:p w14:paraId="560728F0" w14:textId="77777777" w:rsidR="0041584B" w:rsidRDefault="0041584B" w:rsidP="0041584B">
      <w:pPr>
        <w:pStyle w:val="FootnoteText"/>
      </w:pPr>
      <w:r w:rsidRPr="0037103E">
        <w:rPr>
          <w:rStyle w:val="FootnoteReference"/>
          <w:rFonts w:ascii="Times New Roman" w:hAnsi="Times New Roman"/>
          <w:sz w:val="18"/>
        </w:rPr>
        <w:footnoteRef/>
      </w:r>
      <w:r w:rsidRPr="0037103E">
        <w:rPr>
          <w:rFonts w:ascii="Times New Roman" w:hAnsi="Times New Roman"/>
          <w:sz w:val="18"/>
        </w:rPr>
        <w:t xml:space="preserve"> Guidance on the demand data required to represent the maximum demand period is provided in section 5.31 of Annex 1.</w:t>
      </w:r>
    </w:p>
  </w:footnote>
  <w:footnote w:id="4">
    <w:p w14:paraId="6BBA7173" w14:textId="77777777" w:rsidR="0041584B" w:rsidRDefault="0041584B" w:rsidP="0041584B">
      <w:pPr>
        <w:pStyle w:val="FootnoteText"/>
        <w:ind w:right="-57"/>
      </w:pPr>
      <w:r>
        <w:rPr>
          <w:rStyle w:val="FootnoteReference"/>
        </w:rPr>
        <w:footnoteRef/>
      </w:r>
      <w:r>
        <w:t xml:space="preserve"> </w:t>
      </w:r>
      <w:r w:rsidRPr="00935024">
        <w:rPr>
          <w:rFonts w:ascii="Times New Roman" w:hAnsi="Times New Roman"/>
          <w:sz w:val="18"/>
        </w:rPr>
        <w:t>Guidance on the application of diversity to demand data is provided in section 5.11 of Annex 1.</w:t>
      </w:r>
    </w:p>
  </w:footnote>
  <w:footnote w:id="5">
    <w:p w14:paraId="6A9F490D" w14:textId="77777777" w:rsidR="0041584B" w:rsidRDefault="0041584B" w:rsidP="0041584B">
      <w:pPr>
        <w:pStyle w:val="FootnoteText"/>
        <w:ind w:right="-57"/>
      </w:pPr>
      <w:r>
        <w:rPr>
          <w:rStyle w:val="FootnoteReference"/>
        </w:rPr>
        <w:footnoteRef/>
      </w:r>
      <w:r>
        <w:t xml:space="preserve"> </w:t>
      </w:r>
      <w:r w:rsidRPr="00935024">
        <w:rPr>
          <w:rFonts w:ascii="Times New Roman" w:hAnsi="Times New Roman"/>
          <w:sz w:val="18"/>
        </w:rPr>
        <w:t>Guidance on the demand data required to represent the minimum demand period is provided in section 5.37 of Annex 1.</w:t>
      </w:r>
    </w:p>
  </w:footnote>
  <w:footnote w:id="6">
    <w:p w14:paraId="7BC276B9" w14:textId="77777777" w:rsidR="0041584B" w:rsidRDefault="0041584B" w:rsidP="0041584B">
      <w:pPr>
        <w:pStyle w:val="FootnoteText"/>
        <w:ind w:right="-57"/>
      </w:pPr>
      <w:r>
        <w:rPr>
          <w:rStyle w:val="FootnoteReference"/>
        </w:rPr>
        <w:footnoteRef/>
      </w:r>
      <w:r>
        <w:t xml:space="preserve"> </w:t>
      </w:r>
      <w:r w:rsidRPr="00935024">
        <w:rPr>
          <w:rFonts w:ascii="Times New Roman" w:hAnsi="Times New Roman"/>
          <w:sz w:val="18"/>
        </w:rPr>
        <w:t>Guidance on the generation data required to represent the maximum demand period is provided in section 5.31 of Annex 1.</w:t>
      </w:r>
    </w:p>
  </w:footnote>
  <w:footnote w:id="7">
    <w:p w14:paraId="6E5192D6" w14:textId="77777777" w:rsidR="0041584B" w:rsidRDefault="0041584B" w:rsidP="0041584B">
      <w:pPr>
        <w:pStyle w:val="FootnoteText"/>
        <w:ind w:right="-57"/>
      </w:pPr>
      <w:r>
        <w:rPr>
          <w:rStyle w:val="FootnoteReference"/>
        </w:rPr>
        <w:footnoteRef/>
      </w:r>
      <w:r>
        <w:t xml:space="preserve"> </w:t>
      </w:r>
      <w:r w:rsidRPr="00935024">
        <w:rPr>
          <w:rFonts w:ascii="Times New Roman" w:hAnsi="Times New Roman"/>
          <w:sz w:val="18"/>
        </w:rPr>
        <w:t>Guidance on the generation data required to represent the minimum demand period is provided in section 5.37 (of Annex 1</w:t>
      </w:r>
    </w:p>
  </w:footnote>
  <w:footnote w:id="8">
    <w:p w14:paraId="4A7B10DB" w14:textId="77777777" w:rsidR="0041584B" w:rsidRDefault="0041584B" w:rsidP="0041584B">
      <w:pPr>
        <w:pStyle w:val="FootnoteText"/>
        <w:ind w:right="-57"/>
      </w:pPr>
      <w:r>
        <w:rPr>
          <w:rStyle w:val="FootnoteReference"/>
        </w:rPr>
        <w:footnoteRef/>
      </w:r>
      <w:r>
        <w:t xml:space="preserve"> </w:t>
      </w:r>
      <w:r w:rsidRPr="00935024">
        <w:rPr>
          <w:rFonts w:ascii="Times New Roman" w:hAnsi="Times New Roman"/>
          <w:sz w:val="18"/>
        </w:rPr>
        <w:t>Guidance on suitable cleansed demand data is provided in section 5.2 of Annex 1</w:t>
      </w:r>
    </w:p>
  </w:footnote>
  <w:footnote w:id="9">
    <w:p w14:paraId="6E4277CC" w14:textId="77777777" w:rsidR="0041584B" w:rsidRDefault="0041584B" w:rsidP="0041584B">
      <w:pPr>
        <w:pStyle w:val="FootnoteText"/>
      </w:pPr>
      <w:r>
        <w:rPr>
          <w:rStyle w:val="FootnoteReference"/>
        </w:rPr>
        <w:footnoteRef/>
      </w:r>
      <w:r>
        <w:t xml:space="preserve"> </w:t>
      </w:r>
      <w:r w:rsidRPr="00935024">
        <w:rPr>
          <w:rFonts w:ascii="Times New Roman" w:hAnsi="Times New Roman"/>
          <w:sz w:val="18"/>
        </w:rPr>
        <w:t>Guidance on the derivation of Security Factors is provided in section 6.6 of Annex 1.</w:t>
      </w:r>
    </w:p>
  </w:footnote>
  <w:footnote w:id="10">
    <w:p w14:paraId="06FACFF0" w14:textId="77777777" w:rsidR="0041584B" w:rsidRDefault="0041584B" w:rsidP="0041584B">
      <w:pPr>
        <w:pStyle w:val="FootnoteText"/>
      </w:pPr>
      <w:r>
        <w:rPr>
          <w:rStyle w:val="FootnoteReference"/>
        </w:rPr>
        <w:footnoteRef/>
      </w:r>
      <w:r>
        <w:t xml:space="preserve"> </w:t>
      </w:r>
      <w:r w:rsidRPr="00935024">
        <w:rPr>
          <w:rFonts w:ascii="Times New Roman" w:hAnsi="Times New Roman"/>
          <w:sz w:val="18"/>
        </w:rPr>
        <w:t>Guidance on the Contingency Analysis used in the derivation of Security Factors is provided in section 6.4 of Annex</w:t>
      </w:r>
      <w:r w:rsidRPr="00935024">
        <w:rPr>
          <w:sz w:val="18"/>
        </w:rPr>
        <w:t xml:space="preserve"> </w:t>
      </w:r>
      <w:r>
        <w:t>1.</w:t>
      </w:r>
    </w:p>
  </w:footnote>
  <w:footnote w:id="11">
    <w:p w14:paraId="5F07E35B" w14:textId="77777777" w:rsidR="0041584B" w:rsidRDefault="0041584B" w:rsidP="0041584B">
      <w:pPr>
        <w:pStyle w:val="FootnoteText"/>
      </w:pPr>
      <w:r w:rsidRPr="001D2EED">
        <w:rPr>
          <w:rStyle w:val="FootnoteReference"/>
          <w:sz w:val="22"/>
          <w:szCs w:val="22"/>
        </w:rPr>
        <w:footnoteRef/>
      </w:r>
      <w:r w:rsidRPr="001D2EED">
        <w:rPr>
          <w:sz w:val="22"/>
          <w:szCs w:val="22"/>
        </w:rPr>
        <w:t xml:space="preserve"> </w:t>
      </w:r>
      <w:r w:rsidRPr="00935024">
        <w:rPr>
          <w:rFonts w:ascii="Times New Roman" w:hAnsi="Times New Roman"/>
          <w:sz w:val="18"/>
        </w:rPr>
        <w:t>For the sake of simplicity ratings, resistance and reactance values given above are assumed and   may be used only for illustrative purposes such as the given example to calculate equivalent ratings and parameters for a composite Branch.</w:t>
      </w:r>
    </w:p>
  </w:footnote>
  <w:footnote w:id="12">
    <w:p w14:paraId="4CAA0A9A" w14:textId="77777777" w:rsidR="0041584B" w:rsidRDefault="0041584B" w:rsidP="0041584B">
      <w:pPr>
        <w:pStyle w:val="FootnoteText"/>
        <w:ind w:left="284"/>
      </w:pPr>
      <w:r w:rsidRPr="00F03AE5">
        <w:rPr>
          <w:rStyle w:val="FootnoteReference"/>
        </w:rPr>
        <w:footnoteRef/>
      </w:r>
      <w:r w:rsidRPr="00F03AE5">
        <w:t xml:space="preserve"> </w:t>
      </w:r>
      <w:r w:rsidRPr="00935024">
        <w:rPr>
          <w:rFonts w:ascii="Times New Roman" w:hAnsi="Times New Roman"/>
          <w:color w:val="000000"/>
          <w:spacing w:val="-1"/>
          <w:sz w:val="18"/>
          <w:szCs w:val="22"/>
        </w:rPr>
        <w:t>Distributors should use the specifications and costs of similar, past reinforcement projects as a means for determining the requirements and costs of a particular future reinforcement project.</w:t>
      </w:r>
    </w:p>
  </w:footnote>
  <w:footnote w:id="13">
    <w:p w14:paraId="3265890B" w14:textId="77777777" w:rsidR="0041584B" w:rsidRDefault="0041584B" w:rsidP="0041584B">
      <w:pPr>
        <w:pStyle w:val="FootnoteText"/>
      </w:pPr>
      <w:r w:rsidRPr="00D531FC">
        <w:rPr>
          <w:rStyle w:val="FootnoteReference"/>
          <w:sz w:val="22"/>
          <w:szCs w:val="22"/>
        </w:rPr>
        <w:footnoteRef/>
      </w:r>
      <w:r w:rsidRPr="00D531FC">
        <w:rPr>
          <w:sz w:val="22"/>
          <w:szCs w:val="22"/>
        </w:rPr>
        <w:t xml:space="preserve"> </w:t>
      </w:r>
      <w:r w:rsidRPr="00801D49">
        <w:rPr>
          <w:rFonts w:ascii="Times New Roman" w:hAnsi="Times New Roman"/>
          <w:szCs w:val="22"/>
        </w:rPr>
        <w:t>Where the current calculated for demand lags its voltage the reactive power shall be allocated the same sign as the active power. Where the current calculated for demand leads its voltage the reactive power shall be allocated the opposite sign to the active power.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D7EE5B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A17A683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C80C099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A3E7400"/>
    <w:lvl w:ilvl="0">
      <w:start w:val="1"/>
      <w:numFmt w:val="decimal"/>
      <w:pStyle w:val="ListNumber2"/>
      <w:lvlText w:val="%1."/>
      <w:lvlJc w:val="left"/>
      <w:pPr>
        <w:tabs>
          <w:tab w:val="num" w:pos="643"/>
        </w:tabs>
        <w:ind w:left="643" w:hanging="360"/>
      </w:pPr>
    </w:lvl>
  </w:abstractNum>
  <w:abstractNum w:abstractNumId="4" w15:restartNumberingAfterBreak="0">
    <w:nsid w:val="FFFFFF82"/>
    <w:multiLevelType w:val="singleLevel"/>
    <w:tmpl w:val="80A2368C"/>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C2F233D4"/>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84486390"/>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276CA364"/>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0963444"/>
    <w:multiLevelType w:val="hybridMultilevel"/>
    <w:tmpl w:val="97647906"/>
    <w:lvl w:ilvl="0" w:tplc="7620227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02F77CCC"/>
    <w:multiLevelType w:val="hybridMultilevel"/>
    <w:tmpl w:val="EBBE56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47955A0"/>
    <w:multiLevelType w:val="multilevel"/>
    <w:tmpl w:val="56207D2A"/>
    <w:styleLink w:val="DCAphaCaps1"/>
    <w:lvl w:ilvl="0">
      <w:start w:val="1"/>
      <w:numFmt w:val="upperLetter"/>
      <w:lvlText w:val="(%1)"/>
      <w:lvlJc w:val="left"/>
      <w:pPr>
        <w:ind w:left="0" w:firstLine="0"/>
      </w:pPr>
      <w:rPr>
        <w:rFonts w:ascii="Times New Roman" w:hAnsi="Times New Roman" w:hint="default"/>
        <w:sz w:val="24"/>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1" w15:restartNumberingAfterBreak="0">
    <w:nsid w:val="063263EF"/>
    <w:multiLevelType w:val="multilevel"/>
    <w:tmpl w:val="5B123370"/>
    <w:lvl w:ilvl="0">
      <w:start w:val="1"/>
      <w:numFmt w:val="decimal"/>
      <w:pStyle w:val="StyleHeading1LatinTimesNewRoman12ptLinespacing1"/>
      <w:lvlText w:val="%1"/>
      <w:lvlJc w:val="left"/>
      <w:pPr>
        <w:tabs>
          <w:tab w:val="num" w:pos="709"/>
        </w:tabs>
        <w:ind w:left="709" w:hanging="709"/>
      </w:pPr>
      <w:rPr>
        <w:rFonts w:cs="Times New Roman" w:hint="default"/>
      </w:rPr>
    </w:lvl>
    <w:lvl w:ilvl="1">
      <w:start w:val="1"/>
      <w:numFmt w:val="decimal"/>
      <w:lvlText w:val="%1.%2"/>
      <w:lvlJc w:val="left"/>
      <w:pPr>
        <w:tabs>
          <w:tab w:val="num" w:pos="709"/>
        </w:tabs>
        <w:ind w:left="709" w:hanging="709"/>
      </w:pPr>
      <w:rPr>
        <w:rFonts w:cs="Times New Roman" w:hint="default"/>
      </w:rPr>
    </w:lvl>
    <w:lvl w:ilvl="2">
      <w:start w:val="1"/>
      <w:numFmt w:val="lowerLetter"/>
      <w:lvlText w:val="(%3)"/>
      <w:lvlJc w:val="left"/>
      <w:pPr>
        <w:tabs>
          <w:tab w:val="num" w:pos="1418"/>
        </w:tabs>
        <w:ind w:left="1418" w:hanging="709"/>
      </w:pPr>
      <w:rPr>
        <w:rFonts w:cs="Times New Roman" w:hint="default"/>
      </w:rPr>
    </w:lvl>
    <w:lvl w:ilvl="3">
      <w:start w:val="1"/>
      <w:numFmt w:val="lowerRoman"/>
      <w:lvlText w:val="(%4)"/>
      <w:lvlJc w:val="left"/>
      <w:pPr>
        <w:tabs>
          <w:tab w:val="num" w:pos="1985"/>
        </w:tabs>
        <w:ind w:left="1985" w:hanging="567"/>
      </w:pPr>
      <w:rPr>
        <w:rFonts w:cs="Times New Roman" w:hint="default"/>
      </w:rPr>
    </w:lvl>
    <w:lvl w:ilvl="4">
      <w:start w:val="1"/>
      <w:numFmt w:val="upperLetter"/>
      <w:lvlText w:val="(%5)"/>
      <w:lvlJc w:val="left"/>
      <w:pPr>
        <w:tabs>
          <w:tab w:val="num" w:pos="2552"/>
        </w:tabs>
        <w:ind w:left="2552" w:hanging="567"/>
      </w:pPr>
      <w:rPr>
        <w:rFonts w:cs="Times New Roman" w:hint="default"/>
      </w:rPr>
    </w:lvl>
    <w:lvl w:ilvl="5">
      <w:start w:val="1"/>
      <w:numFmt w:val="decimal"/>
      <w:lvlText w:val="%6)"/>
      <w:lvlJc w:val="left"/>
      <w:pPr>
        <w:tabs>
          <w:tab w:val="num" w:pos="4253"/>
        </w:tabs>
        <w:ind w:left="4253" w:hanging="708"/>
      </w:pPr>
      <w:rPr>
        <w:rFonts w:cs="Times New Roman" w:hint="default"/>
      </w:rPr>
    </w:lvl>
    <w:lvl w:ilvl="6">
      <w:start w:val="1"/>
      <w:numFmt w:val="decimal"/>
      <w:lvlText w:val="%7%3)"/>
      <w:lvlJc w:val="left"/>
      <w:pPr>
        <w:tabs>
          <w:tab w:val="num" w:pos="3423"/>
        </w:tabs>
        <w:ind w:left="3423" w:hanging="1296"/>
      </w:pPr>
      <w:rPr>
        <w:rFonts w:cs="Times New Roman" w:hint="default"/>
      </w:rPr>
    </w:lvl>
    <w:lvl w:ilvl="7">
      <w:start w:val="1"/>
      <w:numFmt w:val="lowerRoman"/>
      <w:lvlText w:val="%8)"/>
      <w:lvlJc w:val="left"/>
      <w:pPr>
        <w:tabs>
          <w:tab w:val="num" w:pos="3567"/>
        </w:tabs>
        <w:ind w:left="3567" w:hanging="1440"/>
      </w:pPr>
      <w:rPr>
        <w:rFonts w:cs="Times New Roman" w:hint="default"/>
      </w:rPr>
    </w:lvl>
    <w:lvl w:ilvl="8">
      <w:start w:val="1"/>
      <w:numFmt w:val="upperLetter"/>
      <w:lvlText w:val="%9)"/>
      <w:lvlJc w:val="left"/>
      <w:pPr>
        <w:tabs>
          <w:tab w:val="num" w:pos="3711"/>
        </w:tabs>
        <w:ind w:left="3711" w:hanging="1584"/>
      </w:pPr>
      <w:rPr>
        <w:rFonts w:cs="Times New Roman" w:hint="default"/>
      </w:rPr>
    </w:lvl>
  </w:abstractNum>
  <w:abstractNum w:abstractNumId="12" w15:restartNumberingAfterBreak="0">
    <w:nsid w:val="073947F2"/>
    <w:multiLevelType w:val="multilevel"/>
    <w:tmpl w:val="8E666E7A"/>
    <w:lvl w:ilvl="0">
      <w:start w:val="1"/>
      <w:numFmt w:val="bullet"/>
      <w:lvlText w:val=""/>
      <w:lvlJc w:val="left"/>
      <w:pPr>
        <w:ind w:left="1080" w:hanging="360"/>
      </w:pPr>
      <w:rPr>
        <w:rFonts w:ascii="Symbol" w:hAnsi="Symbol" w:hint="default"/>
      </w:rPr>
    </w:lvl>
    <w:lvl w:ilvl="1">
      <w:start w:val="1"/>
      <w:numFmt w:val="lowerLetter"/>
      <w:lvlText w:val="%2."/>
      <w:lvlJc w:val="left"/>
      <w:pPr>
        <w:ind w:left="1800" w:hanging="360"/>
      </w:pPr>
      <w:rPr>
        <w:rFonts w:hint="default"/>
      </w:rPr>
    </w:lvl>
    <w:lvl w:ilvl="2">
      <w:start w:val="1"/>
      <w:numFmt w:val="bullet"/>
      <w:lvlText w:val=""/>
      <w:lvlJc w:val="left"/>
      <w:pPr>
        <w:ind w:left="2520" w:hanging="180"/>
      </w:pPr>
      <w:rPr>
        <w:rFonts w:ascii="Symbol" w:hAnsi="Symbol"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13" w15:restartNumberingAfterBreak="0">
    <w:nsid w:val="08A731F4"/>
    <w:multiLevelType w:val="multilevel"/>
    <w:tmpl w:val="A04E3E86"/>
    <w:lvl w:ilvl="0">
      <w:start w:val="1"/>
      <w:numFmt w:val="decimal"/>
      <w:pStyle w:val="Heading1"/>
      <w:lvlText w:val="%1."/>
      <w:lvlJc w:val="left"/>
      <w:pPr>
        <w:ind w:left="0" w:firstLine="0"/>
      </w:pPr>
      <w:rPr>
        <w:rFonts w:hint="default"/>
      </w:rPr>
    </w:lvl>
    <w:lvl w:ilvl="1">
      <w:start w:val="1"/>
      <w:numFmt w:val="decimal"/>
      <w:pStyle w:val="Heading2"/>
      <w:lvlText w:val="%1.%2"/>
      <w:lvlJc w:val="left"/>
      <w:pPr>
        <w:ind w:left="-4320" w:firstLine="0"/>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4320" w:firstLine="0"/>
      </w:pPr>
      <w:rPr>
        <w:rFonts w:hint="default"/>
      </w:rPr>
    </w:lvl>
    <w:lvl w:ilvl="3">
      <w:start w:val="1"/>
      <w:numFmt w:val="decimal"/>
      <w:pStyle w:val="Heading4"/>
      <w:lvlText w:val="%1.%2.%3.%4"/>
      <w:lvlJc w:val="left"/>
      <w:pPr>
        <w:ind w:left="-4320" w:firstLine="0"/>
      </w:pPr>
      <w:rPr>
        <w:rFonts w:hint="default"/>
      </w:rPr>
    </w:lvl>
    <w:lvl w:ilvl="4">
      <w:start w:val="1"/>
      <w:numFmt w:val="lowerLetter"/>
      <w:pStyle w:val="Heading5"/>
      <w:lvlText w:val="(%5)"/>
      <w:lvlJc w:val="left"/>
      <w:pPr>
        <w:ind w:left="1134" w:firstLine="0"/>
      </w:pPr>
      <w:rPr>
        <w:rFonts w:hint="default"/>
        <w:b w:val="0"/>
      </w:rPr>
    </w:lvl>
    <w:lvl w:ilvl="5">
      <w:start w:val="1"/>
      <w:numFmt w:val="lowerRoman"/>
      <w:pStyle w:val="Heading6"/>
      <w:lvlText w:val="(%6)"/>
      <w:lvlJc w:val="left"/>
      <w:pPr>
        <w:ind w:left="-4320" w:firstLine="0"/>
      </w:pPr>
      <w:rPr>
        <w:rFonts w:hint="default"/>
        <w:i w:val="0"/>
        <w:iCs w:val="0"/>
        <w:smallCaps w:val="0"/>
        <w:strike w:val="0"/>
        <w:dstrike w:val="0"/>
        <w:noProof w:val="0"/>
        <w:vanish w:val="0"/>
        <w:spacing w:val="0"/>
        <w:kern w:val="0"/>
        <w:position w:val="0"/>
        <w:vertAlign w:val="baseline"/>
        <w:em w:val="none"/>
      </w:rPr>
    </w:lvl>
    <w:lvl w:ilvl="6">
      <w:start w:val="1"/>
      <w:numFmt w:val="decimal"/>
      <w:pStyle w:val="Heading7"/>
      <w:lvlText w:val="%7."/>
      <w:lvlJc w:val="left"/>
      <w:pPr>
        <w:ind w:left="-4320" w:firstLine="0"/>
      </w:pPr>
      <w:rPr>
        <w:rFonts w:hint="default"/>
        <w:b w:val="0"/>
        <w:bCs w:val="0"/>
        <w:i w:val="0"/>
        <w:iCs w:val="0"/>
        <w:caps w:val="0"/>
        <w:smallCaps w:val="0"/>
        <w:strike w:val="0"/>
        <w:dstrike w:val="0"/>
        <w:noProof w:val="0"/>
        <w:vanish w:val="0"/>
        <w:spacing w:val="0"/>
        <w:kern w:val="0"/>
        <w:position w:val="0"/>
        <w:u w:val="none"/>
        <w:vertAlign w:val="baseline"/>
        <w:em w:val="none"/>
      </w:rPr>
    </w:lvl>
    <w:lvl w:ilvl="7">
      <w:start w:val="1"/>
      <w:numFmt w:val="lowerLetter"/>
      <w:pStyle w:val="Heading8"/>
      <w:lvlText w:val="%8."/>
      <w:lvlJc w:val="left"/>
      <w:pPr>
        <w:ind w:left="-4320" w:firstLine="0"/>
      </w:pPr>
      <w:rPr>
        <w:rFonts w:hint="default"/>
      </w:rPr>
    </w:lvl>
    <w:lvl w:ilvl="8">
      <w:start w:val="1"/>
      <w:numFmt w:val="lowerRoman"/>
      <w:pStyle w:val="Heading9"/>
      <w:lvlText w:val="%9."/>
      <w:lvlJc w:val="left"/>
      <w:pPr>
        <w:ind w:left="-4320" w:firstLine="0"/>
      </w:pPr>
      <w:rPr>
        <w:rFonts w:hint="default"/>
      </w:rPr>
    </w:lvl>
  </w:abstractNum>
  <w:abstractNum w:abstractNumId="14" w15:restartNumberingAfterBreak="0">
    <w:nsid w:val="08D16EB4"/>
    <w:multiLevelType w:val="hybridMultilevel"/>
    <w:tmpl w:val="8E6C3156"/>
    <w:lvl w:ilvl="0" w:tplc="42E84506">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5" w15:restartNumberingAfterBreak="0">
    <w:nsid w:val="099A064F"/>
    <w:multiLevelType w:val="hybridMultilevel"/>
    <w:tmpl w:val="7DCC5736"/>
    <w:lvl w:ilvl="0" w:tplc="71D0AAAA">
      <w:start w:val="1"/>
      <w:numFmt w:val="lowerLetter"/>
      <w:lvlText w:val="(%1)"/>
      <w:lvlJc w:val="left"/>
      <w:pPr>
        <w:ind w:left="1080" w:hanging="360"/>
      </w:pPr>
      <w:rPr>
        <w:rFonts w:hint="default"/>
        <w:color w:val="auto"/>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0B3C270B"/>
    <w:multiLevelType w:val="hybridMultilevel"/>
    <w:tmpl w:val="FBEE873A"/>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0F06790B"/>
    <w:multiLevelType w:val="hybridMultilevel"/>
    <w:tmpl w:val="C9FA178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0F3F1FD1"/>
    <w:multiLevelType w:val="hybridMultilevel"/>
    <w:tmpl w:val="9ED603D0"/>
    <w:lvl w:ilvl="0" w:tplc="A1105870">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9" w15:restartNumberingAfterBreak="0">
    <w:nsid w:val="143C031E"/>
    <w:multiLevelType w:val="multilevel"/>
    <w:tmpl w:val="65AAB37A"/>
    <w:lvl w:ilvl="0">
      <w:start w:val="1"/>
      <w:numFmt w:val="bullet"/>
      <w:lvlText w:val=""/>
      <w:lvlJc w:val="left"/>
      <w:pPr>
        <w:ind w:left="1080" w:hanging="360"/>
      </w:pPr>
      <w:rPr>
        <w:rFonts w:ascii="Symbol" w:hAnsi="Symbol" w:hint="default"/>
      </w:rPr>
    </w:lvl>
    <w:lvl w:ilvl="1">
      <w:start w:val="1"/>
      <w:numFmt w:val="lowerLetter"/>
      <w:lvlText w:val="%2."/>
      <w:lvlJc w:val="left"/>
      <w:pPr>
        <w:ind w:left="1800" w:hanging="360"/>
      </w:pPr>
      <w:rPr>
        <w:rFonts w:hint="default"/>
      </w:rPr>
    </w:lvl>
    <w:lvl w:ilvl="2">
      <w:start w:val="1"/>
      <w:numFmt w:val="bullet"/>
      <w:lvlText w:val=""/>
      <w:lvlJc w:val="left"/>
      <w:pPr>
        <w:ind w:left="2520" w:hanging="180"/>
      </w:pPr>
      <w:rPr>
        <w:rFonts w:ascii="Symbol" w:hAnsi="Symbol"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20" w15:restartNumberingAfterBreak="0">
    <w:nsid w:val="18BD31F4"/>
    <w:multiLevelType w:val="hybridMultilevel"/>
    <w:tmpl w:val="336877F4"/>
    <w:lvl w:ilvl="0" w:tplc="08090001">
      <w:start w:val="1"/>
      <w:numFmt w:val="bullet"/>
      <w:lvlText w:val=""/>
      <w:lvlJc w:val="left"/>
      <w:pPr>
        <w:ind w:left="1457" w:hanging="360"/>
      </w:pPr>
      <w:rPr>
        <w:rFonts w:ascii="Symbol" w:hAnsi="Symbol" w:hint="default"/>
      </w:rPr>
    </w:lvl>
    <w:lvl w:ilvl="1" w:tplc="08090003" w:tentative="1">
      <w:start w:val="1"/>
      <w:numFmt w:val="bullet"/>
      <w:lvlText w:val="o"/>
      <w:lvlJc w:val="left"/>
      <w:pPr>
        <w:ind w:left="2177" w:hanging="360"/>
      </w:pPr>
      <w:rPr>
        <w:rFonts w:ascii="Courier New" w:hAnsi="Courier New" w:cs="Courier New" w:hint="default"/>
      </w:rPr>
    </w:lvl>
    <w:lvl w:ilvl="2" w:tplc="08090005" w:tentative="1">
      <w:start w:val="1"/>
      <w:numFmt w:val="bullet"/>
      <w:lvlText w:val=""/>
      <w:lvlJc w:val="left"/>
      <w:pPr>
        <w:ind w:left="2897" w:hanging="360"/>
      </w:pPr>
      <w:rPr>
        <w:rFonts w:ascii="Wingdings" w:hAnsi="Wingdings" w:hint="default"/>
      </w:rPr>
    </w:lvl>
    <w:lvl w:ilvl="3" w:tplc="08090001" w:tentative="1">
      <w:start w:val="1"/>
      <w:numFmt w:val="bullet"/>
      <w:lvlText w:val=""/>
      <w:lvlJc w:val="left"/>
      <w:pPr>
        <w:ind w:left="3617" w:hanging="360"/>
      </w:pPr>
      <w:rPr>
        <w:rFonts w:ascii="Symbol" w:hAnsi="Symbol" w:hint="default"/>
      </w:rPr>
    </w:lvl>
    <w:lvl w:ilvl="4" w:tplc="08090003" w:tentative="1">
      <w:start w:val="1"/>
      <w:numFmt w:val="bullet"/>
      <w:lvlText w:val="o"/>
      <w:lvlJc w:val="left"/>
      <w:pPr>
        <w:ind w:left="4337" w:hanging="360"/>
      </w:pPr>
      <w:rPr>
        <w:rFonts w:ascii="Courier New" w:hAnsi="Courier New" w:cs="Courier New" w:hint="default"/>
      </w:rPr>
    </w:lvl>
    <w:lvl w:ilvl="5" w:tplc="08090005" w:tentative="1">
      <w:start w:val="1"/>
      <w:numFmt w:val="bullet"/>
      <w:lvlText w:val=""/>
      <w:lvlJc w:val="left"/>
      <w:pPr>
        <w:ind w:left="5057" w:hanging="360"/>
      </w:pPr>
      <w:rPr>
        <w:rFonts w:ascii="Wingdings" w:hAnsi="Wingdings" w:hint="default"/>
      </w:rPr>
    </w:lvl>
    <w:lvl w:ilvl="6" w:tplc="08090001" w:tentative="1">
      <w:start w:val="1"/>
      <w:numFmt w:val="bullet"/>
      <w:lvlText w:val=""/>
      <w:lvlJc w:val="left"/>
      <w:pPr>
        <w:ind w:left="5777" w:hanging="360"/>
      </w:pPr>
      <w:rPr>
        <w:rFonts w:ascii="Symbol" w:hAnsi="Symbol" w:hint="default"/>
      </w:rPr>
    </w:lvl>
    <w:lvl w:ilvl="7" w:tplc="08090003" w:tentative="1">
      <w:start w:val="1"/>
      <w:numFmt w:val="bullet"/>
      <w:lvlText w:val="o"/>
      <w:lvlJc w:val="left"/>
      <w:pPr>
        <w:ind w:left="6497" w:hanging="360"/>
      </w:pPr>
      <w:rPr>
        <w:rFonts w:ascii="Courier New" w:hAnsi="Courier New" w:cs="Courier New" w:hint="default"/>
      </w:rPr>
    </w:lvl>
    <w:lvl w:ilvl="8" w:tplc="08090005" w:tentative="1">
      <w:start w:val="1"/>
      <w:numFmt w:val="bullet"/>
      <w:lvlText w:val=""/>
      <w:lvlJc w:val="left"/>
      <w:pPr>
        <w:ind w:left="7217" w:hanging="360"/>
      </w:pPr>
      <w:rPr>
        <w:rFonts w:ascii="Wingdings" w:hAnsi="Wingdings" w:hint="default"/>
      </w:rPr>
    </w:lvl>
  </w:abstractNum>
  <w:abstractNum w:abstractNumId="21" w15:restartNumberingAfterBreak="0">
    <w:nsid w:val="18E3639F"/>
    <w:multiLevelType w:val="hybridMultilevel"/>
    <w:tmpl w:val="0AAA61FC"/>
    <w:lvl w:ilvl="0" w:tplc="08090001">
      <w:start w:val="1"/>
      <w:numFmt w:val="bullet"/>
      <w:lvlText w:val=""/>
      <w:lvlJc w:val="left"/>
      <w:pPr>
        <w:ind w:left="1457" w:hanging="360"/>
      </w:pPr>
      <w:rPr>
        <w:rFonts w:ascii="Symbol" w:hAnsi="Symbol" w:hint="default"/>
      </w:rPr>
    </w:lvl>
    <w:lvl w:ilvl="1" w:tplc="08090003" w:tentative="1">
      <w:start w:val="1"/>
      <w:numFmt w:val="bullet"/>
      <w:lvlText w:val="o"/>
      <w:lvlJc w:val="left"/>
      <w:pPr>
        <w:ind w:left="2177" w:hanging="360"/>
      </w:pPr>
      <w:rPr>
        <w:rFonts w:ascii="Courier New" w:hAnsi="Courier New" w:cs="Courier New" w:hint="default"/>
      </w:rPr>
    </w:lvl>
    <w:lvl w:ilvl="2" w:tplc="08090005" w:tentative="1">
      <w:start w:val="1"/>
      <w:numFmt w:val="bullet"/>
      <w:lvlText w:val=""/>
      <w:lvlJc w:val="left"/>
      <w:pPr>
        <w:ind w:left="2897" w:hanging="360"/>
      </w:pPr>
      <w:rPr>
        <w:rFonts w:ascii="Wingdings" w:hAnsi="Wingdings" w:hint="default"/>
      </w:rPr>
    </w:lvl>
    <w:lvl w:ilvl="3" w:tplc="08090001" w:tentative="1">
      <w:start w:val="1"/>
      <w:numFmt w:val="bullet"/>
      <w:lvlText w:val=""/>
      <w:lvlJc w:val="left"/>
      <w:pPr>
        <w:ind w:left="3617" w:hanging="360"/>
      </w:pPr>
      <w:rPr>
        <w:rFonts w:ascii="Symbol" w:hAnsi="Symbol" w:hint="default"/>
      </w:rPr>
    </w:lvl>
    <w:lvl w:ilvl="4" w:tplc="08090003" w:tentative="1">
      <w:start w:val="1"/>
      <w:numFmt w:val="bullet"/>
      <w:lvlText w:val="o"/>
      <w:lvlJc w:val="left"/>
      <w:pPr>
        <w:ind w:left="4337" w:hanging="360"/>
      </w:pPr>
      <w:rPr>
        <w:rFonts w:ascii="Courier New" w:hAnsi="Courier New" w:cs="Courier New" w:hint="default"/>
      </w:rPr>
    </w:lvl>
    <w:lvl w:ilvl="5" w:tplc="08090005" w:tentative="1">
      <w:start w:val="1"/>
      <w:numFmt w:val="bullet"/>
      <w:lvlText w:val=""/>
      <w:lvlJc w:val="left"/>
      <w:pPr>
        <w:ind w:left="5057" w:hanging="360"/>
      </w:pPr>
      <w:rPr>
        <w:rFonts w:ascii="Wingdings" w:hAnsi="Wingdings" w:hint="default"/>
      </w:rPr>
    </w:lvl>
    <w:lvl w:ilvl="6" w:tplc="08090001" w:tentative="1">
      <w:start w:val="1"/>
      <w:numFmt w:val="bullet"/>
      <w:lvlText w:val=""/>
      <w:lvlJc w:val="left"/>
      <w:pPr>
        <w:ind w:left="5777" w:hanging="360"/>
      </w:pPr>
      <w:rPr>
        <w:rFonts w:ascii="Symbol" w:hAnsi="Symbol" w:hint="default"/>
      </w:rPr>
    </w:lvl>
    <w:lvl w:ilvl="7" w:tplc="08090003" w:tentative="1">
      <w:start w:val="1"/>
      <w:numFmt w:val="bullet"/>
      <w:lvlText w:val="o"/>
      <w:lvlJc w:val="left"/>
      <w:pPr>
        <w:ind w:left="6497" w:hanging="360"/>
      </w:pPr>
      <w:rPr>
        <w:rFonts w:ascii="Courier New" w:hAnsi="Courier New" w:cs="Courier New" w:hint="default"/>
      </w:rPr>
    </w:lvl>
    <w:lvl w:ilvl="8" w:tplc="08090005" w:tentative="1">
      <w:start w:val="1"/>
      <w:numFmt w:val="bullet"/>
      <w:lvlText w:val=""/>
      <w:lvlJc w:val="left"/>
      <w:pPr>
        <w:ind w:left="7217" w:hanging="360"/>
      </w:pPr>
      <w:rPr>
        <w:rFonts w:ascii="Wingdings" w:hAnsi="Wingdings" w:hint="default"/>
      </w:rPr>
    </w:lvl>
  </w:abstractNum>
  <w:abstractNum w:abstractNumId="22" w15:restartNumberingAfterBreak="0">
    <w:nsid w:val="1BA128A3"/>
    <w:multiLevelType w:val="hybridMultilevel"/>
    <w:tmpl w:val="4754E9C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1C8B305F"/>
    <w:multiLevelType w:val="hybridMultilevel"/>
    <w:tmpl w:val="B426C87A"/>
    <w:lvl w:ilvl="0" w:tplc="E6804E10">
      <w:start w:val="1"/>
      <w:numFmt w:val="lowerLetter"/>
      <w:lvlText w:val="(%1)"/>
      <w:lvlJc w:val="right"/>
      <w:pPr>
        <w:ind w:left="144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4" w15:restartNumberingAfterBreak="0">
    <w:nsid w:val="1CE65B34"/>
    <w:multiLevelType w:val="hybridMultilevel"/>
    <w:tmpl w:val="20CA50C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1DB71F9B"/>
    <w:multiLevelType w:val="hybridMultilevel"/>
    <w:tmpl w:val="8AF69C68"/>
    <w:lvl w:ilvl="0" w:tplc="E6804E10">
      <w:start w:val="1"/>
      <w:numFmt w:val="lowerLetter"/>
      <w:lvlText w:val="(%1)"/>
      <w:lvlJc w:val="right"/>
      <w:pPr>
        <w:ind w:left="72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20D42221"/>
    <w:multiLevelType w:val="multilevel"/>
    <w:tmpl w:val="63ECB57C"/>
    <w:styleLink w:val="DCNormparalink2"/>
    <w:lvl w:ilvl="0">
      <w:start w:val="1"/>
      <w:numFmt w:val="decimal"/>
      <w:lvlText w:val="1.%1"/>
      <w:lvlJc w:val="left"/>
      <w:pPr>
        <w:ind w:left="360" w:hanging="360"/>
      </w:pPr>
      <w:rPr>
        <w:rFonts w:hint="default"/>
        <w:sz w:val="24"/>
      </w:rPr>
    </w:lvl>
    <w:lvl w:ilvl="1">
      <w:start w:val="1"/>
      <w:numFmt w:val="decimal"/>
      <w:lvlText w:val="%2.%1"/>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26704630"/>
    <w:multiLevelType w:val="hybridMultilevel"/>
    <w:tmpl w:val="A2984A7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26776F08"/>
    <w:multiLevelType w:val="multilevel"/>
    <w:tmpl w:val="71F05CEE"/>
    <w:styleLink w:val="DCParalinknumbers"/>
    <w:lvl w:ilvl="0">
      <w:start w:val="1"/>
      <w:numFmt w:val="decimal"/>
      <w:pStyle w:val="DCHeading4"/>
      <w:isLgl/>
      <w:lvlText w:val="%1."/>
      <w:lvlJc w:val="left"/>
      <w:pPr>
        <w:ind w:left="0" w:firstLine="0"/>
      </w:pPr>
      <w:rPr>
        <w:rFonts w:ascii="Times New Roman" w:hAnsi="Times New Roman" w:hint="default"/>
        <w:color w:val="auto"/>
        <w:sz w:val="24"/>
      </w:rPr>
    </w:lvl>
    <w:lvl w:ilvl="1">
      <w:start w:val="1"/>
      <w:numFmt w:val="decimal"/>
      <w:suff w:val="nothing"/>
      <w:lvlText w:val="%2.%1"/>
      <w:lvlJc w:val="left"/>
      <w:pPr>
        <w:ind w:left="567" w:hanging="567"/>
      </w:pPr>
      <w:rPr>
        <w:rFonts w:hint="default"/>
      </w:rPr>
    </w:lvl>
    <w:lvl w:ilvl="2">
      <w:start w:val="1"/>
      <w:numFmt w:val="decimal"/>
      <w:suff w:val="nothing"/>
      <w:lvlText w:val="%1.%2.%3"/>
      <w:lvlJc w:val="left"/>
      <w:pPr>
        <w:ind w:left="1134" w:hanging="1134"/>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29" w15:restartNumberingAfterBreak="0">
    <w:nsid w:val="284463F2"/>
    <w:multiLevelType w:val="hybridMultilevel"/>
    <w:tmpl w:val="0F70980C"/>
    <w:lvl w:ilvl="0" w:tplc="08090017">
      <w:start w:val="1"/>
      <w:numFmt w:val="lowerLetter"/>
      <w:lvlText w:val="%1)"/>
      <w:lvlJc w:val="left"/>
      <w:pPr>
        <w:ind w:left="1069" w:hanging="360"/>
      </w:p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0" w15:restartNumberingAfterBreak="0">
    <w:nsid w:val="29322565"/>
    <w:multiLevelType w:val="hybridMultilevel"/>
    <w:tmpl w:val="98E075E8"/>
    <w:lvl w:ilvl="0" w:tplc="A110587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2B3A1A87"/>
    <w:multiLevelType w:val="hybridMultilevel"/>
    <w:tmpl w:val="E6A85024"/>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2" w15:restartNumberingAfterBreak="0">
    <w:nsid w:val="2C24183A"/>
    <w:multiLevelType w:val="hybridMultilevel"/>
    <w:tmpl w:val="2592DDF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2E8A2B51"/>
    <w:multiLevelType w:val="hybridMultilevel"/>
    <w:tmpl w:val="F8E05FF4"/>
    <w:lvl w:ilvl="0" w:tplc="13B2D96E">
      <w:start w:val="1"/>
      <w:numFmt w:val="lowerRoman"/>
      <w:lvlText w:val="%1)"/>
      <w:lvlJc w:val="left"/>
      <w:pPr>
        <w:ind w:left="144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2EE53BAE"/>
    <w:multiLevelType w:val="multilevel"/>
    <w:tmpl w:val="8F227D00"/>
    <w:lvl w:ilvl="0">
      <w:start w:val="1"/>
      <w:numFmt w:val="lowerLetter"/>
      <w:pStyle w:val="DCUSATableTexta"/>
      <w:lvlText w:val="(%1)"/>
      <w:lvlJc w:val="left"/>
      <w:pPr>
        <w:ind w:left="357" w:hanging="357"/>
      </w:pPr>
      <w:rPr>
        <w:rFonts w:hint="default"/>
        <w:b w:val="0"/>
      </w:rPr>
    </w:lvl>
    <w:lvl w:ilvl="1">
      <w:start w:val="1"/>
      <w:numFmt w:val="bullet"/>
      <w:pStyle w:val="DCUSATableTextbulletpt"/>
      <w:lvlText w:val=""/>
      <w:lvlJc w:val="left"/>
      <w:pPr>
        <w:ind w:left="357" w:hanging="357"/>
      </w:pPr>
      <w:rPr>
        <w:rFonts w:ascii="Symbol" w:hAnsi="Symbol" w:hint="default"/>
      </w:rPr>
    </w:lvl>
    <w:lvl w:ilvl="2">
      <w:start w:val="1"/>
      <w:numFmt w:val="lowerRoman"/>
      <w:lvlText w:val="%3)"/>
      <w:lvlJc w:val="left"/>
      <w:pPr>
        <w:ind w:left="357" w:hanging="357"/>
      </w:pPr>
      <w:rPr>
        <w:rFonts w:hint="default"/>
      </w:rPr>
    </w:lvl>
    <w:lvl w:ilvl="3">
      <w:start w:val="1"/>
      <w:numFmt w:val="decimal"/>
      <w:lvlText w:val="(%4)"/>
      <w:lvlJc w:val="left"/>
      <w:pPr>
        <w:ind w:left="357" w:hanging="357"/>
      </w:pPr>
      <w:rPr>
        <w:rFonts w:hint="default"/>
      </w:rPr>
    </w:lvl>
    <w:lvl w:ilvl="4">
      <w:start w:val="1"/>
      <w:numFmt w:val="lowerLetter"/>
      <w:lvlText w:val="(%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35" w15:restartNumberingAfterBreak="0">
    <w:nsid w:val="2F50517D"/>
    <w:multiLevelType w:val="hybridMultilevel"/>
    <w:tmpl w:val="FA2E53C4"/>
    <w:lvl w:ilvl="0" w:tplc="E6804E10">
      <w:start w:val="1"/>
      <w:numFmt w:val="lowerLetter"/>
      <w:lvlText w:val="(%1)"/>
      <w:lvlJc w:val="right"/>
      <w:pPr>
        <w:ind w:left="72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2FDF49DE"/>
    <w:multiLevelType w:val="hybridMultilevel"/>
    <w:tmpl w:val="06E24D44"/>
    <w:lvl w:ilvl="0" w:tplc="A1105870">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7" w15:restartNumberingAfterBreak="0">
    <w:nsid w:val="300B548C"/>
    <w:multiLevelType w:val="hybridMultilevel"/>
    <w:tmpl w:val="699E29A8"/>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30C2485F"/>
    <w:multiLevelType w:val="hybridMultilevel"/>
    <w:tmpl w:val="47C4B78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9" w15:restartNumberingAfterBreak="0">
    <w:nsid w:val="31DB6828"/>
    <w:multiLevelType w:val="hybridMultilevel"/>
    <w:tmpl w:val="23B8D4C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32203C18"/>
    <w:multiLevelType w:val="hybridMultilevel"/>
    <w:tmpl w:val="2752F9E6"/>
    <w:lvl w:ilvl="0" w:tplc="E06657E4">
      <w:start w:val="1"/>
      <w:numFmt w:val="lowerLetter"/>
      <w:lvlText w:val="(%1)"/>
      <w:lvlJc w:val="left"/>
      <w:pPr>
        <w:ind w:left="108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1" w15:restartNumberingAfterBreak="0">
    <w:nsid w:val="33063CE1"/>
    <w:multiLevelType w:val="hybridMultilevel"/>
    <w:tmpl w:val="628AC6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334F1BA8"/>
    <w:multiLevelType w:val="hybridMultilevel"/>
    <w:tmpl w:val="662AD1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33C70C13"/>
    <w:multiLevelType w:val="hybridMultilevel"/>
    <w:tmpl w:val="D2E8BAD4"/>
    <w:lvl w:ilvl="0" w:tplc="A110587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35856E3E"/>
    <w:multiLevelType w:val="hybridMultilevel"/>
    <w:tmpl w:val="2848CD70"/>
    <w:lvl w:ilvl="0" w:tplc="0A6E6912">
      <w:start w:val="1"/>
      <w:numFmt w:val="decimal"/>
      <w:lvlText w:val="3.%1"/>
      <w:lvlJc w:val="left"/>
      <w:pPr>
        <w:ind w:left="720" w:hanging="360"/>
      </w:pPr>
      <w:rPr>
        <w:rFonts w:ascii="Times New Roman" w:hAnsi="Times New Roman" w:hint="default"/>
        <w:b w:val="0"/>
        <w:i w:val="0"/>
        <w:color w:val="auto"/>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360D4D61"/>
    <w:multiLevelType w:val="hybridMultilevel"/>
    <w:tmpl w:val="7346B22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3675720F"/>
    <w:multiLevelType w:val="hybridMultilevel"/>
    <w:tmpl w:val="E892C142"/>
    <w:lvl w:ilvl="0" w:tplc="E06657E4">
      <w:start w:val="1"/>
      <w:numFmt w:val="lowerLetter"/>
      <w:lvlText w:val="(%1)"/>
      <w:lvlJc w:val="left"/>
      <w:pPr>
        <w:ind w:left="108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7" w15:restartNumberingAfterBreak="0">
    <w:nsid w:val="3777213F"/>
    <w:multiLevelType w:val="multilevel"/>
    <w:tmpl w:val="04603300"/>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ascii="Times New Roman" w:hAnsi="Times New Roman" w:cs="Times New Roman" w:hint="default"/>
        <w:b w:val="0"/>
        <w:i w:val="0"/>
        <w:caps w:val="0"/>
        <w:strike w:val="0"/>
        <w:dstrike w:val="0"/>
        <w:vanish w:val="0"/>
        <w:color w:val="auto"/>
        <w:sz w:val="24"/>
        <w:u w:val="none"/>
        <w:vertAlign w:val="baseline"/>
      </w:rPr>
    </w:lvl>
    <w:lvl w:ilvl="2">
      <w:start w:val="1"/>
      <w:numFmt w:val="lowerLetter"/>
      <w:lvlText w:val="(%3)"/>
      <w:lvlJc w:val="left"/>
      <w:pPr>
        <w:tabs>
          <w:tab w:val="num" w:pos="1417"/>
        </w:tabs>
        <w:ind w:left="1417" w:hanging="708"/>
      </w:pPr>
      <w:rPr>
        <w:rFonts w:hint="default"/>
        <w:b w:val="0"/>
        <w:i w:val="0"/>
        <w:caps w:val="0"/>
        <w:strike w:val="0"/>
        <w:dstrike w:val="0"/>
        <w:vanish w:val="0"/>
        <w:color w:val="auto"/>
        <w:sz w:val="24"/>
        <w:u w:val="none"/>
        <w:vertAlign w:val="baseline"/>
      </w:rPr>
    </w:lvl>
    <w:lvl w:ilvl="3">
      <w:start w:val="1"/>
      <w:numFmt w:val="lowerRoman"/>
      <w:pStyle w:val="AgtLevel4"/>
      <w:lvlText w:val="(%4)"/>
      <w:lvlJc w:val="left"/>
      <w:pPr>
        <w:tabs>
          <w:tab w:val="num" w:pos="2126"/>
        </w:tabs>
        <w:ind w:left="2126" w:hanging="709"/>
      </w:pPr>
      <w:rPr>
        <w:rFonts w:hint="default"/>
      </w:rPr>
    </w:lvl>
    <w:lvl w:ilvl="4">
      <w:start w:val="1"/>
      <w:numFmt w:val="upperLetter"/>
      <w:lvlText w:val="(%5)"/>
      <w:lvlJc w:val="left"/>
      <w:pPr>
        <w:tabs>
          <w:tab w:val="num" w:pos="2835"/>
        </w:tabs>
        <w:ind w:left="2835" w:hanging="709"/>
      </w:pPr>
      <w:rPr>
        <w:rFonts w:hint="default"/>
      </w:rPr>
    </w:lvl>
    <w:lvl w:ilvl="5">
      <w:start w:val="1"/>
      <w:numFmt w:val="decimal"/>
      <w:lvlText w:val="%6)"/>
      <w:lvlJc w:val="left"/>
      <w:pPr>
        <w:tabs>
          <w:tab w:val="num" w:pos="3543"/>
        </w:tabs>
        <w:ind w:left="3543" w:hanging="708"/>
      </w:pPr>
      <w:rPr>
        <w:rFonts w:hint="default"/>
      </w:rPr>
    </w:lvl>
    <w:lvl w:ilvl="6">
      <w:start w:val="1"/>
      <w:numFmt w:val="lowerLetter"/>
      <w:lvlText w:val="%7)"/>
      <w:lvlJc w:val="left"/>
      <w:pPr>
        <w:tabs>
          <w:tab w:val="num" w:pos="4252"/>
        </w:tabs>
        <w:ind w:left="4252" w:hanging="709"/>
      </w:pPr>
      <w:rPr>
        <w:rFonts w:hint="default"/>
      </w:rPr>
    </w:lvl>
    <w:lvl w:ilvl="7">
      <w:start w:val="1"/>
      <w:numFmt w:val="lowerRoman"/>
      <w:lvlText w:val="%8)"/>
      <w:lvlJc w:val="left"/>
      <w:pPr>
        <w:tabs>
          <w:tab w:val="num" w:pos="4961"/>
        </w:tabs>
        <w:ind w:left="4961" w:hanging="709"/>
      </w:pPr>
      <w:rPr>
        <w:rFonts w:hint="default"/>
      </w:rPr>
    </w:lvl>
    <w:lvl w:ilvl="8">
      <w:start w:val="1"/>
      <w:numFmt w:val="upperLetter"/>
      <w:lvlText w:val="%9)"/>
      <w:lvlJc w:val="left"/>
      <w:pPr>
        <w:tabs>
          <w:tab w:val="num" w:pos="5669"/>
        </w:tabs>
        <w:ind w:left="5669" w:hanging="708"/>
      </w:pPr>
      <w:rPr>
        <w:rFonts w:hint="default"/>
      </w:rPr>
    </w:lvl>
  </w:abstractNum>
  <w:abstractNum w:abstractNumId="48" w15:restartNumberingAfterBreak="0">
    <w:nsid w:val="3CF07BBD"/>
    <w:multiLevelType w:val="hybridMultilevel"/>
    <w:tmpl w:val="BDAE55BC"/>
    <w:lvl w:ilvl="0" w:tplc="08090001">
      <w:start w:val="1"/>
      <w:numFmt w:val="bullet"/>
      <w:lvlText w:val=""/>
      <w:lvlJc w:val="left"/>
      <w:pPr>
        <w:ind w:left="2177" w:hanging="360"/>
      </w:pPr>
      <w:rPr>
        <w:rFonts w:ascii="Symbol" w:hAnsi="Symbol" w:hint="default"/>
      </w:rPr>
    </w:lvl>
    <w:lvl w:ilvl="1" w:tplc="08090003" w:tentative="1">
      <w:start w:val="1"/>
      <w:numFmt w:val="bullet"/>
      <w:lvlText w:val="o"/>
      <w:lvlJc w:val="left"/>
      <w:pPr>
        <w:ind w:left="2897" w:hanging="360"/>
      </w:pPr>
      <w:rPr>
        <w:rFonts w:ascii="Courier New" w:hAnsi="Courier New" w:cs="Courier New" w:hint="default"/>
      </w:rPr>
    </w:lvl>
    <w:lvl w:ilvl="2" w:tplc="08090005" w:tentative="1">
      <w:start w:val="1"/>
      <w:numFmt w:val="bullet"/>
      <w:lvlText w:val=""/>
      <w:lvlJc w:val="left"/>
      <w:pPr>
        <w:ind w:left="3617" w:hanging="360"/>
      </w:pPr>
      <w:rPr>
        <w:rFonts w:ascii="Wingdings" w:hAnsi="Wingdings" w:hint="default"/>
      </w:rPr>
    </w:lvl>
    <w:lvl w:ilvl="3" w:tplc="08090001" w:tentative="1">
      <w:start w:val="1"/>
      <w:numFmt w:val="bullet"/>
      <w:lvlText w:val=""/>
      <w:lvlJc w:val="left"/>
      <w:pPr>
        <w:ind w:left="4337" w:hanging="360"/>
      </w:pPr>
      <w:rPr>
        <w:rFonts w:ascii="Symbol" w:hAnsi="Symbol" w:hint="default"/>
      </w:rPr>
    </w:lvl>
    <w:lvl w:ilvl="4" w:tplc="08090003" w:tentative="1">
      <w:start w:val="1"/>
      <w:numFmt w:val="bullet"/>
      <w:lvlText w:val="o"/>
      <w:lvlJc w:val="left"/>
      <w:pPr>
        <w:ind w:left="5057" w:hanging="360"/>
      </w:pPr>
      <w:rPr>
        <w:rFonts w:ascii="Courier New" w:hAnsi="Courier New" w:cs="Courier New" w:hint="default"/>
      </w:rPr>
    </w:lvl>
    <w:lvl w:ilvl="5" w:tplc="08090005" w:tentative="1">
      <w:start w:val="1"/>
      <w:numFmt w:val="bullet"/>
      <w:lvlText w:val=""/>
      <w:lvlJc w:val="left"/>
      <w:pPr>
        <w:ind w:left="5777" w:hanging="360"/>
      </w:pPr>
      <w:rPr>
        <w:rFonts w:ascii="Wingdings" w:hAnsi="Wingdings" w:hint="default"/>
      </w:rPr>
    </w:lvl>
    <w:lvl w:ilvl="6" w:tplc="08090001" w:tentative="1">
      <w:start w:val="1"/>
      <w:numFmt w:val="bullet"/>
      <w:lvlText w:val=""/>
      <w:lvlJc w:val="left"/>
      <w:pPr>
        <w:ind w:left="6497" w:hanging="360"/>
      </w:pPr>
      <w:rPr>
        <w:rFonts w:ascii="Symbol" w:hAnsi="Symbol" w:hint="default"/>
      </w:rPr>
    </w:lvl>
    <w:lvl w:ilvl="7" w:tplc="08090003" w:tentative="1">
      <w:start w:val="1"/>
      <w:numFmt w:val="bullet"/>
      <w:lvlText w:val="o"/>
      <w:lvlJc w:val="left"/>
      <w:pPr>
        <w:ind w:left="7217" w:hanging="360"/>
      </w:pPr>
      <w:rPr>
        <w:rFonts w:ascii="Courier New" w:hAnsi="Courier New" w:cs="Courier New" w:hint="default"/>
      </w:rPr>
    </w:lvl>
    <w:lvl w:ilvl="8" w:tplc="08090005" w:tentative="1">
      <w:start w:val="1"/>
      <w:numFmt w:val="bullet"/>
      <w:lvlText w:val=""/>
      <w:lvlJc w:val="left"/>
      <w:pPr>
        <w:ind w:left="7937" w:hanging="360"/>
      </w:pPr>
      <w:rPr>
        <w:rFonts w:ascii="Wingdings" w:hAnsi="Wingdings" w:hint="default"/>
      </w:rPr>
    </w:lvl>
  </w:abstractNum>
  <w:abstractNum w:abstractNumId="49" w15:restartNumberingAfterBreak="0">
    <w:nsid w:val="41965B9D"/>
    <w:multiLevelType w:val="hybridMultilevel"/>
    <w:tmpl w:val="BA64FF00"/>
    <w:lvl w:ilvl="0" w:tplc="E06657E4">
      <w:start w:val="1"/>
      <w:numFmt w:val="lowerLetter"/>
      <w:lvlText w:val="(%1)"/>
      <w:lvlJc w:val="left"/>
      <w:pPr>
        <w:ind w:left="108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0" w15:restartNumberingAfterBreak="0">
    <w:nsid w:val="41F05A80"/>
    <w:multiLevelType w:val="multilevel"/>
    <w:tmpl w:val="863C3750"/>
    <w:lvl w:ilvl="0">
      <w:start w:val="1"/>
      <w:numFmt w:val="bullet"/>
      <w:pStyle w:val="DCNormParabulletptL2"/>
      <w:lvlText w:val=""/>
      <w:lvlJc w:val="left"/>
      <w:pPr>
        <w:ind w:left="1080" w:hanging="360"/>
      </w:pPr>
      <w:rPr>
        <w:rFonts w:ascii="Symbol" w:hAnsi="Symbol" w:hint="default"/>
      </w:rPr>
    </w:lvl>
    <w:lvl w:ilvl="1">
      <w:start w:val="1"/>
      <w:numFmt w:val="lowerLetter"/>
      <w:lvlText w:val="%2."/>
      <w:lvlJc w:val="left"/>
      <w:pPr>
        <w:ind w:left="1800" w:hanging="360"/>
      </w:pPr>
      <w:rPr>
        <w:rFonts w:hint="default"/>
      </w:rPr>
    </w:lvl>
    <w:lvl w:ilvl="2">
      <w:start w:val="1"/>
      <w:numFmt w:val="bullet"/>
      <w:pStyle w:val="DCNormParabulletptL3"/>
      <w:lvlText w:val=""/>
      <w:lvlJc w:val="left"/>
      <w:pPr>
        <w:ind w:left="2520" w:hanging="180"/>
      </w:pPr>
      <w:rPr>
        <w:rFonts w:ascii="Symbol" w:hAnsi="Symbol"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51" w15:restartNumberingAfterBreak="0">
    <w:nsid w:val="45B911AA"/>
    <w:multiLevelType w:val="hybridMultilevel"/>
    <w:tmpl w:val="A938749A"/>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45BE45B3"/>
    <w:multiLevelType w:val="hybridMultilevel"/>
    <w:tmpl w:val="522CEB50"/>
    <w:lvl w:ilvl="0" w:tplc="08090017">
      <w:start w:val="1"/>
      <w:numFmt w:val="lowerLetter"/>
      <w:lvlText w:val="%1)"/>
      <w:lvlJc w:val="left"/>
      <w:pPr>
        <w:ind w:left="1069" w:hanging="360"/>
      </w:p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53" w15:restartNumberingAfterBreak="0">
    <w:nsid w:val="4605724D"/>
    <w:multiLevelType w:val="multilevel"/>
    <w:tmpl w:val="8DD6F3A4"/>
    <w:styleLink w:val="DCTOCWholeNumbers"/>
    <w:lvl w:ilvl="0">
      <w:start w:val="1"/>
      <w:numFmt w:val="decimal"/>
      <w:pStyle w:val="DCTOCHeading2"/>
      <w:lvlText w:val="%1"/>
      <w:lvlJc w:val="left"/>
      <w:pPr>
        <w:ind w:left="0" w:firstLine="0"/>
      </w:pPr>
      <w:rPr>
        <w:rFonts w:ascii="Times New Roman" w:hAnsi="Times New Roman" w:hint="default"/>
        <w:sz w:val="24"/>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54" w15:restartNumberingAfterBreak="0">
    <w:nsid w:val="49AE5770"/>
    <w:multiLevelType w:val="multilevel"/>
    <w:tmpl w:val="1E7845D6"/>
    <w:lvl w:ilvl="0">
      <w:start w:val="1"/>
      <w:numFmt w:val="upperLetter"/>
      <w:pStyle w:val="DCAlphaCaps"/>
      <w:lvlText w:val="(%1)"/>
      <w:lvlJc w:val="left"/>
      <w:pPr>
        <w:ind w:left="1660" w:firstLine="0"/>
      </w:pPr>
      <w:rPr>
        <w:rFonts w:ascii="Times New Roman" w:hAnsi="Times New Roman" w:hint="default"/>
        <w:sz w:val="24"/>
      </w:rPr>
    </w:lvl>
    <w:lvl w:ilvl="1">
      <w:start w:val="1"/>
      <w:numFmt w:val="lowerLetter"/>
      <w:lvlText w:val="%2)"/>
      <w:lvlJc w:val="left"/>
      <w:pPr>
        <w:ind w:left="1660" w:firstLine="0"/>
      </w:pPr>
      <w:rPr>
        <w:rFonts w:hint="default"/>
      </w:rPr>
    </w:lvl>
    <w:lvl w:ilvl="2">
      <w:start w:val="1"/>
      <w:numFmt w:val="lowerRoman"/>
      <w:lvlText w:val="%3)"/>
      <w:lvlJc w:val="left"/>
      <w:pPr>
        <w:ind w:left="1660" w:firstLine="0"/>
      </w:pPr>
      <w:rPr>
        <w:rFonts w:hint="default"/>
      </w:rPr>
    </w:lvl>
    <w:lvl w:ilvl="3">
      <w:start w:val="1"/>
      <w:numFmt w:val="decimal"/>
      <w:pStyle w:val="Heading10"/>
      <w:lvlText w:val="(%4)"/>
      <w:lvlJc w:val="left"/>
      <w:pPr>
        <w:ind w:left="1660" w:firstLine="0"/>
      </w:pPr>
      <w:rPr>
        <w:rFonts w:hint="default"/>
      </w:rPr>
    </w:lvl>
    <w:lvl w:ilvl="4">
      <w:start w:val="1"/>
      <w:numFmt w:val="lowerLetter"/>
      <w:lvlText w:val="(%5)"/>
      <w:lvlJc w:val="left"/>
      <w:pPr>
        <w:ind w:left="1660" w:firstLine="0"/>
      </w:pPr>
      <w:rPr>
        <w:rFonts w:hint="default"/>
      </w:rPr>
    </w:lvl>
    <w:lvl w:ilvl="5">
      <w:start w:val="1"/>
      <w:numFmt w:val="lowerRoman"/>
      <w:lvlText w:val="(%6)"/>
      <w:lvlJc w:val="left"/>
      <w:pPr>
        <w:ind w:left="1660" w:firstLine="0"/>
      </w:pPr>
      <w:rPr>
        <w:rFonts w:hint="default"/>
      </w:rPr>
    </w:lvl>
    <w:lvl w:ilvl="6">
      <w:start w:val="1"/>
      <w:numFmt w:val="decimal"/>
      <w:lvlText w:val="%7."/>
      <w:lvlJc w:val="left"/>
      <w:pPr>
        <w:ind w:left="1660" w:firstLine="0"/>
      </w:pPr>
      <w:rPr>
        <w:rFonts w:hint="default"/>
      </w:rPr>
    </w:lvl>
    <w:lvl w:ilvl="7">
      <w:start w:val="1"/>
      <w:numFmt w:val="lowerLetter"/>
      <w:lvlText w:val="%8."/>
      <w:lvlJc w:val="left"/>
      <w:pPr>
        <w:ind w:left="1660" w:firstLine="0"/>
      </w:pPr>
      <w:rPr>
        <w:rFonts w:hint="default"/>
      </w:rPr>
    </w:lvl>
    <w:lvl w:ilvl="8">
      <w:start w:val="1"/>
      <w:numFmt w:val="lowerRoman"/>
      <w:lvlText w:val="%9."/>
      <w:lvlJc w:val="left"/>
      <w:pPr>
        <w:ind w:left="1660" w:firstLine="0"/>
      </w:pPr>
      <w:rPr>
        <w:rFonts w:hint="default"/>
      </w:rPr>
    </w:lvl>
  </w:abstractNum>
  <w:abstractNum w:abstractNumId="55" w15:restartNumberingAfterBreak="0">
    <w:nsid w:val="4B681A09"/>
    <w:multiLevelType w:val="hybridMultilevel"/>
    <w:tmpl w:val="13F2AC38"/>
    <w:lvl w:ilvl="0" w:tplc="08090001">
      <w:start w:val="1"/>
      <w:numFmt w:val="bullet"/>
      <w:lvlText w:val=""/>
      <w:lvlJc w:val="left"/>
      <w:pPr>
        <w:ind w:left="1457" w:hanging="360"/>
      </w:pPr>
      <w:rPr>
        <w:rFonts w:ascii="Symbol" w:hAnsi="Symbol" w:hint="default"/>
      </w:rPr>
    </w:lvl>
    <w:lvl w:ilvl="1" w:tplc="08090003" w:tentative="1">
      <w:start w:val="1"/>
      <w:numFmt w:val="bullet"/>
      <w:lvlText w:val="o"/>
      <w:lvlJc w:val="left"/>
      <w:pPr>
        <w:ind w:left="2177" w:hanging="360"/>
      </w:pPr>
      <w:rPr>
        <w:rFonts w:ascii="Courier New" w:hAnsi="Courier New" w:cs="Courier New" w:hint="default"/>
      </w:rPr>
    </w:lvl>
    <w:lvl w:ilvl="2" w:tplc="08090005" w:tentative="1">
      <w:start w:val="1"/>
      <w:numFmt w:val="bullet"/>
      <w:lvlText w:val=""/>
      <w:lvlJc w:val="left"/>
      <w:pPr>
        <w:ind w:left="2897" w:hanging="360"/>
      </w:pPr>
      <w:rPr>
        <w:rFonts w:ascii="Wingdings" w:hAnsi="Wingdings" w:hint="default"/>
      </w:rPr>
    </w:lvl>
    <w:lvl w:ilvl="3" w:tplc="08090001" w:tentative="1">
      <w:start w:val="1"/>
      <w:numFmt w:val="bullet"/>
      <w:lvlText w:val=""/>
      <w:lvlJc w:val="left"/>
      <w:pPr>
        <w:ind w:left="3617" w:hanging="360"/>
      </w:pPr>
      <w:rPr>
        <w:rFonts w:ascii="Symbol" w:hAnsi="Symbol" w:hint="default"/>
      </w:rPr>
    </w:lvl>
    <w:lvl w:ilvl="4" w:tplc="08090003" w:tentative="1">
      <w:start w:val="1"/>
      <w:numFmt w:val="bullet"/>
      <w:lvlText w:val="o"/>
      <w:lvlJc w:val="left"/>
      <w:pPr>
        <w:ind w:left="4337" w:hanging="360"/>
      </w:pPr>
      <w:rPr>
        <w:rFonts w:ascii="Courier New" w:hAnsi="Courier New" w:cs="Courier New" w:hint="default"/>
      </w:rPr>
    </w:lvl>
    <w:lvl w:ilvl="5" w:tplc="08090005" w:tentative="1">
      <w:start w:val="1"/>
      <w:numFmt w:val="bullet"/>
      <w:lvlText w:val=""/>
      <w:lvlJc w:val="left"/>
      <w:pPr>
        <w:ind w:left="5057" w:hanging="360"/>
      </w:pPr>
      <w:rPr>
        <w:rFonts w:ascii="Wingdings" w:hAnsi="Wingdings" w:hint="default"/>
      </w:rPr>
    </w:lvl>
    <w:lvl w:ilvl="6" w:tplc="08090001" w:tentative="1">
      <w:start w:val="1"/>
      <w:numFmt w:val="bullet"/>
      <w:lvlText w:val=""/>
      <w:lvlJc w:val="left"/>
      <w:pPr>
        <w:ind w:left="5777" w:hanging="360"/>
      </w:pPr>
      <w:rPr>
        <w:rFonts w:ascii="Symbol" w:hAnsi="Symbol" w:hint="default"/>
      </w:rPr>
    </w:lvl>
    <w:lvl w:ilvl="7" w:tplc="08090003" w:tentative="1">
      <w:start w:val="1"/>
      <w:numFmt w:val="bullet"/>
      <w:lvlText w:val="o"/>
      <w:lvlJc w:val="left"/>
      <w:pPr>
        <w:ind w:left="6497" w:hanging="360"/>
      </w:pPr>
      <w:rPr>
        <w:rFonts w:ascii="Courier New" w:hAnsi="Courier New" w:cs="Courier New" w:hint="default"/>
      </w:rPr>
    </w:lvl>
    <w:lvl w:ilvl="8" w:tplc="08090005" w:tentative="1">
      <w:start w:val="1"/>
      <w:numFmt w:val="bullet"/>
      <w:lvlText w:val=""/>
      <w:lvlJc w:val="left"/>
      <w:pPr>
        <w:ind w:left="7217" w:hanging="360"/>
      </w:pPr>
      <w:rPr>
        <w:rFonts w:ascii="Wingdings" w:hAnsi="Wingdings" w:hint="default"/>
      </w:rPr>
    </w:lvl>
  </w:abstractNum>
  <w:abstractNum w:abstractNumId="56" w15:restartNumberingAfterBreak="0">
    <w:nsid w:val="4CFF2971"/>
    <w:multiLevelType w:val="multilevel"/>
    <w:tmpl w:val="03368E40"/>
    <w:styleLink w:val="AlphaCaps"/>
    <w:lvl w:ilvl="0">
      <w:start w:val="1"/>
      <w:numFmt w:val="upperLetter"/>
      <w:lvlText w:val="(%1)"/>
      <w:lvlJc w:val="left"/>
      <w:pPr>
        <w:ind w:left="360" w:hanging="360"/>
      </w:pPr>
      <w:rPr>
        <w:rFonts w:ascii="Times New Roman" w:hAnsi="Times New Roman" w:hint="default"/>
        <w:sz w:val="24"/>
      </w:rPr>
    </w:lvl>
    <w:lvl w:ilvl="1">
      <w:start w:val="1"/>
      <w:numFmt w:val="lowerLetter"/>
      <w:pStyle w:val="StyleHeading2level2level2Left175cmHanging136cm"/>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15:restartNumberingAfterBreak="0">
    <w:nsid w:val="4DA27A7B"/>
    <w:multiLevelType w:val="hybridMultilevel"/>
    <w:tmpl w:val="28A82452"/>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15:restartNumberingAfterBreak="0">
    <w:nsid w:val="4DD40CD2"/>
    <w:multiLevelType w:val="hybridMultilevel"/>
    <w:tmpl w:val="13D8BB3C"/>
    <w:lvl w:ilvl="0" w:tplc="08090001">
      <w:start w:val="1"/>
      <w:numFmt w:val="bullet"/>
      <w:lvlText w:val=""/>
      <w:lvlJc w:val="left"/>
      <w:pPr>
        <w:ind w:left="2988" w:hanging="360"/>
      </w:pPr>
      <w:rPr>
        <w:rFonts w:ascii="Symbol" w:hAnsi="Symbol" w:hint="default"/>
      </w:rPr>
    </w:lvl>
    <w:lvl w:ilvl="1" w:tplc="08090003" w:tentative="1">
      <w:start w:val="1"/>
      <w:numFmt w:val="bullet"/>
      <w:lvlText w:val="o"/>
      <w:lvlJc w:val="left"/>
      <w:pPr>
        <w:ind w:left="3708" w:hanging="360"/>
      </w:pPr>
      <w:rPr>
        <w:rFonts w:ascii="Courier New" w:hAnsi="Courier New" w:cs="Courier New" w:hint="default"/>
      </w:rPr>
    </w:lvl>
    <w:lvl w:ilvl="2" w:tplc="08090005" w:tentative="1">
      <w:start w:val="1"/>
      <w:numFmt w:val="bullet"/>
      <w:lvlText w:val=""/>
      <w:lvlJc w:val="left"/>
      <w:pPr>
        <w:ind w:left="4428" w:hanging="360"/>
      </w:pPr>
      <w:rPr>
        <w:rFonts w:ascii="Wingdings" w:hAnsi="Wingdings" w:hint="default"/>
      </w:rPr>
    </w:lvl>
    <w:lvl w:ilvl="3" w:tplc="08090001" w:tentative="1">
      <w:start w:val="1"/>
      <w:numFmt w:val="bullet"/>
      <w:lvlText w:val=""/>
      <w:lvlJc w:val="left"/>
      <w:pPr>
        <w:ind w:left="5148" w:hanging="360"/>
      </w:pPr>
      <w:rPr>
        <w:rFonts w:ascii="Symbol" w:hAnsi="Symbol" w:hint="default"/>
      </w:rPr>
    </w:lvl>
    <w:lvl w:ilvl="4" w:tplc="08090003" w:tentative="1">
      <w:start w:val="1"/>
      <w:numFmt w:val="bullet"/>
      <w:lvlText w:val="o"/>
      <w:lvlJc w:val="left"/>
      <w:pPr>
        <w:ind w:left="5868" w:hanging="360"/>
      </w:pPr>
      <w:rPr>
        <w:rFonts w:ascii="Courier New" w:hAnsi="Courier New" w:cs="Courier New" w:hint="default"/>
      </w:rPr>
    </w:lvl>
    <w:lvl w:ilvl="5" w:tplc="08090005" w:tentative="1">
      <w:start w:val="1"/>
      <w:numFmt w:val="bullet"/>
      <w:lvlText w:val=""/>
      <w:lvlJc w:val="left"/>
      <w:pPr>
        <w:ind w:left="6588" w:hanging="360"/>
      </w:pPr>
      <w:rPr>
        <w:rFonts w:ascii="Wingdings" w:hAnsi="Wingdings" w:hint="default"/>
      </w:rPr>
    </w:lvl>
    <w:lvl w:ilvl="6" w:tplc="08090001" w:tentative="1">
      <w:start w:val="1"/>
      <w:numFmt w:val="bullet"/>
      <w:lvlText w:val=""/>
      <w:lvlJc w:val="left"/>
      <w:pPr>
        <w:ind w:left="7308" w:hanging="360"/>
      </w:pPr>
      <w:rPr>
        <w:rFonts w:ascii="Symbol" w:hAnsi="Symbol" w:hint="default"/>
      </w:rPr>
    </w:lvl>
    <w:lvl w:ilvl="7" w:tplc="08090003" w:tentative="1">
      <w:start w:val="1"/>
      <w:numFmt w:val="bullet"/>
      <w:lvlText w:val="o"/>
      <w:lvlJc w:val="left"/>
      <w:pPr>
        <w:ind w:left="8028" w:hanging="360"/>
      </w:pPr>
      <w:rPr>
        <w:rFonts w:ascii="Courier New" w:hAnsi="Courier New" w:cs="Courier New" w:hint="default"/>
      </w:rPr>
    </w:lvl>
    <w:lvl w:ilvl="8" w:tplc="08090005" w:tentative="1">
      <w:start w:val="1"/>
      <w:numFmt w:val="bullet"/>
      <w:lvlText w:val=""/>
      <w:lvlJc w:val="left"/>
      <w:pPr>
        <w:ind w:left="8748" w:hanging="360"/>
      </w:pPr>
      <w:rPr>
        <w:rFonts w:ascii="Wingdings" w:hAnsi="Wingdings" w:hint="default"/>
      </w:rPr>
    </w:lvl>
  </w:abstractNum>
  <w:abstractNum w:abstractNumId="59" w15:restartNumberingAfterBreak="0">
    <w:nsid w:val="4FAF232F"/>
    <w:multiLevelType w:val="multilevel"/>
    <w:tmpl w:val="AA1EB670"/>
    <w:lvl w:ilvl="0">
      <w:start w:val="1"/>
      <w:numFmt w:val="decimal"/>
      <w:pStyle w:val="DCSideHeadingnumbered"/>
      <w:lvlText w:val="%1"/>
      <w:lvlJc w:val="left"/>
      <w:pPr>
        <w:ind w:left="0" w:firstLine="0"/>
      </w:pPr>
      <w:rPr>
        <w:rFonts w:hint="default"/>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60" w15:restartNumberingAfterBreak="0">
    <w:nsid w:val="51FF576B"/>
    <w:multiLevelType w:val="multilevel"/>
    <w:tmpl w:val="03228182"/>
    <w:lvl w:ilvl="0">
      <w:start w:val="6"/>
      <w:numFmt w:val="decimal"/>
      <w:lvlText w:val="%1"/>
      <w:lvlJc w:val="left"/>
      <w:pPr>
        <w:ind w:left="737" w:hanging="737"/>
      </w:pPr>
      <w:rPr>
        <w:rFonts w:cs="Times New Roman" w:hint="default"/>
        <w:b/>
        <w:i w:val="0"/>
        <w:caps w:val="0"/>
        <w:strike w:val="0"/>
        <w:dstrike w:val="0"/>
        <w:vanish w:val="0"/>
        <w:color w:val="auto"/>
        <w:sz w:val="20"/>
        <w:vertAlign w:val="baseline"/>
      </w:rPr>
    </w:lvl>
    <w:lvl w:ilvl="1">
      <w:start w:val="1"/>
      <w:numFmt w:val="decimal"/>
      <w:lvlText w:val="%1.%2"/>
      <w:lvlJc w:val="left"/>
      <w:pPr>
        <w:ind w:left="737" w:hanging="737"/>
      </w:pPr>
      <w:rPr>
        <w:rFonts w:cs="Times New Roman" w:hint="default"/>
        <w:b w:val="0"/>
        <w:i w:val="0"/>
        <w:caps w:val="0"/>
        <w:strike w:val="0"/>
        <w:dstrike w:val="0"/>
        <w:vanish w:val="0"/>
        <w:sz w:val="24"/>
        <w:szCs w:val="24"/>
        <w:vertAlign w:val="baseline"/>
      </w:rPr>
    </w:lvl>
    <w:lvl w:ilvl="2">
      <w:start w:val="1"/>
      <w:numFmt w:val="lowerLetter"/>
      <w:lvlText w:val="(%3)"/>
      <w:lvlJc w:val="left"/>
      <w:pPr>
        <w:ind w:left="1440" w:hanging="720"/>
      </w:pPr>
      <w:rPr>
        <w:rFonts w:cs="Times New Roman" w:hint="default"/>
        <w:b w:val="0"/>
      </w:rPr>
    </w:lvl>
    <w:lvl w:ilvl="3">
      <w:start w:val="1"/>
      <w:numFmt w:val="lowerRoman"/>
      <w:lvlText w:val="(%4)"/>
      <w:lvlJc w:val="left"/>
      <w:pPr>
        <w:ind w:left="2160" w:hanging="720"/>
      </w:pPr>
      <w:rPr>
        <w:rFonts w:cs="Times New Roman" w:hint="default"/>
        <w:b w:val="0"/>
      </w:rPr>
    </w:lvl>
    <w:lvl w:ilvl="4">
      <w:start w:val="1"/>
      <w:numFmt w:val="upperLetter"/>
      <w:lvlText w:val="(%5)"/>
      <w:lvlJc w:val="left"/>
      <w:pPr>
        <w:ind w:left="2880" w:hanging="720"/>
      </w:pPr>
      <w:rPr>
        <w:rFonts w:cs="Times New Roman" w:hint="default"/>
      </w:rPr>
    </w:lvl>
    <w:lvl w:ilvl="5">
      <w:start w:val="1"/>
      <w:numFmt w:val="upperRoman"/>
      <w:lvlText w:val="(%6)"/>
      <w:lvlJc w:val="left"/>
      <w:pPr>
        <w:ind w:left="3600" w:hanging="72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61" w15:restartNumberingAfterBreak="0">
    <w:nsid w:val="53D133ED"/>
    <w:multiLevelType w:val="hybridMultilevel"/>
    <w:tmpl w:val="B6A8BED8"/>
    <w:lvl w:ilvl="0" w:tplc="A110587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573B39FF"/>
    <w:multiLevelType w:val="multilevel"/>
    <w:tmpl w:val="EA9A9BF2"/>
    <w:styleLink w:val="Style2"/>
    <w:lvl w:ilvl="0">
      <w:start w:val="1"/>
      <w:numFmt w:val="decimal"/>
      <w:lvlText w:val="%1."/>
      <w:lvlJc w:val="center"/>
      <w:pPr>
        <w:ind w:left="0" w:firstLine="289"/>
      </w:pPr>
      <w:rPr>
        <w:rFonts w:ascii="Times New Roman" w:hAnsi="Times New Roman" w:hint="default"/>
        <w:sz w:val="24"/>
      </w:rPr>
    </w:lvl>
    <w:lvl w:ilvl="1">
      <w:start w:val="1"/>
      <w:numFmt w:val="decimal"/>
      <w:lvlText w:val="%2.%1"/>
      <w:lvlJc w:val="left"/>
      <w:pPr>
        <w:ind w:left="567" w:hanging="567"/>
      </w:pPr>
      <w:rPr>
        <w:rFonts w:hint="default"/>
      </w:rPr>
    </w:lvl>
    <w:lvl w:ilvl="2">
      <w:start w:val="1"/>
      <w:numFmt w:val="decimal"/>
      <w:lvlText w:val="%1.%2.%3"/>
      <w:lvlJc w:val="right"/>
      <w:pPr>
        <w:ind w:left="1134" w:hanging="1134"/>
      </w:pPr>
      <w:rPr>
        <w:rFonts w:hint="default"/>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righ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right"/>
      <w:pPr>
        <w:ind w:left="567" w:hanging="567"/>
      </w:pPr>
      <w:rPr>
        <w:rFonts w:hint="default"/>
      </w:rPr>
    </w:lvl>
  </w:abstractNum>
  <w:abstractNum w:abstractNumId="63" w15:restartNumberingAfterBreak="0">
    <w:nsid w:val="57A22856"/>
    <w:multiLevelType w:val="hybridMultilevel"/>
    <w:tmpl w:val="38440E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4" w15:restartNumberingAfterBreak="0">
    <w:nsid w:val="5A0F284E"/>
    <w:multiLevelType w:val="hybridMultilevel"/>
    <w:tmpl w:val="FA1CA21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5" w15:restartNumberingAfterBreak="0">
    <w:nsid w:val="5B1501B5"/>
    <w:multiLevelType w:val="hybridMultilevel"/>
    <w:tmpl w:val="6F6C204E"/>
    <w:lvl w:ilvl="0" w:tplc="08090001">
      <w:start w:val="1"/>
      <w:numFmt w:val="bullet"/>
      <w:lvlText w:val=""/>
      <w:lvlJc w:val="left"/>
      <w:pPr>
        <w:ind w:left="1429" w:hanging="360"/>
      </w:pPr>
      <w:rPr>
        <w:rFonts w:ascii="Symbol" w:hAnsi="Symbol" w:hint="default"/>
      </w:rPr>
    </w:lvl>
    <w:lvl w:ilvl="1" w:tplc="08090003">
      <w:start w:val="1"/>
      <w:numFmt w:val="bullet"/>
      <w:lvlText w:val="o"/>
      <w:lvlJc w:val="left"/>
      <w:pPr>
        <w:ind w:left="2149" w:hanging="360"/>
      </w:pPr>
      <w:rPr>
        <w:rFonts w:ascii="Courier New" w:hAnsi="Courier New" w:cs="Courier New" w:hint="default"/>
      </w:rPr>
    </w:lvl>
    <w:lvl w:ilvl="2" w:tplc="08090005">
      <w:start w:val="1"/>
      <w:numFmt w:val="bullet"/>
      <w:lvlText w:val=""/>
      <w:lvlJc w:val="left"/>
      <w:pPr>
        <w:ind w:left="2869" w:hanging="360"/>
      </w:pPr>
      <w:rPr>
        <w:rFonts w:ascii="Wingdings" w:hAnsi="Wingdings" w:hint="default"/>
      </w:rPr>
    </w:lvl>
    <w:lvl w:ilvl="3" w:tplc="08090001">
      <w:start w:val="1"/>
      <w:numFmt w:val="bullet"/>
      <w:lvlText w:val=""/>
      <w:lvlJc w:val="left"/>
      <w:pPr>
        <w:ind w:left="3589" w:hanging="360"/>
      </w:pPr>
      <w:rPr>
        <w:rFonts w:ascii="Symbol" w:hAnsi="Symbol" w:hint="default"/>
      </w:rPr>
    </w:lvl>
    <w:lvl w:ilvl="4" w:tplc="08090003">
      <w:start w:val="1"/>
      <w:numFmt w:val="bullet"/>
      <w:lvlText w:val="o"/>
      <w:lvlJc w:val="left"/>
      <w:pPr>
        <w:ind w:left="4309" w:hanging="360"/>
      </w:pPr>
      <w:rPr>
        <w:rFonts w:ascii="Courier New" w:hAnsi="Courier New" w:cs="Courier New" w:hint="default"/>
      </w:rPr>
    </w:lvl>
    <w:lvl w:ilvl="5" w:tplc="08090005">
      <w:start w:val="1"/>
      <w:numFmt w:val="bullet"/>
      <w:lvlText w:val=""/>
      <w:lvlJc w:val="left"/>
      <w:pPr>
        <w:ind w:left="5029" w:hanging="360"/>
      </w:pPr>
      <w:rPr>
        <w:rFonts w:ascii="Wingdings" w:hAnsi="Wingdings" w:hint="default"/>
      </w:rPr>
    </w:lvl>
    <w:lvl w:ilvl="6" w:tplc="08090001">
      <w:start w:val="1"/>
      <w:numFmt w:val="bullet"/>
      <w:lvlText w:val=""/>
      <w:lvlJc w:val="left"/>
      <w:pPr>
        <w:ind w:left="5749" w:hanging="360"/>
      </w:pPr>
      <w:rPr>
        <w:rFonts w:ascii="Symbol" w:hAnsi="Symbol" w:hint="default"/>
      </w:rPr>
    </w:lvl>
    <w:lvl w:ilvl="7" w:tplc="08090003">
      <w:start w:val="1"/>
      <w:numFmt w:val="bullet"/>
      <w:lvlText w:val="o"/>
      <w:lvlJc w:val="left"/>
      <w:pPr>
        <w:ind w:left="6469" w:hanging="360"/>
      </w:pPr>
      <w:rPr>
        <w:rFonts w:ascii="Courier New" w:hAnsi="Courier New" w:cs="Courier New" w:hint="default"/>
      </w:rPr>
    </w:lvl>
    <w:lvl w:ilvl="8" w:tplc="08090005">
      <w:start w:val="1"/>
      <w:numFmt w:val="bullet"/>
      <w:lvlText w:val=""/>
      <w:lvlJc w:val="left"/>
      <w:pPr>
        <w:ind w:left="7189" w:hanging="360"/>
      </w:pPr>
      <w:rPr>
        <w:rFonts w:ascii="Wingdings" w:hAnsi="Wingdings" w:hint="default"/>
      </w:rPr>
    </w:lvl>
  </w:abstractNum>
  <w:abstractNum w:abstractNumId="66" w15:restartNumberingAfterBreak="0">
    <w:nsid w:val="5B5F0214"/>
    <w:multiLevelType w:val="hybridMultilevel"/>
    <w:tmpl w:val="C5341330"/>
    <w:lvl w:ilvl="0" w:tplc="08090001">
      <w:start w:val="1"/>
      <w:numFmt w:val="bullet"/>
      <w:lvlText w:val=""/>
      <w:lvlJc w:val="left"/>
      <w:pPr>
        <w:ind w:left="1457" w:hanging="360"/>
      </w:pPr>
      <w:rPr>
        <w:rFonts w:ascii="Symbol" w:hAnsi="Symbol" w:hint="default"/>
      </w:rPr>
    </w:lvl>
    <w:lvl w:ilvl="1" w:tplc="08090003" w:tentative="1">
      <w:start w:val="1"/>
      <w:numFmt w:val="bullet"/>
      <w:lvlText w:val="o"/>
      <w:lvlJc w:val="left"/>
      <w:pPr>
        <w:ind w:left="2177" w:hanging="360"/>
      </w:pPr>
      <w:rPr>
        <w:rFonts w:ascii="Courier New" w:hAnsi="Courier New" w:cs="Courier New" w:hint="default"/>
      </w:rPr>
    </w:lvl>
    <w:lvl w:ilvl="2" w:tplc="08090005" w:tentative="1">
      <w:start w:val="1"/>
      <w:numFmt w:val="bullet"/>
      <w:lvlText w:val=""/>
      <w:lvlJc w:val="left"/>
      <w:pPr>
        <w:ind w:left="2897" w:hanging="360"/>
      </w:pPr>
      <w:rPr>
        <w:rFonts w:ascii="Wingdings" w:hAnsi="Wingdings" w:hint="default"/>
      </w:rPr>
    </w:lvl>
    <w:lvl w:ilvl="3" w:tplc="08090001" w:tentative="1">
      <w:start w:val="1"/>
      <w:numFmt w:val="bullet"/>
      <w:lvlText w:val=""/>
      <w:lvlJc w:val="left"/>
      <w:pPr>
        <w:ind w:left="3617" w:hanging="360"/>
      </w:pPr>
      <w:rPr>
        <w:rFonts w:ascii="Symbol" w:hAnsi="Symbol" w:hint="default"/>
      </w:rPr>
    </w:lvl>
    <w:lvl w:ilvl="4" w:tplc="08090003" w:tentative="1">
      <w:start w:val="1"/>
      <w:numFmt w:val="bullet"/>
      <w:lvlText w:val="o"/>
      <w:lvlJc w:val="left"/>
      <w:pPr>
        <w:ind w:left="4337" w:hanging="360"/>
      </w:pPr>
      <w:rPr>
        <w:rFonts w:ascii="Courier New" w:hAnsi="Courier New" w:cs="Courier New" w:hint="default"/>
      </w:rPr>
    </w:lvl>
    <w:lvl w:ilvl="5" w:tplc="08090005" w:tentative="1">
      <w:start w:val="1"/>
      <w:numFmt w:val="bullet"/>
      <w:lvlText w:val=""/>
      <w:lvlJc w:val="left"/>
      <w:pPr>
        <w:ind w:left="5057" w:hanging="360"/>
      </w:pPr>
      <w:rPr>
        <w:rFonts w:ascii="Wingdings" w:hAnsi="Wingdings" w:hint="default"/>
      </w:rPr>
    </w:lvl>
    <w:lvl w:ilvl="6" w:tplc="08090001" w:tentative="1">
      <w:start w:val="1"/>
      <w:numFmt w:val="bullet"/>
      <w:lvlText w:val=""/>
      <w:lvlJc w:val="left"/>
      <w:pPr>
        <w:ind w:left="5777" w:hanging="360"/>
      </w:pPr>
      <w:rPr>
        <w:rFonts w:ascii="Symbol" w:hAnsi="Symbol" w:hint="default"/>
      </w:rPr>
    </w:lvl>
    <w:lvl w:ilvl="7" w:tplc="08090003" w:tentative="1">
      <w:start w:val="1"/>
      <w:numFmt w:val="bullet"/>
      <w:lvlText w:val="o"/>
      <w:lvlJc w:val="left"/>
      <w:pPr>
        <w:ind w:left="6497" w:hanging="360"/>
      </w:pPr>
      <w:rPr>
        <w:rFonts w:ascii="Courier New" w:hAnsi="Courier New" w:cs="Courier New" w:hint="default"/>
      </w:rPr>
    </w:lvl>
    <w:lvl w:ilvl="8" w:tplc="08090005" w:tentative="1">
      <w:start w:val="1"/>
      <w:numFmt w:val="bullet"/>
      <w:lvlText w:val=""/>
      <w:lvlJc w:val="left"/>
      <w:pPr>
        <w:ind w:left="7217" w:hanging="360"/>
      </w:pPr>
      <w:rPr>
        <w:rFonts w:ascii="Wingdings" w:hAnsi="Wingdings" w:hint="default"/>
      </w:rPr>
    </w:lvl>
  </w:abstractNum>
  <w:abstractNum w:abstractNumId="67" w15:restartNumberingAfterBreak="0">
    <w:nsid w:val="5C3514D5"/>
    <w:multiLevelType w:val="hybridMultilevel"/>
    <w:tmpl w:val="ED3474A4"/>
    <w:lvl w:ilvl="0" w:tplc="08090001">
      <w:start w:val="1"/>
      <w:numFmt w:val="bullet"/>
      <w:lvlText w:val=""/>
      <w:lvlJc w:val="left"/>
      <w:pPr>
        <w:ind w:left="1457" w:hanging="360"/>
      </w:pPr>
      <w:rPr>
        <w:rFonts w:ascii="Symbol" w:hAnsi="Symbol" w:hint="default"/>
      </w:rPr>
    </w:lvl>
    <w:lvl w:ilvl="1" w:tplc="08090003" w:tentative="1">
      <w:start w:val="1"/>
      <w:numFmt w:val="bullet"/>
      <w:lvlText w:val="o"/>
      <w:lvlJc w:val="left"/>
      <w:pPr>
        <w:ind w:left="2177" w:hanging="360"/>
      </w:pPr>
      <w:rPr>
        <w:rFonts w:ascii="Courier New" w:hAnsi="Courier New" w:cs="Courier New" w:hint="default"/>
      </w:rPr>
    </w:lvl>
    <w:lvl w:ilvl="2" w:tplc="08090005" w:tentative="1">
      <w:start w:val="1"/>
      <w:numFmt w:val="bullet"/>
      <w:lvlText w:val=""/>
      <w:lvlJc w:val="left"/>
      <w:pPr>
        <w:ind w:left="2897" w:hanging="360"/>
      </w:pPr>
      <w:rPr>
        <w:rFonts w:ascii="Wingdings" w:hAnsi="Wingdings" w:hint="default"/>
      </w:rPr>
    </w:lvl>
    <w:lvl w:ilvl="3" w:tplc="08090001" w:tentative="1">
      <w:start w:val="1"/>
      <w:numFmt w:val="bullet"/>
      <w:lvlText w:val=""/>
      <w:lvlJc w:val="left"/>
      <w:pPr>
        <w:ind w:left="3617" w:hanging="360"/>
      </w:pPr>
      <w:rPr>
        <w:rFonts w:ascii="Symbol" w:hAnsi="Symbol" w:hint="default"/>
      </w:rPr>
    </w:lvl>
    <w:lvl w:ilvl="4" w:tplc="08090003" w:tentative="1">
      <w:start w:val="1"/>
      <w:numFmt w:val="bullet"/>
      <w:lvlText w:val="o"/>
      <w:lvlJc w:val="left"/>
      <w:pPr>
        <w:ind w:left="4337" w:hanging="360"/>
      </w:pPr>
      <w:rPr>
        <w:rFonts w:ascii="Courier New" w:hAnsi="Courier New" w:cs="Courier New" w:hint="default"/>
      </w:rPr>
    </w:lvl>
    <w:lvl w:ilvl="5" w:tplc="08090005" w:tentative="1">
      <w:start w:val="1"/>
      <w:numFmt w:val="bullet"/>
      <w:lvlText w:val=""/>
      <w:lvlJc w:val="left"/>
      <w:pPr>
        <w:ind w:left="5057" w:hanging="360"/>
      </w:pPr>
      <w:rPr>
        <w:rFonts w:ascii="Wingdings" w:hAnsi="Wingdings" w:hint="default"/>
      </w:rPr>
    </w:lvl>
    <w:lvl w:ilvl="6" w:tplc="08090001" w:tentative="1">
      <w:start w:val="1"/>
      <w:numFmt w:val="bullet"/>
      <w:lvlText w:val=""/>
      <w:lvlJc w:val="left"/>
      <w:pPr>
        <w:ind w:left="5777" w:hanging="360"/>
      </w:pPr>
      <w:rPr>
        <w:rFonts w:ascii="Symbol" w:hAnsi="Symbol" w:hint="default"/>
      </w:rPr>
    </w:lvl>
    <w:lvl w:ilvl="7" w:tplc="08090003" w:tentative="1">
      <w:start w:val="1"/>
      <w:numFmt w:val="bullet"/>
      <w:lvlText w:val="o"/>
      <w:lvlJc w:val="left"/>
      <w:pPr>
        <w:ind w:left="6497" w:hanging="360"/>
      </w:pPr>
      <w:rPr>
        <w:rFonts w:ascii="Courier New" w:hAnsi="Courier New" w:cs="Courier New" w:hint="default"/>
      </w:rPr>
    </w:lvl>
    <w:lvl w:ilvl="8" w:tplc="08090005" w:tentative="1">
      <w:start w:val="1"/>
      <w:numFmt w:val="bullet"/>
      <w:lvlText w:val=""/>
      <w:lvlJc w:val="left"/>
      <w:pPr>
        <w:ind w:left="7217" w:hanging="360"/>
      </w:pPr>
      <w:rPr>
        <w:rFonts w:ascii="Wingdings" w:hAnsi="Wingdings" w:hint="default"/>
      </w:rPr>
    </w:lvl>
  </w:abstractNum>
  <w:abstractNum w:abstractNumId="68" w15:restartNumberingAfterBreak="0">
    <w:nsid w:val="5CCF335E"/>
    <w:multiLevelType w:val="hybridMultilevel"/>
    <w:tmpl w:val="C99AD474"/>
    <w:lvl w:ilvl="0" w:tplc="08090001">
      <w:start w:val="1"/>
      <w:numFmt w:val="bullet"/>
      <w:lvlText w:val=""/>
      <w:lvlJc w:val="left"/>
      <w:pPr>
        <w:ind w:left="1457" w:hanging="360"/>
      </w:pPr>
      <w:rPr>
        <w:rFonts w:ascii="Symbol" w:hAnsi="Symbol" w:hint="default"/>
      </w:rPr>
    </w:lvl>
    <w:lvl w:ilvl="1" w:tplc="08090003" w:tentative="1">
      <w:start w:val="1"/>
      <w:numFmt w:val="bullet"/>
      <w:lvlText w:val="o"/>
      <w:lvlJc w:val="left"/>
      <w:pPr>
        <w:ind w:left="2177" w:hanging="360"/>
      </w:pPr>
      <w:rPr>
        <w:rFonts w:ascii="Courier New" w:hAnsi="Courier New" w:cs="Courier New" w:hint="default"/>
      </w:rPr>
    </w:lvl>
    <w:lvl w:ilvl="2" w:tplc="08090005" w:tentative="1">
      <w:start w:val="1"/>
      <w:numFmt w:val="bullet"/>
      <w:lvlText w:val=""/>
      <w:lvlJc w:val="left"/>
      <w:pPr>
        <w:ind w:left="2897" w:hanging="360"/>
      </w:pPr>
      <w:rPr>
        <w:rFonts w:ascii="Wingdings" w:hAnsi="Wingdings" w:hint="default"/>
      </w:rPr>
    </w:lvl>
    <w:lvl w:ilvl="3" w:tplc="08090001" w:tentative="1">
      <w:start w:val="1"/>
      <w:numFmt w:val="bullet"/>
      <w:lvlText w:val=""/>
      <w:lvlJc w:val="left"/>
      <w:pPr>
        <w:ind w:left="3617" w:hanging="360"/>
      </w:pPr>
      <w:rPr>
        <w:rFonts w:ascii="Symbol" w:hAnsi="Symbol" w:hint="default"/>
      </w:rPr>
    </w:lvl>
    <w:lvl w:ilvl="4" w:tplc="08090003" w:tentative="1">
      <w:start w:val="1"/>
      <w:numFmt w:val="bullet"/>
      <w:lvlText w:val="o"/>
      <w:lvlJc w:val="left"/>
      <w:pPr>
        <w:ind w:left="4337" w:hanging="360"/>
      </w:pPr>
      <w:rPr>
        <w:rFonts w:ascii="Courier New" w:hAnsi="Courier New" w:cs="Courier New" w:hint="default"/>
      </w:rPr>
    </w:lvl>
    <w:lvl w:ilvl="5" w:tplc="08090005" w:tentative="1">
      <w:start w:val="1"/>
      <w:numFmt w:val="bullet"/>
      <w:lvlText w:val=""/>
      <w:lvlJc w:val="left"/>
      <w:pPr>
        <w:ind w:left="5057" w:hanging="360"/>
      </w:pPr>
      <w:rPr>
        <w:rFonts w:ascii="Wingdings" w:hAnsi="Wingdings" w:hint="default"/>
      </w:rPr>
    </w:lvl>
    <w:lvl w:ilvl="6" w:tplc="08090001" w:tentative="1">
      <w:start w:val="1"/>
      <w:numFmt w:val="bullet"/>
      <w:lvlText w:val=""/>
      <w:lvlJc w:val="left"/>
      <w:pPr>
        <w:ind w:left="5777" w:hanging="360"/>
      </w:pPr>
      <w:rPr>
        <w:rFonts w:ascii="Symbol" w:hAnsi="Symbol" w:hint="default"/>
      </w:rPr>
    </w:lvl>
    <w:lvl w:ilvl="7" w:tplc="08090003" w:tentative="1">
      <w:start w:val="1"/>
      <w:numFmt w:val="bullet"/>
      <w:lvlText w:val="o"/>
      <w:lvlJc w:val="left"/>
      <w:pPr>
        <w:ind w:left="6497" w:hanging="360"/>
      </w:pPr>
      <w:rPr>
        <w:rFonts w:ascii="Courier New" w:hAnsi="Courier New" w:cs="Courier New" w:hint="default"/>
      </w:rPr>
    </w:lvl>
    <w:lvl w:ilvl="8" w:tplc="08090005" w:tentative="1">
      <w:start w:val="1"/>
      <w:numFmt w:val="bullet"/>
      <w:lvlText w:val=""/>
      <w:lvlJc w:val="left"/>
      <w:pPr>
        <w:ind w:left="7217" w:hanging="360"/>
      </w:pPr>
      <w:rPr>
        <w:rFonts w:ascii="Wingdings" w:hAnsi="Wingdings" w:hint="default"/>
      </w:rPr>
    </w:lvl>
  </w:abstractNum>
  <w:abstractNum w:abstractNumId="69" w15:restartNumberingAfterBreak="0">
    <w:nsid w:val="5F75535C"/>
    <w:multiLevelType w:val="multilevel"/>
    <w:tmpl w:val="50D8DB5C"/>
    <w:styleLink w:val="Style1"/>
    <w:lvl w:ilvl="0">
      <w:start w:val="1"/>
      <w:numFmt w:val="decimal"/>
      <w:lvlText w:val="%1."/>
      <w:lvlJc w:val="center"/>
      <w:pPr>
        <w:ind w:left="0" w:firstLine="288"/>
      </w:pPr>
      <w:rPr>
        <w:rFonts w:ascii="Times New Roman" w:hAnsi="Times New Roman" w:hint="default"/>
        <w:sz w:val="24"/>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70" w15:restartNumberingAfterBreak="0">
    <w:nsid w:val="607B1814"/>
    <w:multiLevelType w:val="hybridMultilevel"/>
    <w:tmpl w:val="BF48D0F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1" w15:restartNumberingAfterBreak="0">
    <w:nsid w:val="6270360A"/>
    <w:multiLevelType w:val="hybridMultilevel"/>
    <w:tmpl w:val="C644A5E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62A51DD5"/>
    <w:multiLevelType w:val="hybridMultilevel"/>
    <w:tmpl w:val="5DEE0962"/>
    <w:lvl w:ilvl="0" w:tplc="A1105870">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73" w15:restartNumberingAfterBreak="0">
    <w:nsid w:val="62FE7015"/>
    <w:multiLevelType w:val="hybridMultilevel"/>
    <w:tmpl w:val="493881C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63224A33"/>
    <w:multiLevelType w:val="hybridMultilevel"/>
    <w:tmpl w:val="E6B67BD8"/>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5" w15:restartNumberingAfterBreak="0">
    <w:nsid w:val="64556D09"/>
    <w:multiLevelType w:val="hybridMultilevel"/>
    <w:tmpl w:val="723009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652471D0"/>
    <w:multiLevelType w:val="hybridMultilevel"/>
    <w:tmpl w:val="35EC2330"/>
    <w:lvl w:ilvl="0" w:tplc="E06657E4">
      <w:start w:val="1"/>
      <w:numFmt w:val="lowerLetter"/>
      <w:lvlText w:val="(%1)"/>
      <w:lvlJc w:val="left"/>
      <w:pPr>
        <w:ind w:left="108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7" w15:restartNumberingAfterBreak="0">
    <w:nsid w:val="665C1E0B"/>
    <w:multiLevelType w:val="hybridMultilevel"/>
    <w:tmpl w:val="88EEAB54"/>
    <w:lvl w:ilvl="0" w:tplc="E06657E4">
      <w:start w:val="1"/>
      <w:numFmt w:val="lowerLetter"/>
      <w:lvlText w:val="(%1)"/>
      <w:lvlJc w:val="left"/>
      <w:pPr>
        <w:ind w:left="108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8" w15:restartNumberingAfterBreak="0">
    <w:nsid w:val="68891143"/>
    <w:multiLevelType w:val="hybridMultilevel"/>
    <w:tmpl w:val="E462260A"/>
    <w:lvl w:ilvl="0" w:tplc="A110587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9" w15:restartNumberingAfterBreak="0">
    <w:nsid w:val="68A12E31"/>
    <w:multiLevelType w:val="hybridMultilevel"/>
    <w:tmpl w:val="933CF0E0"/>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0" w15:restartNumberingAfterBreak="0">
    <w:nsid w:val="6ADD71D7"/>
    <w:multiLevelType w:val="multilevel"/>
    <w:tmpl w:val="E6C82B0C"/>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ascii="Times New Roman" w:hAnsi="Times New Roman" w:cs="Times New Roman" w:hint="default"/>
        <w:b w:val="0"/>
        <w:sz w:val="24"/>
        <w:szCs w:val="24"/>
      </w:rPr>
    </w:lvl>
    <w:lvl w:ilvl="2">
      <w:start w:val="1"/>
      <w:numFmt w:val="lowerLetter"/>
      <w:pStyle w:val="StyleHeading3level3level3Nadpis3After12pt"/>
      <w:lvlText w:val="(%3)"/>
      <w:lvlJc w:val="left"/>
      <w:pPr>
        <w:tabs>
          <w:tab w:val="num" w:pos="1418"/>
        </w:tabs>
        <w:ind w:left="1418" w:hanging="709"/>
      </w:pPr>
      <w:rPr>
        <w:rFonts w:hint="default"/>
      </w:rPr>
    </w:lvl>
    <w:lvl w:ilvl="3">
      <w:start w:val="1"/>
      <w:numFmt w:val="lowerRoman"/>
      <w:pStyle w:val="StyleHeading4Loweredby15pt"/>
      <w:lvlText w:val="(%4)"/>
      <w:lvlJc w:val="left"/>
      <w:pPr>
        <w:tabs>
          <w:tab w:val="num" w:pos="2126"/>
        </w:tabs>
        <w:ind w:left="2126" w:hanging="708"/>
      </w:pPr>
      <w:rPr>
        <w:rFonts w:hint="default"/>
      </w:rPr>
    </w:lvl>
    <w:lvl w:ilvl="4">
      <w:start w:val="1"/>
      <w:numFmt w:val="upperLetter"/>
      <w:lvlText w:val="(%5)"/>
      <w:lvlJc w:val="left"/>
      <w:pPr>
        <w:tabs>
          <w:tab w:val="num" w:pos="2836"/>
        </w:tabs>
        <w:ind w:left="2836" w:hanging="709"/>
      </w:pPr>
      <w:rPr>
        <w:rFonts w:hint="default"/>
      </w:rPr>
    </w:lvl>
    <w:lvl w:ilvl="5">
      <w:start w:val="1"/>
      <w:numFmt w:val="decimal"/>
      <w:lvlText w:val="%6)"/>
      <w:lvlJc w:val="left"/>
      <w:pPr>
        <w:tabs>
          <w:tab w:val="num" w:pos="3544"/>
        </w:tabs>
        <w:ind w:left="3544" w:hanging="708"/>
      </w:pPr>
      <w:rPr>
        <w:rFonts w:hint="default"/>
      </w:rPr>
    </w:lvl>
    <w:lvl w:ilvl="6">
      <w:start w:val="1"/>
      <w:numFmt w:val="decimal"/>
      <w:lvlText w:val="%7%3)"/>
      <w:lvlJc w:val="left"/>
      <w:pPr>
        <w:tabs>
          <w:tab w:val="num" w:pos="2714"/>
        </w:tabs>
        <w:ind w:left="2714" w:hanging="1296"/>
      </w:pPr>
      <w:rPr>
        <w:rFonts w:hint="default"/>
      </w:rPr>
    </w:lvl>
    <w:lvl w:ilvl="7">
      <w:start w:val="1"/>
      <w:numFmt w:val="lowerRoman"/>
      <w:lvlText w:val="%8)"/>
      <w:lvlJc w:val="left"/>
      <w:pPr>
        <w:tabs>
          <w:tab w:val="num" w:pos="2858"/>
        </w:tabs>
        <w:ind w:left="2858" w:hanging="1440"/>
      </w:pPr>
      <w:rPr>
        <w:rFonts w:hint="default"/>
      </w:rPr>
    </w:lvl>
    <w:lvl w:ilvl="8">
      <w:start w:val="1"/>
      <w:numFmt w:val="upperLetter"/>
      <w:lvlText w:val="(%9)"/>
      <w:lvlJc w:val="left"/>
      <w:pPr>
        <w:tabs>
          <w:tab w:val="num" w:pos="709"/>
        </w:tabs>
        <w:ind w:left="709" w:hanging="709"/>
      </w:pPr>
      <w:rPr>
        <w:rFonts w:hint="default"/>
        <w:b w:val="0"/>
      </w:rPr>
    </w:lvl>
  </w:abstractNum>
  <w:abstractNum w:abstractNumId="81" w15:restartNumberingAfterBreak="0">
    <w:nsid w:val="6CCA46AE"/>
    <w:multiLevelType w:val="hybridMultilevel"/>
    <w:tmpl w:val="9560F440"/>
    <w:lvl w:ilvl="0" w:tplc="08090001">
      <w:start w:val="1"/>
      <w:numFmt w:val="bullet"/>
      <w:lvlText w:val=""/>
      <w:lvlJc w:val="left"/>
      <w:pPr>
        <w:ind w:left="1457" w:hanging="360"/>
      </w:pPr>
      <w:rPr>
        <w:rFonts w:ascii="Symbol" w:hAnsi="Symbol" w:hint="default"/>
      </w:rPr>
    </w:lvl>
    <w:lvl w:ilvl="1" w:tplc="08090003" w:tentative="1">
      <w:start w:val="1"/>
      <w:numFmt w:val="bullet"/>
      <w:lvlText w:val="o"/>
      <w:lvlJc w:val="left"/>
      <w:pPr>
        <w:ind w:left="2177" w:hanging="360"/>
      </w:pPr>
      <w:rPr>
        <w:rFonts w:ascii="Courier New" w:hAnsi="Courier New" w:cs="Courier New" w:hint="default"/>
      </w:rPr>
    </w:lvl>
    <w:lvl w:ilvl="2" w:tplc="08090005" w:tentative="1">
      <w:start w:val="1"/>
      <w:numFmt w:val="bullet"/>
      <w:lvlText w:val=""/>
      <w:lvlJc w:val="left"/>
      <w:pPr>
        <w:ind w:left="2897" w:hanging="360"/>
      </w:pPr>
      <w:rPr>
        <w:rFonts w:ascii="Wingdings" w:hAnsi="Wingdings" w:hint="default"/>
      </w:rPr>
    </w:lvl>
    <w:lvl w:ilvl="3" w:tplc="08090001" w:tentative="1">
      <w:start w:val="1"/>
      <w:numFmt w:val="bullet"/>
      <w:lvlText w:val=""/>
      <w:lvlJc w:val="left"/>
      <w:pPr>
        <w:ind w:left="3617" w:hanging="360"/>
      </w:pPr>
      <w:rPr>
        <w:rFonts w:ascii="Symbol" w:hAnsi="Symbol" w:hint="default"/>
      </w:rPr>
    </w:lvl>
    <w:lvl w:ilvl="4" w:tplc="08090003" w:tentative="1">
      <w:start w:val="1"/>
      <w:numFmt w:val="bullet"/>
      <w:lvlText w:val="o"/>
      <w:lvlJc w:val="left"/>
      <w:pPr>
        <w:ind w:left="4337" w:hanging="360"/>
      </w:pPr>
      <w:rPr>
        <w:rFonts w:ascii="Courier New" w:hAnsi="Courier New" w:cs="Courier New" w:hint="default"/>
      </w:rPr>
    </w:lvl>
    <w:lvl w:ilvl="5" w:tplc="08090005" w:tentative="1">
      <w:start w:val="1"/>
      <w:numFmt w:val="bullet"/>
      <w:lvlText w:val=""/>
      <w:lvlJc w:val="left"/>
      <w:pPr>
        <w:ind w:left="5057" w:hanging="360"/>
      </w:pPr>
      <w:rPr>
        <w:rFonts w:ascii="Wingdings" w:hAnsi="Wingdings" w:hint="default"/>
      </w:rPr>
    </w:lvl>
    <w:lvl w:ilvl="6" w:tplc="08090001">
      <w:start w:val="1"/>
      <w:numFmt w:val="bullet"/>
      <w:lvlText w:val=""/>
      <w:lvlJc w:val="left"/>
      <w:pPr>
        <w:ind w:left="5777" w:hanging="360"/>
      </w:pPr>
      <w:rPr>
        <w:rFonts w:ascii="Symbol" w:hAnsi="Symbol" w:hint="default"/>
      </w:rPr>
    </w:lvl>
    <w:lvl w:ilvl="7" w:tplc="08090003" w:tentative="1">
      <w:start w:val="1"/>
      <w:numFmt w:val="bullet"/>
      <w:lvlText w:val="o"/>
      <w:lvlJc w:val="left"/>
      <w:pPr>
        <w:ind w:left="6497" w:hanging="360"/>
      </w:pPr>
      <w:rPr>
        <w:rFonts w:ascii="Courier New" w:hAnsi="Courier New" w:cs="Courier New" w:hint="default"/>
      </w:rPr>
    </w:lvl>
    <w:lvl w:ilvl="8" w:tplc="08090005" w:tentative="1">
      <w:start w:val="1"/>
      <w:numFmt w:val="bullet"/>
      <w:lvlText w:val=""/>
      <w:lvlJc w:val="left"/>
      <w:pPr>
        <w:ind w:left="7217" w:hanging="360"/>
      </w:pPr>
      <w:rPr>
        <w:rFonts w:ascii="Wingdings" w:hAnsi="Wingdings" w:hint="default"/>
      </w:rPr>
    </w:lvl>
  </w:abstractNum>
  <w:abstractNum w:abstractNumId="82" w15:restartNumberingAfterBreak="0">
    <w:nsid w:val="6D0A57DC"/>
    <w:multiLevelType w:val="hybridMultilevel"/>
    <w:tmpl w:val="CB1ECDB8"/>
    <w:lvl w:ilvl="0" w:tplc="E06657E4">
      <w:start w:val="1"/>
      <w:numFmt w:val="lowerLetter"/>
      <w:lvlText w:val="(%1)"/>
      <w:lvlJc w:val="left"/>
      <w:pPr>
        <w:ind w:left="108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3" w15:restartNumberingAfterBreak="0">
    <w:nsid w:val="6DD56230"/>
    <w:multiLevelType w:val="hybridMultilevel"/>
    <w:tmpl w:val="38A0B2F0"/>
    <w:lvl w:ilvl="0" w:tplc="A1105870">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84" w15:restartNumberingAfterBreak="0">
    <w:nsid w:val="726A0B93"/>
    <w:multiLevelType w:val="hybridMultilevel"/>
    <w:tmpl w:val="7E04E0D4"/>
    <w:lvl w:ilvl="0" w:tplc="08090001">
      <w:start w:val="1"/>
      <w:numFmt w:val="bullet"/>
      <w:lvlText w:val=""/>
      <w:lvlJc w:val="left"/>
      <w:pPr>
        <w:ind w:left="1457" w:hanging="360"/>
      </w:pPr>
      <w:rPr>
        <w:rFonts w:ascii="Symbol" w:hAnsi="Symbol" w:hint="default"/>
      </w:rPr>
    </w:lvl>
    <w:lvl w:ilvl="1" w:tplc="08090003" w:tentative="1">
      <w:start w:val="1"/>
      <w:numFmt w:val="bullet"/>
      <w:lvlText w:val="o"/>
      <w:lvlJc w:val="left"/>
      <w:pPr>
        <w:ind w:left="2177" w:hanging="360"/>
      </w:pPr>
      <w:rPr>
        <w:rFonts w:ascii="Courier New" w:hAnsi="Courier New" w:cs="Courier New" w:hint="default"/>
      </w:rPr>
    </w:lvl>
    <w:lvl w:ilvl="2" w:tplc="08090005" w:tentative="1">
      <w:start w:val="1"/>
      <w:numFmt w:val="bullet"/>
      <w:lvlText w:val=""/>
      <w:lvlJc w:val="left"/>
      <w:pPr>
        <w:ind w:left="2897" w:hanging="360"/>
      </w:pPr>
      <w:rPr>
        <w:rFonts w:ascii="Wingdings" w:hAnsi="Wingdings" w:hint="default"/>
      </w:rPr>
    </w:lvl>
    <w:lvl w:ilvl="3" w:tplc="08090001" w:tentative="1">
      <w:start w:val="1"/>
      <w:numFmt w:val="bullet"/>
      <w:lvlText w:val=""/>
      <w:lvlJc w:val="left"/>
      <w:pPr>
        <w:ind w:left="3617" w:hanging="360"/>
      </w:pPr>
      <w:rPr>
        <w:rFonts w:ascii="Symbol" w:hAnsi="Symbol" w:hint="default"/>
      </w:rPr>
    </w:lvl>
    <w:lvl w:ilvl="4" w:tplc="08090003" w:tentative="1">
      <w:start w:val="1"/>
      <w:numFmt w:val="bullet"/>
      <w:lvlText w:val="o"/>
      <w:lvlJc w:val="left"/>
      <w:pPr>
        <w:ind w:left="4337" w:hanging="360"/>
      </w:pPr>
      <w:rPr>
        <w:rFonts w:ascii="Courier New" w:hAnsi="Courier New" w:cs="Courier New" w:hint="default"/>
      </w:rPr>
    </w:lvl>
    <w:lvl w:ilvl="5" w:tplc="08090005" w:tentative="1">
      <w:start w:val="1"/>
      <w:numFmt w:val="bullet"/>
      <w:lvlText w:val=""/>
      <w:lvlJc w:val="left"/>
      <w:pPr>
        <w:ind w:left="5057" w:hanging="360"/>
      </w:pPr>
      <w:rPr>
        <w:rFonts w:ascii="Wingdings" w:hAnsi="Wingdings" w:hint="default"/>
      </w:rPr>
    </w:lvl>
    <w:lvl w:ilvl="6" w:tplc="08090001" w:tentative="1">
      <w:start w:val="1"/>
      <w:numFmt w:val="bullet"/>
      <w:lvlText w:val=""/>
      <w:lvlJc w:val="left"/>
      <w:pPr>
        <w:ind w:left="5777" w:hanging="360"/>
      </w:pPr>
      <w:rPr>
        <w:rFonts w:ascii="Symbol" w:hAnsi="Symbol" w:hint="default"/>
      </w:rPr>
    </w:lvl>
    <w:lvl w:ilvl="7" w:tplc="08090003" w:tentative="1">
      <w:start w:val="1"/>
      <w:numFmt w:val="bullet"/>
      <w:lvlText w:val="o"/>
      <w:lvlJc w:val="left"/>
      <w:pPr>
        <w:ind w:left="6497" w:hanging="360"/>
      </w:pPr>
      <w:rPr>
        <w:rFonts w:ascii="Courier New" w:hAnsi="Courier New" w:cs="Courier New" w:hint="default"/>
      </w:rPr>
    </w:lvl>
    <w:lvl w:ilvl="8" w:tplc="08090005" w:tentative="1">
      <w:start w:val="1"/>
      <w:numFmt w:val="bullet"/>
      <w:lvlText w:val=""/>
      <w:lvlJc w:val="left"/>
      <w:pPr>
        <w:ind w:left="7217" w:hanging="360"/>
      </w:pPr>
      <w:rPr>
        <w:rFonts w:ascii="Wingdings" w:hAnsi="Wingdings" w:hint="default"/>
      </w:rPr>
    </w:lvl>
  </w:abstractNum>
  <w:abstractNum w:abstractNumId="85" w15:restartNumberingAfterBreak="0">
    <w:nsid w:val="72D47FE5"/>
    <w:multiLevelType w:val="hybridMultilevel"/>
    <w:tmpl w:val="9D2294B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6" w15:restartNumberingAfterBreak="0">
    <w:nsid w:val="73485979"/>
    <w:multiLevelType w:val="hybridMultilevel"/>
    <w:tmpl w:val="621ADC8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7" w15:restartNumberingAfterBreak="0">
    <w:nsid w:val="76317B89"/>
    <w:multiLevelType w:val="hybridMultilevel"/>
    <w:tmpl w:val="28C6B068"/>
    <w:lvl w:ilvl="0" w:tplc="A110587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8" w15:restartNumberingAfterBreak="0">
    <w:nsid w:val="78330183"/>
    <w:multiLevelType w:val="hybridMultilevel"/>
    <w:tmpl w:val="E32498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9" w15:restartNumberingAfterBreak="0">
    <w:nsid w:val="790F7E8E"/>
    <w:multiLevelType w:val="hybridMultilevel"/>
    <w:tmpl w:val="D382DC28"/>
    <w:lvl w:ilvl="0" w:tplc="E06657E4">
      <w:start w:val="1"/>
      <w:numFmt w:val="lowerLetter"/>
      <w:lvlText w:val="(%1)"/>
      <w:lvlJc w:val="left"/>
      <w:pPr>
        <w:ind w:left="108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0" w15:restartNumberingAfterBreak="0">
    <w:nsid w:val="7A904B33"/>
    <w:multiLevelType w:val="hybridMultilevel"/>
    <w:tmpl w:val="4490ADD2"/>
    <w:lvl w:ilvl="0" w:tplc="13B2D96E">
      <w:start w:val="1"/>
      <w:numFmt w:val="lowerRoman"/>
      <w:lvlText w:val="%1)"/>
      <w:lvlJc w:val="left"/>
      <w:pPr>
        <w:ind w:left="1457"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2177" w:hanging="360"/>
      </w:pPr>
    </w:lvl>
    <w:lvl w:ilvl="2" w:tplc="0809001B" w:tentative="1">
      <w:start w:val="1"/>
      <w:numFmt w:val="lowerRoman"/>
      <w:lvlText w:val="%3."/>
      <w:lvlJc w:val="right"/>
      <w:pPr>
        <w:ind w:left="2897" w:hanging="180"/>
      </w:pPr>
    </w:lvl>
    <w:lvl w:ilvl="3" w:tplc="0809000F" w:tentative="1">
      <w:start w:val="1"/>
      <w:numFmt w:val="decimal"/>
      <w:lvlText w:val="%4."/>
      <w:lvlJc w:val="left"/>
      <w:pPr>
        <w:ind w:left="3617" w:hanging="360"/>
      </w:pPr>
    </w:lvl>
    <w:lvl w:ilvl="4" w:tplc="08090019" w:tentative="1">
      <w:start w:val="1"/>
      <w:numFmt w:val="lowerLetter"/>
      <w:lvlText w:val="%5."/>
      <w:lvlJc w:val="left"/>
      <w:pPr>
        <w:ind w:left="4337" w:hanging="360"/>
      </w:pPr>
    </w:lvl>
    <w:lvl w:ilvl="5" w:tplc="0809001B" w:tentative="1">
      <w:start w:val="1"/>
      <w:numFmt w:val="lowerRoman"/>
      <w:lvlText w:val="%6."/>
      <w:lvlJc w:val="right"/>
      <w:pPr>
        <w:ind w:left="5057" w:hanging="180"/>
      </w:pPr>
    </w:lvl>
    <w:lvl w:ilvl="6" w:tplc="0809000F" w:tentative="1">
      <w:start w:val="1"/>
      <w:numFmt w:val="decimal"/>
      <w:lvlText w:val="%7."/>
      <w:lvlJc w:val="left"/>
      <w:pPr>
        <w:ind w:left="5777" w:hanging="360"/>
      </w:pPr>
    </w:lvl>
    <w:lvl w:ilvl="7" w:tplc="08090019" w:tentative="1">
      <w:start w:val="1"/>
      <w:numFmt w:val="lowerLetter"/>
      <w:lvlText w:val="%8."/>
      <w:lvlJc w:val="left"/>
      <w:pPr>
        <w:ind w:left="6497" w:hanging="360"/>
      </w:pPr>
    </w:lvl>
    <w:lvl w:ilvl="8" w:tplc="0809001B" w:tentative="1">
      <w:start w:val="1"/>
      <w:numFmt w:val="lowerRoman"/>
      <w:lvlText w:val="%9."/>
      <w:lvlJc w:val="right"/>
      <w:pPr>
        <w:ind w:left="7217" w:hanging="180"/>
      </w:pPr>
    </w:lvl>
  </w:abstractNum>
  <w:abstractNum w:abstractNumId="91" w15:restartNumberingAfterBreak="0">
    <w:nsid w:val="7C2C78D4"/>
    <w:multiLevelType w:val="multilevel"/>
    <w:tmpl w:val="6D9A153C"/>
    <w:lvl w:ilvl="0">
      <w:start w:val="1"/>
      <w:numFmt w:val="lowerLetter"/>
      <w:pStyle w:val="NormalTextBold"/>
      <w:lvlText w:val="(%1)"/>
      <w:lvlJc w:val="left"/>
      <w:pPr>
        <w:tabs>
          <w:tab w:val="num" w:pos="567"/>
        </w:tabs>
        <w:ind w:left="567" w:hanging="567"/>
      </w:pPr>
      <w:rPr>
        <w:rFonts w:ascii="Times New Roman" w:hAnsi="Times New Roman" w:cs="Times New Roman" w:hint="default"/>
        <w:b w:val="0"/>
        <w:bCs w:val="0"/>
        <w:i w:val="0"/>
        <w:iCs w:val="0"/>
        <w:caps w:val="0"/>
        <w:smallCaps w:val="0"/>
        <w:strike w:val="0"/>
        <w:dstrike w:val="0"/>
        <w:noProof w:val="0"/>
        <w:vanish w:val="0"/>
        <w:spacing w:val="0"/>
        <w:kern w:val="0"/>
        <w:position w:val="0"/>
        <w:sz w:val="24"/>
        <w:szCs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2" w15:restartNumberingAfterBreak="0">
    <w:nsid w:val="7C517B5E"/>
    <w:multiLevelType w:val="hybridMultilevel"/>
    <w:tmpl w:val="531E32A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3" w15:restartNumberingAfterBreak="0">
    <w:nsid w:val="7ED03B3C"/>
    <w:multiLevelType w:val="hybridMultilevel"/>
    <w:tmpl w:val="52AAD800"/>
    <w:lvl w:ilvl="0" w:tplc="A110587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6"/>
  </w:num>
  <w:num w:numId="2">
    <w:abstractNumId w:val="53"/>
  </w:num>
  <w:num w:numId="3">
    <w:abstractNumId w:val="10"/>
  </w:num>
  <w:num w:numId="4">
    <w:abstractNumId w:val="69"/>
  </w:num>
  <w:num w:numId="5">
    <w:abstractNumId w:val="26"/>
  </w:num>
  <w:num w:numId="6">
    <w:abstractNumId w:val="47"/>
  </w:num>
  <w:num w:numId="7">
    <w:abstractNumId w:val="62"/>
  </w:num>
  <w:num w:numId="8">
    <w:abstractNumId w:val="28"/>
  </w:num>
  <w:num w:numId="9">
    <w:abstractNumId w:val="50"/>
  </w:num>
  <w:num w:numId="10">
    <w:abstractNumId w:val="6"/>
  </w:num>
  <w:num w:numId="11">
    <w:abstractNumId w:val="3"/>
  </w:num>
  <w:num w:numId="12">
    <w:abstractNumId w:val="2"/>
  </w:num>
  <w:num w:numId="13">
    <w:abstractNumId w:val="1"/>
  </w:num>
  <w:num w:numId="14">
    <w:abstractNumId w:val="0"/>
  </w:num>
  <w:num w:numId="15">
    <w:abstractNumId w:val="91"/>
  </w:num>
  <w:num w:numId="16">
    <w:abstractNumId w:val="80"/>
  </w:num>
  <w:num w:numId="17">
    <w:abstractNumId w:val="34"/>
  </w:num>
  <w:num w:numId="18">
    <w:abstractNumId w:val="7"/>
  </w:num>
  <w:num w:numId="19">
    <w:abstractNumId w:val="5"/>
  </w:num>
  <w:num w:numId="20">
    <w:abstractNumId w:val="4"/>
  </w:num>
  <w:num w:numId="21">
    <w:abstractNumId w:val="13"/>
  </w:num>
  <w:num w:numId="2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4"/>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4"/>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9"/>
  </w:num>
  <w:num w:numId="27">
    <w:abstractNumId w:val="11"/>
  </w:num>
  <w:num w:numId="28">
    <w:abstractNumId w:val="88"/>
  </w:num>
  <w:num w:numId="29">
    <w:abstractNumId w:val="79"/>
  </w:num>
  <w:num w:numId="30">
    <w:abstractNumId w:val="24"/>
  </w:num>
  <w:num w:numId="31">
    <w:abstractNumId w:val="37"/>
  </w:num>
  <w:num w:numId="32">
    <w:abstractNumId w:val="71"/>
  </w:num>
  <w:num w:numId="33">
    <w:abstractNumId w:val="51"/>
  </w:num>
  <w:num w:numId="34">
    <w:abstractNumId w:val="45"/>
  </w:num>
  <w:num w:numId="35">
    <w:abstractNumId w:val="57"/>
  </w:num>
  <w:num w:numId="36">
    <w:abstractNumId w:val="39"/>
  </w:num>
  <w:num w:numId="37">
    <w:abstractNumId w:val="85"/>
  </w:num>
  <w:num w:numId="38">
    <w:abstractNumId w:val="73"/>
  </w:num>
  <w:num w:numId="39">
    <w:abstractNumId w:val="32"/>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5"/>
  </w:num>
  <w:num w:numId="46">
    <w:abstractNumId w:val="21"/>
  </w:num>
  <w:num w:numId="47">
    <w:abstractNumId w:val="68"/>
  </w:num>
  <w:num w:numId="48">
    <w:abstractNumId w:val="84"/>
  </w:num>
  <w:num w:numId="49">
    <w:abstractNumId w:val="67"/>
  </w:num>
  <w:num w:numId="50">
    <w:abstractNumId w:val="81"/>
  </w:num>
  <w:num w:numId="51">
    <w:abstractNumId w:val="63"/>
  </w:num>
  <w:num w:numId="52">
    <w:abstractNumId w:val="49"/>
  </w:num>
  <w:num w:numId="53">
    <w:abstractNumId w:val="31"/>
  </w:num>
  <w:num w:numId="54">
    <w:abstractNumId w:val="15"/>
  </w:num>
  <w:num w:numId="55">
    <w:abstractNumId w:val="90"/>
  </w:num>
  <w:num w:numId="56">
    <w:abstractNumId w:val="22"/>
  </w:num>
  <w:num w:numId="57">
    <w:abstractNumId w:val="86"/>
  </w:num>
  <w:num w:numId="58">
    <w:abstractNumId w:val="17"/>
  </w:num>
  <w:num w:numId="59">
    <w:abstractNumId w:val="46"/>
  </w:num>
  <w:num w:numId="60">
    <w:abstractNumId w:val="40"/>
  </w:num>
  <w:num w:numId="61">
    <w:abstractNumId w:val="77"/>
  </w:num>
  <w:num w:numId="62">
    <w:abstractNumId w:val="70"/>
  </w:num>
  <w:num w:numId="63">
    <w:abstractNumId w:val="29"/>
  </w:num>
  <w:num w:numId="64">
    <w:abstractNumId w:val="52"/>
  </w:num>
  <w:num w:numId="65">
    <w:abstractNumId w:val="89"/>
  </w:num>
  <w:num w:numId="66">
    <w:abstractNumId w:val="82"/>
  </w:num>
  <w:num w:numId="67">
    <w:abstractNumId w:val="18"/>
  </w:num>
  <w:num w:numId="68">
    <w:abstractNumId w:val="36"/>
  </w:num>
  <w:num w:numId="69">
    <w:abstractNumId w:val="83"/>
  </w:num>
  <w:num w:numId="70">
    <w:abstractNumId w:val="87"/>
  </w:num>
  <w:num w:numId="71">
    <w:abstractNumId w:val="93"/>
  </w:num>
  <w:num w:numId="72">
    <w:abstractNumId w:val="43"/>
  </w:num>
  <w:num w:numId="73">
    <w:abstractNumId w:val="72"/>
  </w:num>
  <w:num w:numId="7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78"/>
  </w:num>
  <w:num w:numId="76">
    <w:abstractNumId w:val="30"/>
  </w:num>
  <w:num w:numId="77">
    <w:abstractNumId w:val="44"/>
  </w:num>
  <w:num w:numId="78">
    <w:abstractNumId w:val="8"/>
  </w:num>
  <w:num w:numId="79">
    <w:abstractNumId w:val="61"/>
  </w:num>
  <w:num w:numId="80">
    <w:abstractNumId w:val="25"/>
  </w:num>
  <w:num w:numId="8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76"/>
  </w:num>
  <w:num w:numId="83">
    <w:abstractNumId w:val="33"/>
  </w:num>
  <w:num w:numId="84">
    <w:abstractNumId w:val="19"/>
  </w:num>
  <w:num w:numId="85">
    <w:abstractNumId w:val="12"/>
  </w:num>
  <w:num w:numId="86">
    <w:abstractNumId w:val="64"/>
  </w:num>
  <w:num w:numId="87">
    <w:abstractNumId w:val="35"/>
  </w:num>
  <w:num w:numId="88">
    <w:abstractNumId w:val="92"/>
  </w:num>
  <w:num w:numId="8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23"/>
  </w:num>
  <w:num w:numId="9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6"/>
  </w:num>
  <w:num w:numId="93">
    <w:abstractNumId w:val="9"/>
  </w:num>
  <w:num w:numId="94">
    <w:abstractNumId w:val="60"/>
  </w:num>
  <w:num w:numId="95">
    <w:abstractNumId w:val="65"/>
  </w:num>
  <w:num w:numId="96">
    <w:abstractNumId w:val="42"/>
  </w:num>
  <w:num w:numId="97">
    <w:abstractNumId w:val="75"/>
  </w:num>
  <w:num w:numId="98">
    <w:abstractNumId w:val="41"/>
  </w:num>
  <w:num w:numId="99">
    <w:abstractNumId w:val="74"/>
  </w:num>
  <w:num w:numId="100">
    <w:abstractNumId w:val="20"/>
  </w:num>
  <w:num w:numId="101">
    <w:abstractNumId w:val="48"/>
  </w:num>
  <w:num w:numId="102">
    <w:abstractNumId w:val="58"/>
  </w:num>
  <w:num w:numId="10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38"/>
  </w:num>
  <w:num w:numId="106">
    <w:abstractNumId w:val="27"/>
  </w:num>
  <w:num w:numId="107">
    <w:abstractNumId w:val="66"/>
  </w:num>
  <w:numIdMacAtCleanup w:val="10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ollie Nicholls">
    <w15:presenceInfo w15:providerId="AD" w15:userId="S::Hollie.Nicholls@electralink.co.uk::5170487c-a9d3-4d2d-866e-8f99d059bab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84B"/>
    <w:rsid w:val="0041584B"/>
    <w:rsid w:val="00885A02"/>
    <w:rsid w:val="00C5015B"/>
    <w:rsid w:val="00E427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24658174"/>
  <w15:chartTrackingRefBased/>
  <w15:docId w15:val="{69DD0B69-4AD8-4138-99BE-81C23E674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5"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584B"/>
    <w:pPr>
      <w:spacing w:after="240" w:line="360" w:lineRule="auto"/>
    </w:pPr>
    <w:rPr>
      <w:rFonts w:ascii="Times New Roman" w:hAnsi="Times New Roman"/>
      <w:sz w:val="24"/>
    </w:rPr>
  </w:style>
  <w:style w:type="paragraph" w:styleId="Heading1">
    <w:name w:val="heading 1"/>
    <w:aliases w:val="DCUSA H1,JPW-num-section,level 1,level1,Nadpis 1,1,Part,Chapter Heading,Level 1,head1,head11,head12,PARA1,h1,H1,H11,H12,H13,H14,H15,H16,H17,H18,H19,H110,H111,H112,H113,H114,H115,H116,H121,H131,H141,H151,H161,H171,H181,H191,H1101,H1111,H1121"/>
    <w:basedOn w:val="Normal"/>
    <w:next w:val="Heading2"/>
    <w:link w:val="Heading1Char"/>
    <w:qFormat/>
    <w:rsid w:val="0041584B"/>
    <w:pPr>
      <w:keepNext/>
      <w:keepLines/>
      <w:numPr>
        <w:numId w:val="21"/>
      </w:numPr>
      <w:spacing w:before="480"/>
      <w:jc w:val="center"/>
      <w:outlineLvl w:val="0"/>
    </w:pPr>
    <w:rPr>
      <w:rFonts w:ascii="Times New Roman Bold" w:eastAsiaTheme="majorEastAsia" w:hAnsi="Times New Roman Bold" w:cstheme="majorBidi"/>
      <w:b/>
      <w:bCs/>
      <w:caps/>
      <w:szCs w:val="28"/>
      <w:u w:val="single"/>
    </w:rPr>
  </w:style>
  <w:style w:type="paragraph" w:styleId="Heading2">
    <w:name w:val="heading 2"/>
    <w:aliases w:val="DCUSA H2,level 2,level2,2,Chapter,1.Seite,Sub Heading,Chapter Title,Attribute Heading 2,H2,h2,(Alt+2),heading2,heading h2,KJL:1st Level,Level 2,PARA2,Major1,Sub section title,S Heading,S Heading 2,Major,Reset numbering,H21,H22,H23,H211,H221"/>
    <w:basedOn w:val="Heading1"/>
    <w:link w:val="Heading2Char"/>
    <w:unhideWhenUsed/>
    <w:qFormat/>
    <w:rsid w:val="0041584B"/>
    <w:pPr>
      <w:keepNext w:val="0"/>
      <w:numPr>
        <w:ilvl w:val="1"/>
      </w:numPr>
      <w:spacing w:before="0"/>
      <w:ind w:left="720" w:hanging="720"/>
      <w:jc w:val="both"/>
      <w:outlineLvl w:val="1"/>
    </w:pPr>
    <w:rPr>
      <w:rFonts w:ascii="Times New Roman" w:hAnsi="Times New Roman"/>
      <w:b w:val="0"/>
      <w:bCs w:val="0"/>
      <w:caps w:val="0"/>
      <w:szCs w:val="26"/>
      <w:u w:val="none"/>
    </w:rPr>
  </w:style>
  <w:style w:type="paragraph" w:styleId="Heading3">
    <w:name w:val="heading 3"/>
    <w:aliases w:val="DCUSA H3,level 3,level3,Nadpis 3,3,Section,Annotationen,(Alt+3),(Alt+3)1,(Alt+3)2,(Alt+3)3,(Alt+3)4,(Alt+3)5,(Alt+3)6,(Alt+3)11,(Alt+3)21,(Alt+3)31,(Alt+3)41,(Alt+3)7,(Alt+3)12,(Alt+3)22,(Alt+3)32,(Alt+3)42,(Alt+3)8,(Alt+3)9,(Alt+3)10"/>
    <w:basedOn w:val="Heading2"/>
    <w:next w:val="Heading2"/>
    <w:link w:val="Heading3Char"/>
    <w:uiPriority w:val="99"/>
    <w:unhideWhenUsed/>
    <w:qFormat/>
    <w:rsid w:val="0041584B"/>
    <w:pPr>
      <w:numPr>
        <w:ilvl w:val="2"/>
      </w:numPr>
      <w:ind w:left="1571" w:hanging="851"/>
      <w:outlineLvl w:val="2"/>
    </w:pPr>
    <w:rPr>
      <w:bCs/>
    </w:rPr>
  </w:style>
  <w:style w:type="paragraph" w:styleId="Heading4">
    <w:name w:val="heading 4"/>
    <w:aliases w:val="DCUSA H4,Subsection,(Alt+4),H41,(Alt+4)1,H42,(Alt+4)2,H43,(Alt+4)3,H44,(Alt+4)4,H45,(Alt+4)5,H411,(Alt+4)11,H421,(Alt+4)21,H431,(Alt+4)31,h4,H46,H47,H48,H49,H410,H441,H451,H461,H471,H481,H491,H4101,H412,H413,H414,H415,H416,H417,H418,H419,H420"/>
    <w:basedOn w:val="Normal"/>
    <w:next w:val="Normal"/>
    <w:link w:val="Heading4Char"/>
    <w:uiPriority w:val="99"/>
    <w:unhideWhenUsed/>
    <w:qFormat/>
    <w:rsid w:val="0041584B"/>
    <w:pPr>
      <w:keepNext/>
      <w:keepLines/>
      <w:numPr>
        <w:ilvl w:val="3"/>
        <w:numId w:val="21"/>
      </w:numPr>
      <w:spacing w:before="200" w:after="0" w:line="276" w:lineRule="auto"/>
      <w:outlineLvl w:val="3"/>
    </w:pPr>
    <w:rPr>
      <w:rFonts w:eastAsiaTheme="majorEastAsia" w:cstheme="majorBidi"/>
      <w:bCs/>
      <w:iCs/>
      <w:color w:val="000000" w:themeColor="text1"/>
    </w:rPr>
  </w:style>
  <w:style w:type="paragraph" w:styleId="Heading5">
    <w:name w:val="heading 5"/>
    <w:aliases w:val="DCUSA a),Subheading,Heading 5*,H5,FMH1,Appendix A to X,dash,ds,dd,h5,Heading 5(unused),Level 3 - (i),Roman list,H51,Heading 5   Appendix A to X,PR13,Second Subheading,i) ii) iii),Lev 5,Level 3 - i,5,H5-Heading 5,l5,heading5,Heading5,level 5"/>
    <w:basedOn w:val="Normal"/>
    <w:next w:val="Normal"/>
    <w:link w:val="Heading5Char"/>
    <w:uiPriority w:val="99"/>
    <w:unhideWhenUsed/>
    <w:qFormat/>
    <w:rsid w:val="0041584B"/>
    <w:pPr>
      <w:keepNext/>
      <w:keepLines/>
      <w:numPr>
        <w:ilvl w:val="4"/>
        <w:numId w:val="21"/>
      </w:numPr>
      <w:spacing w:before="200" w:after="120"/>
      <w:ind w:left="1287" w:hanging="567"/>
      <w:outlineLvl w:val="4"/>
    </w:pPr>
    <w:rPr>
      <w:rFonts w:eastAsiaTheme="majorEastAsia" w:cstheme="majorBidi"/>
    </w:rPr>
  </w:style>
  <w:style w:type="paragraph" w:styleId="Heading6">
    <w:name w:val="heading 6"/>
    <w:aliases w:val="DCSA i),h6,H6,H61,H62,H63,H64,H65,H66,H67,H68,H69,H610,H611,H612,H613,H614,H615,H616,H617,H618,H619,H621,H631,H641,H651,H661,H671,H681,H691,H6101,H6111,H6121,H6131,H6141,H6151,H6161,H6171,H6181,H620,H622,H623,H624,H625,H626,H627,H628,H629,H630"/>
    <w:basedOn w:val="Normal"/>
    <w:next w:val="Normal"/>
    <w:link w:val="Heading6Char"/>
    <w:uiPriority w:val="99"/>
    <w:unhideWhenUsed/>
    <w:qFormat/>
    <w:rsid w:val="0041584B"/>
    <w:pPr>
      <w:keepNext/>
      <w:keepLines/>
      <w:numPr>
        <w:ilvl w:val="5"/>
        <w:numId w:val="21"/>
      </w:numPr>
      <w:spacing w:before="200" w:after="0" w:line="276" w:lineRule="auto"/>
      <w:outlineLvl w:val="5"/>
    </w:pPr>
    <w:rPr>
      <w:rFonts w:eastAsiaTheme="majorEastAsia" w:cstheme="majorBidi"/>
      <w:iCs/>
      <w:color w:val="000000" w:themeColor="text1"/>
    </w:rPr>
  </w:style>
  <w:style w:type="paragraph" w:styleId="Heading7">
    <w:name w:val="heading 7"/>
    <w:aliases w:val="ITT t7,PA Appendix Major,Appendix Major,Lev 7,Heading 7(unused),Legal Level 1.1.,L2 PIP,L7,Numbered - 7,7,subTITLEPAGE,letter list,L1 Heading 7,req3,cnc,Caption number (column-wide),Bulleted list,H7DO NOT USE,level1-noHeading,level1noheading"/>
    <w:basedOn w:val="Normal"/>
    <w:next w:val="Normal"/>
    <w:link w:val="Heading7Char"/>
    <w:uiPriority w:val="99"/>
    <w:unhideWhenUsed/>
    <w:qFormat/>
    <w:rsid w:val="0041584B"/>
    <w:pPr>
      <w:numPr>
        <w:ilvl w:val="6"/>
        <w:numId w:val="21"/>
      </w:numPr>
      <w:ind w:left="720" w:hanging="720"/>
      <w:jc w:val="both"/>
      <w:outlineLvl w:val="6"/>
    </w:pPr>
    <w:rPr>
      <w:rFonts w:eastAsiaTheme="majorEastAsia" w:cstheme="majorBidi"/>
      <w:iCs/>
    </w:rPr>
  </w:style>
  <w:style w:type="paragraph" w:styleId="Heading8">
    <w:name w:val="heading 8"/>
    <w:aliases w:val="level2(a)"/>
    <w:basedOn w:val="Normal"/>
    <w:next w:val="Normal"/>
    <w:link w:val="Heading8Char"/>
    <w:uiPriority w:val="99"/>
    <w:unhideWhenUsed/>
    <w:qFormat/>
    <w:rsid w:val="0041584B"/>
    <w:pPr>
      <w:keepNext/>
      <w:keepLines/>
      <w:numPr>
        <w:ilvl w:val="7"/>
        <w:numId w:val="21"/>
      </w:numPr>
      <w:spacing w:before="200" w:after="0" w:line="276"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aliases w:val="App Heading,level3(i)"/>
    <w:basedOn w:val="Normal"/>
    <w:next w:val="Normal"/>
    <w:link w:val="Heading9Char"/>
    <w:uiPriority w:val="99"/>
    <w:unhideWhenUsed/>
    <w:qFormat/>
    <w:rsid w:val="0041584B"/>
    <w:pPr>
      <w:keepNext/>
      <w:keepLines/>
      <w:numPr>
        <w:ilvl w:val="8"/>
        <w:numId w:val="21"/>
      </w:numPr>
      <w:spacing w:before="200" w:after="0" w:line="276"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CUSA H1 Char,JPW-num-section Char,level 1 Char,level1 Char,Nadpis 1 Char,1 Char,Part Char,Chapter Heading Char,Level 1 Char,head1 Char,head11 Char,head12 Char,PARA1 Char,h1 Char,H1 Char,H11 Char,H12 Char,H13 Char,H14 Char,H15 Char"/>
    <w:basedOn w:val="DefaultParagraphFont"/>
    <w:link w:val="Heading1"/>
    <w:rsid w:val="0041584B"/>
    <w:rPr>
      <w:rFonts w:ascii="Times New Roman Bold" w:eastAsiaTheme="majorEastAsia" w:hAnsi="Times New Roman Bold" w:cstheme="majorBidi"/>
      <w:b/>
      <w:bCs/>
      <w:caps/>
      <w:sz w:val="24"/>
      <w:szCs w:val="28"/>
      <w:u w:val="single"/>
    </w:rPr>
  </w:style>
  <w:style w:type="character" w:customStyle="1" w:styleId="Heading2Char">
    <w:name w:val="Heading 2 Char"/>
    <w:aliases w:val="DCUSA H2 Char,level 2 Char,level2 Char,2 Char,Chapter Char,1.Seite Char,Sub Heading Char,Chapter Title Char,Attribute Heading 2 Char,H2 Char,h2 Char,(Alt+2) Char,heading2 Char,heading h2 Char,KJL:1st Level Char,Level 2 Char,PARA2 Char"/>
    <w:basedOn w:val="DefaultParagraphFont"/>
    <w:link w:val="Heading2"/>
    <w:rsid w:val="0041584B"/>
    <w:rPr>
      <w:rFonts w:ascii="Times New Roman" w:eastAsiaTheme="majorEastAsia" w:hAnsi="Times New Roman" w:cstheme="majorBidi"/>
      <w:sz w:val="24"/>
      <w:szCs w:val="26"/>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basedOn w:val="DefaultParagraphFont"/>
    <w:link w:val="Heading3"/>
    <w:uiPriority w:val="99"/>
    <w:rsid w:val="0041584B"/>
    <w:rPr>
      <w:rFonts w:ascii="Times New Roman" w:eastAsiaTheme="majorEastAsia" w:hAnsi="Times New Roman" w:cstheme="majorBidi"/>
      <w:bCs/>
      <w:sz w:val="24"/>
      <w:szCs w:val="26"/>
    </w:rPr>
  </w:style>
  <w:style w:type="character" w:customStyle="1" w:styleId="Heading4Char">
    <w:name w:val="Heading 4 Char"/>
    <w:aliases w:val="DCUSA H4 Char,Subsection Char,(Alt+4) Char,H41 Char,(Alt+4)1 Char,H42 Char,(Alt+4)2 Char,H43 Char,(Alt+4)3 Char,H44 Char,(Alt+4)4 Char,H45 Char,(Alt+4)5 Char,H411 Char,(Alt+4)11 Char,H421 Char,(Alt+4)21 Char,H431 Char,(Alt+4)31 Char"/>
    <w:basedOn w:val="DefaultParagraphFont"/>
    <w:link w:val="Heading4"/>
    <w:uiPriority w:val="99"/>
    <w:rsid w:val="0041584B"/>
    <w:rPr>
      <w:rFonts w:ascii="Times New Roman" w:eastAsiaTheme="majorEastAsia" w:hAnsi="Times New Roman" w:cstheme="majorBidi"/>
      <w:bCs/>
      <w:iCs/>
      <w:color w:val="000000" w:themeColor="text1"/>
      <w:sz w:val="24"/>
    </w:rPr>
  </w:style>
  <w:style w:type="character" w:customStyle="1" w:styleId="Heading5Char">
    <w:name w:val="Heading 5 Char"/>
    <w:aliases w:val="DCUSA a) Char,Subheading Char,Heading 5* Char,H5 Char,FMH1 Char,Appendix A to X Char,dash Char,ds Char,dd Char,h5 Char,Heading 5(unused) Char,Level 3 - (i) Char,Roman list Char,H51 Char,Heading 5   Appendix A to X Char,PR13 Char,5 Char"/>
    <w:basedOn w:val="DefaultParagraphFont"/>
    <w:link w:val="Heading5"/>
    <w:uiPriority w:val="99"/>
    <w:rsid w:val="0041584B"/>
    <w:rPr>
      <w:rFonts w:ascii="Times New Roman" w:eastAsiaTheme="majorEastAsia" w:hAnsi="Times New Roman" w:cstheme="majorBidi"/>
      <w:sz w:val="24"/>
    </w:rPr>
  </w:style>
  <w:style w:type="character" w:customStyle="1" w:styleId="Heading6Char">
    <w:name w:val="Heading 6 Char"/>
    <w:aliases w:val="DCSA i) Char,h6 Char,H6 Char,H61 Char,H62 Char,H63 Char,H64 Char,H65 Char,H66 Char,H67 Char,H68 Char,H69 Char,H610 Char,H611 Char,H612 Char,H613 Char,H614 Char,H615 Char,H616 Char,H617 Char,H618 Char,H619 Char,H621 Char,H631 Char"/>
    <w:basedOn w:val="DefaultParagraphFont"/>
    <w:link w:val="Heading6"/>
    <w:uiPriority w:val="99"/>
    <w:rsid w:val="0041584B"/>
    <w:rPr>
      <w:rFonts w:ascii="Times New Roman" w:eastAsiaTheme="majorEastAsia" w:hAnsi="Times New Roman" w:cstheme="majorBidi"/>
      <w:iCs/>
      <w:color w:val="000000" w:themeColor="text1"/>
      <w:sz w:val="24"/>
    </w:rPr>
  </w:style>
  <w:style w:type="character" w:customStyle="1" w:styleId="Heading7Char">
    <w:name w:val="Heading 7 Char"/>
    <w:aliases w:val="ITT t7 Char,PA Appendix Major Char,Appendix Major Char,Lev 7 Char,Heading 7(unused) Char,Legal Level 1.1. Char,L2 PIP Char,L7 Char,Numbered - 7 Char,7 Char,subTITLEPAGE Char,letter list Char,L1 Heading 7 Char,req3 Char,cnc Char"/>
    <w:basedOn w:val="DefaultParagraphFont"/>
    <w:link w:val="Heading7"/>
    <w:uiPriority w:val="99"/>
    <w:rsid w:val="0041584B"/>
    <w:rPr>
      <w:rFonts w:ascii="Times New Roman" w:eastAsiaTheme="majorEastAsia" w:hAnsi="Times New Roman" w:cstheme="majorBidi"/>
      <w:iCs/>
      <w:sz w:val="24"/>
    </w:rPr>
  </w:style>
  <w:style w:type="character" w:customStyle="1" w:styleId="Heading8Char">
    <w:name w:val="Heading 8 Char"/>
    <w:aliases w:val="level2(a) Char"/>
    <w:basedOn w:val="DefaultParagraphFont"/>
    <w:link w:val="Heading8"/>
    <w:uiPriority w:val="99"/>
    <w:rsid w:val="0041584B"/>
    <w:rPr>
      <w:rFonts w:asciiTheme="majorHAnsi" w:eastAsiaTheme="majorEastAsia" w:hAnsiTheme="majorHAnsi" w:cstheme="majorBidi"/>
      <w:color w:val="404040" w:themeColor="text1" w:themeTint="BF"/>
      <w:sz w:val="20"/>
      <w:szCs w:val="20"/>
    </w:rPr>
  </w:style>
  <w:style w:type="character" w:customStyle="1" w:styleId="Heading9Char">
    <w:name w:val="Heading 9 Char"/>
    <w:aliases w:val="App Heading Char,level3(i) Char"/>
    <w:basedOn w:val="DefaultParagraphFont"/>
    <w:link w:val="Heading9"/>
    <w:uiPriority w:val="99"/>
    <w:rsid w:val="0041584B"/>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nhideWhenUsed/>
    <w:rsid w:val="0041584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41584B"/>
    <w:rPr>
      <w:rFonts w:ascii="Segoe UI" w:hAnsi="Segoe UI" w:cs="Segoe UI"/>
      <w:sz w:val="18"/>
      <w:szCs w:val="18"/>
    </w:rPr>
  </w:style>
  <w:style w:type="paragraph" w:customStyle="1" w:styleId="DCHeading1">
    <w:name w:val="DC Heading 1"/>
    <w:basedOn w:val="Normal"/>
    <w:link w:val="DCHeading1Char"/>
    <w:qFormat/>
    <w:rsid w:val="0041584B"/>
    <w:pPr>
      <w:jc w:val="center"/>
    </w:pPr>
    <w:rPr>
      <w:b/>
      <w:caps/>
      <w:sz w:val="28"/>
    </w:rPr>
  </w:style>
  <w:style w:type="paragraph" w:customStyle="1" w:styleId="DCHeading2">
    <w:name w:val="DC Heading 2"/>
    <w:basedOn w:val="DCHeading1"/>
    <w:link w:val="DCHeading2Char"/>
    <w:qFormat/>
    <w:rsid w:val="0041584B"/>
    <w:pPr>
      <w:jc w:val="left"/>
    </w:pPr>
    <w:rPr>
      <w:b w:val="0"/>
      <w:sz w:val="24"/>
    </w:rPr>
  </w:style>
  <w:style w:type="paragraph" w:customStyle="1" w:styleId="DCTOCHeading1">
    <w:name w:val="DC TOC Heading 1"/>
    <w:basedOn w:val="DCHeading2"/>
    <w:link w:val="DCTOCHeading1Char"/>
    <w:qFormat/>
    <w:rsid w:val="0041584B"/>
    <w:pPr>
      <w:spacing w:after="0"/>
      <w:jc w:val="center"/>
    </w:pPr>
    <w:rPr>
      <w:rFonts w:ascii="Times New Roman Bold" w:hAnsi="Times New Roman Bold"/>
      <w:u w:val="single"/>
    </w:rPr>
  </w:style>
  <w:style w:type="character" w:customStyle="1" w:styleId="DCHeading1Char">
    <w:name w:val="DC Heading 1 Char"/>
    <w:basedOn w:val="DefaultParagraphFont"/>
    <w:link w:val="DCHeading1"/>
    <w:rsid w:val="0041584B"/>
    <w:rPr>
      <w:rFonts w:ascii="Times New Roman" w:hAnsi="Times New Roman"/>
      <w:b/>
      <w:caps/>
      <w:sz w:val="28"/>
    </w:rPr>
  </w:style>
  <w:style w:type="character" w:customStyle="1" w:styleId="DCHeading2Char">
    <w:name w:val="DC Heading 2 Char"/>
    <w:basedOn w:val="DCHeading1Char"/>
    <w:link w:val="DCHeading2"/>
    <w:rsid w:val="0041584B"/>
    <w:rPr>
      <w:rFonts w:ascii="Times New Roman" w:hAnsi="Times New Roman"/>
      <w:b w:val="0"/>
      <w:caps/>
      <w:sz w:val="24"/>
    </w:rPr>
  </w:style>
  <w:style w:type="character" w:customStyle="1" w:styleId="DCTOCHeading1Char">
    <w:name w:val="DC TOC Heading 1 Char"/>
    <w:basedOn w:val="DCHeading2Char"/>
    <w:link w:val="DCTOCHeading1"/>
    <w:rsid w:val="0041584B"/>
    <w:rPr>
      <w:rFonts w:ascii="Times New Roman Bold" w:hAnsi="Times New Roman Bold"/>
      <w:b w:val="0"/>
      <w:caps/>
      <w:sz w:val="24"/>
      <w:u w:val="single"/>
    </w:rPr>
  </w:style>
  <w:style w:type="paragraph" w:customStyle="1" w:styleId="DCTOCHeading4">
    <w:name w:val="DC TOC Heading 4"/>
    <w:basedOn w:val="DCHeading1"/>
    <w:link w:val="DCTOCHeading4Char"/>
    <w:qFormat/>
    <w:rsid w:val="0041584B"/>
    <w:rPr>
      <w:rFonts w:ascii="Times New Roman Bold" w:hAnsi="Times New Roman Bold"/>
      <w:sz w:val="24"/>
      <w:u w:val="single"/>
    </w:rPr>
  </w:style>
  <w:style w:type="paragraph" w:customStyle="1" w:styleId="DCSubHeading1Level2">
    <w:name w:val="DC Sub Heading 1 Level 2"/>
    <w:basedOn w:val="DCTOCHeading4"/>
    <w:link w:val="DCSubHeading1Level2Char"/>
    <w:qFormat/>
    <w:rsid w:val="0041584B"/>
    <w:pPr>
      <w:keepNext/>
      <w:jc w:val="left"/>
    </w:pPr>
    <w:rPr>
      <w:caps w:val="0"/>
    </w:rPr>
  </w:style>
  <w:style w:type="paragraph" w:customStyle="1" w:styleId="DCSubHeading2Level2">
    <w:name w:val="DC Sub Heading 2 Level 2"/>
    <w:basedOn w:val="DCSubHeading1Level2"/>
    <w:link w:val="DCSubHeading2Level2Char"/>
    <w:qFormat/>
    <w:rsid w:val="0041584B"/>
    <w:pPr>
      <w:ind w:left="720"/>
    </w:pPr>
    <w:rPr>
      <w:b w:val="0"/>
    </w:rPr>
  </w:style>
  <w:style w:type="paragraph" w:customStyle="1" w:styleId="DCUSATableText">
    <w:name w:val="DCUSA Table Text"/>
    <w:basedOn w:val="DCSubHeading1Level2"/>
    <w:link w:val="DCUSATableTextChar"/>
    <w:autoRedefine/>
    <w:qFormat/>
    <w:rsid w:val="0041584B"/>
    <w:pPr>
      <w:keepNext w:val="0"/>
      <w:keepLines/>
      <w:spacing w:after="0" w:line="240" w:lineRule="auto"/>
    </w:pPr>
    <w:rPr>
      <w:rFonts w:ascii="Times New Roman" w:hAnsi="Times New Roman"/>
      <w:b w:val="0"/>
    </w:rPr>
  </w:style>
  <w:style w:type="character" w:customStyle="1" w:styleId="DCTOCHeading4Char">
    <w:name w:val="DC TOC Heading 4 Char"/>
    <w:basedOn w:val="DCHeading1Char"/>
    <w:link w:val="DCTOCHeading4"/>
    <w:rsid w:val="0041584B"/>
    <w:rPr>
      <w:rFonts w:ascii="Times New Roman Bold" w:hAnsi="Times New Roman Bold"/>
      <w:b/>
      <w:caps/>
      <w:sz w:val="24"/>
      <w:u w:val="single"/>
    </w:rPr>
  </w:style>
  <w:style w:type="character" w:customStyle="1" w:styleId="DCSubHeading1Level2Char">
    <w:name w:val="DC Sub Heading 1 Level 2 Char"/>
    <w:basedOn w:val="DCTOCHeading4Char"/>
    <w:link w:val="DCSubHeading1Level2"/>
    <w:rsid w:val="0041584B"/>
    <w:rPr>
      <w:rFonts w:ascii="Times New Roman Bold" w:hAnsi="Times New Roman Bold"/>
      <w:b/>
      <w:caps w:val="0"/>
      <w:sz w:val="24"/>
      <w:u w:val="single"/>
    </w:rPr>
  </w:style>
  <w:style w:type="character" w:customStyle="1" w:styleId="DCSubHeading2Level2Char">
    <w:name w:val="DC Sub Heading 2 Level 2 Char"/>
    <w:basedOn w:val="DCSubHeading1Level2Char"/>
    <w:link w:val="DCSubHeading2Level2"/>
    <w:rsid w:val="0041584B"/>
    <w:rPr>
      <w:rFonts w:ascii="Times New Roman Bold" w:hAnsi="Times New Roman Bold"/>
      <w:b w:val="0"/>
      <w:caps w:val="0"/>
      <w:sz w:val="24"/>
      <w:u w:val="single"/>
    </w:rPr>
  </w:style>
  <w:style w:type="numbering" w:customStyle="1" w:styleId="AlphaCaps">
    <w:name w:val="Alpha Caps"/>
    <w:uiPriority w:val="99"/>
    <w:rsid w:val="0041584B"/>
    <w:pPr>
      <w:numPr>
        <w:numId w:val="1"/>
      </w:numPr>
    </w:pPr>
  </w:style>
  <w:style w:type="paragraph" w:styleId="ListParagraph">
    <w:name w:val="List Paragraph"/>
    <w:basedOn w:val="Normal"/>
    <w:uiPriority w:val="34"/>
    <w:qFormat/>
    <w:rsid w:val="0041584B"/>
    <w:pPr>
      <w:ind w:left="720"/>
      <w:contextualSpacing/>
    </w:pPr>
  </w:style>
  <w:style w:type="character" w:customStyle="1" w:styleId="DCUSATableTextChar">
    <w:name w:val="DCUSA Table Text Char"/>
    <w:basedOn w:val="DCSubHeading1Level2Char"/>
    <w:link w:val="DCUSATableText"/>
    <w:rsid w:val="0041584B"/>
    <w:rPr>
      <w:rFonts w:ascii="Times New Roman" w:hAnsi="Times New Roman"/>
      <w:b w:val="0"/>
      <w:caps w:val="0"/>
      <w:sz w:val="24"/>
      <w:u w:val="single"/>
    </w:rPr>
  </w:style>
  <w:style w:type="paragraph" w:customStyle="1" w:styleId="Body1">
    <w:name w:val="Body1"/>
    <w:basedOn w:val="Normal"/>
    <w:link w:val="Body1Char"/>
    <w:autoRedefine/>
    <w:rsid w:val="0041584B"/>
    <w:pPr>
      <w:keepNext/>
      <w:ind w:left="840"/>
      <w:jc w:val="both"/>
    </w:pPr>
    <w:rPr>
      <w:rFonts w:eastAsia="Times New Roman" w:cs="Times New Roman"/>
      <w:b/>
      <w:bCs/>
      <w:lang w:val="en-US"/>
    </w:rPr>
  </w:style>
  <w:style w:type="paragraph" w:styleId="Footer">
    <w:name w:val="footer"/>
    <w:aliases w:val="JPW-footer"/>
    <w:basedOn w:val="Normal"/>
    <w:link w:val="FooterChar"/>
    <w:uiPriority w:val="99"/>
    <w:rsid w:val="0041584B"/>
    <w:pPr>
      <w:tabs>
        <w:tab w:val="center" w:pos="4153"/>
        <w:tab w:val="right" w:pos="8306"/>
      </w:tabs>
      <w:spacing w:after="0" w:line="240" w:lineRule="auto"/>
      <w:jc w:val="both"/>
    </w:pPr>
    <w:rPr>
      <w:rFonts w:eastAsia="Times New Roman" w:cs="Times New Roman"/>
      <w:szCs w:val="24"/>
    </w:rPr>
  </w:style>
  <w:style w:type="character" w:customStyle="1" w:styleId="FooterChar">
    <w:name w:val="Footer Char"/>
    <w:aliases w:val="JPW-footer Char"/>
    <w:basedOn w:val="DefaultParagraphFont"/>
    <w:link w:val="Footer"/>
    <w:uiPriority w:val="99"/>
    <w:rsid w:val="0041584B"/>
    <w:rPr>
      <w:rFonts w:ascii="Times New Roman" w:eastAsia="Times New Roman" w:hAnsi="Times New Roman" w:cs="Times New Roman"/>
      <w:sz w:val="24"/>
      <w:szCs w:val="24"/>
    </w:rPr>
  </w:style>
  <w:style w:type="character" w:customStyle="1" w:styleId="Body1Char">
    <w:name w:val="Body1 Char"/>
    <w:link w:val="Body1"/>
    <w:locked/>
    <w:rsid w:val="0041584B"/>
    <w:rPr>
      <w:rFonts w:ascii="Times New Roman" w:eastAsia="Times New Roman" w:hAnsi="Times New Roman" w:cs="Times New Roman"/>
      <w:b/>
      <w:bCs/>
      <w:sz w:val="24"/>
      <w:lang w:val="en-US"/>
    </w:rPr>
  </w:style>
  <w:style w:type="paragraph" w:styleId="EndnoteText">
    <w:name w:val="endnote text"/>
    <w:basedOn w:val="Normal"/>
    <w:link w:val="EndnoteTextChar"/>
    <w:uiPriority w:val="99"/>
    <w:semiHidden/>
    <w:unhideWhenUsed/>
    <w:rsid w:val="0041584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1584B"/>
    <w:rPr>
      <w:rFonts w:ascii="Times New Roman" w:hAnsi="Times New Roman"/>
      <w:sz w:val="20"/>
      <w:szCs w:val="20"/>
    </w:rPr>
  </w:style>
  <w:style w:type="character" w:styleId="EndnoteReference">
    <w:name w:val="endnote reference"/>
    <w:basedOn w:val="DefaultParagraphFont"/>
    <w:uiPriority w:val="99"/>
    <w:semiHidden/>
    <w:unhideWhenUsed/>
    <w:rsid w:val="0041584B"/>
    <w:rPr>
      <w:vertAlign w:val="superscript"/>
    </w:rPr>
  </w:style>
  <w:style w:type="paragraph" w:styleId="Header">
    <w:name w:val="header"/>
    <w:basedOn w:val="Normal"/>
    <w:link w:val="HeaderChar"/>
    <w:unhideWhenUsed/>
    <w:qFormat/>
    <w:rsid w:val="0041584B"/>
    <w:pPr>
      <w:tabs>
        <w:tab w:val="center" w:pos="4513"/>
        <w:tab w:val="right" w:pos="9026"/>
      </w:tabs>
      <w:spacing w:after="0" w:line="240" w:lineRule="auto"/>
    </w:pPr>
  </w:style>
  <w:style w:type="character" w:customStyle="1" w:styleId="HeaderChar">
    <w:name w:val="Header Char"/>
    <w:basedOn w:val="DefaultParagraphFont"/>
    <w:link w:val="Header"/>
    <w:rsid w:val="0041584B"/>
    <w:rPr>
      <w:rFonts w:ascii="Times New Roman" w:hAnsi="Times New Roman"/>
      <w:sz w:val="24"/>
    </w:rPr>
  </w:style>
  <w:style w:type="paragraph" w:customStyle="1" w:styleId="DCTOCHeading2">
    <w:name w:val="DC TOC Heading 2"/>
    <w:basedOn w:val="DCTOCHeading1"/>
    <w:qFormat/>
    <w:rsid w:val="0041584B"/>
    <w:pPr>
      <w:numPr>
        <w:numId w:val="2"/>
      </w:numPr>
    </w:pPr>
    <w:rPr>
      <w:rFonts w:ascii="Times New Roman" w:hAnsi="Times New Roman"/>
    </w:rPr>
  </w:style>
  <w:style w:type="numbering" w:customStyle="1" w:styleId="DCTOCWholeNumbers">
    <w:name w:val="DC TOC Whole Numbers"/>
    <w:uiPriority w:val="99"/>
    <w:rsid w:val="0041584B"/>
    <w:pPr>
      <w:numPr>
        <w:numId w:val="2"/>
      </w:numPr>
    </w:pPr>
  </w:style>
  <w:style w:type="paragraph" w:customStyle="1" w:styleId="DCTOCSchedule">
    <w:name w:val="DC TOC Schedule"/>
    <w:basedOn w:val="Normal"/>
    <w:qFormat/>
    <w:rsid w:val="0041584B"/>
    <w:pPr>
      <w:spacing w:after="0"/>
    </w:pPr>
    <w:rPr>
      <w:caps/>
    </w:rPr>
  </w:style>
  <w:style w:type="paragraph" w:styleId="BodyText">
    <w:name w:val="Body Text"/>
    <w:basedOn w:val="Normal"/>
    <w:link w:val="BodyTextChar"/>
    <w:qFormat/>
    <w:rsid w:val="0041584B"/>
    <w:pPr>
      <w:jc w:val="both"/>
    </w:pPr>
    <w:rPr>
      <w:rFonts w:eastAsia="Times New Roman" w:cs="Times New Roman"/>
      <w:szCs w:val="24"/>
    </w:rPr>
  </w:style>
  <w:style w:type="character" w:customStyle="1" w:styleId="BodyTextChar">
    <w:name w:val="Body Text Char"/>
    <w:basedOn w:val="DefaultParagraphFont"/>
    <w:link w:val="BodyText"/>
    <w:rsid w:val="0041584B"/>
    <w:rPr>
      <w:rFonts w:ascii="Times New Roman" w:eastAsia="Times New Roman" w:hAnsi="Times New Roman" w:cs="Times New Roman"/>
      <w:sz w:val="24"/>
      <w:szCs w:val="24"/>
    </w:rPr>
  </w:style>
  <w:style w:type="paragraph" w:customStyle="1" w:styleId="DCHeading3">
    <w:name w:val="DC Heading 3"/>
    <w:basedOn w:val="DCHeading2"/>
    <w:qFormat/>
    <w:rsid w:val="0041584B"/>
    <w:pPr>
      <w:jc w:val="center"/>
    </w:pPr>
    <w:rPr>
      <w:rFonts w:ascii="Times New Roman Bold" w:hAnsi="Times New Roman Bold"/>
      <w:b/>
    </w:rPr>
  </w:style>
  <w:style w:type="paragraph" w:customStyle="1" w:styleId="DCAlphaCaps">
    <w:name w:val="DC Alpha Caps"/>
    <w:basedOn w:val="Normal"/>
    <w:link w:val="DCAlphaCapsChar"/>
    <w:qFormat/>
    <w:rsid w:val="0041584B"/>
    <w:pPr>
      <w:numPr>
        <w:numId w:val="23"/>
      </w:numPr>
    </w:pPr>
  </w:style>
  <w:style w:type="numbering" w:customStyle="1" w:styleId="DCAphaCaps1">
    <w:name w:val="DC Apha Caps 1"/>
    <w:uiPriority w:val="99"/>
    <w:rsid w:val="0041584B"/>
    <w:pPr>
      <w:numPr>
        <w:numId w:val="3"/>
      </w:numPr>
    </w:pPr>
  </w:style>
  <w:style w:type="paragraph" w:styleId="TOC1">
    <w:name w:val="toc 1"/>
    <w:basedOn w:val="Normal"/>
    <w:next w:val="Normal"/>
    <w:autoRedefine/>
    <w:uiPriority w:val="39"/>
    <w:qFormat/>
    <w:rsid w:val="0041584B"/>
    <w:pPr>
      <w:tabs>
        <w:tab w:val="left" w:pos="567"/>
        <w:tab w:val="right" w:leader="dot" w:pos="8931"/>
      </w:tabs>
      <w:spacing w:after="0"/>
      <w:ind w:right="98"/>
    </w:pPr>
    <w:rPr>
      <w:rFonts w:eastAsia="Times New Roman" w:cs="Times New Roman"/>
      <w:caps/>
      <w:noProof/>
      <w:szCs w:val="24"/>
    </w:rPr>
  </w:style>
  <w:style w:type="paragraph" w:customStyle="1" w:styleId="DCHeading4">
    <w:name w:val="DC Heading 4"/>
    <w:basedOn w:val="DCHeading3"/>
    <w:qFormat/>
    <w:rsid w:val="0041584B"/>
    <w:pPr>
      <w:numPr>
        <w:numId w:val="8"/>
      </w:numPr>
    </w:pPr>
    <w:rPr>
      <w:b w:val="0"/>
      <w:caps w:val="0"/>
      <w:u w:val="single"/>
    </w:rPr>
  </w:style>
  <w:style w:type="numbering" w:customStyle="1" w:styleId="Style1">
    <w:name w:val="Style1"/>
    <w:uiPriority w:val="99"/>
    <w:rsid w:val="0041584B"/>
    <w:pPr>
      <w:numPr>
        <w:numId w:val="4"/>
      </w:numPr>
    </w:pPr>
  </w:style>
  <w:style w:type="numbering" w:customStyle="1" w:styleId="DCNormparalink2">
    <w:name w:val="DC Norm para link 2"/>
    <w:uiPriority w:val="99"/>
    <w:rsid w:val="0041584B"/>
    <w:pPr>
      <w:numPr>
        <w:numId w:val="5"/>
      </w:numPr>
    </w:pPr>
  </w:style>
  <w:style w:type="character" w:customStyle="1" w:styleId="DCNormParaL2Char">
    <w:name w:val="DC Norm Para L2 Char"/>
    <w:basedOn w:val="DCSubHeading1Level2Char"/>
    <w:uiPriority w:val="99"/>
    <w:rsid w:val="0041584B"/>
    <w:rPr>
      <w:rFonts w:ascii="Times New Roman" w:hAnsi="Times New Roman"/>
      <w:b w:val="0"/>
      <w:caps w:val="0"/>
      <w:color w:val="auto"/>
      <w:sz w:val="24"/>
      <w:u w:val="none"/>
    </w:rPr>
  </w:style>
  <w:style w:type="paragraph" w:customStyle="1" w:styleId="AgtLevel4">
    <w:name w:val="Agt/Level4"/>
    <w:basedOn w:val="Normal"/>
    <w:uiPriority w:val="99"/>
    <w:rsid w:val="0041584B"/>
    <w:pPr>
      <w:numPr>
        <w:ilvl w:val="3"/>
        <w:numId w:val="6"/>
      </w:numPr>
      <w:jc w:val="both"/>
    </w:pPr>
    <w:rPr>
      <w:rFonts w:eastAsia="Times New Roman" w:cs="Times New Roman"/>
      <w:szCs w:val="20"/>
    </w:rPr>
  </w:style>
  <w:style w:type="paragraph" w:customStyle="1" w:styleId="DCNormParaL3">
    <w:name w:val="DC Norm Para L3"/>
    <w:basedOn w:val="DCNormaParaL1"/>
    <w:link w:val="DCNormParaL3Char"/>
    <w:qFormat/>
    <w:rsid w:val="0041584B"/>
    <w:pPr>
      <w:ind w:left="737"/>
    </w:pPr>
  </w:style>
  <w:style w:type="numbering" w:customStyle="1" w:styleId="Style2">
    <w:name w:val="Style2"/>
    <w:uiPriority w:val="99"/>
    <w:rsid w:val="0041584B"/>
    <w:pPr>
      <w:numPr>
        <w:numId w:val="7"/>
      </w:numPr>
    </w:pPr>
  </w:style>
  <w:style w:type="character" w:customStyle="1" w:styleId="DCNormParaL3Char">
    <w:name w:val="DC Norm Para L3 Char"/>
    <w:basedOn w:val="DCNormParaL2Char"/>
    <w:link w:val="DCNormParaL3"/>
    <w:rsid w:val="0041584B"/>
    <w:rPr>
      <w:rFonts w:ascii="Times New Roman" w:hAnsi="Times New Roman"/>
      <w:b w:val="0"/>
      <w:caps w:val="0"/>
      <w:color w:val="auto"/>
      <w:sz w:val="24"/>
      <w:u w:val="none"/>
    </w:rPr>
  </w:style>
  <w:style w:type="numbering" w:customStyle="1" w:styleId="DCParalinknumbers">
    <w:name w:val="DC Para link numbers"/>
    <w:uiPriority w:val="99"/>
    <w:rsid w:val="0041584B"/>
    <w:pPr>
      <w:numPr>
        <w:numId w:val="8"/>
      </w:numPr>
    </w:pPr>
  </w:style>
  <w:style w:type="paragraph" w:customStyle="1" w:styleId="Heading10">
    <w:name w:val="Heading 10"/>
    <w:basedOn w:val="Heading5"/>
    <w:link w:val="Heading10Char"/>
    <w:qFormat/>
    <w:rsid w:val="0041584B"/>
    <w:pPr>
      <w:numPr>
        <w:ilvl w:val="3"/>
        <w:numId w:val="23"/>
      </w:numPr>
      <w:spacing w:before="0"/>
    </w:pPr>
  </w:style>
  <w:style w:type="character" w:customStyle="1" w:styleId="Heading10Char">
    <w:name w:val="Heading 10 Char"/>
    <w:basedOn w:val="Heading5Char"/>
    <w:link w:val="Heading10"/>
    <w:rsid w:val="0041584B"/>
    <w:rPr>
      <w:rFonts w:ascii="Times New Roman" w:eastAsiaTheme="majorEastAsia" w:hAnsi="Times New Roman" w:cstheme="majorBidi"/>
      <w:sz w:val="24"/>
    </w:rPr>
  </w:style>
  <w:style w:type="paragraph" w:customStyle="1" w:styleId="DCAlphaCaplevel4">
    <w:name w:val="DC Alpha Cap level 4"/>
    <w:basedOn w:val="DCAlphaCaps"/>
    <w:link w:val="DCAlphaCaplevel4Char"/>
    <w:qFormat/>
    <w:rsid w:val="0041584B"/>
  </w:style>
  <w:style w:type="paragraph" w:styleId="Subtitle">
    <w:name w:val="Subtitle"/>
    <w:basedOn w:val="Normal"/>
    <w:next w:val="Normal"/>
    <w:link w:val="SubtitleChar"/>
    <w:uiPriority w:val="11"/>
    <w:qFormat/>
    <w:rsid w:val="0041584B"/>
    <w:pPr>
      <w:numPr>
        <w:ilvl w:val="1"/>
      </w:numPr>
    </w:pPr>
    <w:rPr>
      <w:rFonts w:asciiTheme="majorHAnsi" w:eastAsiaTheme="majorEastAsia" w:hAnsiTheme="majorHAnsi" w:cstheme="majorBidi"/>
      <w:i/>
      <w:iCs/>
      <w:color w:val="4472C4" w:themeColor="accent1"/>
      <w:spacing w:val="15"/>
      <w:szCs w:val="24"/>
    </w:rPr>
  </w:style>
  <w:style w:type="character" w:customStyle="1" w:styleId="SubtitleChar">
    <w:name w:val="Subtitle Char"/>
    <w:basedOn w:val="DefaultParagraphFont"/>
    <w:link w:val="Subtitle"/>
    <w:uiPriority w:val="11"/>
    <w:rsid w:val="0041584B"/>
    <w:rPr>
      <w:rFonts w:asciiTheme="majorHAnsi" w:eastAsiaTheme="majorEastAsia" w:hAnsiTheme="majorHAnsi" w:cstheme="majorBidi"/>
      <w:i/>
      <w:iCs/>
      <w:color w:val="4472C4" w:themeColor="accent1"/>
      <w:spacing w:val="15"/>
      <w:sz w:val="24"/>
      <w:szCs w:val="24"/>
    </w:rPr>
  </w:style>
  <w:style w:type="paragraph" w:styleId="NoSpacing">
    <w:name w:val="No Spacing"/>
    <w:link w:val="NoSpacingChar"/>
    <w:uiPriority w:val="1"/>
    <w:qFormat/>
    <w:rsid w:val="0041584B"/>
    <w:pPr>
      <w:spacing w:after="0" w:line="240" w:lineRule="auto"/>
    </w:pPr>
    <w:rPr>
      <w:rFonts w:ascii="Times New Roman" w:hAnsi="Times New Roman"/>
      <w:sz w:val="24"/>
    </w:rPr>
  </w:style>
  <w:style w:type="paragraph" w:customStyle="1" w:styleId="BodyTextdef">
    <w:name w:val="Body Text def"/>
    <w:basedOn w:val="BodyText"/>
    <w:uiPriority w:val="99"/>
    <w:rsid w:val="0041584B"/>
    <w:pPr>
      <w:tabs>
        <w:tab w:val="left" w:pos="950"/>
      </w:tabs>
      <w:spacing w:before="120" w:after="120"/>
    </w:pPr>
  </w:style>
  <w:style w:type="character" w:styleId="PageNumber">
    <w:name w:val="page number"/>
    <w:basedOn w:val="DefaultParagraphFont"/>
    <w:rsid w:val="0041584B"/>
  </w:style>
  <w:style w:type="character" w:styleId="Hyperlink">
    <w:name w:val="Hyperlink"/>
    <w:basedOn w:val="DefaultParagraphFont"/>
    <w:uiPriority w:val="99"/>
    <w:rsid w:val="0041584B"/>
    <w:rPr>
      <w:color w:val="0000FF"/>
      <w:u w:val="single"/>
    </w:rPr>
  </w:style>
  <w:style w:type="paragraph" w:styleId="Title">
    <w:name w:val="Title"/>
    <w:basedOn w:val="Normal"/>
    <w:next w:val="Normal"/>
    <w:link w:val="TitleChar"/>
    <w:uiPriority w:val="99"/>
    <w:qFormat/>
    <w:rsid w:val="0041584B"/>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99"/>
    <w:rsid w:val="0041584B"/>
    <w:rPr>
      <w:rFonts w:asciiTheme="majorHAnsi" w:eastAsiaTheme="majorEastAsia" w:hAnsiTheme="majorHAnsi" w:cstheme="majorBidi"/>
      <w:color w:val="323E4F" w:themeColor="text2" w:themeShade="BF"/>
      <w:spacing w:val="5"/>
      <w:kern w:val="28"/>
      <w:sz w:val="52"/>
      <w:szCs w:val="52"/>
    </w:rPr>
  </w:style>
  <w:style w:type="paragraph" w:customStyle="1" w:styleId="DCNormParabulletptL2">
    <w:name w:val="DC Norm Para bullet pt L2"/>
    <w:basedOn w:val="DCHeading4"/>
    <w:link w:val="DCNormParabulletptL2Char"/>
    <w:rsid w:val="0041584B"/>
    <w:pPr>
      <w:numPr>
        <w:numId w:val="9"/>
      </w:numPr>
      <w:jc w:val="left"/>
      <w:outlineLvl w:val="1"/>
    </w:pPr>
    <w:rPr>
      <w:rFonts w:ascii="Times New Roman" w:hAnsi="Times New Roman"/>
    </w:rPr>
  </w:style>
  <w:style w:type="paragraph" w:customStyle="1" w:styleId="DCNormParabulletptL3">
    <w:name w:val="DC Norm Para bullet pt L3"/>
    <w:basedOn w:val="DCNormParabulletptL2"/>
    <w:link w:val="DCNormParabulletptL3Char"/>
    <w:autoRedefine/>
    <w:qFormat/>
    <w:rsid w:val="0041584B"/>
    <w:pPr>
      <w:numPr>
        <w:ilvl w:val="2"/>
      </w:numPr>
      <w:outlineLvl w:val="2"/>
    </w:pPr>
  </w:style>
  <w:style w:type="paragraph" w:customStyle="1" w:styleId="DCNormaParaL1">
    <w:name w:val="DC Norma Para L1"/>
    <w:basedOn w:val="DCHeading4"/>
    <w:qFormat/>
    <w:rsid w:val="0041584B"/>
    <w:pPr>
      <w:numPr>
        <w:numId w:val="0"/>
      </w:numPr>
      <w:jc w:val="left"/>
    </w:pPr>
    <w:rPr>
      <w:rFonts w:ascii="Times New Roman" w:hAnsi="Times New Roman"/>
      <w:u w:val="none"/>
    </w:rPr>
  </w:style>
  <w:style w:type="paragraph" w:customStyle="1" w:styleId="DCUSATableTexta">
    <w:name w:val="DCUSA Table Text a)"/>
    <w:basedOn w:val="Normal"/>
    <w:qFormat/>
    <w:rsid w:val="0041584B"/>
    <w:pPr>
      <w:numPr>
        <w:numId w:val="17"/>
      </w:numPr>
      <w:spacing w:before="120" w:after="120" w:line="240" w:lineRule="auto"/>
    </w:pPr>
  </w:style>
  <w:style w:type="paragraph" w:customStyle="1" w:styleId="DCUSATableTextbulletpt">
    <w:name w:val="DCUSA Table Text bullet pt"/>
    <w:basedOn w:val="DCUSATableText"/>
    <w:link w:val="DCUSATableTextbulletptChar"/>
    <w:qFormat/>
    <w:rsid w:val="0041584B"/>
    <w:pPr>
      <w:numPr>
        <w:ilvl w:val="1"/>
        <w:numId w:val="17"/>
      </w:numPr>
    </w:pPr>
  </w:style>
  <w:style w:type="paragraph" w:customStyle="1" w:styleId="DCUSATabletextnumbers">
    <w:name w:val="DCUSA Table text numbers"/>
    <w:basedOn w:val="DCUSATableText"/>
    <w:link w:val="DCUSATabletextnumbersChar"/>
    <w:autoRedefine/>
    <w:qFormat/>
    <w:rsid w:val="0041584B"/>
    <w:rPr>
      <w:b/>
    </w:rPr>
  </w:style>
  <w:style w:type="character" w:styleId="Emphasis">
    <w:name w:val="Emphasis"/>
    <w:basedOn w:val="DefaultParagraphFont"/>
    <w:uiPriority w:val="20"/>
    <w:qFormat/>
    <w:rsid w:val="0041584B"/>
    <w:rPr>
      <w:i/>
      <w:iCs/>
    </w:rPr>
  </w:style>
  <w:style w:type="character" w:styleId="IntenseEmphasis">
    <w:name w:val="Intense Emphasis"/>
    <w:basedOn w:val="DefaultParagraphFont"/>
    <w:uiPriority w:val="21"/>
    <w:qFormat/>
    <w:rsid w:val="0041584B"/>
    <w:rPr>
      <w:b/>
      <w:bCs/>
      <w:i/>
      <w:iCs/>
      <w:color w:val="4472C4" w:themeColor="accent1"/>
    </w:rPr>
  </w:style>
  <w:style w:type="character" w:styleId="Strong">
    <w:name w:val="Strong"/>
    <w:basedOn w:val="DefaultParagraphFont"/>
    <w:uiPriority w:val="22"/>
    <w:qFormat/>
    <w:rsid w:val="0041584B"/>
    <w:rPr>
      <w:b/>
      <w:bCs/>
    </w:rPr>
  </w:style>
  <w:style w:type="paragraph" w:styleId="Quote">
    <w:name w:val="Quote"/>
    <w:basedOn w:val="Normal"/>
    <w:next w:val="Normal"/>
    <w:link w:val="QuoteChar"/>
    <w:uiPriority w:val="29"/>
    <w:qFormat/>
    <w:rsid w:val="0041584B"/>
    <w:rPr>
      <w:i/>
      <w:iCs/>
      <w:color w:val="000000" w:themeColor="text1"/>
    </w:rPr>
  </w:style>
  <w:style w:type="character" w:customStyle="1" w:styleId="QuoteChar">
    <w:name w:val="Quote Char"/>
    <w:basedOn w:val="DefaultParagraphFont"/>
    <w:link w:val="Quote"/>
    <w:uiPriority w:val="29"/>
    <w:rsid w:val="0041584B"/>
    <w:rPr>
      <w:rFonts w:ascii="Times New Roman" w:hAnsi="Times New Roman"/>
      <w:i/>
      <w:iCs/>
      <w:color w:val="000000" w:themeColor="text1"/>
      <w:sz w:val="24"/>
    </w:rPr>
  </w:style>
  <w:style w:type="paragraph" w:styleId="IntenseQuote">
    <w:name w:val="Intense Quote"/>
    <w:basedOn w:val="Normal"/>
    <w:next w:val="Normal"/>
    <w:link w:val="IntenseQuoteChar"/>
    <w:uiPriority w:val="30"/>
    <w:qFormat/>
    <w:rsid w:val="0041584B"/>
    <w:pPr>
      <w:pBdr>
        <w:bottom w:val="single" w:sz="4" w:space="4" w:color="4472C4" w:themeColor="accent1"/>
      </w:pBdr>
      <w:spacing w:before="200" w:after="280"/>
      <w:ind w:left="936" w:right="936"/>
    </w:pPr>
    <w:rPr>
      <w:b/>
      <w:bCs/>
      <w:i/>
      <w:iCs/>
      <w:color w:val="4472C4" w:themeColor="accent1"/>
    </w:rPr>
  </w:style>
  <w:style w:type="character" w:customStyle="1" w:styleId="IntenseQuoteChar">
    <w:name w:val="Intense Quote Char"/>
    <w:basedOn w:val="DefaultParagraphFont"/>
    <w:link w:val="IntenseQuote"/>
    <w:uiPriority w:val="30"/>
    <w:rsid w:val="0041584B"/>
    <w:rPr>
      <w:rFonts w:ascii="Times New Roman" w:hAnsi="Times New Roman"/>
      <w:b/>
      <w:bCs/>
      <w:i/>
      <w:iCs/>
      <w:color w:val="4472C4" w:themeColor="accent1"/>
      <w:sz w:val="24"/>
    </w:rPr>
  </w:style>
  <w:style w:type="paragraph" w:customStyle="1" w:styleId="Table">
    <w:name w:val="Table"/>
    <w:basedOn w:val="Normal"/>
    <w:rsid w:val="0041584B"/>
    <w:pPr>
      <w:spacing w:before="120" w:after="120" w:line="240" w:lineRule="auto"/>
    </w:pPr>
    <w:rPr>
      <w:rFonts w:ascii="Arial" w:eastAsia="Times New Roman" w:hAnsi="Arial" w:cs="Times New Roman"/>
      <w:kern w:val="14"/>
      <w:sz w:val="22"/>
      <w:szCs w:val="20"/>
    </w:rPr>
  </w:style>
  <w:style w:type="character" w:styleId="SubtleEmphasis">
    <w:name w:val="Subtle Emphasis"/>
    <w:basedOn w:val="DefaultParagraphFont"/>
    <w:uiPriority w:val="19"/>
    <w:qFormat/>
    <w:rsid w:val="0041584B"/>
    <w:rPr>
      <w:i/>
      <w:iCs/>
      <w:color w:val="808080" w:themeColor="text1" w:themeTint="7F"/>
    </w:rPr>
  </w:style>
  <w:style w:type="paragraph" w:styleId="Caption">
    <w:name w:val="caption"/>
    <w:basedOn w:val="Normal"/>
    <w:next w:val="Normal"/>
    <w:qFormat/>
    <w:rsid w:val="0041584B"/>
    <w:pPr>
      <w:spacing w:line="240" w:lineRule="auto"/>
      <w:jc w:val="center"/>
    </w:pPr>
    <w:rPr>
      <w:rFonts w:eastAsia="Times New Roman" w:cs="Times New Roman"/>
      <w:b/>
      <w:bCs/>
      <w:szCs w:val="24"/>
    </w:rPr>
  </w:style>
  <w:style w:type="paragraph" w:customStyle="1" w:styleId="NormalTextBold">
    <w:name w:val="Normal Text Bold"/>
    <w:basedOn w:val="Normal"/>
    <w:rsid w:val="0041584B"/>
    <w:pPr>
      <w:numPr>
        <w:numId w:val="15"/>
      </w:numPr>
      <w:autoSpaceDE w:val="0"/>
      <w:autoSpaceDN w:val="0"/>
      <w:spacing w:after="0" w:line="240" w:lineRule="auto"/>
      <w:jc w:val="both"/>
    </w:pPr>
    <w:rPr>
      <w:rFonts w:eastAsia="Times New Roman" w:cs="Times New Roman"/>
      <w:b/>
      <w:bCs/>
      <w:sz w:val="20"/>
      <w:szCs w:val="20"/>
    </w:rPr>
  </w:style>
  <w:style w:type="paragraph" w:customStyle="1" w:styleId="Text">
    <w:name w:val="Text"/>
    <w:basedOn w:val="Normal"/>
    <w:link w:val="TextChar"/>
    <w:qFormat/>
    <w:rsid w:val="0041584B"/>
    <w:pPr>
      <w:tabs>
        <w:tab w:val="num" w:pos="709"/>
      </w:tabs>
      <w:spacing w:line="240" w:lineRule="auto"/>
      <w:ind w:left="709" w:hanging="709"/>
      <w:jc w:val="both"/>
    </w:pPr>
    <w:rPr>
      <w:rFonts w:ascii="Arial" w:eastAsia="Times New Roman" w:hAnsi="Arial" w:cs="Times New Roman"/>
      <w:sz w:val="22"/>
      <w:szCs w:val="20"/>
    </w:rPr>
  </w:style>
  <w:style w:type="character" w:customStyle="1" w:styleId="TextChar">
    <w:name w:val="Text Char"/>
    <w:link w:val="Text"/>
    <w:locked/>
    <w:rsid w:val="0041584B"/>
    <w:rPr>
      <w:rFonts w:ascii="Arial" w:eastAsia="Times New Roman" w:hAnsi="Arial" w:cs="Times New Roman"/>
      <w:szCs w:val="20"/>
    </w:rPr>
  </w:style>
  <w:style w:type="paragraph" w:styleId="ListNumber">
    <w:name w:val="List Number"/>
    <w:basedOn w:val="Normal"/>
    <w:uiPriority w:val="99"/>
    <w:unhideWhenUsed/>
    <w:rsid w:val="0041584B"/>
    <w:pPr>
      <w:numPr>
        <w:numId w:val="10"/>
      </w:numPr>
      <w:contextualSpacing/>
    </w:pPr>
  </w:style>
  <w:style w:type="paragraph" w:styleId="ListNumber2">
    <w:name w:val="List Number 2"/>
    <w:basedOn w:val="Normal"/>
    <w:uiPriority w:val="99"/>
    <w:unhideWhenUsed/>
    <w:rsid w:val="0041584B"/>
    <w:pPr>
      <w:numPr>
        <w:numId w:val="11"/>
      </w:numPr>
      <w:contextualSpacing/>
    </w:pPr>
  </w:style>
  <w:style w:type="paragraph" w:styleId="ListNumber3">
    <w:name w:val="List Number 3"/>
    <w:basedOn w:val="Normal"/>
    <w:uiPriority w:val="99"/>
    <w:unhideWhenUsed/>
    <w:rsid w:val="0041584B"/>
    <w:pPr>
      <w:numPr>
        <w:numId w:val="12"/>
      </w:numPr>
      <w:contextualSpacing/>
    </w:pPr>
  </w:style>
  <w:style w:type="paragraph" w:styleId="ListNumber4">
    <w:name w:val="List Number 4"/>
    <w:basedOn w:val="Normal"/>
    <w:uiPriority w:val="99"/>
    <w:unhideWhenUsed/>
    <w:rsid w:val="0041584B"/>
    <w:pPr>
      <w:numPr>
        <w:numId w:val="13"/>
      </w:numPr>
      <w:contextualSpacing/>
    </w:pPr>
  </w:style>
  <w:style w:type="paragraph" w:styleId="ListNumber5">
    <w:name w:val="List Number 5"/>
    <w:basedOn w:val="Normal"/>
    <w:uiPriority w:val="99"/>
    <w:unhideWhenUsed/>
    <w:rsid w:val="0041584B"/>
    <w:pPr>
      <w:numPr>
        <w:numId w:val="14"/>
      </w:numPr>
      <w:contextualSpacing/>
    </w:pPr>
  </w:style>
  <w:style w:type="paragraph" w:styleId="ListContinue4">
    <w:name w:val="List Continue 4"/>
    <w:basedOn w:val="Normal"/>
    <w:uiPriority w:val="99"/>
    <w:unhideWhenUsed/>
    <w:rsid w:val="0041584B"/>
    <w:pPr>
      <w:spacing w:after="120"/>
      <w:ind w:left="1132"/>
      <w:contextualSpacing/>
    </w:pPr>
  </w:style>
  <w:style w:type="paragraph" w:styleId="FootnoteText">
    <w:name w:val="footnote text"/>
    <w:basedOn w:val="Normal"/>
    <w:link w:val="FootnoteTextChar"/>
    <w:uiPriority w:val="99"/>
    <w:rsid w:val="0041584B"/>
    <w:pPr>
      <w:spacing w:after="0" w:line="240" w:lineRule="auto"/>
    </w:pPr>
    <w:rPr>
      <w:rFonts w:ascii="Arial" w:eastAsia="Times New Roman" w:hAnsi="Arial" w:cs="Times New Roman"/>
      <w:sz w:val="20"/>
      <w:szCs w:val="20"/>
      <w:lang w:eastAsia="en-GB"/>
    </w:rPr>
  </w:style>
  <w:style w:type="character" w:customStyle="1" w:styleId="FootnoteTextChar">
    <w:name w:val="Footnote Text Char"/>
    <w:basedOn w:val="DefaultParagraphFont"/>
    <w:link w:val="FootnoteText"/>
    <w:uiPriority w:val="99"/>
    <w:rsid w:val="0041584B"/>
    <w:rPr>
      <w:rFonts w:ascii="Arial" w:eastAsia="Times New Roman" w:hAnsi="Arial" w:cs="Times New Roman"/>
      <w:sz w:val="20"/>
      <w:szCs w:val="20"/>
      <w:lang w:eastAsia="en-GB"/>
    </w:rPr>
  </w:style>
  <w:style w:type="character" w:styleId="FootnoteReference">
    <w:name w:val="footnote reference"/>
    <w:basedOn w:val="DefaultParagraphFont"/>
    <w:uiPriority w:val="99"/>
    <w:rsid w:val="0041584B"/>
    <w:rPr>
      <w:vertAlign w:val="superscript"/>
    </w:rPr>
  </w:style>
  <w:style w:type="paragraph" w:customStyle="1" w:styleId="StyleHeading3level3level3Nadpis3After12pt">
    <w:name w:val="Style Heading 3level 3level3Nadpis 3 + After:  12 pt"/>
    <w:basedOn w:val="Heading3"/>
    <w:rsid w:val="0041584B"/>
    <w:pPr>
      <w:widowControl w:val="0"/>
      <w:numPr>
        <w:numId w:val="16"/>
      </w:numPr>
      <w:tabs>
        <w:tab w:val="left" w:pos="1701"/>
      </w:tabs>
    </w:pPr>
    <w:rPr>
      <w:rFonts w:eastAsia="Times New Roman" w:cs="Times New Roman"/>
      <w:szCs w:val="20"/>
    </w:rPr>
  </w:style>
  <w:style w:type="paragraph" w:customStyle="1" w:styleId="StyleHeading4Loweredby15pt">
    <w:name w:val="Style Heading 4 + Lowered by  1.5 pt"/>
    <w:basedOn w:val="Heading4"/>
    <w:rsid w:val="0041584B"/>
    <w:pPr>
      <w:keepNext w:val="0"/>
      <w:keepLines w:val="0"/>
      <w:widowControl w:val="0"/>
      <w:numPr>
        <w:numId w:val="16"/>
      </w:numPr>
      <w:spacing w:before="0" w:after="220" w:line="360" w:lineRule="auto"/>
      <w:jc w:val="both"/>
    </w:pPr>
    <w:rPr>
      <w:rFonts w:eastAsia="Times New Roman" w:cs="Times New Roman"/>
      <w:bCs w:val="0"/>
      <w:iCs w:val="0"/>
      <w:color w:val="auto"/>
      <w:spacing w:val="-1"/>
      <w:position w:val="-3"/>
      <w:sz w:val="22"/>
      <w:szCs w:val="28"/>
      <w:lang w:eastAsia="en-GB"/>
    </w:rPr>
  </w:style>
  <w:style w:type="paragraph" w:customStyle="1" w:styleId="Normaltexttable">
    <w:name w:val="Normal_text_table"/>
    <w:basedOn w:val="Normal"/>
    <w:rsid w:val="0041584B"/>
    <w:pPr>
      <w:keepLines/>
      <w:spacing w:after="60" w:line="240" w:lineRule="auto"/>
      <w:jc w:val="both"/>
    </w:pPr>
    <w:rPr>
      <w:rFonts w:eastAsia="Times New Roman" w:cs="Times New Roman"/>
      <w:sz w:val="22"/>
      <w:szCs w:val="20"/>
      <w:lang w:eastAsia="en-GB"/>
    </w:rPr>
  </w:style>
  <w:style w:type="paragraph" w:styleId="BodyTextFirstIndent">
    <w:name w:val="Body Text First Indent"/>
    <w:basedOn w:val="BodyText"/>
    <w:link w:val="BodyTextFirstIndentChar"/>
    <w:uiPriority w:val="99"/>
    <w:unhideWhenUsed/>
    <w:rsid w:val="0041584B"/>
    <w:pPr>
      <w:ind w:firstLine="360"/>
      <w:jc w:val="left"/>
    </w:pPr>
    <w:rPr>
      <w:rFonts w:eastAsiaTheme="minorHAnsi" w:cstheme="minorBidi"/>
      <w:szCs w:val="22"/>
    </w:rPr>
  </w:style>
  <w:style w:type="character" w:customStyle="1" w:styleId="BodyTextFirstIndentChar">
    <w:name w:val="Body Text First Indent Char"/>
    <w:basedOn w:val="BodyTextChar"/>
    <w:link w:val="BodyTextFirstIndent"/>
    <w:uiPriority w:val="99"/>
    <w:rsid w:val="0041584B"/>
    <w:rPr>
      <w:rFonts w:ascii="Times New Roman" w:eastAsia="Times New Roman" w:hAnsi="Times New Roman" w:cs="Times New Roman"/>
      <w:sz w:val="24"/>
      <w:szCs w:val="24"/>
    </w:rPr>
  </w:style>
  <w:style w:type="paragraph" w:customStyle="1" w:styleId="Normaltext">
    <w:name w:val="Normal_text"/>
    <w:basedOn w:val="Normal"/>
    <w:rsid w:val="0041584B"/>
    <w:pPr>
      <w:spacing w:after="0" w:line="240" w:lineRule="auto"/>
      <w:ind w:left="1008"/>
      <w:jc w:val="both"/>
    </w:pPr>
    <w:rPr>
      <w:rFonts w:eastAsia="Times New Roman" w:cs="Times New Roman"/>
      <w:sz w:val="22"/>
      <w:szCs w:val="20"/>
      <w:lang w:eastAsia="en-GB"/>
    </w:rPr>
  </w:style>
  <w:style w:type="paragraph" w:customStyle="1" w:styleId="Paragraphtext">
    <w:name w:val="Paragraph_text"/>
    <w:basedOn w:val="Normal"/>
    <w:rsid w:val="0041584B"/>
    <w:pPr>
      <w:spacing w:after="0" w:line="240" w:lineRule="auto"/>
      <w:ind w:left="720"/>
      <w:jc w:val="both"/>
    </w:pPr>
    <w:rPr>
      <w:rFonts w:eastAsia="Times New Roman" w:cs="Times New Roman"/>
      <w:sz w:val="22"/>
      <w:lang w:eastAsia="en-GB"/>
    </w:rPr>
  </w:style>
  <w:style w:type="paragraph" w:styleId="NormalWeb">
    <w:name w:val="Normal (Web)"/>
    <w:basedOn w:val="Normal"/>
    <w:uiPriority w:val="99"/>
    <w:rsid w:val="0041584B"/>
    <w:pPr>
      <w:spacing w:before="100" w:beforeAutospacing="1" w:after="100" w:afterAutospacing="1" w:line="240" w:lineRule="auto"/>
    </w:pPr>
    <w:rPr>
      <w:rFonts w:eastAsia="Times New Roman" w:cs="Times New Roman"/>
      <w:szCs w:val="24"/>
      <w:lang w:eastAsia="en-GB"/>
    </w:rPr>
  </w:style>
  <w:style w:type="character" w:styleId="IntenseReference">
    <w:name w:val="Intense Reference"/>
    <w:basedOn w:val="DefaultParagraphFont"/>
    <w:uiPriority w:val="32"/>
    <w:qFormat/>
    <w:rsid w:val="0041584B"/>
    <w:rPr>
      <w:b/>
      <w:bCs/>
      <w:smallCaps/>
      <w:color w:val="ED7D31" w:themeColor="accent2"/>
      <w:spacing w:val="5"/>
      <w:u w:val="single"/>
    </w:rPr>
  </w:style>
  <w:style w:type="character" w:styleId="BookTitle">
    <w:name w:val="Book Title"/>
    <w:basedOn w:val="DefaultParagraphFont"/>
    <w:uiPriority w:val="33"/>
    <w:qFormat/>
    <w:rsid w:val="0041584B"/>
    <w:rPr>
      <w:b/>
      <w:bCs/>
      <w:smallCaps/>
      <w:spacing w:val="5"/>
    </w:rPr>
  </w:style>
  <w:style w:type="paragraph" w:styleId="List">
    <w:name w:val="List"/>
    <w:basedOn w:val="Normal"/>
    <w:uiPriority w:val="99"/>
    <w:unhideWhenUsed/>
    <w:rsid w:val="0041584B"/>
    <w:pPr>
      <w:ind w:left="283" w:hanging="283"/>
      <w:contextualSpacing/>
    </w:pPr>
  </w:style>
  <w:style w:type="paragraph" w:styleId="List2">
    <w:name w:val="List 2"/>
    <w:basedOn w:val="Normal"/>
    <w:uiPriority w:val="99"/>
    <w:unhideWhenUsed/>
    <w:rsid w:val="0041584B"/>
    <w:pPr>
      <w:ind w:left="566" w:hanging="283"/>
      <w:contextualSpacing/>
    </w:pPr>
  </w:style>
  <w:style w:type="paragraph" w:styleId="List3">
    <w:name w:val="List 3"/>
    <w:basedOn w:val="Normal"/>
    <w:uiPriority w:val="99"/>
    <w:unhideWhenUsed/>
    <w:rsid w:val="0041584B"/>
    <w:pPr>
      <w:ind w:left="849" w:hanging="283"/>
      <w:contextualSpacing/>
    </w:pPr>
  </w:style>
  <w:style w:type="paragraph" w:styleId="List4">
    <w:name w:val="List 4"/>
    <w:basedOn w:val="Normal"/>
    <w:uiPriority w:val="99"/>
    <w:unhideWhenUsed/>
    <w:rsid w:val="0041584B"/>
    <w:pPr>
      <w:ind w:left="1132" w:hanging="283"/>
      <w:contextualSpacing/>
    </w:pPr>
  </w:style>
  <w:style w:type="paragraph" w:styleId="ListBullet2">
    <w:name w:val="List Bullet 2"/>
    <w:basedOn w:val="Normal"/>
    <w:uiPriority w:val="99"/>
    <w:unhideWhenUsed/>
    <w:rsid w:val="0041584B"/>
    <w:pPr>
      <w:numPr>
        <w:numId w:val="19"/>
      </w:numPr>
      <w:contextualSpacing/>
    </w:pPr>
  </w:style>
  <w:style w:type="paragraph" w:styleId="ListBullet">
    <w:name w:val="List Bullet"/>
    <w:basedOn w:val="Normal"/>
    <w:uiPriority w:val="99"/>
    <w:unhideWhenUsed/>
    <w:rsid w:val="0041584B"/>
    <w:pPr>
      <w:numPr>
        <w:numId w:val="18"/>
      </w:numPr>
      <w:contextualSpacing/>
    </w:pPr>
  </w:style>
  <w:style w:type="paragraph" w:styleId="ListBullet3">
    <w:name w:val="List Bullet 3"/>
    <w:basedOn w:val="Normal"/>
    <w:uiPriority w:val="99"/>
    <w:unhideWhenUsed/>
    <w:rsid w:val="0041584B"/>
    <w:pPr>
      <w:numPr>
        <w:numId w:val="20"/>
      </w:numPr>
      <w:contextualSpacing/>
    </w:pPr>
  </w:style>
  <w:style w:type="paragraph" w:customStyle="1" w:styleId="questions">
    <w:name w:val="questions"/>
    <w:basedOn w:val="Text"/>
    <w:rsid w:val="0041584B"/>
    <w:rPr>
      <w:kern w:val="14"/>
    </w:rPr>
  </w:style>
  <w:style w:type="character" w:customStyle="1" w:styleId="DCAlphaCapsChar">
    <w:name w:val="DC Alpha Caps Char"/>
    <w:basedOn w:val="DefaultParagraphFont"/>
    <w:link w:val="DCAlphaCaps"/>
    <w:rsid w:val="0041584B"/>
    <w:rPr>
      <w:rFonts w:ascii="Times New Roman" w:hAnsi="Times New Roman"/>
      <w:sz w:val="24"/>
    </w:rPr>
  </w:style>
  <w:style w:type="character" w:customStyle="1" w:styleId="DCAlphaCaplevel4Char">
    <w:name w:val="DC Alpha Cap level 4 Char"/>
    <w:basedOn w:val="DCAlphaCapsChar"/>
    <w:link w:val="DCAlphaCaplevel4"/>
    <w:rsid w:val="0041584B"/>
    <w:rPr>
      <w:rFonts w:ascii="Times New Roman" w:hAnsi="Times New Roman"/>
      <w:sz w:val="24"/>
    </w:rPr>
  </w:style>
  <w:style w:type="paragraph" w:customStyle="1" w:styleId="Default">
    <w:name w:val="Default"/>
    <w:rsid w:val="0041584B"/>
    <w:pPr>
      <w:autoSpaceDE w:val="0"/>
      <w:autoSpaceDN w:val="0"/>
      <w:adjustRightInd w:val="0"/>
      <w:spacing w:after="0" w:line="240" w:lineRule="auto"/>
    </w:pPr>
    <w:rPr>
      <w:rFonts w:ascii="Verdana" w:eastAsia="Calibri" w:hAnsi="Verdana" w:cs="Verdana"/>
      <w:color w:val="000000"/>
      <w:sz w:val="24"/>
      <w:szCs w:val="24"/>
      <w:lang w:val="en-US"/>
    </w:rPr>
  </w:style>
  <w:style w:type="paragraph" w:styleId="TOC2">
    <w:name w:val="toc 2"/>
    <w:basedOn w:val="Normal"/>
    <w:next w:val="Normal"/>
    <w:autoRedefine/>
    <w:uiPriority w:val="39"/>
    <w:unhideWhenUsed/>
    <w:qFormat/>
    <w:rsid w:val="0041584B"/>
    <w:pPr>
      <w:spacing w:after="100" w:line="276" w:lineRule="auto"/>
      <w:ind w:left="220"/>
    </w:pPr>
    <w:rPr>
      <w:rFonts w:asciiTheme="minorHAnsi" w:eastAsiaTheme="minorEastAsia" w:hAnsiTheme="minorHAnsi"/>
      <w:sz w:val="22"/>
      <w:lang w:val="en-US"/>
    </w:rPr>
  </w:style>
  <w:style w:type="paragraph" w:styleId="TOC3">
    <w:name w:val="toc 3"/>
    <w:basedOn w:val="Normal"/>
    <w:next w:val="Normal"/>
    <w:autoRedefine/>
    <w:uiPriority w:val="39"/>
    <w:unhideWhenUsed/>
    <w:qFormat/>
    <w:rsid w:val="0041584B"/>
    <w:pPr>
      <w:spacing w:after="100" w:line="276" w:lineRule="auto"/>
      <w:ind w:left="440"/>
    </w:pPr>
    <w:rPr>
      <w:rFonts w:asciiTheme="minorHAnsi" w:eastAsiaTheme="minorEastAsia" w:hAnsiTheme="minorHAnsi"/>
      <w:sz w:val="22"/>
      <w:lang w:val="en-US"/>
    </w:rPr>
  </w:style>
  <w:style w:type="paragraph" w:styleId="TOC4">
    <w:name w:val="toc 4"/>
    <w:basedOn w:val="Normal"/>
    <w:next w:val="Normal"/>
    <w:autoRedefine/>
    <w:uiPriority w:val="39"/>
    <w:unhideWhenUsed/>
    <w:rsid w:val="0041584B"/>
    <w:pPr>
      <w:spacing w:after="100" w:line="276" w:lineRule="auto"/>
      <w:ind w:left="660"/>
    </w:pPr>
    <w:rPr>
      <w:rFonts w:asciiTheme="minorHAnsi" w:eastAsiaTheme="minorEastAsia" w:hAnsiTheme="minorHAnsi"/>
      <w:sz w:val="22"/>
      <w:lang w:val="en-US"/>
    </w:rPr>
  </w:style>
  <w:style w:type="paragraph" w:styleId="TOC5">
    <w:name w:val="toc 5"/>
    <w:basedOn w:val="Normal"/>
    <w:next w:val="Normal"/>
    <w:autoRedefine/>
    <w:uiPriority w:val="39"/>
    <w:unhideWhenUsed/>
    <w:rsid w:val="0041584B"/>
    <w:pPr>
      <w:spacing w:after="100" w:line="276" w:lineRule="auto"/>
      <w:ind w:left="880"/>
    </w:pPr>
    <w:rPr>
      <w:rFonts w:asciiTheme="minorHAnsi" w:eastAsiaTheme="minorEastAsia" w:hAnsiTheme="minorHAnsi"/>
      <w:sz w:val="22"/>
      <w:lang w:val="en-US"/>
    </w:rPr>
  </w:style>
  <w:style w:type="paragraph" w:styleId="TOC6">
    <w:name w:val="toc 6"/>
    <w:basedOn w:val="Normal"/>
    <w:next w:val="Normal"/>
    <w:autoRedefine/>
    <w:uiPriority w:val="39"/>
    <w:unhideWhenUsed/>
    <w:rsid w:val="0041584B"/>
    <w:pPr>
      <w:spacing w:after="100" w:line="276" w:lineRule="auto"/>
      <w:ind w:left="1100"/>
    </w:pPr>
    <w:rPr>
      <w:rFonts w:asciiTheme="minorHAnsi" w:eastAsiaTheme="minorEastAsia" w:hAnsiTheme="minorHAnsi"/>
      <w:sz w:val="22"/>
      <w:lang w:val="en-US"/>
    </w:rPr>
  </w:style>
  <w:style w:type="paragraph" w:styleId="TOC7">
    <w:name w:val="toc 7"/>
    <w:basedOn w:val="Normal"/>
    <w:next w:val="Normal"/>
    <w:autoRedefine/>
    <w:uiPriority w:val="39"/>
    <w:unhideWhenUsed/>
    <w:rsid w:val="0041584B"/>
    <w:pPr>
      <w:spacing w:after="100" w:line="276" w:lineRule="auto"/>
      <w:ind w:left="1320"/>
    </w:pPr>
    <w:rPr>
      <w:rFonts w:asciiTheme="minorHAnsi" w:eastAsiaTheme="minorEastAsia" w:hAnsiTheme="minorHAnsi"/>
      <w:sz w:val="22"/>
      <w:lang w:val="en-US"/>
    </w:rPr>
  </w:style>
  <w:style w:type="paragraph" w:styleId="TOC8">
    <w:name w:val="toc 8"/>
    <w:basedOn w:val="Normal"/>
    <w:next w:val="Normal"/>
    <w:autoRedefine/>
    <w:uiPriority w:val="39"/>
    <w:unhideWhenUsed/>
    <w:rsid w:val="0041584B"/>
    <w:pPr>
      <w:spacing w:after="100" w:line="276" w:lineRule="auto"/>
      <w:ind w:left="1540"/>
    </w:pPr>
    <w:rPr>
      <w:rFonts w:asciiTheme="minorHAnsi" w:eastAsiaTheme="minorEastAsia" w:hAnsiTheme="minorHAnsi"/>
      <w:sz w:val="22"/>
      <w:lang w:val="en-US"/>
    </w:rPr>
  </w:style>
  <w:style w:type="paragraph" w:styleId="TOC9">
    <w:name w:val="toc 9"/>
    <w:basedOn w:val="Normal"/>
    <w:next w:val="Normal"/>
    <w:autoRedefine/>
    <w:uiPriority w:val="39"/>
    <w:unhideWhenUsed/>
    <w:rsid w:val="0041584B"/>
    <w:pPr>
      <w:spacing w:after="100" w:line="276" w:lineRule="auto"/>
      <w:ind w:left="1760"/>
    </w:pPr>
    <w:rPr>
      <w:rFonts w:asciiTheme="minorHAnsi" w:eastAsiaTheme="minorEastAsia" w:hAnsiTheme="minorHAnsi"/>
      <w:sz w:val="22"/>
      <w:lang w:val="en-US"/>
    </w:rPr>
  </w:style>
  <w:style w:type="character" w:customStyle="1" w:styleId="DCNormParabulletptL2Char">
    <w:name w:val="DC Norm Para bullet pt L2 Char"/>
    <w:basedOn w:val="DCSubHeading1Level2Char"/>
    <w:link w:val="DCNormParabulletptL2"/>
    <w:rsid w:val="0041584B"/>
    <w:rPr>
      <w:rFonts w:ascii="Times New Roman" w:hAnsi="Times New Roman"/>
      <w:b w:val="0"/>
      <w:caps w:val="0"/>
      <w:sz w:val="24"/>
      <w:u w:val="single"/>
    </w:rPr>
  </w:style>
  <w:style w:type="character" w:customStyle="1" w:styleId="DCNormParabulletptL3Char">
    <w:name w:val="DC Norm Para bullet pt L3 Char"/>
    <w:basedOn w:val="DCNormParabulletptL2Char"/>
    <w:link w:val="DCNormParabulletptL3"/>
    <w:rsid w:val="0041584B"/>
    <w:rPr>
      <w:rFonts w:ascii="Times New Roman" w:hAnsi="Times New Roman"/>
      <w:b w:val="0"/>
      <w:caps w:val="0"/>
      <w:sz w:val="24"/>
      <w:u w:val="single"/>
    </w:rPr>
  </w:style>
  <w:style w:type="paragraph" w:customStyle="1" w:styleId="DCSideHeadingnumbered">
    <w:name w:val="DC Side Heading numbered"/>
    <w:basedOn w:val="Normal"/>
    <w:qFormat/>
    <w:rsid w:val="0041584B"/>
    <w:pPr>
      <w:numPr>
        <w:numId w:val="26"/>
      </w:numPr>
    </w:pPr>
    <w:rPr>
      <w:b/>
    </w:rPr>
  </w:style>
  <w:style w:type="character" w:customStyle="1" w:styleId="DCUSATableTextbulletptChar">
    <w:name w:val="DCUSA Table Text bullet pt Char"/>
    <w:basedOn w:val="DCUSATableTextChar"/>
    <w:link w:val="DCUSATableTextbulletpt"/>
    <w:rsid w:val="0041584B"/>
    <w:rPr>
      <w:rFonts w:ascii="Times New Roman" w:hAnsi="Times New Roman"/>
      <w:b w:val="0"/>
      <w:caps w:val="0"/>
      <w:sz w:val="24"/>
      <w:u w:val="single"/>
    </w:rPr>
  </w:style>
  <w:style w:type="character" w:customStyle="1" w:styleId="DCUSATabletextnumbersChar">
    <w:name w:val="DCUSA Table text numbers Char"/>
    <w:basedOn w:val="DCUSATableTextChar"/>
    <w:link w:val="DCUSATabletextnumbers"/>
    <w:rsid w:val="0041584B"/>
    <w:rPr>
      <w:rFonts w:ascii="Times New Roman" w:hAnsi="Times New Roman"/>
      <w:b/>
      <w:caps w:val="0"/>
      <w:sz w:val="24"/>
      <w:u w:val="single"/>
    </w:rPr>
  </w:style>
  <w:style w:type="paragraph" w:styleId="Revision">
    <w:name w:val="Revision"/>
    <w:hidden/>
    <w:uiPriority w:val="99"/>
    <w:semiHidden/>
    <w:rsid w:val="0041584B"/>
    <w:pPr>
      <w:spacing w:after="0" w:line="240" w:lineRule="auto"/>
    </w:pPr>
    <w:rPr>
      <w:rFonts w:ascii="Times New Roman" w:hAnsi="Times New Roman"/>
      <w:sz w:val="24"/>
    </w:rPr>
  </w:style>
  <w:style w:type="paragraph" w:styleId="ListContinue3">
    <w:name w:val="List Continue 3"/>
    <w:basedOn w:val="Normal"/>
    <w:uiPriority w:val="99"/>
    <w:unhideWhenUsed/>
    <w:rsid w:val="0041584B"/>
    <w:pPr>
      <w:spacing w:after="120"/>
      <w:ind w:left="849"/>
      <w:contextualSpacing/>
    </w:pPr>
  </w:style>
  <w:style w:type="paragraph" w:styleId="BodyText2">
    <w:name w:val="Body Text 2"/>
    <w:basedOn w:val="Normal"/>
    <w:link w:val="BodyText2Char"/>
    <w:uiPriority w:val="99"/>
    <w:unhideWhenUsed/>
    <w:rsid w:val="0041584B"/>
    <w:pPr>
      <w:spacing w:after="120" w:line="480" w:lineRule="auto"/>
    </w:pPr>
  </w:style>
  <w:style w:type="character" w:customStyle="1" w:styleId="BodyText2Char">
    <w:name w:val="Body Text 2 Char"/>
    <w:basedOn w:val="DefaultParagraphFont"/>
    <w:link w:val="BodyText2"/>
    <w:uiPriority w:val="99"/>
    <w:rsid w:val="0041584B"/>
    <w:rPr>
      <w:rFonts w:ascii="Times New Roman" w:hAnsi="Times New Roman"/>
      <w:sz w:val="24"/>
    </w:rPr>
  </w:style>
  <w:style w:type="character" w:styleId="CommentReference">
    <w:name w:val="annotation reference"/>
    <w:basedOn w:val="DefaultParagraphFont"/>
    <w:rsid w:val="0041584B"/>
    <w:rPr>
      <w:rFonts w:cs="Times New Roman"/>
      <w:sz w:val="16"/>
      <w:szCs w:val="16"/>
    </w:rPr>
  </w:style>
  <w:style w:type="paragraph" w:styleId="CommentText">
    <w:name w:val="annotation text"/>
    <w:basedOn w:val="Normal"/>
    <w:link w:val="CommentTextChar"/>
    <w:rsid w:val="0041584B"/>
    <w:pPr>
      <w:spacing w:after="0" w:line="240" w:lineRule="auto"/>
    </w:pPr>
    <w:rPr>
      <w:rFonts w:eastAsia="Times New Roman" w:cs="Times New Roman"/>
      <w:sz w:val="20"/>
      <w:szCs w:val="20"/>
      <w:lang w:eastAsia="en-GB"/>
    </w:rPr>
  </w:style>
  <w:style w:type="character" w:customStyle="1" w:styleId="CommentTextChar">
    <w:name w:val="Comment Text Char"/>
    <w:basedOn w:val="DefaultParagraphFont"/>
    <w:link w:val="CommentText"/>
    <w:rsid w:val="0041584B"/>
    <w:rPr>
      <w:rFonts w:ascii="Times New Roman" w:eastAsia="Times New Roman" w:hAnsi="Times New Roman" w:cs="Times New Roman"/>
      <w:sz w:val="20"/>
      <w:szCs w:val="20"/>
      <w:lang w:eastAsia="en-GB"/>
    </w:rPr>
  </w:style>
  <w:style w:type="character" w:customStyle="1" w:styleId="Heading1Char1">
    <w:name w:val="Heading 1 Char1"/>
    <w:basedOn w:val="DefaultParagraphFont"/>
    <w:uiPriority w:val="99"/>
    <w:locked/>
    <w:rsid w:val="0041584B"/>
    <w:rPr>
      <w:rFonts w:ascii="Times New Roman" w:eastAsia="Times New Roman" w:hAnsi="Times New Roman" w:cs="Arial"/>
      <w:b/>
      <w:bCs/>
      <w:kern w:val="32"/>
      <w:sz w:val="24"/>
      <w:szCs w:val="32"/>
      <w:lang w:val="en-GB" w:eastAsia="en-GB"/>
    </w:rPr>
  </w:style>
  <w:style w:type="paragraph" w:styleId="CommentSubject">
    <w:name w:val="annotation subject"/>
    <w:basedOn w:val="CommentText"/>
    <w:next w:val="CommentText"/>
    <w:link w:val="CommentSubjectChar"/>
    <w:rsid w:val="0041584B"/>
    <w:rPr>
      <w:b/>
      <w:bCs/>
    </w:rPr>
  </w:style>
  <w:style w:type="character" w:customStyle="1" w:styleId="CommentSubjectChar">
    <w:name w:val="Comment Subject Char"/>
    <w:basedOn w:val="CommentTextChar"/>
    <w:link w:val="CommentSubject"/>
    <w:rsid w:val="0041584B"/>
    <w:rPr>
      <w:rFonts w:ascii="Times New Roman" w:eastAsia="Times New Roman" w:hAnsi="Times New Roman" w:cs="Times New Roman"/>
      <w:b/>
      <w:bCs/>
      <w:sz w:val="20"/>
      <w:szCs w:val="20"/>
      <w:lang w:eastAsia="en-GB"/>
    </w:rPr>
  </w:style>
  <w:style w:type="character" w:styleId="FollowedHyperlink">
    <w:name w:val="FollowedHyperlink"/>
    <w:basedOn w:val="DefaultParagraphFont"/>
    <w:uiPriority w:val="99"/>
    <w:semiHidden/>
    <w:rsid w:val="0041584B"/>
    <w:rPr>
      <w:rFonts w:cs="Times New Roman"/>
      <w:color w:val="800080"/>
      <w:u w:val="single"/>
    </w:rPr>
  </w:style>
  <w:style w:type="paragraph" w:styleId="TOCHeading">
    <w:name w:val="TOC Heading"/>
    <w:basedOn w:val="Heading1"/>
    <w:next w:val="Normal"/>
    <w:uiPriority w:val="39"/>
    <w:qFormat/>
    <w:rsid w:val="0041584B"/>
    <w:pPr>
      <w:tabs>
        <w:tab w:val="num" w:pos="709"/>
      </w:tabs>
      <w:spacing w:after="0" w:line="276" w:lineRule="auto"/>
      <w:ind w:left="709" w:hanging="709"/>
      <w:jc w:val="both"/>
      <w:outlineLvl w:val="9"/>
    </w:pPr>
    <w:rPr>
      <w:rFonts w:ascii="Cambria" w:eastAsia="Times New Roman" w:hAnsi="Cambria" w:cs="Times New Roman"/>
      <w:caps w:val="0"/>
      <w:color w:val="365F91"/>
      <w:sz w:val="28"/>
      <w:u w:val="none"/>
      <w:lang w:val="en-US"/>
    </w:rPr>
  </w:style>
  <w:style w:type="table" w:styleId="TableGrid">
    <w:name w:val="Table Grid"/>
    <w:basedOn w:val="TableNormal"/>
    <w:rsid w:val="0041584B"/>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known3">
    <w:name w:val="Unknown 3"/>
    <w:next w:val="Normal"/>
    <w:uiPriority w:val="99"/>
    <w:semiHidden/>
    <w:rsid w:val="0041584B"/>
    <w:pPr>
      <w:tabs>
        <w:tab w:val="left" w:pos="-8380"/>
      </w:tabs>
      <w:spacing w:before="100" w:after="60" w:line="240" w:lineRule="auto"/>
      <w:ind w:left="567" w:right="862" w:hanging="567"/>
      <w:jc w:val="both"/>
    </w:pPr>
    <w:rPr>
      <w:rFonts w:ascii="Times New Roman" w:eastAsia="Times New Roman" w:hAnsi="Times New Roman" w:cs="Times New Roman"/>
      <w:sz w:val="20"/>
      <w:szCs w:val="20"/>
      <w:lang w:val="en-US"/>
    </w:rPr>
  </w:style>
  <w:style w:type="paragraph" w:customStyle="1" w:styleId="LineSpacingSingle">
    <w:name w:val="Line Spacing: Single"/>
    <w:rsid w:val="0041584B"/>
    <w:pPr>
      <w:spacing w:after="0" w:line="240" w:lineRule="auto"/>
    </w:pPr>
    <w:rPr>
      <w:rFonts w:ascii="Times New Roman" w:eastAsia="Times New Roman" w:hAnsi="Times New Roman" w:cs="Times New Roman"/>
      <w:sz w:val="24"/>
      <w:szCs w:val="24"/>
      <w:lang w:eastAsia="en-GB"/>
    </w:rPr>
  </w:style>
  <w:style w:type="paragraph" w:customStyle="1" w:styleId="StyleHeading1LatinTimesNewRoman12ptLinespacing1">
    <w:name w:val="Style Heading 1 + (Latin) Times New Roman 12 pt Line spacing:  1...."/>
    <w:basedOn w:val="Heading1"/>
    <w:uiPriority w:val="99"/>
    <w:rsid w:val="0041584B"/>
    <w:pPr>
      <w:keepLines w:val="0"/>
      <w:numPr>
        <w:numId w:val="27"/>
      </w:numPr>
      <w:spacing w:before="0"/>
      <w:jc w:val="both"/>
    </w:pPr>
    <w:rPr>
      <w:rFonts w:ascii="Times New Roman" w:eastAsia="Calibri" w:hAnsi="Times New Roman" w:cs="Times New Roman"/>
      <w:caps w:val="0"/>
      <w:kern w:val="32"/>
      <w:szCs w:val="20"/>
      <w:u w:val="none"/>
      <w:lang w:eastAsia="en-GB"/>
    </w:rPr>
  </w:style>
  <w:style w:type="paragraph" w:customStyle="1" w:styleId="Heading2Title">
    <w:name w:val="Heading 2 Title"/>
    <w:basedOn w:val="Normal"/>
    <w:uiPriority w:val="99"/>
    <w:rsid w:val="0041584B"/>
    <w:pPr>
      <w:tabs>
        <w:tab w:val="num" w:pos="709"/>
      </w:tabs>
      <w:ind w:left="709" w:hanging="709"/>
      <w:jc w:val="both"/>
    </w:pPr>
    <w:rPr>
      <w:rFonts w:eastAsia="Times New Roman" w:cs="Times New Roman"/>
      <w:szCs w:val="24"/>
      <w:lang w:eastAsia="en-GB"/>
    </w:rPr>
  </w:style>
  <w:style w:type="paragraph" w:styleId="BlockText">
    <w:name w:val="Block Text"/>
    <w:basedOn w:val="Normal"/>
    <w:uiPriority w:val="99"/>
    <w:rsid w:val="0041584B"/>
    <w:pPr>
      <w:spacing w:after="120" w:line="240" w:lineRule="auto"/>
      <w:ind w:left="1440" w:right="1440"/>
    </w:pPr>
    <w:rPr>
      <w:rFonts w:eastAsia="Times New Roman" w:cs="Times New Roman"/>
      <w:szCs w:val="24"/>
      <w:lang w:eastAsia="en-GB"/>
    </w:rPr>
  </w:style>
  <w:style w:type="numbering" w:customStyle="1" w:styleId="NoList1">
    <w:name w:val="No List1"/>
    <w:next w:val="NoList"/>
    <w:semiHidden/>
    <w:rsid w:val="0041584B"/>
  </w:style>
  <w:style w:type="table" w:customStyle="1" w:styleId="TableGrid1">
    <w:name w:val="Table Grid1"/>
    <w:basedOn w:val="TableNormal"/>
    <w:next w:val="TableGrid"/>
    <w:rsid w:val="0041584B"/>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0">
    <w:name w:val="default"/>
    <w:basedOn w:val="Normal"/>
    <w:rsid w:val="0041584B"/>
    <w:pPr>
      <w:autoSpaceDE w:val="0"/>
      <w:autoSpaceDN w:val="0"/>
      <w:spacing w:after="0" w:line="240" w:lineRule="auto"/>
    </w:pPr>
    <w:rPr>
      <w:rFonts w:ascii="Trebuchet MS" w:eastAsia="Times New Roman" w:hAnsi="Trebuchet MS" w:cs="Times New Roman"/>
      <w:color w:val="000000"/>
      <w:szCs w:val="24"/>
      <w:lang w:eastAsia="en-GB"/>
    </w:rPr>
  </w:style>
  <w:style w:type="character" w:customStyle="1" w:styleId="entitycharstyle">
    <w:name w:val="entitycharstyle"/>
    <w:basedOn w:val="DefaultParagraphFont"/>
    <w:rsid w:val="0041584B"/>
    <w:rPr>
      <w:rFonts w:ascii="Arial Unicode MS" w:eastAsia="Arial Unicode MS" w:hAnsi="Arial Unicode MS" w:cs="Arial Unicode MS" w:hint="eastAsia"/>
    </w:rPr>
  </w:style>
  <w:style w:type="character" w:customStyle="1" w:styleId="div-wrap-info-bold">
    <w:name w:val="div-wrap-info-bold"/>
    <w:basedOn w:val="DefaultParagraphFont"/>
    <w:rsid w:val="0041584B"/>
    <w:rPr>
      <w:rFonts w:ascii="Times New Roman" w:hAnsi="Times New Roman" w:cs="Times New Roman" w:hint="default"/>
      <w:b/>
      <w:bCs/>
    </w:rPr>
  </w:style>
  <w:style w:type="character" w:customStyle="1" w:styleId="div-wraps-indented">
    <w:name w:val="div-wraps-indented"/>
    <w:basedOn w:val="DefaultParagraphFont"/>
    <w:rsid w:val="0041584B"/>
    <w:rPr>
      <w:rFonts w:ascii="Times New Roman" w:hAnsi="Times New Roman" w:cs="Times New Roman" w:hint="default"/>
    </w:rPr>
  </w:style>
  <w:style w:type="character" w:customStyle="1" w:styleId="amendment-quote">
    <w:name w:val="amendment-quote"/>
    <w:basedOn w:val="DefaultParagraphFont"/>
    <w:rsid w:val="0041584B"/>
    <w:rPr>
      <w:rFonts w:ascii="Helvetica" w:hAnsi="Helvetica" w:hint="default"/>
      <w:b w:val="0"/>
      <w:bCs w:val="0"/>
      <w:i w:val="0"/>
      <w:iCs w:val="0"/>
      <w:color w:val="000000"/>
    </w:rPr>
  </w:style>
  <w:style w:type="character" w:customStyle="1" w:styleId="within-new">
    <w:name w:val="within-new"/>
    <w:basedOn w:val="DefaultParagraphFont"/>
    <w:rsid w:val="0041584B"/>
    <w:rPr>
      <w:color w:val="0000FF"/>
    </w:rPr>
  </w:style>
  <w:style w:type="character" w:customStyle="1" w:styleId="div-wrap-info">
    <w:name w:val="div-wrap-info"/>
    <w:basedOn w:val="DefaultParagraphFont"/>
    <w:rsid w:val="0041584B"/>
  </w:style>
  <w:style w:type="paragraph" w:styleId="BodyTextIndent2">
    <w:name w:val="Body Text Indent 2"/>
    <w:basedOn w:val="Normal"/>
    <w:link w:val="BodyTextIndent2Char"/>
    <w:rsid w:val="0041584B"/>
    <w:pPr>
      <w:spacing w:after="120" w:line="480" w:lineRule="auto"/>
      <w:ind w:left="283"/>
    </w:pPr>
    <w:rPr>
      <w:rFonts w:eastAsia="Times New Roman" w:cs="Times New Roman"/>
      <w:szCs w:val="24"/>
      <w:lang w:eastAsia="en-GB"/>
    </w:rPr>
  </w:style>
  <w:style w:type="character" w:customStyle="1" w:styleId="BodyTextIndent2Char">
    <w:name w:val="Body Text Indent 2 Char"/>
    <w:basedOn w:val="DefaultParagraphFont"/>
    <w:link w:val="BodyTextIndent2"/>
    <w:rsid w:val="0041584B"/>
    <w:rPr>
      <w:rFonts w:ascii="Times New Roman" w:eastAsia="Times New Roman" w:hAnsi="Times New Roman" w:cs="Times New Roman"/>
      <w:sz w:val="24"/>
      <w:szCs w:val="24"/>
      <w:lang w:eastAsia="en-GB"/>
    </w:rPr>
  </w:style>
  <w:style w:type="paragraph" w:customStyle="1" w:styleId="SectionHeading">
    <w:name w:val="Section Heading"/>
    <w:basedOn w:val="Heading1"/>
    <w:rsid w:val="0041584B"/>
    <w:pPr>
      <w:numPr>
        <w:numId w:val="0"/>
      </w:numPr>
      <w:pBdr>
        <w:top w:val="single" w:sz="48" w:space="3" w:color="FFFFFF"/>
        <w:left w:val="single" w:sz="6" w:space="3" w:color="FFFFFF"/>
        <w:bottom w:val="single" w:sz="6" w:space="3" w:color="FFFFFF"/>
      </w:pBdr>
      <w:shd w:val="solid" w:color="auto" w:fill="auto"/>
      <w:spacing w:before="0" w:line="240" w:lineRule="atLeast"/>
      <w:ind w:left="120"/>
      <w:jc w:val="left"/>
    </w:pPr>
    <w:rPr>
      <w:rFonts w:ascii="Arial Black" w:eastAsia="Calibri" w:hAnsi="Arial Black" w:cs="Times New Roman"/>
      <w:b w:val="0"/>
      <w:bCs w:val="0"/>
      <w:caps w:val="0"/>
      <w:color w:val="FFFFFF"/>
      <w:spacing w:val="-10"/>
      <w:kern w:val="20"/>
      <w:position w:val="8"/>
      <w:szCs w:val="20"/>
      <w:u w:val="none"/>
    </w:rPr>
  </w:style>
  <w:style w:type="paragraph" w:customStyle="1" w:styleId="msolistparagraph0">
    <w:name w:val="msolistparagraph"/>
    <w:basedOn w:val="Normal"/>
    <w:rsid w:val="0041584B"/>
    <w:pPr>
      <w:spacing w:after="200" w:line="276" w:lineRule="auto"/>
      <w:ind w:left="720"/>
    </w:pPr>
    <w:rPr>
      <w:rFonts w:ascii="Verdana" w:eastAsia="Times New Roman" w:hAnsi="Verdana" w:cs="Times New Roman"/>
      <w:sz w:val="20"/>
      <w:szCs w:val="20"/>
      <w:lang w:eastAsia="en-GB"/>
    </w:rPr>
  </w:style>
  <w:style w:type="character" w:customStyle="1" w:styleId="defterm">
    <w:name w:val="defterm"/>
    <w:basedOn w:val="DefaultParagraphFont"/>
    <w:rsid w:val="0041584B"/>
  </w:style>
  <w:style w:type="character" w:customStyle="1" w:styleId="CharChar6">
    <w:name w:val="Char Char6"/>
    <w:basedOn w:val="DefaultParagraphFont"/>
    <w:rsid w:val="0041584B"/>
    <w:rPr>
      <w:rFonts w:ascii="Cambria" w:eastAsia="Times New Roman" w:hAnsi="Cambria" w:cs="Times New Roman"/>
      <w:b/>
      <w:bCs/>
      <w:i/>
      <w:iCs/>
      <w:sz w:val="28"/>
      <w:szCs w:val="28"/>
      <w:lang w:eastAsia="en-GB"/>
    </w:rPr>
  </w:style>
  <w:style w:type="character" w:customStyle="1" w:styleId="CharChar5">
    <w:name w:val="Char Char5"/>
    <w:basedOn w:val="DefaultParagraphFont"/>
    <w:rsid w:val="0041584B"/>
    <w:rPr>
      <w:rFonts w:ascii="Cambria" w:eastAsia="Times New Roman" w:hAnsi="Cambria" w:cs="Times New Roman"/>
      <w:b/>
      <w:bCs/>
      <w:sz w:val="26"/>
      <w:szCs w:val="26"/>
      <w:lang w:eastAsia="en-GB"/>
    </w:rPr>
  </w:style>
  <w:style w:type="character" w:customStyle="1" w:styleId="bold1">
    <w:name w:val="bold1"/>
    <w:basedOn w:val="DefaultParagraphFont"/>
    <w:rsid w:val="0041584B"/>
    <w:rPr>
      <w:b/>
      <w:bCs/>
    </w:rPr>
  </w:style>
  <w:style w:type="character" w:customStyle="1" w:styleId="highlight">
    <w:name w:val="highlight"/>
    <w:basedOn w:val="DefaultParagraphFont"/>
    <w:rsid w:val="0041584B"/>
  </w:style>
  <w:style w:type="paragraph" w:customStyle="1" w:styleId="StyleHeading2level2level2Left175cmHanging136cm">
    <w:name w:val="Style Heading 2level 2level2 + Left:  1.75 cm Hanging:  1.36 cm..."/>
    <w:basedOn w:val="Heading2"/>
    <w:rsid w:val="0041584B"/>
    <w:pPr>
      <w:widowControl w:val="0"/>
      <w:numPr>
        <w:numId w:val="1"/>
      </w:numPr>
    </w:pPr>
    <w:rPr>
      <w:rFonts w:eastAsia="Times New Roman" w:cs="Times New Roman"/>
      <w:szCs w:val="20"/>
    </w:rPr>
  </w:style>
  <w:style w:type="table" w:customStyle="1" w:styleId="TableGrid2">
    <w:name w:val="Table Grid2"/>
    <w:basedOn w:val="TableNormal"/>
    <w:next w:val="TableGrid"/>
    <w:uiPriority w:val="59"/>
    <w:rsid w:val="0041584B"/>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41584B"/>
    <w:pPr>
      <w:widowControl w:val="0"/>
      <w:spacing w:after="0" w:line="240" w:lineRule="auto"/>
    </w:pPr>
    <w:rPr>
      <w:rFonts w:asciiTheme="minorHAnsi" w:hAnsiTheme="minorHAnsi"/>
      <w:sz w:val="22"/>
      <w:lang w:val="en-US"/>
    </w:rPr>
  </w:style>
  <w:style w:type="numbering" w:customStyle="1" w:styleId="NoList2">
    <w:name w:val="No List2"/>
    <w:next w:val="NoList"/>
    <w:uiPriority w:val="99"/>
    <w:semiHidden/>
    <w:unhideWhenUsed/>
    <w:rsid w:val="0041584B"/>
  </w:style>
  <w:style w:type="numbering" w:customStyle="1" w:styleId="NoList3">
    <w:name w:val="No List3"/>
    <w:next w:val="NoList"/>
    <w:uiPriority w:val="99"/>
    <w:semiHidden/>
    <w:unhideWhenUsed/>
    <w:rsid w:val="0041584B"/>
  </w:style>
  <w:style w:type="table" w:customStyle="1" w:styleId="TableGrid3">
    <w:name w:val="Table Grid3"/>
    <w:basedOn w:val="TableNormal"/>
    <w:next w:val="TableGrid"/>
    <w:uiPriority w:val="59"/>
    <w:rsid w:val="0041584B"/>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
    <w:name w:val="No List4"/>
    <w:next w:val="NoList"/>
    <w:uiPriority w:val="99"/>
    <w:semiHidden/>
    <w:unhideWhenUsed/>
    <w:rsid w:val="0041584B"/>
  </w:style>
  <w:style w:type="table" w:customStyle="1" w:styleId="TableGrid4">
    <w:name w:val="Table Grid4"/>
    <w:basedOn w:val="TableNormal"/>
    <w:next w:val="TableGrid"/>
    <w:uiPriority w:val="59"/>
    <w:rsid w:val="004158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losing">
    <w:name w:val="Closing"/>
    <w:basedOn w:val="Normal"/>
    <w:link w:val="ClosingChar"/>
    <w:uiPriority w:val="5"/>
    <w:unhideWhenUsed/>
    <w:rsid w:val="0041584B"/>
    <w:pPr>
      <w:spacing w:before="480" w:after="960" w:line="276" w:lineRule="auto"/>
      <w:contextualSpacing/>
    </w:pPr>
    <w:rPr>
      <w:rFonts w:asciiTheme="minorHAnsi" w:eastAsiaTheme="minorEastAsia" w:hAnsiTheme="minorHAnsi"/>
      <w:sz w:val="22"/>
      <w:lang w:val="en-US"/>
    </w:rPr>
  </w:style>
  <w:style w:type="character" w:customStyle="1" w:styleId="ClosingChar">
    <w:name w:val="Closing Char"/>
    <w:basedOn w:val="DefaultParagraphFont"/>
    <w:link w:val="Closing"/>
    <w:uiPriority w:val="5"/>
    <w:rsid w:val="0041584B"/>
    <w:rPr>
      <w:rFonts w:eastAsiaTheme="minorEastAsia"/>
      <w:lang w:val="en-US"/>
    </w:rPr>
  </w:style>
  <w:style w:type="paragraph" w:customStyle="1" w:styleId="RecipientAddress">
    <w:name w:val="Recipient Address"/>
    <w:basedOn w:val="NoSpacing"/>
    <w:uiPriority w:val="3"/>
    <w:rsid w:val="0041584B"/>
    <w:pPr>
      <w:spacing w:after="360"/>
      <w:contextualSpacing/>
    </w:pPr>
    <w:rPr>
      <w:rFonts w:asciiTheme="minorHAnsi" w:eastAsiaTheme="minorEastAsia" w:hAnsiTheme="minorHAnsi"/>
      <w:sz w:val="22"/>
      <w:lang w:val="en-US"/>
    </w:rPr>
  </w:style>
  <w:style w:type="paragraph" w:styleId="Salutation">
    <w:name w:val="Salutation"/>
    <w:basedOn w:val="NoSpacing"/>
    <w:next w:val="Normal"/>
    <w:link w:val="SalutationChar"/>
    <w:uiPriority w:val="4"/>
    <w:unhideWhenUsed/>
    <w:rsid w:val="0041584B"/>
    <w:pPr>
      <w:spacing w:before="480" w:after="320"/>
      <w:contextualSpacing/>
    </w:pPr>
    <w:rPr>
      <w:rFonts w:asciiTheme="minorHAnsi" w:eastAsiaTheme="minorEastAsia" w:hAnsiTheme="minorHAnsi"/>
      <w:b/>
      <w:sz w:val="22"/>
      <w:lang w:val="en-US"/>
    </w:rPr>
  </w:style>
  <w:style w:type="character" w:customStyle="1" w:styleId="SalutationChar">
    <w:name w:val="Salutation Char"/>
    <w:basedOn w:val="DefaultParagraphFont"/>
    <w:link w:val="Salutation"/>
    <w:uiPriority w:val="4"/>
    <w:rsid w:val="0041584B"/>
    <w:rPr>
      <w:rFonts w:eastAsiaTheme="minorEastAsia"/>
      <w:b/>
      <w:lang w:val="en-US"/>
    </w:rPr>
  </w:style>
  <w:style w:type="paragraph" w:customStyle="1" w:styleId="SenderAddress">
    <w:name w:val="Sender Address"/>
    <w:basedOn w:val="NoSpacing"/>
    <w:uiPriority w:val="2"/>
    <w:rsid w:val="0041584B"/>
    <w:pPr>
      <w:spacing w:after="360"/>
      <w:contextualSpacing/>
    </w:pPr>
    <w:rPr>
      <w:rFonts w:asciiTheme="minorHAnsi" w:eastAsiaTheme="minorEastAsia" w:hAnsiTheme="minorHAnsi"/>
      <w:sz w:val="22"/>
      <w:lang w:val="en-US"/>
    </w:rPr>
  </w:style>
  <w:style w:type="character" w:styleId="PlaceholderText">
    <w:name w:val="Placeholder Text"/>
    <w:basedOn w:val="DefaultParagraphFont"/>
    <w:uiPriority w:val="99"/>
    <w:unhideWhenUsed/>
    <w:rsid w:val="0041584B"/>
    <w:rPr>
      <w:color w:val="808080"/>
    </w:rPr>
  </w:style>
  <w:style w:type="paragraph" w:styleId="Signature">
    <w:name w:val="Signature"/>
    <w:basedOn w:val="Normal"/>
    <w:link w:val="SignatureChar"/>
    <w:uiPriority w:val="99"/>
    <w:unhideWhenUsed/>
    <w:rsid w:val="0041584B"/>
    <w:pPr>
      <w:spacing w:after="200" w:line="276" w:lineRule="auto"/>
      <w:contextualSpacing/>
    </w:pPr>
    <w:rPr>
      <w:rFonts w:asciiTheme="minorHAnsi" w:eastAsiaTheme="minorEastAsia" w:hAnsiTheme="minorHAnsi"/>
      <w:sz w:val="22"/>
      <w:lang w:val="en-US"/>
    </w:rPr>
  </w:style>
  <w:style w:type="character" w:customStyle="1" w:styleId="SignatureChar">
    <w:name w:val="Signature Char"/>
    <w:basedOn w:val="DefaultParagraphFont"/>
    <w:link w:val="Signature"/>
    <w:uiPriority w:val="99"/>
    <w:rsid w:val="0041584B"/>
    <w:rPr>
      <w:rFonts w:eastAsiaTheme="minorEastAsia"/>
      <w:lang w:val="en-US"/>
    </w:rPr>
  </w:style>
  <w:style w:type="table" w:customStyle="1" w:styleId="TableGrid5">
    <w:name w:val="Table Grid5"/>
    <w:basedOn w:val="TableNormal"/>
    <w:next w:val="TableGrid"/>
    <w:uiPriority w:val="59"/>
    <w:rsid w:val="0041584B"/>
    <w:pPr>
      <w:spacing w:after="0" w:line="240" w:lineRule="auto"/>
    </w:pPr>
    <w:rPr>
      <w:rFonts w:eastAsiaTheme="minorEastAsia"/>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semiHidden/>
    <w:unhideWhenUsed/>
    <w:rsid w:val="0041584B"/>
    <w:rPr>
      <w:color w:val="2B579A"/>
      <w:shd w:val="clear" w:color="auto" w:fill="E6E6E6"/>
    </w:rPr>
  </w:style>
  <w:style w:type="character" w:styleId="UnresolvedMention">
    <w:name w:val="Unresolved Mention"/>
    <w:basedOn w:val="DefaultParagraphFont"/>
    <w:uiPriority w:val="99"/>
    <w:semiHidden/>
    <w:unhideWhenUsed/>
    <w:rsid w:val="0041584B"/>
    <w:rPr>
      <w:color w:val="808080"/>
      <w:shd w:val="clear" w:color="auto" w:fill="E6E6E6"/>
    </w:rPr>
  </w:style>
  <w:style w:type="character" w:styleId="LineNumber">
    <w:name w:val="line number"/>
    <w:basedOn w:val="DefaultParagraphFont"/>
    <w:uiPriority w:val="99"/>
    <w:semiHidden/>
    <w:unhideWhenUsed/>
    <w:rsid w:val="0041584B"/>
  </w:style>
  <w:style w:type="paragraph" w:customStyle="1" w:styleId="Title1">
    <w:name w:val="Title1"/>
    <w:basedOn w:val="Normal"/>
    <w:uiPriority w:val="99"/>
    <w:rsid w:val="0041584B"/>
    <w:pPr>
      <w:widowControl w:val="0"/>
      <w:tabs>
        <w:tab w:val="left" w:pos="567"/>
      </w:tabs>
      <w:spacing w:after="0" w:line="240" w:lineRule="auto"/>
      <w:ind w:left="720"/>
    </w:pPr>
    <w:rPr>
      <w:rFonts w:ascii="Arial" w:eastAsia="Times New Roman" w:hAnsi="Arial" w:cs="Times New Roman"/>
      <w:b/>
      <w:sz w:val="36"/>
      <w:szCs w:val="20"/>
    </w:rPr>
  </w:style>
  <w:style w:type="paragraph" w:customStyle="1" w:styleId="LetterHeading">
    <w:name w:val="Letter Heading"/>
    <w:basedOn w:val="Normal"/>
    <w:uiPriority w:val="99"/>
    <w:rsid w:val="0041584B"/>
    <w:pPr>
      <w:spacing w:after="0" w:line="240" w:lineRule="auto"/>
    </w:pPr>
    <w:rPr>
      <w:rFonts w:eastAsia="Times New Roman" w:cs="Times New Roman"/>
      <w:szCs w:val="20"/>
    </w:rPr>
  </w:style>
  <w:style w:type="table" w:customStyle="1" w:styleId="TableGrid6">
    <w:name w:val="Table Grid6"/>
    <w:basedOn w:val="TableNormal"/>
    <w:next w:val="TableGrid"/>
    <w:uiPriority w:val="39"/>
    <w:rsid w:val="0041584B"/>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unhideWhenUsed/>
    <w:rsid w:val="0041584B"/>
    <w:pPr>
      <w:widowControl w:val="0"/>
      <w:tabs>
        <w:tab w:val="left" w:pos="1253"/>
      </w:tabs>
      <w:ind w:left="1287" w:hanging="567"/>
      <w:jc w:val="both"/>
    </w:pPr>
    <w:rPr>
      <w:rFonts w:eastAsia="Calibri" w:hAnsi="Calibri" w:cs="Times New Roman"/>
      <w:lang w:val="en-US"/>
    </w:rPr>
  </w:style>
  <w:style w:type="character" w:customStyle="1" w:styleId="BodyTextIndentChar">
    <w:name w:val="Body Text Indent Char"/>
    <w:basedOn w:val="DefaultParagraphFont"/>
    <w:link w:val="BodyTextIndent"/>
    <w:uiPriority w:val="99"/>
    <w:rsid w:val="0041584B"/>
    <w:rPr>
      <w:rFonts w:ascii="Times New Roman" w:eastAsia="Calibri" w:hAnsi="Calibri" w:cs="Times New Roman"/>
      <w:sz w:val="24"/>
      <w:lang w:val="en-US"/>
    </w:rPr>
  </w:style>
  <w:style w:type="paragraph" w:styleId="BodyTextIndent3">
    <w:name w:val="Body Text Indent 3"/>
    <w:basedOn w:val="Normal"/>
    <w:link w:val="BodyTextIndent3Char"/>
    <w:uiPriority w:val="99"/>
    <w:unhideWhenUsed/>
    <w:rsid w:val="0041584B"/>
    <w:pPr>
      <w:ind w:left="567"/>
    </w:pPr>
  </w:style>
  <w:style w:type="character" w:customStyle="1" w:styleId="BodyTextIndent3Char">
    <w:name w:val="Body Text Indent 3 Char"/>
    <w:basedOn w:val="DefaultParagraphFont"/>
    <w:link w:val="BodyTextIndent3"/>
    <w:uiPriority w:val="99"/>
    <w:rsid w:val="0041584B"/>
    <w:rPr>
      <w:rFonts w:ascii="Times New Roman" w:hAnsi="Times New Roman"/>
      <w:sz w:val="24"/>
    </w:rPr>
  </w:style>
  <w:style w:type="character" w:customStyle="1" w:styleId="NoSpacingChar">
    <w:name w:val="No Spacing Char"/>
    <w:basedOn w:val="DefaultParagraphFont"/>
    <w:link w:val="NoSpacing"/>
    <w:uiPriority w:val="1"/>
    <w:rsid w:val="0041584B"/>
    <w:rPr>
      <w:rFonts w:ascii="Times New Roman" w:hAnsi="Times New Roman"/>
      <w:sz w:val="24"/>
    </w:rPr>
  </w:style>
  <w:style w:type="paragraph" w:customStyle="1" w:styleId="Level3">
    <w:name w:val="Level 3"/>
    <w:basedOn w:val="Normal"/>
    <w:rsid w:val="0041584B"/>
    <w:pPr>
      <w:ind w:left="1440" w:hanging="720"/>
      <w:jc w:val="both"/>
    </w:pPr>
    <w:rPr>
      <w:rFonts w:eastAsia="Times New Roman" w:cs="Times New Roman"/>
      <w:szCs w:val="20"/>
    </w:rPr>
  </w:style>
  <w:style w:type="paragraph" w:customStyle="1" w:styleId="Level4">
    <w:name w:val="Level 4"/>
    <w:basedOn w:val="Normal"/>
    <w:rsid w:val="0041584B"/>
    <w:pPr>
      <w:spacing w:after="0" w:line="240" w:lineRule="auto"/>
      <w:ind w:left="2160" w:hanging="720"/>
    </w:pPr>
    <w:rPr>
      <w:rFonts w:ascii="Tahoma" w:eastAsia="Times New Roman" w:hAnsi="Tahoma" w:cs="Times New Roman"/>
      <w:szCs w:val="20"/>
    </w:rPr>
  </w:style>
  <w:style w:type="paragraph" w:customStyle="1" w:styleId="Level5">
    <w:name w:val="Level 5"/>
    <w:basedOn w:val="Normal"/>
    <w:rsid w:val="0041584B"/>
    <w:pPr>
      <w:spacing w:after="0" w:line="240" w:lineRule="auto"/>
      <w:ind w:left="2880" w:hanging="720"/>
    </w:pPr>
    <w:rPr>
      <w:rFonts w:ascii="Tahoma" w:eastAsia="Times New Roman" w:hAnsi="Tahoma" w:cs="Times New Roman"/>
      <w:szCs w:val="20"/>
    </w:rPr>
  </w:style>
  <w:style w:type="paragraph" w:customStyle="1" w:styleId="Level6">
    <w:name w:val="Level 6"/>
    <w:basedOn w:val="Normal"/>
    <w:rsid w:val="0041584B"/>
    <w:pPr>
      <w:spacing w:after="0" w:line="240" w:lineRule="auto"/>
      <w:ind w:left="3600" w:hanging="720"/>
    </w:pPr>
    <w:rPr>
      <w:rFonts w:ascii="Tahoma" w:eastAsia="Times New Roman" w:hAnsi="Tahoma" w:cs="Times New Roman"/>
      <w:szCs w:val="20"/>
    </w:rPr>
  </w:style>
  <w:style w:type="table" w:styleId="GridTable4-Accent3">
    <w:name w:val="Grid Table 4 Accent 3"/>
    <w:basedOn w:val="TableNormal"/>
    <w:uiPriority w:val="49"/>
    <w:rsid w:val="0041584B"/>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auto"/>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3-Accent3">
    <w:name w:val="Grid Table 3 Accent 3"/>
    <w:basedOn w:val="TableNormal"/>
    <w:uiPriority w:val="48"/>
    <w:rsid w:val="0041584B"/>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image" Target="media/image8.png"/><Relationship Id="rId26" Type="http://schemas.openxmlformats.org/officeDocument/2006/relationships/image" Target="media/image13.wmf"/><Relationship Id="rId39" Type="http://schemas.openxmlformats.org/officeDocument/2006/relationships/image" Target="media/image20.wmf"/><Relationship Id="rId21" Type="http://schemas.openxmlformats.org/officeDocument/2006/relationships/oleObject" Target="embeddings/oleObject5.bin"/><Relationship Id="rId34" Type="http://schemas.openxmlformats.org/officeDocument/2006/relationships/image" Target="media/image16.emf"/><Relationship Id="rId42" Type="http://schemas.openxmlformats.org/officeDocument/2006/relationships/oleObject" Target="embeddings/oleObject12.bin"/><Relationship Id="rId47" Type="http://schemas.openxmlformats.org/officeDocument/2006/relationships/image" Target="media/image24.wmf"/><Relationship Id="rId50" Type="http://schemas.openxmlformats.org/officeDocument/2006/relationships/oleObject" Target="embeddings/oleObject16.bin"/><Relationship Id="rId55" Type="http://schemas.openxmlformats.org/officeDocument/2006/relationships/image" Target="media/image28.emf"/><Relationship Id="rId63" Type="http://schemas.openxmlformats.org/officeDocument/2006/relationships/oleObject" Target="embeddings/oleObject22.bin"/><Relationship Id="rId68" Type="http://schemas.openxmlformats.org/officeDocument/2006/relationships/oleObject" Target="embeddings/oleObject26.bin"/><Relationship Id="rId76" Type="http://schemas.openxmlformats.org/officeDocument/2006/relationships/image" Target="media/image39.png"/><Relationship Id="rId84" Type="http://schemas.openxmlformats.org/officeDocument/2006/relationships/image" Target="media/image47.png"/><Relationship Id="rId89" Type="http://schemas.microsoft.com/office/2011/relationships/people" Target="people.xml"/><Relationship Id="rId7" Type="http://schemas.openxmlformats.org/officeDocument/2006/relationships/image" Target="media/image1.png"/><Relationship Id="rId71" Type="http://schemas.openxmlformats.org/officeDocument/2006/relationships/image" Target="media/image35.wmf"/><Relationship Id="rId2" Type="http://schemas.openxmlformats.org/officeDocument/2006/relationships/styles" Target="styles.xml"/><Relationship Id="rId16" Type="http://schemas.openxmlformats.org/officeDocument/2006/relationships/oleObject" Target="embeddings/oleObject4.bin"/><Relationship Id="rId29" Type="http://schemas.openxmlformats.org/officeDocument/2006/relationships/oleObject" Target="embeddings/oleObject9.bin"/><Relationship Id="rId11" Type="http://schemas.openxmlformats.org/officeDocument/2006/relationships/image" Target="media/image4.wmf"/><Relationship Id="rId24" Type="http://schemas.openxmlformats.org/officeDocument/2006/relationships/image" Target="media/image12.wmf"/><Relationship Id="rId32" Type="http://schemas.microsoft.com/office/2011/relationships/commentsExtended" Target="commentsExtended.xml"/><Relationship Id="rId37" Type="http://schemas.openxmlformats.org/officeDocument/2006/relationships/image" Target="media/image18.wmf"/><Relationship Id="rId40" Type="http://schemas.openxmlformats.org/officeDocument/2006/relationships/oleObject" Target="embeddings/oleObject11.bin"/><Relationship Id="rId45" Type="http://schemas.openxmlformats.org/officeDocument/2006/relationships/image" Target="media/image23.wmf"/><Relationship Id="rId53" Type="http://schemas.openxmlformats.org/officeDocument/2006/relationships/image" Target="media/image27.wmf"/><Relationship Id="rId58" Type="http://schemas.openxmlformats.org/officeDocument/2006/relationships/image" Target="media/image30.wmf"/><Relationship Id="rId66" Type="http://schemas.openxmlformats.org/officeDocument/2006/relationships/oleObject" Target="embeddings/oleObject24.bin"/><Relationship Id="rId74" Type="http://schemas.openxmlformats.org/officeDocument/2006/relationships/image" Target="media/image37.png"/><Relationship Id="rId79" Type="http://schemas.openxmlformats.org/officeDocument/2006/relationships/image" Target="media/image42.png"/><Relationship Id="rId87" Type="http://schemas.openxmlformats.org/officeDocument/2006/relationships/image" Target="media/image49.png"/><Relationship Id="rId5" Type="http://schemas.openxmlformats.org/officeDocument/2006/relationships/footnotes" Target="footnotes.xml"/><Relationship Id="rId61" Type="http://schemas.openxmlformats.org/officeDocument/2006/relationships/oleObject" Target="embeddings/oleObject21.bin"/><Relationship Id="rId82" Type="http://schemas.openxmlformats.org/officeDocument/2006/relationships/image" Target="media/image45.png"/><Relationship Id="rId90" Type="http://schemas.openxmlformats.org/officeDocument/2006/relationships/theme" Target="theme/theme1.xml"/><Relationship Id="rId19" Type="http://schemas.openxmlformats.org/officeDocument/2006/relationships/image" Target="media/image9.png"/><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3.bin"/><Relationship Id="rId22" Type="http://schemas.openxmlformats.org/officeDocument/2006/relationships/image" Target="media/image11.wmf"/><Relationship Id="rId27" Type="http://schemas.openxmlformats.org/officeDocument/2006/relationships/oleObject" Target="embeddings/oleObject8.bin"/><Relationship Id="rId30" Type="http://schemas.openxmlformats.org/officeDocument/2006/relationships/image" Target="media/image15.png"/><Relationship Id="rId35" Type="http://schemas.openxmlformats.org/officeDocument/2006/relationships/image" Target="media/image17.emf"/><Relationship Id="rId43" Type="http://schemas.openxmlformats.org/officeDocument/2006/relationships/image" Target="media/image22.wmf"/><Relationship Id="rId48" Type="http://schemas.openxmlformats.org/officeDocument/2006/relationships/oleObject" Target="embeddings/oleObject15.bin"/><Relationship Id="rId56" Type="http://schemas.openxmlformats.org/officeDocument/2006/relationships/image" Target="media/image29.wmf"/><Relationship Id="rId64" Type="http://schemas.openxmlformats.org/officeDocument/2006/relationships/image" Target="media/image33.wmf"/><Relationship Id="rId69" Type="http://schemas.openxmlformats.org/officeDocument/2006/relationships/image" Target="media/image34.wmf"/><Relationship Id="rId77" Type="http://schemas.openxmlformats.org/officeDocument/2006/relationships/image" Target="media/image40.png"/><Relationship Id="rId8" Type="http://schemas.openxmlformats.org/officeDocument/2006/relationships/image" Target="media/image2.png"/><Relationship Id="rId51" Type="http://schemas.openxmlformats.org/officeDocument/2006/relationships/image" Target="media/image26.wmf"/><Relationship Id="rId72" Type="http://schemas.openxmlformats.org/officeDocument/2006/relationships/oleObject" Target="embeddings/oleObject28.bin"/><Relationship Id="rId80" Type="http://schemas.openxmlformats.org/officeDocument/2006/relationships/image" Target="media/image43.png"/><Relationship Id="rId85" Type="http://schemas.openxmlformats.org/officeDocument/2006/relationships/image" Target="media/image48.png"/><Relationship Id="rId3" Type="http://schemas.openxmlformats.org/officeDocument/2006/relationships/settings" Target="settings.xml"/><Relationship Id="rId12" Type="http://schemas.openxmlformats.org/officeDocument/2006/relationships/oleObject" Target="embeddings/oleObject2.bin"/><Relationship Id="rId17" Type="http://schemas.openxmlformats.org/officeDocument/2006/relationships/image" Target="media/image7.png"/><Relationship Id="rId25" Type="http://schemas.openxmlformats.org/officeDocument/2006/relationships/oleObject" Target="embeddings/oleObject7.bin"/><Relationship Id="rId33" Type="http://schemas.microsoft.com/office/2016/09/relationships/commentsIds" Target="commentsIds.xml"/><Relationship Id="rId38" Type="http://schemas.openxmlformats.org/officeDocument/2006/relationships/image" Target="media/image19.png"/><Relationship Id="rId46" Type="http://schemas.openxmlformats.org/officeDocument/2006/relationships/oleObject" Target="embeddings/oleObject14.bin"/><Relationship Id="rId59" Type="http://schemas.openxmlformats.org/officeDocument/2006/relationships/oleObject" Target="embeddings/oleObject20.bin"/><Relationship Id="rId67" Type="http://schemas.openxmlformats.org/officeDocument/2006/relationships/oleObject" Target="embeddings/oleObject25.bin"/><Relationship Id="rId20" Type="http://schemas.openxmlformats.org/officeDocument/2006/relationships/image" Target="media/image10.wmf"/><Relationship Id="rId41" Type="http://schemas.openxmlformats.org/officeDocument/2006/relationships/image" Target="media/image21.wmf"/><Relationship Id="rId54" Type="http://schemas.openxmlformats.org/officeDocument/2006/relationships/oleObject" Target="embeddings/oleObject18.bin"/><Relationship Id="rId62" Type="http://schemas.openxmlformats.org/officeDocument/2006/relationships/image" Target="media/image32.wmf"/><Relationship Id="rId70" Type="http://schemas.openxmlformats.org/officeDocument/2006/relationships/oleObject" Target="embeddings/oleObject27.bin"/><Relationship Id="rId75" Type="http://schemas.openxmlformats.org/officeDocument/2006/relationships/image" Target="media/image38.png"/><Relationship Id="rId83" Type="http://schemas.openxmlformats.org/officeDocument/2006/relationships/image" Target="media/image46.png"/><Relationship Id="rId88"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6.wmf"/><Relationship Id="rId23" Type="http://schemas.openxmlformats.org/officeDocument/2006/relationships/oleObject" Target="embeddings/oleObject6.bin"/><Relationship Id="rId28" Type="http://schemas.openxmlformats.org/officeDocument/2006/relationships/image" Target="media/image14.wmf"/><Relationship Id="rId36" Type="http://schemas.openxmlformats.org/officeDocument/2006/relationships/oleObject" Target="embeddings/oleObject10.bin"/><Relationship Id="rId49" Type="http://schemas.openxmlformats.org/officeDocument/2006/relationships/image" Target="media/image25.wmf"/><Relationship Id="rId57" Type="http://schemas.openxmlformats.org/officeDocument/2006/relationships/oleObject" Target="embeddings/oleObject19.bin"/><Relationship Id="rId10" Type="http://schemas.openxmlformats.org/officeDocument/2006/relationships/oleObject" Target="embeddings/oleObject1.bin"/><Relationship Id="rId31" Type="http://schemas.openxmlformats.org/officeDocument/2006/relationships/comments" Target="comments.xml"/><Relationship Id="rId44" Type="http://schemas.openxmlformats.org/officeDocument/2006/relationships/oleObject" Target="embeddings/oleObject13.bin"/><Relationship Id="rId52" Type="http://schemas.openxmlformats.org/officeDocument/2006/relationships/oleObject" Target="embeddings/oleObject17.bin"/><Relationship Id="rId60" Type="http://schemas.openxmlformats.org/officeDocument/2006/relationships/image" Target="media/image31.wmf"/><Relationship Id="rId65" Type="http://schemas.openxmlformats.org/officeDocument/2006/relationships/oleObject" Target="embeddings/oleObject23.bin"/><Relationship Id="rId73" Type="http://schemas.openxmlformats.org/officeDocument/2006/relationships/image" Target="media/image36.png"/><Relationship Id="rId78" Type="http://schemas.openxmlformats.org/officeDocument/2006/relationships/image" Target="media/image41.png"/><Relationship Id="rId81" Type="http://schemas.openxmlformats.org/officeDocument/2006/relationships/image" Target="media/image44.png"/><Relationship Id="rId86"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140</Pages>
  <Words>31129</Words>
  <Characters>177438</Characters>
  <Application>Microsoft Office Word</Application>
  <DocSecurity>0</DocSecurity>
  <Lines>1478</Lines>
  <Paragraphs>416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Hollie Nicholls</dc:creator>
  <cp:keywords/>
  <dc:description/>
  <cp:lastModifiedBy>Hollie Nicholls</cp:lastModifiedBy>
  <cp:revision>1</cp:revision>
  <dcterms:created xsi:type="dcterms:W3CDTF">2020-01-14T18:18:00Z</dcterms:created>
  <dcterms:modified xsi:type="dcterms:W3CDTF">2020-01-14T18:39:00Z</dcterms:modified>
</cp:coreProperties>
</file>